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75FFE" w14:textId="77777777" w:rsidR="001C4B72" w:rsidRDefault="001C4B72">
      <w:pPr>
        <w:spacing w:line="360" w:lineRule="auto"/>
        <w:jc w:val="both"/>
        <w:rPr>
          <w:rFonts w:ascii="Times New Roman" w:eastAsia="Times New Roman" w:hAnsi="Times New Roman" w:cs="Times New Roman"/>
          <w:b/>
          <w:sz w:val="24"/>
          <w:szCs w:val="24"/>
        </w:rPr>
      </w:pPr>
    </w:p>
    <w:p w14:paraId="00000001" w14:textId="01363F4F"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 Review on Integrated Disease Management Strategies in Vegetable Crops</w:t>
      </w:r>
    </w:p>
    <w:p w14:paraId="1033A5C2" w14:textId="77777777" w:rsidR="00456073" w:rsidRDefault="00456073">
      <w:pPr>
        <w:spacing w:line="360" w:lineRule="auto"/>
        <w:jc w:val="both"/>
        <w:rPr>
          <w:rFonts w:ascii="Times New Roman" w:eastAsia="Times New Roman" w:hAnsi="Times New Roman" w:cs="Times New Roman"/>
          <w:b/>
          <w:sz w:val="24"/>
          <w:szCs w:val="24"/>
        </w:rPr>
      </w:pPr>
    </w:p>
    <w:p w14:paraId="00000002" w14:textId="5A2673C1" w:rsidR="00CC42A1" w:rsidRDefault="00391FE0">
      <w:pPr>
        <w:spacing w:line="360" w:lineRule="auto"/>
        <w:jc w:val="both"/>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sz w:val="24"/>
          <w:szCs w:val="24"/>
        </w:rPr>
        <w:t>Abstract</w:t>
      </w:r>
    </w:p>
    <w:p w14:paraId="00000003"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Vegetable crops are highly vulnerable to a wide range of diseases caused by fungi, bacteria, viruses, and nematodes, leading to substantial yield losses and reduced quality. Traditional reliance on chemical pesticides has raised concerns about re</w:t>
      </w:r>
      <w:r>
        <w:rPr>
          <w:rFonts w:ascii="Times New Roman" w:eastAsia="Times New Roman" w:hAnsi="Times New Roman" w:cs="Times New Roman"/>
          <w:sz w:val="24"/>
          <w:szCs w:val="24"/>
        </w:rPr>
        <w:t>sistance development, environmental degradation, and human health risks. Integrated Disease Management (IDM) provides a holistic framework that combines cultural, biological, chemical, host resistance, and innovative technologies for sustainable disease co</w:t>
      </w:r>
      <w:r>
        <w:rPr>
          <w:rFonts w:ascii="Times New Roman" w:eastAsia="Times New Roman" w:hAnsi="Times New Roman" w:cs="Times New Roman"/>
          <w:sz w:val="24"/>
          <w:szCs w:val="24"/>
        </w:rPr>
        <w:t>ntrol. This review synthesizes current knowledge on IDM practices in vegetable crops, emphasizing ecological approaches, novel tools such as biocontrol agents and nanotechnology, and the integration of resistant cultivars with precision farming. Challenges</w:t>
      </w:r>
      <w:r>
        <w:rPr>
          <w:rFonts w:ascii="Times New Roman" w:eastAsia="Times New Roman" w:hAnsi="Times New Roman" w:cs="Times New Roman"/>
          <w:sz w:val="24"/>
          <w:szCs w:val="24"/>
        </w:rPr>
        <w:t xml:space="preserve"> and opportunities in adopting IDM are also highlighted, with a focus on climate change impacts and future research directions.</w:t>
      </w:r>
    </w:p>
    <w:p w14:paraId="00000004"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Integrated Disease Management, vegetable crops, biological control, host resistance, cultural practices, sustainable a</w:t>
      </w:r>
      <w:r>
        <w:rPr>
          <w:rFonts w:ascii="Times New Roman" w:eastAsia="Times New Roman" w:hAnsi="Times New Roman" w:cs="Times New Roman"/>
          <w:sz w:val="24"/>
          <w:szCs w:val="24"/>
        </w:rPr>
        <w:t>griculture</w:t>
      </w:r>
    </w:p>
    <w:p w14:paraId="00000005"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Introduction</w:t>
      </w:r>
    </w:p>
    <w:p w14:paraId="00000006"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Vegetable crops play a crucial role in ensuring food and nutritional security worldwide. They are rich sources of essential vitamins (such as vitamin A in carrots and spinach, vitamin C in peppers and tomatoes), minerals (like ir</w:t>
      </w:r>
      <w:r>
        <w:rPr>
          <w:rFonts w:ascii="Times New Roman" w:eastAsia="Times New Roman" w:hAnsi="Times New Roman" w:cs="Times New Roman"/>
          <w:sz w:val="24"/>
          <w:szCs w:val="24"/>
        </w:rPr>
        <w:t xml:space="preserve">on in leafy greens, potassium in cucurbits), antioxidants, and dietary </w:t>
      </w:r>
      <w:proofErr w:type="spellStart"/>
      <w:r>
        <w:rPr>
          <w:rFonts w:ascii="Times New Roman" w:eastAsia="Times New Roman" w:hAnsi="Times New Roman" w:cs="Times New Roman"/>
          <w:sz w:val="24"/>
          <w:szCs w:val="24"/>
        </w:rPr>
        <w:t>fiber</w:t>
      </w:r>
      <w:proofErr w:type="spellEnd"/>
      <w:r>
        <w:rPr>
          <w:rFonts w:ascii="Times New Roman" w:eastAsia="Times New Roman" w:hAnsi="Times New Roman" w:cs="Times New Roman"/>
          <w:sz w:val="24"/>
          <w:szCs w:val="24"/>
        </w:rPr>
        <w:t>, which are vital for human health and well-being (Singh et al., 2021). Globally, vegetable cultivation also supports millions of smallholder farmers, generates rural employment, a</w:t>
      </w:r>
      <w:r>
        <w:rPr>
          <w:rFonts w:ascii="Times New Roman" w:eastAsia="Times New Roman" w:hAnsi="Times New Roman" w:cs="Times New Roman"/>
          <w:sz w:val="24"/>
          <w:szCs w:val="24"/>
        </w:rPr>
        <w:t>nd contributes significantly to agricultural trade and national economies (FAO, 2020). For example, tomato, potato, onion, and chili are not only staple vegetables in diets but also major export commodities in many countries.</w:t>
      </w:r>
    </w:p>
    <w:p w14:paraId="00000007"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their importance, vegetable crops are highly susceptible to a wide spectrum of diseases caused by fungi, bacteria, viruses, phytoplasmas, and nematodes. Yield losses can range between 20–80% depending on the pathogen, environmental conditions, and </w:t>
      </w:r>
      <w:r>
        <w:rPr>
          <w:rFonts w:ascii="Times New Roman" w:eastAsia="Times New Roman" w:hAnsi="Times New Roman" w:cs="Times New Roman"/>
          <w:sz w:val="24"/>
          <w:szCs w:val="24"/>
        </w:rPr>
        <w:t xml:space="preserve">crop susceptibility (Sharma et al., 2020). For instance, </w:t>
      </w:r>
      <w:r>
        <w:rPr>
          <w:rFonts w:ascii="Times New Roman" w:eastAsia="Times New Roman" w:hAnsi="Times New Roman" w:cs="Times New Roman"/>
          <w:i/>
          <w:sz w:val="24"/>
          <w:szCs w:val="24"/>
        </w:rPr>
        <w:t>Phytophthora infestans</w:t>
      </w:r>
      <w:r>
        <w:rPr>
          <w:rFonts w:ascii="Times New Roman" w:eastAsia="Times New Roman" w:hAnsi="Times New Roman" w:cs="Times New Roman"/>
          <w:sz w:val="24"/>
          <w:szCs w:val="24"/>
        </w:rPr>
        <w:t xml:space="preserve">—the causal agent of late blight in potato and tomato—remains one of the most devastating pathogens, leading to recurring </w:t>
      </w:r>
      <w:r>
        <w:rPr>
          <w:rFonts w:ascii="Times New Roman" w:eastAsia="Times New Roman" w:hAnsi="Times New Roman" w:cs="Times New Roman"/>
          <w:sz w:val="24"/>
          <w:szCs w:val="24"/>
        </w:rPr>
        <w:lastRenderedPageBreak/>
        <w:t>epidemics and causing billions of dollars in annual los</w:t>
      </w:r>
      <w:r>
        <w:rPr>
          <w:rFonts w:ascii="Times New Roman" w:eastAsia="Times New Roman" w:hAnsi="Times New Roman" w:cs="Times New Roman"/>
          <w:sz w:val="24"/>
          <w:szCs w:val="24"/>
        </w:rPr>
        <w:t xml:space="preserve">ses globally (Fry et al., 2015). Similarly, </w:t>
      </w:r>
      <w:r>
        <w:rPr>
          <w:rFonts w:ascii="Times New Roman" w:eastAsia="Times New Roman" w:hAnsi="Times New Roman" w:cs="Times New Roman"/>
          <w:i/>
          <w:sz w:val="24"/>
          <w:szCs w:val="24"/>
        </w:rPr>
        <w:t xml:space="preserve">Fusarium </w:t>
      </w:r>
      <w:proofErr w:type="spellStart"/>
      <w:r>
        <w:rPr>
          <w:rFonts w:ascii="Times New Roman" w:eastAsia="Times New Roman" w:hAnsi="Times New Roman" w:cs="Times New Roman"/>
          <w:i/>
          <w:sz w:val="24"/>
          <w:szCs w:val="24"/>
        </w:rPr>
        <w:t>oxysporum</w:t>
      </w:r>
      <w:proofErr w:type="spellEnd"/>
      <w:r>
        <w:rPr>
          <w:rFonts w:ascii="Times New Roman" w:eastAsia="Times New Roman" w:hAnsi="Times New Roman" w:cs="Times New Roman"/>
          <w:sz w:val="24"/>
          <w:szCs w:val="24"/>
        </w:rPr>
        <w:t xml:space="preserve"> f. sp. </w:t>
      </w:r>
      <w:proofErr w:type="spellStart"/>
      <w:r>
        <w:rPr>
          <w:rFonts w:ascii="Times New Roman" w:eastAsia="Times New Roman" w:hAnsi="Times New Roman" w:cs="Times New Roman"/>
          <w:i/>
          <w:sz w:val="24"/>
          <w:szCs w:val="24"/>
        </w:rPr>
        <w:t>lycopersici</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F. </w:t>
      </w:r>
      <w:proofErr w:type="spellStart"/>
      <w:r>
        <w:rPr>
          <w:rFonts w:ascii="Times New Roman" w:eastAsia="Times New Roman" w:hAnsi="Times New Roman" w:cs="Times New Roman"/>
          <w:i/>
          <w:sz w:val="24"/>
          <w:szCs w:val="24"/>
        </w:rPr>
        <w:t>oxysporum</w:t>
      </w:r>
      <w:proofErr w:type="spellEnd"/>
      <w:r>
        <w:rPr>
          <w:rFonts w:ascii="Times New Roman" w:eastAsia="Times New Roman" w:hAnsi="Times New Roman" w:cs="Times New Roman"/>
          <w:sz w:val="24"/>
          <w:szCs w:val="24"/>
        </w:rPr>
        <w:t xml:space="preserve"> f. sp. </w:t>
      </w:r>
      <w:proofErr w:type="spellStart"/>
      <w:r>
        <w:rPr>
          <w:rFonts w:ascii="Times New Roman" w:eastAsia="Times New Roman" w:hAnsi="Times New Roman" w:cs="Times New Roman"/>
          <w:i/>
          <w:sz w:val="24"/>
          <w:szCs w:val="24"/>
        </w:rPr>
        <w:t>melonis</w:t>
      </w:r>
      <w:proofErr w:type="spellEnd"/>
      <w:r>
        <w:rPr>
          <w:rFonts w:ascii="Times New Roman" w:eastAsia="Times New Roman" w:hAnsi="Times New Roman" w:cs="Times New Roman"/>
          <w:sz w:val="24"/>
          <w:szCs w:val="24"/>
        </w:rPr>
        <w:t xml:space="preserve"> cause vascular wilt diseases in solanaceous and cucurbitaceous vegetables, drastically reducing yield and quality (</w:t>
      </w:r>
      <w:proofErr w:type="spellStart"/>
      <w:r>
        <w:rPr>
          <w:rFonts w:ascii="Times New Roman" w:eastAsia="Times New Roman" w:hAnsi="Times New Roman" w:cs="Times New Roman"/>
          <w:sz w:val="24"/>
          <w:szCs w:val="24"/>
        </w:rPr>
        <w:t>Michielse</w:t>
      </w:r>
      <w:proofErr w:type="spellEnd"/>
      <w:r>
        <w:rPr>
          <w:rFonts w:ascii="Times New Roman" w:eastAsia="Times New Roman" w:hAnsi="Times New Roman" w:cs="Times New Roman"/>
          <w:sz w:val="24"/>
          <w:szCs w:val="24"/>
        </w:rPr>
        <w:t xml:space="preserve"> &amp; Rep, 2009). Vir</w:t>
      </w:r>
      <w:r>
        <w:rPr>
          <w:rFonts w:ascii="Times New Roman" w:eastAsia="Times New Roman" w:hAnsi="Times New Roman" w:cs="Times New Roman"/>
          <w:sz w:val="24"/>
          <w:szCs w:val="24"/>
        </w:rPr>
        <w:t>al pathogens such as Tomato Yellow Leaf Curl Virus (TYLCV), transmitted by whiteflies (</w:t>
      </w:r>
      <w:proofErr w:type="spellStart"/>
      <w:r>
        <w:rPr>
          <w:rFonts w:ascii="Times New Roman" w:eastAsia="Times New Roman" w:hAnsi="Times New Roman" w:cs="Times New Roman"/>
          <w:i/>
          <w:sz w:val="24"/>
          <w:szCs w:val="24"/>
        </w:rPr>
        <w:t>Bemisia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tabaci</w:t>
      </w:r>
      <w:proofErr w:type="spellEnd"/>
      <w:r>
        <w:rPr>
          <w:rFonts w:ascii="Times New Roman" w:eastAsia="Times New Roman" w:hAnsi="Times New Roman" w:cs="Times New Roman"/>
          <w:sz w:val="24"/>
          <w:szCs w:val="24"/>
        </w:rPr>
        <w:t>), continue to threaten tomato production across Asia, Africa, and the Mediterranean (Singh &amp; Gupta, 2022).</w:t>
      </w:r>
    </w:p>
    <w:p w14:paraId="00000008"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Traditionally, disease management in vegetable production has relied heavily on the use of chemical fungicides, bactericides, and nematicides. While these inputs can provide quick and effective disease suppression, their overuse has resulted in several cha</w:t>
      </w:r>
      <w:r>
        <w:rPr>
          <w:rFonts w:ascii="Times New Roman" w:eastAsia="Times New Roman" w:hAnsi="Times New Roman" w:cs="Times New Roman"/>
          <w:sz w:val="24"/>
          <w:szCs w:val="24"/>
        </w:rPr>
        <w:t xml:space="preserve">llenges. Pathogens frequently develop resistance against commonly used fungicides, such as resistance in </w:t>
      </w:r>
      <w:r>
        <w:rPr>
          <w:rFonts w:ascii="Times New Roman" w:eastAsia="Times New Roman" w:hAnsi="Times New Roman" w:cs="Times New Roman"/>
          <w:i/>
          <w:sz w:val="24"/>
          <w:szCs w:val="24"/>
        </w:rPr>
        <w:t xml:space="preserve">Alternaria </w:t>
      </w:r>
      <w:proofErr w:type="spellStart"/>
      <w:r>
        <w:rPr>
          <w:rFonts w:ascii="Times New Roman" w:eastAsia="Times New Roman" w:hAnsi="Times New Roman" w:cs="Times New Roman"/>
          <w:i/>
          <w:sz w:val="24"/>
          <w:szCs w:val="24"/>
        </w:rPr>
        <w:t>solani</w:t>
      </w:r>
      <w:proofErr w:type="spellEnd"/>
      <w:r>
        <w:rPr>
          <w:rFonts w:ascii="Times New Roman" w:eastAsia="Times New Roman" w:hAnsi="Times New Roman" w:cs="Times New Roman"/>
          <w:sz w:val="24"/>
          <w:szCs w:val="24"/>
        </w:rPr>
        <w:t xml:space="preserve"> to </w:t>
      </w:r>
      <w:proofErr w:type="spellStart"/>
      <w:r>
        <w:rPr>
          <w:rFonts w:ascii="Times New Roman" w:eastAsia="Times New Roman" w:hAnsi="Times New Roman" w:cs="Times New Roman"/>
          <w:sz w:val="24"/>
          <w:szCs w:val="24"/>
        </w:rPr>
        <w:t>strobilurins</w:t>
      </w:r>
      <w:proofErr w:type="spellEnd"/>
      <w:r>
        <w:rPr>
          <w:rFonts w:ascii="Times New Roman" w:eastAsia="Times New Roman" w:hAnsi="Times New Roman" w:cs="Times New Roman"/>
          <w:sz w:val="24"/>
          <w:szCs w:val="24"/>
        </w:rPr>
        <w:t xml:space="preserve"> and in </w:t>
      </w:r>
      <w:r>
        <w:rPr>
          <w:rFonts w:ascii="Times New Roman" w:eastAsia="Times New Roman" w:hAnsi="Times New Roman" w:cs="Times New Roman"/>
          <w:i/>
          <w:sz w:val="24"/>
          <w:szCs w:val="24"/>
        </w:rPr>
        <w:t xml:space="preserve">Phytophthora </w:t>
      </w:r>
      <w:proofErr w:type="spellStart"/>
      <w:r>
        <w:rPr>
          <w:rFonts w:ascii="Times New Roman" w:eastAsia="Times New Roman" w:hAnsi="Times New Roman" w:cs="Times New Roman"/>
          <w:i/>
          <w:sz w:val="24"/>
          <w:szCs w:val="24"/>
        </w:rPr>
        <w:t>infestans</w:t>
      </w:r>
      <w:proofErr w:type="spellEnd"/>
      <w:r>
        <w:rPr>
          <w:rFonts w:ascii="Times New Roman" w:eastAsia="Times New Roman" w:hAnsi="Times New Roman" w:cs="Times New Roman"/>
          <w:sz w:val="24"/>
          <w:szCs w:val="24"/>
        </w:rPr>
        <w:t xml:space="preserve"> to </w:t>
      </w:r>
      <w:proofErr w:type="spellStart"/>
      <w:r>
        <w:rPr>
          <w:rFonts w:ascii="Times New Roman" w:eastAsia="Times New Roman" w:hAnsi="Times New Roman" w:cs="Times New Roman"/>
          <w:sz w:val="24"/>
          <w:szCs w:val="24"/>
        </w:rPr>
        <w:t>phenylamide</w:t>
      </w:r>
      <w:proofErr w:type="spellEnd"/>
      <w:r>
        <w:rPr>
          <w:rFonts w:ascii="Times New Roman" w:eastAsia="Times New Roman" w:hAnsi="Times New Roman" w:cs="Times New Roman"/>
          <w:sz w:val="24"/>
          <w:szCs w:val="24"/>
        </w:rPr>
        <w:t xml:space="preserve"> fungicides (Hahn, 2014). In addition, excessive chemical application lea</w:t>
      </w:r>
      <w:r>
        <w:rPr>
          <w:rFonts w:ascii="Times New Roman" w:eastAsia="Times New Roman" w:hAnsi="Times New Roman" w:cs="Times New Roman"/>
          <w:sz w:val="24"/>
          <w:szCs w:val="24"/>
        </w:rPr>
        <w:t>ves toxic residues on produce, contaminates soil and water bodies, and negatively affects non-target organisms, including beneficial soil microbes and pollinators (Popp et al., 2013). These issues raise concerns about long-term sustainability, environmenta</w:t>
      </w:r>
      <w:r>
        <w:rPr>
          <w:rFonts w:ascii="Times New Roman" w:eastAsia="Times New Roman" w:hAnsi="Times New Roman" w:cs="Times New Roman"/>
          <w:sz w:val="24"/>
          <w:szCs w:val="24"/>
        </w:rPr>
        <w:t>l safety, and consumer health.</w:t>
      </w:r>
    </w:p>
    <w:p w14:paraId="00000009"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response, the paradigm of plant disease management is shifting toward Integrated Disease Management (IDM), which emphasizes the use of multiple, complementary tactics to achieve sustainable crop protection. IDM involves a </w:t>
      </w:r>
      <w:r>
        <w:rPr>
          <w:rFonts w:ascii="Times New Roman" w:eastAsia="Times New Roman" w:hAnsi="Times New Roman" w:cs="Times New Roman"/>
          <w:sz w:val="24"/>
          <w:szCs w:val="24"/>
        </w:rPr>
        <w:t>holistic framework combining cultural practices, host plant resistance, biological control, and judicious use of chemicals, while increasingly integrating modern technologies such as molecular breeding, remote sensing, and nanotechnology (Chakraborty &amp; New</w:t>
      </w:r>
      <w:r>
        <w:rPr>
          <w:rFonts w:ascii="Times New Roman" w:eastAsia="Times New Roman" w:hAnsi="Times New Roman" w:cs="Times New Roman"/>
          <w:sz w:val="24"/>
          <w:szCs w:val="24"/>
        </w:rPr>
        <w:t>ton, 2011; Keswani et al., 2019). The goal is not only to reduce disease incidence but also to enhance the resilience of cropping systems, improve soil and ecosystem health, and ensure stable yields under changing climatic conditions. By harmonizing ecolog</w:t>
      </w:r>
      <w:r>
        <w:rPr>
          <w:rFonts w:ascii="Times New Roman" w:eastAsia="Times New Roman" w:hAnsi="Times New Roman" w:cs="Times New Roman"/>
          <w:sz w:val="24"/>
          <w:szCs w:val="24"/>
        </w:rPr>
        <w:t>ical and technological approaches, IDM represents the future of disease management in vegetable crops.</w:t>
      </w:r>
    </w:p>
    <w:p w14:paraId="0000000A"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Principles of Integrated Disease Management</w:t>
      </w:r>
    </w:p>
    <w:p w14:paraId="0000000B"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Integrated Disease Management (IDM) is based on the philosophy that no single method is sufficient to sust</w:t>
      </w:r>
      <w:r>
        <w:rPr>
          <w:rFonts w:ascii="Times New Roman" w:eastAsia="Times New Roman" w:hAnsi="Times New Roman" w:cs="Times New Roman"/>
          <w:sz w:val="24"/>
          <w:szCs w:val="24"/>
        </w:rPr>
        <w:t>ainably manage plant diseases in the long run. Instead, it emphasizes a combination of compatible strategies to achieve effective, economical, and environmentally sound control. Unlike conventional chemical-based approaches, IDM integrates multiple tools t</w:t>
      </w:r>
      <w:r>
        <w:rPr>
          <w:rFonts w:ascii="Times New Roman" w:eastAsia="Times New Roman" w:hAnsi="Times New Roman" w:cs="Times New Roman"/>
          <w:sz w:val="24"/>
          <w:szCs w:val="24"/>
        </w:rPr>
        <w:t>hat work synergistically to reduce disease incidence and severity while maintaining ecological balance. Its core principles include:</w:t>
      </w:r>
    </w:p>
    <w:p w14:paraId="0000000C"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2.1 Prevention over cure</w:t>
      </w:r>
    </w:p>
    <w:p w14:paraId="0000000D"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foundation of IDM lies in reducing the primary inoculum and preventing disease outbreaks befor</w:t>
      </w:r>
      <w:r>
        <w:rPr>
          <w:rFonts w:ascii="Times New Roman" w:eastAsia="Times New Roman" w:hAnsi="Times New Roman" w:cs="Times New Roman"/>
          <w:sz w:val="24"/>
          <w:szCs w:val="24"/>
        </w:rPr>
        <w:t>e they occur, as prevention is more cost-effective and sustainable than curative treatments. Practices such as sanitation (removing infected residues, sterilizing tools, and using disease-free seed/planting material), crop rotation with non-host crops, and</w:t>
      </w:r>
      <w:r>
        <w:rPr>
          <w:rFonts w:ascii="Times New Roman" w:eastAsia="Times New Roman" w:hAnsi="Times New Roman" w:cs="Times New Roman"/>
          <w:sz w:val="24"/>
          <w:szCs w:val="24"/>
        </w:rPr>
        <w:t xml:space="preserve"> adoption of resistant varieties play crucial roles in lowering pathogen pressure (Cook, 2000). For instance, rotating cucurbits with cereals effectively reduces soil populations of </w:t>
      </w:r>
      <w:r>
        <w:rPr>
          <w:rFonts w:ascii="Times New Roman" w:eastAsia="Times New Roman" w:hAnsi="Times New Roman" w:cs="Times New Roman"/>
          <w:i/>
          <w:sz w:val="24"/>
          <w:szCs w:val="24"/>
        </w:rPr>
        <w:t xml:space="preserve">Fusarium </w:t>
      </w:r>
      <w:proofErr w:type="spellStart"/>
      <w:r>
        <w:rPr>
          <w:rFonts w:ascii="Times New Roman" w:eastAsia="Times New Roman" w:hAnsi="Times New Roman" w:cs="Times New Roman"/>
          <w:i/>
          <w:sz w:val="24"/>
          <w:szCs w:val="24"/>
        </w:rPr>
        <w:t>oxysporum</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Pythium spp.</w:t>
      </w:r>
      <w:r>
        <w:rPr>
          <w:rFonts w:ascii="Times New Roman" w:eastAsia="Times New Roman" w:hAnsi="Times New Roman" w:cs="Times New Roman"/>
          <w:sz w:val="24"/>
          <w:szCs w:val="24"/>
        </w:rPr>
        <w:t xml:space="preserve"> Similarly, using virus-free seedlings </w:t>
      </w:r>
      <w:r>
        <w:rPr>
          <w:rFonts w:ascii="Times New Roman" w:eastAsia="Times New Roman" w:hAnsi="Times New Roman" w:cs="Times New Roman"/>
          <w:sz w:val="24"/>
          <w:szCs w:val="24"/>
        </w:rPr>
        <w:t>in tomato and chilli nurseries prevents the early establishment of devastating viral epidemics (Sharma et al., 2020).</w:t>
      </w:r>
    </w:p>
    <w:p w14:paraId="0000000E"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Integration of tactics</w:t>
      </w:r>
    </w:p>
    <w:p w14:paraId="0000000F"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defining feature of IDM is the strategic combination of diverse management tactics to avoid over-reliance on </w:t>
      </w:r>
      <w:r>
        <w:rPr>
          <w:rFonts w:ascii="Times New Roman" w:eastAsia="Times New Roman" w:hAnsi="Times New Roman" w:cs="Times New Roman"/>
          <w:sz w:val="24"/>
          <w:szCs w:val="24"/>
        </w:rPr>
        <w:t xml:space="preserve">a single method and to achieve synergistic control. For example, cultural practices such as soil solarization can be combined with biological control agents like </w:t>
      </w:r>
      <w:r>
        <w:rPr>
          <w:rFonts w:ascii="Times New Roman" w:eastAsia="Times New Roman" w:hAnsi="Times New Roman" w:cs="Times New Roman"/>
          <w:i/>
          <w:sz w:val="24"/>
          <w:szCs w:val="24"/>
        </w:rPr>
        <w:t>Trichoderma</w:t>
      </w:r>
      <w:r>
        <w:rPr>
          <w:rFonts w:ascii="Times New Roman" w:eastAsia="Times New Roman" w:hAnsi="Times New Roman" w:cs="Times New Roman"/>
          <w:sz w:val="24"/>
          <w:szCs w:val="24"/>
        </w:rPr>
        <w:t xml:space="preserve"> spp., while selective fungicides can be used in rotation to manage epidemics. This</w:t>
      </w:r>
      <w:r>
        <w:rPr>
          <w:rFonts w:ascii="Times New Roman" w:eastAsia="Times New Roman" w:hAnsi="Times New Roman" w:cs="Times New Roman"/>
          <w:sz w:val="24"/>
          <w:szCs w:val="24"/>
        </w:rPr>
        <w:t xml:space="preserve"> approach not only improves control efficacy but also delays the development of pathogen resistance (Popp et al., 2013). An integrated strategy against tomato wilt might involve resistant cultivars, soil amendments, and biological antagonists, supplemented</w:t>
      </w:r>
      <w:r>
        <w:rPr>
          <w:rFonts w:ascii="Times New Roman" w:eastAsia="Times New Roman" w:hAnsi="Times New Roman" w:cs="Times New Roman"/>
          <w:sz w:val="24"/>
          <w:szCs w:val="24"/>
        </w:rPr>
        <w:t xml:space="preserve"> with fungicides only when disease pressure crosses threshold levels.</w:t>
      </w:r>
    </w:p>
    <w:p w14:paraId="00000010"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Sustainability and safety</w:t>
      </w:r>
    </w:p>
    <w:p w14:paraId="00000011"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IDM aims to safeguard the environment, human health, and soil biodiversity while managing crop diseases. Overuse of chemicals can disrupt soil microbial com</w:t>
      </w:r>
      <w:r>
        <w:rPr>
          <w:rFonts w:ascii="Times New Roman" w:eastAsia="Times New Roman" w:hAnsi="Times New Roman" w:cs="Times New Roman"/>
          <w:sz w:val="24"/>
          <w:szCs w:val="24"/>
        </w:rPr>
        <w:t>munities, contaminate water sources, and pose health risks to consumers through pesticide residues. By integrating biological and ecological approaches, IDM minimizes these risks while ensuring long-term soil fertility and ecosystem balance (Sharma et al.,</w:t>
      </w:r>
      <w:r>
        <w:rPr>
          <w:rFonts w:ascii="Times New Roman" w:eastAsia="Times New Roman" w:hAnsi="Times New Roman" w:cs="Times New Roman"/>
          <w:sz w:val="24"/>
          <w:szCs w:val="24"/>
        </w:rPr>
        <w:t xml:space="preserve"> 2016). For example, the application of </w:t>
      </w:r>
      <w:r>
        <w:rPr>
          <w:rFonts w:ascii="Times New Roman" w:eastAsia="Times New Roman" w:hAnsi="Times New Roman" w:cs="Times New Roman"/>
          <w:i/>
          <w:sz w:val="24"/>
          <w:szCs w:val="24"/>
        </w:rPr>
        <w:t>Pseudomonas fluorescens</w:t>
      </w:r>
      <w:r>
        <w:rPr>
          <w:rFonts w:ascii="Times New Roman" w:eastAsia="Times New Roman" w:hAnsi="Times New Roman" w:cs="Times New Roman"/>
          <w:sz w:val="24"/>
          <w:szCs w:val="24"/>
        </w:rPr>
        <w:t xml:space="preserve"> not only suppresses root pathogens but also improves plant </w:t>
      </w:r>
      <w:proofErr w:type="spellStart"/>
      <w:r>
        <w:rPr>
          <w:rFonts w:ascii="Times New Roman" w:eastAsia="Times New Roman" w:hAnsi="Times New Roman" w:cs="Times New Roman"/>
          <w:sz w:val="24"/>
          <w:szCs w:val="24"/>
        </w:rPr>
        <w:t>vigor</w:t>
      </w:r>
      <w:proofErr w:type="spellEnd"/>
      <w:r>
        <w:rPr>
          <w:rFonts w:ascii="Times New Roman" w:eastAsia="Times New Roman" w:hAnsi="Times New Roman" w:cs="Times New Roman"/>
          <w:sz w:val="24"/>
          <w:szCs w:val="24"/>
        </w:rPr>
        <w:t xml:space="preserve"> without harmful residues. This principle aligns IDM with the broader goals of sustainable agriculture and the One Health framew</w:t>
      </w:r>
      <w:r>
        <w:rPr>
          <w:rFonts w:ascii="Times New Roman" w:eastAsia="Times New Roman" w:hAnsi="Times New Roman" w:cs="Times New Roman"/>
          <w:sz w:val="24"/>
          <w:szCs w:val="24"/>
        </w:rPr>
        <w:t>ork.</w:t>
      </w:r>
    </w:p>
    <w:p w14:paraId="00000012"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 Adaptability</w:t>
      </w:r>
    </w:p>
    <w:p w14:paraId="00000013"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key strength of IDM is its flexibility and context-specific nature. Disease management strategies must be tailored to crop species, local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-ecological conditions, pathogen diversity, and socio-economic considerations. For example</w:t>
      </w:r>
      <w:r>
        <w:rPr>
          <w:rFonts w:ascii="Times New Roman" w:eastAsia="Times New Roman" w:hAnsi="Times New Roman" w:cs="Times New Roman"/>
          <w:sz w:val="24"/>
          <w:szCs w:val="24"/>
        </w:rPr>
        <w:t xml:space="preserve">, late blight management in potato requires </w:t>
      </w:r>
      <w:r>
        <w:rPr>
          <w:rFonts w:ascii="Times New Roman" w:eastAsia="Times New Roman" w:hAnsi="Times New Roman" w:cs="Times New Roman"/>
          <w:sz w:val="24"/>
          <w:szCs w:val="24"/>
        </w:rPr>
        <w:lastRenderedPageBreak/>
        <w:t>forecasting models and fungicide scheduling in temperate regions, while in tropical regions emphasis may shift toward resistant cultivars and cultural practices such as wider spacing and mulching (</w:t>
      </w:r>
      <w:proofErr w:type="spellStart"/>
      <w:r>
        <w:rPr>
          <w:rFonts w:ascii="Times New Roman" w:eastAsia="Times New Roman" w:hAnsi="Times New Roman" w:cs="Times New Roman"/>
          <w:sz w:val="24"/>
          <w:szCs w:val="24"/>
        </w:rPr>
        <w:t>Haverkort</w:t>
      </w:r>
      <w:proofErr w:type="spellEnd"/>
      <w:r>
        <w:rPr>
          <w:rFonts w:ascii="Times New Roman" w:eastAsia="Times New Roman" w:hAnsi="Times New Roman" w:cs="Times New Roman"/>
          <w:sz w:val="24"/>
          <w:szCs w:val="24"/>
        </w:rPr>
        <w:t xml:space="preserve"> et al</w:t>
      </w:r>
      <w:r>
        <w:rPr>
          <w:rFonts w:ascii="Times New Roman" w:eastAsia="Times New Roman" w:hAnsi="Times New Roman" w:cs="Times New Roman"/>
          <w:sz w:val="24"/>
          <w:szCs w:val="24"/>
        </w:rPr>
        <w:t>., 2016). Similarly, IDM modules for smallholder farmers in developing countries prioritize low-cost measures such as crop rotation and bio-agents, whereas high-tech farms may integrate drones, sensors, and precision pesticide application. Adaptability ens</w:t>
      </w:r>
      <w:r>
        <w:rPr>
          <w:rFonts w:ascii="Times New Roman" w:eastAsia="Times New Roman" w:hAnsi="Times New Roman" w:cs="Times New Roman"/>
          <w:sz w:val="24"/>
          <w:szCs w:val="24"/>
        </w:rPr>
        <w:t>ures that IDM remains relevant across diverse production systems and evolving challenges such as climate change.</w:t>
      </w:r>
    </w:p>
    <w:p w14:paraId="00000014"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Cultural Practices in IDM</w:t>
      </w:r>
    </w:p>
    <w:p w14:paraId="00000015"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Cultural management represents the first line of </w:t>
      </w:r>
      <w:proofErr w:type="spellStart"/>
      <w:r>
        <w:rPr>
          <w:rFonts w:ascii="Times New Roman" w:eastAsia="Times New Roman" w:hAnsi="Times New Roman" w:cs="Times New Roman"/>
          <w:sz w:val="24"/>
          <w:szCs w:val="24"/>
        </w:rPr>
        <w:t>defense</w:t>
      </w:r>
      <w:proofErr w:type="spellEnd"/>
      <w:r>
        <w:rPr>
          <w:rFonts w:ascii="Times New Roman" w:eastAsia="Times New Roman" w:hAnsi="Times New Roman" w:cs="Times New Roman"/>
          <w:sz w:val="24"/>
          <w:szCs w:val="24"/>
        </w:rPr>
        <w:t xml:space="preserve"> in Integrated Disease Management (IDM). It involves manip</w:t>
      </w:r>
      <w:r>
        <w:rPr>
          <w:rFonts w:ascii="Times New Roman" w:eastAsia="Times New Roman" w:hAnsi="Times New Roman" w:cs="Times New Roman"/>
          <w:sz w:val="24"/>
          <w:szCs w:val="24"/>
        </w:rPr>
        <w:t>ulating the cropping environment and practices to reduce the survival, multiplication, and spread of pathogens. These strategies are cost-effective, environmentally friendly, and widely adaptable across different vegetable production systems. When properly</w:t>
      </w:r>
      <w:r>
        <w:rPr>
          <w:rFonts w:ascii="Times New Roman" w:eastAsia="Times New Roman" w:hAnsi="Times New Roman" w:cs="Times New Roman"/>
          <w:sz w:val="24"/>
          <w:szCs w:val="24"/>
        </w:rPr>
        <w:t xml:space="preserve"> integrated, they not only reduce disease pressure but also improve soil health and overall crop resilience. Key cultural practices include:</w:t>
      </w:r>
    </w:p>
    <w:p w14:paraId="00000016"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Crop Rotation</w:t>
      </w:r>
    </w:p>
    <w:p w14:paraId="00000017"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Crop rotation is a time-tested practice where susceptible vegetable crops are alternated with non</w:t>
      </w:r>
      <w:r>
        <w:rPr>
          <w:rFonts w:ascii="Times New Roman" w:eastAsia="Times New Roman" w:hAnsi="Times New Roman" w:cs="Times New Roman"/>
          <w:sz w:val="24"/>
          <w:szCs w:val="24"/>
        </w:rPr>
        <w:t xml:space="preserve">-host crops to break the life cycle of pathogens. For instance, rotating solanaceous vegetables (tomato, brinjal, chili) with cereals or legumes significantly reduces the incidence of </w:t>
      </w:r>
      <w:r>
        <w:rPr>
          <w:rFonts w:ascii="Times New Roman" w:eastAsia="Times New Roman" w:hAnsi="Times New Roman" w:cs="Times New Roman"/>
          <w:i/>
          <w:sz w:val="24"/>
          <w:szCs w:val="24"/>
        </w:rPr>
        <w:t xml:space="preserve">Fusarium </w:t>
      </w:r>
      <w:proofErr w:type="spellStart"/>
      <w:r>
        <w:rPr>
          <w:rFonts w:ascii="Times New Roman" w:eastAsia="Times New Roman" w:hAnsi="Times New Roman" w:cs="Times New Roman"/>
          <w:i/>
          <w:sz w:val="24"/>
          <w:szCs w:val="24"/>
        </w:rPr>
        <w:t>oxysporum</w:t>
      </w:r>
      <w:proofErr w:type="spellEnd"/>
      <w:r>
        <w:rPr>
          <w:rFonts w:ascii="Times New Roman" w:eastAsia="Times New Roman" w:hAnsi="Times New Roman" w:cs="Times New Roman"/>
          <w:sz w:val="24"/>
          <w:szCs w:val="24"/>
        </w:rPr>
        <w:t xml:space="preserve"> f. sp. </w:t>
      </w:r>
      <w:proofErr w:type="spellStart"/>
      <w:r>
        <w:rPr>
          <w:rFonts w:ascii="Times New Roman" w:eastAsia="Times New Roman" w:hAnsi="Times New Roman" w:cs="Times New Roman"/>
          <w:i/>
          <w:sz w:val="24"/>
          <w:szCs w:val="24"/>
        </w:rPr>
        <w:t>lycopersici</w:t>
      </w:r>
      <w:proofErr w:type="spellEnd"/>
      <w:r>
        <w:rPr>
          <w:rFonts w:ascii="Times New Roman" w:eastAsia="Times New Roman" w:hAnsi="Times New Roman" w:cs="Times New Roman"/>
          <w:sz w:val="24"/>
          <w:szCs w:val="24"/>
        </w:rPr>
        <w:t xml:space="preserve"> (causing tomato wilt) and </w:t>
      </w:r>
      <w:proofErr w:type="spellStart"/>
      <w:r>
        <w:rPr>
          <w:rFonts w:ascii="Times New Roman" w:eastAsia="Times New Roman" w:hAnsi="Times New Roman" w:cs="Times New Roman"/>
          <w:i/>
          <w:sz w:val="24"/>
          <w:szCs w:val="24"/>
        </w:rPr>
        <w:t>Ralstoni</w:t>
      </w:r>
      <w:r>
        <w:rPr>
          <w:rFonts w:ascii="Times New Roman" w:eastAsia="Times New Roman" w:hAnsi="Times New Roman" w:cs="Times New Roman"/>
          <w:i/>
          <w:sz w:val="24"/>
          <w:szCs w:val="24"/>
        </w:rPr>
        <w:t>a</w:t>
      </w:r>
      <w:proofErr w:type="spellEnd"/>
      <w:r>
        <w:rPr>
          <w:rFonts w:ascii="Times New Roman" w:eastAsia="Times New Roman" w:hAnsi="Times New Roman" w:cs="Times New Roman"/>
          <w:i/>
          <w:sz w:val="24"/>
          <w:szCs w:val="24"/>
        </w:rPr>
        <w:t xml:space="preserve"> solanacearum</w:t>
      </w:r>
      <w:r>
        <w:rPr>
          <w:rFonts w:ascii="Times New Roman" w:eastAsia="Times New Roman" w:hAnsi="Times New Roman" w:cs="Times New Roman"/>
          <w:sz w:val="24"/>
          <w:szCs w:val="24"/>
        </w:rPr>
        <w:t xml:space="preserve"> (bacterial wilt) (Maharshi et al., 2021). Similarly, alternating cucurbits with crucifers can reduce soil inoculum of </w:t>
      </w:r>
      <w:r>
        <w:rPr>
          <w:rFonts w:ascii="Times New Roman" w:eastAsia="Times New Roman" w:hAnsi="Times New Roman" w:cs="Times New Roman"/>
          <w:i/>
          <w:sz w:val="24"/>
          <w:szCs w:val="24"/>
        </w:rPr>
        <w:t>Pythium</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Rhizoctonia</w:t>
      </w:r>
      <w:r>
        <w:rPr>
          <w:rFonts w:ascii="Times New Roman" w:eastAsia="Times New Roman" w:hAnsi="Times New Roman" w:cs="Times New Roman"/>
          <w:sz w:val="24"/>
          <w:szCs w:val="24"/>
        </w:rPr>
        <w:t xml:space="preserve"> spp. (</w:t>
      </w:r>
      <w:proofErr w:type="spellStart"/>
      <w:r>
        <w:rPr>
          <w:rFonts w:ascii="Times New Roman" w:eastAsia="Times New Roman" w:hAnsi="Times New Roman" w:cs="Times New Roman"/>
          <w:sz w:val="24"/>
          <w:szCs w:val="24"/>
        </w:rPr>
        <w:t>Bubici</w:t>
      </w:r>
      <w:proofErr w:type="spellEnd"/>
      <w:r>
        <w:rPr>
          <w:rFonts w:ascii="Times New Roman" w:eastAsia="Times New Roman" w:hAnsi="Times New Roman" w:cs="Times New Roman"/>
          <w:sz w:val="24"/>
          <w:szCs w:val="24"/>
        </w:rPr>
        <w:t xml:space="preserve"> et al., 2019). Long-term rotational planning is particularly effective for managing so</w:t>
      </w:r>
      <w:r>
        <w:rPr>
          <w:rFonts w:ascii="Times New Roman" w:eastAsia="Times New Roman" w:hAnsi="Times New Roman" w:cs="Times New Roman"/>
          <w:sz w:val="24"/>
          <w:szCs w:val="24"/>
        </w:rPr>
        <w:t>il-borne diseases, as many pathogens have narrow host ranges.</w:t>
      </w:r>
    </w:p>
    <w:p w14:paraId="00000018"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Sanitation</w:t>
      </w:r>
    </w:p>
    <w:p w14:paraId="00000019"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Sanitation refers to the removal and destruction of infected crop residues, volunteer plants, and weeds that may serve as alternate hosts or pathogen reservoirs. Proper disposal o</w:t>
      </w:r>
      <w:r>
        <w:rPr>
          <w:rFonts w:ascii="Times New Roman" w:eastAsia="Times New Roman" w:hAnsi="Times New Roman" w:cs="Times New Roman"/>
          <w:sz w:val="24"/>
          <w:szCs w:val="24"/>
        </w:rPr>
        <w:t xml:space="preserve">f diseased plant debris reduces the primary inoculum of pathogens like </w:t>
      </w:r>
      <w:r>
        <w:rPr>
          <w:rFonts w:ascii="Times New Roman" w:eastAsia="Times New Roman" w:hAnsi="Times New Roman" w:cs="Times New Roman"/>
          <w:i/>
          <w:sz w:val="24"/>
          <w:szCs w:val="24"/>
        </w:rPr>
        <w:t xml:space="preserve">Alternaria </w:t>
      </w:r>
      <w:proofErr w:type="spellStart"/>
      <w:r>
        <w:rPr>
          <w:rFonts w:ascii="Times New Roman" w:eastAsia="Times New Roman" w:hAnsi="Times New Roman" w:cs="Times New Roman"/>
          <w:i/>
          <w:sz w:val="24"/>
          <w:szCs w:val="24"/>
        </w:rPr>
        <w:t>solani</w:t>
      </w:r>
      <w:proofErr w:type="spellEnd"/>
      <w:r>
        <w:rPr>
          <w:rFonts w:ascii="Times New Roman" w:eastAsia="Times New Roman" w:hAnsi="Times New Roman" w:cs="Times New Roman"/>
          <w:sz w:val="24"/>
          <w:szCs w:val="24"/>
        </w:rPr>
        <w:t xml:space="preserve"> (early blight of tomato) and </w:t>
      </w:r>
      <w:proofErr w:type="spellStart"/>
      <w:r>
        <w:rPr>
          <w:rFonts w:ascii="Times New Roman" w:eastAsia="Times New Roman" w:hAnsi="Times New Roman" w:cs="Times New Roman"/>
          <w:i/>
          <w:sz w:val="24"/>
          <w:szCs w:val="24"/>
        </w:rPr>
        <w:t>Sclerotinia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sclerotiorum</w:t>
      </w:r>
      <w:proofErr w:type="spellEnd"/>
      <w:r>
        <w:rPr>
          <w:rFonts w:ascii="Times New Roman" w:eastAsia="Times New Roman" w:hAnsi="Times New Roman" w:cs="Times New Roman"/>
          <w:sz w:val="24"/>
          <w:szCs w:val="24"/>
        </w:rPr>
        <w:t xml:space="preserve"> (white </w:t>
      </w:r>
      <w:proofErr w:type="spellStart"/>
      <w:r>
        <w:rPr>
          <w:rFonts w:ascii="Times New Roman" w:eastAsia="Times New Roman" w:hAnsi="Times New Roman" w:cs="Times New Roman"/>
          <w:sz w:val="24"/>
          <w:szCs w:val="24"/>
        </w:rPr>
        <w:t>mold</w:t>
      </w:r>
      <w:proofErr w:type="spellEnd"/>
      <w:r>
        <w:rPr>
          <w:rFonts w:ascii="Times New Roman" w:eastAsia="Times New Roman" w:hAnsi="Times New Roman" w:cs="Times New Roman"/>
          <w:sz w:val="24"/>
          <w:szCs w:val="24"/>
        </w:rPr>
        <w:t xml:space="preserve"> of beans and cucurbits) (Sharma et al., 2016). Disinfecting tools, stakes, and greenhouse equipment a</w:t>
      </w:r>
      <w:r>
        <w:rPr>
          <w:rFonts w:ascii="Times New Roman" w:eastAsia="Times New Roman" w:hAnsi="Times New Roman" w:cs="Times New Roman"/>
          <w:sz w:val="24"/>
          <w:szCs w:val="24"/>
        </w:rPr>
        <w:t>lso helps prevent pathogen spread. For example, cleaning irrigation pipes and nursery trays minimizes the spread of bacterial spot and damping-off pathogens in vegetable nurseries (Ignatov et al., 2020).</w:t>
      </w:r>
    </w:p>
    <w:p w14:paraId="0000001A"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3.3 Soil Solarization</w:t>
      </w:r>
    </w:p>
    <w:p w14:paraId="0000001B"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Soil solarization is an eco-fr</w:t>
      </w:r>
      <w:r>
        <w:rPr>
          <w:rFonts w:ascii="Times New Roman" w:eastAsia="Times New Roman" w:hAnsi="Times New Roman" w:cs="Times New Roman"/>
          <w:sz w:val="24"/>
          <w:szCs w:val="24"/>
        </w:rPr>
        <w:t>iendly technique where moist soil is covered with transparent polyethylene sheets during peak summer months. The trapped solar radiation increases soil temperature (up to 45–55°C at 5–15 cm depth), which inactivates soil-borne pathogens, weed seeds, and ne</w:t>
      </w:r>
      <w:r>
        <w:rPr>
          <w:rFonts w:ascii="Times New Roman" w:eastAsia="Times New Roman" w:hAnsi="Times New Roman" w:cs="Times New Roman"/>
          <w:sz w:val="24"/>
          <w:szCs w:val="24"/>
        </w:rPr>
        <w:t xml:space="preserve">matodes (Katan, 2017). This practice has been effective in reducing </w:t>
      </w:r>
      <w:proofErr w:type="spellStart"/>
      <w:r>
        <w:rPr>
          <w:rFonts w:ascii="Times New Roman" w:eastAsia="Times New Roman" w:hAnsi="Times New Roman" w:cs="Times New Roman"/>
          <w:i/>
          <w:sz w:val="24"/>
          <w:szCs w:val="24"/>
        </w:rPr>
        <w:t>Rhizoctonia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solani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Fusarium</w:t>
      </w:r>
      <w:r>
        <w:rPr>
          <w:rFonts w:ascii="Times New Roman" w:eastAsia="Times New Roman" w:hAnsi="Times New Roman" w:cs="Times New Roman"/>
          <w:sz w:val="24"/>
          <w:szCs w:val="24"/>
        </w:rPr>
        <w:t xml:space="preserve"> spp., and </w:t>
      </w:r>
      <w:r>
        <w:rPr>
          <w:rFonts w:ascii="Times New Roman" w:eastAsia="Times New Roman" w:hAnsi="Times New Roman" w:cs="Times New Roman"/>
          <w:i/>
          <w:sz w:val="24"/>
          <w:szCs w:val="24"/>
        </w:rPr>
        <w:t xml:space="preserve">Verticillium </w:t>
      </w:r>
      <w:proofErr w:type="spellStart"/>
      <w:r>
        <w:rPr>
          <w:rFonts w:ascii="Times New Roman" w:eastAsia="Times New Roman" w:hAnsi="Times New Roman" w:cs="Times New Roman"/>
          <w:i/>
          <w:sz w:val="24"/>
          <w:szCs w:val="24"/>
        </w:rPr>
        <w:t>dahliae</w:t>
      </w:r>
      <w:proofErr w:type="spellEnd"/>
      <w:r>
        <w:rPr>
          <w:rFonts w:ascii="Times New Roman" w:eastAsia="Times New Roman" w:hAnsi="Times New Roman" w:cs="Times New Roman"/>
          <w:sz w:val="24"/>
          <w:szCs w:val="24"/>
        </w:rPr>
        <w:t xml:space="preserve"> populations in tomato and eggplant fields. Additionally, solarization enhances soil microbial activity by </w:t>
      </w:r>
      <w:proofErr w:type="spellStart"/>
      <w:r>
        <w:rPr>
          <w:rFonts w:ascii="Times New Roman" w:eastAsia="Times New Roman" w:hAnsi="Times New Roman" w:cs="Times New Roman"/>
          <w:sz w:val="24"/>
          <w:szCs w:val="24"/>
        </w:rPr>
        <w:t>favoring</w:t>
      </w:r>
      <w:proofErr w:type="spellEnd"/>
      <w:r>
        <w:rPr>
          <w:rFonts w:ascii="Times New Roman" w:eastAsia="Times New Roman" w:hAnsi="Times New Roman" w:cs="Times New Roman"/>
          <w:sz w:val="24"/>
          <w:szCs w:val="24"/>
        </w:rPr>
        <w:t xml:space="preserve"> beneficial thermotolerant microorganisms, contributing to long-term soil health.</w:t>
      </w:r>
    </w:p>
    <w:p w14:paraId="0000001C"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 Irrigation Management</w:t>
      </w:r>
    </w:p>
    <w:p w14:paraId="0000001D"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Water management strongly influences disease epidemiology in vegetable crops. Overhead irrigation often creates leaf wetness periods </w:t>
      </w:r>
      <w:proofErr w:type="spellStart"/>
      <w:r>
        <w:rPr>
          <w:rFonts w:ascii="Times New Roman" w:eastAsia="Times New Roman" w:hAnsi="Times New Roman" w:cs="Times New Roman"/>
          <w:sz w:val="24"/>
          <w:szCs w:val="24"/>
        </w:rPr>
        <w:t>favorable</w:t>
      </w:r>
      <w:proofErr w:type="spellEnd"/>
      <w:r>
        <w:rPr>
          <w:rFonts w:ascii="Times New Roman" w:eastAsia="Times New Roman" w:hAnsi="Times New Roman" w:cs="Times New Roman"/>
          <w:sz w:val="24"/>
          <w:szCs w:val="24"/>
        </w:rPr>
        <w:t xml:space="preserve"> for f</w:t>
      </w:r>
      <w:r>
        <w:rPr>
          <w:rFonts w:ascii="Times New Roman" w:eastAsia="Times New Roman" w:hAnsi="Times New Roman" w:cs="Times New Roman"/>
          <w:sz w:val="24"/>
          <w:szCs w:val="24"/>
        </w:rPr>
        <w:t xml:space="preserve">oliar pathogens such as </w:t>
      </w:r>
      <w:r>
        <w:rPr>
          <w:rFonts w:ascii="Times New Roman" w:eastAsia="Times New Roman" w:hAnsi="Times New Roman" w:cs="Times New Roman"/>
          <w:i/>
          <w:sz w:val="24"/>
          <w:szCs w:val="24"/>
        </w:rPr>
        <w:t>Phytophthora infestans</w:t>
      </w:r>
      <w:r>
        <w:rPr>
          <w:rFonts w:ascii="Times New Roman" w:eastAsia="Times New Roman" w:hAnsi="Times New Roman" w:cs="Times New Roman"/>
          <w:sz w:val="24"/>
          <w:szCs w:val="24"/>
        </w:rPr>
        <w:t xml:space="preserve"> (late blight) and </w:t>
      </w:r>
      <w:r>
        <w:rPr>
          <w:rFonts w:ascii="Times New Roman" w:eastAsia="Times New Roman" w:hAnsi="Times New Roman" w:cs="Times New Roman"/>
          <w:i/>
          <w:sz w:val="24"/>
          <w:szCs w:val="24"/>
        </w:rPr>
        <w:t>Downy mildews</w:t>
      </w:r>
      <w:r>
        <w:rPr>
          <w:rFonts w:ascii="Times New Roman" w:eastAsia="Times New Roman" w:hAnsi="Times New Roman" w:cs="Times New Roman"/>
          <w:sz w:val="24"/>
          <w:szCs w:val="24"/>
        </w:rPr>
        <w:t>. In contrast, drip irrigation reduces leaf wetness, minimizes splash dispersal of spores, and improves water-use efficiency (Sharma et al., 2020). Furthermore, avoiding excessiv</w:t>
      </w:r>
      <w:r>
        <w:rPr>
          <w:rFonts w:ascii="Times New Roman" w:eastAsia="Times New Roman" w:hAnsi="Times New Roman" w:cs="Times New Roman"/>
          <w:sz w:val="24"/>
          <w:szCs w:val="24"/>
        </w:rPr>
        <w:t xml:space="preserve">e irrigation prevents conditions conducive to root rot and bacterial wilt. In greenhouse systems, maintaining optimal humidity (below 85%) can significantly reduce outbreaks of </w:t>
      </w:r>
      <w:r>
        <w:rPr>
          <w:rFonts w:ascii="Times New Roman" w:eastAsia="Times New Roman" w:hAnsi="Times New Roman" w:cs="Times New Roman"/>
          <w:i/>
          <w:sz w:val="24"/>
          <w:szCs w:val="24"/>
        </w:rPr>
        <w:t xml:space="preserve">Botrytis </w:t>
      </w:r>
      <w:proofErr w:type="spellStart"/>
      <w:r>
        <w:rPr>
          <w:rFonts w:ascii="Times New Roman" w:eastAsia="Times New Roman" w:hAnsi="Times New Roman" w:cs="Times New Roman"/>
          <w:i/>
          <w:sz w:val="24"/>
          <w:szCs w:val="24"/>
        </w:rPr>
        <w:t>cinerea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mold</w:t>
      </w:r>
      <w:proofErr w:type="spellEnd"/>
      <w:r>
        <w:rPr>
          <w:rFonts w:ascii="Times New Roman" w:eastAsia="Times New Roman" w:hAnsi="Times New Roman" w:cs="Times New Roman"/>
          <w:sz w:val="24"/>
          <w:szCs w:val="24"/>
        </w:rPr>
        <w:t>).</w:t>
      </w:r>
    </w:p>
    <w:p w14:paraId="0000001E"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 Nutrient Management</w:t>
      </w:r>
    </w:p>
    <w:p w14:paraId="0000001F"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Balanced fertilization en</w:t>
      </w:r>
      <w:r>
        <w:rPr>
          <w:rFonts w:ascii="Times New Roman" w:eastAsia="Times New Roman" w:hAnsi="Times New Roman" w:cs="Times New Roman"/>
          <w:sz w:val="24"/>
          <w:szCs w:val="24"/>
        </w:rPr>
        <w:t xml:space="preserve">hances plant </w:t>
      </w:r>
      <w:proofErr w:type="spellStart"/>
      <w:r>
        <w:rPr>
          <w:rFonts w:ascii="Times New Roman" w:eastAsia="Times New Roman" w:hAnsi="Times New Roman" w:cs="Times New Roman"/>
          <w:sz w:val="24"/>
          <w:szCs w:val="24"/>
        </w:rPr>
        <w:t>vigor</w:t>
      </w:r>
      <w:proofErr w:type="spellEnd"/>
      <w:r>
        <w:rPr>
          <w:rFonts w:ascii="Times New Roman" w:eastAsia="Times New Roman" w:hAnsi="Times New Roman" w:cs="Times New Roman"/>
          <w:sz w:val="24"/>
          <w:szCs w:val="24"/>
        </w:rPr>
        <w:t xml:space="preserve"> and immunity, making crops less susceptible to diseases. For example, adequate potassium improves resistance to foliar blights in tomato and potato, while calcium supplementation strengthens cell walls against pathogen ingress (Amtmann e</w:t>
      </w:r>
      <w:r>
        <w:rPr>
          <w:rFonts w:ascii="Times New Roman" w:eastAsia="Times New Roman" w:hAnsi="Times New Roman" w:cs="Times New Roman"/>
          <w:sz w:val="24"/>
          <w:szCs w:val="24"/>
        </w:rPr>
        <w:t>t al., 2008). Conversely, excessive nitrogen application increases canopy density and succulence, predisposing crops to foliar diseases such as downy mildew and early blight (</w:t>
      </w:r>
      <w:proofErr w:type="spellStart"/>
      <w:r>
        <w:rPr>
          <w:rFonts w:ascii="Times New Roman" w:eastAsia="Times New Roman" w:hAnsi="Times New Roman" w:cs="Times New Roman"/>
          <w:sz w:val="24"/>
          <w:szCs w:val="24"/>
        </w:rPr>
        <w:t>Datnoff</w:t>
      </w:r>
      <w:proofErr w:type="spellEnd"/>
      <w:r>
        <w:rPr>
          <w:rFonts w:ascii="Times New Roman" w:eastAsia="Times New Roman" w:hAnsi="Times New Roman" w:cs="Times New Roman"/>
          <w:sz w:val="24"/>
          <w:szCs w:val="24"/>
        </w:rPr>
        <w:t xml:space="preserve"> et al., 2007). Integrating organic amendments such as farmyard manure, co</w:t>
      </w:r>
      <w:r>
        <w:rPr>
          <w:rFonts w:ascii="Times New Roman" w:eastAsia="Times New Roman" w:hAnsi="Times New Roman" w:cs="Times New Roman"/>
          <w:sz w:val="24"/>
          <w:szCs w:val="24"/>
        </w:rPr>
        <w:t>mpost, and biofertilizers not only improves nutrient status but also supports beneficial microbes that suppress pathogens.</w:t>
      </w:r>
    </w:p>
    <w:p w14:paraId="00000020"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Host Resistance</w:t>
      </w:r>
    </w:p>
    <w:p w14:paraId="00000021"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Breeding resistant cultivars remains the most economical, environmentally friendly, and farmer-preferred approach </w:t>
      </w:r>
      <w:r>
        <w:rPr>
          <w:rFonts w:ascii="Times New Roman" w:eastAsia="Times New Roman" w:hAnsi="Times New Roman" w:cs="Times New Roman"/>
          <w:sz w:val="24"/>
          <w:szCs w:val="24"/>
        </w:rPr>
        <w:t>for managing diseases in vegetable crops. Unlike chemical control, which requires repeated applications and carries risks of resistance and environmental hazards, host resistance provides season-long protection with minimal input costs (Sharma et al., 2016</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Development and deployment of resistant cultivars have significantly reduced the impact of several major vegetable diseases worldwide.</w:t>
      </w:r>
    </w:p>
    <w:p w14:paraId="00000022"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Examples of Resistance Breeding in Vegetable Crops</w:t>
      </w:r>
    </w:p>
    <w:p w14:paraId="00000023" w14:textId="77777777" w:rsidR="00CC42A1" w:rsidRDefault="00391FE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Tomato resistance to Tomato Yellow Leaf Curl Virus (TYLCV):</w:t>
      </w:r>
      <w:r>
        <w:rPr>
          <w:rFonts w:ascii="Times New Roman" w:eastAsia="Times New Roman" w:hAnsi="Times New Roman" w:cs="Times New Roman"/>
          <w:sz w:val="24"/>
          <w:szCs w:val="24"/>
        </w:rPr>
        <w:t xml:space="preserve"> TYLCV is one of the most destructive viral diseases of tomato, transmitted by the whitefly (</w:t>
      </w:r>
      <w:proofErr w:type="spellStart"/>
      <w:r>
        <w:rPr>
          <w:rFonts w:ascii="Times New Roman" w:eastAsia="Times New Roman" w:hAnsi="Times New Roman" w:cs="Times New Roman"/>
          <w:i/>
          <w:sz w:val="24"/>
          <w:szCs w:val="24"/>
        </w:rPr>
        <w:t>Bemisia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tabaci</w:t>
      </w:r>
      <w:proofErr w:type="spellEnd"/>
      <w:r>
        <w:rPr>
          <w:rFonts w:ascii="Times New Roman" w:eastAsia="Times New Roman" w:hAnsi="Times New Roman" w:cs="Times New Roman"/>
          <w:sz w:val="24"/>
          <w:szCs w:val="24"/>
        </w:rPr>
        <w:t>). Conventional breeding for resistance was challenging due to limited resistance sources in cultivated tomato. However, marker-assisted selection (M</w:t>
      </w:r>
      <w:r>
        <w:rPr>
          <w:rFonts w:ascii="Times New Roman" w:eastAsia="Times New Roman" w:hAnsi="Times New Roman" w:cs="Times New Roman"/>
          <w:sz w:val="24"/>
          <w:szCs w:val="24"/>
        </w:rPr>
        <w:t>AS) enabled the introgression of resistance genes (</w:t>
      </w:r>
      <w:r>
        <w:rPr>
          <w:rFonts w:ascii="Times New Roman" w:eastAsia="Times New Roman" w:hAnsi="Times New Roman" w:cs="Times New Roman"/>
          <w:i/>
          <w:sz w:val="24"/>
          <w:szCs w:val="24"/>
        </w:rPr>
        <w:t>Ty-1</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Ty-2</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Ty-3</w:t>
      </w:r>
      <w:r>
        <w:rPr>
          <w:rFonts w:ascii="Times New Roman" w:eastAsia="Times New Roman" w:hAnsi="Times New Roman" w:cs="Times New Roman"/>
          <w:sz w:val="24"/>
          <w:szCs w:val="24"/>
        </w:rPr>
        <w:t xml:space="preserve">) from wild relatives such as </w:t>
      </w:r>
      <w:r>
        <w:rPr>
          <w:rFonts w:ascii="Times New Roman" w:eastAsia="Times New Roman" w:hAnsi="Times New Roman" w:cs="Times New Roman"/>
          <w:i/>
          <w:sz w:val="24"/>
          <w:szCs w:val="24"/>
        </w:rPr>
        <w:t xml:space="preserve">Solanum </w:t>
      </w:r>
      <w:proofErr w:type="spellStart"/>
      <w:r>
        <w:rPr>
          <w:rFonts w:ascii="Times New Roman" w:eastAsia="Times New Roman" w:hAnsi="Times New Roman" w:cs="Times New Roman"/>
          <w:i/>
          <w:sz w:val="24"/>
          <w:szCs w:val="24"/>
        </w:rPr>
        <w:t>chilense</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S. </w:t>
      </w:r>
      <w:proofErr w:type="spellStart"/>
      <w:r>
        <w:rPr>
          <w:rFonts w:ascii="Times New Roman" w:eastAsia="Times New Roman" w:hAnsi="Times New Roman" w:cs="Times New Roman"/>
          <w:i/>
          <w:sz w:val="24"/>
          <w:szCs w:val="24"/>
        </w:rPr>
        <w:t>habrochaites</w:t>
      </w:r>
      <w:proofErr w:type="spellEnd"/>
      <w:r>
        <w:rPr>
          <w:rFonts w:ascii="Times New Roman" w:eastAsia="Times New Roman" w:hAnsi="Times New Roman" w:cs="Times New Roman"/>
          <w:sz w:val="24"/>
          <w:szCs w:val="24"/>
        </w:rPr>
        <w:t xml:space="preserve"> into commercial tomato lines (</w:t>
      </w:r>
      <w:proofErr w:type="spellStart"/>
      <w:r>
        <w:rPr>
          <w:rFonts w:ascii="Times New Roman" w:eastAsia="Times New Roman" w:hAnsi="Times New Roman" w:cs="Times New Roman"/>
          <w:sz w:val="24"/>
          <w:szCs w:val="24"/>
        </w:rPr>
        <w:t>Vidavski</w:t>
      </w:r>
      <w:proofErr w:type="spellEnd"/>
      <w:r>
        <w:rPr>
          <w:rFonts w:ascii="Times New Roman" w:eastAsia="Times New Roman" w:hAnsi="Times New Roman" w:cs="Times New Roman"/>
          <w:sz w:val="24"/>
          <w:szCs w:val="24"/>
        </w:rPr>
        <w:t xml:space="preserve"> et al., 2008). These resistant varieties have significantly reduced yield losses in</w:t>
      </w:r>
      <w:r>
        <w:rPr>
          <w:rFonts w:ascii="Times New Roman" w:eastAsia="Times New Roman" w:hAnsi="Times New Roman" w:cs="Times New Roman"/>
          <w:sz w:val="24"/>
          <w:szCs w:val="24"/>
        </w:rPr>
        <w:t xml:space="preserve"> endemic regions.</w:t>
      </w:r>
    </w:p>
    <w:p w14:paraId="00000024" w14:textId="77777777" w:rsidR="00CC42A1" w:rsidRDefault="00391FE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Potato resistance to late blight (</w:t>
      </w:r>
      <w:r>
        <w:rPr>
          <w:rFonts w:ascii="Times New Roman" w:eastAsia="Times New Roman" w:hAnsi="Times New Roman" w:cs="Times New Roman"/>
          <w:b/>
          <w:i/>
          <w:sz w:val="24"/>
          <w:szCs w:val="24"/>
        </w:rPr>
        <w:t>Phytophthora infestans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Late blight is historically notorious for causing famines and remains the most devastating disease in potatoes. </w:t>
      </w:r>
      <w:proofErr w:type="spellStart"/>
      <w:r>
        <w:rPr>
          <w:rFonts w:ascii="Times New Roman" w:eastAsia="Times New Roman" w:hAnsi="Times New Roman" w:cs="Times New Roman"/>
          <w:sz w:val="24"/>
          <w:szCs w:val="24"/>
        </w:rPr>
        <w:t>Introgression</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i/>
          <w:sz w:val="24"/>
          <w:szCs w:val="24"/>
        </w:rPr>
        <w:t>Rpi</w:t>
      </w:r>
      <w:proofErr w:type="spellEnd"/>
      <w:r>
        <w:rPr>
          <w:rFonts w:ascii="Times New Roman" w:eastAsia="Times New Roman" w:hAnsi="Times New Roman" w:cs="Times New Roman"/>
          <w:sz w:val="24"/>
          <w:szCs w:val="24"/>
        </w:rPr>
        <w:t xml:space="preserve"> (resistance to </w:t>
      </w:r>
      <w:r>
        <w:rPr>
          <w:rFonts w:ascii="Times New Roman" w:eastAsia="Times New Roman" w:hAnsi="Times New Roman" w:cs="Times New Roman"/>
          <w:i/>
          <w:sz w:val="24"/>
          <w:szCs w:val="24"/>
        </w:rPr>
        <w:t>P. infestans</w:t>
      </w:r>
      <w:r>
        <w:rPr>
          <w:rFonts w:ascii="Times New Roman" w:eastAsia="Times New Roman" w:hAnsi="Times New Roman" w:cs="Times New Roman"/>
          <w:sz w:val="24"/>
          <w:szCs w:val="24"/>
        </w:rPr>
        <w:t xml:space="preserve">) genes from wild </w:t>
      </w:r>
      <w:r>
        <w:rPr>
          <w:rFonts w:ascii="Times New Roman" w:eastAsia="Times New Roman" w:hAnsi="Times New Roman" w:cs="Times New Roman"/>
          <w:i/>
          <w:sz w:val="24"/>
          <w:szCs w:val="24"/>
        </w:rPr>
        <w:t>S</w:t>
      </w:r>
      <w:r>
        <w:rPr>
          <w:rFonts w:ascii="Times New Roman" w:eastAsia="Times New Roman" w:hAnsi="Times New Roman" w:cs="Times New Roman"/>
          <w:i/>
          <w:sz w:val="24"/>
          <w:szCs w:val="24"/>
        </w:rPr>
        <w:t>olanum</w:t>
      </w:r>
      <w:r>
        <w:rPr>
          <w:rFonts w:ascii="Times New Roman" w:eastAsia="Times New Roman" w:hAnsi="Times New Roman" w:cs="Times New Roman"/>
          <w:sz w:val="24"/>
          <w:szCs w:val="24"/>
        </w:rPr>
        <w:t xml:space="preserve"> species into cultivated potato has provided durable resistance (</w:t>
      </w:r>
      <w:proofErr w:type="spellStart"/>
      <w:r>
        <w:rPr>
          <w:rFonts w:ascii="Times New Roman" w:eastAsia="Times New Roman" w:hAnsi="Times New Roman" w:cs="Times New Roman"/>
          <w:sz w:val="24"/>
          <w:szCs w:val="24"/>
        </w:rPr>
        <w:t>Haverkort</w:t>
      </w:r>
      <w:proofErr w:type="spellEnd"/>
      <w:r>
        <w:rPr>
          <w:rFonts w:ascii="Times New Roman" w:eastAsia="Times New Roman" w:hAnsi="Times New Roman" w:cs="Times New Roman"/>
          <w:sz w:val="24"/>
          <w:szCs w:val="24"/>
        </w:rPr>
        <w:t xml:space="preserve"> et al., 2016). For example, </w:t>
      </w:r>
      <w:r>
        <w:rPr>
          <w:rFonts w:ascii="Times New Roman" w:eastAsia="Times New Roman" w:hAnsi="Times New Roman" w:cs="Times New Roman"/>
          <w:i/>
          <w:sz w:val="24"/>
          <w:szCs w:val="24"/>
        </w:rPr>
        <w:t>Rpi-blb1</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Rpi-blb2</w:t>
      </w:r>
      <w:r>
        <w:rPr>
          <w:rFonts w:ascii="Times New Roman" w:eastAsia="Times New Roman" w:hAnsi="Times New Roman" w:cs="Times New Roman"/>
          <w:sz w:val="24"/>
          <w:szCs w:val="24"/>
        </w:rPr>
        <w:t xml:space="preserve"> genes from </w:t>
      </w:r>
      <w:r>
        <w:rPr>
          <w:rFonts w:ascii="Times New Roman" w:eastAsia="Times New Roman" w:hAnsi="Times New Roman" w:cs="Times New Roman"/>
          <w:i/>
          <w:sz w:val="24"/>
          <w:szCs w:val="24"/>
        </w:rPr>
        <w:t xml:space="preserve">S. </w:t>
      </w:r>
      <w:proofErr w:type="spellStart"/>
      <w:r>
        <w:rPr>
          <w:rFonts w:ascii="Times New Roman" w:eastAsia="Times New Roman" w:hAnsi="Times New Roman" w:cs="Times New Roman"/>
          <w:i/>
          <w:sz w:val="24"/>
          <w:szCs w:val="24"/>
        </w:rPr>
        <w:t>bulbocastanum</w:t>
      </w:r>
      <w:proofErr w:type="spellEnd"/>
      <w:r>
        <w:rPr>
          <w:rFonts w:ascii="Times New Roman" w:eastAsia="Times New Roman" w:hAnsi="Times New Roman" w:cs="Times New Roman"/>
          <w:sz w:val="24"/>
          <w:szCs w:val="24"/>
        </w:rPr>
        <w:t xml:space="preserve"> confer broad-spectrum resistance. </w:t>
      </w:r>
      <w:proofErr w:type="spellStart"/>
      <w:r>
        <w:rPr>
          <w:rFonts w:ascii="Times New Roman" w:eastAsia="Times New Roman" w:hAnsi="Times New Roman" w:cs="Times New Roman"/>
          <w:sz w:val="24"/>
          <w:szCs w:val="24"/>
        </w:rPr>
        <w:t>Cisgenic</w:t>
      </w:r>
      <w:proofErr w:type="spellEnd"/>
      <w:r>
        <w:rPr>
          <w:rFonts w:ascii="Times New Roman" w:eastAsia="Times New Roman" w:hAnsi="Times New Roman" w:cs="Times New Roman"/>
          <w:sz w:val="24"/>
          <w:szCs w:val="24"/>
        </w:rPr>
        <w:t xml:space="preserve"> approaches and dynamic breeding programs have further </w:t>
      </w:r>
      <w:r>
        <w:rPr>
          <w:rFonts w:ascii="Times New Roman" w:eastAsia="Times New Roman" w:hAnsi="Times New Roman" w:cs="Times New Roman"/>
          <w:sz w:val="24"/>
          <w:szCs w:val="24"/>
        </w:rPr>
        <w:t>accelerated the availability of blight-resistant potato cultivars.</w:t>
      </w:r>
    </w:p>
    <w:p w14:paraId="00000025" w14:textId="77777777" w:rsidR="00CC42A1" w:rsidRDefault="00391FE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Cucurbit resistance to powdery mildew:</w:t>
      </w:r>
      <w:r>
        <w:rPr>
          <w:rFonts w:ascii="Times New Roman" w:eastAsia="Times New Roman" w:hAnsi="Times New Roman" w:cs="Times New Roman"/>
          <w:sz w:val="24"/>
          <w:szCs w:val="24"/>
        </w:rPr>
        <w:t xml:space="preserve"> Powdery mildew, caused by </w:t>
      </w:r>
      <w:proofErr w:type="spellStart"/>
      <w:r>
        <w:rPr>
          <w:rFonts w:ascii="Times New Roman" w:eastAsia="Times New Roman" w:hAnsi="Times New Roman" w:cs="Times New Roman"/>
          <w:i/>
          <w:sz w:val="24"/>
          <w:szCs w:val="24"/>
        </w:rPr>
        <w:t>Podosphaera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xanthii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Golovinomyces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cichoracearum</w:t>
      </w:r>
      <w:proofErr w:type="spellEnd"/>
      <w:r>
        <w:rPr>
          <w:rFonts w:ascii="Times New Roman" w:eastAsia="Times New Roman" w:hAnsi="Times New Roman" w:cs="Times New Roman"/>
          <w:sz w:val="24"/>
          <w:szCs w:val="24"/>
        </w:rPr>
        <w:t>, is a major constraint in cucurbits like cucumber, melon, and squash. Qu</w:t>
      </w:r>
      <w:r>
        <w:rPr>
          <w:rFonts w:ascii="Times New Roman" w:eastAsia="Times New Roman" w:hAnsi="Times New Roman" w:cs="Times New Roman"/>
          <w:sz w:val="24"/>
          <w:szCs w:val="24"/>
        </w:rPr>
        <w:t xml:space="preserve">antitative trait loci (QTLs) linked to resistance have been mapped and </w:t>
      </w:r>
      <w:proofErr w:type="spellStart"/>
      <w:r>
        <w:rPr>
          <w:rFonts w:ascii="Times New Roman" w:eastAsia="Times New Roman" w:hAnsi="Times New Roman" w:cs="Times New Roman"/>
          <w:sz w:val="24"/>
          <w:szCs w:val="24"/>
        </w:rPr>
        <w:t>introgressed</w:t>
      </w:r>
      <w:proofErr w:type="spellEnd"/>
      <w:r>
        <w:rPr>
          <w:rFonts w:ascii="Times New Roman" w:eastAsia="Times New Roman" w:hAnsi="Times New Roman" w:cs="Times New Roman"/>
          <w:sz w:val="24"/>
          <w:szCs w:val="24"/>
        </w:rPr>
        <w:t xml:space="preserve"> into commercial lines, enabling the release of high-yielding resistant varieties (Block &amp; Reitsma, 2020). QTL-based resistance is considered more durable than single-gene r</w:t>
      </w:r>
      <w:r>
        <w:rPr>
          <w:rFonts w:ascii="Times New Roman" w:eastAsia="Times New Roman" w:hAnsi="Times New Roman" w:cs="Times New Roman"/>
          <w:sz w:val="24"/>
          <w:szCs w:val="24"/>
        </w:rPr>
        <w:t>esistance because it relies on multiple loci contributing partial resistance.</w:t>
      </w:r>
    </w:p>
    <w:p w14:paraId="00000026"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Challenges in Resistance Breeding</w:t>
      </w:r>
    </w:p>
    <w:p w14:paraId="00000027"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advances, resistance breeding faces several challenges:</w:t>
      </w:r>
    </w:p>
    <w:p w14:paraId="00000028" w14:textId="77777777" w:rsidR="00CC42A1" w:rsidRDefault="00391FE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Pathogen variability and evolution:</w:t>
      </w:r>
      <w:r>
        <w:rPr>
          <w:rFonts w:ascii="Times New Roman" w:eastAsia="Times New Roman" w:hAnsi="Times New Roman" w:cs="Times New Roman"/>
          <w:sz w:val="24"/>
          <w:szCs w:val="24"/>
        </w:rPr>
        <w:t xml:space="preserve"> Many pathogens, especially fungi and viruses, display high genetic variability. This allows them to rapidly overcome single resistance genes through mutation and selection (</w:t>
      </w:r>
      <w:proofErr w:type="spellStart"/>
      <w:r>
        <w:rPr>
          <w:rFonts w:ascii="Times New Roman" w:eastAsia="Times New Roman" w:hAnsi="Times New Roman" w:cs="Times New Roman"/>
          <w:sz w:val="24"/>
          <w:szCs w:val="24"/>
        </w:rPr>
        <w:t>Parlevliet</w:t>
      </w:r>
      <w:proofErr w:type="spellEnd"/>
      <w:r>
        <w:rPr>
          <w:rFonts w:ascii="Times New Roman" w:eastAsia="Times New Roman" w:hAnsi="Times New Roman" w:cs="Times New Roman"/>
          <w:sz w:val="24"/>
          <w:szCs w:val="24"/>
        </w:rPr>
        <w:t>, 2002). For example, breakdown of resistance to late blight in potato h</w:t>
      </w:r>
      <w:r>
        <w:rPr>
          <w:rFonts w:ascii="Times New Roman" w:eastAsia="Times New Roman" w:hAnsi="Times New Roman" w:cs="Times New Roman"/>
          <w:sz w:val="24"/>
          <w:szCs w:val="24"/>
        </w:rPr>
        <w:t>as been reported within a few years of deployment in some regions.</w:t>
      </w:r>
    </w:p>
    <w:p w14:paraId="00000029" w14:textId="77777777" w:rsidR="00CC42A1" w:rsidRDefault="00391FE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Climate change effects:</w:t>
      </w:r>
      <w:r>
        <w:rPr>
          <w:rFonts w:ascii="Times New Roman" w:eastAsia="Times New Roman" w:hAnsi="Times New Roman" w:cs="Times New Roman"/>
          <w:sz w:val="24"/>
          <w:szCs w:val="24"/>
        </w:rPr>
        <w:t xml:space="preserve"> Altered temperature, humidity, and rainfall patterns influence both pathogen virulence and host susceptibility. For instance, warming trends may expand the range of </w:t>
      </w:r>
      <w:r>
        <w:rPr>
          <w:rFonts w:ascii="Times New Roman" w:eastAsia="Times New Roman" w:hAnsi="Times New Roman" w:cs="Times New Roman"/>
          <w:i/>
          <w:sz w:val="24"/>
          <w:szCs w:val="24"/>
        </w:rPr>
        <w:t>Phytophthora infestans</w:t>
      </w:r>
      <w:r>
        <w:rPr>
          <w:rFonts w:ascii="Times New Roman" w:eastAsia="Times New Roman" w:hAnsi="Times New Roman" w:cs="Times New Roman"/>
          <w:sz w:val="24"/>
          <w:szCs w:val="24"/>
        </w:rPr>
        <w:t xml:space="preserve"> and increase virus transmission rates by vectors like whiteflies (Chakraborty &amp; Newton, 2011).</w:t>
      </w:r>
    </w:p>
    <w:p w14:paraId="0000002A" w14:textId="77777777" w:rsidR="00CC42A1" w:rsidRDefault="00391FE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Trade-offs in breeding:</w:t>
      </w:r>
      <w:r>
        <w:rPr>
          <w:rFonts w:ascii="Times New Roman" w:eastAsia="Times New Roman" w:hAnsi="Times New Roman" w:cs="Times New Roman"/>
          <w:sz w:val="24"/>
          <w:szCs w:val="24"/>
        </w:rPr>
        <w:t xml:space="preserve"> Resistance breeding may sometimes compromise yield, quality, or market traits, making farmer adoption difficult.</w:t>
      </w:r>
    </w:p>
    <w:p w14:paraId="0000002B"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.3 Emerging Strategies for Durable Resistance</w:t>
      </w:r>
    </w:p>
    <w:p w14:paraId="0000002C"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overcome these limitations, modern plant breeding is increasingly adopting advanced approaches:</w:t>
      </w:r>
    </w:p>
    <w:p w14:paraId="0000002D" w14:textId="77777777" w:rsidR="00CC42A1" w:rsidRDefault="00391FE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Gene pyramiding:</w:t>
      </w:r>
      <w:r>
        <w:rPr>
          <w:rFonts w:ascii="Times New Roman" w:eastAsia="Times New Roman" w:hAnsi="Times New Roman" w:cs="Times New Roman"/>
          <w:sz w:val="24"/>
          <w:szCs w:val="24"/>
        </w:rPr>
        <w:t xml:space="preserve"> Stacking multiple resistance genes in a single cultivar enhances durability by making it more </w:t>
      </w:r>
      <w:r>
        <w:rPr>
          <w:rFonts w:ascii="Times New Roman" w:eastAsia="Times New Roman" w:hAnsi="Times New Roman" w:cs="Times New Roman"/>
          <w:sz w:val="24"/>
          <w:szCs w:val="24"/>
        </w:rPr>
        <w:t>difficult for pathogens to simultaneously overcome all resistance mechanisms (</w:t>
      </w:r>
      <w:proofErr w:type="spellStart"/>
      <w:r>
        <w:rPr>
          <w:rFonts w:ascii="Times New Roman" w:eastAsia="Times New Roman" w:hAnsi="Times New Roman" w:cs="Times New Roman"/>
          <w:sz w:val="24"/>
          <w:szCs w:val="24"/>
        </w:rPr>
        <w:t>Miedaner</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Korzun</w:t>
      </w:r>
      <w:proofErr w:type="spellEnd"/>
      <w:r>
        <w:rPr>
          <w:rFonts w:ascii="Times New Roman" w:eastAsia="Times New Roman" w:hAnsi="Times New Roman" w:cs="Times New Roman"/>
          <w:sz w:val="24"/>
          <w:szCs w:val="24"/>
        </w:rPr>
        <w:t>, 2012).</w:t>
      </w:r>
    </w:p>
    <w:p w14:paraId="0000002E" w14:textId="77777777" w:rsidR="00CC42A1" w:rsidRDefault="00391FE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Genomic-assisted breeding:</w:t>
      </w:r>
      <w:r>
        <w:rPr>
          <w:rFonts w:ascii="Times New Roman" w:eastAsia="Times New Roman" w:hAnsi="Times New Roman" w:cs="Times New Roman"/>
          <w:sz w:val="24"/>
          <w:szCs w:val="24"/>
        </w:rPr>
        <w:t xml:space="preserve"> High-throughput sequencing and genome-wide association studies (GWAS) allow rapid identification of resistance loci and marke</w:t>
      </w:r>
      <w:r>
        <w:rPr>
          <w:rFonts w:ascii="Times New Roman" w:eastAsia="Times New Roman" w:hAnsi="Times New Roman" w:cs="Times New Roman"/>
          <w:sz w:val="24"/>
          <w:szCs w:val="24"/>
        </w:rPr>
        <w:t>r-assisted introgression into elite lines.</w:t>
      </w:r>
    </w:p>
    <w:p w14:paraId="0000002F" w14:textId="77777777" w:rsidR="00CC42A1" w:rsidRDefault="00391FE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CRISPR-Cas gene editing:</w:t>
      </w:r>
      <w:r>
        <w:rPr>
          <w:rFonts w:ascii="Times New Roman" w:eastAsia="Times New Roman" w:hAnsi="Times New Roman" w:cs="Times New Roman"/>
          <w:sz w:val="24"/>
          <w:szCs w:val="24"/>
        </w:rPr>
        <w:t xml:space="preserve"> Editing susceptibility genes (S-genes) to create loss-of-function mutations can provide broad-spectrum resistance without introducing foreign DNA (Zaidi et al., 2018).</w:t>
      </w:r>
    </w:p>
    <w:p w14:paraId="00000030" w14:textId="77777777" w:rsidR="00CC42A1" w:rsidRDefault="00391FE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Speed breeding and d</w:t>
      </w:r>
      <w:r>
        <w:rPr>
          <w:rFonts w:ascii="Times New Roman" w:eastAsia="Times New Roman" w:hAnsi="Times New Roman" w:cs="Times New Roman"/>
          <w:b/>
          <w:sz w:val="24"/>
          <w:szCs w:val="24"/>
        </w:rPr>
        <w:t>oubled haploids:</w:t>
      </w:r>
      <w:r>
        <w:rPr>
          <w:rFonts w:ascii="Times New Roman" w:eastAsia="Times New Roman" w:hAnsi="Times New Roman" w:cs="Times New Roman"/>
          <w:sz w:val="24"/>
          <w:szCs w:val="24"/>
        </w:rPr>
        <w:t xml:space="preserve"> These techniques reduce the breeding cycle time, enabling faster release of resistant cultivars.</w:t>
      </w:r>
    </w:p>
    <w:p w14:paraId="00000031" w14:textId="77777777" w:rsidR="00CC42A1" w:rsidRDefault="00391FE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Participatory breeding:</w:t>
      </w:r>
      <w:r>
        <w:rPr>
          <w:rFonts w:ascii="Times New Roman" w:eastAsia="Times New Roman" w:hAnsi="Times New Roman" w:cs="Times New Roman"/>
          <w:sz w:val="24"/>
          <w:szCs w:val="24"/>
        </w:rPr>
        <w:t xml:space="preserve"> Involving farmers in varietal selection ensures that resistant cultivars also meet local preferences for taste, market</w:t>
      </w:r>
      <w:r>
        <w:rPr>
          <w:rFonts w:ascii="Times New Roman" w:eastAsia="Times New Roman" w:hAnsi="Times New Roman" w:cs="Times New Roman"/>
          <w:sz w:val="24"/>
          <w:szCs w:val="24"/>
        </w:rPr>
        <w:t>ability, and adaptability.</w:t>
      </w:r>
    </w:p>
    <w:p w14:paraId="00000032"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Host resistance represents the foundation of Integrated Disease Management in vegetable crops. While pathogen variability and climate pressures threaten durability, innovations in molecular breeding, gene pyramiding, and genome e</w:t>
      </w:r>
      <w:r>
        <w:rPr>
          <w:rFonts w:ascii="Times New Roman" w:eastAsia="Times New Roman" w:hAnsi="Times New Roman" w:cs="Times New Roman"/>
          <w:sz w:val="24"/>
          <w:szCs w:val="24"/>
        </w:rPr>
        <w:t>diting provide a promising pathway for sustainable resistance deployment.</w:t>
      </w:r>
    </w:p>
    <w:p w14:paraId="00000033"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Biological Control Agents</w:t>
      </w:r>
    </w:p>
    <w:p w14:paraId="00000034"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Biological control has gained prominence in Integrated Disease Management (IDM) due to its eco-friendly and sustainable nature. Unlike chemical pesticide</w:t>
      </w:r>
      <w:r>
        <w:rPr>
          <w:rFonts w:ascii="Times New Roman" w:eastAsia="Times New Roman" w:hAnsi="Times New Roman" w:cs="Times New Roman"/>
          <w:sz w:val="24"/>
          <w:szCs w:val="24"/>
        </w:rPr>
        <w:t xml:space="preserve">s, biocontrol agents (BCAs) act </w:t>
      </w:r>
      <w:r>
        <w:rPr>
          <w:rFonts w:ascii="Times New Roman" w:eastAsia="Times New Roman" w:hAnsi="Times New Roman" w:cs="Times New Roman"/>
          <w:sz w:val="24"/>
          <w:szCs w:val="24"/>
        </w:rPr>
        <w:lastRenderedPageBreak/>
        <w:t>through diverse mechanisms such as antibiosis, parasitism, competition, and induction of plant systemic resistance, making them effective against a broad spectrum of pathogens while enhancing plant growth and soil health. Th</w:t>
      </w:r>
      <w:r>
        <w:rPr>
          <w:rFonts w:ascii="Times New Roman" w:eastAsia="Times New Roman" w:hAnsi="Times New Roman" w:cs="Times New Roman"/>
          <w:sz w:val="24"/>
          <w:szCs w:val="24"/>
        </w:rPr>
        <w:t>eir role is particularly important in vegetable crops, where diseases caused by soil-borne and foliar pathogens can devastate productivity.</w:t>
      </w:r>
    </w:p>
    <w:p w14:paraId="00000035"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 Fungal Antagonists</w:t>
      </w:r>
    </w:p>
    <w:p w14:paraId="00000036"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Fungal BCAs are among the most extensively studied and commercialized. </w:t>
      </w:r>
      <w:r>
        <w:rPr>
          <w:rFonts w:ascii="Times New Roman" w:eastAsia="Times New Roman" w:hAnsi="Times New Roman" w:cs="Times New Roman"/>
          <w:i/>
          <w:sz w:val="24"/>
          <w:szCs w:val="24"/>
        </w:rPr>
        <w:t>Trichoderma spp.</w:t>
      </w:r>
      <w:r>
        <w:rPr>
          <w:rFonts w:ascii="Times New Roman" w:eastAsia="Times New Roman" w:hAnsi="Times New Roman" w:cs="Times New Roman"/>
          <w:sz w:val="24"/>
          <w:szCs w:val="24"/>
        </w:rPr>
        <w:t xml:space="preserve"> (e.g.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T. </w:t>
      </w:r>
      <w:proofErr w:type="spellStart"/>
      <w:r>
        <w:rPr>
          <w:rFonts w:ascii="Times New Roman" w:eastAsia="Times New Roman" w:hAnsi="Times New Roman" w:cs="Times New Roman"/>
          <w:i/>
          <w:sz w:val="24"/>
          <w:szCs w:val="24"/>
        </w:rPr>
        <w:t>harzianum</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 viride</w:t>
      </w:r>
      <w:r>
        <w:rPr>
          <w:rFonts w:ascii="Times New Roman" w:eastAsia="Times New Roman" w:hAnsi="Times New Roman" w:cs="Times New Roman"/>
          <w:sz w:val="24"/>
          <w:szCs w:val="24"/>
        </w:rPr>
        <w:t xml:space="preserve">) are well-known for their ability to suppress soil-borne pathogens like </w:t>
      </w:r>
      <w:r>
        <w:rPr>
          <w:rFonts w:ascii="Times New Roman" w:eastAsia="Times New Roman" w:hAnsi="Times New Roman" w:cs="Times New Roman"/>
          <w:i/>
          <w:sz w:val="24"/>
          <w:szCs w:val="24"/>
        </w:rPr>
        <w:t xml:space="preserve">Fusarium </w:t>
      </w:r>
      <w:proofErr w:type="spellStart"/>
      <w:r>
        <w:rPr>
          <w:rFonts w:ascii="Times New Roman" w:eastAsia="Times New Roman" w:hAnsi="Times New Roman" w:cs="Times New Roman"/>
          <w:i/>
          <w:sz w:val="24"/>
          <w:szCs w:val="24"/>
        </w:rPr>
        <w:t>oxysporum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Rhizoctonia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solani</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Sclerotium </w:t>
      </w:r>
      <w:proofErr w:type="spellStart"/>
      <w:r>
        <w:rPr>
          <w:rFonts w:ascii="Times New Roman" w:eastAsia="Times New Roman" w:hAnsi="Times New Roman" w:cs="Times New Roman"/>
          <w:i/>
          <w:sz w:val="24"/>
          <w:szCs w:val="24"/>
        </w:rPr>
        <w:t>rolfsii</w:t>
      </w:r>
      <w:proofErr w:type="spellEnd"/>
      <w:r>
        <w:rPr>
          <w:rFonts w:ascii="Times New Roman" w:eastAsia="Times New Roman" w:hAnsi="Times New Roman" w:cs="Times New Roman"/>
          <w:sz w:val="24"/>
          <w:szCs w:val="24"/>
        </w:rPr>
        <w:t>. They function through:</w:t>
      </w:r>
    </w:p>
    <w:p w14:paraId="00000037" w14:textId="77777777" w:rsidR="00CC42A1" w:rsidRDefault="00391FE0">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Mycoparasitism:</w:t>
      </w:r>
      <w:r>
        <w:rPr>
          <w:rFonts w:ascii="Times New Roman" w:eastAsia="Times New Roman" w:hAnsi="Times New Roman" w:cs="Times New Roman"/>
          <w:sz w:val="24"/>
          <w:szCs w:val="24"/>
        </w:rPr>
        <w:t xml:space="preserve"> Direct attack on pathogenic fungal hyphae, degrading th</w:t>
      </w:r>
      <w:r>
        <w:rPr>
          <w:rFonts w:ascii="Times New Roman" w:eastAsia="Times New Roman" w:hAnsi="Times New Roman" w:cs="Times New Roman"/>
          <w:sz w:val="24"/>
          <w:szCs w:val="24"/>
        </w:rPr>
        <w:t xml:space="preserve">eir cell walls using enzymes such as chitinases and </w:t>
      </w:r>
      <w:proofErr w:type="spellStart"/>
      <w:r>
        <w:rPr>
          <w:rFonts w:ascii="Times New Roman" w:eastAsia="Times New Roman" w:hAnsi="Times New Roman" w:cs="Times New Roman"/>
          <w:sz w:val="24"/>
          <w:szCs w:val="24"/>
        </w:rPr>
        <w:t>glucanases</w:t>
      </w:r>
      <w:proofErr w:type="spellEnd"/>
      <w:r>
        <w:rPr>
          <w:rFonts w:ascii="Times New Roman" w:eastAsia="Times New Roman" w:hAnsi="Times New Roman" w:cs="Times New Roman"/>
          <w:sz w:val="24"/>
          <w:szCs w:val="24"/>
        </w:rPr>
        <w:t xml:space="preserve"> (Harman et al., 2004).</w:t>
      </w:r>
    </w:p>
    <w:p w14:paraId="00000038" w14:textId="77777777" w:rsidR="00CC42A1" w:rsidRDefault="00391FE0">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Induced Systemic Resistance (ISR):</w:t>
      </w:r>
      <w:r>
        <w:rPr>
          <w:rFonts w:ascii="Times New Roman" w:eastAsia="Times New Roman" w:hAnsi="Times New Roman" w:cs="Times New Roman"/>
          <w:sz w:val="24"/>
          <w:szCs w:val="24"/>
        </w:rPr>
        <w:t xml:space="preserve"> Activating host </w:t>
      </w:r>
      <w:proofErr w:type="spellStart"/>
      <w:r>
        <w:rPr>
          <w:rFonts w:ascii="Times New Roman" w:eastAsia="Times New Roman" w:hAnsi="Times New Roman" w:cs="Times New Roman"/>
          <w:sz w:val="24"/>
          <w:szCs w:val="24"/>
        </w:rPr>
        <w:t>defense</w:t>
      </w:r>
      <w:proofErr w:type="spellEnd"/>
      <w:r>
        <w:rPr>
          <w:rFonts w:ascii="Times New Roman" w:eastAsia="Times New Roman" w:hAnsi="Times New Roman" w:cs="Times New Roman"/>
          <w:sz w:val="24"/>
          <w:szCs w:val="24"/>
        </w:rPr>
        <w:t xml:space="preserve"> pathways, making plants less susceptible to infections.</w:t>
      </w:r>
    </w:p>
    <w:p w14:paraId="00000039" w14:textId="77777777" w:rsidR="00CC42A1" w:rsidRDefault="00391FE0">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Competition:</w:t>
      </w:r>
      <w:r>
        <w:rPr>
          <w:rFonts w:ascii="Times New Roman" w:eastAsia="Times New Roman" w:hAnsi="Times New Roman" w:cs="Times New Roman"/>
          <w:sz w:val="24"/>
          <w:szCs w:val="24"/>
        </w:rPr>
        <w:t xml:space="preserve"> Rapid colonization of the rhizosphere prev</w:t>
      </w:r>
      <w:r>
        <w:rPr>
          <w:rFonts w:ascii="Times New Roman" w:eastAsia="Times New Roman" w:hAnsi="Times New Roman" w:cs="Times New Roman"/>
          <w:sz w:val="24"/>
          <w:szCs w:val="24"/>
        </w:rPr>
        <w:t>ents pathogen establishment.</w:t>
      </w:r>
    </w:p>
    <w:p w14:paraId="0000003A"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Trichoderma</w:t>
      </w:r>
      <w:r>
        <w:rPr>
          <w:rFonts w:ascii="Times New Roman" w:eastAsia="Times New Roman" w:hAnsi="Times New Roman" w:cs="Times New Roman"/>
          <w:sz w:val="24"/>
          <w:szCs w:val="24"/>
        </w:rPr>
        <w:t>-based bioformulations have been successfully tested in crops like tomato, chili, and brinjal, reducing wilt and damping-off incidence by up to 60% (Singh et al., 2021).</w:t>
      </w:r>
    </w:p>
    <w:p w14:paraId="0000003B"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 Bacterial Antagonists</w:t>
      </w:r>
    </w:p>
    <w:p w14:paraId="0000003C"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Beneficial bacteria such as </w:t>
      </w:r>
      <w:r>
        <w:rPr>
          <w:rFonts w:ascii="Times New Roman" w:eastAsia="Times New Roman" w:hAnsi="Times New Roman" w:cs="Times New Roman"/>
          <w:i/>
          <w:sz w:val="24"/>
          <w:szCs w:val="24"/>
        </w:rPr>
        <w:t>Bacillus subtilis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B. </w:t>
      </w:r>
      <w:proofErr w:type="spellStart"/>
      <w:r>
        <w:rPr>
          <w:rFonts w:ascii="Times New Roman" w:eastAsia="Times New Roman" w:hAnsi="Times New Roman" w:cs="Times New Roman"/>
          <w:i/>
          <w:sz w:val="24"/>
          <w:szCs w:val="24"/>
        </w:rPr>
        <w:t>amyloliquefaciens</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Pseudomonas fluorescens</w:t>
      </w:r>
      <w:r>
        <w:rPr>
          <w:rFonts w:ascii="Times New Roman" w:eastAsia="Times New Roman" w:hAnsi="Times New Roman" w:cs="Times New Roman"/>
          <w:sz w:val="24"/>
          <w:szCs w:val="24"/>
        </w:rPr>
        <w:t xml:space="preserve"> suppress pathogens by producing antimicrobial compounds (e.g., </w:t>
      </w:r>
      <w:proofErr w:type="spellStart"/>
      <w:r>
        <w:rPr>
          <w:rFonts w:ascii="Times New Roman" w:eastAsia="Times New Roman" w:hAnsi="Times New Roman" w:cs="Times New Roman"/>
          <w:sz w:val="24"/>
          <w:szCs w:val="24"/>
        </w:rPr>
        <w:t>iturins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surfactins</w:t>
      </w:r>
      <w:proofErr w:type="spellEnd"/>
      <w:r>
        <w:rPr>
          <w:rFonts w:ascii="Times New Roman" w:eastAsia="Times New Roman" w:hAnsi="Times New Roman" w:cs="Times New Roman"/>
          <w:sz w:val="24"/>
          <w:szCs w:val="24"/>
        </w:rPr>
        <w:t xml:space="preserve">, and phenazines), siderophores that sequester iron, and lytic enzymes </w:t>
      </w:r>
      <w:r>
        <w:rPr>
          <w:rFonts w:ascii="Times New Roman" w:eastAsia="Times New Roman" w:hAnsi="Times New Roman" w:cs="Times New Roman"/>
          <w:sz w:val="24"/>
          <w:szCs w:val="24"/>
        </w:rPr>
        <w:t>(Kloepper et al., 2004). They also function as plant growth-promoting rhizobacteria (PGPR), enhancing nutrient uptake and root development.</w:t>
      </w:r>
    </w:p>
    <w:p w14:paraId="0000003D"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vegetable crops, </w:t>
      </w:r>
      <w:r>
        <w:rPr>
          <w:rFonts w:ascii="Times New Roman" w:eastAsia="Times New Roman" w:hAnsi="Times New Roman" w:cs="Times New Roman"/>
          <w:i/>
          <w:sz w:val="24"/>
          <w:szCs w:val="24"/>
        </w:rPr>
        <w:t>P. fluorescens</w:t>
      </w:r>
      <w:r>
        <w:rPr>
          <w:rFonts w:ascii="Times New Roman" w:eastAsia="Times New Roman" w:hAnsi="Times New Roman" w:cs="Times New Roman"/>
          <w:sz w:val="24"/>
          <w:szCs w:val="24"/>
        </w:rPr>
        <w:t xml:space="preserve"> has been reported to reduce bacterial wilt in tomato and soft rot in cabbage, whi</w:t>
      </w:r>
      <w:r>
        <w:rPr>
          <w:rFonts w:ascii="Times New Roman" w:eastAsia="Times New Roman" w:hAnsi="Times New Roman" w:cs="Times New Roman"/>
          <w:sz w:val="24"/>
          <w:szCs w:val="24"/>
        </w:rPr>
        <w:t xml:space="preserve">le </w:t>
      </w:r>
      <w:r>
        <w:rPr>
          <w:rFonts w:ascii="Times New Roman" w:eastAsia="Times New Roman" w:hAnsi="Times New Roman" w:cs="Times New Roman"/>
          <w:i/>
          <w:sz w:val="24"/>
          <w:szCs w:val="24"/>
        </w:rPr>
        <w:t>B. subtilis</w:t>
      </w:r>
      <w:r>
        <w:rPr>
          <w:rFonts w:ascii="Times New Roman" w:eastAsia="Times New Roman" w:hAnsi="Times New Roman" w:cs="Times New Roman"/>
          <w:sz w:val="24"/>
          <w:szCs w:val="24"/>
        </w:rPr>
        <w:t xml:space="preserve"> is effective against leaf spot diseases in cucurbits. Field studies indicate that integration of bacterial antagonists with reduced fungicide sprays enhances disease suppression while lowering chemical load (Borah et al., 2020).</w:t>
      </w:r>
    </w:p>
    <w:p w14:paraId="0000003E"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5.3 Mycorrhi</w:t>
      </w:r>
      <w:r>
        <w:rPr>
          <w:rFonts w:ascii="Times New Roman" w:eastAsia="Times New Roman" w:hAnsi="Times New Roman" w:cs="Times New Roman"/>
          <w:b/>
          <w:sz w:val="24"/>
          <w:szCs w:val="24"/>
        </w:rPr>
        <w:t>zal Fungi</w:t>
      </w:r>
    </w:p>
    <w:p w14:paraId="0000003F"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Arbuscular mycorrhizal fungi (AMF), such as </w:t>
      </w:r>
      <w:r>
        <w:rPr>
          <w:rFonts w:ascii="Times New Roman" w:eastAsia="Times New Roman" w:hAnsi="Times New Roman" w:cs="Times New Roman"/>
          <w:i/>
          <w:sz w:val="24"/>
          <w:szCs w:val="24"/>
        </w:rPr>
        <w:t>Glomus</w:t>
      </w:r>
      <w:r>
        <w:rPr>
          <w:rFonts w:ascii="Times New Roman" w:eastAsia="Times New Roman" w:hAnsi="Times New Roman" w:cs="Times New Roman"/>
          <w:sz w:val="24"/>
          <w:szCs w:val="24"/>
        </w:rPr>
        <w:t xml:space="preserve"> spp., form symbiotic associations with plant roots, improving nutrient uptake—particularly phosphorus—and enhancing tolerance to soil-borne pathogens (Jung et al., 2012). By improving root archit</w:t>
      </w:r>
      <w:r>
        <w:rPr>
          <w:rFonts w:ascii="Times New Roman" w:eastAsia="Times New Roman" w:hAnsi="Times New Roman" w:cs="Times New Roman"/>
          <w:sz w:val="24"/>
          <w:szCs w:val="24"/>
        </w:rPr>
        <w:t xml:space="preserve">ecture and triggering </w:t>
      </w:r>
      <w:proofErr w:type="spellStart"/>
      <w:r>
        <w:rPr>
          <w:rFonts w:ascii="Times New Roman" w:eastAsia="Times New Roman" w:hAnsi="Times New Roman" w:cs="Times New Roman"/>
          <w:sz w:val="24"/>
          <w:szCs w:val="24"/>
        </w:rPr>
        <w:t>defense</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lastRenderedPageBreak/>
        <w:t xml:space="preserve">related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AMF reduce the severity of root-knot nematodes (</w:t>
      </w:r>
      <w:r>
        <w:rPr>
          <w:rFonts w:ascii="Times New Roman" w:eastAsia="Times New Roman" w:hAnsi="Times New Roman" w:cs="Times New Roman"/>
          <w:i/>
          <w:sz w:val="24"/>
          <w:szCs w:val="24"/>
        </w:rPr>
        <w:t>Meloidogyne incognita</w:t>
      </w:r>
      <w:r>
        <w:rPr>
          <w:rFonts w:ascii="Times New Roman" w:eastAsia="Times New Roman" w:hAnsi="Times New Roman" w:cs="Times New Roman"/>
          <w:sz w:val="24"/>
          <w:szCs w:val="24"/>
        </w:rPr>
        <w:t>) and wilt pathogens in solanaceous and cucurbitaceous crops.</w:t>
      </w:r>
    </w:p>
    <w:p w14:paraId="00000040"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example, inoculation of tomato with </w:t>
      </w:r>
      <w:r>
        <w:rPr>
          <w:rFonts w:ascii="Times New Roman" w:eastAsia="Times New Roman" w:hAnsi="Times New Roman" w:cs="Times New Roman"/>
          <w:i/>
          <w:sz w:val="24"/>
          <w:szCs w:val="24"/>
        </w:rPr>
        <w:t xml:space="preserve">Glomus </w:t>
      </w:r>
      <w:proofErr w:type="spellStart"/>
      <w:r>
        <w:rPr>
          <w:rFonts w:ascii="Times New Roman" w:eastAsia="Times New Roman" w:hAnsi="Times New Roman" w:cs="Times New Roman"/>
          <w:i/>
          <w:sz w:val="24"/>
          <w:szCs w:val="24"/>
        </w:rPr>
        <w:t>mosseae</w:t>
      </w:r>
      <w:proofErr w:type="spellEnd"/>
      <w:r>
        <w:rPr>
          <w:rFonts w:ascii="Times New Roman" w:eastAsia="Times New Roman" w:hAnsi="Times New Roman" w:cs="Times New Roman"/>
          <w:sz w:val="24"/>
          <w:szCs w:val="24"/>
        </w:rPr>
        <w:t xml:space="preserve"> significantly reduced</w:t>
      </w:r>
      <w:r>
        <w:rPr>
          <w:rFonts w:ascii="Times New Roman" w:eastAsia="Times New Roman" w:hAnsi="Times New Roman" w:cs="Times New Roman"/>
          <w:sz w:val="24"/>
          <w:szCs w:val="24"/>
        </w:rPr>
        <w:t xml:space="preserve"> root-knot nematode infestation while improving fruit yield and quality (Shao et al., 2019).</w:t>
      </w:r>
    </w:p>
    <w:p w14:paraId="00000041"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5.4 Viral Biocontrol Agents</w:t>
      </w:r>
    </w:p>
    <w:p w14:paraId="00000042"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viral biocontrol agents is a relatively novel but promising approach. Cross-protection, where a mild strain of a virus is us</w:t>
      </w:r>
      <w:r>
        <w:rPr>
          <w:rFonts w:ascii="Times New Roman" w:eastAsia="Times New Roman" w:hAnsi="Times New Roman" w:cs="Times New Roman"/>
          <w:sz w:val="24"/>
          <w:szCs w:val="24"/>
        </w:rPr>
        <w:t>ed to protect plants from infection by a more severe strain, has been applied in managing mosaic and leaf curl diseases in cucurbits and tomato (Hull, 2014). Advances in molecular virology are enabling more precise use of such strategies, although regulato</w:t>
      </w:r>
      <w:r>
        <w:rPr>
          <w:rFonts w:ascii="Times New Roman" w:eastAsia="Times New Roman" w:hAnsi="Times New Roman" w:cs="Times New Roman"/>
          <w:sz w:val="24"/>
          <w:szCs w:val="24"/>
        </w:rPr>
        <w:t>ry and biosafety concerns remain a challenge.</w:t>
      </w:r>
    </w:p>
    <w:p w14:paraId="00000043"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5.5 Advances in Biocontrol Formulations</w:t>
      </w:r>
    </w:p>
    <w:p w14:paraId="00000044"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limitation of BCAs has been their inconsistent performance under field conditions due to environmental variability. To address this, advances in formulation technolog</w:t>
      </w:r>
      <w:r>
        <w:rPr>
          <w:rFonts w:ascii="Times New Roman" w:eastAsia="Times New Roman" w:hAnsi="Times New Roman" w:cs="Times New Roman"/>
          <w:sz w:val="24"/>
          <w:szCs w:val="24"/>
        </w:rPr>
        <w:t>y are being employed:</w:t>
      </w:r>
    </w:p>
    <w:p w14:paraId="00000045" w14:textId="77777777" w:rsidR="00CC42A1" w:rsidRDefault="00391FE0">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Granular formulations</w:t>
      </w:r>
      <w:r>
        <w:rPr>
          <w:rFonts w:ascii="Times New Roman" w:eastAsia="Times New Roman" w:hAnsi="Times New Roman" w:cs="Times New Roman"/>
          <w:sz w:val="24"/>
          <w:szCs w:val="24"/>
        </w:rPr>
        <w:t xml:space="preserve"> improve soil persistence and root colonization.</w:t>
      </w:r>
    </w:p>
    <w:p w14:paraId="00000046" w14:textId="77777777" w:rsidR="00CC42A1" w:rsidRDefault="00391FE0">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Biofilm-based formulations</w:t>
      </w:r>
      <w:r>
        <w:rPr>
          <w:rFonts w:ascii="Times New Roman" w:eastAsia="Times New Roman" w:hAnsi="Times New Roman" w:cs="Times New Roman"/>
          <w:sz w:val="24"/>
          <w:szCs w:val="24"/>
        </w:rPr>
        <w:t xml:space="preserve"> enhance microbial survival and stress tolerance.</w:t>
      </w:r>
    </w:p>
    <w:p w14:paraId="00000047" w14:textId="77777777" w:rsidR="00CC42A1" w:rsidRDefault="00391FE0">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Nano-encapsulation</w:t>
      </w:r>
      <w:r>
        <w:rPr>
          <w:rFonts w:ascii="Times New Roman" w:eastAsia="Times New Roman" w:hAnsi="Times New Roman" w:cs="Times New Roman"/>
          <w:sz w:val="24"/>
          <w:szCs w:val="24"/>
        </w:rPr>
        <w:t xml:space="preserve"> ensures controlled release and improved stability of biocontrol agent</w:t>
      </w:r>
      <w:r>
        <w:rPr>
          <w:rFonts w:ascii="Times New Roman" w:eastAsia="Times New Roman" w:hAnsi="Times New Roman" w:cs="Times New Roman"/>
          <w:sz w:val="24"/>
          <w:szCs w:val="24"/>
        </w:rPr>
        <w:t>s and metabolites (Keswani et al., 2019).</w:t>
      </w:r>
    </w:p>
    <w:p w14:paraId="00000048"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innovations are increasing the reliability and commercial adoption of biocontrol products in vegetable crop disease management.</w:t>
      </w:r>
    </w:p>
    <w:p w14:paraId="00000049"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 Chemical Control within IDM Framework</w:t>
      </w:r>
    </w:p>
    <w:p w14:paraId="0000004A"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IDM reduces chemical dependence, </w:t>
      </w:r>
      <w:r>
        <w:rPr>
          <w:rFonts w:ascii="Times New Roman" w:eastAsia="Times New Roman" w:hAnsi="Times New Roman" w:cs="Times New Roman"/>
          <w:sz w:val="24"/>
          <w:szCs w:val="24"/>
        </w:rPr>
        <w:t>judicious use of fungicides is necessary in epidemic situations. IDM recommends:</w:t>
      </w:r>
    </w:p>
    <w:p w14:paraId="0000004B" w14:textId="77777777" w:rsidR="00CC42A1" w:rsidRDefault="00391FE0">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Seed treatment:</w:t>
      </w:r>
      <w:r>
        <w:rPr>
          <w:rFonts w:ascii="Times New Roman" w:eastAsia="Times New Roman" w:hAnsi="Times New Roman" w:cs="Times New Roman"/>
          <w:sz w:val="24"/>
          <w:szCs w:val="24"/>
        </w:rPr>
        <w:t xml:space="preserve"> Protecting seedlings against damping-off.</w:t>
      </w:r>
    </w:p>
    <w:p w14:paraId="0000004C" w14:textId="77777777" w:rsidR="00CC42A1" w:rsidRDefault="00391FE0">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Fungicide rotation and mixtures:</w:t>
      </w:r>
      <w:r>
        <w:rPr>
          <w:rFonts w:ascii="Times New Roman" w:eastAsia="Times New Roman" w:hAnsi="Times New Roman" w:cs="Times New Roman"/>
          <w:sz w:val="24"/>
          <w:szCs w:val="24"/>
        </w:rPr>
        <w:t xml:space="preserve"> Preventing resistance development, e.g., alternation of systemic and contact fungici</w:t>
      </w:r>
      <w:r>
        <w:rPr>
          <w:rFonts w:ascii="Times New Roman" w:eastAsia="Times New Roman" w:hAnsi="Times New Roman" w:cs="Times New Roman"/>
          <w:sz w:val="24"/>
          <w:szCs w:val="24"/>
        </w:rPr>
        <w:t>des.</w:t>
      </w:r>
    </w:p>
    <w:p w14:paraId="0000004D" w14:textId="77777777" w:rsidR="00CC42A1" w:rsidRDefault="00391FE0">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Precision application:</w:t>
      </w:r>
      <w:r>
        <w:rPr>
          <w:rFonts w:ascii="Times New Roman" w:eastAsia="Times New Roman" w:hAnsi="Times New Roman" w:cs="Times New Roman"/>
          <w:sz w:val="24"/>
          <w:szCs w:val="24"/>
        </w:rPr>
        <w:t xml:space="preserve"> Use of drones and smart sprayers for targeted delivery.</w:t>
      </w:r>
    </w:p>
    <w:p w14:paraId="0000004E"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Recent trends emphasize reduced-risk fungicides and integration with </w:t>
      </w:r>
      <w:proofErr w:type="spellStart"/>
      <w:r>
        <w:rPr>
          <w:rFonts w:ascii="Times New Roman" w:eastAsia="Times New Roman" w:hAnsi="Times New Roman" w:cs="Times New Roman"/>
          <w:sz w:val="24"/>
          <w:szCs w:val="24"/>
        </w:rPr>
        <w:t>biocontrols</w:t>
      </w:r>
      <w:proofErr w:type="spellEnd"/>
      <w:r>
        <w:rPr>
          <w:rFonts w:ascii="Times New Roman" w:eastAsia="Times New Roman" w:hAnsi="Times New Roman" w:cs="Times New Roman"/>
          <w:sz w:val="24"/>
          <w:szCs w:val="24"/>
        </w:rPr>
        <w:t xml:space="preserve"> (FRAC, 2021).</w:t>
      </w:r>
    </w:p>
    <w:p w14:paraId="0000004F"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 Innovative Technologies in IDM</w:t>
      </w:r>
    </w:p>
    <w:p w14:paraId="00000050"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Emerging technologies are revolutionizing d</w:t>
      </w:r>
      <w:r>
        <w:rPr>
          <w:rFonts w:ascii="Times New Roman" w:eastAsia="Times New Roman" w:hAnsi="Times New Roman" w:cs="Times New Roman"/>
          <w:sz w:val="24"/>
          <w:szCs w:val="24"/>
        </w:rPr>
        <w:t>isease management in vegetable crops:</w:t>
      </w:r>
    </w:p>
    <w:p w14:paraId="00000051" w14:textId="77777777" w:rsidR="00CC42A1" w:rsidRDefault="00391FE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Nanotechnology:</w:t>
      </w:r>
      <w:r>
        <w:rPr>
          <w:rFonts w:ascii="Times New Roman" w:eastAsia="Times New Roman" w:hAnsi="Times New Roman" w:cs="Times New Roman"/>
          <w:sz w:val="24"/>
          <w:szCs w:val="24"/>
        </w:rPr>
        <w:t xml:space="preserve"> Nano-silver and nano-copper formulations show promise against bacterial and fungal pathogens (Chaudhry et al., 2020).</w:t>
      </w:r>
    </w:p>
    <w:p w14:paraId="00000052" w14:textId="77777777" w:rsidR="00CC42A1" w:rsidRDefault="00391FE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Remote sensing and AI:</w:t>
      </w:r>
      <w:r>
        <w:rPr>
          <w:rFonts w:ascii="Times New Roman" w:eastAsia="Times New Roman" w:hAnsi="Times New Roman" w:cs="Times New Roman"/>
          <w:sz w:val="24"/>
          <w:szCs w:val="24"/>
        </w:rPr>
        <w:t xml:space="preserve"> Early detection of disease hotspots through drones and machine learning (</w:t>
      </w:r>
      <w:proofErr w:type="spellStart"/>
      <w:r>
        <w:rPr>
          <w:rFonts w:ascii="Times New Roman" w:eastAsia="Times New Roman" w:hAnsi="Times New Roman" w:cs="Times New Roman"/>
          <w:sz w:val="24"/>
          <w:szCs w:val="24"/>
        </w:rPr>
        <w:t>Mahlein</w:t>
      </w:r>
      <w:proofErr w:type="spellEnd"/>
      <w:r>
        <w:rPr>
          <w:rFonts w:ascii="Times New Roman" w:eastAsia="Times New Roman" w:hAnsi="Times New Roman" w:cs="Times New Roman"/>
          <w:sz w:val="24"/>
          <w:szCs w:val="24"/>
        </w:rPr>
        <w:t>, 2016).</w:t>
      </w:r>
    </w:p>
    <w:p w14:paraId="00000053" w14:textId="77777777" w:rsidR="00CC42A1" w:rsidRDefault="00391FE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CRISPR-Cas gene editing:</w:t>
      </w:r>
      <w:r>
        <w:rPr>
          <w:rFonts w:ascii="Times New Roman" w:eastAsia="Times New Roman" w:hAnsi="Times New Roman" w:cs="Times New Roman"/>
          <w:sz w:val="24"/>
          <w:szCs w:val="24"/>
        </w:rPr>
        <w:t xml:space="preserve"> Engineering durable resistance in tomato, cucumber, and potato (Zaidi et al., 2018).</w:t>
      </w:r>
    </w:p>
    <w:p w14:paraId="00000054" w14:textId="77777777" w:rsidR="00CC42A1" w:rsidRDefault="00391FE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Induced resistance elicitors:</w:t>
      </w:r>
      <w:r>
        <w:rPr>
          <w:rFonts w:ascii="Times New Roman" w:eastAsia="Times New Roman" w:hAnsi="Times New Roman" w:cs="Times New Roman"/>
          <w:sz w:val="24"/>
          <w:szCs w:val="24"/>
        </w:rPr>
        <w:t xml:space="preserve"> Compounds like salicylic a</w:t>
      </w:r>
      <w:r>
        <w:rPr>
          <w:rFonts w:ascii="Times New Roman" w:eastAsia="Times New Roman" w:hAnsi="Times New Roman" w:cs="Times New Roman"/>
          <w:sz w:val="24"/>
          <w:szCs w:val="24"/>
        </w:rPr>
        <w:t>cid and chitosan prime plant immunity.</w:t>
      </w:r>
    </w:p>
    <w:p w14:paraId="00000055"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 Case Studies in IDM of Vegetable Crops</w:t>
      </w:r>
    </w:p>
    <w:p w14:paraId="00000056" w14:textId="77777777" w:rsidR="00CC42A1" w:rsidRDefault="00391FE0">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Tomato wilt complex:</w:t>
      </w:r>
      <w:r>
        <w:rPr>
          <w:rFonts w:ascii="Times New Roman" w:eastAsia="Times New Roman" w:hAnsi="Times New Roman" w:cs="Times New Roman"/>
          <w:sz w:val="24"/>
          <w:szCs w:val="24"/>
        </w:rPr>
        <w:t xml:space="preserve"> Combining resistant cultivars, soil solarization, and </w:t>
      </w:r>
      <w:r>
        <w:rPr>
          <w:rFonts w:ascii="Times New Roman" w:eastAsia="Times New Roman" w:hAnsi="Times New Roman" w:cs="Times New Roman"/>
          <w:i/>
          <w:sz w:val="24"/>
          <w:szCs w:val="24"/>
        </w:rPr>
        <w:t>Trichoderma</w:t>
      </w:r>
      <w:r>
        <w:rPr>
          <w:rFonts w:ascii="Times New Roman" w:eastAsia="Times New Roman" w:hAnsi="Times New Roman" w:cs="Times New Roman"/>
          <w:sz w:val="24"/>
          <w:szCs w:val="24"/>
        </w:rPr>
        <w:t xml:space="preserve"> significantly reduces </w:t>
      </w:r>
      <w:r>
        <w:rPr>
          <w:rFonts w:ascii="Times New Roman" w:eastAsia="Times New Roman" w:hAnsi="Times New Roman" w:cs="Times New Roman"/>
          <w:i/>
          <w:sz w:val="24"/>
          <w:szCs w:val="24"/>
        </w:rPr>
        <w:t>Fusarium</w:t>
      </w:r>
      <w:r>
        <w:rPr>
          <w:rFonts w:ascii="Times New Roman" w:eastAsia="Times New Roman" w:hAnsi="Times New Roman" w:cs="Times New Roman"/>
          <w:sz w:val="24"/>
          <w:szCs w:val="24"/>
        </w:rPr>
        <w:t xml:space="preserve"> wilt incidence (Gupta et al., 2019).</w:t>
      </w:r>
    </w:p>
    <w:p w14:paraId="00000057" w14:textId="77777777" w:rsidR="00CC42A1" w:rsidRDefault="00391FE0">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Potato late blight:</w:t>
      </w:r>
      <w:r>
        <w:rPr>
          <w:rFonts w:ascii="Times New Roman" w:eastAsia="Times New Roman" w:hAnsi="Times New Roman" w:cs="Times New Roman"/>
          <w:sz w:val="24"/>
          <w:szCs w:val="24"/>
        </w:rPr>
        <w:t xml:space="preserve"> Integration of resistant cultivars, forecasting models, and fungicide rotation reduces yield losses by 50–70% (</w:t>
      </w:r>
      <w:proofErr w:type="spellStart"/>
      <w:r>
        <w:rPr>
          <w:rFonts w:ascii="Times New Roman" w:eastAsia="Times New Roman" w:hAnsi="Times New Roman" w:cs="Times New Roman"/>
          <w:sz w:val="24"/>
          <w:szCs w:val="24"/>
        </w:rPr>
        <w:t>Haverkort</w:t>
      </w:r>
      <w:proofErr w:type="spellEnd"/>
      <w:r>
        <w:rPr>
          <w:rFonts w:ascii="Times New Roman" w:eastAsia="Times New Roman" w:hAnsi="Times New Roman" w:cs="Times New Roman"/>
          <w:sz w:val="24"/>
          <w:szCs w:val="24"/>
        </w:rPr>
        <w:t xml:space="preserve"> et al., 2016).</w:t>
      </w:r>
    </w:p>
    <w:p w14:paraId="00000058" w14:textId="77777777" w:rsidR="00CC42A1" w:rsidRDefault="00391FE0">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Cabbage black rot:</w:t>
      </w:r>
      <w:r>
        <w:rPr>
          <w:rFonts w:ascii="Times New Roman" w:eastAsia="Times New Roman" w:hAnsi="Times New Roman" w:cs="Times New Roman"/>
          <w:sz w:val="24"/>
          <w:szCs w:val="24"/>
        </w:rPr>
        <w:t xml:space="preserve"> Use of pathogen-free seed, hot water treatment, and copper sprays effectively control </w:t>
      </w:r>
      <w:r>
        <w:rPr>
          <w:rFonts w:ascii="Times New Roman" w:eastAsia="Times New Roman" w:hAnsi="Times New Roman" w:cs="Times New Roman"/>
          <w:i/>
          <w:sz w:val="24"/>
          <w:szCs w:val="24"/>
        </w:rPr>
        <w:t>Xanthomonas ca</w:t>
      </w:r>
      <w:r>
        <w:rPr>
          <w:rFonts w:ascii="Times New Roman" w:eastAsia="Times New Roman" w:hAnsi="Times New Roman" w:cs="Times New Roman"/>
          <w:i/>
          <w:sz w:val="24"/>
          <w:szCs w:val="24"/>
        </w:rPr>
        <w:t>mpestris</w:t>
      </w:r>
      <w:r>
        <w:rPr>
          <w:rFonts w:ascii="Times New Roman" w:eastAsia="Times New Roman" w:hAnsi="Times New Roman" w:cs="Times New Roman"/>
          <w:sz w:val="24"/>
          <w:szCs w:val="24"/>
        </w:rPr>
        <w:t xml:space="preserve"> (Ignatov et al., 2020).</w:t>
      </w:r>
    </w:p>
    <w:p w14:paraId="00000059"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 Challenges and Future Prospects</w:t>
      </w:r>
    </w:p>
    <w:p w14:paraId="0000005A"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its potential, IDM adoption faces challenges:</w:t>
      </w:r>
    </w:p>
    <w:p w14:paraId="0000005B" w14:textId="77777777" w:rsidR="00CC42A1" w:rsidRDefault="00391FE0">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Limited availability of resistant varieties in some crops.</w:t>
      </w:r>
    </w:p>
    <w:p w14:paraId="0000005C" w14:textId="77777777" w:rsidR="00CC42A1" w:rsidRDefault="00391FE0">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Variability in performance of </w:t>
      </w:r>
      <w:proofErr w:type="spellStart"/>
      <w:r>
        <w:rPr>
          <w:rFonts w:ascii="Times New Roman" w:eastAsia="Times New Roman" w:hAnsi="Times New Roman" w:cs="Times New Roman"/>
          <w:sz w:val="24"/>
          <w:szCs w:val="24"/>
        </w:rPr>
        <w:t>biocontrols</w:t>
      </w:r>
      <w:proofErr w:type="spellEnd"/>
      <w:r>
        <w:rPr>
          <w:rFonts w:ascii="Times New Roman" w:eastAsia="Times New Roman" w:hAnsi="Times New Roman" w:cs="Times New Roman"/>
          <w:sz w:val="24"/>
          <w:szCs w:val="24"/>
        </w:rPr>
        <w:t xml:space="preserve"> under field conditions.</w:t>
      </w:r>
    </w:p>
    <w:p w14:paraId="0000005D" w14:textId="77777777" w:rsidR="00CC42A1" w:rsidRDefault="00391FE0">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Inadequat</w:t>
      </w:r>
      <w:r>
        <w:rPr>
          <w:rFonts w:ascii="Times New Roman" w:eastAsia="Times New Roman" w:hAnsi="Times New Roman" w:cs="Times New Roman"/>
          <w:sz w:val="24"/>
          <w:szCs w:val="24"/>
        </w:rPr>
        <w:t>e farmer awareness and extension support.</w:t>
      </w:r>
    </w:p>
    <w:p w14:paraId="0000005E" w14:textId="77777777" w:rsidR="00CC42A1" w:rsidRDefault="00391FE0">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 initial cost of precision technologies.</w:t>
      </w:r>
    </w:p>
    <w:p w14:paraId="0000005F"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Future prospects include:</w:t>
      </w:r>
    </w:p>
    <w:p w14:paraId="00000060" w14:textId="77777777" w:rsidR="00CC42A1" w:rsidRDefault="00391FE0">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Systems-based </w:t>
      </w:r>
      <w:proofErr w:type="spellStart"/>
      <w:r>
        <w:rPr>
          <w:rFonts w:ascii="Times New Roman" w:eastAsia="Times New Roman" w:hAnsi="Times New Roman" w:cs="Times New Roman"/>
          <w:sz w:val="24"/>
          <w:szCs w:val="24"/>
        </w:rPr>
        <w:t>modeling</w:t>
      </w:r>
      <w:proofErr w:type="spellEnd"/>
      <w:r>
        <w:rPr>
          <w:rFonts w:ascii="Times New Roman" w:eastAsia="Times New Roman" w:hAnsi="Times New Roman" w:cs="Times New Roman"/>
          <w:sz w:val="24"/>
          <w:szCs w:val="24"/>
        </w:rPr>
        <w:t xml:space="preserve"> of disease epidemics.</w:t>
      </w:r>
    </w:p>
    <w:p w14:paraId="00000061" w14:textId="77777777" w:rsidR="00CC42A1" w:rsidRDefault="00391FE0">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Integration of omics tools for resistance breeding.</w:t>
      </w:r>
    </w:p>
    <w:p w14:paraId="00000062" w14:textId="77777777" w:rsidR="00CC42A1" w:rsidRDefault="00391FE0">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Farmer-participatory research for region-speci</w:t>
      </w:r>
      <w:r>
        <w:rPr>
          <w:rFonts w:ascii="Times New Roman" w:eastAsia="Times New Roman" w:hAnsi="Times New Roman" w:cs="Times New Roman"/>
          <w:sz w:val="24"/>
          <w:szCs w:val="24"/>
        </w:rPr>
        <w:t>fic IDM.</w:t>
      </w:r>
    </w:p>
    <w:p w14:paraId="00000063" w14:textId="77777777" w:rsidR="00CC42A1" w:rsidRDefault="00391FE0">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Policy support for biopesticides and ecological practices.</w:t>
      </w:r>
    </w:p>
    <w:p w14:paraId="00000064"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Conclusion</w:t>
      </w:r>
    </w:p>
    <w:p w14:paraId="00000065"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Integrated Disease Management offers a sustainable path to protect vegetable crops while minimizing environmental and health risks. By combining cultural, biological, host r</w:t>
      </w:r>
      <w:r>
        <w:rPr>
          <w:rFonts w:ascii="Times New Roman" w:eastAsia="Times New Roman" w:hAnsi="Times New Roman" w:cs="Times New Roman"/>
          <w:sz w:val="24"/>
          <w:szCs w:val="24"/>
        </w:rPr>
        <w:t xml:space="preserve">esistance, and selective chemical methods with modern technologies, IDM addresses both immediate and long-term challenges. Scaling up IDM requires interdisciplinary collaboration, farmer education, and supportive policies. Future research should emphasize </w:t>
      </w:r>
      <w:r>
        <w:rPr>
          <w:rFonts w:ascii="Times New Roman" w:eastAsia="Times New Roman" w:hAnsi="Times New Roman" w:cs="Times New Roman"/>
          <w:sz w:val="24"/>
          <w:szCs w:val="24"/>
        </w:rPr>
        <w:t xml:space="preserve">climate-resilient resistant varieties, smart delivery systems for </w:t>
      </w:r>
      <w:proofErr w:type="spellStart"/>
      <w:r>
        <w:rPr>
          <w:rFonts w:ascii="Times New Roman" w:eastAsia="Times New Roman" w:hAnsi="Times New Roman" w:cs="Times New Roman"/>
          <w:sz w:val="24"/>
          <w:szCs w:val="24"/>
        </w:rPr>
        <w:t>biocontrols</w:t>
      </w:r>
      <w:proofErr w:type="spellEnd"/>
      <w:r>
        <w:rPr>
          <w:rFonts w:ascii="Times New Roman" w:eastAsia="Times New Roman" w:hAnsi="Times New Roman" w:cs="Times New Roman"/>
          <w:sz w:val="24"/>
          <w:szCs w:val="24"/>
        </w:rPr>
        <w:t>, and digital tools for disease forecasting to ensure global food and nutritional security.</w:t>
      </w:r>
    </w:p>
    <w:p w14:paraId="00000066"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00000067"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Borah, S., Bora, L. C., &amp; Sharma, P. (2020). Biocontrol potential of </w:t>
      </w:r>
      <w:r>
        <w:rPr>
          <w:rFonts w:ascii="Times New Roman" w:eastAsia="Times New Roman" w:hAnsi="Times New Roman" w:cs="Times New Roman"/>
          <w:i/>
          <w:sz w:val="24"/>
          <w:szCs w:val="24"/>
        </w:rPr>
        <w:t>Pseudom</w:t>
      </w:r>
      <w:r>
        <w:rPr>
          <w:rFonts w:ascii="Times New Roman" w:eastAsia="Times New Roman" w:hAnsi="Times New Roman" w:cs="Times New Roman"/>
          <w:i/>
          <w:sz w:val="24"/>
          <w:szCs w:val="24"/>
        </w:rPr>
        <w:t>onas fluorescens</w:t>
      </w:r>
      <w:r>
        <w:rPr>
          <w:rFonts w:ascii="Times New Roman" w:eastAsia="Times New Roman" w:hAnsi="Times New Roman" w:cs="Times New Roman"/>
          <w:sz w:val="24"/>
          <w:szCs w:val="24"/>
        </w:rPr>
        <w:t xml:space="preserve"> against bacterial wilt of tomato under field conditions. </w:t>
      </w:r>
      <w:r>
        <w:rPr>
          <w:rFonts w:ascii="Times New Roman" w:eastAsia="Times New Roman" w:hAnsi="Times New Roman" w:cs="Times New Roman"/>
          <w:i/>
          <w:sz w:val="24"/>
          <w:szCs w:val="24"/>
        </w:rPr>
        <w:t>Indian Phytopathology</w:t>
      </w:r>
      <w:r>
        <w:rPr>
          <w:rFonts w:ascii="Times New Roman" w:eastAsia="Times New Roman" w:hAnsi="Times New Roman" w:cs="Times New Roman"/>
          <w:sz w:val="24"/>
          <w:szCs w:val="24"/>
        </w:rPr>
        <w:t>, 73, 627–635.</w:t>
      </w:r>
    </w:p>
    <w:p w14:paraId="00000068"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Chakraborty, S., &amp; Newton, A. C. (2011). Climate change, plant diseases and food security: an overview. </w:t>
      </w:r>
      <w:r>
        <w:rPr>
          <w:rFonts w:ascii="Times New Roman" w:eastAsia="Times New Roman" w:hAnsi="Times New Roman" w:cs="Times New Roman"/>
          <w:i/>
          <w:sz w:val="24"/>
          <w:szCs w:val="24"/>
        </w:rPr>
        <w:t>Plant Pathology</w:t>
      </w:r>
      <w:r>
        <w:rPr>
          <w:rFonts w:ascii="Times New Roman" w:eastAsia="Times New Roman" w:hAnsi="Times New Roman" w:cs="Times New Roman"/>
          <w:sz w:val="24"/>
          <w:szCs w:val="24"/>
        </w:rPr>
        <w:t>, 60(1), 2–14.</w:t>
      </w:r>
    </w:p>
    <w:p w14:paraId="00000069"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Chaudhry, A., Singh, R., &amp; Javed, T. (2020). Nanotechnology for plant disease management: present status and future perspectives. </w:t>
      </w:r>
      <w:r>
        <w:rPr>
          <w:rFonts w:ascii="Times New Roman" w:eastAsia="Times New Roman" w:hAnsi="Times New Roman" w:cs="Times New Roman"/>
          <w:i/>
          <w:sz w:val="24"/>
          <w:szCs w:val="24"/>
        </w:rPr>
        <w:t>Journal of Plant Diseases and Protection</w:t>
      </w:r>
      <w:r>
        <w:rPr>
          <w:rFonts w:ascii="Times New Roman" w:eastAsia="Times New Roman" w:hAnsi="Times New Roman" w:cs="Times New Roman"/>
          <w:sz w:val="24"/>
          <w:szCs w:val="24"/>
        </w:rPr>
        <w:t>, 127(2), 121–135.</w:t>
      </w:r>
    </w:p>
    <w:p w14:paraId="0000006A"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Cook, R. J. (2000). Advances in plant health management in the twen</w:t>
      </w:r>
      <w:r>
        <w:rPr>
          <w:rFonts w:ascii="Times New Roman" w:eastAsia="Times New Roman" w:hAnsi="Times New Roman" w:cs="Times New Roman"/>
          <w:sz w:val="24"/>
          <w:szCs w:val="24"/>
        </w:rPr>
        <w:t xml:space="preserve">tieth century. </w:t>
      </w:r>
      <w:r>
        <w:rPr>
          <w:rFonts w:ascii="Times New Roman" w:eastAsia="Times New Roman" w:hAnsi="Times New Roman" w:cs="Times New Roman"/>
          <w:i/>
          <w:sz w:val="24"/>
          <w:szCs w:val="24"/>
        </w:rPr>
        <w:t>Annual Review of Phytopathology</w:t>
      </w:r>
      <w:r>
        <w:rPr>
          <w:rFonts w:ascii="Times New Roman" w:eastAsia="Times New Roman" w:hAnsi="Times New Roman" w:cs="Times New Roman"/>
          <w:sz w:val="24"/>
          <w:szCs w:val="24"/>
        </w:rPr>
        <w:t>, 38, 95–116.</w:t>
      </w:r>
    </w:p>
    <w:p w14:paraId="0000006B"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FAO. (2020). </w:t>
      </w:r>
      <w:r>
        <w:rPr>
          <w:rFonts w:ascii="Times New Roman" w:eastAsia="Times New Roman" w:hAnsi="Times New Roman" w:cs="Times New Roman"/>
          <w:i/>
          <w:sz w:val="24"/>
          <w:szCs w:val="24"/>
        </w:rPr>
        <w:t>The State of the World’s Vegetables and Pulses</w:t>
      </w:r>
      <w:r>
        <w:rPr>
          <w:rFonts w:ascii="Times New Roman" w:eastAsia="Times New Roman" w:hAnsi="Times New Roman" w:cs="Times New Roman"/>
          <w:sz w:val="24"/>
          <w:szCs w:val="24"/>
        </w:rPr>
        <w:t>. Food and Agriculture Organization of the United Nations, Rome.</w:t>
      </w:r>
    </w:p>
    <w:p w14:paraId="0000006C"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 (Fungicide Resistance Action Committee). (2021). </w:t>
      </w:r>
      <w:r>
        <w:rPr>
          <w:rFonts w:ascii="Times New Roman" w:eastAsia="Times New Roman" w:hAnsi="Times New Roman" w:cs="Times New Roman"/>
          <w:i/>
          <w:sz w:val="24"/>
          <w:szCs w:val="24"/>
        </w:rPr>
        <w:t>Fungicide resistan</w:t>
      </w:r>
      <w:r>
        <w:rPr>
          <w:rFonts w:ascii="Times New Roman" w:eastAsia="Times New Roman" w:hAnsi="Times New Roman" w:cs="Times New Roman"/>
          <w:i/>
          <w:sz w:val="24"/>
          <w:szCs w:val="24"/>
        </w:rPr>
        <w:t>ce management guidelines</w:t>
      </w:r>
      <w:r>
        <w:rPr>
          <w:rFonts w:ascii="Times New Roman" w:eastAsia="Times New Roman" w:hAnsi="Times New Roman" w:cs="Times New Roman"/>
          <w:sz w:val="24"/>
          <w:szCs w:val="24"/>
        </w:rPr>
        <w:t>. Retrieved from https://www.frac.info/</w:t>
      </w:r>
    </w:p>
    <w:p w14:paraId="0000006D"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Fry, W. E., Birch, P. R. J., Judelson, H. S., Grünwald, N. J., Danies, G., Everts, K. L., ... &amp; Smart, C. D. (2015). Five reasons to consider </w:t>
      </w:r>
      <w:r>
        <w:rPr>
          <w:rFonts w:ascii="Times New Roman" w:eastAsia="Times New Roman" w:hAnsi="Times New Roman" w:cs="Times New Roman"/>
          <w:i/>
          <w:sz w:val="24"/>
          <w:szCs w:val="24"/>
        </w:rPr>
        <w:t>Phytophthora infestans</w:t>
      </w:r>
      <w:r>
        <w:rPr>
          <w:rFonts w:ascii="Times New Roman" w:eastAsia="Times New Roman" w:hAnsi="Times New Roman" w:cs="Times New Roman"/>
          <w:sz w:val="24"/>
          <w:szCs w:val="24"/>
        </w:rPr>
        <w:t xml:space="preserve"> a reemerging pathogen. </w:t>
      </w:r>
      <w:r>
        <w:rPr>
          <w:rFonts w:ascii="Times New Roman" w:eastAsia="Times New Roman" w:hAnsi="Times New Roman" w:cs="Times New Roman"/>
          <w:i/>
          <w:sz w:val="24"/>
          <w:szCs w:val="24"/>
        </w:rPr>
        <w:t>Phytopathology</w:t>
      </w:r>
      <w:r>
        <w:rPr>
          <w:rFonts w:ascii="Times New Roman" w:eastAsia="Times New Roman" w:hAnsi="Times New Roman" w:cs="Times New Roman"/>
          <w:sz w:val="24"/>
          <w:szCs w:val="24"/>
        </w:rPr>
        <w:t>, 105(7), 966–981.</w:t>
      </w:r>
    </w:p>
    <w:p w14:paraId="0000006E"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Gupta, A., Sharma, R., &amp; Singh, D. (2019). Integrated management of wilt complex in tomato using resistant varieties and biocontrol agents. </w:t>
      </w:r>
      <w:r>
        <w:rPr>
          <w:rFonts w:ascii="Times New Roman" w:eastAsia="Times New Roman" w:hAnsi="Times New Roman" w:cs="Times New Roman"/>
          <w:i/>
          <w:sz w:val="24"/>
          <w:szCs w:val="24"/>
        </w:rPr>
        <w:t>Vegetable Science</w:t>
      </w:r>
      <w:r>
        <w:rPr>
          <w:rFonts w:ascii="Times New Roman" w:eastAsia="Times New Roman" w:hAnsi="Times New Roman" w:cs="Times New Roman"/>
          <w:sz w:val="24"/>
          <w:szCs w:val="24"/>
        </w:rPr>
        <w:t>, 46(2), 152–160.</w:t>
      </w:r>
    </w:p>
    <w:p w14:paraId="0000006F"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Hahn, M. (2014). The rising threat of fungicide </w:t>
      </w:r>
      <w:r>
        <w:rPr>
          <w:rFonts w:ascii="Times New Roman" w:eastAsia="Times New Roman" w:hAnsi="Times New Roman" w:cs="Times New Roman"/>
          <w:sz w:val="24"/>
          <w:szCs w:val="24"/>
        </w:rPr>
        <w:t xml:space="preserve">resistance in plant pathogenic fungi: Botrytis as a case study. </w:t>
      </w:r>
      <w:r>
        <w:rPr>
          <w:rFonts w:ascii="Times New Roman" w:eastAsia="Times New Roman" w:hAnsi="Times New Roman" w:cs="Times New Roman"/>
          <w:i/>
          <w:sz w:val="24"/>
          <w:szCs w:val="24"/>
        </w:rPr>
        <w:t>Journal of Chemical Biology</w:t>
      </w:r>
      <w:r>
        <w:rPr>
          <w:rFonts w:ascii="Times New Roman" w:eastAsia="Times New Roman" w:hAnsi="Times New Roman" w:cs="Times New Roman"/>
          <w:sz w:val="24"/>
          <w:szCs w:val="24"/>
        </w:rPr>
        <w:t>, 7(4), 133–141.</w:t>
      </w:r>
    </w:p>
    <w:p w14:paraId="00000070"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Harman, G. E., Howell, C. R., Viterbo, A., Chet, I., &amp; Lorito, M. (2004). Trichoderma species—opportunistic, avirulent plant symbionts. </w:t>
      </w:r>
      <w:r>
        <w:rPr>
          <w:rFonts w:ascii="Times New Roman" w:eastAsia="Times New Roman" w:hAnsi="Times New Roman" w:cs="Times New Roman"/>
          <w:i/>
          <w:sz w:val="24"/>
          <w:szCs w:val="24"/>
        </w:rPr>
        <w:t>Nature Revie</w:t>
      </w:r>
      <w:r>
        <w:rPr>
          <w:rFonts w:ascii="Times New Roman" w:eastAsia="Times New Roman" w:hAnsi="Times New Roman" w:cs="Times New Roman"/>
          <w:i/>
          <w:sz w:val="24"/>
          <w:szCs w:val="24"/>
        </w:rPr>
        <w:t>ws Microbiology</w:t>
      </w:r>
      <w:r>
        <w:rPr>
          <w:rFonts w:ascii="Times New Roman" w:eastAsia="Times New Roman" w:hAnsi="Times New Roman" w:cs="Times New Roman"/>
          <w:sz w:val="24"/>
          <w:szCs w:val="24"/>
        </w:rPr>
        <w:t>, 2(1), 43–56.</w:t>
      </w:r>
    </w:p>
    <w:p w14:paraId="00000071" w14:textId="77777777" w:rsidR="00CC42A1" w:rsidRDefault="00391FE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Haverkort</w:t>
      </w:r>
      <w:proofErr w:type="spellEnd"/>
      <w:r>
        <w:rPr>
          <w:rFonts w:ascii="Times New Roman" w:eastAsia="Times New Roman" w:hAnsi="Times New Roman" w:cs="Times New Roman"/>
          <w:sz w:val="24"/>
          <w:szCs w:val="24"/>
        </w:rPr>
        <w:t xml:space="preserve">, A. J., </w:t>
      </w:r>
      <w:proofErr w:type="spellStart"/>
      <w:r>
        <w:rPr>
          <w:rFonts w:ascii="Times New Roman" w:eastAsia="Times New Roman" w:hAnsi="Times New Roman" w:cs="Times New Roman"/>
          <w:sz w:val="24"/>
          <w:szCs w:val="24"/>
        </w:rPr>
        <w:t>Boonekamp</w:t>
      </w:r>
      <w:proofErr w:type="spellEnd"/>
      <w:r>
        <w:rPr>
          <w:rFonts w:ascii="Times New Roman" w:eastAsia="Times New Roman" w:hAnsi="Times New Roman" w:cs="Times New Roman"/>
          <w:sz w:val="24"/>
          <w:szCs w:val="24"/>
        </w:rPr>
        <w:t xml:space="preserve">, P. M., Hutten, R., Jacobsen, E., Lotz, L. A. P., Kessel, G. J. T., ... &amp; Visser, R. G. F. (2016). Durable late blight resistance in potato through dynamic varieties obtained by </w:t>
      </w:r>
      <w:proofErr w:type="spellStart"/>
      <w:r>
        <w:rPr>
          <w:rFonts w:ascii="Times New Roman" w:eastAsia="Times New Roman" w:hAnsi="Times New Roman" w:cs="Times New Roman"/>
          <w:sz w:val="24"/>
          <w:szCs w:val="24"/>
        </w:rPr>
        <w:t>cisgenesis</w:t>
      </w:r>
      <w:proofErr w:type="spellEnd"/>
      <w:r>
        <w:rPr>
          <w:rFonts w:ascii="Times New Roman" w:eastAsia="Times New Roman" w:hAnsi="Times New Roman" w:cs="Times New Roman"/>
          <w:sz w:val="24"/>
          <w:szCs w:val="24"/>
        </w:rPr>
        <w:t>: Scientif</w:t>
      </w:r>
      <w:r>
        <w:rPr>
          <w:rFonts w:ascii="Times New Roman" w:eastAsia="Times New Roman" w:hAnsi="Times New Roman" w:cs="Times New Roman"/>
          <w:sz w:val="24"/>
          <w:szCs w:val="24"/>
        </w:rPr>
        <w:t xml:space="preserve">ic and societal advances in the </w:t>
      </w:r>
      <w:proofErr w:type="spellStart"/>
      <w:r>
        <w:rPr>
          <w:rFonts w:ascii="Times New Roman" w:eastAsia="Times New Roman" w:hAnsi="Times New Roman" w:cs="Times New Roman"/>
          <w:sz w:val="24"/>
          <w:szCs w:val="24"/>
        </w:rPr>
        <w:t>DuRPh</w:t>
      </w:r>
      <w:proofErr w:type="spellEnd"/>
      <w:r>
        <w:rPr>
          <w:rFonts w:ascii="Times New Roman" w:eastAsia="Times New Roman" w:hAnsi="Times New Roman" w:cs="Times New Roman"/>
          <w:sz w:val="24"/>
          <w:szCs w:val="24"/>
        </w:rPr>
        <w:t xml:space="preserve"> project. </w:t>
      </w:r>
      <w:r>
        <w:rPr>
          <w:rFonts w:ascii="Times New Roman" w:eastAsia="Times New Roman" w:hAnsi="Times New Roman" w:cs="Times New Roman"/>
          <w:i/>
          <w:sz w:val="24"/>
          <w:szCs w:val="24"/>
        </w:rPr>
        <w:t>Potato Research</w:t>
      </w:r>
      <w:r>
        <w:rPr>
          <w:rFonts w:ascii="Times New Roman" w:eastAsia="Times New Roman" w:hAnsi="Times New Roman" w:cs="Times New Roman"/>
          <w:sz w:val="24"/>
          <w:szCs w:val="24"/>
        </w:rPr>
        <w:t>, 59(1), 35–66.</w:t>
      </w:r>
    </w:p>
    <w:p w14:paraId="00000072"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Hull, R. (2014). Plant Virology (5th ed.). Academic Press.</w:t>
      </w:r>
    </w:p>
    <w:p w14:paraId="00000073"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Ignatov, A., Mikhailova, L., &amp; Schaad, N. (2020). Black rot of crucifers: history, biology, and control. </w:t>
      </w:r>
      <w:r>
        <w:rPr>
          <w:rFonts w:ascii="Times New Roman" w:eastAsia="Times New Roman" w:hAnsi="Times New Roman" w:cs="Times New Roman"/>
          <w:i/>
          <w:sz w:val="24"/>
          <w:szCs w:val="24"/>
        </w:rPr>
        <w:t>Plant Patholog</w:t>
      </w:r>
      <w:r>
        <w:rPr>
          <w:rFonts w:ascii="Times New Roman" w:eastAsia="Times New Roman" w:hAnsi="Times New Roman" w:cs="Times New Roman"/>
          <w:i/>
          <w:sz w:val="24"/>
          <w:szCs w:val="24"/>
        </w:rPr>
        <w:t>y Journal</w:t>
      </w:r>
      <w:r>
        <w:rPr>
          <w:rFonts w:ascii="Times New Roman" w:eastAsia="Times New Roman" w:hAnsi="Times New Roman" w:cs="Times New Roman"/>
          <w:sz w:val="24"/>
          <w:szCs w:val="24"/>
        </w:rPr>
        <w:t>, 36(2), 81–93.</w:t>
      </w:r>
    </w:p>
    <w:p w14:paraId="00000074"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Jung, S. C., Martinez-Medina, A., Lopez-Raez, J. A., &amp; Pozo, M. J. (2012). Mycorrhiza-induced resistance and priming of plant </w:t>
      </w:r>
      <w:proofErr w:type="spellStart"/>
      <w:r>
        <w:rPr>
          <w:rFonts w:ascii="Times New Roman" w:eastAsia="Times New Roman" w:hAnsi="Times New Roman" w:cs="Times New Roman"/>
          <w:sz w:val="24"/>
          <w:szCs w:val="24"/>
        </w:rPr>
        <w:t>defenses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Journal of Chemical Ecology</w:t>
      </w:r>
      <w:r>
        <w:rPr>
          <w:rFonts w:ascii="Times New Roman" w:eastAsia="Times New Roman" w:hAnsi="Times New Roman" w:cs="Times New Roman"/>
          <w:sz w:val="24"/>
          <w:szCs w:val="24"/>
        </w:rPr>
        <w:t>, 38(6), 651–664.</w:t>
      </w:r>
    </w:p>
    <w:p w14:paraId="00000075"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Katan, J. (2017). Soil solarization: principles, a</w:t>
      </w:r>
      <w:r>
        <w:rPr>
          <w:rFonts w:ascii="Times New Roman" w:eastAsia="Times New Roman" w:hAnsi="Times New Roman" w:cs="Times New Roman"/>
          <w:sz w:val="24"/>
          <w:szCs w:val="24"/>
        </w:rPr>
        <w:t xml:space="preserve">pplications and future directions. </w:t>
      </w:r>
      <w:r>
        <w:rPr>
          <w:rFonts w:ascii="Times New Roman" w:eastAsia="Times New Roman" w:hAnsi="Times New Roman" w:cs="Times New Roman"/>
          <w:i/>
          <w:sz w:val="24"/>
          <w:szCs w:val="24"/>
        </w:rPr>
        <w:t>Phytoparasitica</w:t>
      </w:r>
      <w:r>
        <w:rPr>
          <w:rFonts w:ascii="Times New Roman" w:eastAsia="Times New Roman" w:hAnsi="Times New Roman" w:cs="Times New Roman"/>
          <w:sz w:val="24"/>
          <w:szCs w:val="24"/>
        </w:rPr>
        <w:t>, 45(4), 467–479.</w:t>
      </w:r>
    </w:p>
    <w:p w14:paraId="00000076"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Keswani, C., Singh, H. B., Garcia-Estrada, C., </w:t>
      </w:r>
      <w:proofErr w:type="spellStart"/>
      <w:r>
        <w:rPr>
          <w:rFonts w:ascii="Times New Roman" w:eastAsia="Times New Roman" w:hAnsi="Times New Roman" w:cs="Times New Roman"/>
          <w:sz w:val="24"/>
          <w:szCs w:val="24"/>
        </w:rPr>
        <w:t>Caradus</w:t>
      </w:r>
      <w:proofErr w:type="spellEnd"/>
      <w:r>
        <w:rPr>
          <w:rFonts w:ascii="Times New Roman" w:eastAsia="Times New Roman" w:hAnsi="Times New Roman" w:cs="Times New Roman"/>
          <w:sz w:val="24"/>
          <w:szCs w:val="24"/>
        </w:rPr>
        <w:t xml:space="preserve">, J., He, Y. W., </w:t>
      </w:r>
      <w:proofErr w:type="spellStart"/>
      <w:r>
        <w:rPr>
          <w:rFonts w:ascii="Times New Roman" w:eastAsia="Times New Roman" w:hAnsi="Times New Roman" w:cs="Times New Roman"/>
          <w:sz w:val="24"/>
          <w:szCs w:val="24"/>
        </w:rPr>
        <w:t>Mezaache-Aichour</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Sansinenea</w:t>
      </w:r>
      <w:proofErr w:type="spellEnd"/>
      <w:r>
        <w:rPr>
          <w:rFonts w:ascii="Times New Roman" w:eastAsia="Times New Roman" w:hAnsi="Times New Roman" w:cs="Times New Roman"/>
          <w:sz w:val="24"/>
          <w:szCs w:val="24"/>
        </w:rPr>
        <w:t>, E. (2019). Antimicrobial secondary metabolites from agriculturally important fung</w:t>
      </w:r>
      <w:r>
        <w:rPr>
          <w:rFonts w:ascii="Times New Roman" w:eastAsia="Times New Roman" w:hAnsi="Times New Roman" w:cs="Times New Roman"/>
          <w:sz w:val="24"/>
          <w:szCs w:val="24"/>
        </w:rPr>
        <w:t xml:space="preserve">i as next-generation pesticides. </w:t>
      </w:r>
      <w:r>
        <w:rPr>
          <w:rFonts w:ascii="Times New Roman" w:eastAsia="Times New Roman" w:hAnsi="Times New Roman" w:cs="Times New Roman"/>
          <w:i/>
          <w:sz w:val="24"/>
          <w:szCs w:val="24"/>
        </w:rPr>
        <w:t>Applied Microbiology and Biotechnology</w:t>
      </w:r>
      <w:r>
        <w:rPr>
          <w:rFonts w:ascii="Times New Roman" w:eastAsia="Times New Roman" w:hAnsi="Times New Roman" w:cs="Times New Roman"/>
          <w:sz w:val="24"/>
          <w:szCs w:val="24"/>
        </w:rPr>
        <w:t>, 103(3), 9287–9303.</w:t>
      </w:r>
    </w:p>
    <w:p w14:paraId="00000077"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Keswani, C., Singh, H. B., Garcia-Estrada, C., </w:t>
      </w:r>
      <w:proofErr w:type="spellStart"/>
      <w:r>
        <w:rPr>
          <w:rFonts w:ascii="Times New Roman" w:eastAsia="Times New Roman" w:hAnsi="Times New Roman" w:cs="Times New Roman"/>
          <w:sz w:val="24"/>
          <w:szCs w:val="24"/>
        </w:rPr>
        <w:t>Caradus</w:t>
      </w:r>
      <w:proofErr w:type="spellEnd"/>
      <w:r>
        <w:rPr>
          <w:rFonts w:ascii="Times New Roman" w:eastAsia="Times New Roman" w:hAnsi="Times New Roman" w:cs="Times New Roman"/>
          <w:sz w:val="24"/>
          <w:szCs w:val="24"/>
        </w:rPr>
        <w:t xml:space="preserve">, J., He, Y. W., </w:t>
      </w:r>
      <w:proofErr w:type="spellStart"/>
      <w:r>
        <w:rPr>
          <w:rFonts w:ascii="Times New Roman" w:eastAsia="Times New Roman" w:hAnsi="Times New Roman" w:cs="Times New Roman"/>
          <w:sz w:val="24"/>
          <w:szCs w:val="24"/>
        </w:rPr>
        <w:t>Mezaache-Aichour</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Sansinenea</w:t>
      </w:r>
      <w:proofErr w:type="spellEnd"/>
      <w:r>
        <w:rPr>
          <w:rFonts w:ascii="Times New Roman" w:eastAsia="Times New Roman" w:hAnsi="Times New Roman" w:cs="Times New Roman"/>
          <w:sz w:val="24"/>
          <w:szCs w:val="24"/>
        </w:rPr>
        <w:t>, E. (2019). Antimicrobial secondary metabolites from agric</w:t>
      </w:r>
      <w:r>
        <w:rPr>
          <w:rFonts w:ascii="Times New Roman" w:eastAsia="Times New Roman" w:hAnsi="Times New Roman" w:cs="Times New Roman"/>
          <w:sz w:val="24"/>
          <w:szCs w:val="24"/>
        </w:rPr>
        <w:t xml:space="preserve">ulturally important fungi as next-generation pesticides. </w:t>
      </w:r>
      <w:r>
        <w:rPr>
          <w:rFonts w:ascii="Times New Roman" w:eastAsia="Times New Roman" w:hAnsi="Times New Roman" w:cs="Times New Roman"/>
          <w:i/>
          <w:sz w:val="24"/>
          <w:szCs w:val="24"/>
        </w:rPr>
        <w:t>Applied Microbiology and Biotechnology</w:t>
      </w:r>
      <w:r>
        <w:rPr>
          <w:rFonts w:ascii="Times New Roman" w:eastAsia="Times New Roman" w:hAnsi="Times New Roman" w:cs="Times New Roman"/>
          <w:sz w:val="24"/>
          <w:szCs w:val="24"/>
        </w:rPr>
        <w:t>, 103, 9287–9303</w:t>
      </w:r>
    </w:p>
    <w:p w14:paraId="00000078"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Kloepper, J. W., Ryu, C. M., &amp; Zhang, S. (2004). Induced systemic resistance and promotion of plant growth by </w:t>
      </w:r>
      <w:r>
        <w:rPr>
          <w:rFonts w:ascii="Times New Roman" w:eastAsia="Times New Roman" w:hAnsi="Times New Roman" w:cs="Times New Roman"/>
          <w:i/>
          <w:sz w:val="24"/>
          <w:szCs w:val="24"/>
        </w:rPr>
        <w:t xml:space="preserve">Bacillus </w:t>
      </w:r>
      <w:proofErr w:type="gramStart"/>
      <w:r>
        <w:rPr>
          <w:rFonts w:ascii="Times New Roman" w:eastAsia="Times New Roman" w:hAnsi="Times New Roman" w:cs="Times New Roman"/>
          <w:i/>
          <w:sz w:val="24"/>
          <w:szCs w:val="24"/>
        </w:rPr>
        <w:t>spp.</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Phytopathology</w:t>
      </w:r>
      <w:r>
        <w:rPr>
          <w:rFonts w:ascii="Times New Roman" w:eastAsia="Times New Roman" w:hAnsi="Times New Roman" w:cs="Times New Roman"/>
          <w:sz w:val="24"/>
          <w:szCs w:val="24"/>
        </w:rPr>
        <w:t>, 94(</w:t>
      </w:r>
      <w:r>
        <w:rPr>
          <w:rFonts w:ascii="Times New Roman" w:eastAsia="Times New Roman" w:hAnsi="Times New Roman" w:cs="Times New Roman"/>
          <w:sz w:val="24"/>
          <w:szCs w:val="24"/>
        </w:rPr>
        <w:t>11), 1259–1266.</w:t>
      </w:r>
    </w:p>
    <w:p w14:paraId="00000079"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Maharshi, A., Singh, A., &amp; Patel, D. (2021). Role of crop rotation in integrated disease management of vegetables. </w:t>
      </w:r>
      <w:r>
        <w:rPr>
          <w:rFonts w:ascii="Times New Roman" w:eastAsia="Times New Roman" w:hAnsi="Times New Roman" w:cs="Times New Roman"/>
          <w:i/>
          <w:sz w:val="24"/>
          <w:szCs w:val="24"/>
        </w:rPr>
        <w:t>Indian Journal of Agricultural Sciences</w:t>
      </w:r>
      <w:r>
        <w:rPr>
          <w:rFonts w:ascii="Times New Roman" w:eastAsia="Times New Roman" w:hAnsi="Times New Roman" w:cs="Times New Roman"/>
          <w:sz w:val="24"/>
          <w:szCs w:val="24"/>
        </w:rPr>
        <w:t>, 91(7), 975–982.</w:t>
      </w:r>
    </w:p>
    <w:p w14:paraId="0000007A" w14:textId="77777777" w:rsidR="00CC42A1" w:rsidRDefault="00391FE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Mahlein</w:t>
      </w:r>
      <w:proofErr w:type="spellEnd"/>
      <w:r>
        <w:rPr>
          <w:rFonts w:ascii="Times New Roman" w:eastAsia="Times New Roman" w:hAnsi="Times New Roman" w:cs="Times New Roman"/>
          <w:sz w:val="24"/>
          <w:szCs w:val="24"/>
        </w:rPr>
        <w:t>, A. K. (2016). Plant disease detection by imaging sensors–pa</w:t>
      </w:r>
      <w:r>
        <w:rPr>
          <w:rFonts w:ascii="Times New Roman" w:eastAsia="Times New Roman" w:hAnsi="Times New Roman" w:cs="Times New Roman"/>
          <w:sz w:val="24"/>
          <w:szCs w:val="24"/>
        </w:rPr>
        <w:t xml:space="preserve">rallels and specific demands for precision agriculture. </w:t>
      </w:r>
      <w:r>
        <w:rPr>
          <w:rFonts w:ascii="Times New Roman" w:eastAsia="Times New Roman" w:hAnsi="Times New Roman" w:cs="Times New Roman"/>
          <w:i/>
          <w:sz w:val="24"/>
          <w:szCs w:val="24"/>
        </w:rPr>
        <w:t>Plant Disease</w:t>
      </w:r>
      <w:r>
        <w:rPr>
          <w:rFonts w:ascii="Times New Roman" w:eastAsia="Times New Roman" w:hAnsi="Times New Roman" w:cs="Times New Roman"/>
          <w:sz w:val="24"/>
          <w:szCs w:val="24"/>
        </w:rPr>
        <w:t>, 100(2), 241–251.</w:t>
      </w:r>
    </w:p>
    <w:p w14:paraId="0000007B" w14:textId="77777777" w:rsidR="00CC42A1" w:rsidRDefault="00391FE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Michielse</w:t>
      </w:r>
      <w:proofErr w:type="spellEnd"/>
      <w:r>
        <w:rPr>
          <w:rFonts w:ascii="Times New Roman" w:eastAsia="Times New Roman" w:hAnsi="Times New Roman" w:cs="Times New Roman"/>
          <w:sz w:val="24"/>
          <w:szCs w:val="24"/>
        </w:rPr>
        <w:t xml:space="preserve">, C. B., &amp; Rep, M. (2009). Pathogen profile update: </w:t>
      </w:r>
      <w:r>
        <w:rPr>
          <w:rFonts w:ascii="Times New Roman" w:eastAsia="Times New Roman" w:hAnsi="Times New Roman" w:cs="Times New Roman"/>
          <w:i/>
          <w:sz w:val="24"/>
          <w:szCs w:val="24"/>
        </w:rPr>
        <w:t xml:space="preserve">Fusarium </w:t>
      </w:r>
      <w:proofErr w:type="spellStart"/>
      <w:r>
        <w:rPr>
          <w:rFonts w:ascii="Times New Roman" w:eastAsia="Times New Roman" w:hAnsi="Times New Roman" w:cs="Times New Roman"/>
          <w:i/>
          <w:sz w:val="24"/>
          <w:szCs w:val="24"/>
        </w:rPr>
        <w:t>oxysporum</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Molecular Plant Pathology</w:t>
      </w:r>
      <w:r>
        <w:rPr>
          <w:rFonts w:ascii="Times New Roman" w:eastAsia="Times New Roman" w:hAnsi="Times New Roman" w:cs="Times New Roman"/>
          <w:sz w:val="24"/>
          <w:szCs w:val="24"/>
        </w:rPr>
        <w:t>, 10(3), 311–324.</w:t>
      </w:r>
    </w:p>
    <w:p w14:paraId="0000007C"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Miedaner, T., &amp; Korzun, V. (2012). Marker-as</w:t>
      </w:r>
      <w:r>
        <w:rPr>
          <w:rFonts w:ascii="Times New Roman" w:eastAsia="Times New Roman" w:hAnsi="Times New Roman" w:cs="Times New Roman"/>
          <w:sz w:val="24"/>
          <w:szCs w:val="24"/>
        </w:rPr>
        <w:t xml:space="preserve">sisted selection for disease resistance in wheat and barley breeding. </w:t>
      </w:r>
      <w:r>
        <w:rPr>
          <w:rFonts w:ascii="Times New Roman" w:eastAsia="Times New Roman" w:hAnsi="Times New Roman" w:cs="Times New Roman"/>
          <w:i/>
          <w:sz w:val="24"/>
          <w:szCs w:val="24"/>
        </w:rPr>
        <w:t>Phytopathology</w:t>
      </w:r>
      <w:r>
        <w:rPr>
          <w:rFonts w:ascii="Times New Roman" w:eastAsia="Times New Roman" w:hAnsi="Times New Roman" w:cs="Times New Roman"/>
          <w:sz w:val="24"/>
          <w:szCs w:val="24"/>
        </w:rPr>
        <w:t>, 102(6), 560–566.</w:t>
      </w:r>
    </w:p>
    <w:p w14:paraId="0000007D"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Popp, J., Pető, K., &amp; Nagy, J. (2013). Pesticide productivity and food security: a review. </w:t>
      </w:r>
      <w:r>
        <w:rPr>
          <w:rFonts w:ascii="Times New Roman" w:eastAsia="Times New Roman" w:hAnsi="Times New Roman" w:cs="Times New Roman"/>
          <w:i/>
          <w:sz w:val="24"/>
          <w:szCs w:val="24"/>
        </w:rPr>
        <w:t>Agronomy for Sustainable Development</w:t>
      </w:r>
      <w:r>
        <w:rPr>
          <w:rFonts w:ascii="Times New Roman" w:eastAsia="Times New Roman" w:hAnsi="Times New Roman" w:cs="Times New Roman"/>
          <w:sz w:val="24"/>
          <w:szCs w:val="24"/>
        </w:rPr>
        <w:t>, 33, 243–255.</w:t>
      </w:r>
    </w:p>
    <w:p w14:paraId="0000007E"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Shao, Y. D.</w:t>
      </w:r>
      <w:r>
        <w:rPr>
          <w:rFonts w:ascii="Times New Roman" w:eastAsia="Times New Roman" w:hAnsi="Times New Roman" w:cs="Times New Roman"/>
          <w:sz w:val="24"/>
          <w:szCs w:val="24"/>
        </w:rPr>
        <w:t xml:space="preserve">, Zhang, D., &amp; Wang, W. (2019). Arbuscular mycorrhizal fungi mitigate nematode and fungal disease incidence in tomato roots. </w:t>
      </w:r>
      <w:r>
        <w:rPr>
          <w:rFonts w:ascii="Times New Roman" w:eastAsia="Times New Roman" w:hAnsi="Times New Roman" w:cs="Times New Roman"/>
          <w:i/>
          <w:sz w:val="24"/>
          <w:szCs w:val="24"/>
        </w:rPr>
        <w:t>Applied Soil Ecology</w:t>
      </w:r>
      <w:r>
        <w:rPr>
          <w:rFonts w:ascii="Times New Roman" w:eastAsia="Times New Roman" w:hAnsi="Times New Roman" w:cs="Times New Roman"/>
          <w:sz w:val="24"/>
          <w:szCs w:val="24"/>
        </w:rPr>
        <w:t>, 143, 1–8.</w:t>
      </w:r>
    </w:p>
    <w:p w14:paraId="0000007F"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Sharma, P., Kumar, V., &amp; Thakur, M. (2020). Vegetable crop diseases: epidemiology and management st</w:t>
      </w:r>
      <w:r>
        <w:rPr>
          <w:rFonts w:ascii="Times New Roman" w:eastAsia="Times New Roman" w:hAnsi="Times New Roman" w:cs="Times New Roman"/>
          <w:sz w:val="24"/>
          <w:szCs w:val="24"/>
        </w:rPr>
        <w:t xml:space="preserve">rategies. </w:t>
      </w:r>
      <w:r>
        <w:rPr>
          <w:rFonts w:ascii="Times New Roman" w:eastAsia="Times New Roman" w:hAnsi="Times New Roman" w:cs="Times New Roman"/>
          <w:i/>
          <w:sz w:val="24"/>
          <w:szCs w:val="24"/>
        </w:rPr>
        <w:t>Vegetable Science</w:t>
      </w:r>
      <w:r>
        <w:rPr>
          <w:rFonts w:ascii="Times New Roman" w:eastAsia="Times New Roman" w:hAnsi="Times New Roman" w:cs="Times New Roman"/>
          <w:sz w:val="24"/>
          <w:szCs w:val="24"/>
        </w:rPr>
        <w:t>, 47(1), 1–10.</w:t>
      </w:r>
    </w:p>
    <w:p w14:paraId="00000080"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Sharma, R., Chauhan, R., &amp; Singh, D. (2016). Integrated disease management: principles and practices. </w:t>
      </w:r>
      <w:r>
        <w:rPr>
          <w:rFonts w:ascii="Times New Roman" w:eastAsia="Times New Roman" w:hAnsi="Times New Roman" w:cs="Times New Roman"/>
          <w:i/>
          <w:sz w:val="24"/>
          <w:szCs w:val="24"/>
        </w:rPr>
        <w:t>Indian Phytopathology</w:t>
      </w:r>
      <w:r>
        <w:rPr>
          <w:rFonts w:ascii="Times New Roman" w:eastAsia="Times New Roman" w:hAnsi="Times New Roman" w:cs="Times New Roman"/>
          <w:sz w:val="24"/>
          <w:szCs w:val="24"/>
        </w:rPr>
        <w:t>, 69(3), 223–233.</w:t>
      </w:r>
    </w:p>
    <w:p w14:paraId="00000081"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Singh, A., &amp; Gupta, R. (2022). Emerging diseases of vegetable crops and i</w:t>
      </w:r>
      <w:r>
        <w:rPr>
          <w:rFonts w:ascii="Times New Roman" w:eastAsia="Times New Roman" w:hAnsi="Times New Roman" w:cs="Times New Roman"/>
          <w:sz w:val="24"/>
          <w:szCs w:val="24"/>
        </w:rPr>
        <w:t xml:space="preserve">ntegrated management strategies. </w:t>
      </w:r>
      <w:r>
        <w:rPr>
          <w:rFonts w:ascii="Times New Roman" w:eastAsia="Times New Roman" w:hAnsi="Times New Roman" w:cs="Times New Roman"/>
          <w:i/>
          <w:sz w:val="24"/>
          <w:szCs w:val="24"/>
        </w:rPr>
        <w:t>Journal of Horticultural Sciences</w:t>
      </w:r>
      <w:r>
        <w:rPr>
          <w:rFonts w:ascii="Times New Roman" w:eastAsia="Times New Roman" w:hAnsi="Times New Roman" w:cs="Times New Roman"/>
          <w:sz w:val="24"/>
          <w:szCs w:val="24"/>
        </w:rPr>
        <w:t>, 17(2), 150–159.</w:t>
      </w:r>
    </w:p>
    <w:p w14:paraId="00000082"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M., Kumar, P., &amp; Gupta, A. (2021). Nutritional and economic importance of vegetable crops: a global perspective. </w:t>
      </w:r>
      <w:r>
        <w:rPr>
          <w:rFonts w:ascii="Times New Roman" w:eastAsia="Times New Roman" w:hAnsi="Times New Roman" w:cs="Times New Roman"/>
          <w:i/>
          <w:sz w:val="24"/>
          <w:szCs w:val="24"/>
        </w:rPr>
        <w:t>Journal of Horticultural Research</w:t>
      </w:r>
      <w:r>
        <w:rPr>
          <w:rFonts w:ascii="Times New Roman" w:eastAsia="Times New Roman" w:hAnsi="Times New Roman" w:cs="Times New Roman"/>
          <w:sz w:val="24"/>
          <w:szCs w:val="24"/>
        </w:rPr>
        <w:t>, 29(2), 45–58.</w:t>
      </w:r>
    </w:p>
    <w:p w14:paraId="00000083"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R., Kumar, A., &amp; Sharma, V. (2021). Field evaluation of </w:t>
      </w:r>
      <w:r>
        <w:rPr>
          <w:rFonts w:ascii="Times New Roman" w:eastAsia="Times New Roman" w:hAnsi="Times New Roman" w:cs="Times New Roman"/>
          <w:i/>
          <w:sz w:val="24"/>
          <w:szCs w:val="24"/>
        </w:rPr>
        <w:t xml:space="preserve">Trichoderma </w:t>
      </w:r>
      <w:proofErr w:type="spellStart"/>
      <w:r>
        <w:rPr>
          <w:rFonts w:ascii="Times New Roman" w:eastAsia="Times New Roman" w:hAnsi="Times New Roman" w:cs="Times New Roman"/>
          <w:i/>
          <w:sz w:val="24"/>
          <w:szCs w:val="24"/>
        </w:rPr>
        <w:t>harzianum</w:t>
      </w:r>
      <w:proofErr w:type="spellEnd"/>
      <w:r>
        <w:rPr>
          <w:rFonts w:ascii="Times New Roman" w:eastAsia="Times New Roman" w:hAnsi="Times New Roman" w:cs="Times New Roman"/>
          <w:sz w:val="24"/>
          <w:szCs w:val="24"/>
        </w:rPr>
        <w:t xml:space="preserve"> against wilt and damping-off diseases in solanaceous vegetables. </w:t>
      </w:r>
      <w:r>
        <w:rPr>
          <w:rFonts w:ascii="Times New Roman" w:eastAsia="Times New Roman" w:hAnsi="Times New Roman" w:cs="Times New Roman"/>
          <w:i/>
          <w:sz w:val="24"/>
          <w:szCs w:val="24"/>
        </w:rPr>
        <w:t>Journal of Crop Protection</w:t>
      </w:r>
      <w:r>
        <w:rPr>
          <w:rFonts w:ascii="Times New Roman" w:eastAsia="Times New Roman" w:hAnsi="Times New Roman" w:cs="Times New Roman"/>
          <w:sz w:val="24"/>
          <w:szCs w:val="24"/>
        </w:rPr>
        <w:t>, 45(2), 98–106.</w:t>
      </w:r>
    </w:p>
    <w:p w14:paraId="00000084"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Vidavski, F., </w:t>
      </w:r>
      <w:proofErr w:type="spellStart"/>
      <w:r>
        <w:rPr>
          <w:rFonts w:ascii="Times New Roman" w:eastAsia="Times New Roman" w:hAnsi="Times New Roman" w:cs="Times New Roman"/>
          <w:sz w:val="24"/>
          <w:szCs w:val="24"/>
        </w:rPr>
        <w:t>Czosnek</w:t>
      </w:r>
      <w:proofErr w:type="spellEnd"/>
      <w:r>
        <w:rPr>
          <w:rFonts w:ascii="Times New Roman" w:eastAsia="Times New Roman" w:hAnsi="Times New Roman" w:cs="Times New Roman"/>
          <w:sz w:val="24"/>
          <w:szCs w:val="24"/>
        </w:rPr>
        <w:t>, H., &amp; Lapidot, M. (2008). Tomato breedin</w:t>
      </w:r>
      <w:r>
        <w:rPr>
          <w:rFonts w:ascii="Times New Roman" w:eastAsia="Times New Roman" w:hAnsi="Times New Roman" w:cs="Times New Roman"/>
          <w:sz w:val="24"/>
          <w:szCs w:val="24"/>
        </w:rPr>
        <w:t xml:space="preserve">g for resistance to Tomato Yellow Leaf Curl Virus (TYLCV) in the era of genomics. </w:t>
      </w:r>
      <w:proofErr w:type="spellStart"/>
      <w:r>
        <w:rPr>
          <w:rFonts w:ascii="Times New Roman" w:eastAsia="Times New Roman" w:hAnsi="Times New Roman" w:cs="Times New Roman"/>
          <w:i/>
          <w:sz w:val="24"/>
          <w:szCs w:val="24"/>
        </w:rPr>
        <w:t>Euphytica</w:t>
      </w:r>
      <w:proofErr w:type="spellEnd"/>
      <w:r>
        <w:rPr>
          <w:rFonts w:ascii="Times New Roman" w:eastAsia="Times New Roman" w:hAnsi="Times New Roman" w:cs="Times New Roman"/>
          <w:sz w:val="24"/>
          <w:szCs w:val="24"/>
        </w:rPr>
        <w:t>, 164, 437–445.</w:t>
      </w:r>
    </w:p>
    <w:p w14:paraId="00000085"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Zaidi, S. S. A., Mukhtar, M. S., &amp; Mansoor, S. (2018). Genome editing: Targeting susceptibility genes for plant disease resistance. </w:t>
      </w:r>
      <w:r>
        <w:rPr>
          <w:rFonts w:ascii="Times New Roman" w:eastAsia="Times New Roman" w:hAnsi="Times New Roman" w:cs="Times New Roman"/>
          <w:i/>
          <w:sz w:val="24"/>
          <w:szCs w:val="24"/>
        </w:rPr>
        <w:t xml:space="preserve">Trends in </w:t>
      </w:r>
      <w:r>
        <w:rPr>
          <w:rFonts w:ascii="Times New Roman" w:eastAsia="Times New Roman" w:hAnsi="Times New Roman" w:cs="Times New Roman"/>
          <w:i/>
          <w:sz w:val="24"/>
          <w:szCs w:val="24"/>
        </w:rPr>
        <w:t>Biotechnology</w:t>
      </w:r>
      <w:r>
        <w:rPr>
          <w:rFonts w:ascii="Times New Roman" w:eastAsia="Times New Roman" w:hAnsi="Times New Roman" w:cs="Times New Roman"/>
          <w:sz w:val="24"/>
          <w:szCs w:val="24"/>
        </w:rPr>
        <w:t>, 36(9), 898–906.</w:t>
      </w:r>
    </w:p>
    <w:p w14:paraId="00000086" w14:textId="77777777" w:rsidR="00CC42A1" w:rsidRDefault="00CC42A1">
      <w:pPr>
        <w:spacing w:line="360" w:lineRule="auto"/>
        <w:jc w:val="both"/>
        <w:rPr>
          <w:rFonts w:ascii="Times New Roman" w:eastAsia="Times New Roman" w:hAnsi="Times New Roman" w:cs="Times New Roman"/>
          <w:sz w:val="24"/>
          <w:szCs w:val="24"/>
        </w:rPr>
      </w:pPr>
    </w:p>
    <w:p w14:paraId="00000087" w14:textId="77777777" w:rsidR="00CC42A1" w:rsidRDefault="00CC42A1">
      <w:pPr>
        <w:spacing w:line="360" w:lineRule="auto"/>
        <w:jc w:val="both"/>
        <w:rPr>
          <w:rFonts w:ascii="Times New Roman" w:eastAsia="Times New Roman" w:hAnsi="Times New Roman" w:cs="Times New Roman"/>
          <w:sz w:val="24"/>
          <w:szCs w:val="24"/>
        </w:rPr>
      </w:pPr>
    </w:p>
    <w:p w14:paraId="00000088" w14:textId="77777777" w:rsidR="00CC42A1" w:rsidRDefault="00CC42A1">
      <w:pPr>
        <w:spacing w:line="360" w:lineRule="auto"/>
        <w:jc w:val="both"/>
        <w:rPr>
          <w:rFonts w:ascii="Times New Roman" w:eastAsia="Times New Roman" w:hAnsi="Times New Roman" w:cs="Times New Roman"/>
          <w:sz w:val="24"/>
          <w:szCs w:val="24"/>
        </w:rPr>
      </w:pPr>
    </w:p>
    <w:sectPr w:rsidR="00CC42A1">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BFED53" w14:textId="77777777" w:rsidR="00391FE0" w:rsidRDefault="00391FE0" w:rsidP="00456073">
      <w:pPr>
        <w:spacing w:after="0" w:line="240" w:lineRule="auto"/>
      </w:pPr>
      <w:r>
        <w:separator/>
      </w:r>
    </w:p>
  </w:endnote>
  <w:endnote w:type="continuationSeparator" w:id="0">
    <w:p w14:paraId="470E480C" w14:textId="77777777" w:rsidR="00391FE0" w:rsidRDefault="00391FE0" w:rsidP="00456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9891EAD4-96A1-40D5-9C52-411B42AA534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CD87204-06B4-4E5B-9D74-CCFC6EC4DF85}"/>
    <w:embedItalic r:id="rId3" w:fontKey="{090FEBF7-5571-499B-8833-2583773A1686}"/>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4F18F668-DA59-45B9-AB25-934F675647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6462A" w14:textId="77777777" w:rsidR="00456073" w:rsidRDefault="004560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09D76" w14:textId="77777777" w:rsidR="00456073" w:rsidRDefault="004560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FAC15" w14:textId="77777777" w:rsidR="00456073" w:rsidRDefault="004560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5AF9E4" w14:textId="77777777" w:rsidR="00391FE0" w:rsidRDefault="00391FE0" w:rsidP="00456073">
      <w:pPr>
        <w:spacing w:after="0" w:line="240" w:lineRule="auto"/>
      </w:pPr>
      <w:r>
        <w:separator/>
      </w:r>
    </w:p>
  </w:footnote>
  <w:footnote w:type="continuationSeparator" w:id="0">
    <w:p w14:paraId="4983D273" w14:textId="77777777" w:rsidR="00391FE0" w:rsidRDefault="00391FE0" w:rsidP="004560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AD7C5" w14:textId="5FEA9E9D" w:rsidR="00456073" w:rsidRDefault="00456073">
    <w:pPr>
      <w:pStyle w:val="Header"/>
    </w:pPr>
    <w:r>
      <w:rPr>
        <w:noProof/>
      </w:rPr>
      <w:pict w14:anchorId="10D895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98684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09A9F" w14:textId="185A6D33" w:rsidR="00456073" w:rsidRDefault="00456073">
    <w:pPr>
      <w:pStyle w:val="Header"/>
    </w:pPr>
    <w:r>
      <w:rPr>
        <w:noProof/>
      </w:rPr>
      <w:pict w14:anchorId="034565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98684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FC5CD" w14:textId="60CE46DA" w:rsidR="00456073" w:rsidRDefault="00456073">
    <w:pPr>
      <w:pStyle w:val="Header"/>
    </w:pPr>
    <w:r>
      <w:rPr>
        <w:noProof/>
      </w:rPr>
      <w:pict w14:anchorId="19049B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98684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593585"/>
    <w:multiLevelType w:val="multilevel"/>
    <w:tmpl w:val="D92AD7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5702056"/>
    <w:multiLevelType w:val="multilevel"/>
    <w:tmpl w:val="97AAFC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E3633A9"/>
    <w:multiLevelType w:val="multilevel"/>
    <w:tmpl w:val="22EC19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96C3AA2"/>
    <w:multiLevelType w:val="multilevel"/>
    <w:tmpl w:val="45BA6E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780696D"/>
    <w:multiLevelType w:val="multilevel"/>
    <w:tmpl w:val="94A4F1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7F317F9"/>
    <w:multiLevelType w:val="multilevel"/>
    <w:tmpl w:val="C3481B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03A203A"/>
    <w:multiLevelType w:val="multilevel"/>
    <w:tmpl w:val="2DAEC4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2131721"/>
    <w:multiLevelType w:val="multilevel"/>
    <w:tmpl w:val="281C45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52B480B"/>
    <w:multiLevelType w:val="multilevel"/>
    <w:tmpl w:val="159C6B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7B81599"/>
    <w:multiLevelType w:val="multilevel"/>
    <w:tmpl w:val="65AE40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9"/>
  </w:num>
  <w:num w:numId="3">
    <w:abstractNumId w:val="5"/>
  </w:num>
  <w:num w:numId="4">
    <w:abstractNumId w:val="7"/>
  </w:num>
  <w:num w:numId="5">
    <w:abstractNumId w:val="6"/>
  </w:num>
  <w:num w:numId="6">
    <w:abstractNumId w:val="8"/>
  </w:num>
  <w:num w:numId="7">
    <w:abstractNumId w:val="4"/>
  </w:num>
  <w:num w:numId="8">
    <w:abstractNumId w:val="0"/>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2A1"/>
    <w:rsid w:val="001C4B72"/>
    <w:rsid w:val="00365A6D"/>
    <w:rsid w:val="00391FE0"/>
    <w:rsid w:val="00456073"/>
    <w:rsid w:val="00550E35"/>
    <w:rsid w:val="00A6432D"/>
    <w:rsid w:val="00CC42A1"/>
    <w:rsid w:val="00E13EC2"/>
    <w:rsid w:val="00EA40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E5BC35"/>
  <w15:docId w15:val="{413AC2CC-104E-4057-A83E-83C76EC3E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DA5C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5C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5C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DA5CD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A5CD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A5CD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A5CD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A5CD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A5C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5C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5C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5CDF"/>
    <w:rPr>
      <w:rFonts w:eastAsiaTheme="majorEastAsia" w:cstheme="majorBidi"/>
      <w:color w:val="272727" w:themeColor="text1" w:themeTint="D8"/>
    </w:rPr>
  </w:style>
  <w:style w:type="character" w:customStyle="1" w:styleId="TitleChar">
    <w:name w:val="Title Char"/>
    <w:basedOn w:val="DefaultParagraphFont"/>
    <w:link w:val="Title"/>
    <w:uiPriority w:val="10"/>
    <w:rsid w:val="00DA5CD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A5C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5CDF"/>
    <w:pPr>
      <w:spacing w:before="160"/>
      <w:jc w:val="center"/>
    </w:pPr>
    <w:rPr>
      <w:i/>
      <w:iCs/>
      <w:color w:val="404040" w:themeColor="text1" w:themeTint="BF"/>
    </w:rPr>
  </w:style>
  <w:style w:type="character" w:customStyle="1" w:styleId="QuoteChar">
    <w:name w:val="Quote Char"/>
    <w:basedOn w:val="DefaultParagraphFont"/>
    <w:link w:val="Quote"/>
    <w:uiPriority w:val="29"/>
    <w:rsid w:val="00DA5CDF"/>
    <w:rPr>
      <w:i/>
      <w:iCs/>
      <w:color w:val="404040" w:themeColor="text1" w:themeTint="BF"/>
    </w:rPr>
  </w:style>
  <w:style w:type="paragraph" w:styleId="ListParagraph">
    <w:name w:val="List Paragraph"/>
    <w:basedOn w:val="Normal"/>
    <w:uiPriority w:val="34"/>
    <w:qFormat/>
    <w:rsid w:val="00DA5CDF"/>
    <w:pPr>
      <w:ind w:left="720"/>
      <w:contextualSpacing/>
    </w:pPr>
  </w:style>
  <w:style w:type="character" w:styleId="IntenseEmphasis">
    <w:name w:val="Intense Emphasis"/>
    <w:basedOn w:val="DefaultParagraphFont"/>
    <w:uiPriority w:val="21"/>
    <w:qFormat/>
    <w:rsid w:val="00DA5CDF"/>
    <w:rPr>
      <w:i/>
      <w:iCs/>
      <w:color w:val="2F5496" w:themeColor="accent1" w:themeShade="BF"/>
    </w:rPr>
  </w:style>
  <w:style w:type="paragraph" w:styleId="IntenseQuote">
    <w:name w:val="Intense Quote"/>
    <w:basedOn w:val="Normal"/>
    <w:next w:val="Normal"/>
    <w:link w:val="IntenseQuoteChar"/>
    <w:uiPriority w:val="30"/>
    <w:qFormat/>
    <w:rsid w:val="00DA5CD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A5CDF"/>
    <w:rPr>
      <w:i/>
      <w:iCs/>
      <w:color w:val="2F5496" w:themeColor="accent1" w:themeShade="BF"/>
    </w:rPr>
  </w:style>
  <w:style w:type="character" w:styleId="IntenseReference">
    <w:name w:val="Intense Reference"/>
    <w:basedOn w:val="DefaultParagraphFont"/>
    <w:uiPriority w:val="32"/>
    <w:qFormat/>
    <w:rsid w:val="00DA5CDF"/>
    <w:rPr>
      <w:b/>
      <w:bCs/>
      <w:smallCaps/>
      <w:color w:val="2F5496" w:themeColor="accent1" w:themeShade="BF"/>
      <w:spacing w:val="5"/>
    </w:rPr>
  </w:style>
  <w:style w:type="paragraph" w:styleId="Subtitle">
    <w:name w:val="Subtitle"/>
    <w:basedOn w:val="Normal"/>
    <w:next w:val="Normal"/>
    <w:link w:val="SubtitleChar"/>
    <w:uiPriority w:val="11"/>
    <w:qFormat/>
    <w:rPr>
      <w:color w:val="595959"/>
      <w:sz w:val="28"/>
      <w:szCs w:val="28"/>
    </w:rPr>
  </w:style>
  <w:style w:type="table" w:styleId="TableGrid">
    <w:name w:val="Table Grid"/>
    <w:basedOn w:val="TableNormal"/>
    <w:uiPriority w:val="39"/>
    <w:rsid w:val="001C4B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A40BE"/>
    <w:rPr>
      <w:color w:val="0563C1" w:themeColor="hyperlink"/>
      <w:u w:val="single"/>
    </w:rPr>
  </w:style>
  <w:style w:type="character" w:styleId="UnresolvedMention">
    <w:name w:val="Unresolved Mention"/>
    <w:basedOn w:val="DefaultParagraphFont"/>
    <w:uiPriority w:val="99"/>
    <w:semiHidden/>
    <w:unhideWhenUsed/>
    <w:rsid w:val="00EA40BE"/>
    <w:rPr>
      <w:color w:val="605E5C"/>
      <w:shd w:val="clear" w:color="auto" w:fill="E1DFDD"/>
    </w:rPr>
  </w:style>
  <w:style w:type="paragraph" w:styleId="Header">
    <w:name w:val="header"/>
    <w:basedOn w:val="Normal"/>
    <w:link w:val="HeaderChar"/>
    <w:uiPriority w:val="99"/>
    <w:unhideWhenUsed/>
    <w:rsid w:val="004560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6073"/>
  </w:style>
  <w:style w:type="paragraph" w:styleId="Footer">
    <w:name w:val="footer"/>
    <w:basedOn w:val="Normal"/>
    <w:link w:val="FooterChar"/>
    <w:uiPriority w:val="99"/>
    <w:unhideWhenUsed/>
    <w:rsid w:val="004560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0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wGzWTHmlXGPLDZLZw0pCOzgLIw==">CgMxLjA4AHIhMWFrd3FDeU9yVS1QRDMtUm9OQjhUWnFMelVvbU1fNnJK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13</Pages>
  <Words>4220</Words>
  <Characters>24058</Characters>
  <Application>Microsoft Office Word</Application>
  <DocSecurity>0</DocSecurity>
  <Lines>200</Lines>
  <Paragraphs>56</Paragraphs>
  <ScaleCrop>false</ScaleCrop>
  <Company/>
  <LinksUpToDate>false</LinksUpToDate>
  <CharactersWithSpaces>28222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 Sagwal</dc:creator>
  <cp:lastModifiedBy>SDI 1084</cp:lastModifiedBy>
  <cp:revision>6</cp:revision>
  <dcterms:created xsi:type="dcterms:W3CDTF">2025-09-28T15:29:00Z</dcterms:created>
  <dcterms:modified xsi:type="dcterms:W3CDTF">2025-10-09T06:24:00Z</dcterms:modified>
</cp:coreProperties>
</file>