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6D671" w14:textId="77777777" w:rsidR="00FA375F" w:rsidRDefault="00FA375F" w:rsidP="007E4A9F">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7E4A9F">
        <w:rPr>
          <w:rFonts w:ascii="Times New Roman" w:eastAsia="Times New Roman" w:hAnsi="Times New Roman" w:cs="Times New Roman"/>
          <w:b/>
          <w:bCs/>
          <w:kern w:val="36"/>
          <w:sz w:val="36"/>
          <w:szCs w:val="36"/>
        </w:rPr>
        <w:t>Effect of Different Doses of Nutrients on Growth and Yield of Garden Pea (</w:t>
      </w:r>
      <w:r w:rsidRPr="007E4A9F">
        <w:rPr>
          <w:rFonts w:ascii="Times New Roman" w:eastAsia="Times New Roman" w:hAnsi="Times New Roman" w:cs="Times New Roman"/>
          <w:b/>
          <w:bCs/>
          <w:i/>
          <w:kern w:val="36"/>
          <w:sz w:val="36"/>
          <w:szCs w:val="36"/>
        </w:rPr>
        <w:t xml:space="preserve">Pisum sativum </w:t>
      </w:r>
      <w:r w:rsidRPr="007E4A9F">
        <w:rPr>
          <w:rFonts w:ascii="Times New Roman" w:eastAsia="Times New Roman" w:hAnsi="Times New Roman" w:cs="Times New Roman"/>
          <w:b/>
          <w:bCs/>
          <w:kern w:val="36"/>
          <w:sz w:val="36"/>
          <w:szCs w:val="36"/>
        </w:rPr>
        <w:t>L.)</w:t>
      </w:r>
      <w:r w:rsidR="00BA11F2">
        <w:rPr>
          <w:rFonts w:ascii="Times New Roman" w:eastAsia="Times New Roman" w:hAnsi="Times New Roman" w:cs="Times New Roman"/>
          <w:b/>
          <w:bCs/>
          <w:kern w:val="36"/>
          <w:sz w:val="36"/>
          <w:szCs w:val="36"/>
        </w:rPr>
        <w:br/>
      </w:r>
    </w:p>
    <w:p w14:paraId="5AA235CF" w14:textId="77777777" w:rsidR="008D55A3" w:rsidRDefault="008D55A3" w:rsidP="005708BF">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7512BB0" w14:textId="24974797" w:rsidR="005708BF" w:rsidRPr="007E4A9F" w:rsidRDefault="00FA375F" w:rsidP="005708BF">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0" w:name="_GoBack"/>
      <w:bookmarkEnd w:id="0"/>
      <w:r w:rsidRPr="007E4A9F">
        <w:rPr>
          <w:rFonts w:ascii="Times New Roman" w:eastAsia="Times New Roman" w:hAnsi="Times New Roman" w:cs="Times New Roman"/>
          <w:b/>
          <w:bCs/>
          <w:sz w:val="24"/>
          <w:szCs w:val="24"/>
        </w:rPr>
        <w:t>Abstract</w:t>
      </w:r>
      <w:r w:rsidR="00F271B4" w:rsidRPr="007E4A9F">
        <w:rPr>
          <w:rFonts w:ascii="Times New Roman" w:eastAsia="Times New Roman" w:hAnsi="Times New Roman" w:cs="Times New Roman"/>
          <w:b/>
          <w:bCs/>
          <w:sz w:val="24"/>
          <w:szCs w:val="24"/>
        </w:rPr>
        <w:t>:</w:t>
      </w:r>
    </w:p>
    <w:p w14:paraId="6005D494" w14:textId="77777777" w:rsidR="005708BF" w:rsidRPr="005708BF" w:rsidRDefault="005708BF" w:rsidP="005708BF">
      <w:pPr>
        <w:spacing w:before="100" w:beforeAutospacing="1" w:after="100" w:afterAutospacing="1" w:line="240" w:lineRule="auto"/>
        <w:jc w:val="both"/>
        <w:rPr>
          <w:rFonts w:ascii="Times New Roman" w:eastAsia="Times New Roman" w:hAnsi="Times New Roman" w:cs="Times New Roman"/>
          <w:sz w:val="24"/>
          <w:szCs w:val="24"/>
        </w:rPr>
      </w:pPr>
      <w:r w:rsidRPr="005708BF">
        <w:rPr>
          <w:rFonts w:ascii="Times New Roman" w:eastAsia="Times New Roman" w:hAnsi="Times New Roman" w:cs="Times New Roman"/>
          <w:sz w:val="24"/>
          <w:szCs w:val="24"/>
        </w:rPr>
        <w:t>The present field study was conducted to evaluate the impact of different nutrient levels on the growth, physiological traits, and yield attributes of garden pea (</w:t>
      </w:r>
      <w:r w:rsidRPr="007E4A9F">
        <w:rPr>
          <w:rFonts w:ascii="Times New Roman" w:eastAsia="Times New Roman" w:hAnsi="Times New Roman" w:cs="Times New Roman"/>
          <w:i/>
          <w:iCs/>
          <w:sz w:val="24"/>
          <w:szCs w:val="24"/>
        </w:rPr>
        <w:t>Pisum sativum</w:t>
      </w:r>
      <w:r w:rsidRPr="005708BF">
        <w:rPr>
          <w:rFonts w:ascii="Times New Roman" w:eastAsia="Times New Roman" w:hAnsi="Times New Roman" w:cs="Times New Roman"/>
          <w:sz w:val="24"/>
          <w:szCs w:val="24"/>
        </w:rPr>
        <w:t xml:space="preserve"> L.) under specific agro-climatic conditions. The experiment included five treatments with varying doses of NPK fertilizers, among which the treatment T5, consisting of 125% of the recommended NPK dose, consistently produced the most favorable results. Observations were recorded at 30, 45, 60 days after sowing (DAS), and at harvest to assess plant height, number of branches per plant, leaf area index (LAI), and dry matter accumulation.The T5 treatment significantly enhanced vegetative growth and physiological efficiency, resulting in better pod formation and overall yield performance. Notably, T5 achieved the highest plant height (68.3 cm), LAI (2.45), and dry matter accumulation (22.8 g/plant), leading to a superior green pod yield of 95.2 q/ha. In contrast, the control treatment (T1), which received no fertilizer, showed the lowest performance across all parameters.The results underscore the importance of optimized nutrient management, especially nitrogen, in achieving enhanced crop performance in legumes. This study supports the adoption of higher-than-recommended NPK doses, tailored to soil conditions, to maximize productivity without adverse effects. Furthermore, the integration of chemical and organic nutrient sources and stage-specific application practices could further improve sustainability and efficiency in garden pea cultivation.</w:t>
      </w:r>
    </w:p>
    <w:p w14:paraId="5AB92335" w14:textId="77777777" w:rsidR="005708BF" w:rsidRPr="005708BF" w:rsidRDefault="005708BF" w:rsidP="005708BF">
      <w:pPr>
        <w:spacing w:before="100" w:beforeAutospacing="1" w:after="100" w:afterAutospacing="1" w:line="240" w:lineRule="auto"/>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Keywords</w:t>
      </w:r>
    </w:p>
    <w:p w14:paraId="0B88823F" w14:textId="77777777" w:rsidR="00FA375F" w:rsidRPr="00A2491C" w:rsidRDefault="005708BF" w:rsidP="005708BF">
      <w:pPr>
        <w:spacing w:before="100" w:beforeAutospacing="1" w:after="100" w:afterAutospacing="1" w:line="240" w:lineRule="auto"/>
        <w:rPr>
          <w:rFonts w:ascii="Times New Roman" w:eastAsia="Times New Roman" w:hAnsi="Times New Roman" w:cs="Times New Roman"/>
          <w:i/>
          <w:iCs/>
          <w:sz w:val="24"/>
          <w:szCs w:val="24"/>
        </w:rPr>
      </w:pPr>
      <w:r w:rsidRPr="00A2491C">
        <w:rPr>
          <w:rFonts w:ascii="Times New Roman" w:eastAsia="Times New Roman" w:hAnsi="Times New Roman" w:cs="Times New Roman"/>
          <w:i/>
          <w:iCs/>
          <w:sz w:val="24"/>
          <w:szCs w:val="24"/>
        </w:rPr>
        <w:t xml:space="preserve">Garden pea, NPK fertilizers, nutrient management, growth parameters, leaf area index, dry matter accumulation, pod yield, </w:t>
      </w:r>
    </w:p>
    <w:p w14:paraId="0EF96423" w14:textId="77777777" w:rsidR="00FA375F" w:rsidRPr="00FA375F" w:rsidRDefault="00FA375F"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1. Introduction</w:t>
      </w:r>
    </w:p>
    <w:p w14:paraId="099F7991" w14:textId="6916F53F" w:rsidR="007F6EE4" w:rsidRDefault="007F6EE4" w:rsidP="007F6EE4">
      <w:pPr>
        <w:pStyle w:val="NormalWeb"/>
      </w:pPr>
      <w:r>
        <w:t>Garden pea (</w:t>
      </w:r>
      <w:r>
        <w:rPr>
          <w:rStyle w:val="Emphasis"/>
        </w:rPr>
        <w:t>Pisum sativum</w:t>
      </w:r>
      <w:r>
        <w:t xml:space="preserve"> L.) is one of the most widely cultivated leguminous vegetable crops, recognized for its early maturity, high nutritional value, and nitrogen-fixing ability that improve soil fertility. It is an integral component of the rabi cropping system in northern and central India (</w:t>
      </w:r>
      <w:r>
        <w:rPr>
          <w:rStyle w:val="Strong"/>
        </w:rPr>
        <w:t>Abhishek</w:t>
      </w:r>
      <w:r w:rsidR="006E1261" w:rsidRPr="006E1261">
        <w:rPr>
          <w:rStyle w:val="Strong"/>
        </w:rPr>
        <w:t xml:space="preserve"> </w:t>
      </w:r>
      <w:r w:rsidR="006E1261">
        <w:rPr>
          <w:rStyle w:val="Strong"/>
        </w:rPr>
        <w:t xml:space="preserve">et al., </w:t>
      </w:r>
      <w:r>
        <w:rPr>
          <w:rStyle w:val="Strong"/>
        </w:rPr>
        <w:t>2015</w:t>
      </w:r>
      <w:r>
        <w:t>). Pea is a rich source of protein (about 20–25%), carbohydrates, vitamins A and C, and minerals like iron and calcium, making it a valuable dietary component (</w:t>
      </w:r>
      <w:r>
        <w:rPr>
          <w:rStyle w:val="Strong"/>
        </w:rPr>
        <w:t xml:space="preserve">Bose </w:t>
      </w:r>
      <w:r w:rsidR="00B0603D">
        <w:rPr>
          <w:rStyle w:val="Strong"/>
        </w:rPr>
        <w:t xml:space="preserve">et al., </w:t>
      </w:r>
      <w:r>
        <w:rPr>
          <w:rStyle w:val="Strong"/>
        </w:rPr>
        <w:t xml:space="preserve">2000; </w:t>
      </w:r>
      <w:proofErr w:type="spellStart"/>
      <w:r>
        <w:rPr>
          <w:rStyle w:val="Strong"/>
        </w:rPr>
        <w:t>Bilashini</w:t>
      </w:r>
      <w:proofErr w:type="spellEnd"/>
      <w:r>
        <w:rPr>
          <w:rStyle w:val="Strong"/>
        </w:rPr>
        <w:t xml:space="preserve"> Devi et al., 2018</w:t>
      </w:r>
      <w:r>
        <w:t>). Optimum growth and yield of pea crops depend significantly on balanced nutrient management. Among macro-nutrients, nitrogen (N), phosphorus (P), and potassium (K) are most critical. Nitrogen is essential for chlorophyll synthesis and vigorous vegetative growth (</w:t>
      </w:r>
      <w:r>
        <w:rPr>
          <w:rStyle w:val="Strong"/>
        </w:rPr>
        <w:t>Ali</w:t>
      </w:r>
      <w:r w:rsidR="00B0603D" w:rsidRPr="00B0603D">
        <w:rPr>
          <w:rStyle w:val="Strong"/>
        </w:rPr>
        <w:t xml:space="preserve"> </w:t>
      </w:r>
      <w:r w:rsidR="00B0603D">
        <w:rPr>
          <w:rStyle w:val="Strong"/>
        </w:rPr>
        <w:t xml:space="preserve">et al., </w:t>
      </w:r>
      <w:r>
        <w:rPr>
          <w:rStyle w:val="Strong"/>
        </w:rPr>
        <w:t>2003</w:t>
      </w:r>
      <w:r>
        <w:t>). Phosphorus supports early root establishment, nodulation, and flower formation, while potassium enhances photosynthesis efficiency, water retention, and disease resistance (</w:t>
      </w:r>
      <w:r>
        <w:rPr>
          <w:rStyle w:val="Strong"/>
        </w:rPr>
        <w:t>Bai</w:t>
      </w:r>
      <w:r w:rsidR="00B0603D" w:rsidRPr="00B0603D">
        <w:rPr>
          <w:rStyle w:val="Strong"/>
        </w:rPr>
        <w:t xml:space="preserve"> </w:t>
      </w:r>
      <w:r w:rsidR="00B0603D">
        <w:rPr>
          <w:rStyle w:val="Strong"/>
        </w:rPr>
        <w:t xml:space="preserve">et al., </w:t>
      </w:r>
      <w:r>
        <w:rPr>
          <w:rStyle w:val="Strong"/>
        </w:rPr>
        <w:t>2017; Soniya</w:t>
      </w:r>
      <w:r w:rsidR="00B0603D" w:rsidRPr="00B0603D">
        <w:rPr>
          <w:rStyle w:val="Strong"/>
        </w:rPr>
        <w:t xml:space="preserve"> </w:t>
      </w:r>
      <w:r w:rsidR="00B0603D">
        <w:rPr>
          <w:rStyle w:val="Strong"/>
        </w:rPr>
        <w:t xml:space="preserve">et al., </w:t>
      </w:r>
      <w:r>
        <w:rPr>
          <w:rStyle w:val="Strong"/>
        </w:rPr>
        <w:t>2025</w:t>
      </w:r>
      <w:r>
        <w:t>).</w:t>
      </w:r>
    </w:p>
    <w:p w14:paraId="46077609" w14:textId="163B6DB9" w:rsidR="007F6EE4" w:rsidRDefault="007F6EE4" w:rsidP="007F6EE4">
      <w:pPr>
        <w:pStyle w:val="NormalWeb"/>
      </w:pPr>
      <w:r>
        <w:lastRenderedPageBreak/>
        <w:t>In India, many farmers apply fertilizers without considering soil nutrient status or the crop’s actual requirements, often leading to imbalanced nutrient supply (</w:t>
      </w:r>
      <w:r>
        <w:rPr>
          <w:rStyle w:val="Strong"/>
        </w:rPr>
        <w:t>Akarsh et al., 2020</w:t>
      </w:r>
      <w:r>
        <w:t>). Excessive or deficient fertilization not only reduces crop productivity but also deteriorates soil health (</w:t>
      </w:r>
      <w:proofErr w:type="spellStart"/>
      <w:r>
        <w:rPr>
          <w:rStyle w:val="Strong"/>
        </w:rPr>
        <w:t>Baswana</w:t>
      </w:r>
      <w:proofErr w:type="spellEnd"/>
      <w:r>
        <w:rPr>
          <w:rStyle w:val="Strong"/>
        </w:rPr>
        <w:t xml:space="preserve"> </w:t>
      </w:r>
      <w:r w:rsidR="00B0603D">
        <w:rPr>
          <w:rStyle w:val="Strong"/>
        </w:rPr>
        <w:t xml:space="preserve">et al., </w:t>
      </w:r>
      <w:r>
        <w:rPr>
          <w:rStyle w:val="Strong"/>
        </w:rPr>
        <w:t>2007</w:t>
      </w:r>
      <w:r>
        <w:t>). Therefore, there is a need to identify optimal nutrient doses for pea cultivation that can improve both productivity and sustainability (</w:t>
      </w:r>
      <w:r>
        <w:rPr>
          <w:rStyle w:val="Strong"/>
        </w:rPr>
        <w:t>Bunker et al., 2018</w:t>
      </w:r>
      <w:r>
        <w:t>).</w:t>
      </w:r>
    </w:p>
    <w:p w14:paraId="27480040" w14:textId="4FAC7946" w:rsidR="007F6EE4" w:rsidRDefault="007F6EE4" w:rsidP="007F6EE4">
      <w:pPr>
        <w:pStyle w:val="NormalWeb"/>
      </w:pPr>
      <w:r>
        <w:t>Several studies have reported that appropriate combinations of N, P, and K fertilizers significantly improve plant height, number of branches, leaf area index (LAI), dry matter accumulation, flowering behavior, and ultimately, pod yield (</w:t>
      </w:r>
      <w:r>
        <w:rPr>
          <w:rStyle w:val="Strong"/>
        </w:rPr>
        <w:t>Gupta</w:t>
      </w:r>
      <w:r w:rsidR="00B0603D" w:rsidRPr="00B0603D">
        <w:rPr>
          <w:rStyle w:val="Strong"/>
        </w:rPr>
        <w:t xml:space="preserve"> </w:t>
      </w:r>
      <w:r w:rsidR="00B0603D">
        <w:rPr>
          <w:rStyle w:val="Strong"/>
        </w:rPr>
        <w:t xml:space="preserve">et al., </w:t>
      </w:r>
      <w:r>
        <w:rPr>
          <w:rStyle w:val="Strong"/>
        </w:rPr>
        <w:t>2017; Hemang</w:t>
      </w:r>
      <w:r w:rsidR="00B0603D" w:rsidRPr="00B0603D">
        <w:rPr>
          <w:rStyle w:val="Strong"/>
        </w:rPr>
        <w:t xml:space="preserve"> </w:t>
      </w:r>
      <w:r w:rsidR="00B0603D">
        <w:rPr>
          <w:rStyle w:val="Strong"/>
        </w:rPr>
        <w:t xml:space="preserve">et al., </w:t>
      </w:r>
      <w:r>
        <w:rPr>
          <w:rStyle w:val="Strong"/>
        </w:rPr>
        <w:t>2018</w:t>
      </w:r>
      <w:r>
        <w:t>). Moreover, the application of balanced nutrients enhances nutrient use efficiency and crop quality (</w:t>
      </w:r>
      <w:proofErr w:type="spellStart"/>
      <w:r>
        <w:rPr>
          <w:rStyle w:val="Strong"/>
        </w:rPr>
        <w:t>Janusauskaite</w:t>
      </w:r>
      <w:proofErr w:type="spellEnd"/>
      <w:r w:rsidR="00B0603D" w:rsidRPr="00B0603D">
        <w:rPr>
          <w:rStyle w:val="Strong"/>
        </w:rPr>
        <w:t xml:space="preserve"> </w:t>
      </w:r>
      <w:r w:rsidR="00B0603D">
        <w:rPr>
          <w:rStyle w:val="Strong"/>
        </w:rPr>
        <w:t xml:space="preserve">et al., </w:t>
      </w:r>
      <w:r>
        <w:rPr>
          <w:rStyle w:val="Strong"/>
        </w:rPr>
        <w:t>2023</w:t>
      </w:r>
      <w:r>
        <w:t>).</w:t>
      </w:r>
    </w:p>
    <w:p w14:paraId="103E6DF2" w14:textId="589A841A" w:rsidR="007F6EE4" w:rsidRDefault="007F6EE4" w:rsidP="007F6EE4">
      <w:pPr>
        <w:pStyle w:val="NormalWeb"/>
      </w:pPr>
      <w:r>
        <w:t>Research trials have demonstrated that an integrated and optimized nutrient management strategy not only improves plant vigor and yield traits but also leads to higher economic returns per unit area (</w:t>
      </w:r>
      <w:r>
        <w:rPr>
          <w:rStyle w:val="Strong"/>
        </w:rPr>
        <w:t>El-Afifi</w:t>
      </w:r>
      <w:r w:rsidR="00B0603D" w:rsidRPr="00B0603D">
        <w:rPr>
          <w:rStyle w:val="Strong"/>
        </w:rPr>
        <w:t xml:space="preserve"> </w:t>
      </w:r>
      <w:r w:rsidR="00B0603D">
        <w:rPr>
          <w:rStyle w:val="Strong"/>
        </w:rPr>
        <w:t xml:space="preserve">et al., </w:t>
      </w:r>
      <w:r>
        <w:rPr>
          <w:rStyle w:val="Strong"/>
        </w:rPr>
        <w:t>2017; Abhishek</w:t>
      </w:r>
      <w:r w:rsidR="00B0603D" w:rsidRPr="00B0603D">
        <w:rPr>
          <w:rStyle w:val="Strong"/>
        </w:rPr>
        <w:t xml:space="preserve"> </w:t>
      </w:r>
      <w:proofErr w:type="gramStart"/>
      <w:r w:rsidR="00B0603D">
        <w:rPr>
          <w:rStyle w:val="Strong"/>
        </w:rPr>
        <w:t>et al.,</w:t>
      </w:r>
      <w:r>
        <w:rPr>
          <w:rStyle w:val="Strong"/>
        </w:rPr>
        <w:t>,</w:t>
      </w:r>
      <w:proofErr w:type="gramEnd"/>
      <w:r>
        <w:rPr>
          <w:rStyle w:val="Strong"/>
        </w:rPr>
        <w:t xml:space="preserve"> 2015</w:t>
      </w:r>
      <w:r>
        <w:t>). However, the exact dose may vary with soil type, climatic conditions, and variety used. The present investigation was conducted to study the effect of different nutrient doses on the growth and yield performance of garden pea under field conditions using a Randomized Block Design (RBD) with seven treatments and three replications. The objective was to determine the most effective and economically viable nutrient combination that can be recommended for maximizing garden pea yield while ensuring soil fertility.</w:t>
      </w:r>
    </w:p>
    <w:p w14:paraId="627CBCE5" w14:textId="77777777" w:rsidR="00431E42" w:rsidRPr="00431E42" w:rsidRDefault="00431E42"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 Materials and Methods</w:t>
      </w:r>
    </w:p>
    <w:p w14:paraId="66679B38"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2.1 Experimental Site</w:t>
      </w:r>
    </w:p>
    <w:p w14:paraId="2FBAA11D"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 xml:space="preserve">The field experiment was conducted during the </w:t>
      </w:r>
      <w:r w:rsidRPr="007E4A9F">
        <w:rPr>
          <w:rFonts w:ascii="Times New Roman" w:eastAsia="Times New Roman" w:hAnsi="Times New Roman" w:cs="Times New Roman"/>
          <w:bCs/>
          <w:sz w:val="24"/>
          <w:szCs w:val="24"/>
        </w:rPr>
        <w:t>Rabi season of 2023–24</w:t>
      </w:r>
      <w:r w:rsidRPr="00431E42">
        <w:rPr>
          <w:rFonts w:ascii="Times New Roman" w:eastAsia="Times New Roman" w:hAnsi="Times New Roman" w:cs="Times New Roman"/>
          <w:sz w:val="24"/>
          <w:szCs w:val="24"/>
        </w:rPr>
        <w:t xml:space="preserve"> at the </w:t>
      </w:r>
      <w:r w:rsidRPr="007E4A9F">
        <w:rPr>
          <w:rFonts w:ascii="Times New Roman" w:eastAsia="Times New Roman" w:hAnsi="Times New Roman" w:cs="Times New Roman"/>
          <w:bCs/>
          <w:sz w:val="24"/>
          <w:szCs w:val="24"/>
        </w:rPr>
        <w:t>ShivalikResearch Farm</w:t>
      </w:r>
      <w:r w:rsidRPr="00431E42">
        <w:rPr>
          <w:rFonts w:ascii="Times New Roman" w:eastAsia="Times New Roman" w:hAnsi="Times New Roman" w:cs="Times New Roman"/>
          <w:sz w:val="24"/>
          <w:szCs w:val="24"/>
        </w:rPr>
        <w:t xml:space="preserve">, located within the premises of </w:t>
      </w:r>
      <w:r w:rsidRPr="007E4A9F">
        <w:rPr>
          <w:rFonts w:ascii="Times New Roman" w:eastAsia="Times New Roman" w:hAnsi="Times New Roman" w:cs="Times New Roman"/>
          <w:bCs/>
          <w:sz w:val="24"/>
          <w:szCs w:val="24"/>
        </w:rPr>
        <w:t>Shivalik College of Engineering</w:t>
      </w:r>
      <w:r w:rsidRPr="00431E42">
        <w:rPr>
          <w:rFonts w:ascii="Times New Roman" w:eastAsia="Times New Roman" w:hAnsi="Times New Roman" w:cs="Times New Roman"/>
          <w:sz w:val="24"/>
          <w:szCs w:val="24"/>
        </w:rPr>
        <w:t xml:space="preserve">, Dehradun, Uttarakhand, India. The geographical location of the experimental site lies at approximately </w:t>
      </w:r>
      <w:r w:rsidRPr="007E4A9F">
        <w:rPr>
          <w:rFonts w:ascii="Times New Roman" w:eastAsia="Times New Roman" w:hAnsi="Times New Roman" w:cs="Times New Roman"/>
          <w:bCs/>
          <w:sz w:val="24"/>
          <w:szCs w:val="24"/>
        </w:rPr>
        <w:t>30.3165° N latitude and 78.0322° E longitude</w:t>
      </w:r>
      <w:r w:rsidRPr="00431E42">
        <w:rPr>
          <w:rFonts w:ascii="Times New Roman" w:eastAsia="Times New Roman" w:hAnsi="Times New Roman" w:cs="Times New Roman"/>
          <w:sz w:val="24"/>
          <w:szCs w:val="24"/>
        </w:rPr>
        <w:t xml:space="preserve">, with an altitude of about </w:t>
      </w:r>
      <w:r w:rsidRPr="007E4A9F">
        <w:rPr>
          <w:rFonts w:ascii="Times New Roman" w:eastAsia="Times New Roman" w:hAnsi="Times New Roman" w:cs="Times New Roman"/>
          <w:bCs/>
          <w:sz w:val="24"/>
          <w:szCs w:val="24"/>
        </w:rPr>
        <w:t>640 meters above sea level</w:t>
      </w:r>
      <w:r w:rsidRPr="00431E42">
        <w:rPr>
          <w:rFonts w:ascii="Times New Roman" w:eastAsia="Times New Roman" w:hAnsi="Times New Roman" w:cs="Times New Roman"/>
          <w:sz w:val="24"/>
          <w:szCs w:val="24"/>
        </w:rPr>
        <w:t>. The region experiences a temperate climate with cool winters and moderate rainfall.</w:t>
      </w:r>
    </w:p>
    <w:p w14:paraId="25C3B359"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 xml:space="preserve">The soil of the experimental field was </w:t>
      </w:r>
      <w:r w:rsidRPr="007E4A9F">
        <w:rPr>
          <w:rFonts w:ascii="Times New Roman" w:eastAsia="Times New Roman" w:hAnsi="Times New Roman" w:cs="Times New Roman"/>
          <w:bCs/>
          <w:sz w:val="24"/>
          <w:szCs w:val="24"/>
        </w:rPr>
        <w:t>sandy loam</w:t>
      </w:r>
      <w:r w:rsidRPr="00431E42">
        <w:rPr>
          <w:rFonts w:ascii="Times New Roman" w:eastAsia="Times New Roman" w:hAnsi="Times New Roman" w:cs="Times New Roman"/>
          <w:sz w:val="24"/>
          <w:szCs w:val="24"/>
        </w:rPr>
        <w:t xml:space="preserve"> in texture with </w:t>
      </w:r>
      <w:r w:rsidRPr="007E4A9F">
        <w:rPr>
          <w:rFonts w:ascii="Times New Roman" w:eastAsia="Times New Roman" w:hAnsi="Times New Roman" w:cs="Times New Roman"/>
          <w:bCs/>
          <w:sz w:val="24"/>
          <w:szCs w:val="24"/>
        </w:rPr>
        <w:t>pH</w:t>
      </w:r>
      <w:r w:rsidRPr="00431E42">
        <w:rPr>
          <w:rFonts w:ascii="Times New Roman" w:eastAsia="Times New Roman" w:hAnsi="Times New Roman" w:cs="Times New Roman"/>
          <w:sz w:val="24"/>
          <w:szCs w:val="24"/>
        </w:rPr>
        <w:t>: 6.8 (slightly acidic)</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Organic carbon</w:t>
      </w:r>
      <w:r w:rsidRPr="00431E42">
        <w:rPr>
          <w:rFonts w:ascii="Times New Roman" w:eastAsia="Times New Roman" w:hAnsi="Times New Roman" w:cs="Times New Roman"/>
          <w:sz w:val="24"/>
          <w:szCs w:val="24"/>
        </w:rPr>
        <w:t>: 0.62% (moderate fertility)</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Available Nitrogen</w:t>
      </w:r>
      <w:r w:rsidRPr="00431E42">
        <w:rPr>
          <w:rFonts w:ascii="Times New Roman" w:eastAsia="Times New Roman" w:hAnsi="Times New Roman" w:cs="Times New Roman"/>
          <w:sz w:val="24"/>
          <w:szCs w:val="24"/>
        </w:rPr>
        <w:t>: 268 kg/ha (medium)</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Available Phosphorus</w:t>
      </w:r>
      <w:r w:rsidRPr="00431E42">
        <w:rPr>
          <w:rFonts w:ascii="Times New Roman" w:eastAsia="Times New Roman" w:hAnsi="Times New Roman" w:cs="Times New Roman"/>
          <w:sz w:val="24"/>
          <w:szCs w:val="24"/>
        </w:rPr>
        <w:t>: 24.5 kg/ha (medium)</w:t>
      </w:r>
      <w:r w:rsidRPr="007E4A9F">
        <w:rPr>
          <w:rFonts w:ascii="Times New Roman" w:eastAsia="Times New Roman" w:hAnsi="Times New Roman" w:cs="Times New Roman"/>
          <w:sz w:val="24"/>
          <w:szCs w:val="24"/>
        </w:rPr>
        <w:t xml:space="preserve"> and </w:t>
      </w:r>
      <w:r w:rsidRPr="007E4A9F">
        <w:rPr>
          <w:rFonts w:ascii="Times New Roman" w:eastAsia="Times New Roman" w:hAnsi="Times New Roman" w:cs="Times New Roman"/>
          <w:bCs/>
          <w:sz w:val="24"/>
          <w:szCs w:val="24"/>
        </w:rPr>
        <w:t>Available Potassium</w:t>
      </w:r>
      <w:r w:rsidRPr="00431E42">
        <w:rPr>
          <w:rFonts w:ascii="Times New Roman" w:eastAsia="Times New Roman" w:hAnsi="Times New Roman" w:cs="Times New Roman"/>
          <w:sz w:val="24"/>
          <w:szCs w:val="24"/>
        </w:rPr>
        <w:t>: 220 kg/ha (medium)</w:t>
      </w:r>
    </w:p>
    <w:p w14:paraId="5FC420B1"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The field was well-prepared using standard tillage operations. Proper leveling and weed-free conditions were ensured before sowing.</w:t>
      </w:r>
    </w:p>
    <w:p w14:paraId="02270B75"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2.2 Experimental Design and Treatment Details</w:t>
      </w:r>
    </w:p>
    <w:p w14:paraId="36E3B4E2" w14:textId="77777777" w:rsidR="00B0603D" w:rsidRDefault="00B0603D" w:rsidP="00B0603D">
      <w:pPr>
        <w:pStyle w:val="NormalWeb"/>
      </w:pPr>
      <w:r>
        <w:t>The experiment was laid out in a Randomized Block Design (RBD) with seven treatments and three replications, ensuring statistical reliability and minimizing environmental error (</w:t>
      </w:r>
      <w:r>
        <w:rPr>
          <w:rStyle w:val="Strong"/>
        </w:rPr>
        <w:t>Gomez &amp; Gomez, 1984</w:t>
      </w:r>
      <w:r>
        <w:t xml:space="preserve">). Each plot measured 2.5 m × 2.0 m, accommodating adequate plant population and spacing for accurate observation. The garden pea variety ‘Arkel’, a widely accepted early </w:t>
      </w:r>
      <w:r>
        <w:lastRenderedPageBreak/>
        <w:t>maturing cultivar known for its superior pod quality and yield potential, was selected for the trial (</w:t>
      </w:r>
      <w:proofErr w:type="spellStart"/>
      <w:r>
        <w:rPr>
          <w:rStyle w:val="Strong"/>
        </w:rPr>
        <w:t>Bilashini</w:t>
      </w:r>
      <w:proofErr w:type="spellEnd"/>
      <w:r>
        <w:rPr>
          <w:rStyle w:val="Strong"/>
        </w:rPr>
        <w:t xml:space="preserve"> Devi et al., 2018</w:t>
      </w:r>
      <w:r>
        <w:t>).</w:t>
      </w:r>
    </w:p>
    <w:p w14:paraId="18BBC1ED"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Spacing and Layout:</w:t>
      </w:r>
    </w:p>
    <w:p w14:paraId="760B691A" w14:textId="77777777" w:rsidR="00431E42" w:rsidRPr="00431E42" w:rsidRDefault="00431E42" w:rsidP="001D30D4">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Row spacing</w:t>
      </w:r>
      <w:r w:rsidRPr="00431E42">
        <w:rPr>
          <w:rFonts w:ascii="Times New Roman" w:eastAsia="Times New Roman" w:hAnsi="Times New Roman" w:cs="Times New Roman"/>
          <w:sz w:val="24"/>
          <w:szCs w:val="24"/>
        </w:rPr>
        <w:t>: 30 cm</w:t>
      </w:r>
    </w:p>
    <w:p w14:paraId="2ECBF9A4" w14:textId="77777777" w:rsidR="00431E42" w:rsidRPr="00431E42" w:rsidRDefault="00431E42" w:rsidP="001D30D4">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Plant spacing</w:t>
      </w:r>
      <w:r w:rsidRPr="00431E42">
        <w:rPr>
          <w:rFonts w:ascii="Times New Roman" w:eastAsia="Times New Roman" w:hAnsi="Times New Roman" w:cs="Times New Roman"/>
          <w:sz w:val="24"/>
          <w:szCs w:val="24"/>
        </w:rPr>
        <w:t>: 10 cm</w:t>
      </w:r>
    </w:p>
    <w:p w14:paraId="6234D155" w14:textId="77777777" w:rsidR="00431E42" w:rsidRPr="00431E42" w:rsidRDefault="00431E42" w:rsidP="001D30D4">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Net plot area</w:t>
      </w:r>
      <w:r w:rsidRPr="00431E42">
        <w:rPr>
          <w:rFonts w:ascii="Times New Roman" w:eastAsia="Times New Roman" w:hAnsi="Times New Roman" w:cs="Times New Roman"/>
          <w:sz w:val="24"/>
          <w:szCs w:val="24"/>
        </w:rPr>
        <w:t>: 5.0 m² per plot</w:t>
      </w:r>
    </w:p>
    <w:p w14:paraId="1F4F9208"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Treatment Structure:</w:t>
      </w:r>
    </w:p>
    <w:tbl>
      <w:tblPr>
        <w:tblStyle w:val="TableGrid"/>
        <w:tblW w:w="0" w:type="auto"/>
        <w:tblLook w:val="04A0" w:firstRow="1" w:lastRow="0" w:firstColumn="1" w:lastColumn="0" w:noHBand="0" w:noVBand="1"/>
      </w:tblPr>
      <w:tblGrid>
        <w:gridCol w:w="1903"/>
        <w:gridCol w:w="3236"/>
        <w:gridCol w:w="2812"/>
      </w:tblGrid>
      <w:tr w:rsidR="00431E42" w:rsidRPr="00431E42" w14:paraId="333E8F65" w14:textId="77777777" w:rsidTr="00F271B4">
        <w:tc>
          <w:tcPr>
            <w:tcW w:w="0" w:type="auto"/>
            <w:hideMark/>
          </w:tcPr>
          <w:p w14:paraId="4AA202D0" w14:textId="77777777" w:rsidR="00431E42" w:rsidRPr="00431E42" w:rsidRDefault="00431E42" w:rsidP="001D30D4">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Treatment Code</w:t>
            </w:r>
          </w:p>
        </w:tc>
        <w:tc>
          <w:tcPr>
            <w:tcW w:w="0" w:type="auto"/>
            <w:hideMark/>
          </w:tcPr>
          <w:p w14:paraId="4452D176" w14:textId="77777777" w:rsidR="00431E42" w:rsidRPr="00431E42" w:rsidRDefault="00431E42" w:rsidP="001D30D4">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Nutrient Level (N:P:K kg/ha)</w:t>
            </w:r>
          </w:p>
        </w:tc>
        <w:tc>
          <w:tcPr>
            <w:tcW w:w="0" w:type="auto"/>
            <w:hideMark/>
          </w:tcPr>
          <w:p w14:paraId="383A64EC" w14:textId="77777777" w:rsidR="00431E42" w:rsidRPr="00431E42" w:rsidRDefault="00431E42" w:rsidP="001D30D4">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Description</w:t>
            </w:r>
          </w:p>
        </w:tc>
      </w:tr>
      <w:tr w:rsidR="00431E42" w:rsidRPr="00431E42" w14:paraId="76776587" w14:textId="77777777" w:rsidTr="00F271B4">
        <w:tc>
          <w:tcPr>
            <w:tcW w:w="0" w:type="auto"/>
            <w:hideMark/>
          </w:tcPr>
          <w:p w14:paraId="020FF17C"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T1</w:t>
            </w:r>
          </w:p>
        </w:tc>
        <w:tc>
          <w:tcPr>
            <w:tcW w:w="0" w:type="auto"/>
            <w:hideMark/>
          </w:tcPr>
          <w:p w14:paraId="38AFC2B7"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0:0:0</w:t>
            </w:r>
          </w:p>
        </w:tc>
        <w:tc>
          <w:tcPr>
            <w:tcW w:w="0" w:type="auto"/>
            <w:hideMark/>
          </w:tcPr>
          <w:p w14:paraId="49CDC7D0"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Absolute Control</w:t>
            </w:r>
          </w:p>
        </w:tc>
      </w:tr>
      <w:tr w:rsidR="00431E42" w:rsidRPr="00431E42" w14:paraId="0EA3A1D9" w14:textId="77777777" w:rsidTr="00F271B4">
        <w:tc>
          <w:tcPr>
            <w:tcW w:w="0" w:type="auto"/>
            <w:hideMark/>
          </w:tcPr>
          <w:p w14:paraId="5D7EEC9E"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T2</w:t>
            </w:r>
          </w:p>
        </w:tc>
        <w:tc>
          <w:tcPr>
            <w:tcW w:w="0" w:type="auto"/>
            <w:hideMark/>
          </w:tcPr>
          <w:p w14:paraId="69485DE9"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20:40:40</w:t>
            </w:r>
          </w:p>
        </w:tc>
        <w:tc>
          <w:tcPr>
            <w:tcW w:w="0" w:type="auto"/>
            <w:hideMark/>
          </w:tcPr>
          <w:p w14:paraId="18479ECB"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50% RDF</w:t>
            </w:r>
          </w:p>
        </w:tc>
      </w:tr>
      <w:tr w:rsidR="00431E42" w:rsidRPr="00431E42" w14:paraId="5E0F6030" w14:textId="77777777" w:rsidTr="00F271B4">
        <w:tc>
          <w:tcPr>
            <w:tcW w:w="0" w:type="auto"/>
            <w:hideMark/>
          </w:tcPr>
          <w:p w14:paraId="3684BBFA"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T3</w:t>
            </w:r>
          </w:p>
        </w:tc>
        <w:tc>
          <w:tcPr>
            <w:tcW w:w="0" w:type="auto"/>
            <w:hideMark/>
          </w:tcPr>
          <w:p w14:paraId="1D2C3DDD"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25:50:50</w:t>
            </w:r>
          </w:p>
        </w:tc>
        <w:tc>
          <w:tcPr>
            <w:tcW w:w="0" w:type="auto"/>
            <w:hideMark/>
          </w:tcPr>
          <w:p w14:paraId="454E0B2C"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75% RDF</w:t>
            </w:r>
          </w:p>
        </w:tc>
      </w:tr>
      <w:tr w:rsidR="00431E42" w:rsidRPr="00431E42" w14:paraId="2DB98C0B" w14:textId="77777777" w:rsidTr="00F271B4">
        <w:tc>
          <w:tcPr>
            <w:tcW w:w="0" w:type="auto"/>
            <w:hideMark/>
          </w:tcPr>
          <w:p w14:paraId="0EE9FD0A"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T4</w:t>
            </w:r>
          </w:p>
        </w:tc>
        <w:tc>
          <w:tcPr>
            <w:tcW w:w="0" w:type="auto"/>
            <w:hideMark/>
          </w:tcPr>
          <w:p w14:paraId="419D15D1"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30:60:60</w:t>
            </w:r>
          </w:p>
        </w:tc>
        <w:tc>
          <w:tcPr>
            <w:tcW w:w="0" w:type="auto"/>
            <w:hideMark/>
          </w:tcPr>
          <w:p w14:paraId="425ABAB5"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w:t>
            </w:r>
          </w:p>
        </w:tc>
      </w:tr>
      <w:tr w:rsidR="00431E42" w:rsidRPr="00431E42" w14:paraId="42BE7A28" w14:textId="77777777" w:rsidTr="00F271B4">
        <w:tc>
          <w:tcPr>
            <w:tcW w:w="0" w:type="auto"/>
            <w:hideMark/>
          </w:tcPr>
          <w:p w14:paraId="423E571D"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T5</w:t>
            </w:r>
          </w:p>
        </w:tc>
        <w:tc>
          <w:tcPr>
            <w:tcW w:w="0" w:type="auto"/>
            <w:hideMark/>
          </w:tcPr>
          <w:p w14:paraId="6CA0DA8F"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35:70:70</w:t>
            </w:r>
          </w:p>
        </w:tc>
        <w:tc>
          <w:tcPr>
            <w:tcW w:w="0" w:type="auto"/>
            <w:hideMark/>
          </w:tcPr>
          <w:p w14:paraId="71ED96C8"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+ 25% Extra N</w:t>
            </w:r>
          </w:p>
        </w:tc>
      </w:tr>
      <w:tr w:rsidR="00431E42" w:rsidRPr="00431E42" w14:paraId="501730BF" w14:textId="77777777" w:rsidTr="00F271B4">
        <w:tc>
          <w:tcPr>
            <w:tcW w:w="0" w:type="auto"/>
            <w:hideMark/>
          </w:tcPr>
          <w:p w14:paraId="206121FB"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T6</w:t>
            </w:r>
          </w:p>
        </w:tc>
        <w:tc>
          <w:tcPr>
            <w:tcW w:w="0" w:type="auto"/>
            <w:hideMark/>
          </w:tcPr>
          <w:p w14:paraId="49615EAB"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40:80:80</w:t>
            </w:r>
          </w:p>
        </w:tc>
        <w:tc>
          <w:tcPr>
            <w:tcW w:w="0" w:type="auto"/>
            <w:hideMark/>
          </w:tcPr>
          <w:p w14:paraId="3779A0B6"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+ 50% Extra N</w:t>
            </w:r>
          </w:p>
        </w:tc>
      </w:tr>
      <w:tr w:rsidR="00431E42" w:rsidRPr="00431E42" w14:paraId="0DA050E4" w14:textId="77777777" w:rsidTr="00F271B4">
        <w:tc>
          <w:tcPr>
            <w:tcW w:w="0" w:type="auto"/>
            <w:hideMark/>
          </w:tcPr>
          <w:p w14:paraId="24B5E5EE"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T7</w:t>
            </w:r>
          </w:p>
        </w:tc>
        <w:tc>
          <w:tcPr>
            <w:tcW w:w="0" w:type="auto"/>
            <w:hideMark/>
          </w:tcPr>
          <w:p w14:paraId="7142AD6E"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45:90:90</w:t>
            </w:r>
          </w:p>
        </w:tc>
        <w:tc>
          <w:tcPr>
            <w:tcW w:w="0" w:type="auto"/>
            <w:hideMark/>
          </w:tcPr>
          <w:p w14:paraId="26044A3A"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+ 75% Extra N</w:t>
            </w:r>
          </w:p>
        </w:tc>
      </w:tr>
    </w:tbl>
    <w:p w14:paraId="5A4BE8AF" w14:textId="323CF9C0"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Note:</w:t>
      </w:r>
      <w:r w:rsidRPr="00431E42">
        <w:rPr>
          <w:rFonts w:ascii="Times New Roman" w:eastAsia="Times New Roman" w:hAnsi="Times New Roman" w:cs="Times New Roman"/>
          <w:sz w:val="24"/>
          <w:szCs w:val="24"/>
        </w:rPr>
        <w:t xml:space="preserve"> RDF refers to the </w:t>
      </w:r>
      <w:r w:rsidRPr="007E4A9F">
        <w:rPr>
          <w:rFonts w:ascii="Times New Roman" w:eastAsia="Times New Roman" w:hAnsi="Times New Roman" w:cs="Times New Roman"/>
          <w:b/>
          <w:bCs/>
          <w:sz w:val="24"/>
          <w:szCs w:val="24"/>
        </w:rPr>
        <w:t>Recommended Dose of Fertilizers</w:t>
      </w:r>
      <w:r w:rsidRPr="00431E42">
        <w:rPr>
          <w:rFonts w:ascii="Times New Roman" w:eastAsia="Times New Roman" w:hAnsi="Times New Roman" w:cs="Times New Roman"/>
          <w:sz w:val="24"/>
          <w:szCs w:val="24"/>
        </w:rPr>
        <w:t xml:space="preserve"> as per ICAR recommendations for garden pea cultivation </w:t>
      </w:r>
    </w:p>
    <w:p w14:paraId="2D2A61B5"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2.3 Crop Establishment and Management</w:t>
      </w:r>
    </w:p>
    <w:p w14:paraId="6CB6F875" w14:textId="77777777" w:rsidR="00B0603D" w:rsidRDefault="00B0603D" w:rsidP="00B0603D">
      <w:pPr>
        <w:pStyle w:val="NormalWeb"/>
      </w:pPr>
      <w:r>
        <w:t xml:space="preserve">The seeds were treated with </w:t>
      </w:r>
      <w:r>
        <w:rPr>
          <w:rStyle w:val="Emphasis"/>
        </w:rPr>
        <w:t xml:space="preserve">Rhizobium </w:t>
      </w:r>
      <w:proofErr w:type="spellStart"/>
      <w:r>
        <w:rPr>
          <w:rStyle w:val="Emphasis"/>
        </w:rPr>
        <w:t>leguminosarum</w:t>
      </w:r>
      <w:proofErr w:type="spellEnd"/>
      <w:r>
        <w:t xml:space="preserve"> before sowing to enhance nodulation and nitrogen fixation. Sowing was done manually using a seed drill to a depth of 2–3 cm on well-prepared beds during the first week of November 2023. Phosphorus and potassium were applied in full as basal doses at the time of sowing. </w:t>
      </w:r>
    </w:p>
    <w:p w14:paraId="6FEF2203" w14:textId="58F8B4D4" w:rsidR="00B0603D" w:rsidRDefault="00B0603D" w:rsidP="00B0603D">
      <w:pPr>
        <w:pStyle w:val="NormalWeb"/>
      </w:pPr>
      <w:r>
        <w:t>Nitrogen was applied in two equal splits—half at sowing and the remaining half at 30 DAS (days after sowing), except in the control treatment. Irrigations were provided at critical stages, i.e., branching, flowering, and pod development. Weeding and plant protection measures were taken manually and with recommended pesticides, respectively, to avoid competition and pest infestation (</w:t>
      </w:r>
      <w:r>
        <w:rPr>
          <w:rStyle w:val="Strong"/>
        </w:rPr>
        <w:t>Ali</w:t>
      </w:r>
      <w:r w:rsidRPr="00B0603D">
        <w:rPr>
          <w:rStyle w:val="Strong"/>
        </w:rPr>
        <w:t xml:space="preserve"> </w:t>
      </w:r>
      <w:r>
        <w:rPr>
          <w:rStyle w:val="Strong"/>
        </w:rPr>
        <w:t>et al., 2003; Akarsh et al., 2020</w:t>
      </w:r>
      <w:r>
        <w:t>).</w:t>
      </w:r>
    </w:p>
    <w:p w14:paraId="34D425B4"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2.4 Parameters Observed</w:t>
      </w:r>
    </w:p>
    <w:p w14:paraId="49B7413B"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A set of growth and yield parameters were recorded periodically and at harvest to determine the impact of different nutrient doses. The observations included:</w:t>
      </w:r>
    </w:p>
    <w:p w14:paraId="164E6248" w14:textId="77777777" w:rsidR="001D30D4" w:rsidRPr="007E4A9F"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Plant Height (cm)</w:t>
      </w:r>
      <w:r w:rsidRPr="00431E42">
        <w:rPr>
          <w:rFonts w:ascii="Times New Roman" w:eastAsia="Times New Roman" w:hAnsi="Times New Roman" w:cs="Times New Roman"/>
          <w:sz w:val="24"/>
          <w:szCs w:val="24"/>
        </w:rPr>
        <w:t xml:space="preserve"> – Measured from the base to the tip of the plant </w:t>
      </w:r>
    </w:p>
    <w:p w14:paraId="581D2292"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Number of Branches per Plant</w:t>
      </w:r>
      <w:r w:rsidRPr="00431E42">
        <w:rPr>
          <w:rFonts w:ascii="Times New Roman" w:eastAsia="Times New Roman" w:hAnsi="Times New Roman" w:cs="Times New Roman"/>
          <w:sz w:val="24"/>
          <w:szCs w:val="24"/>
        </w:rPr>
        <w:t xml:space="preserve"> – Average of five randomly selected plants from each plot.</w:t>
      </w:r>
    </w:p>
    <w:p w14:paraId="70C420A4"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lastRenderedPageBreak/>
        <w:t>Leaf Area Index (LAI)</w:t>
      </w:r>
      <w:r w:rsidRPr="00431E42">
        <w:rPr>
          <w:rFonts w:ascii="Times New Roman" w:eastAsia="Times New Roman" w:hAnsi="Times New Roman" w:cs="Times New Roman"/>
          <w:sz w:val="24"/>
          <w:szCs w:val="24"/>
        </w:rPr>
        <w:t xml:space="preserve"> – Calculated using a </w:t>
      </w:r>
      <w:r w:rsidRPr="007E4A9F">
        <w:rPr>
          <w:rFonts w:ascii="Times New Roman" w:eastAsia="Times New Roman" w:hAnsi="Times New Roman" w:cs="Times New Roman"/>
          <w:bCs/>
          <w:sz w:val="24"/>
          <w:szCs w:val="24"/>
        </w:rPr>
        <w:t>leaf area meter</w:t>
      </w:r>
      <w:r w:rsidRPr="00431E42">
        <w:rPr>
          <w:rFonts w:ascii="Times New Roman" w:eastAsia="Times New Roman" w:hAnsi="Times New Roman" w:cs="Times New Roman"/>
          <w:sz w:val="24"/>
          <w:szCs w:val="24"/>
        </w:rPr>
        <w:t xml:space="preserve"> (model LICOR 3100) at 45 DAS.</w:t>
      </w:r>
    </w:p>
    <w:p w14:paraId="2F25191B"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Dry Matter Accumulation (g/plant)</w:t>
      </w:r>
      <w:r w:rsidRPr="00431E42">
        <w:rPr>
          <w:rFonts w:ascii="Times New Roman" w:eastAsia="Times New Roman" w:hAnsi="Times New Roman" w:cs="Times New Roman"/>
          <w:sz w:val="24"/>
          <w:szCs w:val="24"/>
        </w:rPr>
        <w:t xml:space="preserve"> – Oven-dried samples were taken at 60 DAS and at harvest to measure plant dry weight.</w:t>
      </w:r>
    </w:p>
    <w:p w14:paraId="3D40FF72"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Number of Pods per Plant</w:t>
      </w:r>
      <w:r w:rsidRPr="00431E42">
        <w:rPr>
          <w:rFonts w:ascii="Times New Roman" w:eastAsia="Times New Roman" w:hAnsi="Times New Roman" w:cs="Times New Roman"/>
          <w:sz w:val="24"/>
          <w:szCs w:val="24"/>
        </w:rPr>
        <w:t xml:space="preserve"> – Counted from randomly selected five plants per plot.</w:t>
      </w:r>
    </w:p>
    <w:p w14:paraId="01947BB4"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Pod Length (cm)</w:t>
      </w:r>
      <w:r w:rsidRPr="00431E42">
        <w:rPr>
          <w:rFonts w:ascii="Times New Roman" w:eastAsia="Times New Roman" w:hAnsi="Times New Roman" w:cs="Times New Roman"/>
          <w:sz w:val="24"/>
          <w:szCs w:val="24"/>
        </w:rPr>
        <w:t xml:space="preserve"> – Measured from 10 randomly selected pods from each plot.</w:t>
      </w:r>
    </w:p>
    <w:p w14:paraId="385A6037"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Pod Weight (g)</w:t>
      </w:r>
      <w:r w:rsidRPr="00431E42">
        <w:rPr>
          <w:rFonts w:ascii="Times New Roman" w:eastAsia="Times New Roman" w:hAnsi="Times New Roman" w:cs="Times New Roman"/>
          <w:sz w:val="24"/>
          <w:szCs w:val="24"/>
        </w:rPr>
        <w:t xml:space="preserve"> – Average weight of ten fresh pods per plant.</w:t>
      </w:r>
    </w:p>
    <w:p w14:paraId="7E29DDD1"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Green Pod Yield (q/ha)</w:t>
      </w:r>
      <w:r w:rsidRPr="00431E42">
        <w:rPr>
          <w:rFonts w:ascii="Times New Roman" w:eastAsia="Times New Roman" w:hAnsi="Times New Roman" w:cs="Times New Roman"/>
          <w:sz w:val="24"/>
          <w:szCs w:val="24"/>
        </w:rPr>
        <w:t xml:space="preserve"> – Final yield was extrapolated from net plot yield to hectare basis.</w:t>
      </w:r>
    </w:p>
    <w:p w14:paraId="272F9D4E" w14:textId="77777777" w:rsidR="00431E42" w:rsidRPr="007E4A9F" w:rsidRDefault="00431E42" w:rsidP="001D30D4">
      <w:pPr>
        <w:spacing w:before="100" w:beforeAutospacing="1" w:after="100" w:afterAutospacing="1" w:line="240" w:lineRule="auto"/>
        <w:jc w:val="both"/>
        <w:rPr>
          <w:rFonts w:ascii="Times New Roman" w:eastAsia="Times New Roman" w:hAnsi="Times New Roman" w:cs="Times New Roman"/>
          <w:b/>
          <w:sz w:val="24"/>
          <w:szCs w:val="24"/>
        </w:rPr>
      </w:pPr>
      <w:r w:rsidRPr="007E4A9F">
        <w:rPr>
          <w:rFonts w:ascii="Times New Roman" w:eastAsia="Times New Roman" w:hAnsi="Times New Roman" w:cs="Times New Roman"/>
          <w:b/>
          <w:sz w:val="24"/>
          <w:szCs w:val="24"/>
        </w:rPr>
        <w:t xml:space="preserve">Statistical Analysis: </w:t>
      </w:r>
    </w:p>
    <w:p w14:paraId="0A13C905" w14:textId="77777777" w:rsidR="00B0603D" w:rsidRPr="00B0603D" w:rsidRDefault="00B0603D" w:rsidP="001D30D4">
      <w:pPr>
        <w:spacing w:before="100" w:beforeAutospacing="1" w:after="100" w:afterAutospacing="1" w:line="240" w:lineRule="auto"/>
        <w:jc w:val="both"/>
        <w:outlineLvl w:val="1"/>
        <w:rPr>
          <w:rFonts w:ascii="Times New Roman" w:hAnsi="Times New Roman" w:cs="Times New Roman"/>
          <w:sz w:val="24"/>
          <w:szCs w:val="24"/>
        </w:rPr>
      </w:pPr>
      <w:r w:rsidRPr="00B0603D">
        <w:rPr>
          <w:rFonts w:ascii="Times New Roman" w:hAnsi="Times New Roman" w:cs="Times New Roman"/>
          <w:sz w:val="24"/>
          <w:szCs w:val="24"/>
        </w:rPr>
        <w:t xml:space="preserve">All recorded data were subjected to statistical analysis using ANOVA as per the method suggested by </w:t>
      </w:r>
      <w:r w:rsidRPr="00B0603D">
        <w:rPr>
          <w:rStyle w:val="Strong"/>
          <w:rFonts w:ascii="Times New Roman" w:hAnsi="Times New Roman" w:cs="Times New Roman"/>
          <w:sz w:val="24"/>
          <w:szCs w:val="24"/>
        </w:rPr>
        <w:t>Gomez and Gomez (1984)</w:t>
      </w:r>
      <w:r w:rsidRPr="00B0603D">
        <w:rPr>
          <w:rFonts w:ascii="Times New Roman" w:hAnsi="Times New Roman" w:cs="Times New Roman"/>
          <w:sz w:val="24"/>
          <w:szCs w:val="24"/>
        </w:rPr>
        <w:t xml:space="preserve"> to test the significance of treatment effects. The Critical Difference (CD) at 5% level of significance was used for comparison among treatment means.</w:t>
      </w:r>
    </w:p>
    <w:p w14:paraId="13252121" w14:textId="77777777" w:rsidR="00F271B4" w:rsidRPr="00F271B4" w:rsidRDefault="00F271B4"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3. RESULTS AND DISCUSSION</w:t>
      </w:r>
    </w:p>
    <w:p w14:paraId="1274A158" w14:textId="77777777" w:rsidR="00F271B4" w:rsidRPr="00F271B4" w:rsidRDefault="00F271B4" w:rsidP="00B0603D">
      <w:pPr>
        <w:spacing w:before="100" w:beforeAutospacing="1" w:after="100" w:afterAutospacing="1"/>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3.1 Plant Height (cm)</w:t>
      </w:r>
    </w:p>
    <w:p w14:paraId="49763F34" w14:textId="77BCCDDD" w:rsidR="00B0603D" w:rsidRDefault="00B0603D" w:rsidP="00B0603D">
      <w:pPr>
        <w:pStyle w:val="NormalWeb"/>
        <w:spacing w:line="276" w:lineRule="auto"/>
      </w:pPr>
      <w:r>
        <w:rPr>
          <w:rStyle w:val="Strong"/>
        </w:rPr>
        <w:t>3.1 Plant Height</w:t>
      </w:r>
      <w:r>
        <w:br/>
        <w:t>Plant height is a vital indicator of vegetative growth and the overall health of the plant. In the present study, plant height increased significantly with increasing nutrient doses. The tallest plants (68.3 cm at harvest) were recorded in treatment T5, followed by T6, whereas the shortest plants (40.1 cm) were observed in the control treatment (T1). This increase in plant height with nutrient application is attributed to the availability of essential nutrients, especially nitrogen, which stimulates cell division and elongation in meristematic regions (</w:t>
      </w:r>
      <w:r>
        <w:rPr>
          <w:rStyle w:val="Strong"/>
        </w:rPr>
        <w:t>Abhishek</w:t>
      </w:r>
      <w:r w:rsidRPr="00B0603D">
        <w:rPr>
          <w:rStyle w:val="Strong"/>
        </w:rPr>
        <w:t xml:space="preserve"> </w:t>
      </w:r>
      <w:r>
        <w:rPr>
          <w:rStyle w:val="Strong"/>
        </w:rPr>
        <w:t>et al., 2015; Bai et al., 2017</w:t>
      </w:r>
      <w:r>
        <w:t xml:space="preserve">). These findings are consistent with </w:t>
      </w:r>
      <w:r>
        <w:rPr>
          <w:rStyle w:val="Strong"/>
        </w:rPr>
        <w:t>Bunker et al. (2018)</w:t>
      </w:r>
      <w:r>
        <w:t>, who observed that nitrogen enhances shoot elongation and contributes to better canopy development in legumes.</w:t>
      </w:r>
    </w:p>
    <w:p w14:paraId="58638089" w14:textId="32BD9B6E" w:rsidR="00B0603D" w:rsidRDefault="00B0603D" w:rsidP="00B0603D">
      <w:pPr>
        <w:pStyle w:val="NormalWeb"/>
        <w:spacing w:line="276" w:lineRule="auto"/>
      </w:pPr>
      <w:r>
        <w:rPr>
          <w:rStyle w:val="Strong"/>
        </w:rPr>
        <w:t>3.2 Number of Branches per Plant</w:t>
      </w:r>
      <w:r>
        <w:br/>
        <w:t>The number of branches per plant is closely associated with the photosynthetic surface area and ultimately yield. A significant variation was observed among the treatments. The highest number of branches (5.2) was recorded in T5, followed by T6, whereas the control recorded the least (2.8). This could be due to the balanced application of nutrients which promotes axillary bud growth and branching (</w:t>
      </w:r>
      <w:r>
        <w:rPr>
          <w:rStyle w:val="Strong"/>
        </w:rPr>
        <w:t>Hemang et al., 2018</w:t>
      </w:r>
      <w:r>
        <w:t xml:space="preserve">). Similar results were also reported by </w:t>
      </w:r>
      <w:r>
        <w:rPr>
          <w:rStyle w:val="Strong"/>
        </w:rPr>
        <w:t>Gupta</w:t>
      </w:r>
      <w:r w:rsidRPr="00B0603D">
        <w:rPr>
          <w:rStyle w:val="Strong"/>
        </w:rPr>
        <w:t xml:space="preserve"> </w:t>
      </w:r>
      <w:r>
        <w:rPr>
          <w:rStyle w:val="Strong"/>
        </w:rPr>
        <w:t>et al., (2017)</w:t>
      </w:r>
      <w:r>
        <w:t>, who found a positive correlation between nutrient availability and branching in pea plants.</w:t>
      </w:r>
    </w:p>
    <w:p w14:paraId="7C46EF04" w14:textId="0AF1042B" w:rsidR="00B0603D" w:rsidRDefault="00B0603D" w:rsidP="00B0603D">
      <w:pPr>
        <w:pStyle w:val="NormalWeb"/>
        <w:spacing w:line="276" w:lineRule="auto"/>
      </w:pPr>
      <w:r>
        <w:rPr>
          <w:rStyle w:val="Strong"/>
        </w:rPr>
        <w:lastRenderedPageBreak/>
        <w:t>3.3 Leaf Area Index (LAI)</w:t>
      </w:r>
      <w:r>
        <w:br/>
        <w:t>LAI indicates the leaf surface area available for photosynthesis. In this study, LAI increased significantly with nutrient levels, peaking at T5 (2.45 at 60 DAS), followed by T6 (2.32), while the lowest LAI (1.15) was observed in the control. The increase in LAI in nutrient-rich treatments can be linked to enhanced leaf development and chlorophyll content due to better nutrient assimilation (</w:t>
      </w:r>
      <w:r>
        <w:rPr>
          <w:rStyle w:val="Strong"/>
        </w:rPr>
        <w:t>Soniya</w:t>
      </w:r>
      <w:r w:rsidRPr="00B0603D">
        <w:rPr>
          <w:rStyle w:val="Strong"/>
        </w:rPr>
        <w:t xml:space="preserve"> </w:t>
      </w:r>
      <w:r>
        <w:rPr>
          <w:rStyle w:val="Strong"/>
        </w:rPr>
        <w:t>et al., 2025</w:t>
      </w:r>
      <w:r>
        <w:t xml:space="preserve">). According to </w:t>
      </w:r>
      <w:proofErr w:type="spellStart"/>
      <w:r>
        <w:rPr>
          <w:rStyle w:val="Strong"/>
        </w:rPr>
        <w:t>Janusauskaite</w:t>
      </w:r>
      <w:proofErr w:type="spellEnd"/>
      <w:r w:rsidRPr="00B0603D">
        <w:rPr>
          <w:rStyle w:val="Strong"/>
        </w:rPr>
        <w:t xml:space="preserve"> </w:t>
      </w:r>
      <w:r>
        <w:rPr>
          <w:rStyle w:val="Strong"/>
        </w:rPr>
        <w:t>et al., (2023)</w:t>
      </w:r>
      <w:r>
        <w:t>, higher LAI improves radiation interception and biomass accumulation, thereby enhancing yield potential.</w:t>
      </w:r>
    </w:p>
    <w:p w14:paraId="484C7832" w14:textId="7709BB70" w:rsidR="00B0603D" w:rsidRDefault="00B0603D" w:rsidP="00B0603D">
      <w:pPr>
        <w:pStyle w:val="NormalWeb"/>
        <w:spacing w:line="276" w:lineRule="auto"/>
      </w:pPr>
      <w:r>
        <w:rPr>
          <w:rStyle w:val="Strong"/>
        </w:rPr>
        <w:t>3.4 Dry Matter Accumulation (g/plant)</w:t>
      </w:r>
      <w:r>
        <w:br/>
        <w:t>Dry matter accumulation represents the net photosynthate available for plant development. A significant increase in dry matter accumulation was observed in treatment T5 (22.8 g/plant), followed by T6 (21.4 g/plant). The minimum value was recorded in the control (13.1 g/plant). This suggests that higher nutrient doses supported efficient photosynthesis and translocation of assimilates, leading to increased biomass (</w:t>
      </w:r>
      <w:r>
        <w:rPr>
          <w:rStyle w:val="Strong"/>
        </w:rPr>
        <w:t>Bai</w:t>
      </w:r>
      <w:r w:rsidRPr="00B0603D">
        <w:rPr>
          <w:rStyle w:val="Strong"/>
        </w:rPr>
        <w:t xml:space="preserve"> </w:t>
      </w:r>
      <w:r>
        <w:rPr>
          <w:rStyle w:val="Strong"/>
        </w:rPr>
        <w:t>et al., 2017</w:t>
      </w:r>
      <w:r>
        <w:t xml:space="preserve">). A similar trend was observed by </w:t>
      </w:r>
      <w:r>
        <w:rPr>
          <w:rStyle w:val="Strong"/>
        </w:rPr>
        <w:t>Abhishek</w:t>
      </w:r>
      <w:r w:rsidRPr="00B0603D">
        <w:rPr>
          <w:rStyle w:val="Strong"/>
        </w:rPr>
        <w:t xml:space="preserve"> </w:t>
      </w:r>
      <w:r>
        <w:rPr>
          <w:rStyle w:val="Strong"/>
        </w:rPr>
        <w:t>et al., (2015)</w:t>
      </w:r>
      <w:r>
        <w:t>, who highlighted the role of balanced NPK application in improving biomass accumulation in legumes.</w:t>
      </w:r>
    </w:p>
    <w:p w14:paraId="38ABE6DD" w14:textId="77777777" w:rsidR="00B0603D" w:rsidRDefault="00B0603D" w:rsidP="00B0603D">
      <w:pPr>
        <w:pStyle w:val="NormalWeb"/>
        <w:spacing w:line="276" w:lineRule="auto"/>
      </w:pPr>
      <w:r>
        <w:rPr>
          <w:rStyle w:val="Strong"/>
        </w:rPr>
        <w:t>3.5 Yield Attributes and Green Pod Yield</w:t>
      </w:r>
    </w:p>
    <w:p w14:paraId="35C477D0" w14:textId="77777777" w:rsidR="00B0603D" w:rsidRDefault="00B0603D" w:rsidP="00B0603D">
      <w:pPr>
        <w:pStyle w:val="NormalWeb"/>
        <w:spacing w:line="276" w:lineRule="auto"/>
      </w:pPr>
      <w:r>
        <w:rPr>
          <w:rStyle w:val="Strong"/>
        </w:rPr>
        <w:t>Pods per Plant</w:t>
      </w:r>
      <w:r>
        <w:br/>
        <w:t>Pods per plant are a direct yield component. The highest number of pods per plant (18.3) was found in T5, followed by T6 (17.8), while the control had the lowest number (10.4). Nutrient sufficiency enhances floral bud differentiation and pod setting (</w:t>
      </w:r>
      <w:r>
        <w:rPr>
          <w:rStyle w:val="Strong"/>
        </w:rPr>
        <w:t>Akarsh et al., 2020</w:t>
      </w:r>
      <w:r>
        <w:t>).</w:t>
      </w:r>
    </w:p>
    <w:p w14:paraId="4D3543FF" w14:textId="77777777" w:rsidR="00B0603D" w:rsidRDefault="00B0603D" w:rsidP="00B0603D">
      <w:pPr>
        <w:pStyle w:val="NormalWeb"/>
        <w:spacing w:line="276" w:lineRule="auto"/>
      </w:pPr>
      <w:r>
        <w:rPr>
          <w:rStyle w:val="Strong"/>
        </w:rPr>
        <w:t>Pod Length (cm)</w:t>
      </w:r>
      <w:r>
        <w:br/>
        <w:t>Pod length significantly increased with nutrient application, with T5 recording the longest pods (9.8 cm), followed by T6 (9.4 cm). The control plot produced the shortest pods (6.3 cm). Adequate nitrogen and phosphorus availability enhances reproductive development, resulting in longer pods (</w:t>
      </w:r>
      <w:r>
        <w:rPr>
          <w:rStyle w:val="Strong"/>
        </w:rPr>
        <w:t>Bunker et al., 2018</w:t>
      </w:r>
      <w:r>
        <w:t>).</w:t>
      </w:r>
    </w:p>
    <w:p w14:paraId="0F7E7AE3" w14:textId="7BD7F7B3" w:rsidR="00B0603D" w:rsidRDefault="00B0603D" w:rsidP="00B0603D">
      <w:pPr>
        <w:pStyle w:val="NormalWeb"/>
        <w:spacing w:line="276" w:lineRule="auto"/>
      </w:pPr>
      <w:r>
        <w:rPr>
          <w:rStyle w:val="Strong"/>
        </w:rPr>
        <w:t>Pod Weight (g)</w:t>
      </w:r>
      <w:r>
        <w:br/>
        <w:t>Pod weight also responded positively to nutrient application. T5 had the highest average pod weight (6.4 g), while the control had the lowest (3.7 g). This improvement is likely due to better seed filling and carbohydrate accumulation promoted by nutrient availability (</w:t>
      </w:r>
      <w:r>
        <w:rPr>
          <w:rStyle w:val="Strong"/>
        </w:rPr>
        <w:t>Ali</w:t>
      </w:r>
      <w:r w:rsidRPr="00B0603D">
        <w:rPr>
          <w:rStyle w:val="Strong"/>
        </w:rPr>
        <w:t xml:space="preserve"> </w:t>
      </w:r>
      <w:r>
        <w:rPr>
          <w:rStyle w:val="Strong"/>
        </w:rPr>
        <w:t>et al., 2003</w:t>
      </w:r>
      <w:r>
        <w:t>).</w:t>
      </w:r>
    </w:p>
    <w:p w14:paraId="30575195" w14:textId="4231F983" w:rsidR="001D30D4" w:rsidRPr="00B0603D" w:rsidRDefault="00B0603D" w:rsidP="00B0603D">
      <w:pPr>
        <w:pStyle w:val="NormalWeb"/>
        <w:spacing w:line="276" w:lineRule="auto"/>
      </w:pPr>
      <w:r>
        <w:rPr>
          <w:rStyle w:val="Strong"/>
        </w:rPr>
        <w:t>Green Pod Yield (q/ha)</w:t>
      </w:r>
      <w:r>
        <w:br/>
        <w:t xml:space="preserve">The maximum green pod yield (95.2 q/ha) was obtained in T5, followed by T6 (90.1 q/ha), and the lowest yield was recorded in T1 (48.7 q/ha). The increase in yield under T5 can be ascribed to improved growth, higher pod number, and better pod development, supported by optimal nutrient supply. These results agree with those of </w:t>
      </w:r>
      <w:r>
        <w:rPr>
          <w:rStyle w:val="Strong"/>
        </w:rPr>
        <w:t>Gupta</w:t>
      </w:r>
      <w:r w:rsidRPr="00B0603D">
        <w:rPr>
          <w:rStyle w:val="Strong"/>
        </w:rPr>
        <w:t xml:space="preserve"> </w:t>
      </w:r>
      <w:r>
        <w:rPr>
          <w:rStyle w:val="Strong"/>
        </w:rPr>
        <w:t>et al., (2017)</w:t>
      </w:r>
      <w:r>
        <w:t xml:space="preserve"> and </w:t>
      </w:r>
      <w:r>
        <w:rPr>
          <w:rStyle w:val="Strong"/>
        </w:rPr>
        <w:t>Bunker et al. (2018)</w:t>
      </w:r>
      <w:r>
        <w:t xml:space="preserve">, </w:t>
      </w:r>
      <w:r>
        <w:lastRenderedPageBreak/>
        <w:t>who reported that integrated and balanced fertilization significantly enhances pod yield in garden pea.</w:t>
      </w:r>
    </w:p>
    <w:p w14:paraId="20E19E1E" w14:textId="77777777" w:rsidR="00F271B4" w:rsidRPr="00F271B4" w:rsidRDefault="00F271B4"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Table 1: Effect of Different Nutrient Doses on Growth and Yield of Garden Pea (Pisum sativum L.)</w:t>
      </w:r>
    </w:p>
    <w:tbl>
      <w:tblPr>
        <w:tblStyle w:val="TableGrid"/>
        <w:tblW w:w="9918" w:type="dxa"/>
        <w:tblLayout w:type="fixed"/>
        <w:tblLook w:val="04A0" w:firstRow="1" w:lastRow="0" w:firstColumn="1" w:lastColumn="0" w:noHBand="0" w:noVBand="1"/>
      </w:tblPr>
      <w:tblGrid>
        <w:gridCol w:w="1618"/>
        <w:gridCol w:w="920"/>
        <w:gridCol w:w="810"/>
        <w:gridCol w:w="1170"/>
        <w:gridCol w:w="990"/>
        <w:gridCol w:w="810"/>
        <w:gridCol w:w="990"/>
        <w:gridCol w:w="990"/>
        <w:gridCol w:w="1620"/>
      </w:tblGrid>
      <w:tr w:rsidR="00F271B4" w:rsidRPr="007E4A9F" w14:paraId="38F1DCD0" w14:textId="77777777" w:rsidTr="001D30D4">
        <w:trPr>
          <w:trHeight w:val="1633"/>
        </w:trPr>
        <w:tc>
          <w:tcPr>
            <w:tcW w:w="1618" w:type="dxa"/>
            <w:hideMark/>
          </w:tcPr>
          <w:p w14:paraId="0A7BA856"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Treatment</w:t>
            </w:r>
          </w:p>
        </w:tc>
        <w:tc>
          <w:tcPr>
            <w:tcW w:w="920" w:type="dxa"/>
            <w:hideMark/>
          </w:tcPr>
          <w:p w14:paraId="44F5B100"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Plant Height (cm)</w:t>
            </w:r>
          </w:p>
        </w:tc>
        <w:tc>
          <w:tcPr>
            <w:tcW w:w="810" w:type="dxa"/>
            <w:hideMark/>
          </w:tcPr>
          <w:p w14:paraId="20942AF6"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Branches/Plant</w:t>
            </w:r>
          </w:p>
        </w:tc>
        <w:tc>
          <w:tcPr>
            <w:tcW w:w="1170" w:type="dxa"/>
            <w:hideMark/>
          </w:tcPr>
          <w:p w14:paraId="6F40F0A9"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Leaf Area Index (60 DAS)</w:t>
            </w:r>
          </w:p>
        </w:tc>
        <w:tc>
          <w:tcPr>
            <w:tcW w:w="990" w:type="dxa"/>
            <w:hideMark/>
          </w:tcPr>
          <w:p w14:paraId="295D86AC"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Dry Matter/Plant (g)</w:t>
            </w:r>
          </w:p>
        </w:tc>
        <w:tc>
          <w:tcPr>
            <w:tcW w:w="810" w:type="dxa"/>
            <w:hideMark/>
          </w:tcPr>
          <w:p w14:paraId="040430F5"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Pods/Plant</w:t>
            </w:r>
          </w:p>
        </w:tc>
        <w:tc>
          <w:tcPr>
            <w:tcW w:w="990" w:type="dxa"/>
            <w:hideMark/>
          </w:tcPr>
          <w:p w14:paraId="2FD6CA85"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 Length (cm)</w:t>
            </w:r>
          </w:p>
        </w:tc>
        <w:tc>
          <w:tcPr>
            <w:tcW w:w="990" w:type="dxa"/>
            <w:hideMark/>
          </w:tcPr>
          <w:p w14:paraId="5E242DE6"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 Weight (g)</w:t>
            </w:r>
          </w:p>
        </w:tc>
        <w:tc>
          <w:tcPr>
            <w:tcW w:w="1620" w:type="dxa"/>
            <w:hideMark/>
          </w:tcPr>
          <w:p w14:paraId="2D01CBBD"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Green Pod Yield (q/ha)</w:t>
            </w:r>
          </w:p>
        </w:tc>
      </w:tr>
      <w:tr w:rsidR="00F271B4" w:rsidRPr="007E4A9F" w14:paraId="2B1A1D01" w14:textId="77777777" w:rsidTr="001D30D4">
        <w:trPr>
          <w:trHeight w:val="278"/>
        </w:trPr>
        <w:tc>
          <w:tcPr>
            <w:tcW w:w="1618" w:type="dxa"/>
            <w:hideMark/>
          </w:tcPr>
          <w:p w14:paraId="31B0F885"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T1</w:t>
            </w:r>
            <w:r w:rsidRPr="00F271B4">
              <w:rPr>
                <w:rFonts w:ascii="Times New Roman" w:eastAsia="Times New Roman" w:hAnsi="Times New Roman" w:cs="Times New Roman"/>
                <w:sz w:val="24"/>
                <w:szCs w:val="24"/>
              </w:rPr>
              <w:t xml:space="preserve"> (Control)</w:t>
            </w:r>
          </w:p>
        </w:tc>
        <w:tc>
          <w:tcPr>
            <w:tcW w:w="920" w:type="dxa"/>
            <w:hideMark/>
          </w:tcPr>
          <w:p w14:paraId="6D3AE1C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40.1</w:t>
            </w:r>
          </w:p>
        </w:tc>
        <w:tc>
          <w:tcPr>
            <w:tcW w:w="810" w:type="dxa"/>
            <w:hideMark/>
          </w:tcPr>
          <w:p w14:paraId="06F56D5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2.4</w:t>
            </w:r>
          </w:p>
        </w:tc>
        <w:tc>
          <w:tcPr>
            <w:tcW w:w="1170" w:type="dxa"/>
            <w:hideMark/>
          </w:tcPr>
          <w:p w14:paraId="10712DE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1.12</w:t>
            </w:r>
          </w:p>
        </w:tc>
        <w:tc>
          <w:tcPr>
            <w:tcW w:w="990" w:type="dxa"/>
            <w:hideMark/>
          </w:tcPr>
          <w:p w14:paraId="60F9C0D7"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12.3</w:t>
            </w:r>
          </w:p>
        </w:tc>
        <w:tc>
          <w:tcPr>
            <w:tcW w:w="810" w:type="dxa"/>
            <w:hideMark/>
          </w:tcPr>
          <w:p w14:paraId="6867E97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10.5</w:t>
            </w:r>
          </w:p>
        </w:tc>
        <w:tc>
          <w:tcPr>
            <w:tcW w:w="990" w:type="dxa"/>
            <w:hideMark/>
          </w:tcPr>
          <w:p w14:paraId="757499FA"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6.8</w:t>
            </w:r>
          </w:p>
        </w:tc>
        <w:tc>
          <w:tcPr>
            <w:tcW w:w="990" w:type="dxa"/>
            <w:hideMark/>
          </w:tcPr>
          <w:p w14:paraId="1543EF8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3.4</w:t>
            </w:r>
          </w:p>
        </w:tc>
        <w:tc>
          <w:tcPr>
            <w:tcW w:w="1620" w:type="dxa"/>
            <w:hideMark/>
          </w:tcPr>
          <w:p w14:paraId="6A49C51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48.7</w:t>
            </w:r>
          </w:p>
        </w:tc>
      </w:tr>
      <w:tr w:rsidR="00F271B4" w:rsidRPr="007E4A9F" w14:paraId="58D3AD97" w14:textId="77777777" w:rsidTr="001D30D4">
        <w:trPr>
          <w:trHeight w:val="544"/>
        </w:trPr>
        <w:tc>
          <w:tcPr>
            <w:tcW w:w="1618" w:type="dxa"/>
            <w:hideMark/>
          </w:tcPr>
          <w:p w14:paraId="23D7848F"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T2</w:t>
            </w:r>
            <w:r w:rsidRPr="00F271B4">
              <w:rPr>
                <w:rFonts w:ascii="Times New Roman" w:eastAsia="Times New Roman" w:hAnsi="Times New Roman" w:cs="Times New Roman"/>
                <w:sz w:val="24"/>
                <w:szCs w:val="24"/>
              </w:rPr>
              <w:t xml:space="preserve"> (40:40:30 NPK kg/ha)</w:t>
            </w:r>
          </w:p>
        </w:tc>
        <w:tc>
          <w:tcPr>
            <w:tcW w:w="920" w:type="dxa"/>
            <w:hideMark/>
          </w:tcPr>
          <w:p w14:paraId="1E05299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49.8</w:t>
            </w:r>
          </w:p>
        </w:tc>
        <w:tc>
          <w:tcPr>
            <w:tcW w:w="810" w:type="dxa"/>
            <w:hideMark/>
          </w:tcPr>
          <w:p w14:paraId="4719057B"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3.2</w:t>
            </w:r>
          </w:p>
        </w:tc>
        <w:tc>
          <w:tcPr>
            <w:tcW w:w="1170" w:type="dxa"/>
            <w:hideMark/>
          </w:tcPr>
          <w:p w14:paraId="25F41D0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1.56</w:t>
            </w:r>
          </w:p>
        </w:tc>
        <w:tc>
          <w:tcPr>
            <w:tcW w:w="990" w:type="dxa"/>
            <w:hideMark/>
          </w:tcPr>
          <w:p w14:paraId="210B1547"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15.6</w:t>
            </w:r>
          </w:p>
        </w:tc>
        <w:tc>
          <w:tcPr>
            <w:tcW w:w="810" w:type="dxa"/>
            <w:hideMark/>
          </w:tcPr>
          <w:p w14:paraId="413BF5F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13.6</w:t>
            </w:r>
          </w:p>
        </w:tc>
        <w:tc>
          <w:tcPr>
            <w:tcW w:w="990" w:type="dxa"/>
            <w:hideMark/>
          </w:tcPr>
          <w:p w14:paraId="345724C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7.5</w:t>
            </w:r>
          </w:p>
        </w:tc>
        <w:tc>
          <w:tcPr>
            <w:tcW w:w="990" w:type="dxa"/>
            <w:hideMark/>
          </w:tcPr>
          <w:p w14:paraId="0E29997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4.5</w:t>
            </w:r>
          </w:p>
        </w:tc>
        <w:tc>
          <w:tcPr>
            <w:tcW w:w="1620" w:type="dxa"/>
            <w:hideMark/>
          </w:tcPr>
          <w:p w14:paraId="6CF046A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65.4</w:t>
            </w:r>
          </w:p>
        </w:tc>
      </w:tr>
      <w:tr w:rsidR="00F271B4" w:rsidRPr="007E4A9F" w14:paraId="3B8C2756" w14:textId="77777777" w:rsidTr="001D30D4">
        <w:trPr>
          <w:trHeight w:val="544"/>
        </w:trPr>
        <w:tc>
          <w:tcPr>
            <w:tcW w:w="1618" w:type="dxa"/>
            <w:hideMark/>
          </w:tcPr>
          <w:p w14:paraId="4BB75EC9"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T3</w:t>
            </w:r>
            <w:r w:rsidRPr="00F271B4">
              <w:rPr>
                <w:rFonts w:ascii="Times New Roman" w:eastAsia="Times New Roman" w:hAnsi="Times New Roman" w:cs="Times New Roman"/>
                <w:sz w:val="24"/>
                <w:szCs w:val="24"/>
              </w:rPr>
              <w:t xml:space="preserve"> (60:40:30 NPK kg/ha)</w:t>
            </w:r>
          </w:p>
        </w:tc>
        <w:tc>
          <w:tcPr>
            <w:tcW w:w="920" w:type="dxa"/>
            <w:hideMark/>
          </w:tcPr>
          <w:p w14:paraId="54BC123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55.1</w:t>
            </w:r>
          </w:p>
        </w:tc>
        <w:tc>
          <w:tcPr>
            <w:tcW w:w="810" w:type="dxa"/>
            <w:hideMark/>
          </w:tcPr>
          <w:p w14:paraId="4E12E573"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3.7</w:t>
            </w:r>
          </w:p>
        </w:tc>
        <w:tc>
          <w:tcPr>
            <w:tcW w:w="1170" w:type="dxa"/>
            <w:hideMark/>
          </w:tcPr>
          <w:p w14:paraId="45F94C1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1.82</w:t>
            </w:r>
          </w:p>
        </w:tc>
        <w:tc>
          <w:tcPr>
            <w:tcW w:w="990" w:type="dxa"/>
            <w:hideMark/>
          </w:tcPr>
          <w:p w14:paraId="07E8C3A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17.8</w:t>
            </w:r>
          </w:p>
        </w:tc>
        <w:tc>
          <w:tcPr>
            <w:tcW w:w="810" w:type="dxa"/>
            <w:hideMark/>
          </w:tcPr>
          <w:p w14:paraId="07A5D6F3"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14.5</w:t>
            </w:r>
          </w:p>
        </w:tc>
        <w:tc>
          <w:tcPr>
            <w:tcW w:w="990" w:type="dxa"/>
            <w:hideMark/>
          </w:tcPr>
          <w:p w14:paraId="0033EB7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8.1</w:t>
            </w:r>
          </w:p>
        </w:tc>
        <w:tc>
          <w:tcPr>
            <w:tcW w:w="990" w:type="dxa"/>
            <w:hideMark/>
          </w:tcPr>
          <w:p w14:paraId="62DDF1A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5.1</w:t>
            </w:r>
          </w:p>
        </w:tc>
        <w:tc>
          <w:tcPr>
            <w:tcW w:w="1620" w:type="dxa"/>
            <w:hideMark/>
          </w:tcPr>
          <w:p w14:paraId="778B717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75.6</w:t>
            </w:r>
          </w:p>
        </w:tc>
      </w:tr>
      <w:tr w:rsidR="00F271B4" w:rsidRPr="007E4A9F" w14:paraId="41BC9862" w14:textId="77777777" w:rsidTr="001D30D4">
        <w:trPr>
          <w:trHeight w:val="544"/>
        </w:trPr>
        <w:tc>
          <w:tcPr>
            <w:tcW w:w="1618" w:type="dxa"/>
            <w:hideMark/>
          </w:tcPr>
          <w:p w14:paraId="0ACDF114"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T4</w:t>
            </w:r>
            <w:r w:rsidRPr="00F271B4">
              <w:rPr>
                <w:rFonts w:ascii="Times New Roman" w:eastAsia="Times New Roman" w:hAnsi="Times New Roman" w:cs="Times New Roman"/>
                <w:sz w:val="24"/>
                <w:szCs w:val="24"/>
              </w:rPr>
              <w:t xml:space="preserve"> (60:60:30 NPK kg/ha)</w:t>
            </w:r>
          </w:p>
        </w:tc>
        <w:tc>
          <w:tcPr>
            <w:tcW w:w="920" w:type="dxa"/>
            <w:hideMark/>
          </w:tcPr>
          <w:p w14:paraId="19A62FC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61.7</w:t>
            </w:r>
          </w:p>
        </w:tc>
        <w:tc>
          <w:tcPr>
            <w:tcW w:w="810" w:type="dxa"/>
            <w:hideMark/>
          </w:tcPr>
          <w:p w14:paraId="1783E93F"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4.2</w:t>
            </w:r>
          </w:p>
        </w:tc>
        <w:tc>
          <w:tcPr>
            <w:tcW w:w="1170" w:type="dxa"/>
            <w:hideMark/>
          </w:tcPr>
          <w:p w14:paraId="3A97C45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2.01</w:t>
            </w:r>
          </w:p>
        </w:tc>
        <w:tc>
          <w:tcPr>
            <w:tcW w:w="990" w:type="dxa"/>
            <w:hideMark/>
          </w:tcPr>
          <w:p w14:paraId="6B542F1F"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19.6</w:t>
            </w:r>
          </w:p>
        </w:tc>
        <w:tc>
          <w:tcPr>
            <w:tcW w:w="810" w:type="dxa"/>
            <w:hideMark/>
          </w:tcPr>
          <w:p w14:paraId="17A0993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16.3</w:t>
            </w:r>
          </w:p>
        </w:tc>
        <w:tc>
          <w:tcPr>
            <w:tcW w:w="990" w:type="dxa"/>
            <w:hideMark/>
          </w:tcPr>
          <w:p w14:paraId="0722D4F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8.5</w:t>
            </w:r>
          </w:p>
        </w:tc>
        <w:tc>
          <w:tcPr>
            <w:tcW w:w="990" w:type="dxa"/>
            <w:hideMark/>
          </w:tcPr>
          <w:p w14:paraId="5E5180A4"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5.7</w:t>
            </w:r>
          </w:p>
        </w:tc>
        <w:tc>
          <w:tcPr>
            <w:tcW w:w="1620" w:type="dxa"/>
            <w:hideMark/>
          </w:tcPr>
          <w:p w14:paraId="77C0FD2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82.8</w:t>
            </w:r>
          </w:p>
        </w:tc>
      </w:tr>
      <w:tr w:rsidR="00F271B4" w:rsidRPr="007E4A9F" w14:paraId="0B6BF34B" w14:textId="77777777" w:rsidTr="001D30D4">
        <w:trPr>
          <w:trHeight w:val="535"/>
        </w:trPr>
        <w:tc>
          <w:tcPr>
            <w:tcW w:w="1618" w:type="dxa"/>
            <w:hideMark/>
          </w:tcPr>
          <w:p w14:paraId="7B2ED1EC"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T5</w:t>
            </w:r>
            <w:r w:rsidRPr="00F271B4">
              <w:rPr>
                <w:rFonts w:ascii="Times New Roman" w:eastAsia="Times New Roman" w:hAnsi="Times New Roman" w:cs="Times New Roman"/>
                <w:sz w:val="24"/>
                <w:szCs w:val="24"/>
              </w:rPr>
              <w:t xml:space="preserve"> (80:60:40 NPK kg/ha)</w:t>
            </w:r>
          </w:p>
        </w:tc>
        <w:tc>
          <w:tcPr>
            <w:tcW w:w="920" w:type="dxa"/>
            <w:hideMark/>
          </w:tcPr>
          <w:p w14:paraId="4E384145"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68.3</w:t>
            </w:r>
          </w:p>
        </w:tc>
        <w:tc>
          <w:tcPr>
            <w:tcW w:w="810" w:type="dxa"/>
            <w:hideMark/>
          </w:tcPr>
          <w:p w14:paraId="5F2CDBB1"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5.2</w:t>
            </w:r>
          </w:p>
        </w:tc>
        <w:tc>
          <w:tcPr>
            <w:tcW w:w="1170" w:type="dxa"/>
            <w:hideMark/>
          </w:tcPr>
          <w:p w14:paraId="56F4F728"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2.45</w:t>
            </w:r>
          </w:p>
        </w:tc>
        <w:tc>
          <w:tcPr>
            <w:tcW w:w="990" w:type="dxa"/>
            <w:hideMark/>
          </w:tcPr>
          <w:p w14:paraId="0EBA9BEA"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22.8</w:t>
            </w:r>
          </w:p>
        </w:tc>
        <w:tc>
          <w:tcPr>
            <w:tcW w:w="810" w:type="dxa"/>
            <w:hideMark/>
          </w:tcPr>
          <w:p w14:paraId="27FC2671"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18.3</w:t>
            </w:r>
          </w:p>
        </w:tc>
        <w:tc>
          <w:tcPr>
            <w:tcW w:w="990" w:type="dxa"/>
            <w:hideMark/>
          </w:tcPr>
          <w:p w14:paraId="0F5B8D01"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9.8</w:t>
            </w:r>
          </w:p>
        </w:tc>
        <w:tc>
          <w:tcPr>
            <w:tcW w:w="990" w:type="dxa"/>
            <w:hideMark/>
          </w:tcPr>
          <w:p w14:paraId="463D0B92"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6.4</w:t>
            </w:r>
          </w:p>
        </w:tc>
        <w:tc>
          <w:tcPr>
            <w:tcW w:w="1620" w:type="dxa"/>
            <w:hideMark/>
          </w:tcPr>
          <w:p w14:paraId="2EF1C053"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95.2</w:t>
            </w:r>
          </w:p>
        </w:tc>
      </w:tr>
      <w:tr w:rsidR="00F271B4" w:rsidRPr="007E4A9F" w14:paraId="0C1D98F7" w14:textId="77777777" w:rsidTr="001D30D4">
        <w:trPr>
          <w:trHeight w:val="822"/>
        </w:trPr>
        <w:tc>
          <w:tcPr>
            <w:tcW w:w="1618" w:type="dxa"/>
            <w:hideMark/>
          </w:tcPr>
          <w:p w14:paraId="47612E22"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T6</w:t>
            </w:r>
            <w:r w:rsidRPr="00F271B4">
              <w:rPr>
                <w:rFonts w:ascii="Times New Roman" w:eastAsia="Times New Roman" w:hAnsi="Times New Roman" w:cs="Times New Roman"/>
                <w:sz w:val="24"/>
                <w:szCs w:val="24"/>
              </w:rPr>
              <w:t xml:space="preserve"> (100:60:40 NPK kg/ha)</w:t>
            </w:r>
          </w:p>
        </w:tc>
        <w:tc>
          <w:tcPr>
            <w:tcW w:w="920" w:type="dxa"/>
            <w:hideMark/>
          </w:tcPr>
          <w:p w14:paraId="7633966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66.4</w:t>
            </w:r>
          </w:p>
        </w:tc>
        <w:tc>
          <w:tcPr>
            <w:tcW w:w="810" w:type="dxa"/>
            <w:hideMark/>
          </w:tcPr>
          <w:p w14:paraId="341EF02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4.9</w:t>
            </w:r>
          </w:p>
        </w:tc>
        <w:tc>
          <w:tcPr>
            <w:tcW w:w="1170" w:type="dxa"/>
            <w:hideMark/>
          </w:tcPr>
          <w:p w14:paraId="21EEC05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2.21</w:t>
            </w:r>
          </w:p>
        </w:tc>
        <w:tc>
          <w:tcPr>
            <w:tcW w:w="990" w:type="dxa"/>
            <w:hideMark/>
          </w:tcPr>
          <w:p w14:paraId="5F556C5F"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21.1</w:t>
            </w:r>
          </w:p>
        </w:tc>
        <w:tc>
          <w:tcPr>
            <w:tcW w:w="810" w:type="dxa"/>
            <w:hideMark/>
          </w:tcPr>
          <w:p w14:paraId="6B2B5D23"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17.8</w:t>
            </w:r>
          </w:p>
        </w:tc>
        <w:tc>
          <w:tcPr>
            <w:tcW w:w="990" w:type="dxa"/>
            <w:hideMark/>
          </w:tcPr>
          <w:p w14:paraId="79A105B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9.3</w:t>
            </w:r>
          </w:p>
        </w:tc>
        <w:tc>
          <w:tcPr>
            <w:tcW w:w="990" w:type="dxa"/>
            <w:hideMark/>
          </w:tcPr>
          <w:p w14:paraId="316637F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6.1</w:t>
            </w:r>
          </w:p>
        </w:tc>
        <w:tc>
          <w:tcPr>
            <w:tcW w:w="1620" w:type="dxa"/>
            <w:hideMark/>
          </w:tcPr>
          <w:p w14:paraId="397D046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90.1</w:t>
            </w:r>
          </w:p>
        </w:tc>
      </w:tr>
      <w:tr w:rsidR="00F271B4" w:rsidRPr="007E4A9F" w14:paraId="36A143F3" w14:textId="77777777" w:rsidTr="001D30D4">
        <w:trPr>
          <w:trHeight w:val="1089"/>
        </w:trPr>
        <w:tc>
          <w:tcPr>
            <w:tcW w:w="1618" w:type="dxa"/>
            <w:hideMark/>
          </w:tcPr>
          <w:p w14:paraId="6681F726"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T7</w:t>
            </w:r>
            <w:r w:rsidRPr="00F271B4">
              <w:rPr>
                <w:rFonts w:ascii="Times New Roman" w:eastAsia="Times New Roman" w:hAnsi="Times New Roman" w:cs="Times New Roman"/>
                <w:sz w:val="24"/>
                <w:szCs w:val="24"/>
              </w:rPr>
              <w:t xml:space="preserve"> (Recommended Dose + Biofertilizer)</w:t>
            </w:r>
          </w:p>
        </w:tc>
        <w:tc>
          <w:tcPr>
            <w:tcW w:w="920" w:type="dxa"/>
            <w:hideMark/>
          </w:tcPr>
          <w:p w14:paraId="22F3483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63.2</w:t>
            </w:r>
          </w:p>
        </w:tc>
        <w:tc>
          <w:tcPr>
            <w:tcW w:w="810" w:type="dxa"/>
            <w:hideMark/>
          </w:tcPr>
          <w:p w14:paraId="6A2656E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4.4</w:t>
            </w:r>
          </w:p>
        </w:tc>
        <w:tc>
          <w:tcPr>
            <w:tcW w:w="1170" w:type="dxa"/>
            <w:hideMark/>
          </w:tcPr>
          <w:p w14:paraId="5BE0852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2.05</w:t>
            </w:r>
          </w:p>
        </w:tc>
        <w:tc>
          <w:tcPr>
            <w:tcW w:w="990" w:type="dxa"/>
            <w:hideMark/>
          </w:tcPr>
          <w:p w14:paraId="4F60191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20.4</w:t>
            </w:r>
          </w:p>
        </w:tc>
        <w:tc>
          <w:tcPr>
            <w:tcW w:w="810" w:type="dxa"/>
            <w:hideMark/>
          </w:tcPr>
          <w:p w14:paraId="34AF092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17.1</w:t>
            </w:r>
          </w:p>
        </w:tc>
        <w:tc>
          <w:tcPr>
            <w:tcW w:w="990" w:type="dxa"/>
            <w:hideMark/>
          </w:tcPr>
          <w:p w14:paraId="39FF04CB"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9.0</w:t>
            </w:r>
          </w:p>
        </w:tc>
        <w:tc>
          <w:tcPr>
            <w:tcW w:w="990" w:type="dxa"/>
            <w:hideMark/>
          </w:tcPr>
          <w:p w14:paraId="0767C19B"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5.9</w:t>
            </w:r>
          </w:p>
        </w:tc>
        <w:tc>
          <w:tcPr>
            <w:tcW w:w="1620" w:type="dxa"/>
            <w:hideMark/>
          </w:tcPr>
          <w:p w14:paraId="327B1354"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88.3</w:t>
            </w:r>
          </w:p>
        </w:tc>
      </w:tr>
      <w:tr w:rsidR="00F271B4" w:rsidRPr="007E4A9F" w14:paraId="1B19BD55" w14:textId="77777777" w:rsidTr="001D30D4">
        <w:trPr>
          <w:trHeight w:val="267"/>
        </w:trPr>
        <w:tc>
          <w:tcPr>
            <w:tcW w:w="1618" w:type="dxa"/>
            <w:hideMark/>
          </w:tcPr>
          <w:p w14:paraId="63B89139"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CD (P=0.05)</w:t>
            </w:r>
          </w:p>
        </w:tc>
        <w:tc>
          <w:tcPr>
            <w:tcW w:w="920" w:type="dxa"/>
            <w:hideMark/>
          </w:tcPr>
          <w:p w14:paraId="3AA830A4"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3.42</w:t>
            </w:r>
          </w:p>
        </w:tc>
        <w:tc>
          <w:tcPr>
            <w:tcW w:w="810" w:type="dxa"/>
            <w:hideMark/>
          </w:tcPr>
          <w:p w14:paraId="615EE3D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0.39</w:t>
            </w:r>
          </w:p>
        </w:tc>
        <w:tc>
          <w:tcPr>
            <w:tcW w:w="1170" w:type="dxa"/>
            <w:hideMark/>
          </w:tcPr>
          <w:p w14:paraId="1058586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0.21</w:t>
            </w:r>
          </w:p>
        </w:tc>
        <w:tc>
          <w:tcPr>
            <w:tcW w:w="990" w:type="dxa"/>
            <w:hideMark/>
          </w:tcPr>
          <w:p w14:paraId="2844F77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1.8</w:t>
            </w:r>
          </w:p>
        </w:tc>
        <w:tc>
          <w:tcPr>
            <w:tcW w:w="810" w:type="dxa"/>
            <w:hideMark/>
          </w:tcPr>
          <w:p w14:paraId="78D7182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w:t>
            </w:r>
          </w:p>
        </w:tc>
        <w:tc>
          <w:tcPr>
            <w:tcW w:w="990" w:type="dxa"/>
            <w:hideMark/>
          </w:tcPr>
          <w:p w14:paraId="6EC579C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0.4</w:t>
            </w:r>
          </w:p>
        </w:tc>
        <w:tc>
          <w:tcPr>
            <w:tcW w:w="990" w:type="dxa"/>
            <w:hideMark/>
          </w:tcPr>
          <w:p w14:paraId="28DDFF1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0.3</w:t>
            </w:r>
          </w:p>
        </w:tc>
        <w:tc>
          <w:tcPr>
            <w:tcW w:w="1620" w:type="dxa"/>
            <w:hideMark/>
          </w:tcPr>
          <w:p w14:paraId="679004E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4.7</w:t>
            </w:r>
          </w:p>
        </w:tc>
      </w:tr>
      <w:tr w:rsidR="00F271B4" w:rsidRPr="007E4A9F" w14:paraId="16D89997" w14:textId="77777777" w:rsidTr="001D30D4">
        <w:trPr>
          <w:trHeight w:val="287"/>
        </w:trPr>
        <w:tc>
          <w:tcPr>
            <w:tcW w:w="1618" w:type="dxa"/>
            <w:hideMark/>
          </w:tcPr>
          <w:p w14:paraId="4581396D" w14:textId="77777777" w:rsidR="00F271B4" w:rsidRPr="00F271B4" w:rsidRDefault="00F271B4" w:rsidP="001D30D4">
            <w:pPr>
              <w:jc w:val="both"/>
              <w:rPr>
                <w:rFonts w:ascii="Times New Roman" w:eastAsia="Times New Roman" w:hAnsi="Times New Roman" w:cs="Times New Roman"/>
                <w:sz w:val="24"/>
                <w:szCs w:val="24"/>
              </w:rPr>
            </w:pPr>
            <w:proofErr w:type="spellStart"/>
            <w:r w:rsidRPr="007E4A9F">
              <w:rPr>
                <w:rFonts w:ascii="Times New Roman" w:eastAsia="Times New Roman" w:hAnsi="Times New Roman" w:cs="Times New Roman"/>
                <w:b/>
                <w:bCs/>
                <w:sz w:val="24"/>
                <w:szCs w:val="24"/>
              </w:rPr>
              <w:t>SEm</w:t>
            </w:r>
            <w:proofErr w:type="spellEnd"/>
            <w:r w:rsidRPr="007E4A9F">
              <w:rPr>
                <w:rFonts w:ascii="Times New Roman" w:eastAsia="Times New Roman" w:hAnsi="Times New Roman" w:cs="Times New Roman"/>
                <w:b/>
                <w:bCs/>
                <w:sz w:val="24"/>
                <w:szCs w:val="24"/>
              </w:rPr>
              <w:t xml:space="preserve"> ±</w:t>
            </w:r>
          </w:p>
        </w:tc>
        <w:tc>
          <w:tcPr>
            <w:tcW w:w="920" w:type="dxa"/>
            <w:hideMark/>
          </w:tcPr>
          <w:p w14:paraId="0984D26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1.12</w:t>
            </w:r>
          </w:p>
        </w:tc>
        <w:tc>
          <w:tcPr>
            <w:tcW w:w="810" w:type="dxa"/>
            <w:hideMark/>
          </w:tcPr>
          <w:p w14:paraId="4787AD87"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0.13</w:t>
            </w:r>
          </w:p>
        </w:tc>
        <w:tc>
          <w:tcPr>
            <w:tcW w:w="1170" w:type="dxa"/>
            <w:hideMark/>
          </w:tcPr>
          <w:p w14:paraId="3B18E92A"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0.07</w:t>
            </w:r>
          </w:p>
        </w:tc>
        <w:tc>
          <w:tcPr>
            <w:tcW w:w="990" w:type="dxa"/>
            <w:hideMark/>
          </w:tcPr>
          <w:p w14:paraId="45B5B0E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0.6</w:t>
            </w:r>
          </w:p>
        </w:tc>
        <w:tc>
          <w:tcPr>
            <w:tcW w:w="810" w:type="dxa"/>
            <w:hideMark/>
          </w:tcPr>
          <w:p w14:paraId="66511E3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0.6</w:t>
            </w:r>
          </w:p>
        </w:tc>
        <w:tc>
          <w:tcPr>
            <w:tcW w:w="990" w:type="dxa"/>
            <w:hideMark/>
          </w:tcPr>
          <w:p w14:paraId="5100B43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0.14</w:t>
            </w:r>
          </w:p>
        </w:tc>
        <w:tc>
          <w:tcPr>
            <w:tcW w:w="990" w:type="dxa"/>
            <w:hideMark/>
          </w:tcPr>
          <w:p w14:paraId="230F71F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0.11</w:t>
            </w:r>
          </w:p>
        </w:tc>
        <w:tc>
          <w:tcPr>
            <w:tcW w:w="1620" w:type="dxa"/>
            <w:hideMark/>
          </w:tcPr>
          <w:p w14:paraId="2293B021" w14:textId="77777777" w:rsidR="00F271B4" w:rsidRPr="00F271B4" w:rsidRDefault="00F271B4" w:rsidP="001D30D4">
            <w:pPr>
              <w:jc w:val="both"/>
              <w:rPr>
                <w:rFonts w:ascii="Times New Roman" w:eastAsia="Times New Roman" w:hAnsi="Times New Roman" w:cs="Times New Roman"/>
                <w:sz w:val="24"/>
                <w:szCs w:val="24"/>
              </w:rPr>
            </w:pPr>
          </w:p>
        </w:tc>
      </w:tr>
    </w:tbl>
    <w:p w14:paraId="47E2EE38" w14:textId="6083FC36" w:rsidR="00561288" w:rsidRDefault="00561288" w:rsidP="00561288">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w:t>
      </w:r>
      <w:r w:rsidRPr="007E4A9F">
        <w:rPr>
          <w:rFonts w:ascii="Times New Roman" w:eastAsia="Times New Roman" w:hAnsi="Times New Roman" w:cs="Times New Roman"/>
          <w:b/>
          <w:bCs/>
          <w:sz w:val="24"/>
          <w:szCs w:val="24"/>
        </w:rPr>
        <w:t xml:space="preserve">Effect of Different Nutrient Doses on Growth and Yield of Garden </w:t>
      </w:r>
      <w:proofErr w:type="gramStart"/>
      <w:r w:rsidRPr="007E4A9F">
        <w:rPr>
          <w:rFonts w:ascii="Times New Roman" w:eastAsia="Times New Roman" w:hAnsi="Times New Roman" w:cs="Times New Roman"/>
          <w:b/>
          <w:bCs/>
          <w:sz w:val="24"/>
          <w:szCs w:val="24"/>
        </w:rPr>
        <w:t>Pea(</w:t>
      </w:r>
      <w:proofErr w:type="gramEnd"/>
      <w:r w:rsidRPr="007E4A9F">
        <w:rPr>
          <w:rFonts w:ascii="Times New Roman" w:eastAsia="Times New Roman" w:hAnsi="Times New Roman" w:cs="Times New Roman"/>
          <w:b/>
          <w:bCs/>
          <w:sz w:val="24"/>
          <w:szCs w:val="24"/>
        </w:rPr>
        <w:t>Pisum sativum L.)</w:t>
      </w:r>
    </w:p>
    <w:p w14:paraId="3BFAEBE4" w14:textId="2400A5BC" w:rsidR="006E1261" w:rsidRDefault="006E1261" w:rsidP="00561288">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rPr>
        <w:lastRenderedPageBreak/>
        <w:drawing>
          <wp:inline distT="0" distB="0" distL="0" distR="0" wp14:anchorId="79574EC3" wp14:editId="1E79DFE5">
            <wp:extent cx="5732145" cy="3768969"/>
            <wp:effectExtent l="0" t="0" r="0" b="0"/>
            <wp:docPr id="1140033499" name="Chart 1">
              <a:extLst xmlns:a="http://schemas.openxmlformats.org/drawingml/2006/main">
                <a:ext uri="{FF2B5EF4-FFF2-40B4-BE49-F238E27FC236}">
                  <a16:creationId xmlns:a16="http://schemas.microsoft.com/office/drawing/2014/main" id="{60273453-E343-B690-B8AC-CF04EC26D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866D4D" w14:textId="77777777" w:rsidR="006E1261" w:rsidRDefault="006E1261"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0E88E0CB" w14:textId="0CBF860E" w:rsidR="00FA375F" w:rsidRPr="00FA375F" w:rsidRDefault="001D30D4"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4. Summary and</w:t>
      </w:r>
      <w:r w:rsidR="00FA375F" w:rsidRPr="007E4A9F">
        <w:rPr>
          <w:rFonts w:ascii="Times New Roman" w:eastAsia="Times New Roman" w:hAnsi="Times New Roman" w:cs="Times New Roman"/>
          <w:b/>
          <w:bCs/>
          <w:sz w:val="24"/>
          <w:szCs w:val="24"/>
        </w:rPr>
        <w:t xml:space="preserve"> Conclusion</w:t>
      </w:r>
    </w:p>
    <w:p w14:paraId="0FC2BB4B" w14:textId="77777777" w:rsidR="00B0603D" w:rsidRDefault="00B0603D" w:rsidP="00B0603D">
      <w:pPr>
        <w:pStyle w:val="NormalWeb"/>
      </w:pPr>
      <w:r>
        <w:t>The present investigation revealed that the application of different nutrient doses had a pronounced effect on the growth characteristics, physiological parameters, and yield components of garden pea. Among all the treatments tested, T5 (125% of the recommended NPK dose) consistently recorded superior results.</w:t>
      </w:r>
    </w:p>
    <w:p w14:paraId="3C97DE86" w14:textId="197F35D1" w:rsidR="00B0603D" w:rsidRDefault="00B0603D" w:rsidP="00B0603D">
      <w:pPr>
        <w:pStyle w:val="NormalWeb"/>
      </w:pPr>
      <w:r>
        <w:t>The enhanced performance under the T5 treatment is evident from significant improvements in parameters such as plant height (68.3 cm), leaf area index (2.45), dry matter accumulation (22.8 g/plant), and green pod yield (95.2 q/ha). This can be attributed to improved nutrient availability, particularly nitrogen, which supports vigorous vegetative growth and enhanced photosynthetic activity (</w:t>
      </w:r>
      <w:r>
        <w:rPr>
          <w:rStyle w:val="Strong"/>
        </w:rPr>
        <w:t>Abhishek et al. 2015; Bai, et al., 2017</w:t>
      </w:r>
      <w:r>
        <w:t>). The control treatment (T1), where no fertilizer was applied, showed the poorest performance, highlighting the essential role of macro-nutrients in crop growth and yield formation (</w:t>
      </w:r>
      <w:r>
        <w:rPr>
          <w:rStyle w:val="Strong"/>
        </w:rPr>
        <w:t>Bunker et al., 2018</w:t>
      </w:r>
      <w:r>
        <w:t>).</w:t>
      </w:r>
    </w:p>
    <w:p w14:paraId="29408FF3" w14:textId="3EF5214E" w:rsidR="00B0603D" w:rsidRDefault="00B0603D" w:rsidP="00B0603D">
      <w:pPr>
        <w:pStyle w:val="NormalWeb"/>
      </w:pPr>
      <w:r>
        <w:t>The findings also support the idea that integrated and balanced nutrient management plays a key role in promoting both vegetative development and reproductive efficiency in legume crops. These outcomes are aligned with previous studies that emphasized the importance of nutrient optimization in enhancing productivity and resource use efficiency in pulse crops (</w:t>
      </w:r>
      <w:r>
        <w:rPr>
          <w:rStyle w:val="Strong"/>
        </w:rPr>
        <w:t>Soniya, Anju, &amp; Tripathi, 2025</w:t>
      </w:r>
      <w:r w:rsidRPr="00561288">
        <w:rPr>
          <w:b/>
          <w:bCs/>
        </w:rPr>
        <w:t>).[4]</w:t>
      </w:r>
    </w:p>
    <w:p w14:paraId="2CDF2BE1" w14:textId="77777777" w:rsidR="00B0603D" w:rsidRDefault="00B0603D" w:rsidP="00B0603D">
      <w:pPr>
        <w:pStyle w:val="NormalWeb"/>
      </w:pPr>
      <w:r>
        <w:lastRenderedPageBreak/>
        <w:t>In conclusion, applying 125% of the recommended NPK dose proved to be the most effective strategy for maximizing the growth and yield of garden pea under the given experimental conditions. The study reinforces the significance of strategic nutrient management in realizing the full genetic potential of the crop.</w:t>
      </w:r>
    </w:p>
    <w:p w14:paraId="4CB8591A"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 xml:space="preserve">Recommendations </w:t>
      </w:r>
    </w:p>
    <w:p w14:paraId="573F23DE" w14:textId="5D0B7378"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Implementation of T5 Nutrient Schedule:</w:t>
      </w:r>
      <w:r w:rsidR="00B0603D">
        <w:rPr>
          <w:rFonts w:ascii="Times New Roman" w:eastAsia="Times New Roman" w:hAnsi="Times New Roman" w:cs="Times New Roman"/>
          <w:b/>
          <w:bCs/>
          <w:sz w:val="24"/>
          <w:szCs w:val="24"/>
        </w:rPr>
        <w:t xml:space="preserve"> </w:t>
      </w:r>
      <w:r w:rsidRPr="001D30D4">
        <w:rPr>
          <w:rFonts w:ascii="Times New Roman" w:eastAsia="Times New Roman" w:hAnsi="Times New Roman" w:cs="Times New Roman"/>
          <w:sz w:val="24"/>
          <w:szCs w:val="24"/>
        </w:rPr>
        <w:t>Farmers growing garden pea under similar conditions should consider adopting the T5 nutrient regimen, i.e., 125% of the recommended NPK dose, which showed consistently higher yield without any observable nutrient stress (</w:t>
      </w:r>
      <w:r w:rsidR="007F6EE4" w:rsidRPr="005840FF">
        <w:rPr>
          <w:rFonts w:ascii="Times New Roman" w:eastAsia="Times New Roman" w:hAnsi="Times New Roman" w:cs="Times New Roman"/>
          <w:b/>
          <w:bCs/>
          <w:sz w:val="24"/>
          <w:szCs w:val="24"/>
          <w:lang w:val="en-IN" w:eastAsia="en-IN"/>
        </w:rPr>
        <w:t>Hemang</w:t>
      </w:r>
      <w:r w:rsidRPr="001D30D4">
        <w:rPr>
          <w:rFonts w:ascii="Times New Roman" w:eastAsia="Times New Roman" w:hAnsi="Times New Roman" w:cs="Times New Roman"/>
          <w:sz w:val="24"/>
          <w:szCs w:val="24"/>
        </w:rPr>
        <w:t xml:space="preserve"> </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w:t>
      </w:r>
      <w:r w:rsidR="007F6EE4" w:rsidRPr="00561288">
        <w:rPr>
          <w:rFonts w:ascii="Times New Roman" w:eastAsia="Times New Roman" w:hAnsi="Times New Roman" w:cs="Times New Roman"/>
          <w:b/>
          <w:bCs/>
          <w:sz w:val="24"/>
          <w:szCs w:val="24"/>
        </w:rPr>
        <w:t>8</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rPr>
        <w:t>[17]</w:t>
      </w:r>
    </w:p>
    <w:p w14:paraId="2C4FEB4B"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Routine Soil Testing:</w:t>
      </w:r>
    </w:p>
    <w:p w14:paraId="11026874" w14:textId="6DF59120"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Encouraging periodic soil testing will help determine the nutrient status of the soil and guide appropriate fertilizer application, ensuring efficient nutrient use and reduced wastage (</w:t>
      </w:r>
      <w:r w:rsidR="007F6EE4" w:rsidRPr="005840FF">
        <w:rPr>
          <w:rFonts w:ascii="Times New Roman" w:eastAsia="Times New Roman" w:hAnsi="Times New Roman" w:cs="Times New Roman"/>
          <w:b/>
          <w:bCs/>
          <w:sz w:val="24"/>
          <w:szCs w:val="24"/>
          <w:lang w:val="en-IN" w:eastAsia="en-IN"/>
        </w:rPr>
        <w:t>Bai, B</w:t>
      </w:r>
      <w:r w:rsidRPr="001D30D4">
        <w:rPr>
          <w:rFonts w:ascii="Times New Roman" w:eastAsia="Times New Roman" w:hAnsi="Times New Roman" w:cs="Times New Roman"/>
          <w:i/>
          <w:sz w:val="24"/>
          <w:szCs w:val="24"/>
        </w:rPr>
        <w:t xml:space="preserve"> </w:t>
      </w:r>
      <w:r w:rsidRPr="00561288">
        <w:rPr>
          <w:rFonts w:ascii="Times New Roman" w:eastAsia="Times New Roman" w:hAnsi="Times New Roman" w:cs="Times New Roman"/>
          <w:b/>
          <w:bCs/>
          <w:i/>
          <w:sz w:val="24"/>
          <w:szCs w:val="24"/>
        </w:rPr>
        <w:t xml:space="preserve">et al., </w:t>
      </w:r>
      <w:r w:rsidRPr="00561288">
        <w:rPr>
          <w:rFonts w:ascii="Times New Roman" w:eastAsia="Times New Roman" w:hAnsi="Times New Roman" w:cs="Times New Roman"/>
          <w:b/>
          <w:bCs/>
          <w:sz w:val="24"/>
          <w:szCs w:val="24"/>
        </w:rPr>
        <w:t>20</w:t>
      </w:r>
      <w:r w:rsidR="007F6EE4" w:rsidRPr="00561288">
        <w:rPr>
          <w:rFonts w:ascii="Times New Roman" w:eastAsia="Times New Roman" w:hAnsi="Times New Roman" w:cs="Times New Roman"/>
          <w:b/>
          <w:bCs/>
          <w:sz w:val="24"/>
          <w:szCs w:val="24"/>
        </w:rPr>
        <w:t>17</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rPr>
        <w:t>[12]</w:t>
      </w:r>
    </w:p>
    <w:p w14:paraId="246DD334"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Use of Integrated Nutrient Management (INM):</w:t>
      </w:r>
    </w:p>
    <w:p w14:paraId="244C3A0C" w14:textId="49D82CEB"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 xml:space="preserve">The combination of organic manures (e.g., farmyard manure or compost) with inorganic fertilizers not only improves soil structure but also enhances nutrient availability and long-term productivity </w:t>
      </w:r>
      <w:r w:rsidR="007F6EE4" w:rsidRPr="00561288">
        <w:rPr>
          <w:rFonts w:ascii="Times New Roman" w:eastAsia="Times New Roman" w:hAnsi="Times New Roman" w:cs="Times New Roman"/>
          <w:b/>
          <w:bCs/>
          <w:sz w:val="24"/>
          <w:szCs w:val="24"/>
        </w:rPr>
        <w:t>(</w:t>
      </w:r>
      <w:r w:rsidR="007F6EE4" w:rsidRPr="00561288">
        <w:rPr>
          <w:rFonts w:ascii="Times New Roman" w:hAnsi="Times New Roman" w:cs="Times New Roman"/>
          <w:b/>
          <w:bCs/>
          <w:spacing w:val="1"/>
          <w:sz w:val="24"/>
          <w:szCs w:val="24"/>
        </w:rPr>
        <w:t>Abhishek K</w:t>
      </w:r>
      <w:r w:rsidR="007F6EE4" w:rsidRPr="00561288">
        <w:rPr>
          <w:rFonts w:ascii="Times New Roman" w:eastAsia="Times New Roman" w:hAnsi="Times New Roman" w:cs="Times New Roman"/>
          <w:b/>
          <w:bCs/>
          <w:sz w:val="24"/>
          <w:szCs w:val="24"/>
        </w:rPr>
        <w:t xml:space="preserve"> </w:t>
      </w:r>
      <w:r w:rsidR="007F6EE4" w:rsidRPr="00561288">
        <w:rPr>
          <w:rFonts w:ascii="Times New Roman" w:eastAsia="Times New Roman" w:hAnsi="Times New Roman" w:cs="Times New Roman"/>
          <w:b/>
          <w:bCs/>
          <w:i/>
          <w:sz w:val="24"/>
          <w:szCs w:val="24"/>
        </w:rPr>
        <w:t>et al.,</w:t>
      </w:r>
      <w:r w:rsidR="007F6EE4" w:rsidRPr="00561288">
        <w:rPr>
          <w:rFonts w:ascii="Times New Roman" w:eastAsia="Times New Roman" w:hAnsi="Times New Roman" w:cs="Times New Roman"/>
          <w:b/>
          <w:bCs/>
          <w:sz w:val="24"/>
          <w:szCs w:val="24"/>
        </w:rPr>
        <w:t xml:space="preserve"> 2015).[7]</w:t>
      </w:r>
    </w:p>
    <w:p w14:paraId="1B5BB521"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Stage-Specific Nutrient Application:</w:t>
      </w:r>
    </w:p>
    <w:p w14:paraId="28407381" w14:textId="3B24D1C9" w:rsidR="001D30D4" w:rsidRPr="00561288" w:rsidRDefault="001D30D4"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D30D4">
        <w:rPr>
          <w:rFonts w:ascii="Times New Roman" w:eastAsia="Times New Roman" w:hAnsi="Times New Roman" w:cs="Times New Roman"/>
          <w:sz w:val="24"/>
          <w:szCs w:val="24"/>
        </w:rPr>
        <w:t xml:space="preserve">Splitting nitrogen and other nutrients based on crop growth stages—especially during vegetative growth and pod initiation—can lead to better uptake and utilization while minimizing leaching losses </w:t>
      </w:r>
      <w:r w:rsidRPr="00561288">
        <w:rPr>
          <w:rFonts w:ascii="Times New Roman" w:eastAsia="Times New Roman" w:hAnsi="Times New Roman" w:cs="Times New Roman"/>
          <w:b/>
          <w:bCs/>
          <w:sz w:val="24"/>
          <w:szCs w:val="24"/>
        </w:rPr>
        <w:t>(</w:t>
      </w:r>
      <w:r w:rsidR="009016DE" w:rsidRPr="00561288">
        <w:rPr>
          <w:rFonts w:ascii="Times New Roman" w:hAnsi="Times New Roman" w:cs="Times New Roman"/>
          <w:b/>
          <w:bCs/>
          <w:spacing w:val="1"/>
          <w:sz w:val="24"/>
          <w:szCs w:val="24"/>
        </w:rPr>
        <w:t>Abhishek K</w:t>
      </w:r>
      <w:r w:rsidRPr="00561288">
        <w:rPr>
          <w:rFonts w:ascii="Times New Roman" w:eastAsia="Times New Roman" w:hAnsi="Times New Roman" w:cs="Times New Roman"/>
          <w:b/>
          <w:bCs/>
          <w:sz w:val="24"/>
          <w:szCs w:val="24"/>
        </w:rPr>
        <w:t xml:space="preserve"> </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w:t>
      </w:r>
      <w:r w:rsidR="009016DE" w:rsidRPr="00561288">
        <w:rPr>
          <w:rFonts w:ascii="Times New Roman" w:eastAsia="Times New Roman" w:hAnsi="Times New Roman" w:cs="Times New Roman"/>
          <w:b/>
          <w:bCs/>
          <w:sz w:val="24"/>
          <w:szCs w:val="24"/>
        </w:rPr>
        <w:t>5</w:t>
      </w:r>
      <w:r w:rsidRPr="00561288">
        <w:rPr>
          <w:rFonts w:ascii="Times New Roman" w:eastAsia="Times New Roman" w:hAnsi="Times New Roman" w:cs="Times New Roman"/>
          <w:b/>
          <w:bCs/>
          <w:sz w:val="24"/>
          <w:szCs w:val="24"/>
        </w:rPr>
        <w:t>).</w:t>
      </w:r>
      <w:r w:rsidR="009016DE" w:rsidRPr="00561288">
        <w:rPr>
          <w:rFonts w:ascii="Times New Roman" w:eastAsia="Times New Roman" w:hAnsi="Times New Roman" w:cs="Times New Roman"/>
          <w:b/>
          <w:bCs/>
          <w:sz w:val="24"/>
          <w:szCs w:val="24"/>
        </w:rPr>
        <w:t>[</w:t>
      </w:r>
      <w:r w:rsidR="005840FF" w:rsidRPr="00561288">
        <w:rPr>
          <w:rFonts w:ascii="Times New Roman" w:eastAsia="Times New Roman" w:hAnsi="Times New Roman" w:cs="Times New Roman"/>
          <w:b/>
          <w:bCs/>
          <w:sz w:val="24"/>
          <w:szCs w:val="24"/>
        </w:rPr>
        <w:t>7</w:t>
      </w:r>
      <w:r w:rsidR="009016DE" w:rsidRPr="00561288">
        <w:rPr>
          <w:rFonts w:ascii="Times New Roman" w:eastAsia="Times New Roman" w:hAnsi="Times New Roman" w:cs="Times New Roman"/>
          <w:b/>
          <w:bCs/>
          <w:sz w:val="24"/>
          <w:szCs w:val="24"/>
        </w:rPr>
        <w:t>]</w:t>
      </w:r>
    </w:p>
    <w:p w14:paraId="4B9BDE66"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Farmer Awareness and Training:</w:t>
      </w:r>
    </w:p>
    <w:p w14:paraId="35AFD449" w14:textId="19FDADE6"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 xml:space="preserve">Extension services should organize regular training sessions for farmers on the importance of balanced nutrient application, how to assess crop needs using tools like leaf area index (LAI), and the role of dry matter accumulation in productivity </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lang w:val="en-IN" w:eastAsia="en-IN"/>
        </w:rPr>
        <w:t>El-Afifi</w:t>
      </w:r>
      <w:r w:rsidRPr="00561288">
        <w:rPr>
          <w:rFonts w:ascii="Times New Roman" w:eastAsia="Times New Roman" w:hAnsi="Times New Roman" w:cs="Times New Roman"/>
          <w:b/>
          <w:bCs/>
          <w:sz w:val="24"/>
          <w:szCs w:val="24"/>
        </w:rPr>
        <w:t xml:space="preserve"> </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2017).</w:t>
      </w:r>
      <w:r w:rsidR="007F6EE4" w:rsidRPr="00561288">
        <w:rPr>
          <w:rFonts w:ascii="Times New Roman" w:eastAsia="Times New Roman" w:hAnsi="Times New Roman" w:cs="Times New Roman"/>
          <w:b/>
          <w:bCs/>
          <w:sz w:val="24"/>
          <w:szCs w:val="24"/>
        </w:rPr>
        <w:t>[3]</w:t>
      </w:r>
    </w:p>
    <w:p w14:paraId="356FB735"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Further Experimental Validation:</w:t>
      </w:r>
    </w:p>
    <w:p w14:paraId="19D4390F" w14:textId="423CA043" w:rsidR="001D30D4" w:rsidRPr="001D30D4"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Long-term and location-specific trials should be carried out to validate the consistency of the T5 approach across different soil types and climatic zones, as well as to study its residual impact on soil health.</w:t>
      </w:r>
    </w:p>
    <w:p w14:paraId="7D9DAEE4" w14:textId="77777777" w:rsidR="00FA375F" w:rsidRPr="00FA375F" w:rsidRDefault="00FA375F"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References</w:t>
      </w:r>
    </w:p>
    <w:p w14:paraId="1CA7EAFC"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Bose, T. K., &amp; Som, M. G.</w:t>
      </w:r>
      <w:r w:rsidRPr="005840FF">
        <w:rPr>
          <w:rFonts w:ascii="Times New Roman" w:eastAsia="Times New Roman" w:hAnsi="Times New Roman" w:cs="Times New Roman"/>
          <w:sz w:val="24"/>
          <w:szCs w:val="24"/>
          <w:lang w:val="en-IN" w:eastAsia="en-IN"/>
        </w:rPr>
        <w:t xml:space="preserve"> (2000). </w:t>
      </w:r>
      <w:r w:rsidRPr="005840FF">
        <w:rPr>
          <w:rFonts w:ascii="Times New Roman" w:eastAsia="Times New Roman" w:hAnsi="Times New Roman" w:cs="Times New Roman"/>
          <w:i/>
          <w:iCs/>
          <w:sz w:val="24"/>
          <w:szCs w:val="24"/>
          <w:lang w:val="en-IN" w:eastAsia="en-IN"/>
        </w:rPr>
        <w:t>Vegetable crops in India</w:t>
      </w:r>
      <w:r w:rsidRPr="005840FF">
        <w:rPr>
          <w:rFonts w:ascii="Times New Roman" w:eastAsia="Times New Roman" w:hAnsi="Times New Roman" w:cs="Times New Roman"/>
          <w:sz w:val="24"/>
          <w:szCs w:val="24"/>
          <w:lang w:val="en-IN" w:eastAsia="en-IN"/>
        </w:rPr>
        <w:t>. Naya Prokash.</w:t>
      </w:r>
    </w:p>
    <w:p w14:paraId="70EE8CE1"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lastRenderedPageBreak/>
        <w:t>Bilashini</w:t>
      </w:r>
      <w:proofErr w:type="spellEnd"/>
      <w:r w:rsidRPr="005840FF">
        <w:rPr>
          <w:rFonts w:ascii="Times New Roman" w:eastAsia="Times New Roman" w:hAnsi="Times New Roman" w:cs="Times New Roman"/>
          <w:b/>
          <w:bCs/>
          <w:sz w:val="24"/>
          <w:szCs w:val="24"/>
          <w:lang w:val="en-IN" w:eastAsia="en-IN"/>
        </w:rPr>
        <w:t xml:space="preserve"> Devi, M., Singh, N. G., Singh, N. I., Singh, T. B., &amp; Devi, K. S.</w:t>
      </w:r>
      <w:r w:rsidRPr="005840FF">
        <w:rPr>
          <w:rFonts w:ascii="Times New Roman" w:eastAsia="Times New Roman" w:hAnsi="Times New Roman" w:cs="Times New Roman"/>
          <w:sz w:val="24"/>
          <w:szCs w:val="24"/>
          <w:lang w:val="en-IN" w:eastAsia="en-IN"/>
        </w:rPr>
        <w:t xml:space="preserve"> (2018). Yield and yield attributes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w:t>
      </w:r>
      <w:r w:rsidRPr="005840FF">
        <w:rPr>
          <w:rFonts w:ascii="Times New Roman" w:eastAsia="Times New Roman" w:hAnsi="Times New Roman" w:cs="Times New Roman"/>
          <w:i/>
          <w:iCs/>
          <w:sz w:val="24"/>
          <w:szCs w:val="24"/>
          <w:lang w:val="en-IN" w:eastAsia="en-IN"/>
        </w:rPr>
        <w:t>International Journal of Current Microbiology and Applied Sciences, 7</w:t>
      </w:r>
      <w:r w:rsidRPr="005840FF">
        <w:rPr>
          <w:rFonts w:ascii="Times New Roman" w:eastAsia="Times New Roman" w:hAnsi="Times New Roman" w:cs="Times New Roman"/>
          <w:sz w:val="24"/>
          <w:szCs w:val="24"/>
          <w:lang w:val="en-IN" w:eastAsia="en-IN"/>
        </w:rPr>
        <w:t>(9), 2908–2918.</w:t>
      </w:r>
    </w:p>
    <w:p w14:paraId="0A9F8196"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El-Afifi, S. T., Gad, N., &amp; Badran, N. M.</w:t>
      </w:r>
      <w:r w:rsidRPr="005840FF">
        <w:rPr>
          <w:rFonts w:ascii="Times New Roman" w:eastAsia="Times New Roman" w:hAnsi="Times New Roman" w:cs="Times New Roman"/>
          <w:sz w:val="24"/>
          <w:szCs w:val="24"/>
          <w:lang w:val="en-IN" w:eastAsia="en-IN"/>
        </w:rPr>
        <w:t xml:space="preserve"> (2017). Effect of some safe compounds on growth and productivity of peas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Journal of Plant Production, 8</w:t>
      </w:r>
      <w:r w:rsidRPr="005840FF">
        <w:rPr>
          <w:rFonts w:ascii="Times New Roman" w:eastAsia="Times New Roman" w:hAnsi="Times New Roman" w:cs="Times New Roman"/>
          <w:sz w:val="24"/>
          <w:szCs w:val="24"/>
          <w:lang w:val="en-IN" w:eastAsia="en-IN"/>
        </w:rPr>
        <w:t>(12), 1363–1371.</w:t>
      </w:r>
    </w:p>
    <w:p w14:paraId="243B160F"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Soniya, M., Anju, M., &amp; Tripathi, S.</w:t>
      </w:r>
      <w:r w:rsidRPr="005840FF">
        <w:rPr>
          <w:rFonts w:ascii="Times New Roman" w:eastAsia="Times New Roman" w:hAnsi="Times New Roman" w:cs="Times New Roman"/>
          <w:sz w:val="24"/>
          <w:szCs w:val="24"/>
          <w:lang w:val="en-IN" w:eastAsia="en-IN"/>
        </w:rPr>
        <w:t xml:space="preserve"> (2025). Study of integrated nutrient management on quality attributes in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International Journal of Botany Studies, 8</w:t>
      </w:r>
      <w:r w:rsidRPr="005840FF">
        <w:rPr>
          <w:rFonts w:ascii="Times New Roman" w:eastAsia="Times New Roman" w:hAnsi="Times New Roman" w:cs="Times New Roman"/>
          <w:sz w:val="24"/>
          <w:szCs w:val="24"/>
          <w:lang w:val="en-IN" w:eastAsia="en-IN"/>
        </w:rPr>
        <w:t>(5), 296–298.</w:t>
      </w:r>
    </w:p>
    <w:p w14:paraId="09CA0AA1"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Anonymous.</w:t>
      </w:r>
      <w:r w:rsidRPr="005840FF">
        <w:rPr>
          <w:rFonts w:ascii="Times New Roman" w:eastAsia="Times New Roman" w:hAnsi="Times New Roman" w:cs="Times New Roman"/>
          <w:sz w:val="24"/>
          <w:szCs w:val="24"/>
          <w:lang w:val="en-IN" w:eastAsia="en-IN"/>
        </w:rPr>
        <w:t xml:space="preserve"> (2022). Productivity and profitability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as influenced by integrated nutrient management. </w:t>
      </w:r>
      <w:r w:rsidRPr="005840FF">
        <w:rPr>
          <w:rFonts w:ascii="Times New Roman" w:eastAsia="Times New Roman" w:hAnsi="Times New Roman" w:cs="Times New Roman"/>
          <w:i/>
          <w:iCs/>
          <w:sz w:val="24"/>
          <w:szCs w:val="24"/>
          <w:lang w:val="en-IN" w:eastAsia="en-IN"/>
        </w:rPr>
        <w:t>Indian Journal of Agricultural Sciences, 92</w:t>
      </w:r>
      <w:r w:rsidRPr="005840FF">
        <w:rPr>
          <w:rFonts w:ascii="Times New Roman" w:eastAsia="Times New Roman" w:hAnsi="Times New Roman" w:cs="Times New Roman"/>
          <w:sz w:val="24"/>
          <w:szCs w:val="24"/>
          <w:lang w:val="en-IN" w:eastAsia="en-IN"/>
        </w:rPr>
        <w:t>(10), 1269–1273.</w:t>
      </w:r>
    </w:p>
    <w:p w14:paraId="2706796A"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t>Janusauskaite</w:t>
      </w:r>
      <w:proofErr w:type="spellEnd"/>
      <w:r w:rsidRPr="005840FF">
        <w:rPr>
          <w:rFonts w:ascii="Times New Roman" w:eastAsia="Times New Roman" w:hAnsi="Times New Roman" w:cs="Times New Roman"/>
          <w:b/>
          <w:bCs/>
          <w:sz w:val="24"/>
          <w:szCs w:val="24"/>
          <w:lang w:val="en-IN" w:eastAsia="en-IN"/>
        </w:rPr>
        <w:t xml:space="preserve">, D., </w:t>
      </w:r>
      <w:proofErr w:type="spellStart"/>
      <w:r w:rsidRPr="005840FF">
        <w:rPr>
          <w:rFonts w:ascii="Times New Roman" w:eastAsia="Times New Roman" w:hAnsi="Times New Roman" w:cs="Times New Roman"/>
          <w:b/>
          <w:bCs/>
          <w:sz w:val="24"/>
          <w:szCs w:val="24"/>
          <w:lang w:val="en-IN" w:eastAsia="en-IN"/>
        </w:rPr>
        <w:t>Auskalniene</w:t>
      </w:r>
      <w:proofErr w:type="spellEnd"/>
      <w:r w:rsidRPr="005840FF">
        <w:rPr>
          <w:rFonts w:ascii="Times New Roman" w:eastAsia="Times New Roman" w:hAnsi="Times New Roman" w:cs="Times New Roman"/>
          <w:b/>
          <w:bCs/>
          <w:sz w:val="24"/>
          <w:szCs w:val="24"/>
          <w:lang w:val="en-IN" w:eastAsia="en-IN"/>
        </w:rPr>
        <w:t xml:space="preserve">, O., &amp; </w:t>
      </w:r>
      <w:proofErr w:type="spellStart"/>
      <w:r w:rsidRPr="005840FF">
        <w:rPr>
          <w:rFonts w:ascii="Times New Roman" w:eastAsia="Times New Roman" w:hAnsi="Times New Roman" w:cs="Times New Roman"/>
          <w:b/>
          <w:bCs/>
          <w:sz w:val="24"/>
          <w:szCs w:val="24"/>
          <w:lang w:val="en-IN" w:eastAsia="en-IN"/>
        </w:rPr>
        <w:t>Slepetys</w:t>
      </w:r>
      <w:proofErr w:type="spellEnd"/>
      <w:r w:rsidRPr="005840FF">
        <w:rPr>
          <w:rFonts w:ascii="Times New Roman" w:eastAsia="Times New Roman" w:hAnsi="Times New Roman" w:cs="Times New Roman"/>
          <w:b/>
          <w:bCs/>
          <w:sz w:val="24"/>
          <w:szCs w:val="24"/>
          <w:lang w:val="en-IN" w:eastAsia="en-IN"/>
        </w:rPr>
        <w:t>, J.</w:t>
      </w:r>
      <w:r w:rsidRPr="005840FF">
        <w:rPr>
          <w:rFonts w:ascii="Times New Roman" w:eastAsia="Times New Roman" w:hAnsi="Times New Roman" w:cs="Times New Roman"/>
          <w:sz w:val="24"/>
          <w:szCs w:val="24"/>
          <w:lang w:val="en-IN" w:eastAsia="en-IN"/>
        </w:rPr>
        <w:t xml:space="preserve"> (2023). Productivity of three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varieties as affected by meteorological factors and nutritional conditions. </w:t>
      </w:r>
      <w:r w:rsidRPr="005840FF">
        <w:rPr>
          <w:rFonts w:ascii="Times New Roman" w:eastAsia="Times New Roman" w:hAnsi="Times New Roman" w:cs="Times New Roman"/>
          <w:i/>
          <w:iCs/>
          <w:sz w:val="24"/>
          <w:szCs w:val="24"/>
          <w:lang w:val="en-IN" w:eastAsia="en-IN"/>
        </w:rPr>
        <w:t>Plants, 12</w:t>
      </w:r>
      <w:r w:rsidRPr="005840FF">
        <w:rPr>
          <w:rFonts w:ascii="Times New Roman" w:eastAsia="Times New Roman" w:hAnsi="Times New Roman" w:cs="Times New Roman"/>
          <w:sz w:val="24"/>
          <w:szCs w:val="24"/>
          <w:lang w:val="en-IN" w:eastAsia="en-IN"/>
        </w:rPr>
        <w:t>(9), 1841.</w:t>
      </w:r>
    </w:p>
    <w:p w14:paraId="3E6C9074"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Abhishek, K., Singh, R. N., &amp; Sahu, R. L.</w:t>
      </w:r>
      <w:r w:rsidRPr="005840FF">
        <w:rPr>
          <w:rFonts w:ascii="Times New Roman" w:eastAsia="Times New Roman" w:hAnsi="Times New Roman" w:cs="Times New Roman"/>
          <w:sz w:val="24"/>
          <w:szCs w:val="24"/>
          <w:lang w:val="en-IN" w:eastAsia="en-IN"/>
        </w:rPr>
        <w:t xml:space="preserve"> (2015). Effect of biofertilizers with different doses of chemical fertilizers on growth and yield of pea. </w:t>
      </w:r>
      <w:r w:rsidRPr="005840FF">
        <w:rPr>
          <w:rFonts w:ascii="Times New Roman" w:eastAsia="Times New Roman" w:hAnsi="Times New Roman" w:cs="Times New Roman"/>
          <w:i/>
          <w:iCs/>
          <w:sz w:val="24"/>
          <w:szCs w:val="24"/>
          <w:lang w:val="en-IN" w:eastAsia="en-IN"/>
        </w:rPr>
        <w:t>Asian Journal of Soil Science, 10</w:t>
      </w:r>
      <w:r w:rsidRPr="005840FF">
        <w:rPr>
          <w:rFonts w:ascii="Times New Roman" w:eastAsia="Times New Roman" w:hAnsi="Times New Roman" w:cs="Times New Roman"/>
          <w:sz w:val="24"/>
          <w:szCs w:val="24"/>
          <w:lang w:val="en-IN" w:eastAsia="en-IN"/>
        </w:rPr>
        <w:t>, 295–298.</w:t>
      </w:r>
    </w:p>
    <w:p w14:paraId="65EE8DC7"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 xml:space="preserve">Akarsh, S. G., </w:t>
      </w:r>
      <w:proofErr w:type="spellStart"/>
      <w:r w:rsidRPr="005840FF">
        <w:rPr>
          <w:rFonts w:ascii="Times New Roman" w:eastAsia="Times New Roman" w:hAnsi="Times New Roman" w:cs="Times New Roman"/>
          <w:b/>
          <w:bCs/>
          <w:sz w:val="24"/>
          <w:szCs w:val="24"/>
          <w:lang w:val="en-IN" w:eastAsia="en-IN"/>
        </w:rPr>
        <w:t>Gangmei</w:t>
      </w:r>
      <w:proofErr w:type="spellEnd"/>
      <w:r w:rsidRPr="005840FF">
        <w:rPr>
          <w:rFonts w:ascii="Times New Roman" w:eastAsia="Times New Roman" w:hAnsi="Times New Roman" w:cs="Times New Roman"/>
          <w:b/>
          <w:bCs/>
          <w:sz w:val="24"/>
          <w:szCs w:val="24"/>
          <w:lang w:val="en-IN" w:eastAsia="en-IN"/>
        </w:rPr>
        <w:t>, T. P., Sahu, K. K., Kumar, A., &amp; Rana, S.</w:t>
      </w:r>
      <w:r w:rsidRPr="005840FF">
        <w:rPr>
          <w:rFonts w:ascii="Times New Roman" w:eastAsia="Times New Roman" w:hAnsi="Times New Roman" w:cs="Times New Roman"/>
          <w:sz w:val="24"/>
          <w:szCs w:val="24"/>
          <w:lang w:val="en-IN" w:eastAsia="en-IN"/>
        </w:rPr>
        <w:t xml:space="preserve"> (2020). Effect of irrigation scheduling and nutrient management on yield, water use efficiency and economics in garden pea. </w:t>
      </w:r>
      <w:r w:rsidRPr="005840FF">
        <w:rPr>
          <w:rFonts w:ascii="Times New Roman" w:eastAsia="Times New Roman" w:hAnsi="Times New Roman" w:cs="Times New Roman"/>
          <w:i/>
          <w:iCs/>
          <w:sz w:val="24"/>
          <w:szCs w:val="24"/>
          <w:lang w:val="en-IN" w:eastAsia="en-IN"/>
        </w:rPr>
        <w:t>International Journal of Chemical Studies, 8</w:t>
      </w:r>
      <w:r w:rsidRPr="005840FF">
        <w:rPr>
          <w:rFonts w:ascii="Times New Roman" w:eastAsia="Times New Roman" w:hAnsi="Times New Roman" w:cs="Times New Roman"/>
          <w:sz w:val="24"/>
          <w:szCs w:val="24"/>
          <w:lang w:val="en-IN" w:eastAsia="en-IN"/>
        </w:rPr>
        <w:t>, 323–328.</w:t>
      </w:r>
    </w:p>
    <w:p w14:paraId="0BC1EAC1"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Ali, A., Ishtiaq, M., &amp; Jan, N. E.</w:t>
      </w:r>
      <w:r w:rsidRPr="005840FF">
        <w:rPr>
          <w:rFonts w:ascii="Times New Roman" w:eastAsia="Times New Roman" w:hAnsi="Times New Roman" w:cs="Times New Roman"/>
          <w:sz w:val="24"/>
          <w:szCs w:val="24"/>
          <w:lang w:val="en-IN" w:eastAsia="en-IN"/>
        </w:rPr>
        <w:t xml:space="preserve"> (2003). Effect of </w:t>
      </w:r>
      <w:r w:rsidRPr="005840FF">
        <w:rPr>
          <w:rFonts w:ascii="Times New Roman" w:eastAsia="Times New Roman" w:hAnsi="Times New Roman" w:cs="Times New Roman"/>
          <w:i/>
          <w:iCs/>
          <w:sz w:val="24"/>
          <w:szCs w:val="24"/>
          <w:lang w:val="en-IN" w:eastAsia="en-IN"/>
        </w:rPr>
        <w:t xml:space="preserve">Rhizobium </w:t>
      </w:r>
      <w:proofErr w:type="spellStart"/>
      <w:r w:rsidRPr="005840FF">
        <w:rPr>
          <w:rFonts w:ascii="Times New Roman" w:eastAsia="Times New Roman" w:hAnsi="Times New Roman" w:cs="Times New Roman"/>
          <w:i/>
          <w:iCs/>
          <w:sz w:val="24"/>
          <w:szCs w:val="24"/>
          <w:lang w:val="en-IN" w:eastAsia="en-IN"/>
        </w:rPr>
        <w:t>leguminosarum</w:t>
      </w:r>
      <w:proofErr w:type="spellEnd"/>
      <w:r w:rsidRPr="005840FF">
        <w:rPr>
          <w:rFonts w:ascii="Times New Roman" w:eastAsia="Times New Roman" w:hAnsi="Times New Roman" w:cs="Times New Roman"/>
          <w:sz w:val="24"/>
          <w:szCs w:val="24"/>
          <w:lang w:val="en-IN" w:eastAsia="en-IN"/>
        </w:rPr>
        <w:t xml:space="preserve"> inoculum on the growth and yield of different pea cultivars. </w:t>
      </w:r>
      <w:r w:rsidRPr="005840FF">
        <w:rPr>
          <w:rFonts w:ascii="Times New Roman" w:eastAsia="Times New Roman" w:hAnsi="Times New Roman" w:cs="Times New Roman"/>
          <w:i/>
          <w:iCs/>
          <w:sz w:val="24"/>
          <w:szCs w:val="24"/>
          <w:lang w:val="en-IN" w:eastAsia="en-IN"/>
        </w:rPr>
        <w:t>Sarhad Journal of Agriculture, 19</w:t>
      </w:r>
      <w:r w:rsidRPr="005840FF">
        <w:rPr>
          <w:rFonts w:ascii="Times New Roman" w:eastAsia="Times New Roman" w:hAnsi="Times New Roman" w:cs="Times New Roman"/>
          <w:sz w:val="24"/>
          <w:szCs w:val="24"/>
          <w:lang w:val="en-IN" w:eastAsia="en-IN"/>
        </w:rPr>
        <w:t>, 55–59.</w:t>
      </w:r>
    </w:p>
    <w:p w14:paraId="2957B153"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Anonymous.</w:t>
      </w:r>
      <w:r w:rsidRPr="005840FF">
        <w:rPr>
          <w:rFonts w:ascii="Times New Roman" w:eastAsia="Times New Roman" w:hAnsi="Times New Roman" w:cs="Times New Roman"/>
          <w:sz w:val="24"/>
          <w:szCs w:val="24"/>
          <w:lang w:val="en-IN" w:eastAsia="en-IN"/>
        </w:rPr>
        <w:t xml:space="preserve"> (2019). National Horticulture Board statistics. Retrieved from </w:t>
      </w:r>
      <w:hyperlink r:id="rId9" w:tgtFrame="_new" w:history="1">
        <w:r w:rsidRPr="005840FF">
          <w:rPr>
            <w:rFonts w:ascii="Times New Roman" w:eastAsia="Times New Roman" w:hAnsi="Times New Roman" w:cs="Times New Roman"/>
            <w:color w:val="0000FF"/>
            <w:sz w:val="24"/>
            <w:szCs w:val="24"/>
            <w:u w:val="single"/>
            <w:lang w:val="en-IN" w:eastAsia="en-IN"/>
          </w:rPr>
          <w:t>http://nhb.gov.in/statistic</w:t>
        </w:r>
      </w:hyperlink>
    </w:p>
    <w:p w14:paraId="243A945F"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Bahadur, A., Singh, J., Singh, K. P., &amp; Rai, M.</w:t>
      </w:r>
      <w:r w:rsidRPr="005840FF">
        <w:rPr>
          <w:rFonts w:ascii="Times New Roman" w:eastAsia="Times New Roman" w:hAnsi="Times New Roman" w:cs="Times New Roman"/>
          <w:sz w:val="24"/>
          <w:szCs w:val="24"/>
          <w:lang w:val="en-IN" w:eastAsia="en-IN"/>
        </w:rPr>
        <w:t xml:space="preserve"> (2006). Plant growth, yield and quality attributes of garden pea as influenced by organic amendments and biofertilizers. </w:t>
      </w:r>
      <w:r w:rsidRPr="005840FF">
        <w:rPr>
          <w:rFonts w:ascii="Times New Roman" w:eastAsia="Times New Roman" w:hAnsi="Times New Roman" w:cs="Times New Roman"/>
          <w:i/>
          <w:iCs/>
          <w:sz w:val="24"/>
          <w:szCs w:val="24"/>
          <w:lang w:val="en-IN" w:eastAsia="en-IN"/>
        </w:rPr>
        <w:t>Indian Journal of Horticulture, 63</w:t>
      </w:r>
      <w:r w:rsidRPr="005840FF">
        <w:rPr>
          <w:rFonts w:ascii="Times New Roman" w:eastAsia="Times New Roman" w:hAnsi="Times New Roman" w:cs="Times New Roman"/>
          <w:sz w:val="24"/>
          <w:szCs w:val="24"/>
          <w:lang w:val="en-IN" w:eastAsia="en-IN"/>
        </w:rPr>
        <w:t>, 464–466.</w:t>
      </w:r>
    </w:p>
    <w:p w14:paraId="765AC478"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Bai, B., Suri, V. K., Kumar, A., &amp; Choudhary, A. K.</w:t>
      </w:r>
      <w:r w:rsidRPr="005840FF">
        <w:rPr>
          <w:rFonts w:ascii="Times New Roman" w:eastAsia="Times New Roman" w:hAnsi="Times New Roman" w:cs="Times New Roman"/>
          <w:sz w:val="24"/>
          <w:szCs w:val="24"/>
          <w:lang w:val="en-IN" w:eastAsia="en-IN"/>
        </w:rPr>
        <w:t xml:space="preserve"> (2017). Tripartite symbiosis of </w:t>
      </w:r>
      <w:r w:rsidRPr="005840FF">
        <w:rPr>
          <w:rFonts w:ascii="Times New Roman" w:eastAsia="Times New Roman" w:hAnsi="Times New Roman" w:cs="Times New Roman"/>
          <w:i/>
          <w:iCs/>
          <w:sz w:val="24"/>
          <w:szCs w:val="24"/>
          <w:lang w:val="en-IN" w:eastAsia="en-IN"/>
        </w:rPr>
        <w:t>Pisum–Glomus–Rhizobium</w:t>
      </w:r>
      <w:r w:rsidRPr="005840FF">
        <w:rPr>
          <w:rFonts w:ascii="Times New Roman" w:eastAsia="Times New Roman" w:hAnsi="Times New Roman" w:cs="Times New Roman"/>
          <w:sz w:val="24"/>
          <w:szCs w:val="24"/>
          <w:lang w:val="en-IN" w:eastAsia="en-IN"/>
        </w:rPr>
        <w:t xml:space="preserve"> leads to enhanced productivity, nitrogen and phosphorus </w:t>
      </w:r>
      <w:r w:rsidRPr="005840FF">
        <w:rPr>
          <w:rFonts w:ascii="Times New Roman" w:eastAsia="Times New Roman" w:hAnsi="Times New Roman" w:cs="Times New Roman"/>
          <w:sz w:val="24"/>
          <w:szCs w:val="24"/>
          <w:lang w:val="en-IN" w:eastAsia="en-IN"/>
        </w:rPr>
        <w:lastRenderedPageBreak/>
        <w:t xml:space="preserve">economy, quality and biofortification in garden pea in a Himalayan acid </w:t>
      </w:r>
      <w:proofErr w:type="spellStart"/>
      <w:r w:rsidRPr="005840FF">
        <w:rPr>
          <w:rFonts w:ascii="Times New Roman" w:eastAsia="Times New Roman" w:hAnsi="Times New Roman" w:cs="Times New Roman"/>
          <w:sz w:val="24"/>
          <w:szCs w:val="24"/>
          <w:lang w:val="en-IN" w:eastAsia="en-IN"/>
        </w:rPr>
        <w:t>Alfisol</w:t>
      </w:r>
      <w:proofErr w:type="spellEnd"/>
      <w:r w:rsidRPr="005840FF">
        <w:rPr>
          <w:rFonts w:ascii="Times New Roman" w:eastAsia="Times New Roman" w:hAnsi="Times New Roman" w:cs="Times New Roman"/>
          <w:sz w:val="24"/>
          <w:szCs w:val="24"/>
          <w:lang w:val="en-IN" w:eastAsia="en-IN"/>
        </w:rPr>
        <w:t xml:space="preserve">. </w:t>
      </w:r>
      <w:r w:rsidRPr="005840FF">
        <w:rPr>
          <w:rFonts w:ascii="Times New Roman" w:eastAsia="Times New Roman" w:hAnsi="Times New Roman" w:cs="Times New Roman"/>
          <w:i/>
          <w:iCs/>
          <w:sz w:val="24"/>
          <w:szCs w:val="24"/>
          <w:lang w:val="en-IN" w:eastAsia="en-IN"/>
        </w:rPr>
        <w:t>Journal of Plant Nutrition, 40</w:t>
      </w:r>
      <w:r w:rsidRPr="005840FF">
        <w:rPr>
          <w:rFonts w:ascii="Times New Roman" w:eastAsia="Times New Roman" w:hAnsi="Times New Roman" w:cs="Times New Roman"/>
          <w:sz w:val="24"/>
          <w:szCs w:val="24"/>
          <w:lang w:val="en-IN" w:eastAsia="en-IN"/>
        </w:rPr>
        <w:t>, 600–613.</w:t>
      </w:r>
    </w:p>
    <w:p w14:paraId="13302622"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t>Baswana</w:t>
      </w:r>
      <w:proofErr w:type="spellEnd"/>
      <w:r w:rsidRPr="005840FF">
        <w:rPr>
          <w:rFonts w:ascii="Times New Roman" w:eastAsia="Times New Roman" w:hAnsi="Times New Roman" w:cs="Times New Roman"/>
          <w:b/>
          <w:bCs/>
          <w:sz w:val="24"/>
          <w:szCs w:val="24"/>
          <w:lang w:val="en-IN" w:eastAsia="en-IN"/>
        </w:rPr>
        <w:t>, K. S., &amp; Rana, M. K.</w:t>
      </w:r>
      <w:r w:rsidRPr="005840FF">
        <w:rPr>
          <w:rFonts w:ascii="Times New Roman" w:eastAsia="Times New Roman" w:hAnsi="Times New Roman" w:cs="Times New Roman"/>
          <w:sz w:val="24"/>
          <w:szCs w:val="24"/>
          <w:lang w:val="en-IN" w:eastAsia="en-IN"/>
        </w:rPr>
        <w:t xml:space="preserve"> (2007). Effect of organic sources and bio-fertilizers on growth and yield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Haryana Journal of Horticultural Sciences, 36</w:t>
      </w:r>
      <w:r w:rsidRPr="005840FF">
        <w:rPr>
          <w:rFonts w:ascii="Times New Roman" w:eastAsia="Times New Roman" w:hAnsi="Times New Roman" w:cs="Times New Roman"/>
          <w:sz w:val="24"/>
          <w:szCs w:val="24"/>
          <w:lang w:val="en-IN" w:eastAsia="en-IN"/>
        </w:rPr>
        <w:t>, 326–330.</w:t>
      </w:r>
    </w:p>
    <w:p w14:paraId="3933A79D"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t>Barcchiya</w:t>
      </w:r>
      <w:proofErr w:type="spellEnd"/>
      <w:r w:rsidRPr="005840FF">
        <w:rPr>
          <w:rFonts w:ascii="Times New Roman" w:eastAsia="Times New Roman" w:hAnsi="Times New Roman" w:cs="Times New Roman"/>
          <w:b/>
          <w:bCs/>
          <w:sz w:val="24"/>
          <w:szCs w:val="24"/>
          <w:lang w:val="en-IN" w:eastAsia="en-IN"/>
        </w:rPr>
        <w:t xml:space="preserve">, M., &amp; </w:t>
      </w:r>
      <w:proofErr w:type="spellStart"/>
      <w:r w:rsidRPr="005840FF">
        <w:rPr>
          <w:rFonts w:ascii="Times New Roman" w:eastAsia="Times New Roman" w:hAnsi="Times New Roman" w:cs="Times New Roman"/>
          <w:b/>
          <w:bCs/>
          <w:sz w:val="24"/>
          <w:szCs w:val="24"/>
          <w:lang w:val="en-IN" w:eastAsia="en-IN"/>
        </w:rPr>
        <w:t>Krishwah</w:t>
      </w:r>
      <w:proofErr w:type="spellEnd"/>
      <w:r w:rsidRPr="005840FF">
        <w:rPr>
          <w:rFonts w:ascii="Times New Roman" w:eastAsia="Times New Roman" w:hAnsi="Times New Roman" w:cs="Times New Roman"/>
          <w:b/>
          <w:bCs/>
          <w:sz w:val="24"/>
          <w:szCs w:val="24"/>
          <w:lang w:val="en-IN" w:eastAsia="en-IN"/>
        </w:rPr>
        <w:t>, P.</w:t>
      </w:r>
      <w:r w:rsidRPr="005840FF">
        <w:rPr>
          <w:rFonts w:ascii="Times New Roman" w:eastAsia="Times New Roman" w:hAnsi="Times New Roman" w:cs="Times New Roman"/>
          <w:sz w:val="24"/>
          <w:szCs w:val="24"/>
          <w:lang w:val="en-IN" w:eastAsia="en-IN"/>
        </w:rPr>
        <w:t xml:space="preserve"> (2017). Influence of integrated nutrient management on growth, yield parameters and yield in French bean. </w:t>
      </w:r>
      <w:r w:rsidRPr="005840FF">
        <w:rPr>
          <w:rFonts w:ascii="Times New Roman" w:eastAsia="Times New Roman" w:hAnsi="Times New Roman" w:cs="Times New Roman"/>
          <w:i/>
          <w:iCs/>
          <w:sz w:val="24"/>
          <w:szCs w:val="24"/>
          <w:lang w:val="en-IN" w:eastAsia="en-IN"/>
        </w:rPr>
        <w:t>Legume Research, 40</w:t>
      </w:r>
      <w:r w:rsidRPr="005840FF">
        <w:rPr>
          <w:rFonts w:ascii="Times New Roman" w:eastAsia="Times New Roman" w:hAnsi="Times New Roman" w:cs="Times New Roman"/>
          <w:sz w:val="24"/>
          <w:szCs w:val="24"/>
          <w:lang w:val="en-IN" w:eastAsia="en-IN"/>
        </w:rPr>
        <w:t>, 920–923.</w:t>
      </w:r>
    </w:p>
    <w:p w14:paraId="0DB213E5"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 xml:space="preserve">Bunker, R. R., </w:t>
      </w:r>
      <w:proofErr w:type="spellStart"/>
      <w:r w:rsidRPr="005840FF">
        <w:rPr>
          <w:rFonts w:ascii="Times New Roman" w:eastAsia="Times New Roman" w:hAnsi="Times New Roman" w:cs="Times New Roman"/>
          <w:b/>
          <w:bCs/>
          <w:sz w:val="24"/>
          <w:szCs w:val="24"/>
          <w:lang w:val="en-IN" w:eastAsia="en-IN"/>
        </w:rPr>
        <w:t>Narolia</w:t>
      </w:r>
      <w:proofErr w:type="spellEnd"/>
      <w:r w:rsidRPr="005840FF">
        <w:rPr>
          <w:rFonts w:ascii="Times New Roman" w:eastAsia="Times New Roman" w:hAnsi="Times New Roman" w:cs="Times New Roman"/>
          <w:b/>
          <w:bCs/>
          <w:sz w:val="24"/>
          <w:szCs w:val="24"/>
          <w:lang w:val="en-IN" w:eastAsia="en-IN"/>
        </w:rPr>
        <w:t>, R. K., Pareek, P. K., Nagar, V., Chnaniya, K. K., &amp; Omprakash.</w:t>
      </w:r>
      <w:r w:rsidRPr="005840FF">
        <w:rPr>
          <w:rFonts w:ascii="Times New Roman" w:eastAsia="Times New Roman" w:hAnsi="Times New Roman" w:cs="Times New Roman"/>
          <w:sz w:val="24"/>
          <w:szCs w:val="24"/>
          <w:lang w:val="en-IN" w:eastAsia="en-IN"/>
        </w:rPr>
        <w:t xml:space="preserve"> (2018). Effect of nitrogen, phosphorus and biofertilizers on growth and yield attributes of garden pea. </w:t>
      </w:r>
      <w:r w:rsidRPr="005840FF">
        <w:rPr>
          <w:rFonts w:ascii="Times New Roman" w:eastAsia="Times New Roman" w:hAnsi="Times New Roman" w:cs="Times New Roman"/>
          <w:i/>
          <w:iCs/>
          <w:sz w:val="24"/>
          <w:szCs w:val="24"/>
          <w:lang w:val="en-IN" w:eastAsia="en-IN"/>
        </w:rPr>
        <w:t>International Journal of Chemical Studies, 6</w:t>
      </w:r>
      <w:r w:rsidRPr="005840FF">
        <w:rPr>
          <w:rFonts w:ascii="Times New Roman" w:eastAsia="Times New Roman" w:hAnsi="Times New Roman" w:cs="Times New Roman"/>
          <w:sz w:val="24"/>
          <w:szCs w:val="24"/>
          <w:lang w:val="en-IN" w:eastAsia="en-IN"/>
        </w:rPr>
        <w:t>, 1701–1704.</w:t>
      </w:r>
    </w:p>
    <w:p w14:paraId="03B1F437"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Gomez, K. A., &amp; Gomez, A. A.</w:t>
      </w:r>
      <w:r w:rsidRPr="005840FF">
        <w:rPr>
          <w:rFonts w:ascii="Times New Roman" w:eastAsia="Times New Roman" w:hAnsi="Times New Roman" w:cs="Times New Roman"/>
          <w:sz w:val="24"/>
          <w:szCs w:val="24"/>
          <w:lang w:val="en-IN" w:eastAsia="en-IN"/>
        </w:rPr>
        <w:t xml:space="preserve"> (1984). </w:t>
      </w:r>
      <w:r w:rsidRPr="005840FF">
        <w:rPr>
          <w:rFonts w:ascii="Times New Roman" w:eastAsia="Times New Roman" w:hAnsi="Times New Roman" w:cs="Times New Roman"/>
          <w:i/>
          <w:iCs/>
          <w:sz w:val="24"/>
          <w:szCs w:val="24"/>
          <w:lang w:val="en-IN" w:eastAsia="en-IN"/>
        </w:rPr>
        <w:t>Statistical procedures for agricultural research</w:t>
      </w:r>
      <w:r w:rsidRPr="005840FF">
        <w:rPr>
          <w:rFonts w:ascii="Times New Roman" w:eastAsia="Times New Roman" w:hAnsi="Times New Roman" w:cs="Times New Roman"/>
          <w:sz w:val="24"/>
          <w:szCs w:val="24"/>
          <w:lang w:val="en-IN" w:eastAsia="en-IN"/>
        </w:rPr>
        <w:t xml:space="preserve"> (2nd ed.). John Wiley &amp; Sons.</w:t>
      </w:r>
    </w:p>
    <w:p w14:paraId="5CF2820C"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Hemang, J., &amp; Varma, L. R.</w:t>
      </w:r>
      <w:r w:rsidRPr="005840FF">
        <w:rPr>
          <w:rFonts w:ascii="Times New Roman" w:eastAsia="Times New Roman" w:hAnsi="Times New Roman" w:cs="Times New Roman"/>
          <w:sz w:val="24"/>
          <w:szCs w:val="24"/>
          <w:lang w:val="en-IN" w:eastAsia="en-IN"/>
        </w:rPr>
        <w:t xml:space="preserve"> (2018). Influence of organic nutrients in combination with biofertilizers on yield and quality of garden pea. </w:t>
      </w:r>
      <w:r w:rsidRPr="005840FF">
        <w:rPr>
          <w:rFonts w:ascii="Times New Roman" w:eastAsia="Times New Roman" w:hAnsi="Times New Roman" w:cs="Times New Roman"/>
          <w:i/>
          <w:iCs/>
          <w:sz w:val="24"/>
          <w:szCs w:val="24"/>
          <w:lang w:val="en-IN" w:eastAsia="en-IN"/>
        </w:rPr>
        <w:t>International Journal of Agricultural Sciences, 10</w:t>
      </w:r>
      <w:r w:rsidRPr="005840FF">
        <w:rPr>
          <w:rFonts w:ascii="Times New Roman" w:eastAsia="Times New Roman" w:hAnsi="Times New Roman" w:cs="Times New Roman"/>
          <w:sz w:val="24"/>
          <w:szCs w:val="24"/>
          <w:lang w:val="en-IN" w:eastAsia="en-IN"/>
        </w:rPr>
        <w:t>, 6063–6066.</w:t>
      </w:r>
    </w:p>
    <w:p w14:paraId="5E73FCAB"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 xml:space="preserve">Gupta, S., Singh, D. P., </w:t>
      </w:r>
      <w:proofErr w:type="spellStart"/>
      <w:r w:rsidRPr="005840FF">
        <w:rPr>
          <w:rFonts w:ascii="Times New Roman" w:eastAsia="Times New Roman" w:hAnsi="Times New Roman" w:cs="Times New Roman"/>
          <w:b/>
          <w:bCs/>
          <w:sz w:val="24"/>
          <w:szCs w:val="24"/>
          <w:lang w:val="en-IN" w:eastAsia="en-IN"/>
        </w:rPr>
        <w:t>Kasera</w:t>
      </w:r>
      <w:proofErr w:type="spellEnd"/>
      <w:r w:rsidRPr="005840FF">
        <w:rPr>
          <w:rFonts w:ascii="Times New Roman" w:eastAsia="Times New Roman" w:hAnsi="Times New Roman" w:cs="Times New Roman"/>
          <w:b/>
          <w:bCs/>
          <w:sz w:val="24"/>
          <w:szCs w:val="24"/>
          <w:lang w:val="en-IN" w:eastAsia="en-IN"/>
        </w:rPr>
        <w:t>, S., &amp; Maurya, S. K.</w:t>
      </w:r>
      <w:r w:rsidRPr="005840FF">
        <w:rPr>
          <w:rFonts w:ascii="Times New Roman" w:eastAsia="Times New Roman" w:hAnsi="Times New Roman" w:cs="Times New Roman"/>
          <w:sz w:val="24"/>
          <w:szCs w:val="24"/>
          <w:lang w:val="en-IN" w:eastAsia="en-IN"/>
        </w:rPr>
        <w:t xml:space="preserve"> (2017). Effect of integrated nutrient management on growth and yield of table pea. </w:t>
      </w:r>
      <w:r w:rsidRPr="005840FF">
        <w:rPr>
          <w:rFonts w:ascii="Times New Roman" w:eastAsia="Times New Roman" w:hAnsi="Times New Roman" w:cs="Times New Roman"/>
          <w:i/>
          <w:iCs/>
          <w:sz w:val="24"/>
          <w:szCs w:val="24"/>
          <w:lang w:val="en-IN" w:eastAsia="en-IN"/>
        </w:rPr>
        <w:t>International Journal of Chemical Studies, 5</w:t>
      </w:r>
      <w:r w:rsidRPr="005840FF">
        <w:rPr>
          <w:rFonts w:ascii="Times New Roman" w:eastAsia="Times New Roman" w:hAnsi="Times New Roman" w:cs="Times New Roman"/>
          <w:sz w:val="24"/>
          <w:szCs w:val="24"/>
          <w:lang w:val="en-IN" w:eastAsia="en-IN"/>
        </w:rPr>
        <w:t>, 906–908.</w:t>
      </w:r>
    </w:p>
    <w:p w14:paraId="7BE1526B" w14:textId="77777777" w:rsidR="009016DE" w:rsidRDefault="009016DE" w:rsidP="009016DE">
      <w:pPr>
        <w:pStyle w:val="my-2"/>
        <w:ind w:left="1080"/>
        <w:rPr>
          <w:rFonts w:ascii="Segoe UI" w:hAnsi="Segoe UI" w:cs="Segoe UI"/>
          <w:spacing w:val="1"/>
        </w:rPr>
      </w:pPr>
    </w:p>
    <w:p w14:paraId="5A5A93FC" w14:textId="77777777" w:rsidR="00E15F98" w:rsidRPr="007E4A9F" w:rsidRDefault="00E15F98" w:rsidP="001D30D4">
      <w:pPr>
        <w:jc w:val="both"/>
        <w:rPr>
          <w:rFonts w:ascii="Times New Roman" w:hAnsi="Times New Roman" w:cs="Times New Roman"/>
          <w:sz w:val="24"/>
          <w:szCs w:val="24"/>
        </w:rPr>
      </w:pPr>
    </w:p>
    <w:sectPr w:rsidR="00E15F98" w:rsidRPr="007E4A9F" w:rsidSect="00F271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DB27" w14:textId="77777777" w:rsidR="00797B81" w:rsidRDefault="00797B81" w:rsidP="008D55A3">
      <w:pPr>
        <w:spacing w:after="0" w:line="240" w:lineRule="auto"/>
      </w:pPr>
      <w:r>
        <w:separator/>
      </w:r>
    </w:p>
  </w:endnote>
  <w:endnote w:type="continuationSeparator" w:id="0">
    <w:p w14:paraId="5DB001C0" w14:textId="77777777" w:rsidR="00797B81" w:rsidRDefault="00797B81" w:rsidP="008D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3B17" w14:textId="77777777" w:rsidR="008D55A3" w:rsidRDefault="008D5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0909" w14:textId="77777777" w:rsidR="008D55A3" w:rsidRDefault="008D5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B35F" w14:textId="77777777" w:rsidR="008D55A3" w:rsidRDefault="008D5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C2C5" w14:textId="77777777" w:rsidR="00797B81" w:rsidRDefault="00797B81" w:rsidP="008D55A3">
      <w:pPr>
        <w:spacing w:after="0" w:line="240" w:lineRule="auto"/>
      </w:pPr>
      <w:r>
        <w:separator/>
      </w:r>
    </w:p>
  </w:footnote>
  <w:footnote w:type="continuationSeparator" w:id="0">
    <w:p w14:paraId="36A77EE5" w14:textId="77777777" w:rsidR="00797B81" w:rsidRDefault="00797B81" w:rsidP="008D5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A328" w14:textId="10C30CF6" w:rsidR="008D55A3" w:rsidRDefault="008D55A3">
    <w:pPr>
      <w:pStyle w:val="Header"/>
    </w:pPr>
    <w:r>
      <w:rPr>
        <w:noProof/>
      </w:rPr>
      <w:pict w14:anchorId="3AACC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92B9" w14:textId="1C038B17" w:rsidR="008D55A3" w:rsidRDefault="008D55A3">
    <w:pPr>
      <w:pStyle w:val="Header"/>
    </w:pPr>
    <w:r>
      <w:rPr>
        <w:noProof/>
      </w:rPr>
      <w:pict w14:anchorId="1EFAF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47ED" w14:textId="508AAE69" w:rsidR="008D55A3" w:rsidRDefault="008D55A3">
    <w:pPr>
      <w:pStyle w:val="Header"/>
    </w:pPr>
    <w:r>
      <w:rPr>
        <w:noProof/>
      </w:rPr>
      <w:pict w14:anchorId="3F80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73DA"/>
    <w:multiLevelType w:val="multilevel"/>
    <w:tmpl w:val="79262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93848"/>
    <w:multiLevelType w:val="multilevel"/>
    <w:tmpl w:val="BAD0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9731D"/>
    <w:multiLevelType w:val="multilevel"/>
    <w:tmpl w:val="E76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92D37"/>
    <w:multiLevelType w:val="multilevel"/>
    <w:tmpl w:val="C4C0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E71A6"/>
    <w:multiLevelType w:val="hybridMultilevel"/>
    <w:tmpl w:val="8B42ED5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F49FD"/>
    <w:multiLevelType w:val="multilevel"/>
    <w:tmpl w:val="621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5278F"/>
    <w:multiLevelType w:val="multilevel"/>
    <w:tmpl w:val="892E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92E4C"/>
    <w:multiLevelType w:val="multilevel"/>
    <w:tmpl w:val="A9F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659A4"/>
    <w:multiLevelType w:val="multilevel"/>
    <w:tmpl w:val="80C0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0C00EF"/>
    <w:multiLevelType w:val="multilevel"/>
    <w:tmpl w:val="158AA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C426D5"/>
    <w:multiLevelType w:val="multilevel"/>
    <w:tmpl w:val="0BA8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1008D"/>
    <w:multiLevelType w:val="multilevel"/>
    <w:tmpl w:val="8950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FA08B1"/>
    <w:multiLevelType w:val="multilevel"/>
    <w:tmpl w:val="635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74F10"/>
    <w:multiLevelType w:val="multilevel"/>
    <w:tmpl w:val="CCE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83546"/>
    <w:multiLevelType w:val="hybridMultilevel"/>
    <w:tmpl w:val="3600E58E"/>
    <w:lvl w:ilvl="0" w:tplc="0E7CF63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CD150B7"/>
    <w:multiLevelType w:val="multilevel"/>
    <w:tmpl w:val="7104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3E710E"/>
    <w:multiLevelType w:val="hybridMultilevel"/>
    <w:tmpl w:val="E75E7D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6"/>
  </w:num>
  <w:num w:numId="5">
    <w:abstractNumId w:val="10"/>
  </w:num>
  <w:num w:numId="6">
    <w:abstractNumId w:val="1"/>
  </w:num>
  <w:num w:numId="7">
    <w:abstractNumId w:val="13"/>
  </w:num>
  <w:num w:numId="8">
    <w:abstractNumId w:val="15"/>
  </w:num>
  <w:num w:numId="9">
    <w:abstractNumId w:val="3"/>
  </w:num>
  <w:num w:numId="10">
    <w:abstractNumId w:val="8"/>
  </w:num>
  <w:num w:numId="11">
    <w:abstractNumId w:val="2"/>
  </w:num>
  <w:num w:numId="12">
    <w:abstractNumId w:val="0"/>
  </w:num>
  <w:num w:numId="13">
    <w:abstractNumId w:val="9"/>
  </w:num>
  <w:num w:numId="14">
    <w:abstractNumId w:val="14"/>
  </w:num>
  <w:num w:numId="15">
    <w:abstractNumId w:val="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5F"/>
    <w:rsid w:val="000303F2"/>
    <w:rsid w:val="001D30D4"/>
    <w:rsid w:val="002E3CB1"/>
    <w:rsid w:val="00306444"/>
    <w:rsid w:val="00420F5E"/>
    <w:rsid w:val="00431E42"/>
    <w:rsid w:val="00525F10"/>
    <w:rsid w:val="00561288"/>
    <w:rsid w:val="005708BF"/>
    <w:rsid w:val="005840FF"/>
    <w:rsid w:val="006E1261"/>
    <w:rsid w:val="00797B81"/>
    <w:rsid w:val="007E4A9F"/>
    <w:rsid w:val="007F6EE4"/>
    <w:rsid w:val="008D55A3"/>
    <w:rsid w:val="009016DE"/>
    <w:rsid w:val="00A2491C"/>
    <w:rsid w:val="00A725FD"/>
    <w:rsid w:val="00AA3ABF"/>
    <w:rsid w:val="00B0603D"/>
    <w:rsid w:val="00BA11F2"/>
    <w:rsid w:val="00D726EE"/>
    <w:rsid w:val="00E15F98"/>
    <w:rsid w:val="00ED3927"/>
    <w:rsid w:val="00F0170C"/>
    <w:rsid w:val="00F271B4"/>
    <w:rsid w:val="00FA37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D5BE6"/>
  <w15:docId w15:val="{4DED5448-AD95-483A-95B2-2687BCAE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F98"/>
  </w:style>
  <w:style w:type="paragraph" w:styleId="Heading1">
    <w:name w:val="heading 1"/>
    <w:basedOn w:val="Normal"/>
    <w:link w:val="Heading1Char"/>
    <w:uiPriority w:val="9"/>
    <w:qFormat/>
    <w:rsid w:val="00FA3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3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37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37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37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37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375F"/>
    <w:rPr>
      <w:rFonts w:ascii="Times New Roman" w:eastAsia="Times New Roman" w:hAnsi="Times New Roman" w:cs="Times New Roman"/>
      <w:b/>
      <w:bCs/>
      <w:sz w:val="24"/>
      <w:szCs w:val="24"/>
    </w:rPr>
  </w:style>
  <w:style w:type="character" w:styleId="Strong">
    <w:name w:val="Strong"/>
    <w:basedOn w:val="DefaultParagraphFont"/>
    <w:uiPriority w:val="22"/>
    <w:qFormat/>
    <w:rsid w:val="00FA375F"/>
    <w:rPr>
      <w:b/>
      <w:bCs/>
    </w:rPr>
  </w:style>
  <w:style w:type="paragraph" w:styleId="NormalWeb">
    <w:name w:val="Normal (Web)"/>
    <w:basedOn w:val="Normal"/>
    <w:uiPriority w:val="99"/>
    <w:unhideWhenUsed/>
    <w:rsid w:val="00FA37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375F"/>
    <w:rPr>
      <w:i/>
      <w:iCs/>
    </w:rPr>
  </w:style>
  <w:style w:type="table" w:styleId="TableGrid">
    <w:name w:val="Table Grid"/>
    <w:basedOn w:val="TableNormal"/>
    <w:uiPriority w:val="59"/>
    <w:rsid w:val="00F271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0F5E"/>
    <w:pPr>
      <w:ind w:left="720"/>
      <w:contextualSpacing/>
    </w:pPr>
  </w:style>
  <w:style w:type="character" w:styleId="Hyperlink">
    <w:name w:val="Hyperlink"/>
    <w:basedOn w:val="DefaultParagraphFont"/>
    <w:uiPriority w:val="99"/>
    <w:unhideWhenUsed/>
    <w:rsid w:val="00420F5E"/>
    <w:rPr>
      <w:color w:val="0000FF" w:themeColor="hyperlink"/>
      <w:u w:val="single"/>
    </w:rPr>
  </w:style>
  <w:style w:type="character" w:customStyle="1" w:styleId="UnresolvedMention1">
    <w:name w:val="Unresolved Mention1"/>
    <w:basedOn w:val="DefaultParagraphFont"/>
    <w:uiPriority w:val="99"/>
    <w:semiHidden/>
    <w:unhideWhenUsed/>
    <w:rsid w:val="00420F5E"/>
    <w:rPr>
      <w:color w:val="605E5C"/>
      <w:shd w:val="clear" w:color="auto" w:fill="E1DFDD"/>
    </w:rPr>
  </w:style>
  <w:style w:type="paragraph" w:customStyle="1" w:styleId="my-2">
    <w:name w:val="my-2"/>
    <w:basedOn w:val="Normal"/>
    <w:rsid w:val="009016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8D5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A3"/>
  </w:style>
  <w:style w:type="paragraph" w:styleId="Footer">
    <w:name w:val="footer"/>
    <w:basedOn w:val="Normal"/>
    <w:link w:val="FooterChar"/>
    <w:uiPriority w:val="99"/>
    <w:unhideWhenUsed/>
    <w:rsid w:val="008D5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8610">
      <w:bodyDiv w:val="1"/>
      <w:marLeft w:val="0"/>
      <w:marRight w:val="0"/>
      <w:marTop w:val="0"/>
      <w:marBottom w:val="0"/>
      <w:divBdr>
        <w:top w:val="none" w:sz="0" w:space="0" w:color="auto"/>
        <w:left w:val="none" w:sz="0" w:space="0" w:color="auto"/>
        <w:bottom w:val="none" w:sz="0" w:space="0" w:color="auto"/>
        <w:right w:val="none" w:sz="0" w:space="0" w:color="auto"/>
      </w:divBdr>
    </w:div>
    <w:div w:id="326859541">
      <w:bodyDiv w:val="1"/>
      <w:marLeft w:val="0"/>
      <w:marRight w:val="0"/>
      <w:marTop w:val="0"/>
      <w:marBottom w:val="0"/>
      <w:divBdr>
        <w:top w:val="none" w:sz="0" w:space="0" w:color="auto"/>
        <w:left w:val="none" w:sz="0" w:space="0" w:color="auto"/>
        <w:bottom w:val="none" w:sz="0" w:space="0" w:color="auto"/>
        <w:right w:val="none" w:sz="0" w:space="0" w:color="auto"/>
      </w:divBdr>
    </w:div>
    <w:div w:id="427190605">
      <w:bodyDiv w:val="1"/>
      <w:marLeft w:val="0"/>
      <w:marRight w:val="0"/>
      <w:marTop w:val="0"/>
      <w:marBottom w:val="0"/>
      <w:divBdr>
        <w:top w:val="none" w:sz="0" w:space="0" w:color="auto"/>
        <w:left w:val="none" w:sz="0" w:space="0" w:color="auto"/>
        <w:bottom w:val="none" w:sz="0" w:space="0" w:color="auto"/>
        <w:right w:val="none" w:sz="0" w:space="0" w:color="auto"/>
      </w:divBdr>
    </w:div>
    <w:div w:id="686753215">
      <w:bodyDiv w:val="1"/>
      <w:marLeft w:val="0"/>
      <w:marRight w:val="0"/>
      <w:marTop w:val="0"/>
      <w:marBottom w:val="0"/>
      <w:divBdr>
        <w:top w:val="none" w:sz="0" w:space="0" w:color="auto"/>
        <w:left w:val="none" w:sz="0" w:space="0" w:color="auto"/>
        <w:bottom w:val="none" w:sz="0" w:space="0" w:color="auto"/>
        <w:right w:val="none" w:sz="0" w:space="0" w:color="auto"/>
      </w:divBdr>
      <w:divsChild>
        <w:div w:id="1247885772">
          <w:marLeft w:val="0"/>
          <w:marRight w:val="0"/>
          <w:marTop w:val="0"/>
          <w:marBottom w:val="0"/>
          <w:divBdr>
            <w:top w:val="none" w:sz="0" w:space="0" w:color="auto"/>
            <w:left w:val="none" w:sz="0" w:space="0" w:color="auto"/>
            <w:bottom w:val="none" w:sz="0" w:space="0" w:color="auto"/>
            <w:right w:val="none" w:sz="0" w:space="0" w:color="auto"/>
          </w:divBdr>
          <w:divsChild>
            <w:div w:id="1006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5527">
      <w:bodyDiv w:val="1"/>
      <w:marLeft w:val="0"/>
      <w:marRight w:val="0"/>
      <w:marTop w:val="0"/>
      <w:marBottom w:val="0"/>
      <w:divBdr>
        <w:top w:val="none" w:sz="0" w:space="0" w:color="auto"/>
        <w:left w:val="none" w:sz="0" w:space="0" w:color="auto"/>
        <w:bottom w:val="none" w:sz="0" w:space="0" w:color="auto"/>
        <w:right w:val="none" w:sz="0" w:space="0" w:color="auto"/>
      </w:divBdr>
    </w:div>
    <w:div w:id="980499152">
      <w:bodyDiv w:val="1"/>
      <w:marLeft w:val="0"/>
      <w:marRight w:val="0"/>
      <w:marTop w:val="0"/>
      <w:marBottom w:val="0"/>
      <w:divBdr>
        <w:top w:val="none" w:sz="0" w:space="0" w:color="auto"/>
        <w:left w:val="none" w:sz="0" w:space="0" w:color="auto"/>
        <w:bottom w:val="none" w:sz="0" w:space="0" w:color="auto"/>
        <w:right w:val="none" w:sz="0" w:space="0" w:color="auto"/>
      </w:divBdr>
    </w:div>
    <w:div w:id="1066143506">
      <w:bodyDiv w:val="1"/>
      <w:marLeft w:val="0"/>
      <w:marRight w:val="0"/>
      <w:marTop w:val="0"/>
      <w:marBottom w:val="0"/>
      <w:divBdr>
        <w:top w:val="none" w:sz="0" w:space="0" w:color="auto"/>
        <w:left w:val="none" w:sz="0" w:space="0" w:color="auto"/>
        <w:bottom w:val="none" w:sz="0" w:space="0" w:color="auto"/>
        <w:right w:val="none" w:sz="0" w:space="0" w:color="auto"/>
      </w:divBdr>
    </w:div>
    <w:div w:id="1166476290">
      <w:bodyDiv w:val="1"/>
      <w:marLeft w:val="0"/>
      <w:marRight w:val="0"/>
      <w:marTop w:val="0"/>
      <w:marBottom w:val="0"/>
      <w:divBdr>
        <w:top w:val="none" w:sz="0" w:space="0" w:color="auto"/>
        <w:left w:val="none" w:sz="0" w:space="0" w:color="auto"/>
        <w:bottom w:val="none" w:sz="0" w:space="0" w:color="auto"/>
        <w:right w:val="none" w:sz="0" w:space="0" w:color="auto"/>
      </w:divBdr>
    </w:div>
    <w:div w:id="1181820122">
      <w:bodyDiv w:val="1"/>
      <w:marLeft w:val="0"/>
      <w:marRight w:val="0"/>
      <w:marTop w:val="0"/>
      <w:marBottom w:val="0"/>
      <w:divBdr>
        <w:top w:val="none" w:sz="0" w:space="0" w:color="auto"/>
        <w:left w:val="none" w:sz="0" w:space="0" w:color="auto"/>
        <w:bottom w:val="none" w:sz="0" w:space="0" w:color="auto"/>
        <w:right w:val="none" w:sz="0" w:space="0" w:color="auto"/>
      </w:divBdr>
      <w:divsChild>
        <w:div w:id="223032702">
          <w:marLeft w:val="0"/>
          <w:marRight w:val="0"/>
          <w:marTop w:val="0"/>
          <w:marBottom w:val="0"/>
          <w:divBdr>
            <w:top w:val="none" w:sz="0" w:space="0" w:color="auto"/>
            <w:left w:val="none" w:sz="0" w:space="0" w:color="auto"/>
            <w:bottom w:val="none" w:sz="0" w:space="0" w:color="auto"/>
            <w:right w:val="none" w:sz="0" w:space="0" w:color="auto"/>
          </w:divBdr>
          <w:divsChild>
            <w:div w:id="3946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3378">
      <w:bodyDiv w:val="1"/>
      <w:marLeft w:val="0"/>
      <w:marRight w:val="0"/>
      <w:marTop w:val="0"/>
      <w:marBottom w:val="0"/>
      <w:divBdr>
        <w:top w:val="none" w:sz="0" w:space="0" w:color="auto"/>
        <w:left w:val="none" w:sz="0" w:space="0" w:color="auto"/>
        <w:bottom w:val="none" w:sz="0" w:space="0" w:color="auto"/>
        <w:right w:val="none" w:sz="0" w:space="0" w:color="auto"/>
      </w:divBdr>
    </w:div>
    <w:div w:id="1317883031">
      <w:bodyDiv w:val="1"/>
      <w:marLeft w:val="0"/>
      <w:marRight w:val="0"/>
      <w:marTop w:val="0"/>
      <w:marBottom w:val="0"/>
      <w:divBdr>
        <w:top w:val="none" w:sz="0" w:space="0" w:color="auto"/>
        <w:left w:val="none" w:sz="0" w:space="0" w:color="auto"/>
        <w:bottom w:val="none" w:sz="0" w:space="0" w:color="auto"/>
        <w:right w:val="none" w:sz="0" w:space="0" w:color="auto"/>
      </w:divBdr>
    </w:div>
    <w:div w:id="1729258054">
      <w:bodyDiv w:val="1"/>
      <w:marLeft w:val="0"/>
      <w:marRight w:val="0"/>
      <w:marTop w:val="0"/>
      <w:marBottom w:val="0"/>
      <w:divBdr>
        <w:top w:val="none" w:sz="0" w:space="0" w:color="auto"/>
        <w:left w:val="none" w:sz="0" w:space="0" w:color="auto"/>
        <w:bottom w:val="none" w:sz="0" w:space="0" w:color="auto"/>
        <w:right w:val="none" w:sz="0" w:space="0" w:color="auto"/>
      </w:divBdr>
      <w:divsChild>
        <w:div w:id="396779639">
          <w:marLeft w:val="0"/>
          <w:marRight w:val="0"/>
          <w:marTop w:val="0"/>
          <w:marBottom w:val="0"/>
          <w:divBdr>
            <w:top w:val="none" w:sz="0" w:space="0" w:color="auto"/>
            <w:left w:val="none" w:sz="0" w:space="0" w:color="auto"/>
            <w:bottom w:val="none" w:sz="0" w:space="0" w:color="auto"/>
            <w:right w:val="none" w:sz="0" w:space="0" w:color="auto"/>
          </w:divBdr>
          <w:divsChild>
            <w:div w:id="13250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hb.gov.in/statistic"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4a938666f5dfcac/Desktop/Agricultural%20Compani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latin typeface="Times New Roman" panose="02020603050405020304" pitchFamily="18" charset="0"/>
                <a:cs typeface="Times New Roman" panose="02020603050405020304" pitchFamily="18" charset="0"/>
              </a:rPr>
              <a:t>Effect of Different Nutrient Doses on Growth and Yield of Garden Pea </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Sheet1!$C$4</c:f>
              <c:strCache>
                <c:ptCount val="1"/>
                <c:pt idx="0">
                  <c:v>Plant Height (cm)</c:v>
                </c:pt>
              </c:strCache>
            </c:strRef>
          </c:tx>
          <c:spPr>
            <a:solidFill>
              <a:schemeClr val="accent1"/>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Sheet1!$C$5:$C$11</c:f>
              <c:numCache>
                <c:formatCode>General</c:formatCode>
                <c:ptCount val="7"/>
                <c:pt idx="0">
                  <c:v>40.1</c:v>
                </c:pt>
                <c:pt idx="1">
                  <c:v>49.8</c:v>
                </c:pt>
                <c:pt idx="2">
                  <c:v>55.1</c:v>
                </c:pt>
                <c:pt idx="3">
                  <c:v>61.7</c:v>
                </c:pt>
                <c:pt idx="4">
                  <c:v>68.3</c:v>
                </c:pt>
                <c:pt idx="5">
                  <c:v>66.400000000000006</c:v>
                </c:pt>
                <c:pt idx="6">
                  <c:v>63.2</c:v>
                </c:pt>
              </c:numCache>
            </c:numRef>
          </c:val>
          <c:extLst>
            <c:ext xmlns:c16="http://schemas.microsoft.com/office/drawing/2014/chart" uri="{C3380CC4-5D6E-409C-BE32-E72D297353CC}">
              <c16:uniqueId val="{00000000-7EBD-4102-A260-969AEA72A0BD}"/>
            </c:ext>
          </c:extLst>
        </c:ser>
        <c:ser>
          <c:idx val="1"/>
          <c:order val="1"/>
          <c:tx>
            <c:strRef>
              <c:f>Sheet1!$D$4</c:f>
              <c:strCache>
                <c:ptCount val="1"/>
                <c:pt idx="0">
                  <c:v>Branches/Plant</c:v>
                </c:pt>
              </c:strCache>
            </c:strRef>
          </c:tx>
          <c:spPr>
            <a:solidFill>
              <a:schemeClr val="accent2"/>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Sheet1!$D$5:$D$11</c:f>
              <c:numCache>
                <c:formatCode>General</c:formatCode>
                <c:ptCount val="7"/>
                <c:pt idx="0">
                  <c:v>2.4</c:v>
                </c:pt>
                <c:pt idx="1">
                  <c:v>3.2</c:v>
                </c:pt>
                <c:pt idx="2">
                  <c:v>3.7</c:v>
                </c:pt>
                <c:pt idx="3">
                  <c:v>4.2</c:v>
                </c:pt>
                <c:pt idx="4">
                  <c:v>5.2</c:v>
                </c:pt>
                <c:pt idx="5">
                  <c:v>4.9000000000000004</c:v>
                </c:pt>
                <c:pt idx="6">
                  <c:v>4.4000000000000004</c:v>
                </c:pt>
              </c:numCache>
            </c:numRef>
          </c:val>
          <c:extLst>
            <c:ext xmlns:c16="http://schemas.microsoft.com/office/drawing/2014/chart" uri="{C3380CC4-5D6E-409C-BE32-E72D297353CC}">
              <c16:uniqueId val="{00000001-7EBD-4102-A260-969AEA72A0BD}"/>
            </c:ext>
          </c:extLst>
        </c:ser>
        <c:ser>
          <c:idx val="2"/>
          <c:order val="2"/>
          <c:tx>
            <c:strRef>
              <c:f>Sheet1!$E$4</c:f>
              <c:strCache>
                <c:ptCount val="1"/>
                <c:pt idx="0">
                  <c:v>Leaf Area Index (60 DAS)</c:v>
                </c:pt>
              </c:strCache>
            </c:strRef>
          </c:tx>
          <c:spPr>
            <a:solidFill>
              <a:schemeClr val="accent3"/>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Sheet1!$E$5:$E$11</c:f>
              <c:numCache>
                <c:formatCode>General</c:formatCode>
                <c:ptCount val="7"/>
                <c:pt idx="0">
                  <c:v>1.1200000000000001</c:v>
                </c:pt>
                <c:pt idx="1">
                  <c:v>1.56</c:v>
                </c:pt>
                <c:pt idx="2">
                  <c:v>1.82</c:v>
                </c:pt>
                <c:pt idx="3">
                  <c:v>2.0099999999999998</c:v>
                </c:pt>
                <c:pt idx="4">
                  <c:v>2.4500000000000002</c:v>
                </c:pt>
                <c:pt idx="5">
                  <c:v>2.21</c:v>
                </c:pt>
                <c:pt idx="6">
                  <c:v>2.0499999999999998</c:v>
                </c:pt>
              </c:numCache>
            </c:numRef>
          </c:val>
          <c:extLst>
            <c:ext xmlns:c16="http://schemas.microsoft.com/office/drawing/2014/chart" uri="{C3380CC4-5D6E-409C-BE32-E72D297353CC}">
              <c16:uniqueId val="{00000002-7EBD-4102-A260-969AEA72A0BD}"/>
            </c:ext>
          </c:extLst>
        </c:ser>
        <c:ser>
          <c:idx val="3"/>
          <c:order val="3"/>
          <c:tx>
            <c:strRef>
              <c:f>Sheet1!$F$4</c:f>
              <c:strCache>
                <c:ptCount val="1"/>
                <c:pt idx="0">
                  <c:v>Dry Matter/Plant (g)</c:v>
                </c:pt>
              </c:strCache>
            </c:strRef>
          </c:tx>
          <c:spPr>
            <a:solidFill>
              <a:schemeClr val="accent4"/>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Sheet1!$F$5:$F$11</c:f>
              <c:numCache>
                <c:formatCode>General</c:formatCode>
                <c:ptCount val="7"/>
                <c:pt idx="0">
                  <c:v>12.3</c:v>
                </c:pt>
                <c:pt idx="1">
                  <c:v>15.6</c:v>
                </c:pt>
                <c:pt idx="2">
                  <c:v>17.8</c:v>
                </c:pt>
                <c:pt idx="3">
                  <c:v>19.600000000000001</c:v>
                </c:pt>
                <c:pt idx="4">
                  <c:v>22.8</c:v>
                </c:pt>
                <c:pt idx="5">
                  <c:v>21.1</c:v>
                </c:pt>
                <c:pt idx="6">
                  <c:v>20.399999999999999</c:v>
                </c:pt>
              </c:numCache>
            </c:numRef>
          </c:val>
          <c:extLst>
            <c:ext xmlns:c16="http://schemas.microsoft.com/office/drawing/2014/chart" uri="{C3380CC4-5D6E-409C-BE32-E72D297353CC}">
              <c16:uniqueId val="{00000003-7EBD-4102-A260-969AEA72A0BD}"/>
            </c:ext>
          </c:extLst>
        </c:ser>
        <c:ser>
          <c:idx val="4"/>
          <c:order val="4"/>
          <c:tx>
            <c:strRef>
              <c:f>Sheet1!$G$4</c:f>
              <c:strCache>
                <c:ptCount val="1"/>
                <c:pt idx="0">
                  <c:v>Pods/Plant</c:v>
                </c:pt>
              </c:strCache>
            </c:strRef>
          </c:tx>
          <c:spPr>
            <a:solidFill>
              <a:schemeClr val="accent5"/>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Sheet1!$G$5:$G$11</c:f>
              <c:numCache>
                <c:formatCode>General</c:formatCode>
                <c:ptCount val="7"/>
                <c:pt idx="0">
                  <c:v>10.5</c:v>
                </c:pt>
                <c:pt idx="1">
                  <c:v>13.6</c:v>
                </c:pt>
                <c:pt idx="2">
                  <c:v>14.5</c:v>
                </c:pt>
                <c:pt idx="3">
                  <c:v>16.3</c:v>
                </c:pt>
                <c:pt idx="4">
                  <c:v>18.3</c:v>
                </c:pt>
                <c:pt idx="5">
                  <c:v>17.8</c:v>
                </c:pt>
                <c:pt idx="6">
                  <c:v>17.100000000000001</c:v>
                </c:pt>
              </c:numCache>
            </c:numRef>
          </c:val>
          <c:extLst>
            <c:ext xmlns:c16="http://schemas.microsoft.com/office/drawing/2014/chart" uri="{C3380CC4-5D6E-409C-BE32-E72D297353CC}">
              <c16:uniqueId val="{00000004-7EBD-4102-A260-969AEA72A0BD}"/>
            </c:ext>
          </c:extLst>
        </c:ser>
        <c:ser>
          <c:idx val="5"/>
          <c:order val="5"/>
          <c:tx>
            <c:strRef>
              <c:f>Sheet1!$H$4</c:f>
              <c:strCache>
                <c:ptCount val="1"/>
                <c:pt idx="0">
                  <c:v>Pod Length (cm)</c:v>
                </c:pt>
              </c:strCache>
            </c:strRef>
          </c:tx>
          <c:spPr>
            <a:solidFill>
              <a:schemeClr val="accent6"/>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Sheet1!$H$5:$H$11</c:f>
              <c:numCache>
                <c:formatCode>General</c:formatCode>
                <c:ptCount val="7"/>
                <c:pt idx="0">
                  <c:v>6.8</c:v>
                </c:pt>
                <c:pt idx="1">
                  <c:v>7.5</c:v>
                </c:pt>
                <c:pt idx="2">
                  <c:v>8.1</c:v>
                </c:pt>
                <c:pt idx="3">
                  <c:v>8.5</c:v>
                </c:pt>
                <c:pt idx="4">
                  <c:v>9.8000000000000007</c:v>
                </c:pt>
                <c:pt idx="5">
                  <c:v>9.3000000000000007</c:v>
                </c:pt>
                <c:pt idx="6">
                  <c:v>9</c:v>
                </c:pt>
              </c:numCache>
            </c:numRef>
          </c:val>
          <c:extLst>
            <c:ext xmlns:c16="http://schemas.microsoft.com/office/drawing/2014/chart" uri="{C3380CC4-5D6E-409C-BE32-E72D297353CC}">
              <c16:uniqueId val="{00000005-7EBD-4102-A260-969AEA72A0BD}"/>
            </c:ext>
          </c:extLst>
        </c:ser>
        <c:ser>
          <c:idx val="6"/>
          <c:order val="6"/>
          <c:tx>
            <c:strRef>
              <c:f>Sheet1!$I$4</c:f>
              <c:strCache>
                <c:ptCount val="1"/>
                <c:pt idx="0">
                  <c:v>Pod Weight (g)</c:v>
                </c:pt>
              </c:strCache>
            </c:strRef>
          </c:tx>
          <c:spPr>
            <a:solidFill>
              <a:schemeClr val="accent1">
                <a:lumMod val="60000"/>
              </a:schemeClr>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Sheet1!$I$5:$I$11</c:f>
              <c:numCache>
                <c:formatCode>General</c:formatCode>
                <c:ptCount val="7"/>
                <c:pt idx="0">
                  <c:v>3.4</c:v>
                </c:pt>
                <c:pt idx="1">
                  <c:v>4.5</c:v>
                </c:pt>
                <c:pt idx="2">
                  <c:v>5.0999999999999996</c:v>
                </c:pt>
                <c:pt idx="3">
                  <c:v>5.7</c:v>
                </c:pt>
                <c:pt idx="4">
                  <c:v>6.4</c:v>
                </c:pt>
                <c:pt idx="5">
                  <c:v>6.1</c:v>
                </c:pt>
                <c:pt idx="6">
                  <c:v>5.9</c:v>
                </c:pt>
              </c:numCache>
            </c:numRef>
          </c:val>
          <c:extLst>
            <c:ext xmlns:c16="http://schemas.microsoft.com/office/drawing/2014/chart" uri="{C3380CC4-5D6E-409C-BE32-E72D297353CC}">
              <c16:uniqueId val="{00000006-7EBD-4102-A260-969AEA72A0BD}"/>
            </c:ext>
          </c:extLst>
        </c:ser>
        <c:ser>
          <c:idx val="7"/>
          <c:order val="7"/>
          <c:tx>
            <c:strRef>
              <c:f>Sheet1!$J$4</c:f>
              <c:strCache>
                <c:ptCount val="1"/>
                <c:pt idx="0">
                  <c:v>Green Pod Yield (q/ha)</c:v>
                </c:pt>
              </c:strCache>
            </c:strRef>
          </c:tx>
          <c:spPr>
            <a:solidFill>
              <a:schemeClr val="accent2">
                <a:lumMod val="60000"/>
              </a:schemeClr>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Sheet1!$J$5:$J$11</c:f>
              <c:numCache>
                <c:formatCode>General</c:formatCode>
                <c:ptCount val="7"/>
                <c:pt idx="0">
                  <c:v>48.7</c:v>
                </c:pt>
                <c:pt idx="1">
                  <c:v>65.400000000000006</c:v>
                </c:pt>
                <c:pt idx="2">
                  <c:v>75.599999999999994</c:v>
                </c:pt>
                <c:pt idx="3">
                  <c:v>82.8</c:v>
                </c:pt>
                <c:pt idx="4">
                  <c:v>95.2</c:v>
                </c:pt>
                <c:pt idx="5">
                  <c:v>90.1</c:v>
                </c:pt>
                <c:pt idx="6">
                  <c:v>88.3</c:v>
                </c:pt>
              </c:numCache>
            </c:numRef>
          </c:val>
          <c:extLst>
            <c:ext xmlns:c16="http://schemas.microsoft.com/office/drawing/2014/chart" uri="{C3380CC4-5D6E-409C-BE32-E72D297353CC}">
              <c16:uniqueId val="{00000007-7EBD-4102-A260-969AEA72A0BD}"/>
            </c:ext>
          </c:extLst>
        </c:ser>
        <c:dLbls>
          <c:showLegendKey val="0"/>
          <c:showVal val="0"/>
          <c:showCatName val="0"/>
          <c:showSerName val="0"/>
          <c:showPercent val="0"/>
          <c:showBubbleSize val="0"/>
        </c:dLbls>
        <c:gapWidth val="182"/>
        <c:axId val="97119648"/>
        <c:axId val="97124448"/>
      </c:barChart>
      <c:catAx>
        <c:axId val="97119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124448"/>
        <c:crosses val="autoZero"/>
        <c:auto val="1"/>
        <c:lblAlgn val="ctr"/>
        <c:lblOffset val="100"/>
        <c:noMultiLvlLbl val="0"/>
      </c:catAx>
      <c:valAx>
        <c:axId val="971244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11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8CB86F-AF56-415C-BBE1-3F54CEE32D7E}">
  <we:reference id="wa200001361" version="2.129.3.0" store="en-US" storeType="OMEX"/>
  <we:alternateReferences>
    <we:reference id="wa200001361" version="2.129.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A826-1D57-45AB-BC65-B973E3CE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craza</dc:creator>
  <cp:lastModifiedBy>SDI 1084</cp:lastModifiedBy>
  <cp:revision>3</cp:revision>
  <dcterms:created xsi:type="dcterms:W3CDTF">2025-10-12T17:36:00Z</dcterms:created>
  <dcterms:modified xsi:type="dcterms:W3CDTF">2025-10-14T07:50:00Z</dcterms:modified>
</cp:coreProperties>
</file>