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989FD" w14:textId="77777777" w:rsidR="00A22ADD" w:rsidRPr="00A22ADD" w:rsidRDefault="00A22ADD" w:rsidP="00A22ADD">
      <w:pPr>
        <w:jc w:val="center"/>
        <w:rPr>
          <w:b/>
          <w:bCs/>
          <w:i/>
          <w:iCs/>
          <w:sz w:val="28"/>
          <w:szCs w:val="28"/>
          <w:u w:val="single"/>
          <w:lang w:val="en-US"/>
        </w:rPr>
      </w:pPr>
      <w:r w:rsidRPr="00A22ADD">
        <w:rPr>
          <w:b/>
          <w:bCs/>
          <w:i/>
          <w:iCs/>
          <w:sz w:val="28"/>
          <w:szCs w:val="28"/>
          <w:u w:val="single"/>
          <w:lang w:val="en-US"/>
        </w:rPr>
        <w:t>Review Article</w:t>
      </w:r>
    </w:p>
    <w:p w14:paraId="1967C16C" w14:textId="77777777" w:rsidR="00A22ADD" w:rsidRDefault="00A22ADD" w:rsidP="00A22ADD">
      <w:pPr>
        <w:jc w:val="center"/>
        <w:rPr>
          <w:b/>
          <w:bCs/>
          <w:sz w:val="28"/>
          <w:szCs w:val="28"/>
        </w:rPr>
      </w:pPr>
    </w:p>
    <w:p w14:paraId="47E148A2" w14:textId="4DFA60FE" w:rsidR="00A22ADD" w:rsidRPr="00330339" w:rsidRDefault="00A22ADD" w:rsidP="00A22ADD">
      <w:pPr>
        <w:jc w:val="center"/>
        <w:rPr>
          <w:b/>
          <w:bCs/>
          <w:sz w:val="28"/>
          <w:szCs w:val="28"/>
        </w:rPr>
      </w:pPr>
      <w:r w:rsidRPr="00330339">
        <w:rPr>
          <w:b/>
          <w:bCs/>
          <w:sz w:val="28"/>
          <w:szCs w:val="28"/>
        </w:rPr>
        <w:t>A REVIEW ON PREDICTIVE MARKERS FOR MANDIBULAR NERVE INJURY IN THIRD MOLAR SURGERY</w:t>
      </w:r>
    </w:p>
    <w:p w14:paraId="6AF556B7" w14:textId="77777777" w:rsidR="00A22ADD" w:rsidRDefault="00A22ADD" w:rsidP="00330339">
      <w:pPr>
        <w:jc w:val="center"/>
        <w:rPr>
          <w:b/>
          <w:bCs/>
          <w:sz w:val="24"/>
          <w:szCs w:val="24"/>
        </w:rPr>
      </w:pPr>
    </w:p>
    <w:p w14:paraId="1C057552" w14:textId="77777777" w:rsidR="008705A2" w:rsidRDefault="008705A2" w:rsidP="008705A2">
      <w:pPr>
        <w:jc w:val="center"/>
        <w:rPr>
          <w:b/>
          <w:bCs/>
          <w:sz w:val="24"/>
          <w:szCs w:val="24"/>
        </w:rPr>
      </w:pPr>
      <w:bookmarkStart w:id="0" w:name="_GoBack"/>
      <w:bookmarkEnd w:id="0"/>
    </w:p>
    <w:p w14:paraId="0954B15F" w14:textId="77777777" w:rsidR="005A038E" w:rsidRDefault="005A038E" w:rsidP="008705A2">
      <w:pPr>
        <w:rPr>
          <w:b/>
          <w:bCs/>
          <w:sz w:val="24"/>
          <w:szCs w:val="24"/>
        </w:rPr>
      </w:pPr>
    </w:p>
    <w:p w14:paraId="5533B8A4" w14:textId="77777777" w:rsidR="00F8784E" w:rsidRPr="00F8784E" w:rsidRDefault="00F8784E" w:rsidP="00F8784E">
      <w:pPr>
        <w:rPr>
          <w:b/>
          <w:bCs/>
          <w:sz w:val="24"/>
          <w:szCs w:val="24"/>
        </w:rPr>
      </w:pPr>
      <w:r w:rsidRPr="00F8784E">
        <w:rPr>
          <w:b/>
          <w:bCs/>
          <w:sz w:val="24"/>
          <w:szCs w:val="24"/>
        </w:rPr>
        <w:t>Abstract</w:t>
      </w:r>
    </w:p>
    <w:p w14:paraId="3C3F5A66" w14:textId="77777777" w:rsidR="00F8784E" w:rsidRDefault="00F8784E" w:rsidP="00F8784E">
      <w:pPr>
        <w:jc w:val="both"/>
        <w:rPr>
          <w:sz w:val="24"/>
          <w:szCs w:val="24"/>
        </w:rPr>
      </w:pPr>
      <w:r w:rsidRPr="00F8784E">
        <w:rPr>
          <w:sz w:val="24"/>
          <w:szCs w:val="24"/>
        </w:rPr>
        <w:t>Mandibular nerve injury (MNI) is a notable complication of mandibular third molar extraction, primarily affecting the inferior alveolar and lingual nerves. Reported incidence varies, with temporary injuries occurring more frequently than permanent deficits, which remain relatively rare. Risk factors for MNI include advanced patient age, male sex, specific tooth impaction types (</w:t>
      </w:r>
      <w:proofErr w:type="spellStart"/>
      <w:r w:rsidRPr="00F8784E">
        <w:rPr>
          <w:sz w:val="24"/>
          <w:szCs w:val="24"/>
        </w:rPr>
        <w:t>mesioangular</w:t>
      </w:r>
      <w:proofErr w:type="spellEnd"/>
      <w:r w:rsidRPr="00F8784E">
        <w:rPr>
          <w:sz w:val="24"/>
          <w:szCs w:val="24"/>
        </w:rPr>
        <w:t xml:space="preserve">, horizontal), deep impactions, and prior pericoronitis or infection. Radiographic predictive markers, identified through panoramic radiographs and cone-beam computed tomography (CBCT), include root darkening, canal diversion or narrowing, interruption of the cortical border, and close proximity of roots to the nerve canal. Surgical technique, operator experience, use of magnification, and adjuncts such as </w:t>
      </w:r>
      <w:proofErr w:type="spellStart"/>
      <w:r w:rsidRPr="00F8784E">
        <w:rPr>
          <w:sz w:val="24"/>
          <w:szCs w:val="24"/>
        </w:rPr>
        <w:t>piezosurgery</w:t>
      </w:r>
      <w:proofErr w:type="spellEnd"/>
      <w:r w:rsidRPr="00F8784E">
        <w:rPr>
          <w:sz w:val="24"/>
          <w:szCs w:val="24"/>
        </w:rPr>
        <w:t xml:space="preserve"> further influence risk. Emerging risk assessment models, incorporating clinical, radiographic, and AI-based predictive tools, offer improved preoperative stratification, while molecular and genetic markers hold potential for personalized risk profiling. Integrating these predictors enables informed surgical planning, patient </w:t>
      </w:r>
      <w:proofErr w:type="spellStart"/>
      <w:r w:rsidRPr="00F8784E">
        <w:rPr>
          <w:sz w:val="24"/>
          <w:szCs w:val="24"/>
        </w:rPr>
        <w:t>counseling</w:t>
      </w:r>
      <w:proofErr w:type="spellEnd"/>
      <w:r w:rsidRPr="00F8784E">
        <w:rPr>
          <w:sz w:val="24"/>
          <w:szCs w:val="24"/>
        </w:rPr>
        <w:t>, and optimization of postoperative outcomes.</w:t>
      </w:r>
    </w:p>
    <w:p w14:paraId="16A51FA7" w14:textId="723CDC93" w:rsidR="00F8784E" w:rsidRPr="00F8784E" w:rsidRDefault="00F8784E" w:rsidP="00F8784E">
      <w:pPr>
        <w:jc w:val="both"/>
        <w:rPr>
          <w:b/>
          <w:bCs/>
          <w:sz w:val="24"/>
          <w:szCs w:val="24"/>
        </w:rPr>
      </w:pPr>
      <w:r w:rsidRPr="00F8784E">
        <w:rPr>
          <w:b/>
          <w:bCs/>
          <w:sz w:val="24"/>
          <w:szCs w:val="24"/>
        </w:rPr>
        <w:t>Keywords</w:t>
      </w:r>
      <w:r>
        <w:rPr>
          <w:b/>
          <w:bCs/>
          <w:sz w:val="24"/>
          <w:szCs w:val="24"/>
        </w:rPr>
        <w:t xml:space="preserve">: </w:t>
      </w:r>
      <w:r w:rsidRPr="00F8784E">
        <w:rPr>
          <w:sz w:val="24"/>
          <w:szCs w:val="24"/>
        </w:rPr>
        <w:t xml:space="preserve">Mandibular </w:t>
      </w:r>
      <w:r w:rsidR="004F4246" w:rsidRPr="00F8784E">
        <w:rPr>
          <w:sz w:val="24"/>
          <w:szCs w:val="24"/>
        </w:rPr>
        <w:t>Nerve Injury, Third Molar Extraction, Inferior Alveolar Nerve, Predictive Markers, Cone-Beam Computed Tomography</w:t>
      </w:r>
    </w:p>
    <w:p w14:paraId="137B8A07" w14:textId="450F341F" w:rsidR="005A038E" w:rsidRDefault="005A038E" w:rsidP="008705A2">
      <w:pPr>
        <w:rPr>
          <w:b/>
          <w:bCs/>
          <w:sz w:val="24"/>
          <w:szCs w:val="24"/>
        </w:rPr>
      </w:pPr>
      <w:r>
        <w:rPr>
          <w:b/>
          <w:bCs/>
          <w:sz w:val="24"/>
          <w:szCs w:val="24"/>
        </w:rPr>
        <w:t>Introduction</w:t>
      </w:r>
    </w:p>
    <w:p w14:paraId="5DC3DA85" w14:textId="4E8C06F2" w:rsidR="005A038E" w:rsidRPr="005A038E" w:rsidRDefault="005A038E" w:rsidP="005A038E">
      <w:pPr>
        <w:jc w:val="both"/>
        <w:rPr>
          <w:sz w:val="24"/>
          <w:szCs w:val="24"/>
        </w:rPr>
      </w:pPr>
      <w:r w:rsidRPr="005A038E">
        <w:rPr>
          <w:sz w:val="24"/>
          <w:szCs w:val="24"/>
        </w:rPr>
        <w:t>Mandibular nerve injury (MNI) is a significant complication associated with the extraction of mandibular third molars, with reported incidence rates for inferior alveolar nerve (IAN) injury ranging from 0.35% to 8.4%, while permanent injuries are relatively rare, typically under 1%.</w:t>
      </w:r>
      <w:r w:rsidR="001D48FD">
        <w:rPr>
          <w:sz w:val="24"/>
          <w:szCs w:val="24"/>
          <w:vertAlign w:val="superscript"/>
        </w:rPr>
        <w:t>1</w:t>
      </w:r>
      <w:r w:rsidRPr="005A038E">
        <w:rPr>
          <w:sz w:val="24"/>
          <w:szCs w:val="24"/>
        </w:rPr>
        <w:t xml:space="preserve"> Temporary nerve injuries occur more frequently, with rates between 5% and 14%, and lingual nerve injuries show a similar pattern, with temporary disturbances in sensation reported in up to 15% of cases but permanent deficits being uncommon. The risk of nerve injury increases with surgical extractions compared to simple removals, impacted teeth particularly </w:t>
      </w:r>
      <w:proofErr w:type="spellStart"/>
      <w:r w:rsidRPr="005A038E">
        <w:rPr>
          <w:sz w:val="24"/>
          <w:szCs w:val="24"/>
        </w:rPr>
        <w:t>mesioangular</w:t>
      </w:r>
      <w:proofErr w:type="spellEnd"/>
      <w:r w:rsidRPr="005A038E">
        <w:rPr>
          <w:sz w:val="24"/>
          <w:szCs w:val="24"/>
        </w:rPr>
        <w:t xml:space="preserve"> and horizontal impactions older patient age (over 24–25 years), and less experienced surgeons.</w:t>
      </w:r>
      <w:r w:rsidR="001D48FD">
        <w:rPr>
          <w:sz w:val="24"/>
          <w:szCs w:val="24"/>
          <w:vertAlign w:val="superscript"/>
        </w:rPr>
        <w:t>2</w:t>
      </w:r>
      <w:r w:rsidRPr="005A038E">
        <w:rPr>
          <w:sz w:val="24"/>
          <w:szCs w:val="24"/>
        </w:rPr>
        <w:t xml:space="preserve"> Clinically, MNI manifests as pain, numbness, tingling (</w:t>
      </w:r>
      <w:proofErr w:type="spellStart"/>
      <w:r w:rsidRPr="005A038E">
        <w:rPr>
          <w:sz w:val="24"/>
          <w:szCs w:val="24"/>
        </w:rPr>
        <w:t>paresthesia</w:t>
      </w:r>
      <w:proofErr w:type="spellEnd"/>
      <w:r w:rsidRPr="005A038E">
        <w:rPr>
          <w:sz w:val="24"/>
          <w:szCs w:val="24"/>
        </w:rPr>
        <w:t xml:space="preserve">), reduced sensation (hypoesthesia), </w:t>
      </w:r>
      <w:proofErr w:type="spellStart"/>
      <w:r w:rsidRPr="005A038E">
        <w:rPr>
          <w:sz w:val="24"/>
          <w:szCs w:val="24"/>
        </w:rPr>
        <w:t>anesthesia</w:t>
      </w:r>
      <w:proofErr w:type="spellEnd"/>
      <w:r w:rsidRPr="005A038E">
        <w:rPr>
          <w:sz w:val="24"/>
          <w:szCs w:val="24"/>
        </w:rPr>
        <w:t>, and occasionally dysesthesia or neuropathic pain, all of which can impair oral functions such as speaking and eating, affect sensation, and contribute to psychological distress.</w:t>
      </w:r>
      <w:r w:rsidR="001D48FD">
        <w:rPr>
          <w:sz w:val="24"/>
          <w:szCs w:val="24"/>
          <w:vertAlign w:val="superscript"/>
        </w:rPr>
        <w:t>3</w:t>
      </w:r>
      <w:r w:rsidRPr="005A038E">
        <w:rPr>
          <w:sz w:val="24"/>
          <w:szCs w:val="24"/>
        </w:rPr>
        <w:t xml:space="preserve"> Most injuries resolve within weeks to months, with recovery rates approaching 96% within 4–8 weeks, though a small proportion may persist </w:t>
      </w:r>
      <w:r w:rsidRPr="005A038E">
        <w:rPr>
          <w:sz w:val="24"/>
          <w:szCs w:val="24"/>
        </w:rPr>
        <w:lastRenderedPageBreak/>
        <w:t>long-term and require additional management. Preoperative identification of high-risk cases through predictive markers is therefore essential to guide surgical planning, tailor operative techniques, obtain informed consent, and minimize complications.</w:t>
      </w:r>
      <w:r w:rsidR="001D48FD">
        <w:rPr>
          <w:sz w:val="24"/>
          <w:szCs w:val="24"/>
          <w:vertAlign w:val="superscript"/>
        </w:rPr>
        <w:t>4</w:t>
      </w:r>
      <w:r w:rsidRPr="005A038E">
        <w:rPr>
          <w:sz w:val="24"/>
          <w:szCs w:val="24"/>
        </w:rPr>
        <w:t xml:space="preserve"> Radiographic assessment plays a central role in risk prediction, with panoramic radiographs (OPG) revealing key indicators such as diversion of the mandibular canal, darkening or deflection of roots, narrowing or interruption of the canal’s cortical line, while cone-beam computed tomography (CBCT) provides precise three-dimensional localization, identifying loss of cortication and close proximity between third molar roots and the IAN. Additional clinical factors, including tooth angulation, depth of impaction, patient age, and surgical technique, further influence the likelihood of nerve injury.</w:t>
      </w:r>
      <w:r w:rsidR="001D48FD">
        <w:rPr>
          <w:sz w:val="24"/>
          <w:szCs w:val="24"/>
          <w:vertAlign w:val="superscript"/>
        </w:rPr>
        <w:t>5</w:t>
      </w:r>
      <w:r w:rsidRPr="005A038E">
        <w:rPr>
          <w:sz w:val="24"/>
          <w:szCs w:val="24"/>
        </w:rPr>
        <w:t xml:space="preserve"> </w:t>
      </w:r>
    </w:p>
    <w:p w14:paraId="3BDACBED" w14:textId="77777777" w:rsidR="00C41527" w:rsidRPr="00C41527" w:rsidRDefault="00C41527" w:rsidP="00C41527">
      <w:pPr>
        <w:rPr>
          <w:b/>
          <w:bCs/>
          <w:sz w:val="24"/>
          <w:szCs w:val="24"/>
        </w:rPr>
      </w:pPr>
      <w:r w:rsidRPr="00C41527">
        <w:rPr>
          <w:b/>
          <w:bCs/>
          <w:sz w:val="24"/>
          <w:szCs w:val="24"/>
        </w:rPr>
        <w:t>Anatomy of the Mandibular Nerve and Injury Types</w:t>
      </w:r>
    </w:p>
    <w:p w14:paraId="53CE1059" w14:textId="182ECEE4" w:rsidR="00C41527" w:rsidRPr="00C41527" w:rsidRDefault="00C41527" w:rsidP="00C41527">
      <w:pPr>
        <w:jc w:val="both"/>
        <w:rPr>
          <w:sz w:val="24"/>
          <w:szCs w:val="24"/>
          <w:vertAlign w:val="superscript"/>
        </w:rPr>
      </w:pPr>
      <w:r w:rsidRPr="00C41527">
        <w:rPr>
          <w:sz w:val="24"/>
          <w:szCs w:val="24"/>
        </w:rPr>
        <w:t xml:space="preserve">The mandibular nerve, specifically its inferior alveolar nerve (IAN) branch, originates from the mandibular division of the trigeminal nerve (cranial nerve V3) in the infratemporal fossa, traveling deep to the lateral pterygoid muscle and giving off the mylohyoid nerve, which supplies motor </w:t>
      </w:r>
      <w:proofErr w:type="spellStart"/>
      <w:r w:rsidRPr="00C41527">
        <w:rPr>
          <w:sz w:val="24"/>
          <w:szCs w:val="24"/>
        </w:rPr>
        <w:t>fibers</w:t>
      </w:r>
      <w:proofErr w:type="spellEnd"/>
      <w:r w:rsidRPr="00C41527">
        <w:rPr>
          <w:sz w:val="24"/>
          <w:szCs w:val="24"/>
        </w:rPr>
        <w:t xml:space="preserve"> to the mylohyoid muscle and anterior belly of the digastric, before entering the mandibular foramen.</w:t>
      </w:r>
      <w:r w:rsidR="001D48FD" w:rsidRPr="001D48FD">
        <w:rPr>
          <w:sz w:val="24"/>
          <w:szCs w:val="24"/>
          <w:vertAlign w:val="superscript"/>
        </w:rPr>
        <w:t>6</w:t>
      </w:r>
      <w:r w:rsidRPr="00C41527">
        <w:rPr>
          <w:sz w:val="24"/>
          <w:szCs w:val="24"/>
        </w:rPr>
        <w:t xml:space="preserve"> The IAN courses through the mandibular canal beneath the roots of mandibular teeth, providing sensory innervation to the mandibular molars, second premolar, and associated gingiva, and terminates by dividing into the incisive nerve, which innervates the anterior teeth and gingiva, and the mental nerve, exiting the mental foramen to supply the lower lip and chin. Anatomical variations such as bifid or trifid nerve branches, accessory foramina, and communications with the lingual nerve can affect both </w:t>
      </w:r>
      <w:proofErr w:type="spellStart"/>
      <w:r w:rsidRPr="00C41527">
        <w:rPr>
          <w:sz w:val="24"/>
          <w:szCs w:val="24"/>
        </w:rPr>
        <w:t>anesthesia</w:t>
      </w:r>
      <w:proofErr w:type="spellEnd"/>
      <w:r w:rsidRPr="00C41527">
        <w:rPr>
          <w:sz w:val="24"/>
          <w:szCs w:val="24"/>
        </w:rPr>
        <w:t xml:space="preserve"> efficacy and nerve injury risk.</w:t>
      </w:r>
      <w:r w:rsidR="001D48FD">
        <w:rPr>
          <w:sz w:val="24"/>
          <w:szCs w:val="24"/>
          <w:vertAlign w:val="superscript"/>
        </w:rPr>
        <w:t>7</w:t>
      </w:r>
      <w:r w:rsidRPr="00C41527">
        <w:rPr>
          <w:sz w:val="24"/>
          <w:szCs w:val="24"/>
        </w:rPr>
        <w:t xml:space="preserve"> The lingual nerve, another branch of V3, runs in close proximity to the IAN near the third molar region, supplying general sensation to the anterior two-thirds of the tongue, floor of the mouth, and lingual gingiva, and is particularly vulnerable during surgical extraction due to its anatomical course and potential accessory connections.</w:t>
      </w:r>
      <w:r w:rsidR="001D48FD">
        <w:rPr>
          <w:sz w:val="24"/>
          <w:szCs w:val="24"/>
          <w:vertAlign w:val="superscript"/>
        </w:rPr>
        <w:t>8</w:t>
      </w:r>
      <w:r w:rsidRPr="00C41527">
        <w:rPr>
          <w:sz w:val="24"/>
          <w:szCs w:val="24"/>
        </w:rPr>
        <w:t xml:space="preserve"> Variations, including high bifurcations, accessory canals, and connecting branches between the IAN and lingual nerve, may further increase the likelihood of unexpected nerve injury or </w:t>
      </w:r>
      <w:proofErr w:type="spellStart"/>
      <w:r w:rsidRPr="00C41527">
        <w:rPr>
          <w:sz w:val="24"/>
          <w:szCs w:val="24"/>
        </w:rPr>
        <w:t>anesthetic</w:t>
      </w:r>
      <w:proofErr w:type="spellEnd"/>
      <w:r w:rsidRPr="00C41527">
        <w:rPr>
          <w:sz w:val="24"/>
          <w:szCs w:val="24"/>
        </w:rPr>
        <w:t xml:space="preserve"> failure. Mandibular nerve injuries are generally classified as temporary or permanent, with temporary injuries resolving over weeks to months and permanent injuries causing lasting sensory deficits; they can also be sensory or motor, though motor involvement is usually limited to the mylohyoid branch.</w:t>
      </w:r>
      <w:r w:rsidR="001D48FD">
        <w:rPr>
          <w:sz w:val="24"/>
          <w:szCs w:val="24"/>
          <w:vertAlign w:val="superscript"/>
        </w:rPr>
        <w:t>9</w:t>
      </w:r>
      <w:r w:rsidRPr="00C41527">
        <w:rPr>
          <w:sz w:val="24"/>
          <w:szCs w:val="24"/>
        </w:rPr>
        <w:t xml:space="preserve"> Mechanisms of injury include compression from hematoma or </w:t>
      </w:r>
      <w:proofErr w:type="spellStart"/>
      <w:r w:rsidRPr="00C41527">
        <w:rPr>
          <w:sz w:val="24"/>
          <w:szCs w:val="24"/>
        </w:rPr>
        <w:t>edema</w:t>
      </w:r>
      <w:proofErr w:type="spellEnd"/>
      <w:r w:rsidRPr="00C41527">
        <w:rPr>
          <w:sz w:val="24"/>
          <w:szCs w:val="24"/>
        </w:rPr>
        <w:t>, excessive traction causing stretching, direct transection during surgery, and thermal injury from instrumentation or bone cutting. A thorough understanding of these anatomical details and injury mechanisms is essential for surgical planning and for minimizing the risk of nerve damage during third molar extraction.</w:t>
      </w:r>
      <w:r w:rsidR="001D48FD">
        <w:rPr>
          <w:sz w:val="24"/>
          <w:szCs w:val="24"/>
          <w:vertAlign w:val="superscript"/>
        </w:rPr>
        <w:t>10</w:t>
      </w:r>
    </w:p>
    <w:p w14:paraId="32451941" w14:textId="77777777" w:rsidR="00C41527" w:rsidRPr="00C41527" w:rsidRDefault="00C41527" w:rsidP="00C41527">
      <w:pPr>
        <w:rPr>
          <w:b/>
          <w:bCs/>
          <w:sz w:val="24"/>
          <w:szCs w:val="24"/>
        </w:rPr>
      </w:pPr>
      <w:r w:rsidRPr="00C41527">
        <w:rPr>
          <w:b/>
          <w:bCs/>
          <w:sz w:val="24"/>
          <w:szCs w:val="24"/>
        </w:rPr>
        <w:t>Clinical Predictive Markers for Mandibular Nerve Injury in Third Molar Surgery</w:t>
      </w:r>
    </w:p>
    <w:p w14:paraId="1FE6A4D0" w14:textId="3D4F4606" w:rsidR="00C41527" w:rsidRPr="00C41527" w:rsidRDefault="00C41527" w:rsidP="00C41527">
      <w:pPr>
        <w:jc w:val="both"/>
        <w:rPr>
          <w:sz w:val="24"/>
          <w:szCs w:val="24"/>
          <w:vertAlign w:val="superscript"/>
        </w:rPr>
      </w:pPr>
      <w:r w:rsidRPr="00C41527">
        <w:rPr>
          <w:sz w:val="24"/>
          <w:szCs w:val="24"/>
        </w:rPr>
        <w:t>Patient-specific factors such as age and sex are well-recognized predictors of mandibular nerve injury (MNI) during third molar extraction. Increased age, particularly beyond 25 years, is associated with higher risk due to factors such as greater bone density, reduced bone elasticity, and diminished nerve regenerative capacity, which may result in slower or incomplete recovery.</w:t>
      </w:r>
      <w:r w:rsidR="00FA7085">
        <w:rPr>
          <w:sz w:val="24"/>
          <w:szCs w:val="24"/>
          <w:vertAlign w:val="superscript"/>
        </w:rPr>
        <w:t>11</w:t>
      </w:r>
      <w:r w:rsidRPr="00C41527">
        <w:rPr>
          <w:sz w:val="24"/>
          <w:szCs w:val="24"/>
        </w:rPr>
        <w:t xml:space="preserve"> Sex also plays a role, with male patients exhibiting slightly higher incidence of nerve injuries, possibly linked to denser bone and more challenging surgical </w:t>
      </w:r>
      <w:r w:rsidRPr="00C41527">
        <w:rPr>
          <w:sz w:val="24"/>
          <w:szCs w:val="24"/>
        </w:rPr>
        <w:lastRenderedPageBreak/>
        <w:t>access, whereas some studies suggest younger patients are more prone to temporary injuries and females may have a higher risk of permanent deficits.</w:t>
      </w:r>
      <w:r w:rsidR="00D911C2">
        <w:rPr>
          <w:sz w:val="24"/>
          <w:szCs w:val="24"/>
          <w:vertAlign w:val="superscript"/>
        </w:rPr>
        <w:t>12</w:t>
      </w:r>
      <w:r w:rsidRPr="00C41527">
        <w:rPr>
          <w:sz w:val="24"/>
          <w:szCs w:val="24"/>
        </w:rPr>
        <w:t xml:space="preserve"> Tooth-related factors, including position and impaction type, significantly influence nerve injury risk. </w:t>
      </w:r>
      <w:proofErr w:type="spellStart"/>
      <w:r w:rsidRPr="00C41527">
        <w:rPr>
          <w:sz w:val="24"/>
          <w:szCs w:val="24"/>
        </w:rPr>
        <w:t>Mesioangular</w:t>
      </w:r>
      <w:proofErr w:type="spellEnd"/>
      <w:r w:rsidRPr="00C41527">
        <w:rPr>
          <w:sz w:val="24"/>
          <w:szCs w:val="24"/>
        </w:rPr>
        <w:t xml:space="preserve"> impactions are most commonly associated with close proximity to the inferior alveolar nerve (IAN), followed by horizontal impactions, whereas vertical impactions generally pose a lower risk.</w:t>
      </w:r>
      <w:r w:rsidR="00D911C2">
        <w:rPr>
          <w:sz w:val="24"/>
          <w:szCs w:val="24"/>
          <w:vertAlign w:val="superscript"/>
        </w:rPr>
        <w:t>13</w:t>
      </w:r>
      <w:r w:rsidRPr="00C41527">
        <w:rPr>
          <w:sz w:val="24"/>
          <w:szCs w:val="24"/>
        </w:rPr>
        <w:t xml:space="preserve"> Deeply impacted teeth, classified as Pell &amp; Gregory Class C, which are in close contact with the mandibular canal, further elevate the likelihood of nerve involvement. Additionally, a history of pericoronitis or recurrent infection can lead to local inflammation and fibrosis around the nerve, complicating surgery and obscuring radiographic landmarks, thereby increasing injury risk.</w:t>
      </w:r>
      <w:r w:rsidR="00D911C2">
        <w:rPr>
          <w:sz w:val="24"/>
          <w:szCs w:val="24"/>
          <w:vertAlign w:val="superscript"/>
        </w:rPr>
        <w:t>14</w:t>
      </w:r>
      <w:r w:rsidRPr="00C41527">
        <w:rPr>
          <w:sz w:val="24"/>
          <w:szCs w:val="24"/>
        </w:rPr>
        <w:t xml:space="preserve"> Collectively, these clinical markers</w:t>
      </w:r>
      <w:r w:rsidR="00D911C2">
        <w:rPr>
          <w:sz w:val="24"/>
          <w:szCs w:val="24"/>
        </w:rPr>
        <w:t xml:space="preserve"> </w:t>
      </w:r>
      <w:r w:rsidRPr="00C41527">
        <w:rPr>
          <w:sz w:val="24"/>
          <w:szCs w:val="24"/>
        </w:rPr>
        <w:t>advanced age, male sex, specific impaction angulations, deeper tooth position, and prior pericoronitis</w:t>
      </w:r>
      <w:r w:rsidR="00D911C2">
        <w:rPr>
          <w:sz w:val="24"/>
          <w:szCs w:val="24"/>
        </w:rPr>
        <w:t xml:space="preserve"> </w:t>
      </w:r>
      <w:r w:rsidRPr="00C41527">
        <w:rPr>
          <w:sz w:val="24"/>
          <w:szCs w:val="24"/>
        </w:rPr>
        <w:t>serve as important indicators for preoperative risk assessment and surgical planning to minimize mandibular nerve injury during third molar extraction.</w:t>
      </w:r>
      <w:r w:rsidR="00D911C2">
        <w:rPr>
          <w:sz w:val="24"/>
          <w:szCs w:val="24"/>
          <w:vertAlign w:val="superscript"/>
        </w:rPr>
        <w:t>15</w:t>
      </w:r>
    </w:p>
    <w:p w14:paraId="37562EA1" w14:textId="77777777" w:rsidR="006009B7" w:rsidRPr="006009B7" w:rsidRDefault="006009B7" w:rsidP="006009B7">
      <w:pPr>
        <w:rPr>
          <w:b/>
          <w:bCs/>
          <w:sz w:val="24"/>
          <w:szCs w:val="24"/>
        </w:rPr>
      </w:pPr>
      <w:r w:rsidRPr="006009B7">
        <w:rPr>
          <w:b/>
          <w:bCs/>
          <w:sz w:val="24"/>
          <w:szCs w:val="24"/>
        </w:rPr>
        <w:t>Table 1. Clinical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2"/>
        <w:gridCol w:w="3755"/>
        <w:gridCol w:w="2599"/>
      </w:tblGrid>
      <w:tr w:rsidR="006009B7" w:rsidRPr="006009B7" w14:paraId="7AA87FCC" w14:textId="77777777" w:rsidTr="006009B7">
        <w:trPr>
          <w:tblHeader/>
          <w:tblCellSpacing w:w="15" w:type="dxa"/>
        </w:trPr>
        <w:tc>
          <w:tcPr>
            <w:tcW w:w="0" w:type="auto"/>
            <w:vAlign w:val="center"/>
            <w:hideMark/>
          </w:tcPr>
          <w:p w14:paraId="0047A0F9" w14:textId="77777777" w:rsidR="006009B7" w:rsidRPr="006009B7" w:rsidRDefault="006009B7" w:rsidP="006009B7">
            <w:pPr>
              <w:rPr>
                <w:b/>
                <w:bCs/>
                <w:sz w:val="24"/>
                <w:szCs w:val="24"/>
              </w:rPr>
            </w:pPr>
            <w:r w:rsidRPr="006009B7">
              <w:rPr>
                <w:b/>
                <w:bCs/>
                <w:sz w:val="24"/>
                <w:szCs w:val="24"/>
              </w:rPr>
              <w:t>Predictive Marker</w:t>
            </w:r>
          </w:p>
        </w:tc>
        <w:tc>
          <w:tcPr>
            <w:tcW w:w="0" w:type="auto"/>
            <w:vAlign w:val="center"/>
            <w:hideMark/>
          </w:tcPr>
          <w:p w14:paraId="56F712B3" w14:textId="77777777" w:rsidR="006009B7" w:rsidRPr="006009B7" w:rsidRDefault="006009B7" w:rsidP="006009B7">
            <w:pPr>
              <w:rPr>
                <w:b/>
                <w:bCs/>
                <w:sz w:val="24"/>
                <w:szCs w:val="24"/>
              </w:rPr>
            </w:pPr>
            <w:r w:rsidRPr="006009B7">
              <w:rPr>
                <w:b/>
                <w:bCs/>
                <w:sz w:val="24"/>
                <w:szCs w:val="24"/>
              </w:rPr>
              <w:t>Description</w:t>
            </w:r>
          </w:p>
        </w:tc>
        <w:tc>
          <w:tcPr>
            <w:tcW w:w="0" w:type="auto"/>
            <w:vAlign w:val="center"/>
            <w:hideMark/>
          </w:tcPr>
          <w:p w14:paraId="5F95373E" w14:textId="77777777" w:rsidR="006009B7" w:rsidRPr="006009B7" w:rsidRDefault="006009B7" w:rsidP="006009B7">
            <w:pPr>
              <w:rPr>
                <w:b/>
                <w:bCs/>
                <w:sz w:val="24"/>
                <w:szCs w:val="24"/>
              </w:rPr>
            </w:pPr>
            <w:r w:rsidRPr="006009B7">
              <w:rPr>
                <w:b/>
                <w:bCs/>
                <w:sz w:val="24"/>
                <w:szCs w:val="24"/>
              </w:rPr>
              <w:t>Clinical Implication</w:t>
            </w:r>
          </w:p>
        </w:tc>
      </w:tr>
      <w:tr w:rsidR="006009B7" w:rsidRPr="006009B7" w14:paraId="1188ACD5" w14:textId="77777777" w:rsidTr="006009B7">
        <w:trPr>
          <w:tblCellSpacing w:w="15" w:type="dxa"/>
        </w:trPr>
        <w:tc>
          <w:tcPr>
            <w:tcW w:w="0" w:type="auto"/>
            <w:vAlign w:val="center"/>
            <w:hideMark/>
          </w:tcPr>
          <w:p w14:paraId="2D3BBA1C" w14:textId="77777777" w:rsidR="006009B7" w:rsidRPr="006009B7" w:rsidRDefault="006009B7" w:rsidP="006009B7">
            <w:pPr>
              <w:rPr>
                <w:sz w:val="24"/>
                <w:szCs w:val="24"/>
              </w:rPr>
            </w:pPr>
            <w:r w:rsidRPr="006009B7">
              <w:rPr>
                <w:b/>
                <w:bCs/>
                <w:sz w:val="24"/>
                <w:szCs w:val="24"/>
              </w:rPr>
              <w:t>Age</w:t>
            </w:r>
          </w:p>
        </w:tc>
        <w:tc>
          <w:tcPr>
            <w:tcW w:w="0" w:type="auto"/>
            <w:vAlign w:val="center"/>
            <w:hideMark/>
          </w:tcPr>
          <w:p w14:paraId="675F8788" w14:textId="77777777" w:rsidR="006009B7" w:rsidRPr="006009B7" w:rsidRDefault="006009B7" w:rsidP="006009B7">
            <w:pPr>
              <w:rPr>
                <w:sz w:val="24"/>
                <w:szCs w:val="24"/>
              </w:rPr>
            </w:pPr>
            <w:r w:rsidRPr="006009B7">
              <w:rPr>
                <w:sz w:val="24"/>
                <w:szCs w:val="24"/>
              </w:rPr>
              <w:t>Risk increases with age &gt;25 years due to higher bone density, reduced elasticity, and slower nerve regeneration.</w:t>
            </w:r>
          </w:p>
        </w:tc>
        <w:tc>
          <w:tcPr>
            <w:tcW w:w="0" w:type="auto"/>
            <w:vAlign w:val="center"/>
            <w:hideMark/>
          </w:tcPr>
          <w:p w14:paraId="56DF518F" w14:textId="77777777" w:rsidR="006009B7" w:rsidRPr="006009B7" w:rsidRDefault="006009B7" w:rsidP="006009B7">
            <w:pPr>
              <w:rPr>
                <w:sz w:val="24"/>
                <w:szCs w:val="24"/>
              </w:rPr>
            </w:pPr>
            <w:r w:rsidRPr="006009B7">
              <w:rPr>
                <w:sz w:val="24"/>
                <w:szCs w:val="24"/>
              </w:rPr>
              <w:t>Older patients more prone to severe or persistent nerve deficits.</w:t>
            </w:r>
          </w:p>
        </w:tc>
      </w:tr>
      <w:tr w:rsidR="006009B7" w:rsidRPr="006009B7" w14:paraId="5DAD60F6" w14:textId="77777777" w:rsidTr="006009B7">
        <w:trPr>
          <w:tblCellSpacing w:w="15" w:type="dxa"/>
        </w:trPr>
        <w:tc>
          <w:tcPr>
            <w:tcW w:w="0" w:type="auto"/>
            <w:vAlign w:val="center"/>
            <w:hideMark/>
          </w:tcPr>
          <w:p w14:paraId="435B2173" w14:textId="77777777" w:rsidR="006009B7" w:rsidRPr="006009B7" w:rsidRDefault="006009B7" w:rsidP="006009B7">
            <w:pPr>
              <w:rPr>
                <w:sz w:val="24"/>
                <w:szCs w:val="24"/>
              </w:rPr>
            </w:pPr>
            <w:r w:rsidRPr="006009B7">
              <w:rPr>
                <w:b/>
                <w:bCs/>
                <w:sz w:val="24"/>
                <w:szCs w:val="24"/>
              </w:rPr>
              <w:t>Sex</w:t>
            </w:r>
          </w:p>
        </w:tc>
        <w:tc>
          <w:tcPr>
            <w:tcW w:w="0" w:type="auto"/>
            <w:vAlign w:val="center"/>
            <w:hideMark/>
          </w:tcPr>
          <w:p w14:paraId="1A1F09DA" w14:textId="77777777" w:rsidR="006009B7" w:rsidRPr="006009B7" w:rsidRDefault="006009B7" w:rsidP="006009B7">
            <w:pPr>
              <w:rPr>
                <w:sz w:val="24"/>
                <w:szCs w:val="24"/>
              </w:rPr>
            </w:pPr>
            <w:r w:rsidRPr="006009B7">
              <w:rPr>
                <w:sz w:val="24"/>
                <w:szCs w:val="24"/>
              </w:rPr>
              <w:t>Males may have higher incidence due to denser bone; females may be prone to permanent deficits.</w:t>
            </w:r>
          </w:p>
        </w:tc>
        <w:tc>
          <w:tcPr>
            <w:tcW w:w="0" w:type="auto"/>
            <w:vAlign w:val="center"/>
            <w:hideMark/>
          </w:tcPr>
          <w:p w14:paraId="33C9B834" w14:textId="77777777" w:rsidR="006009B7" w:rsidRPr="006009B7" w:rsidRDefault="006009B7" w:rsidP="006009B7">
            <w:pPr>
              <w:rPr>
                <w:sz w:val="24"/>
                <w:szCs w:val="24"/>
              </w:rPr>
            </w:pPr>
            <w:r w:rsidRPr="006009B7">
              <w:rPr>
                <w:sz w:val="24"/>
                <w:szCs w:val="24"/>
              </w:rPr>
              <w:t>Guides surgical caution based on demographic patterns.</w:t>
            </w:r>
          </w:p>
        </w:tc>
      </w:tr>
      <w:tr w:rsidR="006009B7" w:rsidRPr="006009B7" w14:paraId="0BC3C373" w14:textId="77777777" w:rsidTr="006009B7">
        <w:trPr>
          <w:tblCellSpacing w:w="15" w:type="dxa"/>
        </w:trPr>
        <w:tc>
          <w:tcPr>
            <w:tcW w:w="0" w:type="auto"/>
            <w:vAlign w:val="center"/>
            <w:hideMark/>
          </w:tcPr>
          <w:p w14:paraId="5F6DA584" w14:textId="77777777" w:rsidR="006009B7" w:rsidRPr="006009B7" w:rsidRDefault="006009B7" w:rsidP="006009B7">
            <w:pPr>
              <w:rPr>
                <w:sz w:val="24"/>
                <w:szCs w:val="24"/>
              </w:rPr>
            </w:pPr>
            <w:r w:rsidRPr="006009B7">
              <w:rPr>
                <w:b/>
                <w:bCs/>
                <w:sz w:val="24"/>
                <w:szCs w:val="24"/>
              </w:rPr>
              <w:t>Tooth Angulation/Position</w:t>
            </w:r>
          </w:p>
        </w:tc>
        <w:tc>
          <w:tcPr>
            <w:tcW w:w="0" w:type="auto"/>
            <w:vAlign w:val="center"/>
            <w:hideMark/>
          </w:tcPr>
          <w:p w14:paraId="0C73A53A" w14:textId="77777777" w:rsidR="006009B7" w:rsidRPr="006009B7" w:rsidRDefault="006009B7" w:rsidP="006009B7">
            <w:pPr>
              <w:rPr>
                <w:sz w:val="24"/>
                <w:szCs w:val="24"/>
              </w:rPr>
            </w:pPr>
            <w:proofErr w:type="spellStart"/>
            <w:r w:rsidRPr="006009B7">
              <w:rPr>
                <w:sz w:val="24"/>
                <w:szCs w:val="24"/>
              </w:rPr>
              <w:t>Mesioangular</w:t>
            </w:r>
            <w:proofErr w:type="spellEnd"/>
            <w:r w:rsidRPr="006009B7">
              <w:rPr>
                <w:sz w:val="24"/>
                <w:szCs w:val="24"/>
              </w:rPr>
              <w:t xml:space="preserve"> and horizontal impactions show higher proximity to IAN; vertical impactions pose lower risk.</w:t>
            </w:r>
          </w:p>
        </w:tc>
        <w:tc>
          <w:tcPr>
            <w:tcW w:w="0" w:type="auto"/>
            <w:vAlign w:val="center"/>
            <w:hideMark/>
          </w:tcPr>
          <w:p w14:paraId="4B96679A" w14:textId="77777777" w:rsidR="006009B7" w:rsidRPr="006009B7" w:rsidRDefault="006009B7" w:rsidP="006009B7">
            <w:pPr>
              <w:rPr>
                <w:sz w:val="24"/>
                <w:szCs w:val="24"/>
              </w:rPr>
            </w:pPr>
            <w:r w:rsidRPr="006009B7">
              <w:rPr>
                <w:sz w:val="24"/>
                <w:szCs w:val="24"/>
              </w:rPr>
              <w:t>Identifies high-risk impaction types for surgical planning.</w:t>
            </w:r>
          </w:p>
        </w:tc>
      </w:tr>
      <w:tr w:rsidR="006009B7" w:rsidRPr="006009B7" w14:paraId="4D6D305C" w14:textId="77777777" w:rsidTr="006009B7">
        <w:trPr>
          <w:tblCellSpacing w:w="15" w:type="dxa"/>
        </w:trPr>
        <w:tc>
          <w:tcPr>
            <w:tcW w:w="0" w:type="auto"/>
            <w:vAlign w:val="center"/>
            <w:hideMark/>
          </w:tcPr>
          <w:p w14:paraId="702DC833" w14:textId="77777777" w:rsidR="006009B7" w:rsidRPr="006009B7" w:rsidRDefault="006009B7" w:rsidP="006009B7">
            <w:pPr>
              <w:rPr>
                <w:sz w:val="24"/>
                <w:szCs w:val="24"/>
              </w:rPr>
            </w:pPr>
            <w:r w:rsidRPr="006009B7">
              <w:rPr>
                <w:b/>
                <w:bCs/>
                <w:sz w:val="24"/>
                <w:szCs w:val="24"/>
              </w:rPr>
              <w:t>Depth of Impaction (Pell &amp; Gregory Class C)</w:t>
            </w:r>
          </w:p>
        </w:tc>
        <w:tc>
          <w:tcPr>
            <w:tcW w:w="0" w:type="auto"/>
            <w:vAlign w:val="center"/>
            <w:hideMark/>
          </w:tcPr>
          <w:p w14:paraId="276639ED" w14:textId="77777777" w:rsidR="006009B7" w:rsidRPr="006009B7" w:rsidRDefault="006009B7" w:rsidP="006009B7">
            <w:pPr>
              <w:rPr>
                <w:sz w:val="24"/>
                <w:szCs w:val="24"/>
              </w:rPr>
            </w:pPr>
            <w:r w:rsidRPr="006009B7">
              <w:rPr>
                <w:sz w:val="24"/>
                <w:szCs w:val="24"/>
              </w:rPr>
              <w:t>Deeply impacted teeth close to mandibular canal increase risk.</w:t>
            </w:r>
          </w:p>
        </w:tc>
        <w:tc>
          <w:tcPr>
            <w:tcW w:w="0" w:type="auto"/>
            <w:vAlign w:val="center"/>
            <w:hideMark/>
          </w:tcPr>
          <w:p w14:paraId="17C8F412" w14:textId="77777777" w:rsidR="006009B7" w:rsidRPr="006009B7" w:rsidRDefault="006009B7" w:rsidP="006009B7">
            <w:pPr>
              <w:rPr>
                <w:sz w:val="24"/>
                <w:szCs w:val="24"/>
              </w:rPr>
            </w:pPr>
            <w:r w:rsidRPr="006009B7">
              <w:rPr>
                <w:sz w:val="24"/>
                <w:szCs w:val="24"/>
              </w:rPr>
              <w:t>Indicates need for advanced imaging or modified technique.</w:t>
            </w:r>
          </w:p>
        </w:tc>
      </w:tr>
      <w:tr w:rsidR="006009B7" w:rsidRPr="006009B7" w14:paraId="6352E8AA" w14:textId="77777777" w:rsidTr="006009B7">
        <w:trPr>
          <w:tblCellSpacing w:w="15" w:type="dxa"/>
        </w:trPr>
        <w:tc>
          <w:tcPr>
            <w:tcW w:w="0" w:type="auto"/>
            <w:vAlign w:val="center"/>
            <w:hideMark/>
          </w:tcPr>
          <w:p w14:paraId="70E506BF" w14:textId="77777777" w:rsidR="006009B7" w:rsidRPr="006009B7" w:rsidRDefault="006009B7" w:rsidP="006009B7">
            <w:pPr>
              <w:rPr>
                <w:sz w:val="24"/>
                <w:szCs w:val="24"/>
              </w:rPr>
            </w:pPr>
            <w:r w:rsidRPr="006009B7">
              <w:rPr>
                <w:b/>
                <w:bCs/>
                <w:sz w:val="24"/>
                <w:szCs w:val="24"/>
              </w:rPr>
              <w:t>History of Pericoronitis or Infection</w:t>
            </w:r>
          </w:p>
        </w:tc>
        <w:tc>
          <w:tcPr>
            <w:tcW w:w="0" w:type="auto"/>
            <w:vAlign w:val="center"/>
            <w:hideMark/>
          </w:tcPr>
          <w:p w14:paraId="1D40B89D" w14:textId="77777777" w:rsidR="006009B7" w:rsidRPr="006009B7" w:rsidRDefault="006009B7" w:rsidP="006009B7">
            <w:pPr>
              <w:rPr>
                <w:sz w:val="24"/>
                <w:szCs w:val="24"/>
              </w:rPr>
            </w:pPr>
            <w:r w:rsidRPr="006009B7">
              <w:rPr>
                <w:sz w:val="24"/>
                <w:szCs w:val="24"/>
              </w:rPr>
              <w:t>Local fibrosis and inflammation obscure landmarks and complicate extraction.</w:t>
            </w:r>
          </w:p>
        </w:tc>
        <w:tc>
          <w:tcPr>
            <w:tcW w:w="0" w:type="auto"/>
            <w:vAlign w:val="center"/>
            <w:hideMark/>
          </w:tcPr>
          <w:p w14:paraId="56F70FD0" w14:textId="77777777" w:rsidR="006009B7" w:rsidRPr="006009B7" w:rsidRDefault="006009B7" w:rsidP="006009B7">
            <w:pPr>
              <w:rPr>
                <w:sz w:val="24"/>
                <w:szCs w:val="24"/>
              </w:rPr>
            </w:pPr>
            <w:r w:rsidRPr="006009B7">
              <w:rPr>
                <w:sz w:val="24"/>
                <w:szCs w:val="24"/>
              </w:rPr>
              <w:t>Higher risk of nerve damage due to distorted anatomy.</w:t>
            </w:r>
          </w:p>
        </w:tc>
      </w:tr>
    </w:tbl>
    <w:p w14:paraId="39A700F1" w14:textId="77777777" w:rsidR="006009B7" w:rsidRPr="006009B7" w:rsidRDefault="006009B7" w:rsidP="00C41527">
      <w:pPr>
        <w:rPr>
          <w:sz w:val="24"/>
          <w:szCs w:val="24"/>
        </w:rPr>
      </w:pPr>
    </w:p>
    <w:p w14:paraId="1EEED2F7" w14:textId="50A3DECB" w:rsidR="00C41527" w:rsidRPr="00C41527" w:rsidRDefault="00C41527" w:rsidP="00C41527">
      <w:pPr>
        <w:rPr>
          <w:b/>
          <w:bCs/>
          <w:sz w:val="24"/>
          <w:szCs w:val="24"/>
        </w:rPr>
      </w:pPr>
      <w:r w:rsidRPr="00C41527">
        <w:rPr>
          <w:b/>
          <w:bCs/>
          <w:sz w:val="24"/>
          <w:szCs w:val="24"/>
        </w:rPr>
        <w:t>Radiographic Predictive Markers for Mandibular Nerve Injury in Third Molar Surgery</w:t>
      </w:r>
    </w:p>
    <w:p w14:paraId="4B2021BA" w14:textId="01B53927" w:rsidR="00C41527" w:rsidRPr="00D911C2" w:rsidRDefault="00C41527" w:rsidP="00C41527">
      <w:pPr>
        <w:jc w:val="both"/>
        <w:rPr>
          <w:sz w:val="24"/>
          <w:szCs w:val="24"/>
          <w:vertAlign w:val="superscript"/>
        </w:rPr>
      </w:pPr>
      <w:r w:rsidRPr="00C41527">
        <w:rPr>
          <w:sz w:val="24"/>
          <w:szCs w:val="24"/>
        </w:rPr>
        <w:t>Radiographic evaluation plays a central role in predicting the risk of mandibular nerve injury (MNI) during third molar extraction.</w:t>
      </w:r>
      <w:r w:rsidR="00D911C2">
        <w:rPr>
          <w:sz w:val="24"/>
          <w:szCs w:val="24"/>
          <w:vertAlign w:val="superscript"/>
        </w:rPr>
        <w:t>16</w:t>
      </w:r>
      <w:r w:rsidRPr="00C41527">
        <w:rPr>
          <w:sz w:val="24"/>
          <w:szCs w:val="24"/>
        </w:rPr>
        <w:t xml:space="preserve"> Panoramic radiographs (OPG) serve as an initial screening tool, with several key indicators correlating with increased nerve injury risk. </w:t>
      </w:r>
      <w:r w:rsidRPr="00C41527">
        <w:rPr>
          <w:sz w:val="24"/>
          <w:szCs w:val="24"/>
        </w:rPr>
        <w:lastRenderedPageBreak/>
        <w:t>Darkening of roots, suggesting close proximity or contact with the inferior alveolar nerve (IAN) canal, diversion or deflection of the canal path near the root, narrowing of the canal, and interruption of the cortical border are all associated with higher likelihood of nerve exposure or injury.</w:t>
      </w:r>
      <w:r w:rsidR="00D911C2">
        <w:rPr>
          <w:sz w:val="24"/>
          <w:szCs w:val="24"/>
          <w:vertAlign w:val="superscript"/>
        </w:rPr>
        <w:t>17</w:t>
      </w:r>
      <w:r w:rsidRPr="00C41527">
        <w:rPr>
          <w:sz w:val="24"/>
          <w:szCs w:val="24"/>
        </w:rPr>
        <w:t xml:space="preserve"> Cone-beam computed tomography (CBCT) further enhances predictive accuracy by providing three-dimensional, high-resolution visualization of the spatial relationship between the third molar roots and the IAN.</w:t>
      </w:r>
      <w:r w:rsidR="00D911C2" w:rsidRPr="00D911C2">
        <w:rPr>
          <w:sz w:val="24"/>
          <w:szCs w:val="24"/>
          <w:vertAlign w:val="superscript"/>
        </w:rPr>
        <w:t>18</w:t>
      </w:r>
      <w:r w:rsidRPr="00C41527">
        <w:rPr>
          <w:sz w:val="24"/>
          <w:szCs w:val="24"/>
        </w:rPr>
        <w:t xml:space="preserve"> CBCT allows detailed assessment of buccolingual proximity, root morphology, presence of accessory canals, and cortical integrity around the nerve canal, confirming and refining the risk indicated by panoramic findings. Direct contact between the root apex and mandibular canal, or minimal residual bone thickness (&lt;1 mm), strongly predicts nerve injury.</w:t>
      </w:r>
      <w:r w:rsidR="00D911C2">
        <w:rPr>
          <w:sz w:val="24"/>
          <w:szCs w:val="24"/>
          <w:vertAlign w:val="superscript"/>
        </w:rPr>
        <w:t>19</w:t>
      </w:r>
      <w:r w:rsidRPr="00C41527">
        <w:rPr>
          <w:sz w:val="24"/>
          <w:szCs w:val="24"/>
        </w:rPr>
        <w:t xml:space="preserve"> Together, panoramic radiography and CBCT provide complementary information, enabling precise preoperative risk stratification and informed surgical planning to minimize the incidence of inferior alveolar nerve injury.</w:t>
      </w:r>
      <w:r w:rsidR="00D911C2">
        <w:rPr>
          <w:sz w:val="24"/>
          <w:szCs w:val="24"/>
          <w:vertAlign w:val="superscript"/>
        </w:rPr>
        <w:t>20</w:t>
      </w:r>
    </w:p>
    <w:p w14:paraId="7B65F8A3" w14:textId="77777777" w:rsidR="006009B7" w:rsidRPr="006009B7" w:rsidRDefault="006009B7" w:rsidP="006009B7">
      <w:pPr>
        <w:jc w:val="both"/>
        <w:rPr>
          <w:b/>
          <w:bCs/>
          <w:sz w:val="24"/>
          <w:szCs w:val="24"/>
        </w:rPr>
      </w:pPr>
      <w:r w:rsidRPr="006009B7">
        <w:rPr>
          <w:b/>
          <w:bCs/>
          <w:sz w:val="24"/>
          <w:szCs w:val="24"/>
        </w:rPr>
        <w:t>Table 2. Radiographic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220"/>
        <w:gridCol w:w="3035"/>
        <w:gridCol w:w="2456"/>
      </w:tblGrid>
      <w:tr w:rsidR="006009B7" w:rsidRPr="006009B7" w14:paraId="68AA07C6" w14:textId="77777777" w:rsidTr="006009B7">
        <w:trPr>
          <w:tblHeader/>
          <w:tblCellSpacing w:w="15" w:type="dxa"/>
        </w:trPr>
        <w:tc>
          <w:tcPr>
            <w:tcW w:w="0" w:type="auto"/>
            <w:vAlign w:val="center"/>
            <w:hideMark/>
          </w:tcPr>
          <w:p w14:paraId="12007922" w14:textId="77777777" w:rsidR="006009B7" w:rsidRPr="006009B7" w:rsidRDefault="006009B7" w:rsidP="006009B7">
            <w:pPr>
              <w:jc w:val="both"/>
              <w:rPr>
                <w:b/>
                <w:bCs/>
                <w:sz w:val="24"/>
                <w:szCs w:val="24"/>
              </w:rPr>
            </w:pPr>
            <w:r w:rsidRPr="006009B7">
              <w:rPr>
                <w:b/>
                <w:bCs/>
                <w:sz w:val="24"/>
                <w:szCs w:val="24"/>
              </w:rPr>
              <w:t>Radiographic Feature</w:t>
            </w:r>
          </w:p>
        </w:tc>
        <w:tc>
          <w:tcPr>
            <w:tcW w:w="0" w:type="auto"/>
            <w:vAlign w:val="center"/>
            <w:hideMark/>
          </w:tcPr>
          <w:p w14:paraId="3733C0D4" w14:textId="77777777" w:rsidR="006009B7" w:rsidRPr="006009B7" w:rsidRDefault="006009B7" w:rsidP="006009B7">
            <w:pPr>
              <w:jc w:val="both"/>
              <w:rPr>
                <w:b/>
                <w:bCs/>
                <w:sz w:val="24"/>
                <w:szCs w:val="24"/>
              </w:rPr>
            </w:pPr>
            <w:r w:rsidRPr="006009B7">
              <w:rPr>
                <w:b/>
                <w:bCs/>
                <w:sz w:val="24"/>
                <w:szCs w:val="24"/>
              </w:rPr>
              <w:t>Imaging Modality</w:t>
            </w:r>
          </w:p>
        </w:tc>
        <w:tc>
          <w:tcPr>
            <w:tcW w:w="0" w:type="auto"/>
            <w:vAlign w:val="center"/>
            <w:hideMark/>
          </w:tcPr>
          <w:p w14:paraId="577956B0" w14:textId="77777777" w:rsidR="006009B7" w:rsidRPr="006009B7" w:rsidRDefault="006009B7" w:rsidP="006009B7">
            <w:pPr>
              <w:jc w:val="both"/>
              <w:rPr>
                <w:b/>
                <w:bCs/>
                <w:sz w:val="24"/>
                <w:szCs w:val="24"/>
              </w:rPr>
            </w:pPr>
            <w:r w:rsidRPr="006009B7">
              <w:rPr>
                <w:b/>
                <w:bCs/>
                <w:sz w:val="24"/>
                <w:szCs w:val="24"/>
              </w:rPr>
              <w:t>Predictive Finding</w:t>
            </w:r>
          </w:p>
        </w:tc>
        <w:tc>
          <w:tcPr>
            <w:tcW w:w="0" w:type="auto"/>
            <w:vAlign w:val="center"/>
            <w:hideMark/>
          </w:tcPr>
          <w:p w14:paraId="64FF7753" w14:textId="77777777" w:rsidR="006009B7" w:rsidRPr="006009B7" w:rsidRDefault="006009B7" w:rsidP="006009B7">
            <w:pPr>
              <w:jc w:val="both"/>
              <w:rPr>
                <w:b/>
                <w:bCs/>
                <w:sz w:val="24"/>
                <w:szCs w:val="24"/>
              </w:rPr>
            </w:pPr>
            <w:r w:rsidRPr="006009B7">
              <w:rPr>
                <w:b/>
                <w:bCs/>
                <w:sz w:val="24"/>
                <w:szCs w:val="24"/>
              </w:rPr>
              <w:t>Clinical Significance</w:t>
            </w:r>
          </w:p>
        </w:tc>
      </w:tr>
      <w:tr w:rsidR="006009B7" w:rsidRPr="006009B7" w14:paraId="2AC69DCB" w14:textId="77777777" w:rsidTr="006009B7">
        <w:trPr>
          <w:tblCellSpacing w:w="15" w:type="dxa"/>
        </w:trPr>
        <w:tc>
          <w:tcPr>
            <w:tcW w:w="0" w:type="auto"/>
            <w:vAlign w:val="center"/>
            <w:hideMark/>
          </w:tcPr>
          <w:p w14:paraId="5DF92945" w14:textId="77777777" w:rsidR="006009B7" w:rsidRPr="006009B7" w:rsidRDefault="006009B7" w:rsidP="006009B7">
            <w:pPr>
              <w:jc w:val="both"/>
              <w:rPr>
                <w:b/>
                <w:bCs/>
                <w:sz w:val="24"/>
                <w:szCs w:val="24"/>
              </w:rPr>
            </w:pPr>
            <w:r w:rsidRPr="006009B7">
              <w:rPr>
                <w:b/>
                <w:bCs/>
                <w:sz w:val="24"/>
                <w:szCs w:val="24"/>
              </w:rPr>
              <w:t>Darkening of Roots</w:t>
            </w:r>
          </w:p>
        </w:tc>
        <w:tc>
          <w:tcPr>
            <w:tcW w:w="0" w:type="auto"/>
            <w:vAlign w:val="center"/>
            <w:hideMark/>
          </w:tcPr>
          <w:p w14:paraId="3AB11CF3"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37B06ACC" w14:textId="77777777" w:rsidR="006009B7" w:rsidRPr="006009B7" w:rsidRDefault="006009B7" w:rsidP="006009B7">
            <w:pPr>
              <w:jc w:val="both"/>
              <w:rPr>
                <w:sz w:val="24"/>
                <w:szCs w:val="24"/>
              </w:rPr>
            </w:pPr>
            <w:r w:rsidRPr="006009B7">
              <w:rPr>
                <w:sz w:val="24"/>
                <w:szCs w:val="24"/>
              </w:rPr>
              <w:t>Indicates close proximity/contact between roots and IAN.</w:t>
            </w:r>
          </w:p>
        </w:tc>
        <w:tc>
          <w:tcPr>
            <w:tcW w:w="0" w:type="auto"/>
            <w:vAlign w:val="center"/>
            <w:hideMark/>
          </w:tcPr>
          <w:p w14:paraId="05FDE9C2" w14:textId="77777777" w:rsidR="006009B7" w:rsidRPr="006009B7" w:rsidRDefault="006009B7" w:rsidP="006009B7">
            <w:pPr>
              <w:jc w:val="both"/>
              <w:rPr>
                <w:sz w:val="24"/>
                <w:szCs w:val="24"/>
              </w:rPr>
            </w:pPr>
            <w:r w:rsidRPr="006009B7">
              <w:rPr>
                <w:sz w:val="24"/>
                <w:szCs w:val="24"/>
              </w:rPr>
              <w:t>High likelihood of nerve exposure during extraction.</w:t>
            </w:r>
          </w:p>
        </w:tc>
      </w:tr>
      <w:tr w:rsidR="006009B7" w:rsidRPr="006009B7" w14:paraId="0E11708E" w14:textId="77777777" w:rsidTr="006009B7">
        <w:trPr>
          <w:tblCellSpacing w:w="15" w:type="dxa"/>
        </w:trPr>
        <w:tc>
          <w:tcPr>
            <w:tcW w:w="0" w:type="auto"/>
            <w:vAlign w:val="center"/>
            <w:hideMark/>
          </w:tcPr>
          <w:p w14:paraId="20A02E12" w14:textId="77777777" w:rsidR="006009B7" w:rsidRPr="006009B7" w:rsidRDefault="006009B7" w:rsidP="006009B7">
            <w:pPr>
              <w:jc w:val="both"/>
              <w:rPr>
                <w:b/>
                <w:bCs/>
                <w:sz w:val="24"/>
                <w:szCs w:val="24"/>
              </w:rPr>
            </w:pPr>
            <w:r w:rsidRPr="006009B7">
              <w:rPr>
                <w:b/>
                <w:bCs/>
                <w:sz w:val="24"/>
                <w:szCs w:val="24"/>
              </w:rPr>
              <w:t>Deflection or Diversion of Canal</w:t>
            </w:r>
          </w:p>
        </w:tc>
        <w:tc>
          <w:tcPr>
            <w:tcW w:w="0" w:type="auto"/>
            <w:vAlign w:val="center"/>
            <w:hideMark/>
          </w:tcPr>
          <w:p w14:paraId="3C141A4B"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A417A19" w14:textId="77777777" w:rsidR="006009B7" w:rsidRPr="006009B7" w:rsidRDefault="006009B7" w:rsidP="006009B7">
            <w:pPr>
              <w:jc w:val="both"/>
              <w:rPr>
                <w:sz w:val="24"/>
                <w:szCs w:val="24"/>
              </w:rPr>
            </w:pPr>
            <w:r w:rsidRPr="006009B7">
              <w:rPr>
                <w:sz w:val="24"/>
                <w:szCs w:val="24"/>
              </w:rPr>
              <w:t>Altered canal course near root apex.</w:t>
            </w:r>
          </w:p>
        </w:tc>
        <w:tc>
          <w:tcPr>
            <w:tcW w:w="0" w:type="auto"/>
            <w:vAlign w:val="center"/>
            <w:hideMark/>
          </w:tcPr>
          <w:p w14:paraId="6CF5FC87" w14:textId="77777777" w:rsidR="006009B7" w:rsidRPr="006009B7" w:rsidRDefault="006009B7" w:rsidP="006009B7">
            <w:pPr>
              <w:jc w:val="both"/>
              <w:rPr>
                <w:sz w:val="24"/>
                <w:szCs w:val="24"/>
              </w:rPr>
            </w:pPr>
            <w:r w:rsidRPr="006009B7">
              <w:rPr>
                <w:sz w:val="24"/>
                <w:szCs w:val="24"/>
              </w:rPr>
              <w:t>Suggests nerve displacement risk.</w:t>
            </w:r>
          </w:p>
        </w:tc>
      </w:tr>
      <w:tr w:rsidR="006009B7" w:rsidRPr="006009B7" w14:paraId="67DF2945" w14:textId="77777777" w:rsidTr="006009B7">
        <w:trPr>
          <w:tblCellSpacing w:w="15" w:type="dxa"/>
        </w:trPr>
        <w:tc>
          <w:tcPr>
            <w:tcW w:w="0" w:type="auto"/>
            <w:vAlign w:val="center"/>
            <w:hideMark/>
          </w:tcPr>
          <w:p w14:paraId="4E17B1BB" w14:textId="77777777" w:rsidR="006009B7" w:rsidRPr="006009B7" w:rsidRDefault="006009B7" w:rsidP="006009B7">
            <w:pPr>
              <w:jc w:val="both"/>
              <w:rPr>
                <w:b/>
                <w:bCs/>
                <w:sz w:val="24"/>
                <w:szCs w:val="24"/>
              </w:rPr>
            </w:pPr>
            <w:r w:rsidRPr="006009B7">
              <w:rPr>
                <w:b/>
                <w:bCs/>
                <w:sz w:val="24"/>
                <w:szCs w:val="24"/>
              </w:rPr>
              <w:t>Narrowing of Canal or Cortical Interruption</w:t>
            </w:r>
          </w:p>
        </w:tc>
        <w:tc>
          <w:tcPr>
            <w:tcW w:w="0" w:type="auto"/>
            <w:vAlign w:val="center"/>
            <w:hideMark/>
          </w:tcPr>
          <w:p w14:paraId="7E0A2AF9"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71F7CB4" w14:textId="77777777" w:rsidR="006009B7" w:rsidRPr="006009B7" w:rsidRDefault="006009B7" w:rsidP="006009B7">
            <w:pPr>
              <w:jc w:val="both"/>
              <w:rPr>
                <w:sz w:val="24"/>
                <w:szCs w:val="24"/>
              </w:rPr>
            </w:pPr>
            <w:r w:rsidRPr="006009B7">
              <w:rPr>
                <w:sz w:val="24"/>
                <w:szCs w:val="24"/>
              </w:rPr>
              <w:t>Loss of cortical outline adjacent to roots.</w:t>
            </w:r>
          </w:p>
        </w:tc>
        <w:tc>
          <w:tcPr>
            <w:tcW w:w="0" w:type="auto"/>
            <w:vAlign w:val="center"/>
            <w:hideMark/>
          </w:tcPr>
          <w:p w14:paraId="3DFFF51C" w14:textId="77777777" w:rsidR="006009B7" w:rsidRPr="006009B7" w:rsidRDefault="006009B7" w:rsidP="006009B7">
            <w:pPr>
              <w:jc w:val="both"/>
              <w:rPr>
                <w:sz w:val="24"/>
                <w:szCs w:val="24"/>
              </w:rPr>
            </w:pPr>
            <w:r w:rsidRPr="006009B7">
              <w:rPr>
                <w:sz w:val="24"/>
                <w:szCs w:val="24"/>
              </w:rPr>
              <w:t>Marker of intimate nerve-root relationship.</w:t>
            </w:r>
          </w:p>
        </w:tc>
      </w:tr>
      <w:tr w:rsidR="006009B7" w:rsidRPr="006009B7" w14:paraId="5E1B1D71" w14:textId="77777777" w:rsidTr="006009B7">
        <w:trPr>
          <w:tblCellSpacing w:w="15" w:type="dxa"/>
        </w:trPr>
        <w:tc>
          <w:tcPr>
            <w:tcW w:w="0" w:type="auto"/>
            <w:vAlign w:val="center"/>
            <w:hideMark/>
          </w:tcPr>
          <w:p w14:paraId="773F2AF5" w14:textId="77777777" w:rsidR="006009B7" w:rsidRPr="006009B7" w:rsidRDefault="006009B7" w:rsidP="006009B7">
            <w:pPr>
              <w:jc w:val="both"/>
              <w:rPr>
                <w:b/>
                <w:bCs/>
                <w:sz w:val="24"/>
                <w:szCs w:val="24"/>
              </w:rPr>
            </w:pPr>
            <w:r w:rsidRPr="006009B7">
              <w:rPr>
                <w:b/>
                <w:bCs/>
                <w:sz w:val="24"/>
                <w:szCs w:val="24"/>
              </w:rPr>
              <w:t>Direct Root-Canal Contact (&lt;1 mm bone)</w:t>
            </w:r>
          </w:p>
        </w:tc>
        <w:tc>
          <w:tcPr>
            <w:tcW w:w="0" w:type="auto"/>
            <w:vAlign w:val="center"/>
            <w:hideMark/>
          </w:tcPr>
          <w:p w14:paraId="4D5FF29D"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74EB4361" w14:textId="77777777" w:rsidR="006009B7" w:rsidRPr="006009B7" w:rsidRDefault="006009B7" w:rsidP="006009B7">
            <w:pPr>
              <w:jc w:val="both"/>
              <w:rPr>
                <w:sz w:val="24"/>
                <w:szCs w:val="24"/>
              </w:rPr>
            </w:pPr>
            <w:r w:rsidRPr="006009B7">
              <w:rPr>
                <w:sz w:val="24"/>
                <w:szCs w:val="24"/>
              </w:rPr>
              <w:t>Confirms absence of protective bone between nerve and root.</w:t>
            </w:r>
          </w:p>
        </w:tc>
        <w:tc>
          <w:tcPr>
            <w:tcW w:w="0" w:type="auto"/>
            <w:vAlign w:val="center"/>
            <w:hideMark/>
          </w:tcPr>
          <w:p w14:paraId="0084D1FC" w14:textId="77777777" w:rsidR="006009B7" w:rsidRPr="006009B7" w:rsidRDefault="006009B7" w:rsidP="006009B7">
            <w:pPr>
              <w:jc w:val="both"/>
              <w:rPr>
                <w:sz w:val="24"/>
                <w:szCs w:val="24"/>
              </w:rPr>
            </w:pPr>
            <w:r w:rsidRPr="006009B7">
              <w:rPr>
                <w:sz w:val="24"/>
                <w:szCs w:val="24"/>
              </w:rPr>
              <w:t>Strong predictor of MNI.</w:t>
            </w:r>
          </w:p>
        </w:tc>
      </w:tr>
      <w:tr w:rsidR="006009B7" w:rsidRPr="006009B7" w14:paraId="4719A1E6" w14:textId="77777777" w:rsidTr="006009B7">
        <w:trPr>
          <w:tblCellSpacing w:w="15" w:type="dxa"/>
        </w:trPr>
        <w:tc>
          <w:tcPr>
            <w:tcW w:w="0" w:type="auto"/>
            <w:vAlign w:val="center"/>
            <w:hideMark/>
          </w:tcPr>
          <w:p w14:paraId="51454DF4" w14:textId="77777777" w:rsidR="006009B7" w:rsidRPr="006009B7" w:rsidRDefault="006009B7" w:rsidP="006009B7">
            <w:pPr>
              <w:jc w:val="both"/>
              <w:rPr>
                <w:b/>
                <w:bCs/>
                <w:sz w:val="24"/>
                <w:szCs w:val="24"/>
              </w:rPr>
            </w:pPr>
            <w:r w:rsidRPr="006009B7">
              <w:rPr>
                <w:b/>
                <w:bCs/>
                <w:sz w:val="24"/>
                <w:szCs w:val="24"/>
              </w:rPr>
              <w:t>Buccolingual Relationship &amp; Accessory Canals</w:t>
            </w:r>
          </w:p>
        </w:tc>
        <w:tc>
          <w:tcPr>
            <w:tcW w:w="0" w:type="auto"/>
            <w:vAlign w:val="center"/>
            <w:hideMark/>
          </w:tcPr>
          <w:p w14:paraId="6ACC6952"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3EF16D45" w14:textId="77777777" w:rsidR="006009B7" w:rsidRPr="006009B7" w:rsidRDefault="006009B7" w:rsidP="006009B7">
            <w:pPr>
              <w:jc w:val="both"/>
              <w:rPr>
                <w:sz w:val="24"/>
                <w:szCs w:val="24"/>
              </w:rPr>
            </w:pPr>
            <w:r w:rsidRPr="006009B7">
              <w:rPr>
                <w:sz w:val="24"/>
                <w:szCs w:val="24"/>
              </w:rPr>
              <w:t>Evaluates 3D proximity and complex root morphology.</w:t>
            </w:r>
          </w:p>
        </w:tc>
        <w:tc>
          <w:tcPr>
            <w:tcW w:w="0" w:type="auto"/>
            <w:vAlign w:val="center"/>
            <w:hideMark/>
          </w:tcPr>
          <w:p w14:paraId="4EF9BAEB" w14:textId="77777777" w:rsidR="006009B7" w:rsidRPr="006009B7" w:rsidRDefault="006009B7" w:rsidP="006009B7">
            <w:pPr>
              <w:jc w:val="both"/>
              <w:rPr>
                <w:sz w:val="24"/>
                <w:szCs w:val="24"/>
              </w:rPr>
            </w:pPr>
            <w:r w:rsidRPr="006009B7">
              <w:rPr>
                <w:sz w:val="24"/>
                <w:szCs w:val="24"/>
              </w:rPr>
              <w:t>Enhances surgical planning accuracy.</w:t>
            </w:r>
          </w:p>
        </w:tc>
      </w:tr>
    </w:tbl>
    <w:p w14:paraId="0DFF424D" w14:textId="77777777" w:rsidR="006009B7" w:rsidRDefault="006009B7" w:rsidP="00753B36">
      <w:pPr>
        <w:jc w:val="both"/>
        <w:rPr>
          <w:b/>
          <w:bCs/>
          <w:sz w:val="24"/>
          <w:szCs w:val="24"/>
        </w:rPr>
      </w:pPr>
    </w:p>
    <w:p w14:paraId="3EBCFF7F" w14:textId="432F7098" w:rsidR="00753B36" w:rsidRPr="00753B36" w:rsidRDefault="00753B36" w:rsidP="00753B36">
      <w:pPr>
        <w:jc w:val="both"/>
        <w:rPr>
          <w:b/>
          <w:bCs/>
          <w:sz w:val="24"/>
          <w:szCs w:val="24"/>
        </w:rPr>
      </w:pPr>
      <w:r w:rsidRPr="00753B36">
        <w:rPr>
          <w:b/>
          <w:bCs/>
          <w:sz w:val="24"/>
          <w:szCs w:val="24"/>
        </w:rPr>
        <w:t>Surgical and Emerging Predictive Markers for Mandibular Nerve Injury in Third Molar Surgery</w:t>
      </w:r>
    </w:p>
    <w:p w14:paraId="73A27DDB" w14:textId="29453700" w:rsidR="00753B36" w:rsidRPr="00753B36" w:rsidRDefault="00753B36" w:rsidP="00753B36">
      <w:pPr>
        <w:jc w:val="both"/>
        <w:rPr>
          <w:sz w:val="24"/>
          <w:szCs w:val="24"/>
          <w:vertAlign w:val="superscript"/>
        </w:rPr>
      </w:pPr>
      <w:r w:rsidRPr="00753B36">
        <w:rPr>
          <w:sz w:val="24"/>
          <w:szCs w:val="24"/>
        </w:rPr>
        <w:t>Surgical factors significantly influence the risk of mandibular nerve injury (MNI) during third molar extraction. The choice of extraction technique plays a pivotal role, with open flap procedures involving mucoperiosteal flap elevation and conservative bone removal offering improved visualization and control, potentially reducing nerve injury compared to flapless or blind approaches.</w:t>
      </w:r>
      <w:r w:rsidR="001D48FD" w:rsidRPr="001D48FD">
        <w:rPr>
          <w:sz w:val="24"/>
          <w:szCs w:val="24"/>
          <w:vertAlign w:val="superscript"/>
        </w:rPr>
        <w:t>21</w:t>
      </w:r>
      <w:r w:rsidRPr="00753B36">
        <w:rPr>
          <w:sz w:val="24"/>
          <w:szCs w:val="24"/>
        </w:rPr>
        <w:t xml:space="preserve"> Controlled tooth sectioning and conservative ostectomy further minimize manipulation and pressure near the inferior alveolar nerve (IAN), lowering the likelihood of </w:t>
      </w:r>
      <w:r w:rsidRPr="00753B36">
        <w:rPr>
          <w:sz w:val="24"/>
          <w:szCs w:val="24"/>
        </w:rPr>
        <w:lastRenderedPageBreak/>
        <w:t>trauma. Operator experience is equally critical, as less experienced surgeons exhibit higher complication rates, whereas skilled operators can better interpret anatomical and radiographic findings and adjust techniques accordingly. The use of magnification, including surgical loupes and microscopes, as well as CBCT-guided navigation systems, enhances visualization of neurovascular structures, facilitating precise dissection and nerve preservation.</w:t>
      </w:r>
      <w:r w:rsidR="001D48FD">
        <w:rPr>
          <w:sz w:val="24"/>
          <w:szCs w:val="24"/>
          <w:vertAlign w:val="superscript"/>
        </w:rPr>
        <w:t>22</w:t>
      </w:r>
      <w:r w:rsidRPr="00753B36">
        <w:rPr>
          <w:sz w:val="24"/>
          <w:szCs w:val="24"/>
        </w:rPr>
        <w:t xml:space="preserve"> Advanced tools such as </w:t>
      </w:r>
      <w:proofErr w:type="spellStart"/>
      <w:r w:rsidRPr="00753B36">
        <w:rPr>
          <w:sz w:val="24"/>
          <w:szCs w:val="24"/>
        </w:rPr>
        <w:t>piezosurgery</w:t>
      </w:r>
      <w:proofErr w:type="spellEnd"/>
      <w:r w:rsidRPr="00753B36">
        <w:rPr>
          <w:sz w:val="24"/>
          <w:szCs w:val="24"/>
        </w:rPr>
        <w:t xml:space="preserve"> allow selective bone cutting with minimal soft tissue trauma, further reducing nerve injury risk compared to conventional rotary instruments. Although research into biochemical and molecular markers is limited, emerging studies suggest that nerve sensitivity biomarkers, inflammatory mediators, and genetic predispositions may influence individual susceptibility to nerve injury and regenerative potential. While no standardized clinical assays currently exist, these molecular insights hold promise for future personalized risk stratification and improved surgical planning.</w:t>
      </w:r>
      <w:r w:rsidR="001D48FD">
        <w:rPr>
          <w:sz w:val="24"/>
          <w:szCs w:val="24"/>
          <w:vertAlign w:val="superscript"/>
        </w:rPr>
        <w:t>23</w:t>
      </w:r>
    </w:p>
    <w:p w14:paraId="0C1164EE" w14:textId="77777777" w:rsidR="006009B7" w:rsidRPr="006009B7" w:rsidRDefault="006009B7" w:rsidP="006009B7">
      <w:pPr>
        <w:jc w:val="both"/>
        <w:rPr>
          <w:b/>
          <w:bCs/>
          <w:sz w:val="24"/>
          <w:szCs w:val="24"/>
        </w:rPr>
      </w:pPr>
      <w:r w:rsidRPr="006009B7">
        <w:rPr>
          <w:b/>
          <w:bCs/>
          <w:sz w:val="24"/>
          <w:szCs w:val="24"/>
        </w:rPr>
        <w:t>Table 3. Surgical and Emerging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9"/>
        <w:gridCol w:w="2990"/>
        <w:gridCol w:w="3197"/>
      </w:tblGrid>
      <w:tr w:rsidR="006009B7" w:rsidRPr="006009B7" w14:paraId="6A5A1CA4" w14:textId="77777777" w:rsidTr="006009B7">
        <w:trPr>
          <w:tblHeader/>
          <w:tblCellSpacing w:w="15" w:type="dxa"/>
        </w:trPr>
        <w:tc>
          <w:tcPr>
            <w:tcW w:w="0" w:type="auto"/>
            <w:vAlign w:val="center"/>
            <w:hideMark/>
          </w:tcPr>
          <w:p w14:paraId="1259C7AB" w14:textId="77777777" w:rsidR="006009B7" w:rsidRPr="006009B7" w:rsidRDefault="006009B7" w:rsidP="006009B7">
            <w:pPr>
              <w:jc w:val="both"/>
              <w:rPr>
                <w:b/>
                <w:bCs/>
                <w:sz w:val="24"/>
                <w:szCs w:val="24"/>
              </w:rPr>
            </w:pPr>
            <w:r w:rsidRPr="006009B7">
              <w:rPr>
                <w:b/>
                <w:bCs/>
                <w:sz w:val="24"/>
                <w:szCs w:val="24"/>
              </w:rPr>
              <w:t>Predictive Factor</w:t>
            </w:r>
          </w:p>
        </w:tc>
        <w:tc>
          <w:tcPr>
            <w:tcW w:w="0" w:type="auto"/>
            <w:vAlign w:val="center"/>
            <w:hideMark/>
          </w:tcPr>
          <w:p w14:paraId="194DB05C" w14:textId="77777777" w:rsidR="006009B7" w:rsidRPr="006009B7" w:rsidRDefault="006009B7" w:rsidP="006009B7">
            <w:pPr>
              <w:jc w:val="both"/>
              <w:rPr>
                <w:b/>
                <w:bCs/>
                <w:sz w:val="24"/>
                <w:szCs w:val="24"/>
              </w:rPr>
            </w:pPr>
            <w:r w:rsidRPr="006009B7">
              <w:rPr>
                <w:b/>
                <w:bCs/>
                <w:sz w:val="24"/>
                <w:szCs w:val="24"/>
              </w:rPr>
              <w:t>Description</w:t>
            </w:r>
          </w:p>
        </w:tc>
        <w:tc>
          <w:tcPr>
            <w:tcW w:w="0" w:type="auto"/>
            <w:vAlign w:val="center"/>
            <w:hideMark/>
          </w:tcPr>
          <w:p w14:paraId="5473669A" w14:textId="77777777" w:rsidR="006009B7" w:rsidRPr="006009B7" w:rsidRDefault="006009B7" w:rsidP="006009B7">
            <w:pPr>
              <w:jc w:val="both"/>
              <w:rPr>
                <w:b/>
                <w:bCs/>
                <w:sz w:val="24"/>
                <w:szCs w:val="24"/>
              </w:rPr>
            </w:pPr>
            <w:r w:rsidRPr="006009B7">
              <w:rPr>
                <w:b/>
                <w:bCs/>
                <w:sz w:val="24"/>
                <w:szCs w:val="24"/>
              </w:rPr>
              <w:t>Protective/Aggravating Role</w:t>
            </w:r>
          </w:p>
        </w:tc>
      </w:tr>
      <w:tr w:rsidR="006009B7" w:rsidRPr="006009B7" w14:paraId="0DE4188D" w14:textId="77777777" w:rsidTr="006009B7">
        <w:trPr>
          <w:tblCellSpacing w:w="15" w:type="dxa"/>
        </w:trPr>
        <w:tc>
          <w:tcPr>
            <w:tcW w:w="0" w:type="auto"/>
            <w:vAlign w:val="center"/>
            <w:hideMark/>
          </w:tcPr>
          <w:p w14:paraId="1E09BB10" w14:textId="77777777" w:rsidR="006009B7" w:rsidRPr="006009B7" w:rsidRDefault="006009B7" w:rsidP="006009B7">
            <w:pPr>
              <w:jc w:val="both"/>
              <w:rPr>
                <w:b/>
                <w:bCs/>
                <w:sz w:val="24"/>
                <w:szCs w:val="24"/>
              </w:rPr>
            </w:pPr>
            <w:r w:rsidRPr="006009B7">
              <w:rPr>
                <w:b/>
                <w:bCs/>
                <w:sz w:val="24"/>
                <w:szCs w:val="24"/>
              </w:rPr>
              <w:t>Surgical Technique</w:t>
            </w:r>
          </w:p>
        </w:tc>
        <w:tc>
          <w:tcPr>
            <w:tcW w:w="0" w:type="auto"/>
            <w:vAlign w:val="center"/>
            <w:hideMark/>
          </w:tcPr>
          <w:p w14:paraId="765A1579" w14:textId="77777777" w:rsidR="006009B7" w:rsidRPr="006009B7" w:rsidRDefault="006009B7" w:rsidP="006009B7">
            <w:pPr>
              <w:jc w:val="both"/>
              <w:rPr>
                <w:sz w:val="24"/>
                <w:szCs w:val="24"/>
              </w:rPr>
            </w:pPr>
            <w:r w:rsidRPr="006009B7">
              <w:rPr>
                <w:sz w:val="24"/>
                <w:szCs w:val="24"/>
              </w:rPr>
              <w:t>Open flap with controlled ostectomy and sectioning vs. blind extraction.</w:t>
            </w:r>
          </w:p>
        </w:tc>
        <w:tc>
          <w:tcPr>
            <w:tcW w:w="0" w:type="auto"/>
            <w:vAlign w:val="center"/>
            <w:hideMark/>
          </w:tcPr>
          <w:p w14:paraId="78F6B9CA" w14:textId="77777777" w:rsidR="006009B7" w:rsidRPr="006009B7" w:rsidRDefault="006009B7" w:rsidP="006009B7">
            <w:pPr>
              <w:jc w:val="both"/>
              <w:rPr>
                <w:sz w:val="24"/>
                <w:szCs w:val="24"/>
              </w:rPr>
            </w:pPr>
            <w:r w:rsidRPr="006009B7">
              <w:rPr>
                <w:sz w:val="24"/>
                <w:szCs w:val="24"/>
              </w:rPr>
              <w:t>Controlled exposure and visualization reduce MNI risk.</w:t>
            </w:r>
          </w:p>
        </w:tc>
      </w:tr>
      <w:tr w:rsidR="006009B7" w:rsidRPr="006009B7" w14:paraId="2D42A2E5" w14:textId="77777777" w:rsidTr="006009B7">
        <w:trPr>
          <w:tblCellSpacing w:w="15" w:type="dxa"/>
        </w:trPr>
        <w:tc>
          <w:tcPr>
            <w:tcW w:w="0" w:type="auto"/>
            <w:vAlign w:val="center"/>
            <w:hideMark/>
          </w:tcPr>
          <w:p w14:paraId="028E9DB6" w14:textId="77777777" w:rsidR="006009B7" w:rsidRPr="006009B7" w:rsidRDefault="006009B7" w:rsidP="006009B7">
            <w:pPr>
              <w:jc w:val="both"/>
              <w:rPr>
                <w:b/>
                <w:bCs/>
                <w:sz w:val="24"/>
                <w:szCs w:val="24"/>
              </w:rPr>
            </w:pPr>
            <w:r w:rsidRPr="006009B7">
              <w:rPr>
                <w:b/>
                <w:bCs/>
                <w:sz w:val="24"/>
                <w:szCs w:val="24"/>
              </w:rPr>
              <w:t>Operator Experience</w:t>
            </w:r>
          </w:p>
        </w:tc>
        <w:tc>
          <w:tcPr>
            <w:tcW w:w="0" w:type="auto"/>
            <w:vAlign w:val="center"/>
            <w:hideMark/>
          </w:tcPr>
          <w:p w14:paraId="34450358" w14:textId="77777777" w:rsidR="006009B7" w:rsidRPr="006009B7" w:rsidRDefault="006009B7" w:rsidP="006009B7">
            <w:pPr>
              <w:jc w:val="both"/>
              <w:rPr>
                <w:sz w:val="24"/>
                <w:szCs w:val="24"/>
              </w:rPr>
            </w:pPr>
            <w:r w:rsidRPr="006009B7">
              <w:rPr>
                <w:sz w:val="24"/>
                <w:szCs w:val="24"/>
              </w:rPr>
              <w:t>Skill and familiarity with anatomy and imaging interpretation.</w:t>
            </w:r>
          </w:p>
        </w:tc>
        <w:tc>
          <w:tcPr>
            <w:tcW w:w="0" w:type="auto"/>
            <w:vAlign w:val="center"/>
            <w:hideMark/>
          </w:tcPr>
          <w:p w14:paraId="569E1199" w14:textId="77777777" w:rsidR="006009B7" w:rsidRPr="006009B7" w:rsidRDefault="006009B7" w:rsidP="006009B7">
            <w:pPr>
              <w:jc w:val="both"/>
              <w:rPr>
                <w:sz w:val="24"/>
                <w:szCs w:val="24"/>
              </w:rPr>
            </w:pPr>
            <w:r w:rsidRPr="006009B7">
              <w:rPr>
                <w:sz w:val="24"/>
                <w:szCs w:val="24"/>
              </w:rPr>
              <w:t>Experienced surgeons have lower complication rates.</w:t>
            </w:r>
          </w:p>
        </w:tc>
      </w:tr>
      <w:tr w:rsidR="006009B7" w:rsidRPr="006009B7" w14:paraId="5243794E" w14:textId="77777777" w:rsidTr="006009B7">
        <w:trPr>
          <w:tblCellSpacing w:w="15" w:type="dxa"/>
        </w:trPr>
        <w:tc>
          <w:tcPr>
            <w:tcW w:w="0" w:type="auto"/>
            <w:vAlign w:val="center"/>
            <w:hideMark/>
          </w:tcPr>
          <w:p w14:paraId="706FFAEA" w14:textId="77777777" w:rsidR="006009B7" w:rsidRPr="006009B7" w:rsidRDefault="006009B7" w:rsidP="006009B7">
            <w:pPr>
              <w:jc w:val="both"/>
              <w:rPr>
                <w:b/>
                <w:bCs/>
                <w:sz w:val="24"/>
                <w:szCs w:val="24"/>
              </w:rPr>
            </w:pPr>
            <w:r w:rsidRPr="006009B7">
              <w:rPr>
                <w:b/>
                <w:bCs/>
                <w:sz w:val="24"/>
                <w:szCs w:val="24"/>
              </w:rPr>
              <w:t>Use of Magnification/Navigation</w:t>
            </w:r>
          </w:p>
        </w:tc>
        <w:tc>
          <w:tcPr>
            <w:tcW w:w="0" w:type="auto"/>
            <w:vAlign w:val="center"/>
            <w:hideMark/>
          </w:tcPr>
          <w:p w14:paraId="12F9C70A" w14:textId="77777777" w:rsidR="006009B7" w:rsidRPr="006009B7" w:rsidRDefault="006009B7" w:rsidP="006009B7">
            <w:pPr>
              <w:jc w:val="both"/>
              <w:rPr>
                <w:sz w:val="24"/>
                <w:szCs w:val="24"/>
              </w:rPr>
            </w:pPr>
            <w:r w:rsidRPr="006009B7">
              <w:rPr>
                <w:sz w:val="24"/>
                <w:szCs w:val="24"/>
              </w:rPr>
              <w:t>Loupes, microscopes, CBCT-guided navigation.</w:t>
            </w:r>
          </w:p>
        </w:tc>
        <w:tc>
          <w:tcPr>
            <w:tcW w:w="0" w:type="auto"/>
            <w:vAlign w:val="center"/>
            <w:hideMark/>
          </w:tcPr>
          <w:p w14:paraId="135590FE" w14:textId="77777777" w:rsidR="006009B7" w:rsidRPr="006009B7" w:rsidRDefault="006009B7" w:rsidP="006009B7">
            <w:pPr>
              <w:jc w:val="both"/>
              <w:rPr>
                <w:sz w:val="24"/>
                <w:szCs w:val="24"/>
              </w:rPr>
            </w:pPr>
            <w:r w:rsidRPr="006009B7">
              <w:rPr>
                <w:sz w:val="24"/>
                <w:szCs w:val="24"/>
              </w:rPr>
              <w:t>Enhances visualization and precision near nerve canal.</w:t>
            </w:r>
          </w:p>
        </w:tc>
      </w:tr>
      <w:tr w:rsidR="006009B7" w:rsidRPr="006009B7" w14:paraId="41042E8A" w14:textId="77777777" w:rsidTr="006009B7">
        <w:trPr>
          <w:tblCellSpacing w:w="15" w:type="dxa"/>
        </w:trPr>
        <w:tc>
          <w:tcPr>
            <w:tcW w:w="0" w:type="auto"/>
            <w:vAlign w:val="center"/>
            <w:hideMark/>
          </w:tcPr>
          <w:p w14:paraId="01918540" w14:textId="77777777" w:rsidR="006009B7" w:rsidRPr="006009B7" w:rsidRDefault="006009B7" w:rsidP="006009B7">
            <w:pPr>
              <w:jc w:val="both"/>
              <w:rPr>
                <w:b/>
                <w:bCs/>
                <w:sz w:val="24"/>
                <w:szCs w:val="24"/>
              </w:rPr>
            </w:pPr>
            <w:proofErr w:type="spellStart"/>
            <w:r w:rsidRPr="006009B7">
              <w:rPr>
                <w:b/>
                <w:bCs/>
                <w:sz w:val="24"/>
                <w:szCs w:val="24"/>
              </w:rPr>
              <w:t>Piezosurgery</w:t>
            </w:r>
            <w:proofErr w:type="spellEnd"/>
          </w:p>
        </w:tc>
        <w:tc>
          <w:tcPr>
            <w:tcW w:w="0" w:type="auto"/>
            <w:vAlign w:val="center"/>
            <w:hideMark/>
          </w:tcPr>
          <w:p w14:paraId="46B1888B" w14:textId="77777777" w:rsidR="006009B7" w:rsidRPr="006009B7" w:rsidRDefault="006009B7" w:rsidP="006009B7">
            <w:pPr>
              <w:jc w:val="both"/>
              <w:rPr>
                <w:sz w:val="24"/>
                <w:szCs w:val="24"/>
              </w:rPr>
            </w:pPr>
            <w:r w:rsidRPr="006009B7">
              <w:rPr>
                <w:sz w:val="24"/>
                <w:szCs w:val="24"/>
              </w:rPr>
              <w:t>Selective bone cutting using ultrasonic energy.</w:t>
            </w:r>
          </w:p>
        </w:tc>
        <w:tc>
          <w:tcPr>
            <w:tcW w:w="0" w:type="auto"/>
            <w:vAlign w:val="center"/>
            <w:hideMark/>
          </w:tcPr>
          <w:p w14:paraId="23D0215A" w14:textId="77777777" w:rsidR="006009B7" w:rsidRPr="006009B7" w:rsidRDefault="006009B7" w:rsidP="006009B7">
            <w:pPr>
              <w:jc w:val="both"/>
              <w:rPr>
                <w:sz w:val="24"/>
                <w:szCs w:val="24"/>
              </w:rPr>
            </w:pPr>
            <w:r w:rsidRPr="006009B7">
              <w:rPr>
                <w:sz w:val="24"/>
                <w:szCs w:val="24"/>
              </w:rPr>
              <w:t>Minimizes soft tissue trauma compared to rotary tools.</w:t>
            </w:r>
          </w:p>
        </w:tc>
      </w:tr>
      <w:tr w:rsidR="006009B7" w:rsidRPr="006009B7" w14:paraId="0FD1DE0B" w14:textId="77777777" w:rsidTr="006009B7">
        <w:trPr>
          <w:tblCellSpacing w:w="15" w:type="dxa"/>
        </w:trPr>
        <w:tc>
          <w:tcPr>
            <w:tcW w:w="0" w:type="auto"/>
            <w:vAlign w:val="center"/>
            <w:hideMark/>
          </w:tcPr>
          <w:p w14:paraId="587A325C" w14:textId="77777777" w:rsidR="006009B7" w:rsidRPr="006009B7" w:rsidRDefault="006009B7" w:rsidP="006009B7">
            <w:pPr>
              <w:jc w:val="both"/>
              <w:rPr>
                <w:b/>
                <w:bCs/>
                <w:sz w:val="24"/>
                <w:szCs w:val="24"/>
              </w:rPr>
            </w:pPr>
            <w:r w:rsidRPr="006009B7">
              <w:rPr>
                <w:b/>
                <w:bCs/>
                <w:sz w:val="24"/>
                <w:szCs w:val="24"/>
              </w:rPr>
              <w:t>Molecular/Genetic Markers</w:t>
            </w:r>
          </w:p>
        </w:tc>
        <w:tc>
          <w:tcPr>
            <w:tcW w:w="0" w:type="auto"/>
            <w:vAlign w:val="center"/>
            <w:hideMark/>
          </w:tcPr>
          <w:p w14:paraId="62EAD62D" w14:textId="77777777" w:rsidR="006009B7" w:rsidRPr="006009B7" w:rsidRDefault="006009B7" w:rsidP="006009B7">
            <w:pPr>
              <w:jc w:val="both"/>
              <w:rPr>
                <w:sz w:val="24"/>
                <w:szCs w:val="24"/>
              </w:rPr>
            </w:pPr>
            <w:r w:rsidRPr="006009B7">
              <w:rPr>
                <w:sz w:val="24"/>
                <w:szCs w:val="24"/>
              </w:rPr>
              <w:t>Experimental biomarkers for nerve sensitivity or regenerative potential.</w:t>
            </w:r>
          </w:p>
        </w:tc>
        <w:tc>
          <w:tcPr>
            <w:tcW w:w="0" w:type="auto"/>
            <w:vAlign w:val="center"/>
            <w:hideMark/>
          </w:tcPr>
          <w:p w14:paraId="6627659F" w14:textId="77777777" w:rsidR="006009B7" w:rsidRPr="006009B7" w:rsidRDefault="006009B7" w:rsidP="006009B7">
            <w:pPr>
              <w:jc w:val="both"/>
              <w:rPr>
                <w:sz w:val="24"/>
                <w:szCs w:val="24"/>
              </w:rPr>
            </w:pPr>
            <w:r w:rsidRPr="006009B7">
              <w:rPr>
                <w:sz w:val="24"/>
                <w:szCs w:val="24"/>
              </w:rPr>
              <w:t>Future direction for personalized risk prediction.</w:t>
            </w:r>
          </w:p>
        </w:tc>
      </w:tr>
    </w:tbl>
    <w:p w14:paraId="3F7CBEF1" w14:textId="77777777" w:rsidR="006009B7" w:rsidRDefault="006009B7" w:rsidP="00F8784E">
      <w:pPr>
        <w:jc w:val="both"/>
        <w:rPr>
          <w:b/>
          <w:bCs/>
          <w:sz w:val="24"/>
          <w:szCs w:val="24"/>
        </w:rPr>
      </w:pPr>
    </w:p>
    <w:p w14:paraId="2B1BD0A3" w14:textId="03CBE0D3" w:rsidR="00F8784E" w:rsidRPr="00F8784E" w:rsidRDefault="00F8784E" w:rsidP="00F8784E">
      <w:pPr>
        <w:jc w:val="both"/>
        <w:rPr>
          <w:b/>
          <w:bCs/>
          <w:sz w:val="24"/>
          <w:szCs w:val="24"/>
        </w:rPr>
      </w:pPr>
      <w:r w:rsidRPr="00F8784E">
        <w:rPr>
          <w:b/>
          <w:bCs/>
          <w:sz w:val="24"/>
          <w:szCs w:val="24"/>
        </w:rPr>
        <w:t>Risk Assessment Models for Mandibular Nerve Injury in Third Molar Surgery</w:t>
      </w:r>
    </w:p>
    <w:p w14:paraId="651FC020" w14:textId="29F44C0D" w:rsidR="00F8784E" w:rsidRPr="00F8784E" w:rsidRDefault="00F8784E" w:rsidP="00F8784E">
      <w:pPr>
        <w:jc w:val="both"/>
        <w:rPr>
          <w:sz w:val="24"/>
          <w:szCs w:val="24"/>
        </w:rPr>
      </w:pPr>
      <w:r w:rsidRPr="00F8784E">
        <w:rPr>
          <w:sz w:val="24"/>
          <w:szCs w:val="24"/>
        </w:rPr>
        <w:t xml:space="preserve">Accurate preoperative risk assessment for mandibular nerve injury (MNI) in third molar surgery relies on scoring systems, decision-making algorithms, and emerging technologies such as artificial intelligence (AI) and molecular profiling. Recent predictive scoring systems combine cone-beam computed tomography (CBCT) features with clinical variables to quantify the probability of inferior alveolar nerve injury (IANI). Key predictors in these models include coronal position of the inferior alveolar canal (IAC) relative to the root, IAC perforation length greater than 3.4 mm, lingual or interradicular IAC position, multiple roots contacting a perforated canal, and patient age over 30 years, generating scores ranging from 0 to 12 to </w:t>
      </w:r>
      <w:r w:rsidRPr="00F8784E">
        <w:rPr>
          <w:sz w:val="24"/>
          <w:szCs w:val="24"/>
        </w:rPr>
        <w:lastRenderedPageBreak/>
        <w:t>guide risk stratification and surgical planning.</w:t>
      </w:r>
      <w:r w:rsidR="001D48FD">
        <w:rPr>
          <w:sz w:val="24"/>
          <w:szCs w:val="24"/>
          <w:vertAlign w:val="superscript"/>
        </w:rPr>
        <w:t>24</w:t>
      </w:r>
      <w:r w:rsidRPr="00F8784E">
        <w:rPr>
          <w:sz w:val="24"/>
          <w:szCs w:val="24"/>
        </w:rPr>
        <w:t xml:space="preserve"> Decision-making algorithms integrate clinical factors</w:t>
      </w:r>
      <w:r w:rsidR="001D48FD">
        <w:rPr>
          <w:sz w:val="24"/>
          <w:szCs w:val="24"/>
        </w:rPr>
        <w:t xml:space="preserve"> </w:t>
      </w:r>
      <w:r w:rsidRPr="00F8784E">
        <w:rPr>
          <w:sz w:val="24"/>
          <w:szCs w:val="24"/>
        </w:rPr>
        <w:t>such as age, sex, and impaction type</w:t>
      </w:r>
      <w:r w:rsidR="001D48FD">
        <w:rPr>
          <w:sz w:val="24"/>
          <w:szCs w:val="24"/>
        </w:rPr>
        <w:t xml:space="preserve"> </w:t>
      </w:r>
      <w:r w:rsidRPr="00F8784E">
        <w:rPr>
          <w:sz w:val="24"/>
          <w:szCs w:val="24"/>
        </w:rPr>
        <w:t>with radiographic markers from panoramic and CBCT imaging, allowing surgeons to identify high-risk patients, tailor surgical approaches, provide informed consent, and consider alternative treatment strategies. AI-assisted analysis has further advanced predictive capabilities, with deep learning models demonstrating high accuracy (F1-score up to 0.92) in detecting IANI from CBCT images, outperforming human specialists.</w:t>
      </w:r>
      <w:r w:rsidR="001D48FD">
        <w:rPr>
          <w:sz w:val="24"/>
          <w:szCs w:val="24"/>
          <w:vertAlign w:val="superscript"/>
        </w:rPr>
        <w:t>25</w:t>
      </w:r>
      <w:r w:rsidRPr="00F8784E">
        <w:rPr>
          <w:sz w:val="24"/>
          <w:szCs w:val="24"/>
        </w:rPr>
        <w:t xml:space="preserve"> Automated AI segmentation of the mandibular canal and incisive extension enables precise, consistent preoperative evaluation, while AI applied to panoramic radiographs improves assessment of nerve-tooth positional relationships and </w:t>
      </w:r>
      <w:proofErr w:type="spellStart"/>
      <w:r w:rsidRPr="00F8784E">
        <w:rPr>
          <w:sz w:val="24"/>
          <w:szCs w:val="24"/>
        </w:rPr>
        <w:t>bucco</w:t>
      </w:r>
      <w:proofErr w:type="spellEnd"/>
      <w:r w:rsidRPr="00F8784E">
        <w:rPr>
          <w:sz w:val="24"/>
          <w:szCs w:val="24"/>
        </w:rPr>
        <w:t xml:space="preserve">-lingual orientation. Emerging molecular and genetic studies suggest that inflammatory mediators and genetic predispositions may influence nerve sensitivity and regeneration potential, offering a foundation for future personalized risk profiling, although these markers are not yet clinically validated. Standardization and </w:t>
      </w:r>
      <w:proofErr w:type="spellStart"/>
      <w:r w:rsidRPr="00F8784E">
        <w:rPr>
          <w:sz w:val="24"/>
          <w:szCs w:val="24"/>
        </w:rPr>
        <w:t>multicenter</w:t>
      </w:r>
      <w:proofErr w:type="spellEnd"/>
      <w:r w:rsidRPr="00F8784E">
        <w:rPr>
          <w:sz w:val="24"/>
          <w:szCs w:val="24"/>
        </w:rPr>
        <w:t xml:space="preserve"> validation of AI models and molecular approaches are essential to ensure reliability and generalizability, with integrated predictive frameworks combining imaging analytics, clinical factors, and molecular data poised to enhance patient safety and optimize surgical outcomes in third molar extraction.</w:t>
      </w:r>
      <w:r w:rsidR="001D48FD" w:rsidRPr="001D48FD">
        <w:rPr>
          <w:sz w:val="24"/>
          <w:szCs w:val="24"/>
          <w:vertAlign w:val="superscript"/>
        </w:rPr>
        <w:t>26</w:t>
      </w:r>
    </w:p>
    <w:p w14:paraId="186FD22F" w14:textId="77777777" w:rsidR="006009B7" w:rsidRPr="006009B7" w:rsidRDefault="006009B7" w:rsidP="006009B7">
      <w:pPr>
        <w:jc w:val="both"/>
        <w:rPr>
          <w:b/>
          <w:bCs/>
          <w:sz w:val="24"/>
          <w:szCs w:val="24"/>
        </w:rPr>
      </w:pPr>
      <w:r w:rsidRPr="006009B7">
        <w:rPr>
          <w:b/>
          <w:bCs/>
          <w:sz w:val="24"/>
          <w:szCs w:val="24"/>
        </w:rPr>
        <w:t>Table 4. Risk Assessment Models for Mandibular Nerve Injury in Third Molar Surgery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1"/>
        <w:gridCol w:w="2729"/>
        <w:gridCol w:w="1626"/>
        <w:gridCol w:w="1566"/>
        <w:gridCol w:w="1684"/>
      </w:tblGrid>
      <w:tr w:rsidR="006009B7" w:rsidRPr="006009B7" w14:paraId="1DB02F1C" w14:textId="77777777" w:rsidTr="006009B7">
        <w:trPr>
          <w:tblHeader/>
          <w:tblCellSpacing w:w="15" w:type="dxa"/>
        </w:trPr>
        <w:tc>
          <w:tcPr>
            <w:tcW w:w="0" w:type="auto"/>
            <w:vAlign w:val="center"/>
            <w:hideMark/>
          </w:tcPr>
          <w:p w14:paraId="14DF0328" w14:textId="2D9C443D" w:rsidR="006009B7" w:rsidRPr="006009B7" w:rsidRDefault="006009B7" w:rsidP="006009B7">
            <w:pPr>
              <w:jc w:val="both"/>
              <w:rPr>
                <w:b/>
                <w:bCs/>
                <w:sz w:val="24"/>
                <w:szCs w:val="24"/>
              </w:rPr>
            </w:pPr>
            <w:r w:rsidRPr="006009B7">
              <w:rPr>
                <w:b/>
                <w:bCs/>
                <w:sz w:val="24"/>
                <w:szCs w:val="24"/>
              </w:rPr>
              <w:t xml:space="preserve">Model </w:t>
            </w:r>
          </w:p>
        </w:tc>
        <w:tc>
          <w:tcPr>
            <w:tcW w:w="0" w:type="auto"/>
            <w:vAlign w:val="center"/>
            <w:hideMark/>
          </w:tcPr>
          <w:p w14:paraId="4A88E435" w14:textId="5ECE5B95" w:rsidR="006009B7" w:rsidRPr="006009B7" w:rsidRDefault="006009B7" w:rsidP="006009B7">
            <w:pPr>
              <w:jc w:val="both"/>
              <w:rPr>
                <w:b/>
                <w:bCs/>
                <w:sz w:val="24"/>
                <w:szCs w:val="24"/>
              </w:rPr>
            </w:pPr>
            <w:r w:rsidRPr="006009B7">
              <w:rPr>
                <w:b/>
                <w:bCs/>
                <w:sz w:val="24"/>
                <w:szCs w:val="24"/>
              </w:rPr>
              <w:t xml:space="preserve">Key Predictors </w:t>
            </w:r>
          </w:p>
        </w:tc>
        <w:tc>
          <w:tcPr>
            <w:tcW w:w="1596" w:type="dxa"/>
            <w:vAlign w:val="center"/>
            <w:hideMark/>
          </w:tcPr>
          <w:p w14:paraId="00A79475" w14:textId="52F01123" w:rsidR="006009B7" w:rsidRPr="006009B7" w:rsidRDefault="006009B7" w:rsidP="006009B7">
            <w:pPr>
              <w:jc w:val="both"/>
              <w:rPr>
                <w:b/>
                <w:bCs/>
                <w:sz w:val="24"/>
                <w:szCs w:val="24"/>
              </w:rPr>
            </w:pPr>
            <w:r w:rsidRPr="006009B7">
              <w:rPr>
                <w:b/>
                <w:bCs/>
                <w:sz w:val="24"/>
                <w:szCs w:val="24"/>
              </w:rPr>
              <w:t xml:space="preserve">Methodology </w:t>
            </w:r>
          </w:p>
        </w:tc>
        <w:tc>
          <w:tcPr>
            <w:tcW w:w="1536" w:type="dxa"/>
            <w:vAlign w:val="center"/>
            <w:hideMark/>
          </w:tcPr>
          <w:p w14:paraId="37F6FFC1" w14:textId="77777777" w:rsidR="006009B7" w:rsidRPr="006009B7" w:rsidRDefault="006009B7" w:rsidP="006009B7">
            <w:pPr>
              <w:jc w:val="both"/>
              <w:rPr>
                <w:b/>
                <w:bCs/>
                <w:sz w:val="24"/>
                <w:szCs w:val="24"/>
              </w:rPr>
            </w:pPr>
            <w:r w:rsidRPr="006009B7">
              <w:rPr>
                <w:b/>
                <w:bCs/>
                <w:sz w:val="24"/>
                <w:szCs w:val="24"/>
              </w:rPr>
              <w:t>Clinical Utility</w:t>
            </w:r>
          </w:p>
        </w:tc>
        <w:tc>
          <w:tcPr>
            <w:tcW w:w="0" w:type="auto"/>
            <w:vAlign w:val="center"/>
            <w:hideMark/>
          </w:tcPr>
          <w:p w14:paraId="19BE723F" w14:textId="341841E5" w:rsidR="006009B7" w:rsidRPr="006009B7" w:rsidRDefault="006009B7" w:rsidP="006009B7">
            <w:pPr>
              <w:jc w:val="both"/>
              <w:rPr>
                <w:b/>
                <w:bCs/>
                <w:sz w:val="24"/>
                <w:szCs w:val="24"/>
              </w:rPr>
            </w:pPr>
            <w:r w:rsidRPr="006009B7">
              <w:rPr>
                <w:b/>
                <w:bCs/>
                <w:sz w:val="24"/>
                <w:szCs w:val="24"/>
              </w:rPr>
              <w:t xml:space="preserve">Limitations </w:t>
            </w:r>
          </w:p>
        </w:tc>
      </w:tr>
      <w:tr w:rsidR="006009B7" w:rsidRPr="006009B7" w14:paraId="49E0D5D6" w14:textId="77777777" w:rsidTr="006009B7">
        <w:trPr>
          <w:tblCellSpacing w:w="15" w:type="dxa"/>
        </w:trPr>
        <w:tc>
          <w:tcPr>
            <w:tcW w:w="0" w:type="auto"/>
            <w:vAlign w:val="center"/>
            <w:hideMark/>
          </w:tcPr>
          <w:p w14:paraId="0B0C0AC9" w14:textId="77777777" w:rsidR="006009B7" w:rsidRPr="006009B7" w:rsidRDefault="006009B7" w:rsidP="006009B7">
            <w:pPr>
              <w:jc w:val="both"/>
              <w:rPr>
                <w:sz w:val="24"/>
                <w:szCs w:val="24"/>
              </w:rPr>
            </w:pPr>
            <w:r w:rsidRPr="006009B7">
              <w:rPr>
                <w:b/>
                <w:bCs/>
                <w:sz w:val="24"/>
                <w:szCs w:val="24"/>
              </w:rPr>
              <w:t>CBCT-Based Predictive Scoring Systems</w:t>
            </w:r>
          </w:p>
        </w:tc>
        <w:tc>
          <w:tcPr>
            <w:tcW w:w="0" w:type="auto"/>
            <w:vAlign w:val="center"/>
            <w:hideMark/>
          </w:tcPr>
          <w:p w14:paraId="68066AAD" w14:textId="77777777" w:rsidR="006009B7" w:rsidRPr="006009B7" w:rsidRDefault="006009B7" w:rsidP="006009B7">
            <w:pPr>
              <w:jc w:val="both"/>
              <w:rPr>
                <w:sz w:val="24"/>
                <w:szCs w:val="24"/>
              </w:rPr>
            </w:pPr>
            <w:r w:rsidRPr="006009B7">
              <w:rPr>
                <w:sz w:val="24"/>
                <w:szCs w:val="24"/>
              </w:rPr>
              <w:t>Coronal position of IAC relative to root; IAC perforation length &gt;3.4 mm; lingual or interradicular IAC position; multiple root contacts; age &gt;30 years.</w:t>
            </w:r>
          </w:p>
        </w:tc>
        <w:tc>
          <w:tcPr>
            <w:tcW w:w="1596" w:type="dxa"/>
            <w:vAlign w:val="center"/>
            <w:hideMark/>
          </w:tcPr>
          <w:p w14:paraId="59376EC0" w14:textId="77777777" w:rsidR="006009B7" w:rsidRPr="006009B7" w:rsidRDefault="006009B7" w:rsidP="006009B7">
            <w:pPr>
              <w:jc w:val="both"/>
              <w:rPr>
                <w:sz w:val="24"/>
                <w:szCs w:val="24"/>
              </w:rPr>
            </w:pPr>
            <w:r w:rsidRPr="006009B7">
              <w:rPr>
                <w:sz w:val="24"/>
                <w:szCs w:val="24"/>
              </w:rPr>
              <w:t>Combines CBCT morphological data with clinical variables to generate a composite risk score (0–12).</w:t>
            </w:r>
          </w:p>
        </w:tc>
        <w:tc>
          <w:tcPr>
            <w:tcW w:w="1536" w:type="dxa"/>
            <w:vAlign w:val="center"/>
            <w:hideMark/>
          </w:tcPr>
          <w:p w14:paraId="3EA097EA" w14:textId="77777777" w:rsidR="006009B7" w:rsidRPr="006009B7" w:rsidRDefault="006009B7" w:rsidP="006009B7">
            <w:pPr>
              <w:jc w:val="both"/>
              <w:rPr>
                <w:sz w:val="24"/>
                <w:szCs w:val="24"/>
              </w:rPr>
            </w:pPr>
            <w:r w:rsidRPr="006009B7">
              <w:rPr>
                <w:sz w:val="24"/>
                <w:szCs w:val="24"/>
              </w:rPr>
              <w:t xml:space="preserve">Quantifies risk of IANI preoperatively; guides extraction strategy and patient </w:t>
            </w:r>
            <w:proofErr w:type="spellStart"/>
            <w:r w:rsidRPr="006009B7">
              <w:rPr>
                <w:sz w:val="24"/>
                <w:szCs w:val="24"/>
              </w:rPr>
              <w:t>counseling</w:t>
            </w:r>
            <w:proofErr w:type="spellEnd"/>
            <w:r w:rsidRPr="006009B7">
              <w:rPr>
                <w:sz w:val="24"/>
                <w:szCs w:val="24"/>
              </w:rPr>
              <w:t>.</w:t>
            </w:r>
          </w:p>
        </w:tc>
        <w:tc>
          <w:tcPr>
            <w:tcW w:w="0" w:type="auto"/>
            <w:vAlign w:val="center"/>
            <w:hideMark/>
          </w:tcPr>
          <w:p w14:paraId="31F0AF85" w14:textId="77777777" w:rsidR="006009B7" w:rsidRPr="006009B7" w:rsidRDefault="006009B7" w:rsidP="006009B7">
            <w:pPr>
              <w:jc w:val="both"/>
              <w:rPr>
                <w:sz w:val="24"/>
                <w:szCs w:val="24"/>
              </w:rPr>
            </w:pPr>
            <w:r w:rsidRPr="006009B7">
              <w:rPr>
                <w:sz w:val="24"/>
                <w:szCs w:val="24"/>
              </w:rPr>
              <w:t>Requires high-quality CBCT; scoring thresholds vary between studies.</w:t>
            </w:r>
          </w:p>
        </w:tc>
      </w:tr>
      <w:tr w:rsidR="006009B7" w:rsidRPr="006009B7" w14:paraId="7773821D" w14:textId="77777777" w:rsidTr="006009B7">
        <w:trPr>
          <w:tblCellSpacing w:w="15" w:type="dxa"/>
        </w:trPr>
        <w:tc>
          <w:tcPr>
            <w:tcW w:w="0" w:type="auto"/>
            <w:vAlign w:val="center"/>
            <w:hideMark/>
          </w:tcPr>
          <w:p w14:paraId="5178447D" w14:textId="77777777" w:rsidR="006009B7" w:rsidRPr="006009B7" w:rsidRDefault="006009B7" w:rsidP="006009B7">
            <w:pPr>
              <w:jc w:val="both"/>
              <w:rPr>
                <w:sz w:val="24"/>
                <w:szCs w:val="24"/>
              </w:rPr>
            </w:pPr>
            <w:r w:rsidRPr="006009B7">
              <w:rPr>
                <w:b/>
                <w:bCs/>
                <w:sz w:val="24"/>
                <w:szCs w:val="24"/>
              </w:rPr>
              <w:t>Clinical–Radiographic Decision-Making Algorithms</w:t>
            </w:r>
          </w:p>
        </w:tc>
        <w:tc>
          <w:tcPr>
            <w:tcW w:w="0" w:type="auto"/>
            <w:vAlign w:val="center"/>
            <w:hideMark/>
          </w:tcPr>
          <w:p w14:paraId="0DE84FC5" w14:textId="77777777" w:rsidR="006009B7" w:rsidRPr="006009B7" w:rsidRDefault="006009B7" w:rsidP="006009B7">
            <w:pPr>
              <w:jc w:val="both"/>
              <w:rPr>
                <w:sz w:val="24"/>
                <w:szCs w:val="24"/>
              </w:rPr>
            </w:pPr>
            <w:r w:rsidRPr="006009B7">
              <w:rPr>
                <w:sz w:val="24"/>
                <w:szCs w:val="24"/>
              </w:rPr>
              <w:t>Age, sex, impaction type (</w:t>
            </w:r>
            <w:proofErr w:type="spellStart"/>
            <w:r w:rsidRPr="006009B7">
              <w:rPr>
                <w:sz w:val="24"/>
                <w:szCs w:val="24"/>
              </w:rPr>
              <w:t>mesioangular</w:t>
            </w:r>
            <w:proofErr w:type="spellEnd"/>
            <w:r w:rsidRPr="006009B7">
              <w:rPr>
                <w:sz w:val="24"/>
                <w:szCs w:val="24"/>
              </w:rPr>
              <w:t>/horizontal), depth (Pell &amp; Gregory), OPG and CBCT markers.</w:t>
            </w:r>
          </w:p>
        </w:tc>
        <w:tc>
          <w:tcPr>
            <w:tcW w:w="1596" w:type="dxa"/>
            <w:vAlign w:val="center"/>
            <w:hideMark/>
          </w:tcPr>
          <w:p w14:paraId="244902AC" w14:textId="77777777" w:rsidR="006009B7" w:rsidRPr="006009B7" w:rsidRDefault="006009B7" w:rsidP="006009B7">
            <w:pPr>
              <w:jc w:val="both"/>
              <w:rPr>
                <w:sz w:val="24"/>
                <w:szCs w:val="24"/>
              </w:rPr>
            </w:pPr>
            <w:r w:rsidRPr="006009B7">
              <w:rPr>
                <w:sz w:val="24"/>
                <w:szCs w:val="24"/>
              </w:rPr>
              <w:t>Integrates demographic and imaging data to stratify patients into low-, moderate-, or high-risk categories.</w:t>
            </w:r>
          </w:p>
        </w:tc>
        <w:tc>
          <w:tcPr>
            <w:tcW w:w="1536" w:type="dxa"/>
            <w:vAlign w:val="center"/>
            <w:hideMark/>
          </w:tcPr>
          <w:p w14:paraId="1FF84C9D" w14:textId="77777777" w:rsidR="006009B7" w:rsidRPr="006009B7" w:rsidRDefault="006009B7" w:rsidP="006009B7">
            <w:pPr>
              <w:jc w:val="both"/>
              <w:rPr>
                <w:sz w:val="24"/>
                <w:szCs w:val="24"/>
              </w:rPr>
            </w:pPr>
            <w:r w:rsidRPr="006009B7">
              <w:rPr>
                <w:sz w:val="24"/>
                <w:szCs w:val="24"/>
              </w:rPr>
              <w:t>Supports informed consent, tailored flap design, and technique modification.</w:t>
            </w:r>
          </w:p>
        </w:tc>
        <w:tc>
          <w:tcPr>
            <w:tcW w:w="0" w:type="auto"/>
            <w:vAlign w:val="center"/>
            <w:hideMark/>
          </w:tcPr>
          <w:p w14:paraId="139FEB7E" w14:textId="77777777" w:rsidR="006009B7" w:rsidRPr="006009B7" w:rsidRDefault="006009B7" w:rsidP="006009B7">
            <w:pPr>
              <w:jc w:val="both"/>
              <w:rPr>
                <w:sz w:val="24"/>
                <w:szCs w:val="24"/>
              </w:rPr>
            </w:pPr>
            <w:r w:rsidRPr="006009B7">
              <w:rPr>
                <w:sz w:val="24"/>
                <w:szCs w:val="24"/>
              </w:rPr>
              <w:t>Dependent on clinician interpretation; limited standardization.</w:t>
            </w:r>
          </w:p>
        </w:tc>
      </w:tr>
      <w:tr w:rsidR="006009B7" w:rsidRPr="006009B7" w14:paraId="6B4B82D0" w14:textId="77777777" w:rsidTr="006009B7">
        <w:trPr>
          <w:tblCellSpacing w:w="15" w:type="dxa"/>
        </w:trPr>
        <w:tc>
          <w:tcPr>
            <w:tcW w:w="0" w:type="auto"/>
            <w:vAlign w:val="center"/>
            <w:hideMark/>
          </w:tcPr>
          <w:p w14:paraId="25537D03" w14:textId="77777777" w:rsidR="006009B7" w:rsidRPr="006009B7" w:rsidRDefault="006009B7" w:rsidP="006009B7">
            <w:pPr>
              <w:jc w:val="both"/>
              <w:rPr>
                <w:sz w:val="24"/>
                <w:szCs w:val="24"/>
              </w:rPr>
            </w:pPr>
            <w:r w:rsidRPr="006009B7">
              <w:rPr>
                <w:b/>
                <w:bCs/>
                <w:sz w:val="24"/>
                <w:szCs w:val="24"/>
              </w:rPr>
              <w:t>AI-Assisted Imaging Analysis</w:t>
            </w:r>
          </w:p>
        </w:tc>
        <w:tc>
          <w:tcPr>
            <w:tcW w:w="0" w:type="auto"/>
            <w:vAlign w:val="center"/>
            <w:hideMark/>
          </w:tcPr>
          <w:p w14:paraId="0EEF93EA" w14:textId="77777777" w:rsidR="006009B7" w:rsidRPr="006009B7" w:rsidRDefault="006009B7" w:rsidP="006009B7">
            <w:pPr>
              <w:jc w:val="both"/>
              <w:rPr>
                <w:sz w:val="24"/>
                <w:szCs w:val="24"/>
              </w:rPr>
            </w:pPr>
            <w:r w:rsidRPr="006009B7">
              <w:rPr>
                <w:sz w:val="24"/>
                <w:szCs w:val="24"/>
              </w:rPr>
              <w:t xml:space="preserve">CBCT or panoramic radiographs </w:t>
            </w:r>
            <w:proofErr w:type="spellStart"/>
            <w:r w:rsidRPr="006009B7">
              <w:rPr>
                <w:sz w:val="24"/>
                <w:szCs w:val="24"/>
              </w:rPr>
              <w:t>analyzed</w:t>
            </w:r>
            <w:proofErr w:type="spellEnd"/>
            <w:r w:rsidRPr="006009B7">
              <w:rPr>
                <w:sz w:val="24"/>
                <w:szCs w:val="24"/>
              </w:rPr>
              <w:t xml:space="preserve"> via CNN/deep learning models.</w:t>
            </w:r>
          </w:p>
        </w:tc>
        <w:tc>
          <w:tcPr>
            <w:tcW w:w="1596" w:type="dxa"/>
            <w:vAlign w:val="center"/>
            <w:hideMark/>
          </w:tcPr>
          <w:p w14:paraId="180A37D9" w14:textId="77777777" w:rsidR="006009B7" w:rsidRPr="006009B7" w:rsidRDefault="006009B7" w:rsidP="006009B7">
            <w:pPr>
              <w:jc w:val="both"/>
              <w:rPr>
                <w:sz w:val="24"/>
                <w:szCs w:val="24"/>
              </w:rPr>
            </w:pPr>
            <w:r w:rsidRPr="006009B7">
              <w:rPr>
                <w:sz w:val="24"/>
                <w:szCs w:val="24"/>
              </w:rPr>
              <w:t xml:space="preserve">Automated segmentation and feature extraction of mandibular </w:t>
            </w:r>
            <w:r w:rsidRPr="006009B7">
              <w:rPr>
                <w:sz w:val="24"/>
                <w:szCs w:val="24"/>
              </w:rPr>
              <w:lastRenderedPageBreak/>
              <w:t>canal and root relation; F1-score up to 0.92 in IANI prediction.</w:t>
            </w:r>
          </w:p>
        </w:tc>
        <w:tc>
          <w:tcPr>
            <w:tcW w:w="1536" w:type="dxa"/>
            <w:vAlign w:val="center"/>
            <w:hideMark/>
          </w:tcPr>
          <w:p w14:paraId="5B0D5061" w14:textId="77777777" w:rsidR="006009B7" w:rsidRPr="006009B7" w:rsidRDefault="006009B7" w:rsidP="006009B7">
            <w:pPr>
              <w:jc w:val="both"/>
              <w:rPr>
                <w:sz w:val="24"/>
                <w:szCs w:val="24"/>
              </w:rPr>
            </w:pPr>
            <w:r w:rsidRPr="006009B7">
              <w:rPr>
                <w:sz w:val="24"/>
                <w:szCs w:val="24"/>
              </w:rPr>
              <w:lastRenderedPageBreak/>
              <w:t xml:space="preserve">Enhances precision and reproducibility; reduces observer </w:t>
            </w:r>
            <w:r w:rsidRPr="006009B7">
              <w:rPr>
                <w:sz w:val="24"/>
                <w:szCs w:val="24"/>
              </w:rPr>
              <w:lastRenderedPageBreak/>
              <w:t>variability; assists less experienced clinicians.</w:t>
            </w:r>
          </w:p>
        </w:tc>
        <w:tc>
          <w:tcPr>
            <w:tcW w:w="0" w:type="auto"/>
            <w:vAlign w:val="center"/>
            <w:hideMark/>
          </w:tcPr>
          <w:p w14:paraId="28D17D32" w14:textId="77777777" w:rsidR="006009B7" w:rsidRPr="006009B7" w:rsidRDefault="006009B7" w:rsidP="006009B7">
            <w:pPr>
              <w:jc w:val="both"/>
              <w:rPr>
                <w:sz w:val="24"/>
                <w:szCs w:val="24"/>
              </w:rPr>
            </w:pPr>
            <w:r w:rsidRPr="006009B7">
              <w:rPr>
                <w:sz w:val="24"/>
                <w:szCs w:val="24"/>
              </w:rPr>
              <w:lastRenderedPageBreak/>
              <w:t xml:space="preserve">Requires large, diverse datasets; model generalizability </w:t>
            </w:r>
            <w:r w:rsidRPr="006009B7">
              <w:rPr>
                <w:sz w:val="24"/>
                <w:szCs w:val="24"/>
              </w:rPr>
              <w:lastRenderedPageBreak/>
              <w:t>yet to be validated.</w:t>
            </w:r>
          </w:p>
        </w:tc>
      </w:tr>
      <w:tr w:rsidR="006009B7" w:rsidRPr="006009B7" w14:paraId="4D28E66B" w14:textId="77777777" w:rsidTr="006009B7">
        <w:trPr>
          <w:tblCellSpacing w:w="15" w:type="dxa"/>
        </w:trPr>
        <w:tc>
          <w:tcPr>
            <w:tcW w:w="0" w:type="auto"/>
            <w:vAlign w:val="center"/>
            <w:hideMark/>
          </w:tcPr>
          <w:p w14:paraId="4AE6665D" w14:textId="77777777" w:rsidR="006009B7" w:rsidRPr="006009B7" w:rsidRDefault="006009B7" w:rsidP="006009B7">
            <w:pPr>
              <w:jc w:val="both"/>
              <w:rPr>
                <w:sz w:val="24"/>
                <w:szCs w:val="24"/>
              </w:rPr>
            </w:pPr>
            <w:r w:rsidRPr="006009B7">
              <w:rPr>
                <w:b/>
                <w:bCs/>
                <w:sz w:val="24"/>
                <w:szCs w:val="24"/>
              </w:rPr>
              <w:lastRenderedPageBreak/>
              <w:t>Molecular and Genetic Risk Profiling</w:t>
            </w:r>
          </w:p>
        </w:tc>
        <w:tc>
          <w:tcPr>
            <w:tcW w:w="0" w:type="auto"/>
            <w:vAlign w:val="center"/>
            <w:hideMark/>
          </w:tcPr>
          <w:p w14:paraId="03F1E0EB" w14:textId="77777777" w:rsidR="006009B7" w:rsidRPr="006009B7" w:rsidRDefault="006009B7" w:rsidP="006009B7">
            <w:pPr>
              <w:jc w:val="both"/>
              <w:rPr>
                <w:sz w:val="24"/>
                <w:szCs w:val="24"/>
              </w:rPr>
            </w:pPr>
            <w:r w:rsidRPr="006009B7">
              <w:rPr>
                <w:sz w:val="24"/>
                <w:szCs w:val="24"/>
              </w:rPr>
              <w:t>Inflammatory mediators, neurotrophic factors, and genetic variants linked to nerve sensitivity or regeneration.</w:t>
            </w:r>
          </w:p>
        </w:tc>
        <w:tc>
          <w:tcPr>
            <w:tcW w:w="1596" w:type="dxa"/>
            <w:vAlign w:val="center"/>
            <w:hideMark/>
          </w:tcPr>
          <w:p w14:paraId="714E56C2" w14:textId="77777777" w:rsidR="006009B7" w:rsidRPr="006009B7" w:rsidRDefault="006009B7" w:rsidP="006009B7">
            <w:pPr>
              <w:jc w:val="both"/>
              <w:rPr>
                <w:sz w:val="24"/>
                <w:szCs w:val="24"/>
              </w:rPr>
            </w:pPr>
            <w:r w:rsidRPr="006009B7">
              <w:rPr>
                <w:sz w:val="24"/>
                <w:szCs w:val="24"/>
              </w:rPr>
              <w:t>Investigational biomarkers studied via genomic or proteomic assays.</w:t>
            </w:r>
          </w:p>
        </w:tc>
        <w:tc>
          <w:tcPr>
            <w:tcW w:w="1536" w:type="dxa"/>
            <w:vAlign w:val="center"/>
            <w:hideMark/>
          </w:tcPr>
          <w:p w14:paraId="656343F0" w14:textId="77777777" w:rsidR="006009B7" w:rsidRPr="006009B7" w:rsidRDefault="006009B7" w:rsidP="006009B7">
            <w:pPr>
              <w:jc w:val="both"/>
              <w:rPr>
                <w:sz w:val="24"/>
                <w:szCs w:val="24"/>
              </w:rPr>
            </w:pPr>
            <w:r w:rsidRPr="006009B7">
              <w:rPr>
                <w:sz w:val="24"/>
                <w:szCs w:val="24"/>
              </w:rPr>
              <w:t>Potential for future personalized risk assessment and regenerative outcome prediction.</w:t>
            </w:r>
          </w:p>
        </w:tc>
        <w:tc>
          <w:tcPr>
            <w:tcW w:w="0" w:type="auto"/>
            <w:vAlign w:val="center"/>
            <w:hideMark/>
          </w:tcPr>
          <w:p w14:paraId="2C324AF2" w14:textId="77777777" w:rsidR="006009B7" w:rsidRPr="006009B7" w:rsidRDefault="006009B7" w:rsidP="006009B7">
            <w:pPr>
              <w:jc w:val="both"/>
              <w:rPr>
                <w:sz w:val="24"/>
                <w:szCs w:val="24"/>
              </w:rPr>
            </w:pPr>
            <w:r w:rsidRPr="006009B7">
              <w:rPr>
                <w:sz w:val="24"/>
                <w:szCs w:val="24"/>
              </w:rPr>
              <w:t>Still experimental; no clinical assays or standardization.</w:t>
            </w:r>
          </w:p>
        </w:tc>
      </w:tr>
      <w:tr w:rsidR="006009B7" w:rsidRPr="006009B7" w14:paraId="1D073DA3" w14:textId="77777777" w:rsidTr="006009B7">
        <w:trPr>
          <w:tblCellSpacing w:w="15" w:type="dxa"/>
        </w:trPr>
        <w:tc>
          <w:tcPr>
            <w:tcW w:w="0" w:type="auto"/>
            <w:vAlign w:val="center"/>
            <w:hideMark/>
          </w:tcPr>
          <w:p w14:paraId="351C7A3A" w14:textId="77777777" w:rsidR="006009B7" w:rsidRPr="006009B7" w:rsidRDefault="006009B7" w:rsidP="006009B7">
            <w:pPr>
              <w:jc w:val="both"/>
              <w:rPr>
                <w:sz w:val="24"/>
                <w:szCs w:val="24"/>
              </w:rPr>
            </w:pPr>
            <w:r w:rsidRPr="006009B7">
              <w:rPr>
                <w:b/>
                <w:bCs/>
                <w:sz w:val="24"/>
                <w:szCs w:val="24"/>
              </w:rPr>
              <w:t>Integrated Multimodal Predictive Frameworks</w:t>
            </w:r>
          </w:p>
        </w:tc>
        <w:tc>
          <w:tcPr>
            <w:tcW w:w="0" w:type="auto"/>
            <w:vAlign w:val="center"/>
            <w:hideMark/>
          </w:tcPr>
          <w:p w14:paraId="2089D75E" w14:textId="77777777" w:rsidR="006009B7" w:rsidRPr="006009B7" w:rsidRDefault="006009B7" w:rsidP="006009B7">
            <w:pPr>
              <w:jc w:val="both"/>
              <w:rPr>
                <w:sz w:val="24"/>
                <w:szCs w:val="24"/>
              </w:rPr>
            </w:pPr>
            <w:r w:rsidRPr="006009B7">
              <w:rPr>
                <w:sz w:val="24"/>
                <w:szCs w:val="24"/>
              </w:rPr>
              <w:t>Combination of clinical, radiographic, AI, and molecular data.</w:t>
            </w:r>
          </w:p>
        </w:tc>
        <w:tc>
          <w:tcPr>
            <w:tcW w:w="1596" w:type="dxa"/>
            <w:vAlign w:val="center"/>
            <w:hideMark/>
          </w:tcPr>
          <w:p w14:paraId="6317F1E2" w14:textId="77777777" w:rsidR="006009B7" w:rsidRPr="006009B7" w:rsidRDefault="006009B7" w:rsidP="006009B7">
            <w:pPr>
              <w:jc w:val="both"/>
              <w:rPr>
                <w:sz w:val="24"/>
                <w:szCs w:val="24"/>
              </w:rPr>
            </w:pPr>
            <w:r w:rsidRPr="006009B7">
              <w:rPr>
                <w:sz w:val="24"/>
                <w:szCs w:val="24"/>
              </w:rPr>
              <w:t>Hybrid models merging deep learning analytics with biological and demographic predictors.</w:t>
            </w:r>
          </w:p>
        </w:tc>
        <w:tc>
          <w:tcPr>
            <w:tcW w:w="1536" w:type="dxa"/>
            <w:vAlign w:val="center"/>
            <w:hideMark/>
          </w:tcPr>
          <w:p w14:paraId="28A768E8" w14:textId="77777777" w:rsidR="006009B7" w:rsidRPr="006009B7" w:rsidRDefault="006009B7" w:rsidP="006009B7">
            <w:pPr>
              <w:jc w:val="both"/>
              <w:rPr>
                <w:sz w:val="24"/>
                <w:szCs w:val="24"/>
              </w:rPr>
            </w:pPr>
            <w:r w:rsidRPr="006009B7">
              <w:rPr>
                <w:sz w:val="24"/>
                <w:szCs w:val="24"/>
              </w:rPr>
              <w:t>Promises personalized, precise risk estimation and improved surgical planning.</w:t>
            </w:r>
          </w:p>
        </w:tc>
        <w:tc>
          <w:tcPr>
            <w:tcW w:w="0" w:type="auto"/>
            <w:vAlign w:val="center"/>
            <w:hideMark/>
          </w:tcPr>
          <w:p w14:paraId="39706526" w14:textId="77777777" w:rsidR="006009B7" w:rsidRPr="006009B7" w:rsidRDefault="006009B7" w:rsidP="006009B7">
            <w:pPr>
              <w:jc w:val="both"/>
              <w:rPr>
                <w:sz w:val="24"/>
                <w:szCs w:val="24"/>
              </w:rPr>
            </w:pPr>
            <w:r w:rsidRPr="006009B7">
              <w:rPr>
                <w:sz w:val="24"/>
                <w:szCs w:val="24"/>
              </w:rPr>
              <w:t xml:space="preserve">Needs </w:t>
            </w:r>
            <w:proofErr w:type="spellStart"/>
            <w:r w:rsidRPr="006009B7">
              <w:rPr>
                <w:sz w:val="24"/>
                <w:szCs w:val="24"/>
              </w:rPr>
              <w:t>multicenter</w:t>
            </w:r>
            <w:proofErr w:type="spellEnd"/>
            <w:r w:rsidRPr="006009B7">
              <w:rPr>
                <w:sz w:val="24"/>
                <w:szCs w:val="24"/>
              </w:rPr>
              <w:t xml:space="preserve"> validation, data harmonization, and explainable AI </w:t>
            </w:r>
            <w:proofErr w:type="spellStart"/>
            <w:r w:rsidRPr="006009B7">
              <w:rPr>
                <w:sz w:val="24"/>
                <w:szCs w:val="24"/>
              </w:rPr>
              <w:t>integrati</w:t>
            </w:r>
            <w:proofErr w:type="spellEnd"/>
          </w:p>
        </w:tc>
      </w:tr>
    </w:tbl>
    <w:p w14:paraId="04870380" w14:textId="77777777" w:rsidR="006009B7" w:rsidRPr="006009B7" w:rsidRDefault="006009B7" w:rsidP="007D027B">
      <w:pPr>
        <w:jc w:val="both"/>
        <w:rPr>
          <w:sz w:val="24"/>
          <w:szCs w:val="24"/>
        </w:rPr>
      </w:pPr>
    </w:p>
    <w:p w14:paraId="59F610BD" w14:textId="092FA985" w:rsidR="007D027B" w:rsidRPr="007D027B" w:rsidRDefault="007D027B" w:rsidP="007D027B">
      <w:pPr>
        <w:jc w:val="both"/>
        <w:rPr>
          <w:b/>
          <w:bCs/>
          <w:sz w:val="24"/>
          <w:szCs w:val="24"/>
        </w:rPr>
      </w:pPr>
      <w:r w:rsidRPr="007D027B">
        <w:rPr>
          <w:b/>
          <w:bCs/>
          <w:sz w:val="24"/>
          <w:szCs w:val="24"/>
        </w:rPr>
        <w:t>Prevention and Management Strategies for Mandibular Nerve Injury (MNI) in Third Molar Surgery</w:t>
      </w:r>
    </w:p>
    <w:p w14:paraId="4FED1620" w14:textId="46E02C79" w:rsidR="007D027B" w:rsidRPr="007D027B" w:rsidRDefault="007D027B" w:rsidP="007D027B">
      <w:pPr>
        <w:jc w:val="both"/>
        <w:rPr>
          <w:sz w:val="24"/>
          <w:szCs w:val="24"/>
          <w:vertAlign w:val="superscript"/>
        </w:rPr>
      </w:pPr>
      <w:r w:rsidRPr="007D027B">
        <w:rPr>
          <w:sz w:val="24"/>
          <w:szCs w:val="24"/>
        </w:rPr>
        <w:t xml:space="preserve">Effective prevention and management of mandibular nerve injury (MNI) in third molar surgery require a comprehensive, multi-stage approach encompassing preoperative, intraoperative, and postoperative measures. Preoperatively, thorough patient </w:t>
      </w:r>
      <w:proofErr w:type="spellStart"/>
      <w:r w:rsidRPr="007D027B">
        <w:rPr>
          <w:sz w:val="24"/>
          <w:szCs w:val="24"/>
        </w:rPr>
        <w:t>counseling</w:t>
      </w:r>
      <w:proofErr w:type="spellEnd"/>
      <w:r w:rsidRPr="007D027B">
        <w:rPr>
          <w:sz w:val="24"/>
          <w:szCs w:val="24"/>
        </w:rPr>
        <w:t xml:space="preserve"> and informed consent are crucial, ensuring that patients are clearly educated about the potential risks of temporary or permanent sensory disturbances, prognosis, and available management options. Proper documentation and discussion of alternative treatment plans, particularly in high-risk cases such as older patients or deeply impacted teeth, foster transparency and preparedness. Intraoperatively, adopting a well-designed mucoperiosteal flap allows optimal visibility while minimizing soft tissue trauma, and performing conservative ostectomy</w:t>
      </w:r>
      <w:r>
        <w:rPr>
          <w:sz w:val="24"/>
          <w:szCs w:val="24"/>
        </w:rPr>
        <w:t xml:space="preserve"> </w:t>
      </w:r>
      <w:r w:rsidRPr="007D027B">
        <w:rPr>
          <w:sz w:val="24"/>
          <w:szCs w:val="24"/>
        </w:rPr>
        <w:t>particularly distal and distal-lingual to the tooth—reduces unnecessary bone removal. Controlled tooth sectioning and gentle dislocation along the root curvature minimize compression or traction on the inferior alveolar nerve (IAN), while careful socket debridement is advised when roots are in close proximity to the mandibular canal.</w:t>
      </w:r>
      <w:r>
        <w:rPr>
          <w:sz w:val="24"/>
          <w:szCs w:val="24"/>
          <w:vertAlign w:val="superscript"/>
        </w:rPr>
        <w:t>27</w:t>
      </w:r>
      <w:r w:rsidRPr="007D027B">
        <w:rPr>
          <w:sz w:val="24"/>
          <w:szCs w:val="24"/>
        </w:rPr>
        <w:t xml:space="preserve"> Protection of the lingual nerve demands cautious use of retractors, maintenance of the mandibular inner </w:t>
      </w:r>
      <w:r w:rsidRPr="007D027B">
        <w:rPr>
          <w:sz w:val="24"/>
          <w:szCs w:val="24"/>
        </w:rPr>
        <w:lastRenderedPageBreak/>
        <w:t>cortex, and precise suturing to avoid soft tissue trauma. Preventing thermal injury through adequate irrigation and judicious use of rotary instruments further safeguards neural structures. The use of magnification aids, microsurgical instruments, and CBCT-guided navigation enhances surgical precision and nerve preservation. Postoperatively, early identification of sensory deficits through neurosensory testing and patient-reported symptoms is vital for timely intervention. Pharmacologic management with corticosteroids to mitigate inflammation and B-complex vitamins to support neural recovery can facilitate healing, while prompt referral to specialists is warranted for persistent or severe neuropathic symptoms. Continuous monitoring of recovery progress is essential, with surgical nerve repair considered in cases of transection or unresolving dysfunction. Collectively, these preventive and management strategies—anchored in preoperative planning, meticulous surgical execution, and vigilant postoperative care—are pivotal in minimizing morbidity, enhancing nerve recovery, and improving patient quality of life following mandibular third molar surgery.</w:t>
      </w:r>
      <w:r>
        <w:rPr>
          <w:sz w:val="24"/>
          <w:szCs w:val="24"/>
          <w:vertAlign w:val="superscript"/>
        </w:rPr>
        <w:t>28</w:t>
      </w:r>
    </w:p>
    <w:p w14:paraId="483BA908" w14:textId="77777777" w:rsidR="00384857" w:rsidRPr="00384857" w:rsidRDefault="00384857" w:rsidP="00384857">
      <w:pPr>
        <w:jc w:val="both"/>
        <w:rPr>
          <w:b/>
          <w:bCs/>
          <w:sz w:val="24"/>
          <w:szCs w:val="24"/>
        </w:rPr>
      </w:pPr>
      <w:r w:rsidRPr="00384857">
        <w:rPr>
          <w:b/>
          <w:bCs/>
          <w:sz w:val="24"/>
          <w:szCs w:val="24"/>
        </w:rPr>
        <w:t>Future Directions in Predicting and Managing Mandibular Nerve Injury (MNI)</w:t>
      </w:r>
    </w:p>
    <w:p w14:paraId="33D07AF7" w14:textId="1D46FC78" w:rsidR="00384857" w:rsidRPr="00384857" w:rsidRDefault="00384857" w:rsidP="00384857">
      <w:pPr>
        <w:jc w:val="both"/>
        <w:rPr>
          <w:sz w:val="24"/>
          <w:szCs w:val="24"/>
          <w:vertAlign w:val="superscript"/>
        </w:rPr>
      </w:pPr>
      <w:r w:rsidRPr="00384857">
        <w:rPr>
          <w:sz w:val="24"/>
          <w:szCs w:val="24"/>
        </w:rPr>
        <w:t xml:space="preserve">The future of mandibular nerve injury (MNI) prediction and management is moving toward integrative, technology-driven, and personalized approaches that combine artificial intelligence (AI), advanced imaging, and molecular insights. Deep learning models have demonstrated exceptional accuracy approaching 93% sensitivity and specificity—in </w:t>
      </w:r>
      <w:proofErr w:type="spellStart"/>
      <w:r w:rsidRPr="00384857">
        <w:rPr>
          <w:sz w:val="24"/>
          <w:szCs w:val="24"/>
        </w:rPr>
        <w:t>analyzing</w:t>
      </w:r>
      <w:proofErr w:type="spellEnd"/>
      <w:r w:rsidRPr="00384857">
        <w:rPr>
          <w:sz w:val="24"/>
          <w:szCs w:val="24"/>
        </w:rPr>
        <w:t xml:space="preserve"> panoramic and CBCT images to predict surgical difficulty and inferior alveolar nerve (IAN) injury risk, often outperforming or complementing human experts by standardizing and automating risk assessments.</w:t>
      </w:r>
      <w:r>
        <w:rPr>
          <w:sz w:val="24"/>
          <w:szCs w:val="24"/>
          <w:vertAlign w:val="superscript"/>
        </w:rPr>
        <w:t>29</w:t>
      </w:r>
      <w:r w:rsidRPr="00384857">
        <w:rPr>
          <w:sz w:val="24"/>
          <w:szCs w:val="24"/>
        </w:rPr>
        <w:t xml:space="preserve"> These AI systems minimize observer variability and enhance consistency, offering data-driven support for clinical decision-making. Parallel advancements in molecular and genetic biomarker research are opening avenues for identifying individual susceptibility to nerve injury and regenerative potential, although such markers are still in experimental stages and not yet incorporated into routine practice. The convergence of AI-based imaging analytics with clinical, molecular, and genetic data promises the development of hybrid predictive models capable of delivering personalized and precise risk stratification. However, achieving this vision requires global collaboration and </w:t>
      </w:r>
      <w:proofErr w:type="spellStart"/>
      <w:r w:rsidRPr="00384857">
        <w:rPr>
          <w:sz w:val="24"/>
          <w:szCs w:val="24"/>
        </w:rPr>
        <w:t>multicenter</w:t>
      </w:r>
      <w:proofErr w:type="spellEnd"/>
      <w:r w:rsidRPr="00384857">
        <w:rPr>
          <w:sz w:val="24"/>
          <w:szCs w:val="24"/>
        </w:rPr>
        <w:t xml:space="preserve"> validation to address variability in demographics, imaging protocols, and data quality. Establishing standardized frameworks for imaging acquisition, data annotation, and outcome reporting will be critical to ensure reproducibility and cross-population applicability. Ultimately, a universal, explainable AI-powered predictive framework integrating multimodal data will enable real-time, evidence-based surgical planning and individualized patient care, significantly reducing nerve injury incidence and transforming safety standards in third molar surgery worldwide.</w:t>
      </w:r>
      <w:r>
        <w:rPr>
          <w:sz w:val="24"/>
          <w:szCs w:val="24"/>
          <w:vertAlign w:val="superscript"/>
        </w:rPr>
        <w:t>30</w:t>
      </w:r>
    </w:p>
    <w:p w14:paraId="7E6E4540" w14:textId="77777777" w:rsidR="005749C2" w:rsidRDefault="005749C2" w:rsidP="00F8784E">
      <w:pPr>
        <w:jc w:val="both"/>
        <w:rPr>
          <w:b/>
          <w:bCs/>
          <w:sz w:val="24"/>
          <w:szCs w:val="24"/>
        </w:rPr>
      </w:pPr>
    </w:p>
    <w:p w14:paraId="26CA2B47" w14:textId="57B2B8F4" w:rsidR="00F8784E" w:rsidRPr="00F8784E" w:rsidRDefault="00F8784E" w:rsidP="00F8784E">
      <w:pPr>
        <w:jc w:val="both"/>
        <w:rPr>
          <w:b/>
          <w:bCs/>
          <w:sz w:val="24"/>
          <w:szCs w:val="24"/>
        </w:rPr>
      </w:pPr>
      <w:r w:rsidRPr="00F8784E">
        <w:rPr>
          <w:b/>
          <w:bCs/>
          <w:sz w:val="24"/>
          <w:szCs w:val="24"/>
        </w:rPr>
        <w:t>Conclusion</w:t>
      </w:r>
    </w:p>
    <w:p w14:paraId="34EB06FB" w14:textId="77777777" w:rsidR="00F8784E" w:rsidRPr="00F8784E" w:rsidRDefault="00F8784E" w:rsidP="00F8784E">
      <w:pPr>
        <w:jc w:val="both"/>
        <w:rPr>
          <w:sz w:val="24"/>
          <w:szCs w:val="24"/>
        </w:rPr>
      </w:pPr>
      <w:r w:rsidRPr="00F8784E">
        <w:rPr>
          <w:sz w:val="24"/>
          <w:szCs w:val="24"/>
        </w:rPr>
        <w:t xml:space="preserve">The most reliable predictive markers for mandibular nerve injury include advanced patient age, tooth impaction type and depth, radiographic signs of nerve-root proximity, and surgical technique. Integrating clinical, radiographic, and surgical factors allows accurate risk stratification and informed surgical planning. Emerging AI and molecular approaches hold </w:t>
      </w:r>
      <w:r w:rsidRPr="00F8784E">
        <w:rPr>
          <w:sz w:val="24"/>
          <w:szCs w:val="24"/>
        </w:rPr>
        <w:lastRenderedPageBreak/>
        <w:t xml:space="preserve">promise but require further validation. Future research should focus on standardization, </w:t>
      </w:r>
      <w:proofErr w:type="spellStart"/>
      <w:r w:rsidRPr="00F8784E">
        <w:rPr>
          <w:sz w:val="24"/>
          <w:szCs w:val="24"/>
        </w:rPr>
        <w:t>multicenter</w:t>
      </w:r>
      <w:proofErr w:type="spellEnd"/>
      <w:r w:rsidRPr="00F8784E">
        <w:rPr>
          <w:sz w:val="24"/>
          <w:szCs w:val="24"/>
        </w:rPr>
        <w:t xml:space="preserve"> studies, and personalized predictive models to enhance patient safety.</w:t>
      </w:r>
    </w:p>
    <w:p w14:paraId="7C17D0D9" w14:textId="77777777" w:rsidR="00C41527" w:rsidRPr="00C41527" w:rsidRDefault="00C41527" w:rsidP="00C41527">
      <w:pPr>
        <w:jc w:val="both"/>
        <w:rPr>
          <w:sz w:val="24"/>
          <w:szCs w:val="24"/>
        </w:rPr>
      </w:pPr>
    </w:p>
    <w:p w14:paraId="7D31938D" w14:textId="0ED9DC85" w:rsidR="008705A2" w:rsidRDefault="008705A2" w:rsidP="008705A2">
      <w:pPr>
        <w:rPr>
          <w:b/>
          <w:bCs/>
          <w:sz w:val="24"/>
          <w:szCs w:val="24"/>
        </w:rPr>
      </w:pPr>
      <w:r>
        <w:rPr>
          <w:b/>
          <w:bCs/>
          <w:sz w:val="24"/>
          <w:szCs w:val="24"/>
        </w:rPr>
        <w:t>References</w:t>
      </w:r>
    </w:p>
    <w:p w14:paraId="2DCD595B" w14:textId="0651691D" w:rsidR="008705A2" w:rsidRPr="005A038E" w:rsidRDefault="008705A2" w:rsidP="005A038E">
      <w:pPr>
        <w:pStyle w:val="ListParagraph"/>
        <w:numPr>
          <w:ilvl w:val="0"/>
          <w:numId w:val="1"/>
        </w:numPr>
        <w:jc w:val="both"/>
        <w:rPr>
          <w:sz w:val="24"/>
          <w:szCs w:val="24"/>
        </w:rPr>
      </w:pPr>
      <w:proofErr w:type="spellStart"/>
      <w:r w:rsidRPr="005A038E">
        <w:rPr>
          <w:sz w:val="24"/>
          <w:szCs w:val="24"/>
        </w:rPr>
        <w:t>Sarikov</w:t>
      </w:r>
      <w:proofErr w:type="spellEnd"/>
      <w:r w:rsidRPr="005A038E">
        <w:rPr>
          <w:sz w:val="24"/>
          <w:szCs w:val="24"/>
        </w:rPr>
        <w:t xml:space="preserve"> R, </w:t>
      </w:r>
      <w:proofErr w:type="spellStart"/>
      <w:r w:rsidRPr="005A038E">
        <w:rPr>
          <w:sz w:val="24"/>
          <w:szCs w:val="24"/>
        </w:rPr>
        <w:t>Juodzbalys</w:t>
      </w:r>
      <w:proofErr w:type="spellEnd"/>
      <w:r w:rsidRPr="005A038E">
        <w:rPr>
          <w:sz w:val="24"/>
          <w:szCs w:val="24"/>
        </w:rPr>
        <w:t xml:space="preserve"> G. Inferior alveolar nerve injury after mandibular third molar extraction: a literature review. J Oral </w:t>
      </w:r>
      <w:proofErr w:type="spellStart"/>
      <w:r w:rsidRPr="005A038E">
        <w:rPr>
          <w:sz w:val="24"/>
          <w:szCs w:val="24"/>
        </w:rPr>
        <w:t>Maxillofac</w:t>
      </w:r>
      <w:proofErr w:type="spellEnd"/>
      <w:r w:rsidRPr="005A038E">
        <w:rPr>
          <w:sz w:val="24"/>
          <w:szCs w:val="24"/>
        </w:rPr>
        <w:t xml:space="preserve"> Res. 2014 Dec 29;5(4</w:t>
      </w:r>
      <w:proofErr w:type="gramStart"/>
      <w:r w:rsidRPr="005A038E">
        <w:rPr>
          <w:sz w:val="24"/>
          <w:szCs w:val="24"/>
        </w:rPr>
        <w:t>):e</w:t>
      </w:r>
      <w:proofErr w:type="gramEnd"/>
      <w:r w:rsidRPr="005A038E">
        <w:rPr>
          <w:sz w:val="24"/>
          <w:szCs w:val="24"/>
        </w:rPr>
        <w:t xml:space="preserve">1. </w:t>
      </w:r>
      <w:proofErr w:type="spellStart"/>
      <w:r w:rsidRPr="005A038E">
        <w:rPr>
          <w:sz w:val="24"/>
          <w:szCs w:val="24"/>
        </w:rPr>
        <w:t>doi</w:t>
      </w:r>
      <w:proofErr w:type="spellEnd"/>
      <w:r w:rsidRPr="005A038E">
        <w:rPr>
          <w:sz w:val="24"/>
          <w:szCs w:val="24"/>
        </w:rPr>
        <w:t>: 10.5037/jomr.2014.5401. PMID: 25635208; PMCID: PMC4306319.</w:t>
      </w:r>
    </w:p>
    <w:p w14:paraId="48E2F533" w14:textId="60573A3E" w:rsidR="005A038E" w:rsidRPr="005A038E" w:rsidRDefault="005A038E" w:rsidP="005A038E">
      <w:pPr>
        <w:pStyle w:val="ListParagraph"/>
        <w:numPr>
          <w:ilvl w:val="0"/>
          <w:numId w:val="1"/>
        </w:numPr>
        <w:jc w:val="both"/>
        <w:rPr>
          <w:sz w:val="24"/>
          <w:szCs w:val="24"/>
        </w:rPr>
      </w:pPr>
      <w:r w:rsidRPr="005A038E">
        <w:rPr>
          <w:sz w:val="24"/>
          <w:szCs w:val="24"/>
        </w:rPr>
        <w:t xml:space="preserve">Lee J, Feng B, Park JS, Foo M, Kruger E (2023) Incidence of lingual nerve damage following surgical extraction of mandibular third molars with lingual flap retraction: A systematic review and meta-analysis. </w:t>
      </w:r>
      <w:proofErr w:type="spellStart"/>
      <w:r w:rsidRPr="005A038E">
        <w:rPr>
          <w:sz w:val="24"/>
          <w:szCs w:val="24"/>
        </w:rPr>
        <w:t>PLoS</w:t>
      </w:r>
      <w:proofErr w:type="spellEnd"/>
      <w:r w:rsidRPr="005A038E">
        <w:rPr>
          <w:sz w:val="24"/>
          <w:szCs w:val="24"/>
        </w:rPr>
        <w:t xml:space="preserve"> ONE 18(2): e0282185. </w:t>
      </w:r>
      <w:hyperlink r:id="rId7" w:history="1">
        <w:r w:rsidRPr="005A038E">
          <w:rPr>
            <w:rStyle w:val="Hyperlink"/>
            <w:sz w:val="24"/>
            <w:szCs w:val="24"/>
          </w:rPr>
          <w:t>https://doi.org/10.1371/journal.pone.0282185</w:t>
        </w:r>
      </w:hyperlink>
    </w:p>
    <w:p w14:paraId="39B47E40" w14:textId="7556DF7F" w:rsidR="005A038E" w:rsidRDefault="005A038E" w:rsidP="005A038E">
      <w:pPr>
        <w:pStyle w:val="ListParagraph"/>
        <w:numPr>
          <w:ilvl w:val="0"/>
          <w:numId w:val="1"/>
        </w:numPr>
        <w:jc w:val="both"/>
        <w:rPr>
          <w:sz w:val="24"/>
          <w:szCs w:val="24"/>
        </w:rPr>
      </w:pPr>
      <w:r w:rsidRPr="005A038E">
        <w:rPr>
          <w:sz w:val="24"/>
          <w:szCs w:val="24"/>
        </w:rPr>
        <w:t>Choudhari S, Park JH, Reher V, Reher P. Nerve Injuries Following Third Molar Surgery at an Australian University: A 4-Year Review. J Surgery. 2022; 2(2): 1041.</w:t>
      </w:r>
    </w:p>
    <w:p w14:paraId="12BBD9A6" w14:textId="77777777" w:rsidR="005A038E" w:rsidRPr="005A038E" w:rsidRDefault="005A038E" w:rsidP="005A038E">
      <w:pPr>
        <w:pStyle w:val="ListParagraph"/>
        <w:numPr>
          <w:ilvl w:val="0"/>
          <w:numId w:val="1"/>
        </w:numPr>
        <w:jc w:val="both"/>
        <w:rPr>
          <w:sz w:val="24"/>
          <w:szCs w:val="24"/>
        </w:rPr>
      </w:pPr>
      <w:r w:rsidRPr="005A038E">
        <w:rPr>
          <w:sz w:val="24"/>
          <w:szCs w:val="24"/>
        </w:rPr>
        <w:t xml:space="preserve">Jin, Q., &amp; Xie, Z. (2022). </w:t>
      </w:r>
      <w:r w:rsidRPr="005A038E">
        <w:rPr>
          <w:i/>
          <w:iCs/>
          <w:sz w:val="24"/>
          <w:szCs w:val="24"/>
        </w:rPr>
        <w:t>Evaluating the risk factors of inferior alveolar nerve injury following removal of the mandibular third molars</w:t>
      </w:r>
      <w:r w:rsidRPr="005A038E">
        <w:rPr>
          <w:sz w:val="24"/>
          <w:szCs w:val="24"/>
        </w:rPr>
        <w:t xml:space="preserve">. </w:t>
      </w:r>
      <w:r w:rsidRPr="005A038E">
        <w:rPr>
          <w:i/>
          <w:iCs/>
          <w:sz w:val="24"/>
          <w:szCs w:val="24"/>
        </w:rPr>
        <w:t>57 3</w:t>
      </w:r>
      <w:r w:rsidRPr="005A038E">
        <w:rPr>
          <w:sz w:val="24"/>
          <w:szCs w:val="24"/>
        </w:rPr>
        <w:t>(3), 258–265. https://doi.org/10.3760/cma.j.cn112144-20210713-00326</w:t>
      </w:r>
    </w:p>
    <w:p w14:paraId="0651E45B" w14:textId="77777777" w:rsidR="005A038E" w:rsidRPr="005A038E" w:rsidRDefault="005A038E" w:rsidP="005A038E">
      <w:pPr>
        <w:pStyle w:val="ListParagraph"/>
        <w:numPr>
          <w:ilvl w:val="0"/>
          <w:numId w:val="1"/>
        </w:numPr>
        <w:jc w:val="both"/>
        <w:rPr>
          <w:sz w:val="24"/>
          <w:szCs w:val="24"/>
        </w:rPr>
      </w:pPr>
      <w:r w:rsidRPr="005A038E">
        <w:rPr>
          <w:sz w:val="24"/>
          <w:szCs w:val="24"/>
        </w:rPr>
        <w:t xml:space="preserve">Hoshi, R., </w:t>
      </w:r>
      <w:proofErr w:type="spellStart"/>
      <w:r w:rsidRPr="005A038E">
        <w:rPr>
          <w:sz w:val="24"/>
          <w:szCs w:val="24"/>
        </w:rPr>
        <w:t>Tetsumura</w:t>
      </w:r>
      <w:proofErr w:type="spellEnd"/>
      <w:r w:rsidRPr="005A038E">
        <w:rPr>
          <w:sz w:val="24"/>
          <w:szCs w:val="24"/>
        </w:rPr>
        <w:t xml:space="preserve">, A., &amp; Yamaguchi, S. (2018). Preoperative imaging findings as predictors of postoperative inferior alveolar nerve injury following mandibular cyst surgery. </w:t>
      </w:r>
      <w:r w:rsidRPr="005A038E">
        <w:rPr>
          <w:i/>
          <w:iCs/>
          <w:sz w:val="24"/>
          <w:szCs w:val="24"/>
        </w:rPr>
        <w:t>Journal of Oral Science</w:t>
      </w:r>
      <w:r w:rsidRPr="005A038E">
        <w:rPr>
          <w:sz w:val="24"/>
          <w:szCs w:val="24"/>
        </w:rPr>
        <w:t xml:space="preserve">, </w:t>
      </w:r>
      <w:r w:rsidRPr="005A038E">
        <w:rPr>
          <w:i/>
          <w:iCs/>
          <w:sz w:val="24"/>
          <w:szCs w:val="24"/>
        </w:rPr>
        <w:t>60</w:t>
      </w:r>
      <w:r w:rsidRPr="005A038E">
        <w:rPr>
          <w:sz w:val="24"/>
          <w:szCs w:val="24"/>
        </w:rPr>
        <w:t>(4), 618–625. https://doi.org/10.2334/JOSNUSD.17-0458</w:t>
      </w:r>
    </w:p>
    <w:p w14:paraId="2A2A82C7" w14:textId="7D762EC8" w:rsidR="005A038E" w:rsidRDefault="00C41527" w:rsidP="005A038E">
      <w:pPr>
        <w:pStyle w:val="ListParagraph"/>
        <w:numPr>
          <w:ilvl w:val="0"/>
          <w:numId w:val="1"/>
        </w:numPr>
        <w:jc w:val="both"/>
        <w:rPr>
          <w:sz w:val="24"/>
          <w:szCs w:val="24"/>
        </w:rPr>
      </w:pPr>
      <w:r w:rsidRPr="00C41527">
        <w:rPr>
          <w:sz w:val="24"/>
          <w:szCs w:val="24"/>
        </w:rPr>
        <w:t xml:space="preserve">Wolf KT, Brokaw EJ, Bell A, Joy A. Variant Inferior Alveolar Nerves and Implications for Local </w:t>
      </w:r>
      <w:proofErr w:type="spellStart"/>
      <w:r w:rsidRPr="00C41527">
        <w:rPr>
          <w:sz w:val="24"/>
          <w:szCs w:val="24"/>
        </w:rPr>
        <w:t>Anesthesia</w:t>
      </w:r>
      <w:proofErr w:type="spellEnd"/>
      <w:r w:rsidRPr="00C41527">
        <w:rPr>
          <w:sz w:val="24"/>
          <w:szCs w:val="24"/>
        </w:rPr>
        <w:t xml:space="preserve">. </w:t>
      </w:r>
      <w:proofErr w:type="spellStart"/>
      <w:r w:rsidRPr="00C41527">
        <w:rPr>
          <w:sz w:val="24"/>
          <w:szCs w:val="24"/>
        </w:rPr>
        <w:t>Anesth</w:t>
      </w:r>
      <w:proofErr w:type="spellEnd"/>
      <w:r w:rsidRPr="00C41527">
        <w:rPr>
          <w:sz w:val="24"/>
          <w:szCs w:val="24"/>
        </w:rPr>
        <w:t xml:space="preserve"> Prog. 2016 Summer;63(2):84-90. </w:t>
      </w:r>
      <w:proofErr w:type="spellStart"/>
      <w:r w:rsidRPr="00C41527">
        <w:rPr>
          <w:sz w:val="24"/>
          <w:szCs w:val="24"/>
        </w:rPr>
        <w:t>doi</w:t>
      </w:r>
      <w:proofErr w:type="spellEnd"/>
      <w:r w:rsidRPr="00C41527">
        <w:rPr>
          <w:sz w:val="24"/>
          <w:szCs w:val="24"/>
        </w:rPr>
        <w:t>: 10.2344/0003-3006-63.2.84. PMID: 27269666; PMCID: PMC4896047.</w:t>
      </w:r>
    </w:p>
    <w:p w14:paraId="3FFEC562" w14:textId="06460BA6" w:rsidR="00C41527" w:rsidRDefault="00C41527" w:rsidP="005A038E">
      <w:pPr>
        <w:pStyle w:val="ListParagraph"/>
        <w:numPr>
          <w:ilvl w:val="0"/>
          <w:numId w:val="1"/>
        </w:numPr>
        <w:jc w:val="both"/>
        <w:rPr>
          <w:sz w:val="24"/>
          <w:szCs w:val="24"/>
        </w:rPr>
      </w:pPr>
      <w:proofErr w:type="spellStart"/>
      <w:r w:rsidRPr="00C41527">
        <w:rPr>
          <w:sz w:val="24"/>
          <w:szCs w:val="24"/>
        </w:rPr>
        <w:t>Ghatak</w:t>
      </w:r>
      <w:proofErr w:type="spellEnd"/>
      <w:r w:rsidRPr="00C41527">
        <w:rPr>
          <w:sz w:val="24"/>
          <w:szCs w:val="24"/>
        </w:rPr>
        <w:t xml:space="preserve"> RN, </w:t>
      </w:r>
      <w:proofErr w:type="spellStart"/>
      <w:r w:rsidRPr="00C41527">
        <w:rPr>
          <w:sz w:val="24"/>
          <w:szCs w:val="24"/>
        </w:rPr>
        <w:t>Helwany</w:t>
      </w:r>
      <w:proofErr w:type="spellEnd"/>
      <w:r w:rsidRPr="00C41527">
        <w:rPr>
          <w:sz w:val="24"/>
          <w:szCs w:val="24"/>
        </w:rPr>
        <w:t xml:space="preserve"> M, </w:t>
      </w:r>
      <w:proofErr w:type="spellStart"/>
      <w:r w:rsidRPr="00C41527">
        <w:rPr>
          <w:sz w:val="24"/>
          <w:szCs w:val="24"/>
        </w:rPr>
        <w:t>Ginglen</w:t>
      </w:r>
      <w:proofErr w:type="spellEnd"/>
      <w:r w:rsidRPr="00C41527">
        <w:rPr>
          <w:sz w:val="24"/>
          <w:szCs w:val="24"/>
        </w:rPr>
        <w:t xml:space="preserve"> JG. Anatomy, Head and Neck, Mandibular Nerve. [Updated 2023 May 1]. In: </w:t>
      </w:r>
      <w:proofErr w:type="spellStart"/>
      <w:r w:rsidRPr="00C41527">
        <w:rPr>
          <w:sz w:val="24"/>
          <w:szCs w:val="24"/>
        </w:rPr>
        <w:t>StatPearls</w:t>
      </w:r>
      <w:proofErr w:type="spellEnd"/>
      <w:r w:rsidRPr="00C41527">
        <w:rPr>
          <w:sz w:val="24"/>
          <w:szCs w:val="24"/>
        </w:rPr>
        <w:t xml:space="preserve"> [Internet]. Treasure Island (FL): </w:t>
      </w:r>
      <w:proofErr w:type="spellStart"/>
      <w:r w:rsidRPr="00C41527">
        <w:rPr>
          <w:sz w:val="24"/>
          <w:szCs w:val="24"/>
        </w:rPr>
        <w:t>StatPearls</w:t>
      </w:r>
      <w:proofErr w:type="spellEnd"/>
      <w:r w:rsidRPr="00C41527">
        <w:rPr>
          <w:sz w:val="24"/>
          <w:szCs w:val="24"/>
        </w:rPr>
        <w:t xml:space="preserve"> Publishing; 2025 Jan-. Available from: </w:t>
      </w:r>
      <w:hyperlink r:id="rId8" w:history="1">
        <w:r w:rsidRPr="00BD5129">
          <w:rPr>
            <w:rStyle w:val="Hyperlink"/>
            <w:sz w:val="24"/>
            <w:szCs w:val="24"/>
          </w:rPr>
          <w:t>https://www.ncbi.nlm.nih.gov/books/NBK507820/</w:t>
        </w:r>
      </w:hyperlink>
    </w:p>
    <w:p w14:paraId="23C850AA" w14:textId="78247A7A" w:rsidR="00C41527" w:rsidRDefault="00C41527" w:rsidP="005A038E">
      <w:pPr>
        <w:pStyle w:val="ListParagraph"/>
        <w:numPr>
          <w:ilvl w:val="0"/>
          <w:numId w:val="1"/>
        </w:numPr>
        <w:jc w:val="both"/>
        <w:rPr>
          <w:sz w:val="24"/>
          <w:szCs w:val="24"/>
        </w:rPr>
      </w:pPr>
      <w:r w:rsidRPr="00C41527">
        <w:rPr>
          <w:sz w:val="24"/>
          <w:szCs w:val="24"/>
        </w:rPr>
        <w:t xml:space="preserve">La Monaca G, Vozza I, </w:t>
      </w:r>
      <w:proofErr w:type="spellStart"/>
      <w:r w:rsidRPr="00C41527">
        <w:rPr>
          <w:sz w:val="24"/>
          <w:szCs w:val="24"/>
        </w:rPr>
        <w:t>Giardino</w:t>
      </w:r>
      <w:proofErr w:type="spellEnd"/>
      <w:r w:rsidRPr="00C41527">
        <w:rPr>
          <w:sz w:val="24"/>
          <w:szCs w:val="24"/>
        </w:rPr>
        <w:t xml:space="preserve"> R, </w:t>
      </w:r>
      <w:proofErr w:type="spellStart"/>
      <w:r w:rsidRPr="00C41527">
        <w:rPr>
          <w:sz w:val="24"/>
          <w:szCs w:val="24"/>
        </w:rPr>
        <w:t>Annibali</w:t>
      </w:r>
      <w:proofErr w:type="spellEnd"/>
      <w:r w:rsidRPr="00C41527">
        <w:rPr>
          <w:sz w:val="24"/>
          <w:szCs w:val="24"/>
        </w:rPr>
        <w:t xml:space="preserve"> S, </w:t>
      </w:r>
      <w:proofErr w:type="spellStart"/>
      <w:r w:rsidRPr="00C41527">
        <w:rPr>
          <w:sz w:val="24"/>
          <w:szCs w:val="24"/>
        </w:rPr>
        <w:t>Pranno</w:t>
      </w:r>
      <w:proofErr w:type="spellEnd"/>
      <w:r w:rsidRPr="00C41527">
        <w:rPr>
          <w:sz w:val="24"/>
          <w:szCs w:val="24"/>
        </w:rPr>
        <w:t xml:space="preserve"> N, </w:t>
      </w:r>
      <w:proofErr w:type="spellStart"/>
      <w:r w:rsidRPr="00C41527">
        <w:rPr>
          <w:sz w:val="24"/>
          <w:szCs w:val="24"/>
        </w:rPr>
        <w:t>Cristalli</w:t>
      </w:r>
      <w:proofErr w:type="spellEnd"/>
      <w:r w:rsidRPr="00C41527">
        <w:rPr>
          <w:sz w:val="24"/>
          <w:szCs w:val="24"/>
        </w:rPr>
        <w:t xml:space="preserve"> MP. Prevention of neurological injuries during mandibular third molar surgery: technical notes. Ann </w:t>
      </w:r>
      <w:proofErr w:type="spellStart"/>
      <w:r w:rsidRPr="00C41527">
        <w:rPr>
          <w:sz w:val="24"/>
          <w:szCs w:val="24"/>
        </w:rPr>
        <w:t>Stomatol</w:t>
      </w:r>
      <w:proofErr w:type="spellEnd"/>
      <w:r w:rsidRPr="00C41527">
        <w:rPr>
          <w:sz w:val="24"/>
          <w:szCs w:val="24"/>
        </w:rPr>
        <w:t xml:space="preserve"> (Roma). 2017 Nov 8;8(2):45-52. </w:t>
      </w:r>
      <w:proofErr w:type="spellStart"/>
      <w:r w:rsidRPr="00C41527">
        <w:rPr>
          <w:sz w:val="24"/>
          <w:szCs w:val="24"/>
        </w:rPr>
        <w:t>doi</w:t>
      </w:r>
      <w:proofErr w:type="spellEnd"/>
      <w:r w:rsidRPr="00C41527">
        <w:rPr>
          <w:sz w:val="24"/>
          <w:szCs w:val="24"/>
        </w:rPr>
        <w:t>: 10.11138/ads/2017.8.2.053. PMID: 29299188; PMCID: PMC5749373.</w:t>
      </w:r>
    </w:p>
    <w:p w14:paraId="6A9C2A7B" w14:textId="5770E57D" w:rsidR="00C41527" w:rsidRDefault="00C41527" w:rsidP="005A038E">
      <w:pPr>
        <w:pStyle w:val="ListParagraph"/>
        <w:numPr>
          <w:ilvl w:val="0"/>
          <w:numId w:val="1"/>
        </w:numPr>
        <w:jc w:val="both"/>
        <w:rPr>
          <w:sz w:val="24"/>
          <w:szCs w:val="24"/>
        </w:rPr>
      </w:pPr>
      <w:r w:rsidRPr="00C41527">
        <w:rPr>
          <w:sz w:val="24"/>
          <w:szCs w:val="24"/>
        </w:rPr>
        <w:t xml:space="preserve">Chai Y, Dong Y, Lu Y, Wei W, Chen M, Yang C. Risk Factors Associated </w:t>
      </w:r>
      <w:proofErr w:type="gramStart"/>
      <w:r w:rsidRPr="00C41527">
        <w:rPr>
          <w:sz w:val="24"/>
          <w:szCs w:val="24"/>
        </w:rPr>
        <w:t>With</w:t>
      </w:r>
      <w:proofErr w:type="gramEnd"/>
      <w:r w:rsidRPr="00C41527">
        <w:rPr>
          <w:sz w:val="24"/>
          <w:szCs w:val="24"/>
        </w:rPr>
        <w:t xml:space="preserve"> Inferior Alveolar Nerve Injury After Extraction of Impacted Lower Mandibular Third Molars: A Prospective Cohort Study. J Oral </w:t>
      </w:r>
      <w:proofErr w:type="spellStart"/>
      <w:r w:rsidRPr="00C41527">
        <w:rPr>
          <w:sz w:val="24"/>
          <w:szCs w:val="24"/>
        </w:rPr>
        <w:t>Maxillofac</w:t>
      </w:r>
      <w:proofErr w:type="spellEnd"/>
      <w:r w:rsidRPr="00C41527">
        <w:rPr>
          <w:sz w:val="24"/>
          <w:szCs w:val="24"/>
        </w:rPr>
        <w:t xml:space="preserve"> Surg. 2024 Sep;82(9):1100-1108. </w:t>
      </w:r>
      <w:proofErr w:type="spellStart"/>
      <w:r w:rsidRPr="00C41527">
        <w:rPr>
          <w:sz w:val="24"/>
          <w:szCs w:val="24"/>
        </w:rPr>
        <w:t>doi</w:t>
      </w:r>
      <w:proofErr w:type="spellEnd"/>
      <w:r w:rsidRPr="00C41527">
        <w:rPr>
          <w:sz w:val="24"/>
          <w:szCs w:val="24"/>
        </w:rPr>
        <w:t xml:space="preserve">: 10.1016/j.joms.2024.05.003. </w:t>
      </w:r>
      <w:proofErr w:type="spellStart"/>
      <w:r w:rsidRPr="00C41527">
        <w:rPr>
          <w:sz w:val="24"/>
          <w:szCs w:val="24"/>
        </w:rPr>
        <w:t>Epub</w:t>
      </w:r>
      <w:proofErr w:type="spellEnd"/>
      <w:r w:rsidRPr="00C41527">
        <w:rPr>
          <w:sz w:val="24"/>
          <w:szCs w:val="24"/>
        </w:rPr>
        <w:t xml:space="preserve"> 2024 May 16. PMID: 38821486.</w:t>
      </w:r>
    </w:p>
    <w:p w14:paraId="5F0F50FD" w14:textId="1931912A" w:rsidR="00C41527" w:rsidRPr="005A038E" w:rsidRDefault="00C41527" w:rsidP="005A038E">
      <w:pPr>
        <w:pStyle w:val="ListParagraph"/>
        <w:numPr>
          <w:ilvl w:val="0"/>
          <w:numId w:val="1"/>
        </w:numPr>
        <w:jc w:val="both"/>
        <w:rPr>
          <w:sz w:val="24"/>
          <w:szCs w:val="24"/>
        </w:rPr>
      </w:pPr>
      <w:r w:rsidRPr="00C41527">
        <w:rPr>
          <w:sz w:val="24"/>
          <w:szCs w:val="24"/>
        </w:rPr>
        <w:t>Shrestha, R. K., Shrestha, D., Sakya, P. R., Khadka, D., Shrestha, R., &amp; Shrestha, K. (2022). Anatomical Risk Factors of Nerve Injuries Following Surgical Removal of Mandibular Third Molar. </w:t>
      </w:r>
      <w:r w:rsidRPr="00C41527">
        <w:rPr>
          <w:i/>
          <w:iCs/>
          <w:sz w:val="24"/>
          <w:szCs w:val="24"/>
        </w:rPr>
        <w:t>Nepal Journal of Health Sciences</w:t>
      </w:r>
      <w:r w:rsidRPr="00C41527">
        <w:rPr>
          <w:sz w:val="24"/>
          <w:szCs w:val="24"/>
        </w:rPr>
        <w:t>, </w:t>
      </w:r>
      <w:r w:rsidRPr="00C41527">
        <w:rPr>
          <w:i/>
          <w:iCs/>
          <w:sz w:val="24"/>
          <w:szCs w:val="24"/>
        </w:rPr>
        <w:t>2</w:t>
      </w:r>
      <w:r w:rsidRPr="00C41527">
        <w:rPr>
          <w:sz w:val="24"/>
          <w:szCs w:val="24"/>
        </w:rPr>
        <w:t>(1), 46–54. https://doi.org/10.3126/njhs.v2i1.47165</w:t>
      </w:r>
    </w:p>
    <w:p w14:paraId="64547EFA" w14:textId="40139058" w:rsidR="005A038E" w:rsidRPr="005A038E" w:rsidRDefault="005A038E" w:rsidP="005A038E">
      <w:pPr>
        <w:pStyle w:val="ListParagraph"/>
        <w:numPr>
          <w:ilvl w:val="0"/>
          <w:numId w:val="1"/>
        </w:numPr>
        <w:jc w:val="both"/>
        <w:rPr>
          <w:sz w:val="24"/>
          <w:szCs w:val="24"/>
        </w:rPr>
      </w:pPr>
      <w:r w:rsidRPr="005A038E">
        <w:rPr>
          <w:sz w:val="24"/>
          <w:szCs w:val="24"/>
        </w:rPr>
        <w:t xml:space="preserve">Bundy MJ, </w:t>
      </w:r>
      <w:proofErr w:type="spellStart"/>
      <w:r w:rsidRPr="005A038E">
        <w:rPr>
          <w:sz w:val="24"/>
          <w:szCs w:val="24"/>
        </w:rPr>
        <w:t>Cavola</w:t>
      </w:r>
      <w:proofErr w:type="spellEnd"/>
      <w:r w:rsidRPr="005A038E">
        <w:rPr>
          <w:sz w:val="24"/>
          <w:szCs w:val="24"/>
        </w:rPr>
        <w:t xml:space="preserve"> CF, Dodson TB. Panoramic radiographic findings as predictors of mandibular nerve exposure following third molar extraction: digital versus </w:t>
      </w:r>
      <w:r w:rsidRPr="005A038E">
        <w:rPr>
          <w:sz w:val="24"/>
          <w:szCs w:val="24"/>
        </w:rPr>
        <w:lastRenderedPageBreak/>
        <w:t xml:space="preserve">conventional radiographic techniques. Oral </w:t>
      </w:r>
      <w:proofErr w:type="spellStart"/>
      <w:r w:rsidRPr="005A038E">
        <w:rPr>
          <w:sz w:val="24"/>
          <w:szCs w:val="24"/>
        </w:rPr>
        <w:t>Surg</w:t>
      </w:r>
      <w:proofErr w:type="spellEnd"/>
      <w:r w:rsidRPr="005A038E">
        <w:rPr>
          <w:sz w:val="24"/>
          <w:szCs w:val="24"/>
        </w:rPr>
        <w:t xml:space="preserve"> Oral Med Oral </w:t>
      </w:r>
      <w:proofErr w:type="spellStart"/>
      <w:r w:rsidRPr="005A038E">
        <w:rPr>
          <w:sz w:val="24"/>
          <w:szCs w:val="24"/>
        </w:rPr>
        <w:t>Pathol</w:t>
      </w:r>
      <w:proofErr w:type="spellEnd"/>
      <w:r w:rsidRPr="005A038E">
        <w:rPr>
          <w:sz w:val="24"/>
          <w:szCs w:val="24"/>
        </w:rPr>
        <w:t xml:space="preserve"> Oral </w:t>
      </w:r>
      <w:proofErr w:type="spellStart"/>
      <w:r w:rsidRPr="005A038E">
        <w:rPr>
          <w:sz w:val="24"/>
          <w:szCs w:val="24"/>
        </w:rPr>
        <w:t>Radiol</w:t>
      </w:r>
      <w:proofErr w:type="spellEnd"/>
      <w:r w:rsidRPr="005A038E">
        <w:rPr>
          <w:sz w:val="24"/>
          <w:szCs w:val="24"/>
        </w:rPr>
        <w:t xml:space="preserve"> </w:t>
      </w:r>
      <w:proofErr w:type="spellStart"/>
      <w:r w:rsidRPr="005A038E">
        <w:rPr>
          <w:sz w:val="24"/>
          <w:szCs w:val="24"/>
        </w:rPr>
        <w:t>Endod</w:t>
      </w:r>
      <w:proofErr w:type="spellEnd"/>
      <w:r w:rsidRPr="005A038E">
        <w:rPr>
          <w:sz w:val="24"/>
          <w:szCs w:val="24"/>
        </w:rPr>
        <w:t>. 2009 Mar;107(3</w:t>
      </w:r>
      <w:proofErr w:type="gramStart"/>
      <w:r w:rsidRPr="005A038E">
        <w:rPr>
          <w:sz w:val="24"/>
          <w:szCs w:val="24"/>
        </w:rPr>
        <w:t>):e</w:t>
      </w:r>
      <w:proofErr w:type="gramEnd"/>
      <w:r w:rsidRPr="005A038E">
        <w:rPr>
          <w:sz w:val="24"/>
          <w:szCs w:val="24"/>
        </w:rPr>
        <w:t xml:space="preserve">36-40. </w:t>
      </w:r>
      <w:proofErr w:type="spellStart"/>
      <w:r w:rsidRPr="005A038E">
        <w:rPr>
          <w:sz w:val="24"/>
          <w:szCs w:val="24"/>
        </w:rPr>
        <w:t>doi</w:t>
      </w:r>
      <w:proofErr w:type="spellEnd"/>
      <w:r w:rsidRPr="005A038E">
        <w:rPr>
          <w:sz w:val="24"/>
          <w:szCs w:val="24"/>
        </w:rPr>
        <w:t>: 10.1016/j.tripleo.2008.12.004. PMID: 19217011.</w:t>
      </w:r>
    </w:p>
    <w:p w14:paraId="1911E85A" w14:textId="183DAA61" w:rsidR="008705A2" w:rsidRDefault="005A038E" w:rsidP="005A038E">
      <w:pPr>
        <w:pStyle w:val="ListParagraph"/>
        <w:numPr>
          <w:ilvl w:val="0"/>
          <w:numId w:val="1"/>
        </w:numPr>
        <w:jc w:val="both"/>
        <w:rPr>
          <w:b/>
          <w:bCs/>
          <w:sz w:val="24"/>
          <w:szCs w:val="24"/>
        </w:rPr>
      </w:pPr>
      <w:proofErr w:type="spellStart"/>
      <w:r w:rsidRPr="005A038E">
        <w:rPr>
          <w:sz w:val="24"/>
          <w:szCs w:val="24"/>
        </w:rPr>
        <w:t>Pesqui</w:t>
      </w:r>
      <w:proofErr w:type="spellEnd"/>
      <w:r w:rsidRPr="005A038E">
        <w:rPr>
          <w:sz w:val="24"/>
          <w:szCs w:val="24"/>
        </w:rPr>
        <w:t xml:space="preserve">. Bras. </w:t>
      </w:r>
      <w:proofErr w:type="spellStart"/>
      <w:r w:rsidRPr="005A038E">
        <w:rPr>
          <w:sz w:val="24"/>
          <w:szCs w:val="24"/>
        </w:rPr>
        <w:t>Odontopediatria</w:t>
      </w:r>
      <w:proofErr w:type="spellEnd"/>
      <w:r w:rsidRPr="005A038E">
        <w:rPr>
          <w:sz w:val="24"/>
          <w:szCs w:val="24"/>
        </w:rPr>
        <w:t xml:space="preserve"> </w:t>
      </w:r>
      <w:proofErr w:type="spellStart"/>
      <w:r w:rsidRPr="005A038E">
        <w:rPr>
          <w:sz w:val="24"/>
          <w:szCs w:val="24"/>
        </w:rPr>
        <w:t>Clín</w:t>
      </w:r>
      <w:proofErr w:type="spellEnd"/>
      <w:r w:rsidRPr="005A038E">
        <w:rPr>
          <w:sz w:val="24"/>
          <w:szCs w:val="24"/>
        </w:rPr>
        <w:t xml:space="preserve">. </w:t>
      </w:r>
      <w:proofErr w:type="spellStart"/>
      <w:r w:rsidRPr="005A038E">
        <w:rPr>
          <w:sz w:val="24"/>
          <w:szCs w:val="24"/>
        </w:rPr>
        <w:t>Integr</w:t>
      </w:r>
      <w:proofErr w:type="spellEnd"/>
      <w:r w:rsidRPr="005A038E">
        <w:rPr>
          <w:sz w:val="24"/>
          <w:szCs w:val="24"/>
        </w:rPr>
        <w:t>. Assessment of Panoramic Radiographic Variables as Predictors of Inferior Alveolar Nerve Injury During Third Molar Extraction 23 • 2023 • </w:t>
      </w:r>
      <w:hyperlink r:id="rId9" w:tgtFrame="_blank" w:history="1">
        <w:r w:rsidRPr="005A038E">
          <w:rPr>
            <w:rStyle w:val="Hyperlink"/>
            <w:sz w:val="24"/>
            <w:szCs w:val="24"/>
          </w:rPr>
          <w:t>https://doi.org/10.1590/pboci.2023.025</w:t>
        </w:r>
      </w:hyperlink>
      <w:r w:rsidRPr="005A038E">
        <w:rPr>
          <w:b/>
          <w:bCs/>
          <w:sz w:val="24"/>
          <w:szCs w:val="24"/>
        </w:rPr>
        <w:t> </w:t>
      </w:r>
    </w:p>
    <w:p w14:paraId="335A4DF2" w14:textId="67FE1A96" w:rsidR="005A038E" w:rsidRPr="00753B36" w:rsidRDefault="005A038E" w:rsidP="005A038E">
      <w:pPr>
        <w:pStyle w:val="ListParagraph"/>
        <w:numPr>
          <w:ilvl w:val="0"/>
          <w:numId w:val="1"/>
        </w:numPr>
        <w:jc w:val="both"/>
        <w:rPr>
          <w:sz w:val="24"/>
          <w:szCs w:val="24"/>
        </w:rPr>
      </w:pPr>
      <w:proofErr w:type="spellStart"/>
      <w:r w:rsidRPr="00753B36">
        <w:rPr>
          <w:sz w:val="24"/>
          <w:szCs w:val="24"/>
        </w:rPr>
        <w:t>Kolarov</w:t>
      </w:r>
      <w:proofErr w:type="spellEnd"/>
      <w:r w:rsidRPr="00753B36">
        <w:rPr>
          <w:sz w:val="24"/>
          <w:szCs w:val="24"/>
        </w:rPr>
        <w:t xml:space="preserve"> R, </w:t>
      </w:r>
      <w:proofErr w:type="spellStart"/>
      <w:r w:rsidRPr="00753B36">
        <w:rPr>
          <w:sz w:val="24"/>
          <w:szCs w:val="24"/>
        </w:rPr>
        <w:t>Rachev</w:t>
      </w:r>
      <w:proofErr w:type="spellEnd"/>
      <w:r w:rsidRPr="00753B36">
        <w:rPr>
          <w:sz w:val="24"/>
          <w:szCs w:val="24"/>
        </w:rPr>
        <w:t xml:space="preserve"> D, Dobrev D. Assessment of the relationship between mandibular molars and inferior alveolar nerve–diagnostic significance and accuracy of panoramic radiography. </w:t>
      </w:r>
      <w:proofErr w:type="spellStart"/>
      <w:r w:rsidRPr="00753B36">
        <w:rPr>
          <w:sz w:val="24"/>
          <w:szCs w:val="24"/>
        </w:rPr>
        <w:t>MedInform</w:t>
      </w:r>
      <w:proofErr w:type="spellEnd"/>
      <w:r w:rsidRPr="00753B36">
        <w:rPr>
          <w:sz w:val="24"/>
          <w:szCs w:val="24"/>
        </w:rPr>
        <w:t xml:space="preserve">. </w:t>
      </w:r>
      <w:proofErr w:type="gramStart"/>
      <w:r w:rsidRPr="00753B36">
        <w:rPr>
          <w:sz w:val="24"/>
          <w:szCs w:val="24"/>
        </w:rPr>
        <w:t>2017;1:514</w:t>
      </w:r>
      <w:proofErr w:type="gramEnd"/>
      <w:r w:rsidRPr="00753B36">
        <w:rPr>
          <w:sz w:val="24"/>
          <w:szCs w:val="24"/>
        </w:rPr>
        <w:t>. doi:10.18044/Medinform.201741.514.</w:t>
      </w:r>
    </w:p>
    <w:p w14:paraId="3EEA90B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Ogbozor</w:t>
      </w:r>
      <w:proofErr w:type="spellEnd"/>
      <w:r w:rsidRPr="00C41527">
        <w:rPr>
          <w:sz w:val="24"/>
          <w:szCs w:val="24"/>
        </w:rPr>
        <w:t xml:space="preserve">, B. E., Abubakar, M., Yahaya, A., Iya, S., Ewansiha, G., Bashir, K., &amp; </w:t>
      </w:r>
      <w:proofErr w:type="spellStart"/>
      <w:r w:rsidRPr="00C41527">
        <w:rPr>
          <w:sz w:val="24"/>
          <w:szCs w:val="24"/>
        </w:rPr>
        <w:t>Bamgbose</w:t>
      </w:r>
      <w:proofErr w:type="spellEnd"/>
      <w:r w:rsidRPr="00C41527">
        <w:rPr>
          <w:sz w:val="24"/>
          <w:szCs w:val="24"/>
        </w:rPr>
        <w:t xml:space="preserve">, B. O. (2025). Radiographic Assessment of Features of Impacted Mandibular Third Molars </w:t>
      </w:r>
      <w:proofErr w:type="gramStart"/>
      <w:r w:rsidRPr="00C41527">
        <w:rPr>
          <w:sz w:val="24"/>
          <w:szCs w:val="24"/>
        </w:rPr>
        <w:t>With</w:t>
      </w:r>
      <w:proofErr w:type="gramEnd"/>
      <w:r w:rsidRPr="00C41527">
        <w:rPr>
          <w:sz w:val="24"/>
          <w:szCs w:val="24"/>
        </w:rPr>
        <w:t xml:space="preserve"> Post-Operative Injury to the Inferior Alveolar Nerves: A Record-Based Cross-Sectional Study. </w:t>
      </w:r>
      <w:r w:rsidRPr="00C41527">
        <w:rPr>
          <w:i/>
          <w:iCs/>
          <w:sz w:val="24"/>
          <w:szCs w:val="24"/>
        </w:rPr>
        <w:t>Nigerian Dental Journal</w:t>
      </w:r>
      <w:r w:rsidRPr="00C41527">
        <w:rPr>
          <w:sz w:val="24"/>
          <w:szCs w:val="24"/>
        </w:rPr>
        <w:t xml:space="preserve">, </w:t>
      </w:r>
      <w:r w:rsidRPr="00C41527">
        <w:rPr>
          <w:i/>
          <w:iCs/>
          <w:sz w:val="24"/>
          <w:szCs w:val="24"/>
        </w:rPr>
        <w:t>33</w:t>
      </w:r>
      <w:r w:rsidRPr="00C41527">
        <w:rPr>
          <w:sz w:val="24"/>
          <w:szCs w:val="24"/>
        </w:rPr>
        <w:t>(NO 2). https://doi.org/10.61172/bz0gq141</w:t>
      </w:r>
    </w:p>
    <w:p w14:paraId="7AFA044E"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Bigagnoli</w:t>
      </w:r>
      <w:proofErr w:type="spellEnd"/>
      <w:r w:rsidRPr="00C41527">
        <w:rPr>
          <w:sz w:val="24"/>
          <w:szCs w:val="24"/>
        </w:rPr>
        <w:t xml:space="preserve">, S., Greco, C., </w:t>
      </w:r>
      <w:proofErr w:type="spellStart"/>
      <w:r w:rsidRPr="00C41527">
        <w:rPr>
          <w:sz w:val="24"/>
          <w:szCs w:val="24"/>
        </w:rPr>
        <w:t>Costantinides</w:t>
      </w:r>
      <w:proofErr w:type="spellEnd"/>
      <w:r w:rsidRPr="00C41527">
        <w:rPr>
          <w:sz w:val="24"/>
          <w:szCs w:val="24"/>
        </w:rPr>
        <w:t xml:space="preserve">, F., </w:t>
      </w:r>
      <w:proofErr w:type="spellStart"/>
      <w:r w:rsidRPr="00C41527">
        <w:rPr>
          <w:sz w:val="24"/>
          <w:szCs w:val="24"/>
        </w:rPr>
        <w:t>Porrelli</w:t>
      </w:r>
      <w:proofErr w:type="spellEnd"/>
      <w:r w:rsidRPr="00C41527">
        <w:rPr>
          <w:sz w:val="24"/>
          <w:szCs w:val="24"/>
        </w:rPr>
        <w:t xml:space="preserve">, D., Bevilacqua, L., &amp; Maglione, M. (2021). CBCT Radiological Features as Predictors of Nerve Injuries in Third Molar Extractions: </w:t>
      </w:r>
      <w:proofErr w:type="spellStart"/>
      <w:r w:rsidRPr="00C41527">
        <w:rPr>
          <w:sz w:val="24"/>
          <w:szCs w:val="24"/>
        </w:rPr>
        <w:t>Multicenter</w:t>
      </w:r>
      <w:proofErr w:type="spellEnd"/>
      <w:r w:rsidRPr="00C41527">
        <w:rPr>
          <w:sz w:val="24"/>
          <w:szCs w:val="24"/>
        </w:rPr>
        <w:t xml:space="preserve"> Prospective Study on a Northeastern Italian Population. </w:t>
      </w:r>
      <w:r w:rsidRPr="00C41527">
        <w:rPr>
          <w:i/>
          <w:iCs/>
          <w:sz w:val="24"/>
          <w:szCs w:val="24"/>
        </w:rPr>
        <w:t>Dentistry Journal</w:t>
      </w:r>
      <w:r w:rsidRPr="00C41527">
        <w:rPr>
          <w:sz w:val="24"/>
          <w:szCs w:val="24"/>
        </w:rPr>
        <w:t xml:space="preserve">, </w:t>
      </w:r>
      <w:r w:rsidRPr="00C41527">
        <w:rPr>
          <w:i/>
          <w:iCs/>
          <w:sz w:val="24"/>
          <w:szCs w:val="24"/>
        </w:rPr>
        <w:t>9</w:t>
      </w:r>
      <w:r w:rsidRPr="00C41527">
        <w:rPr>
          <w:sz w:val="24"/>
          <w:szCs w:val="24"/>
        </w:rPr>
        <w:t>(2), 23. https://doi.org/10.3390/DJ9020023</w:t>
      </w:r>
    </w:p>
    <w:p w14:paraId="4EFBAD5F" w14:textId="77777777" w:rsidR="00C41527" w:rsidRPr="00C41527" w:rsidRDefault="00C41527" w:rsidP="00C41527">
      <w:pPr>
        <w:pStyle w:val="ListParagraph"/>
        <w:numPr>
          <w:ilvl w:val="0"/>
          <w:numId w:val="1"/>
        </w:numPr>
        <w:jc w:val="both"/>
        <w:rPr>
          <w:sz w:val="24"/>
          <w:szCs w:val="24"/>
        </w:rPr>
      </w:pPr>
      <w:r w:rsidRPr="00C41527">
        <w:rPr>
          <w:sz w:val="24"/>
          <w:szCs w:val="24"/>
        </w:rPr>
        <w:t xml:space="preserve">Verma, A., Verma, S., Dhankhar, A., Moral, N. K., Nagar, N., &amp; </w:t>
      </w:r>
      <w:proofErr w:type="spellStart"/>
      <w:r w:rsidRPr="00C41527">
        <w:rPr>
          <w:sz w:val="24"/>
          <w:szCs w:val="24"/>
        </w:rPr>
        <w:t>Bhadoria</w:t>
      </w:r>
      <w:proofErr w:type="spellEnd"/>
      <w:r w:rsidRPr="00C41527">
        <w:rPr>
          <w:sz w:val="24"/>
          <w:szCs w:val="24"/>
        </w:rPr>
        <w:t xml:space="preserve">, A. S. (2021). Predicting the Risk of Inferior Alveolar Nerve Injury in Impacted Lower Third Molars Using Panoramic Radiography and Cone Beam Computed Tomography. </w:t>
      </w:r>
      <w:r w:rsidRPr="00C41527">
        <w:rPr>
          <w:i/>
          <w:iCs/>
          <w:sz w:val="24"/>
          <w:szCs w:val="24"/>
        </w:rPr>
        <w:t>Journal of Evolution of Medical and Dental Sciences</w:t>
      </w:r>
      <w:r w:rsidRPr="00C41527">
        <w:rPr>
          <w:sz w:val="24"/>
          <w:szCs w:val="24"/>
        </w:rPr>
        <w:t xml:space="preserve">, </w:t>
      </w:r>
      <w:r w:rsidRPr="00C41527">
        <w:rPr>
          <w:i/>
          <w:iCs/>
          <w:sz w:val="24"/>
          <w:szCs w:val="24"/>
        </w:rPr>
        <w:t>10</w:t>
      </w:r>
      <w:r w:rsidRPr="00C41527">
        <w:rPr>
          <w:sz w:val="24"/>
          <w:szCs w:val="24"/>
        </w:rPr>
        <w:t>(34), 2910–2914. https://doi.org/10.14260/JEMDS/2021/593</w:t>
      </w:r>
    </w:p>
    <w:p w14:paraId="3A97D83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Tassoker</w:t>
      </w:r>
      <w:proofErr w:type="spellEnd"/>
      <w:r w:rsidRPr="00C41527">
        <w:rPr>
          <w:sz w:val="24"/>
          <w:szCs w:val="24"/>
        </w:rPr>
        <w:t xml:space="preserve">, M. (2019). Diversion of the mandibular canal: Is it the best predictor of inferior alveolar nerve damage during mandibular third molar surgery on panoramic radiographs? </w:t>
      </w:r>
      <w:r w:rsidRPr="00C41527">
        <w:rPr>
          <w:i/>
          <w:iCs/>
          <w:sz w:val="24"/>
          <w:szCs w:val="24"/>
        </w:rPr>
        <w:t>Imaging Science in Dentistry</w:t>
      </w:r>
      <w:r w:rsidRPr="00C41527">
        <w:rPr>
          <w:sz w:val="24"/>
          <w:szCs w:val="24"/>
        </w:rPr>
        <w:t xml:space="preserve">, </w:t>
      </w:r>
      <w:r w:rsidRPr="00C41527">
        <w:rPr>
          <w:i/>
          <w:iCs/>
          <w:sz w:val="24"/>
          <w:szCs w:val="24"/>
        </w:rPr>
        <w:t>49</w:t>
      </w:r>
      <w:r w:rsidRPr="00C41527">
        <w:rPr>
          <w:sz w:val="24"/>
          <w:szCs w:val="24"/>
        </w:rPr>
        <w:t>(3), 213–218. https://doi.org/10.5624/ISD.2019.49.3.213</w:t>
      </w:r>
    </w:p>
    <w:p w14:paraId="67D852F9" w14:textId="115943E0" w:rsidR="00C41527" w:rsidRPr="00753B36" w:rsidRDefault="00C41527" w:rsidP="00C41527">
      <w:pPr>
        <w:pStyle w:val="ListParagraph"/>
        <w:numPr>
          <w:ilvl w:val="0"/>
          <w:numId w:val="1"/>
        </w:numPr>
        <w:jc w:val="both"/>
        <w:rPr>
          <w:sz w:val="24"/>
          <w:szCs w:val="24"/>
        </w:rPr>
      </w:pPr>
      <w:r w:rsidRPr="00C41527">
        <w:rPr>
          <w:sz w:val="24"/>
          <w:szCs w:val="24"/>
        </w:rPr>
        <w:t xml:space="preserve">Hasani, M., Razavi, N., Haghnegahdar, A., &amp; Zarifi, M. (2021). Evaluating the presence of IAN injury in patients with juxta-apical radiolucency after third molar surgery: a retrospective cohort study. </w:t>
      </w:r>
      <w:r w:rsidRPr="00C41527">
        <w:rPr>
          <w:i/>
          <w:iCs/>
          <w:sz w:val="24"/>
          <w:szCs w:val="24"/>
        </w:rPr>
        <w:t>BMC Oral Health</w:t>
      </w:r>
      <w:r w:rsidRPr="00C41527">
        <w:rPr>
          <w:sz w:val="24"/>
          <w:szCs w:val="24"/>
        </w:rPr>
        <w:t xml:space="preserve">, </w:t>
      </w:r>
      <w:r w:rsidRPr="00C41527">
        <w:rPr>
          <w:i/>
          <w:iCs/>
          <w:sz w:val="24"/>
          <w:szCs w:val="24"/>
        </w:rPr>
        <w:t>21</w:t>
      </w:r>
      <w:r w:rsidRPr="00C41527">
        <w:rPr>
          <w:sz w:val="24"/>
          <w:szCs w:val="24"/>
        </w:rPr>
        <w:t xml:space="preserve">(1), 1–8. </w:t>
      </w:r>
      <w:hyperlink r:id="rId10" w:history="1">
        <w:r w:rsidR="00753B36" w:rsidRPr="00C41527">
          <w:rPr>
            <w:rStyle w:val="Hyperlink"/>
            <w:sz w:val="24"/>
            <w:szCs w:val="24"/>
          </w:rPr>
          <w:t>https://doi.org/10.1186/S12903-021-01785-9</w:t>
        </w:r>
      </w:hyperlink>
    </w:p>
    <w:p w14:paraId="113A7807" w14:textId="29253E9D" w:rsidR="00753B36" w:rsidRPr="00C41527" w:rsidRDefault="00753B36" w:rsidP="00C41527">
      <w:pPr>
        <w:pStyle w:val="ListParagraph"/>
        <w:numPr>
          <w:ilvl w:val="0"/>
          <w:numId w:val="1"/>
        </w:numPr>
        <w:jc w:val="both"/>
        <w:rPr>
          <w:sz w:val="24"/>
          <w:szCs w:val="24"/>
        </w:rPr>
      </w:pPr>
      <w:r w:rsidRPr="00753B36">
        <w:rPr>
          <w:sz w:val="24"/>
          <w:szCs w:val="24"/>
        </w:rPr>
        <w:t xml:space="preserve">Liu W, Yin W, Zhang R, Li J, Zheng Y. Diagnostic value of panoramic radiography in predicting inferior alveolar nerve injury after mandibular third molar extraction: a meta-analysis. </w:t>
      </w:r>
      <w:proofErr w:type="spellStart"/>
      <w:r w:rsidRPr="00753B36">
        <w:rPr>
          <w:sz w:val="24"/>
          <w:szCs w:val="24"/>
        </w:rPr>
        <w:t>Aust</w:t>
      </w:r>
      <w:proofErr w:type="spellEnd"/>
      <w:r w:rsidRPr="00753B36">
        <w:rPr>
          <w:sz w:val="24"/>
          <w:szCs w:val="24"/>
        </w:rPr>
        <w:t xml:space="preserve"> Dent J 2015; 60(2):233-9. https://doi.org/10.1111/adj.12326</w:t>
      </w:r>
    </w:p>
    <w:p w14:paraId="2ED7AECD" w14:textId="77777777" w:rsidR="00C41527" w:rsidRPr="00C41527" w:rsidRDefault="00C41527" w:rsidP="00C41527">
      <w:pPr>
        <w:pStyle w:val="ListParagraph"/>
        <w:numPr>
          <w:ilvl w:val="0"/>
          <w:numId w:val="1"/>
        </w:numPr>
        <w:jc w:val="both"/>
        <w:rPr>
          <w:sz w:val="24"/>
          <w:szCs w:val="24"/>
        </w:rPr>
      </w:pPr>
      <w:r w:rsidRPr="00C41527">
        <w:rPr>
          <w:sz w:val="24"/>
          <w:szCs w:val="24"/>
        </w:rPr>
        <w:t xml:space="preserve">Vranckx, M., Geerinckx, H., </w:t>
      </w:r>
      <w:proofErr w:type="spellStart"/>
      <w:r w:rsidRPr="00C41527">
        <w:rPr>
          <w:sz w:val="24"/>
          <w:szCs w:val="24"/>
        </w:rPr>
        <w:t>Gaêta</w:t>
      </w:r>
      <w:proofErr w:type="spellEnd"/>
      <w:r w:rsidRPr="00C41527">
        <w:rPr>
          <w:sz w:val="24"/>
          <w:szCs w:val="24"/>
        </w:rPr>
        <w:t xml:space="preserve">-Araujo, H., </w:t>
      </w:r>
      <w:proofErr w:type="spellStart"/>
      <w:r w:rsidRPr="00C41527">
        <w:rPr>
          <w:sz w:val="24"/>
          <w:szCs w:val="24"/>
        </w:rPr>
        <w:t>Gaêta</w:t>
      </w:r>
      <w:proofErr w:type="spellEnd"/>
      <w:r w:rsidRPr="00C41527">
        <w:rPr>
          <w:sz w:val="24"/>
          <w:szCs w:val="24"/>
        </w:rPr>
        <w:t xml:space="preserve">-Araujo, H., Leite, A. F., Leite, A. F., Politis, C., Jacobs, R., &amp; Jacobs, R. (2021). Do anatomical variations of the mandibular canal pose an increased risk of inferior alveolar nerve injury after third molar removal. </w:t>
      </w:r>
      <w:r w:rsidRPr="00C41527">
        <w:rPr>
          <w:i/>
          <w:iCs/>
          <w:sz w:val="24"/>
          <w:szCs w:val="24"/>
        </w:rPr>
        <w:t>Clinical Oral Investigations</w:t>
      </w:r>
      <w:r w:rsidRPr="00C41527">
        <w:rPr>
          <w:sz w:val="24"/>
          <w:szCs w:val="24"/>
        </w:rPr>
        <w:t>, 1–7. https://doi.org/10.1007/S00784-021-04076-3</w:t>
      </w:r>
    </w:p>
    <w:p w14:paraId="6E7858F2" w14:textId="3BA58013" w:rsidR="00C41527" w:rsidRPr="00753B36" w:rsidRDefault="00753B36" w:rsidP="005A038E">
      <w:pPr>
        <w:pStyle w:val="ListParagraph"/>
        <w:numPr>
          <w:ilvl w:val="0"/>
          <w:numId w:val="1"/>
        </w:numPr>
        <w:jc w:val="both"/>
        <w:rPr>
          <w:sz w:val="24"/>
          <w:szCs w:val="24"/>
        </w:rPr>
      </w:pPr>
      <w:r w:rsidRPr="00753B36">
        <w:rPr>
          <w:sz w:val="24"/>
          <w:szCs w:val="24"/>
        </w:rPr>
        <w:t xml:space="preserve">Blaeser BF, August MA, </w:t>
      </w:r>
      <w:proofErr w:type="spellStart"/>
      <w:r w:rsidRPr="00753B36">
        <w:rPr>
          <w:sz w:val="24"/>
          <w:szCs w:val="24"/>
        </w:rPr>
        <w:t>Donoff</w:t>
      </w:r>
      <w:proofErr w:type="spellEnd"/>
      <w:r w:rsidRPr="00753B36">
        <w:rPr>
          <w:sz w:val="24"/>
          <w:szCs w:val="24"/>
        </w:rPr>
        <w:t xml:space="preserve"> RB, </w:t>
      </w:r>
      <w:proofErr w:type="spellStart"/>
      <w:r w:rsidRPr="00753B36">
        <w:rPr>
          <w:sz w:val="24"/>
          <w:szCs w:val="24"/>
        </w:rPr>
        <w:t>Kaban</w:t>
      </w:r>
      <w:proofErr w:type="spellEnd"/>
      <w:r w:rsidRPr="00753B36">
        <w:rPr>
          <w:sz w:val="24"/>
          <w:szCs w:val="24"/>
        </w:rPr>
        <w:t xml:space="preserve"> LB, Dodson TB. Panoramic radiographic risk factors for inferior alveolar nerve injury after third molar extraction. J Oral </w:t>
      </w:r>
      <w:proofErr w:type="spellStart"/>
      <w:r w:rsidRPr="00753B36">
        <w:rPr>
          <w:sz w:val="24"/>
          <w:szCs w:val="24"/>
        </w:rPr>
        <w:t>Maxillofac</w:t>
      </w:r>
      <w:proofErr w:type="spellEnd"/>
      <w:r w:rsidRPr="00753B36">
        <w:rPr>
          <w:sz w:val="24"/>
          <w:szCs w:val="24"/>
        </w:rPr>
        <w:t xml:space="preserve"> Surg. 2003 Apr;61(4):417-21. </w:t>
      </w:r>
      <w:proofErr w:type="spellStart"/>
      <w:r w:rsidRPr="00753B36">
        <w:rPr>
          <w:sz w:val="24"/>
          <w:szCs w:val="24"/>
        </w:rPr>
        <w:t>doi</w:t>
      </w:r>
      <w:proofErr w:type="spellEnd"/>
      <w:r w:rsidRPr="00753B36">
        <w:rPr>
          <w:sz w:val="24"/>
          <w:szCs w:val="24"/>
        </w:rPr>
        <w:t>: 10.1053/joms.2003.50088. PMID: 12684956.</w:t>
      </w:r>
    </w:p>
    <w:p w14:paraId="406C5D28" w14:textId="1D2BB5AA" w:rsidR="00753B36" w:rsidRPr="00753B36" w:rsidRDefault="00753B36" w:rsidP="005A038E">
      <w:pPr>
        <w:pStyle w:val="ListParagraph"/>
        <w:numPr>
          <w:ilvl w:val="0"/>
          <w:numId w:val="1"/>
        </w:numPr>
        <w:jc w:val="both"/>
        <w:rPr>
          <w:sz w:val="24"/>
          <w:szCs w:val="24"/>
        </w:rPr>
      </w:pPr>
      <w:proofErr w:type="spellStart"/>
      <w:r w:rsidRPr="00753B36">
        <w:rPr>
          <w:sz w:val="24"/>
          <w:szCs w:val="24"/>
        </w:rPr>
        <w:t>Elkhateeb</w:t>
      </w:r>
      <w:proofErr w:type="spellEnd"/>
      <w:r w:rsidRPr="00753B36">
        <w:rPr>
          <w:sz w:val="24"/>
          <w:szCs w:val="24"/>
        </w:rPr>
        <w:t xml:space="preserve"> SM, </w:t>
      </w:r>
      <w:proofErr w:type="spellStart"/>
      <w:r w:rsidRPr="00753B36">
        <w:rPr>
          <w:sz w:val="24"/>
          <w:szCs w:val="24"/>
        </w:rPr>
        <w:t>Awad</w:t>
      </w:r>
      <w:proofErr w:type="spellEnd"/>
      <w:r w:rsidRPr="00753B36">
        <w:rPr>
          <w:sz w:val="24"/>
          <w:szCs w:val="24"/>
        </w:rPr>
        <w:t xml:space="preserve"> SS. Accuracy of panoramic radiographic predictor signs in the assessment of proximity of impacted third molars with the mandibular canal. J Taibah </w:t>
      </w:r>
      <w:proofErr w:type="spellStart"/>
      <w:r w:rsidRPr="00753B36">
        <w:rPr>
          <w:sz w:val="24"/>
          <w:szCs w:val="24"/>
        </w:rPr>
        <w:t>Univ</w:t>
      </w:r>
      <w:proofErr w:type="spellEnd"/>
      <w:r w:rsidRPr="00753B36">
        <w:rPr>
          <w:sz w:val="24"/>
          <w:szCs w:val="24"/>
        </w:rPr>
        <w:t xml:space="preserve"> Med Sci. 2018 Mar 24;13(3):254-261. </w:t>
      </w:r>
      <w:proofErr w:type="spellStart"/>
      <w:r w:rsidRPr="00753B36">
        <w:rPr>
          <w:sz w:val="24"/>
          <w:szCs w:val="24"/>
        </w:rPr>
        <w:t>doi</w:t>
      </w:r>
      <w:proofErr w:type="spellEnd"/>
      <w:r w:rsidRPr="00753B36">
        <w:rPr>
          <w:sz w:val="24"/>
          <w:szCs w:val="24"/>
        </w:rPr>
        <w:t>: 10.1016/j.jtumed.2018.02.006. PMID: 31435332; PMCID: PMC6694906.</w:t>
      </w:r>
    </w:p>
    <w:p w14:paraId="5E033719" w14:textId="5366835E" w:rsidR="00753B36" w:rsidRDefault="00753B36" w:rsidP="005A038E">
      <w:pPr>
        <w:pStyle w:val="ListParagraph"/>
        <w:numPr>
          <w:ilvl w:val="0"/>
          <w:numId w:val="1"/>
        </w:numPr>
        <w:jc w:val="both"/>
        <w:rPr>
          <w:sz w:val="24"/>
          <w:szCs w:val="24"/>
        </w:rPr>
      </w:pPr>
      <w:r w:rsidRPr="00753B36">
        <w:rPr>
          <w:sz w:val="24"/>
          <w:szCs w:val="24"/>
        </w:rPr>
        <w:lastRenderedPageBreak/>
        <w:t>Ulusoy, A.C., Toprak, T., Selver, M.A. </w:t>
      </w:r>
      <w:r w:rsidRPr="00753B36">
        <w:rPr>
          <w:i/>
          <w:iCs/>
          <w:sz w:val="24"/>
          <w:szCs w:val="24"/>
        </w:rPr>
        <w:t>et al.</w:t>
      </w:r>
      <w:r w:rsidRPr="00753B36">
        <w:rPr>
          <w:sz w:val="24"/>
          <w:szCs w:val="24"/>
        </w:rPr>
        <w:t> Panoramic radiographic features for machine learning based detection of mandibular third molar root and inferior alveolar canal contact. </w:t>
      </w:r>
      <w:r w:rsidRPr="00753B36">
        <w:rPr>
          <w:i/>
          <w:iCs/>
          <w:sz w:val="24"/>
          <w:szCs w:val="24"/>
        </w:rPr>
        <w:t>Sci Rep</w:t>
      </w:r>
      <w:r w:rsidRPr="00753B36">
        <w:rPr>
          <w:sz w:val="24"/>
          <w:szCs w:val="24"/>
        </w:rPr>
        <w:t xml:space="preserve"> 15, 4178 (2025). </w:t>
      </w:r>
      <w:hyperlink r:id="rId11" w:history="1">
        <w:r w:rsidRPr="00BD5129">
          <w:rPr>
            <w:rStyle w:val="Hyperlink"/>
            <w:sz w:val="24"/>
            <w:szCs w:val="24"/>
          </w:rPr>
          <w:t>https://doi.org/10.1038/s41598-024-82915-5</w:t>
        </w:r>
      </w:hyperlink>
    </w:p>
    <w:p w14:paraId="6C0AD828" w14:textId="2985EF6C" w:rsidR="00753B36" w:rsidRDefault="00753B36" w:rsidP="005A038E">
      <w:pPr>
        <w:pStyle w:val="ListParagraph"/>
        <w:numPr>
          <w:ilvl w:val="0"/>
          <w:numId w:val="1"/>
        </w:numPr>
        <w:jc w:val="both"/>
        <w:rPr>
          <w:sz w:val="24"/>
          <w:szCs w:val="24"/>
        </w:rPr>
      </w:pPr>
      <w:r w:rsidRPr="00753B36">
        <w:rPr>
          <w:sz w:val="24"/>
          <w:szCs w:val="24"/>
        </w:rPr>
        <w:t xml:space="preserve">Imai T, Nishimoto A, Kubota S, Nakazawa M, </w:t>
      </w:r>
      <w:proofErr w:type="spellStart"/>
      <w:r w:rsidRPr="00753B36">
        <w:rPr>
          <w:sz w:val="24"/>
          <w:szCs w:val="24"/>
        </w:rPr>
        <w:t>Uzawa</w:t>
      </w:r>
      <w:proofErr w:type="spellEnd"/>
      <w:r w:rsidRPr="00753B36">
        <w:rPr>
          <w:sz w:val="24"/>
          <w:szCs w:val="24"/>
        </w:rPr>
        <w:t xml:space="preserve"> N. Predictive scoring model for inferior alveolar nerve injury after lower third molar removal based on features of cone-beam computed tomography image. J </w:t>
      </w:r>
      <w:proofErr w:type="spellStart"/>
      <w:r w:rsidRPr="00753B36">
        <w:rPr>
          <w:sz w:val="24"/>
          <w:szCs w:val="24"/>
        </w:rPr>
        <w:t>Stomatol</w:t>
      </w:r>
      <w:proofErr w:type="spellEnd"/>
      <w:r w:rsidRPr="00753B36">
        <w:rPr>
          <w:sz w:val="24"/>
          <w:szCs w:val="24"/>
        </w:rPr>
        <w:t xml:space="preserve"> Oral </w:t>
      </w:r>
      <w:proofErr w:type="spellStart"/>
      <w:r w:rsidRPr="00753B36">
        <w:rPr>
          <w:sz w:val="24"/>
          <w:szCs w:val="24"/>
        </w:rPr>
        <w:t>Maxillofac</w:t>
      </w:r>
      <w:proofErr w:type="spellEnd"/>
      <w:r w:rsidRPr="00753B36">
        <w:rPr>
          <w:sz w:val="24"/>
          <w:szCs w:val="24"/>
        </w:rPr>
        <w:t xml:space="preserve"> Surg. 2022 Apr;123(2):136-141. </w:t>
      </w:r>
      <w:proofErr w:type="spellStart"/>
      <w:r w:rsidRPr="00753B36">
        <w:rPr>
          <w:sz w:val="24"/>
          <w:szCs w:val="24"/>
        </w:rPr>
        <w:t>doi</w:t>
      </w:r>
      <w:proofErr w:type="spellEnd"/>
      <w:r w:rsidRPr="00753B36">
        <w:rPr>
          <w:sz w:val="24"/>
          <w:szCs w:val="24"/>
        </w:rPr>
        <w:t xml:space="preserve">: 10.1016/j.jormas.2021.06.007. </w:t>
      </w:r>
      <w:proofErr w:type="spellStart"/>
      <w:r w:rsidRPr="00753B36">
        <w:rPr>
          <w:sz w:val="24"/>
          <w:szCs w:val="24"/>
        </w:rPr>
        <w:t>Epub</w:t>
      </w:r>
      <w:proofErr w:type="spellEnd"/>
      <w:r w:rsidRPr="00753B36">
        <w:rPr>
          <w:sz w:val="24"/>
          <w:szCs w:val="24"/>
        </w:rPr>
        <w:t xml:space="preserve"> 2021 Jun 23. PMID: 34171526.</w:t>
      </w:r>
    </w:p>
    <w:p w14:paraId="4F1A0CB8" w14:textId="77AD7D60" w:rsidR="00753B36" w:rsidRDefault="00753B36" w:rsidP="005A038E">
      <w:pPr>
        <w:pStyle w:val="ListParagraph"/>
        <w:numPr>
          <w:ilvl w:val="0"/>
          <w:numId w:val="1"/>
        </w:numPr>
        <w:jc w:val="both"/>
        <w:rPr>
          <w:sz w:val="24"/>
          <w:szCs w:val="24"/>
        </w:rPr>
      </w:pPr>
      <w:proofErr w:type="spellStart"/>
      <w:r w:rsidRPr="00753B36">
        <w:rPr>
          <w:sz w:val="24"/>
          <w:szCs w:val="24"/>
        </w:rPr>
        <w:t>Picoli</w:t>
      </w:r>
      <w:proofErr w:type="spellEnd"/>
      <w:r w:rsidRPr="00753B36">
        <w:rPr>
          <w:sz w:val="24"/>
          <w:szCs w:val="24"/>
        </w:rPr>
        <w:t xml:space="preserve"> FF, </w:t>
      </w:r>
      <w:proofErr w:type="spellStart"/>
      <w:r w:rsidRPr="00753B36">
        <w:rPr>
          <w:sz w:val="24"/>
          <w:szCs w:val="24"/>
        </w:rPr>
        <w:t>Fontenele</w:t>
      </w:r>
      <w:proofErr w:type="spellEnd"/>
      <w:r w:rsidRPr="00753B36">
        <w:rPr>
          <w:sz w:val="24"/>
          <w:szCs w:val="24"/>
        </w:rPr>
        <w:t xml:space="preserve"> RC, Van der Cruyssen F, Ahmadzai I, Trigeminal Nerve Injuries Research Group, Politis C, Garcia Silva MA, Jacobs R. Risk assessment of inferior alveolar nerve injury after wisdom tooth removal using 3D AI-driven models: A within-patient study. J Dent. </w:t>
      </w:r>
      <w:proofErr w:type="gramStart"/>
      <w:r w:rsidRPr="00753B36">
        <w:rPr>
          <w:sz w:val="24"/>
          <w:szCs w:val="24"/>
        </w:rPr>
        <w:t>2023;139:104765</w:t>
      </w:r>
      <w:proofErr w:type="gramEnd"/>
      <w:r w:rsidRPr="00753B36">
        <w:rPr>
          <w:sz w:val="24"/>
          <w:szCs w:val="24"/>
        </w:rPr>
        <w:t>.</w:t>
      </w:r>
    </w:p>
    <w:p w14:paraId="3936EF03" w14:textId="04929134" w:rsidR="00F8784E" w:rsidRDefault="00F8784E" w:rsidP="005A038E">
      <w:pPr>
        <w:pStyle w:val="ListParagraph"/>
        <w:numPr>
          <w:ilvl w:val="0"/>
          <w:numId w:val="1"/>
        </w:numPr>
        <w:jc w:val="both"/>
        <w:rPr>
          <w:sz w:val="24"/>
          <w:szCs w:val="24"/>
        </w:rPr>
      </w:pPr>
      <w:r w:rsidRPr="00F8784E">
        <w:rPr>
          <w:sz w:val="24"/>
          <w:szCs w:val="24"/>
        </w:rPr>
        <w:t xml:space="preserve">Yoon K, Choi Y, Lee M, Kim J, Kim JY, Kim JW, Choi J, Park W. Single-step prediction of inferior alveolar nerve injury after mandibular third molar extraction using contrastive learning and </w:t>
      </w:r>
      <w:proofErr w:type="spellStart"/>
      <w:r w:rsidRPr="00F8784E">
        <w:rPr>
          <w:sz w:val="24"/>
          <w:szCs w:val="24"/>
        </w:rPr>
        <w:t>bayesian</w:t>
      </w:r>
      <w:proofErr w:type="spellEnd"/>
      <w:r w:rsidRPr="00F8784E">
        <w:rPr>
          <w:sz w:val="24"/>
          <w:szCs w:val="24"/>
        </w:rPr>
        <w:t xml:space="preserve"> auto-tuned deep learning model. </w:t>
      </w:r>
      <w:proofErr w:type="spellStart"/>
      <w:r w:rsidRPr="00F8784E">
        <w:rPr>
          <w:sz w:val="24"/>
          <w:szCs w:val="24"/>
        </w:rPr>
        <w:t>Dentomaxillofac</w:t>
      </w:r>
      <w:proofErr w:type="spellEnd"/>
      <w:r w:rsidRPr="00F8784E">
        <w:rPr>
          <w:sz w:val="24"/>
          <w:szCs w:val="24"/>
        </w:rPr>
        <w:t xml:space="preserve"> </w:t>
      </w:r>
      <w:proofErr w:type="spellStart"/>
      <w:r w:rsidRPr="00F8784E">
        <w:rPr>
          <w:sz w:val="24"/>
          <w:szCs w:val="24"/>
        </w:rPr>
        <w:t>Radiol</w:t>
      </w:r>
      <w:proofErr w:type="spellEnd"/>
      <w:r w:rsidRPr="00F8784E">
        <w:rPr>
          <w:sz w:val="24"/>
          <w:szCs w:val="24"/>
        </w:rPr>
        <w:t xml:space="preserve">. 2025 Sep </w:t>
      </w:r>
      <w:proofErr w:type="gramStart"/>
      <w:r w:rsidRPr="00F8784E">
        <w:rPr>
          <w:sz w:val="24"/>
          <w:szCs w:val="24"/>
        </w:rPr>
        <w:t>27:twaf</w:t>
      </w:r>
      <w:proofErr w:type="gramEnd"/>
      <w:r w:rsidRPr="00F8784E">
        <w:rPr>
          <w:sz w:val="24"/>
          <w:szCs w:val="24"/>
        </w:rPr>
        <w:t xml:space="preserve">069. </w:t>
      </w:r>
      <w:proofErr w:type="spellStart"/>
      <w:r w:rsidRPr="00F8784E">
        <w:rPr>
          <w:sz w:val="24"/>
          <w:szCs w:val="24"/>
        </w:rPr>
        <w:t>doi</w:t>
      </w:r>
      <w:proofErr w:type="spellEnd"/>
      <w:r w:rsidRPr="00F8784E">
        <w:rPr>
          <w:sz w:val="24"/>
          <w:szCs w:val="24"/>
        </w:rPr>
        <w:t>: 10.1093/</w:t>
      </w:r>
      <w:proofErr w:type="spellStart"/>
      <w:r w:rsidRPr="00F8784E">
        <w:rPr>
          <w:sz w:val="24"/>
          <w:szCs w:val="24"/>
        </w:rPr>
        <w:t>dmfr</w:t>
      </w:r>
      <w:proofErr w:type="spellEnd"/>
      <w:r w:rsidRPr="00F8784E">
        <w:rPr>
          <w:sz w:val="24"/>
          <w:szCs w:val="24"/>
        </w:rPr>
        <w:t xml:space="preserve">/twaf069. </w:t>
      </w:r>
      <w:proofErr w:type="spellStart"/>
      <w:r w:rsidRPr="00F8784E">
        <w:rPr>
          <w:sz w:val="24"/>
          <w:szCs w:val="24"/>
        </w:rPr>
        <w:t>Epub</w:t>
      </w:r>
      <w:proofErr w:type="spellEnd"/>
      <w:r w:rsidRPr="00F8784E">
        <w:rPr>
          <w:sz w:val="24"/>
          <w:szCs w:val="24"/>
        </w:rPr>
        <w:t xml:space="preserve"> ahead of print. PMID: 41014015.</w:t>
      </w:r>
    </w:p>
    <w:p w14:paraId="050B1BEB" w14:textId="6D97492D" w:rsidR="00F8784E" w:rsidRDefault="007D027B" w:rsidP="007D027B">
      <w:pPr>
        <w:pStyle w:val="ListParagraph"/>
        <w:numPr>
          <w:ilvl w:val="0"/>
          <w:numId w:val="1"/>
        </w:numPr>
        <w:jc w:val="both"/>
        <w:rPr>
          <w:sz w:val="24"/>
          <w:szCs w:val="24"/>
        </w:rPr>
      </w:pPr>
      <w:r w:rsidRPr="007D027B">
        <w:rPr>
          <w:sz w:val="24"/>
          <w:szCs w:val="24"/>
        </w:rPr>
        <w:t xml:space="preserve">La Monaca G, Vozza I, </w:t>
      </w:r>
      <w:proofErr w:type="spellStart"/>
      <w:r w:rsidRPr="007D027B">
        <w:rPr>
          <w:sz w:val="24"/>
          <w:szCs w:val="24"/>
        </w:rPr>
        <w:t>Giardino</w:t>
      </w:r>
      <w:proofErr w:type="spellEnd"/>
      <w:r w:rsidRPr="007D027B">
        <w:rPr>
          <w:sz w:val="24"/>
          <w:szCs w:val="24"/>
        </w:rPr>
        <w:t xml:space="preserve"> R, </w:t>
      </w:r>
      <w:proofErr w:type="spellStart"/>
      <w:r w:rsidRPr="007D027B">
        <w:rPr>
          <w:sz w:val="24"/>
          <w:szCs w:val="24"/>
        </w:rPr>
        <w:t>Annibali</w:t>
      </w:r>
      <w:proofErr w:type="spellEnd"/>
      <w:r w:rsidRPr="007D027B">
        <w:rPr>
          <w:sz w:val="24"/>
          <w:szCs w:val="24"/>
        </w:rPr>
        <w:t xml:space="preserve"> S, </w:t>
      </w:r>
      <w:proofErr w:type="spellStart"/>
      <w:r w:rsidRPr="007D027B">
        <w:rPr>
          <w:sz w:val="24"/>
          <w:szCs w:val="24"/>
        </w:rPr>
        <w:t>Pranno</w:t>
      </w:r>
      <w:proofErr w:type="spellEnd"/>
      <w:r w:rsidRPr="007D027B">
        <w:rPr>
          <w:sz w:val="24"/>
          <w:szCs w:val="24"/>
        </w:rPr>
        <w:t xml:space="preserve"> N, </w:t>
      </w:r>
      <w:proofErr w:type="spellStart"/>
      <w:r w:rsidRPr="007D027B">
        <w:rPr>
          <w:sz w:val="24"/>
          <w:szCs w:val="24"/>
        </w:rPr>
        <w:t>Cristalli</w:t>
      </w:r>
      <w:proofErr w:type="spellEnd"/>
      <w:r w:rsidRPr="007D027B">
        <w:rPr>
          <w:sz w:val="24"/>
          <w:szCs w:val="24"/>
        </w:rPr>
        <w:t xml:space="preserve"> MP. Prevention of neurological injuries during mandibular third molar surgery: technical notes. Ann </w:t>
      </w:r>
      <w:proofErr w:type="spellStart"/>
      <w:r w:rsidRPr="007D027B">
        <w:rPr>
          <w:sz w:val="24"/>
          <w:szCs w:val="24"/>
        </w:rPr>
        <w:t>Stomatol</w:t>
      </w:r>
      <w:proofErr w:type="spellEnd"/>
      <w:r w:rsidRPr="007D027B">
        <w:rPr>
          <w:sz w:val="24"/>
          <w:szCs w:val="24"/>
        </w:rPr>
        <w:t xml:space="preserve"> (Roma). 2017 Nov 8;8(2):45-52. </w:t>
      </w:r>
      <w:proofErr w:type="spellStart"/>
      <w:r w:rsidRPr="007D027B">
        <w:rPr>
          <w:sz w:val="24"/>
          <w:szCs w:val="24"/>
        </w:rPr>
        <w:t>doi</w:t>
      </w:r>
      <w:proofErr w:type="spellEnd"/>
      <w:r w:rsidRPr="007D027B">
        <w:rPr>
          <w:sz w:val="24"/>
          <w:szCs w:val="24"/>
        </w:rPr>
        <w:t>: 10.11138/ads/2017.8.2.053. PMID: 29299188; PMCID: PMC5749373.</w:t>
      </w:r>
    </w:p>
    <w:p w14:paraId="1870674C" w14:textId="7585D5D9" w:rsidR="007D027B" w:rsidRDefault="007D027B" w:rsidP="007D027B">
      <w:pPr>
        <w:pStyle w:val="ListParagraph"/>
        <w:numPr>
          <w:ilvl w:val="0"/>
          <w:numId w:val="1"/>
        </w:numPr>
        <w:jc w:val="both"/>
        <w:rPr>
          <w:sz w:val="24"/>
          <w:szCs w:val="24"/>
        </w:rPr>
      </w:pPr>
      <w:r w:rsidRPr="007D027B">
        <w:rPr>
          <w:sz w:val="24"/>
          <w:szCs w:val="24"/>
        </w:rPr>
        <w:t xml:space="preserve">Leung YY. Management and prevention of third molar surgery-related trigeminal nerve injury: time for a rethink. J Korean Assoc Oral </w:t>
      </w:r>
      <w:proofErr w:type="spellStart"/>
      <w:r w:rsidRPr="007D027B">
        <w:rPr>
          <w:sz w:val="24"/>
          <w:szCs w:val="24"/>
        </w:rPr>
        <w:t>Maxillofac</w:t>
      </w:r>
      <w:proofErr w:type="spellEnd"/>
      <w:r w:rsidRPr="007D027B">
        <w:rPr>
          <w:sz w:val="24"/>
          <w:szCs w:val="24"/>
        </w:rPr>
        <w:t xml:space="preserve"> Surg. 2019 Oct;45(5):233-240. </w:t>
      </w:r>
      <w:proofErr w:type="spellStart"/>
      <w:r w:rsidRPr="007D027B">
        <w:rPr>
          <w:sz w:val="24"/>
          <w:szCs w:val="24"/>
        </w:rPr>
        <w:t>doi</w:t>
      </w:r>
      <w:proofErr w:type="spellEnd"/>
      <w:r w:rsidRPr="007D027B">
        <w:rPr>
          <w:sz w:val="24"/>
          <w:szCs w:val="24"/>
        </w:rPr>
        <w:t xml:space="preserve">: 10.5125/jkaoms.2019.45.5.233. </w:t>
      </w:r>
      <w:proofErr w:type="spellStart"/>
      <w:r w:rsidRPr="007D027B">
        <w:rPr>
          <w:sz w:val="24"/>
          <w:szCs w:val="24"/>
        </w:rPr>
        <w:t>Epub</w:t>
      </w:r>
      <w:proofErr w:type="spellEnd"/>
      <w:r w:rsidRPr="007D027B">
        <w:rPr>
          <w:sz w:val="24"/>
          <w:szCs w:val="24"/>
        </w:rPr>
        <w:t xml:space="preserve"> 2019 Oct 30. PMID: 31728330; PMCID: PMC6838349.</w:t>
      </w:r>
    </w:p>
    <w:p w14:paraId="230164E8" w14:textId="75837500" w:rsidR="007D027B" w:rsidRDefault="006009B7" w:rsidP="007D027B">
      <w:pPr>
        <w:pStyle w:val="ListParagraph"/>
        <w:numPr>
          <w:ilvl w:val="0"/>
          <w:numId w:val="1"/>
        </w:numPr>
        <w:jc w:val="both"/>
        <w:rPr>
          <w:sz w:val="24"/>
          <w:szCs w:val="24"/>
        </w:rPr>
      </w:pPr>
      <w:r w:rsidRPr="006009B7">
        <w:rPr>
          <w:sz w:val="24"/>
          <w:szCs w:val="24"/>
        </w:rPr>
        <w:t xml:space="preserve">Al </w:t>
      </w:r>
      <w:proofErr w:type="spellStart"/>
      <w:r w:rsidRPr="006009B7">
        <w:rPr>
          <w:sz w:val="24"/>
          <w:szCs w:val="24"/>
        </w:rPr>
        <w:t>Salieti</w:t>
      </w:r>
      <w:proofErr w:type="spellEnd"/>
      <w:r w:rsidRPr="006009B7">
        <w:rPr>
          <w:sz w:val="24"/>
          <w:szCs w:val="24"/>
        </w:rPr>
        <w:t xml:space="preserve"> H, </w:t>
      </w:r>
      <w:proofErr w:type="spellStart"/>
      <w:r w:rsidRPr="006009B7">
        <w:rPr>
          <w:sz w:val="24"/>
          <w:szCs w:val="24"/>
        </w:rPr>
        <w:t>Qasem</w:t>
      </w:r>
      <w:proofErr w:type="spellEnd"/>
      <w:r w:rsidRPr="006009B7">
        <w:rPr>
          <w:sz w:val="24"/>
          <w:szCs w:val="24"/>
        </w:rPr>
        <w:t xml:space="preserve"> HM, </w:t>
      </w:r>
      <w:proofErr w:type="spellStart"/>
      <w:r w:rsidRPr="006009B7">
        <w:rPr>
          <w:sz w:val="24"/>
          <w:szCs w:val="24"/>
        </w:rPr>
        <w:t>Alshwayyat</w:t>
      </w:r>
      <w:proofErr w:type="spellEnd"/>
      <w:r w:rsidRPr="006009B7">
        <w:rPr>
          <w:sz w:val="24"/>
          <w:szCs w:val="24"/>
        </w:rPr>
        <w:t xml:space="preserve"> S, </w:t>
      </w:r>
      <w:proofErr w:type="spellStart"/>
      <w:r w:rsidRPr="006009B7">
        <w:rPr>
          <w:sz w:val="24"/>
          <w:szCs w:val="24"/>
        </w:rPr>
        <w:t>Almasri</w:t>
      </w:r>
      <w:proofErr w:type="spellEnd"/>
      <w:r w:rsidRPr="006009B7">
        <w:rPr>
          <w:sz w:val="24"/>
          <w:szCs w:val="24"/>
        </w:rPr>
        <w:t xml:space="preserve"> N, </w:t>
      </w:r>
      <w:proofErr w:type="spellStart"/>
      <w:r w:rsidRPr="006009B7">
        <w:rPr>
          <w:sz w:val="24"/>
          <w:szCs w:val="24"/>
        </w:rPr>
        <w:t>Alshwayyat</w:t>
      </w:r>
      <w:proofErr w:type="spellEnd"/>
      <w:r w:rsidRPr="006009B7">
        <w:rPr>
          <w:sz w:val="24"/>
          <w:szCs w:val="24"/>
        </w:rPr>
        <w:t xml:space="preserve"> M, </w:t>
      </w:r>
      <w:proofErr w:type="spellStart"/>
      <w:r w:rsidRPr="006009B7">
        <w:rPr>
          <w:sz w:val="24"/>
          <w:szCs w:val="24"/>
        </w:rPr>
        <w:t>Aboali</w:t>
      </w:r>
      <w:proofErr w:type="spellEnd"/>
      <w:r w:rsidRPr="006009B7">
        <w:rPr>
          <w:sz w:val="24"/>
          <w:szCs w:val="24"/>
        </w:rPr>
        <w:t xml:space="preserve"> AA, </w:t>
      </w:r>
      <w:proofErr w:type="spellStart"/>
      <w:r w:rsidRPr="006009B7">
        <w:rPr>
          <w:sz w:val="24"/>
          <w:szCs w:val="24"/>
        </w:rPr>
        <w:t>Alsarayrah</w:t>
      </w:r>
      <w:proofErr w:type="spellEnd"/>
      <w:r w:rsidRPr="006009B7">
        <w:rPr>
          <w:sz w:val="24"/>
          <w:szCs w:val="24"/>
        </w:rPr>
        <w:t xml:space="preserve"> F, </w:t>
      </w:r>
      <w:proofErr w:type="spellStart"/>
      <w:r w:rsidRPr="006009B7">
        <w:rPr>
          <w:sz w:val="24"/>
          <w:szCs w:val="24"/>
        </w:rPr>
        <w:t>Khasawneh</w:t>
      </w:r>
      <w:proofErr w:type="spellEnd"/>
      <w:r w:rsidRPr="006009B7">
        <w:rPr>
          <w:sz w:val="24"/>
          <w:szCs w:val="24"/>
        </w:rPr>
        <w:t xml:space="preserve"> L, Al-Kurdi MA. Predicting alveolar nerve injury and the difficulty level of extraction impacted third molars: a systematic review of deep learning approaches. Front Dent Med. 2025 May </w:t>
      </w:r>
      <w:proofErr w:type="gramStart"/>
      <w:r w:rsidRPr="006009B7">
        <w:rPr>
          <w:sz w:val="24"/>
          <w:szCs w:val="24"/>
        </w:rPr>
        <w:t>20;6:1534406</w:t>
      </w:r>
      <w:proofErr w:type="gramEnd"/>
      <w:r w:rsidRPr="006009B7">
        <w:rPr>
          <w:sz w:val="24"/>
          <w:szCs w:val="24"/>
        </w:rPr>
        <w:t xml:space="preserve">. </w:t>
      </w:r>
      <w:proofErr w:type="spellStart"/>
      <w:r w:rsidRPr="006009B7">
        <w:rPr>
          <w:sz w:val="24"/>
          <w:szCs w:val="24"/>
        </w:rPr>
        <w:t>doi</w:t>
      </w:r>
      <w:proofErr w:type="spellEnd"/>
      <w:r w:rsidRPr="006009B7">
        <w:rPr>
          <w:sz w:val="24"/>
          <w:szCs w:val="24"/>
        </w:rPr>
        <w:t>: 10.3389/fdmed.2025.1534406. PMID: 40463825; PMCID: PMC12129997.</w:t>
      </w:r>
    </w:p>
    <w:p w14:paraId="292BB139" w14:textId="1065CF6D" w:rsidR="006009B7" w:rsidRPr="007D027B" w:rsidRDefault="006009B7" w:rsidP="007D027B">
      <w:pPr>
        <w:pStyle w:val="ListParagraph"/>
        <w:numPr>
          <w:ilvl w:val="0"/>
          <w:numId w:val="1"/>
        </w:numPr>
        <w:jc w:val="both"/>
        <w:rPr>
          <w:sz w:val="24"/>
          <w:szCs w:val="24"/>
        </w:rPr>
      </w:pPr>
      <w:r w:rsidRPr="006009B7">
        <w:rPr>
          <w:sz w:val="24"/>
          <w:szCs w:val="24"/>
        </w:rPr>
        <w:t>Yoo, JH., Yeom, HG., Shin, W. </w:t>
      </w:r>
      <w:r w:rsidRPr="006009B7">
        <w:rPr>
          <w:i/>
          <w:iCs/>
          <w:sz w:val="24"/>
          <w:szCs w:val="24"/>
        </w:rPr>
        <w:t>et al.</w:t>
      </w:r>
      <w:r w:rsidRPr="006009B7">
        <w:rPr>
          <w:sz w:val="24"/>
          <w:szCs w:val="24"/>
        </w:rPr>
        <w:t xml:space="preserve"> Deep </w:t>
      </w:r>
      <w:proofErr w:type="gramStart"/>
      <w:r w:rsidRPr="006009B7">
        <w:rPr>
          <w:sz w:val="24"/>
          <w:szCs w:val="24"/>
        </w:rPr>
        <w:t>learning based</w:t>
      </w:r>
      <w:proofErr w:type="gramEnd"/>
      <w:r w:rsidRPr="006009B7">
        <w:rPr>
          <w:sz w:val="24"/>
          <w:szCs w:val="24"/>
        </w:rPr>
        <w:t xml:space="preserve"> prediction of extraction difficulty for mandibular third molars. </w:t>
      </w:r>
      <w:r w:rsidRPr="006009B7">
        <w:rPr>
          <w:i/>
          <w:iCs/>
          <w:sz w:val="24"/>
          <w:szCs w:val="24"/>
        </w:rPr>
        <w:t>Sci Rep</w:t>
      </w:r>
      <w:r w:rsidRPr="006009B7">
        <w:rPr>
          <w:sz w:val="24"/>
          <w:szCs w:val="24"/>
        </w:rPr>
        <w:t> </w:t>
      </w:r>
      <w:r w:rsidRPr="006009B7">
        <w:rPr>
          <w:b/>
          <w:bCs/>
          <w:sz w:val="24"/>
          <w:szCs w:val="24"/>
        </w:rPr>
        <w:t>11</w:t>
      </w:r>
      <w:r w:rsidRPr="006009B7">
        <w:rPr>
          <w:sz w:val="24"/>
          <w:szCs w:val="24"/>
        </w:rPr>
        <w:t>, 1954 (2021). https://doi.org/10.1038/s41598-021-81449-4</w:t>
      </w:r>
    </w:p>
    <w:sectPr w:rsidR="006009B7" w:rsidRPr="007D02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C571" w14:textId="77777777" w:rsidR="00B32330" w:rsidRDefault="00B32330" w:rsidP="00DF407C">
      <w:pPr>
        <w:spacing w:after="0" w:line="240" w:lineRule="auto"/>
      </w:pPr>
      <w:r>
        <w:separator/>
      </w:r>
    </w:p>
  </w:endnote>
  <w:endnote w:type="continuationSeparator" w:id="0">
    <w:p w14:paraId="5D731CCF" w14:textId="77777777" w:rsidR="00B32330" w:rsidRDefault="00B32330" w:rsidP="00DF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229D" w14:textId="77777777" w:rsidR="00DF407C" w:rsidRDefault="00DF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3234" w14:textId="77777777" w:rsidR="00DF407C" w:rsidRDefault="00DF4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3653" w14:textId="77777777" w:rsidR="00DF407C" w:rsidRDefault="00DF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D2FE8" w14:textId="77777777" w:rsidR="00B32330" w:rsidRDefault="00B32330" w:rsidP="00DF407C">
      <w:pPr>
        <w:spacing w:after="0" w:line="240" w:lineRule="auto"/>
      </w:pPr>
      <w:r>
        <w:separator/>
      </w:r>
    </w:p>
  </w:footnote>
  <w:footnote w:type="continuationSeparator" w:id="0">
    <w:p w14:paraId="0F388391" w14:textId="77777777" w:rsidR="00B32330" w:rsidRDefault="00B32330" w:rsidP="00DF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711D" w14:textId="10BA2E13" w:rsidR="00DF407C" w:rsidRDefault="00DF407C">
    <w:pPr>
      <w:pStyle w:val="Header"/>
    </w:pPr>
    <w:r>
      <w:rPr>
        <w:noProof/>
      </w:rPr>
      <w:pict w14:anchorId="54064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D115" w14:textId="1D48CF9A" w:rsidR="00DF407C" w:rsidRDefault="00DF407C">
    <w:pPr>
      <w:pStyle w:val="Header"/>
    </w:pPr>
    <w:r>
      <w:rPr>
        <w:noProof/>
      </w:rPr>
      <w:pict w14:anchorId="4FEEF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C670" w14:textId="11E9525B" w:rsidR="00DF407C" w:rsidRDefault="00DF407C">
    <w:pPr>
      <w:pStyle w:val="Header"/>
    </w:pPr>
    <w:r>
      <w:rPr>
        <w:noProof/>
      </w:rPr>
      <w:pict w14:anchorId="2744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71493"/>
    <w:multiLevelType w:val="hybridMultilevel"/>
    <w:tmpl w:val="F6803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2A"/>
    <w:rsid w:val="001D48FD"/>
    <w:rsid w:val="00221F95"/>
    <w:rsid w:val="003238CA"/>
    <w:rsid w:val="00330339"/>
    <w:rsid w:val="00346762"/>
    <w:rsid w:val="00384857"/>
    <w:rsid w:val="00396281"/>
    <w:rsid w:val="004F4246"/>
    <w:rsid w:val="005749C2"/>
    <w:rsid w:val="005A038E"/>
    <w:rsid w:val="006009B7"/>
    <w:rsid w:val="00753B36"/>
    <w:rsid w:val="007D027B"/>
    <w:rsid w:val="007E46F6"/>
    <w:rsid w:val="008705A2"/>
    <w:rsid w:val="008D2F2A"/>
    <w:rsid w:val="009509A1"/>
    <w:rsid w:val="00A22ADD"/>
    <w:rsid w:val="00AA63AF"/>
    <w:rsid w:val="00B32330"/>
    <w:rsid w:val="00C41527"/>
    <w:rsid w:val="00D911C2"/>
    <w:rsid w:val="00DF407C"/>
    <w:rsid w:val="00F308B7"/>
    <w:rsid w:val="00F8784E"/>
    <w:rsid w:val="00FA7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0448A"/>
  <w15:chartTrackingRefBased/>
  <w15:docId w15:val="{A96B9770-A967-4F05-ADDE-89E8404F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F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F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F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2A"/>
    <w:rPr>
      <w:rFonts w:eastAsiaTheme="majorEastAsia" w:cstheme="majorBidi"/>
      <w:color w:val="272727" w:themeColor="text1" w:themeTint="D8"/>
    </w:rPr>
  </w:style>
  <w:style w:type="paragraph" w:styleId="Title">
    <w:name w:val="Title"/>
    <w:basedOn w:val="Normal"/>
    <w:next w:val="Normal"/>
    <w:link w:val="TitleChar"/>
    <w:uiPriority w:val="10"/>
    <w:qFormat/>
    <w:rsid w:val="008D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2A"/>
    <w:pPr>
      <w:spacing w:before="160"/>
      <w:jc w:val="center"/>
    </w:pPr>
    <w:rPr>
      <w:i/>
      <w:iCs/>
      <w:color w:val="404040" w:themeColor="text1" w:themeTint="BF"/>
    </w:rPr>
  </w:style>
  <w:style w:type="character" w:customStyle="1" w:styleId="QuoteChar">
    <w:name w:val="Quote Char"/>
    <w:basedOn w:val="DefaultParagraphFont"/>
    <w:link w:val="Quote"/>
    <w:uiPriority w:val="29"/>
    <w:rsid w:val="008D2F2A"/>
    <w:rPr>
      <w:i/>
      <w:iCs/>
      <w:color w:val="404040" w:themeColor="text1" w:themeTint="BF"/>
    </w:rPr>
  </w:style>
  <w:style w:type="paragraph" w:styleId="ListParagraph">
    <w:name w:val="List Paragraph"/>
    <w:basedOn w:val="Normal"/>
    <w:uiPriority w:val="34"/>
    <w:qFormat/>
    <w:rsid w:val="008D2F2A"/>
    <w:pPr>
      <w:ind w:left="720"/>
      <w:contextualSpacing/>
    </w:pPr>
  </w:style>
  <w:style w:type="character" w:styleId="IntenseEmphasis">
    <w:name w:val="Intense Emphasis"/>
    <w:basedOn w:val="DefaultParagraphFont"/>
    <w:uiPriority w:val="21"/>
    <w:qFormat/>
    <w:rsid w:val="008D2F2A"/>
    <w:rPr>
      <w:i/>
      <w:iCs/>
      <w:color w:val="2F5496" w:themeColor="accent1" w:themeShade="BF"/>
    </w:rPr>
  </w:style>
  <w:style w:type="paragraph" w:styleId="IntenseQuote">
    <w:name w:val="Intense Quote"/>
    <w:basedOn w:val="Normal"/>
    <w:next w:val="Normal"/>
    <w:link w:val="IntenseQuoteChar"/>
    <w:uiPriority w:val="30"/>
    <w:qFormat/>
    <w:rsid w:val="008D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F2A"/>
    <w:rPr>
      <w:i/>
      <w:iCs/>
      <w:color w:val="2F5496" w:themeColor="accent1" w:themeShade="BF"/>
    </w:rPr>
  </w:style>
  <w:style w:type="character" w:styleId="IntenseReference">
    <w:name w:val="Intense Reference"/>
    <w:basedOn w:val="DefaultParagraphFont"/>
    <w:uiPriority w:val="32"/>
    <w:qFormat/>
    <w:rsid w:val="008D2F2A"/>
    <w:rPr>
      <w:b/>
      <w:bCs/>
      <w:smallCaps/>
      <w:color w:val="2F5496" w:themeColor="accent1" w:themeShade="BF"/>
      <w:spacing w:val="5"/>
    </w:rPr>
  </w:style>
  <w:style w:type="character" w:styleId="Hyperlink">
    <w:name w:val="Hyperlink"/>
    <w:basedOn w:val="DefaultParagraphFont"/>
    <w:uiPriority w:val="99"/>
    <w:unhideWhenUsed/>
    <w:rsid w:val="005A038E"/>
    <w:rPr>
      <w:color w:val="0563C1" w:themeColor="hyperlink"/>
      <w:u w:val="single"/>
    </w:rPr>
  </w:style>
  <w:style w:type="character" w:styleId="UnresolvedMention">
    <w:name w:val="Unresolved Mention"/>
    <w:basedOn w:val="DefaultParagraphFont"/>
    <w:uiPriority w:val="99"/>
    <w:semiHidden/>
    <w:unhideWhenUsed/>
    <w:rsid w:val="005A038E"/>
    <w:rPr>
      <w:color w:val="605E5C"/>
      <w:shd w:val="clear" w:color="auto" w:fill="E1DFDD"/>
    </w:rPr>
  </w:style>
  <w:style w:type="paragraph" w:styleId="Header">
    <w:name w:val="header"/>
    <w:basedOn w:val="Normal"/>
    <w:link w:val="HeaderChar"/>
    <w:uiPriority w:val="99"/>
    <w:unhideWhenUsed/>
    <w:rsid w:val="00DF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7C"/>
  </w:style>
  <w:style w:type="paragraph" w:styleId="Footer">
    <w:name w:val="footer"/>
    <w:basedOn w:val="Normal"/>
    <w:link w:val="FooterChar"/>
    <w:uiPriority w:val="99"/>
    <w:unhideWhenUsed/>
    <w:rsid w:val="00DF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078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71/journal.pone.028218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4-82915-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903-021-0178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590/pboci.2023.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 Farhaan</dc:creator>
  <cp:keywords/>
  <dc:description/>
  <cp:lastModifiedBy>SDI 1084</cp:lastModifiedBy>
  <cp:revision>5</cp:revision>
  <dcterms:created xsi:type="dcterms:W3CDTF">2025-10-31T17:19:00Z</dcterms:created>
  <dcterms:modified xsi:type="dcterms:W3CDTF">2025-11-01T08:30:00Z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73f6c-70eb-4b84-9ffa-39fe698bd292_Enabled">
    <vt:lpwstr>true</vt:lpwstr>
  </property>
  <property fmtid="{D5CDD505-2E9C-101B-9397-08002B2CF9AE}" pid="3" name="MSIP_Label_7ec73f6c-70eb-4b84-9ffa-39fe698bd292_SetDate">
    <vt:lpwstr>2025-10-31T17:15:46Z</vt:lpwstr>
  </property>
  <property fmtid="{D5CDD505-2E9C-101B-9397-08002B2CF9AE}" pid="4" name="MSIP_Label_7ec73f6c-70eb-4b84-9ffa-39fe698bd292_Method">
    <vt:lpwstr>Privileged</vt:lpwstr>
  </property>
  <property fmtid="{D5CDD505-2E9C-101B-9397-08002B2CF9AE}" pid="5" name="MSIP_Label_7ec73f6c-70eb-4b84-9ffa-39fe698bd292_Name">
    <vt:lpwstr>Non-Business Information (NB)</vt:lpwstr>
  </property>
  <property fmtid="{D5CDD505-2E9C-101B-9397-08002B2CF9AE}" pid="6" name="MSIP_Label_7ec73f6c-70eb-4b84-9ffa-39fe698bd292_SiteId">
    <vt:lpwstr>906aefe9-76a7-4f65-b82d-5ec20775d5aa</vt:lpwstr>
  </property>
  <property fmtid="{D5CDD505-2E9C-101B-9397-08002B2CF9AE}" pid="7" name="MSIP_Label_7ec73f6c-70eb-4b84-9ffa-39fe698bd292_ActionId">
    <vt:lpwstr>6fd3ac87-9410-44f3-92fe-0eba6b6d9cb2</vt:lpwstr>
  </property>
  <property fmtid="{D5CDD505-2E9C-101B-9397-08002B2CF9AE}" pid="8" name="MSIP_Label_7ec73f6c-70eb-4b84-9ffa-39fe698bd292_ContentBits">
    <vt:lpwstr>0</vt:lpwstr>
  </property>
  <property fmtid="{D5CDD505-2E9C-101B-9397-08002B2CF9AE}" pid="9" name="MSIP_Label_7ec73f6c-70eb-4b84-9ffa-39fe698bd292_Tag">
    <vt:lpwstr>10, 0, 1, 1</vt:lpwstr>
  </property>
</Properties>
</file>