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A547D" w14:textId="77777777" w:rsidR="00B424F5" w:rsidRPr="0028064C" w:rsidRDefault="00B424F5" w:rsidP="00B424F5">
      <w:pPr>
        <w:spacing w:line="240" w:lineRule="auto"/>
        <w:jc w:val="right"/>
        <w:rPr>
          <w:rFonts w:ascii="Arial" w:hAnsi="Arial" w:cs="Arial"/>
          <w:b/>
          <w:bCs/>
          <w:i/>
          <w:kern w:val="0"/>
          <w:sz w:val="32"/>
          <w:szCs w:val="24"/>
          <w:u w:val="single"/>
          <w14:ligatures w14:val="none"/>
        </w:rPr>
      </w:pPr>
      <w:r w:rsidRPr="0028064C">
        <w:rPr>
          <w:rFonts w:ascii="Arial" w:hAnsi="Arial" w:cs="Arial"/>
          <w:b/>
          <w:bCs/>
          <w:i/>
          <w:kern w:val="0"/>
          <w:sz w:val="32"/>
          <w:szCs w:val="24"/>
          <w:u w:val="single"/>
          <w14:ligatures w14:val="none"/>
        </w:rPr>
        <w:t>Original Research Article</w:t>
      </w:r>
    </w:p>
    <w:p w14:paraId="47081CB2" w14:textId="77777777" w:rsidR="00B424F5" w:rsidRDefault="00B424F5" w:rsidP="00B424F5">
      <w:pPr>
        <w:spacing w:after="0" w:line="240" w:lineRule="auto"/>
        <w:contextualSpacing/>
        <w:jc w:val="right"/>
        <w:rPr>
          <w:rFonts w:ascii="Arial" w:eastAsia="Calibri" w:hAnsi="Arial" w:cs="Arial"/>
          <w:b/>
          <w:kern w:val="0"/>
          <w:sz w:val="32"/>
          <w:szCs w:val="24"/>
          <w14:ligatures w14:val="none"/>
        </w:rPr>
      </w:pPr>
      <w:r w:rsidRPr="0028064C">
        <w:rPr>
          <w:rFonts w:ascii="Arial" w:eastAsia="Calibri" w:hAnsi="Arial" w:cs="Arial"/>
          <w:b/>
          <w:kern w:val="0"/>
          <w:sz w:val="32"/>
          <w:szCs w:val="24"/>
          <w14:ligatures w14:val="none"/>
        </w:rPr>
        <w:t xml:space="preserve">Effects of </w:t>
      </w:r>
      <w:proofErr w:type="spellStart"/>
      <w:r w:rsidRPr="0028064C">
        <w:rPr>
          <w:rFonts w:ascii="Arial" w:eastAsia="Calibri" w:hAnsi="Arial" w:cs="Arial"/>
          <w:b/>
          <w:kern w:val="0"/>
          <w:sz w:val="32"/>
          <w:szCs w:val="24"/>
          <w14:ligatures w14:val="none"/>
        </w:rPr>
        <w:t>Brassinolide</w:t>
      </w:r>
      <w:proofErr w:type="spellEnd"/>
      <w:r w:rsidRPr="0028064C">
        <w:rPr>
          <w:rFonts w:ascii="Arial" w:eastAsia="Calibri" w:hAnsi="Arial" w:cs="Arial"/>
          <w:b/>
          <w:kern w:val="0"/>
          <w:sz w:val="32"/>
          <w:szCs w:val="24"/>
          <w14:ligatures w14:val="none"/>
        </w:rPr>
        <w:t xml:space="preserve"> And </w:t>
      </w:r>
      <w:proofErr w:type="spellStart"/>
      <w:r w:rsidRPr="0028064C">
        <w:rPr>
          <w:rFonts w:ascii="Arial" w:eastAsia="Calibri" w:hAnsi="Arial" w:cs="Arial"/>
          <w:b/>
          <w:kern w:val="0"/>
          <w:sz w:val="32"/>
          <w:szCs w:val="24"/>
          <w14:ligatures w14:val="none"/>
        </w:rPr>
        <w:t>Humic</w:t>
      </w:r>
      <w:proofErr w:type="spellEnd"/>
      <w:r w:rsidRPr="0028064C">
        <w:rPr>
          <w:rFonts w:ascii="Arial" w:eastAsia="Calibri" w:hAnsi="Arial" w:cs="Arial"/>
          <w:b/>
          <w:kern w:val="0"/>
          <w:sz w:val="32"/>
          <w:szCs w:val="24"/>
          <w14:ligatures w14:val="none"/>
        </w:rPr>
        <w:t xml:space="preserve"> Acid on </w:t>
      </w:r>
      <w:r w:rsidR="00E450B3">
        <w:rPr>
          <w:rFonts w:ascii="Arial" w:eastAsia="Calibri" w:hAnsi="Arial" w:cs="Arial"/>
          <w:b/>
          <w:kern w:val="0"/>
          <w:sz w:val="32"/>
          <w:szCs w:val="24"/>
          <w14:ligatures w14:val="none"/>
        </w:rPr>
        <w:t>Protein</w:t>
      </w:r>
      <w:r w:rsidRPr="0028064C">
        <w:rPr>
          <w:rFonts w:ascii="Arial" w:eastAsia="Calibri" w:hAnsi="Arial" w:cs="Arial"/>
          <w:b/>
          <w:kern w:val="0"/>
          <w:sz w:val="32"/>
          <w:szCs w:val="24"/>
          <w14:ligatures w14:val="none"/>
        </w:rPr>
        <w:t xml:space="preserve"> and </w:t>
      </w:r>
      <w:r w:rsidR="00E450B3">
        <w:rPr>
          <w:rFonts w:ascii="Arial" w:eastAsia="Calibri" w:hAnsi="Arial" w:cs="Arial"/>
          <w:b/>
          <w:kern w:val="0"/>
          <w:sz w:val="32"/>
          <w:szCs w:val="24"/>
          <w14:ligatures w14:val="none"/>
        </w:rPr>
        <w:t>Nutrient uptake</w:t>
      </w:r>
      <w:r w:rsidRPr="0028064C">
        <w:rPr>
          <w:rFonts w:ascii="Arial" w:eastAsia="Calibri" w:hAnsi="Arial" w:cs="Arial"/>
          <w:b/>
          <w:kern w:val="0"/>
          <w:sz w:val="32"/>
          <w:szCs w:val="24"/>
          <w14:ligatures w14:val="none"/>
        </w:rPr>
        <w:t xml:space="preserve"> of Black Gram (</w:t>
      </w:r>
      <w:r w:rsidRPr="0028064C">
        <w:rPr>
          <w:rFonts w:ascii="Arial" w:eastAsia="Calibri" w:hAnsi="Arial" w:cs="Arial"/>
          <w:b/>
          <w:i/>
          <w:kern w:val="0"/>
          <w:sz w:val="32"/>
          <w:szCs w:val="24"/>
          <w14:ligatures w14:val="none"/>
        </w:rPr>
        <w:t>Vigna mungo</w:t>
      </w:r>
      <w:r w:rsidRPr="0028064C">
        <w:rPr>
          <w:rFonts w:ascii="Arial" w:eastAsia="Calibri" w:hAnsi="Arial" w:cs="Arial"/>
          <w:b/>
          <w:kern w:val="0"/>
          <w:sz w:val="32"/>
          <w:szCs w:val="24"/>
          <w14:ligatures w14:val="none"/>
        </w:rPr>
        <w:t xml:space="preserve"> L.)</w:t>
      </w:r>
    </w:p>
    <w:p w14:paraId="48ABBA41" w14:textId="7A65D585" w:rsidR="00B424F5" w:rsidRDefault="00B424F5" w:rsidP="00B424F5">
      <w:pPr>
        <w:pStyle w:val="NoSpacing"/>
      </w:pPr>
    </w:p>
    <w:p w14:paraId="2FBD4987" w14:textId="77777777" w:rsidR="00DC2502" w:rsidRPr="0028064C" w:rsidRDefault="00DC2502" w:rsidP="00B424F5">
      <w:pPr>
        <w:pStyle w:val="NoSpacing"/>
      </w:pPr>
      <w:bookmarkStart w:id="0" w:name="_GoBack"/>
      <w:bookmarkEnd w:id="0"/>
    </w:p>
    <w:p w14:paraId="7F151C90" w14:textId="77777777" w:rsidR="00B424F5" w:rsidRPr="00AB575B" w:rsidRDefault="00B424F5" w:rsidP="00B424F5">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14:paraId="67F5AF0E" w14:textId="77777777" w:rsidR="00B424F5" w:rsidRPr="00AB575B" w:rsidRDefault="00B424F5" w:rsidP="00CE2A2E">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The field experiment was conducted during the </w:t>
      </w:r>
      <w:r w:rsidRPr="00AB575B">
        <w:rPr>
          <w:rFonts w:ascii="Arial" w:hAnsi="Arial" w:cs="Arial"/>
          <w:i/>
          <w:iCs/>
          <w:kern w:val="0"/>
          <w:sz w:val="20"/>
          <w:szCs w:val="24"/>
          <w14:ligatures w14:val="none"/>
        </w:rPr>
        <w:t xml:space="preserve">Kharif </w:t>
      </w:r>
      <w:r w:rsidRPr="00AB575B">
        <w:rPr>
          <w:rFonts w:ascii="Arial" w:hAnsi="Arial" w:cs="Arial"/>
          <w:kern w:val="0"/>
          <w:sz w:val="20"/>
          <w:szCs w:val="24"/>
          <w14:ligatures w14:val="none"/>
        </w:rPr>
        <w:t xml:space="preserve">season of 2022-2023 at the Lovely Professional University, Jalandhar, Punjab. To study the </w:t>
      </w:r>
      <w:r>
        <w:rPr>
          <w:rFonts w:ascii="Arial" w:hAnsi="Arial" w:cs="Arial"/>
          <w:kern w:val="0"/>
          <w:sz w:val="20"/>
          <w:szCs w:val="24"/>
          <w14:ligatures w14:val="none"/>
        </w:rPr>
        <w:t>e</w:t>
      </w:r>
      <w:r w:rsidRPr="00AB575B">
        <w:rPr>
          <w:rFonts w:ascii="Arial" w:hAnsi="Arial" w:cs="Arial"/>
          <w:kern w:val="0"/>
          <w:sz w:val="20"/>
          <w:szCs w:val="24"/>
          <w14:ligatures w14:val="none"/>
        </w:rPr>
        <w:t xml:space="preserve">ffect of </w:t>
      </w:r>
      <w:proofErr w:type="spellStart"/>
      <w:r w:rsidRPr="00AB575B">
        <w:rPr>
          <w:rFonts w:ascii="Arial" w:hAnsi="Arial" w:cs="Arial"/>
          <w:kern w:val="0"/>
          <w:sz w:val="20"/>
          <w:szCs w:val="24"/>
          <w14:ligatures w14:val="none"/>
        </w:rPr>
        <w:t>brassinolide</w:t>
      </w:r>
      <w:proofErr w:type="spellEnd"/>
      <w:r>
        <w:rPr>
          <w:rFonts w:ascii="Arial" w:hAnsi="Arial" w:cs="Arial"/>
          <w:kern w:val="0"/>
          <w:sz w:val="20"/>
          <w:szCs w:val="24"/>
          <w14:ligatures w14:val="none"/>
        </w:rPr>
        <w:t xml:space="preserve"> and</w:t>
      </w:r>
      <w:r w:rsidRPr="00AB575B">
        <w:rPr>
          <w:rFonts w:ascii="Arial" w:hAnsi="Arial" w:cs="Arial"/>
          <w:kern w:val="0"/>
          <w:sz w:val="20"/>
          <w:szCs w:val="24"/>
          <w14:ligatures w14:val="none"/>
        </w:rPr>
        <w:t xml:space="preserve">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on </w:t>
      </w:r>
      <w:bookmarkStart w:id="1" w:name="_Hlk140929607"/>
      <w:r w:rsidRPr="00AB575B">
        <w:rPr>
          <w:rFonts w:ascii="Arial" w:hAnsi="Arial" w:cs="Arial"/>
          <w:kern w:val="0"/>
          <w:sz w:val="20"/>
          <w:szCs w:val="24"/>
          <w14:ligatures w14:val="none"/>
        </w:rPr>
        <w:t>growth</w:t>
      </w:r>
      <w:r>
        <w:rPr>
          <w:rFonts w:ascii="Arial" w:hAnsi="Arial" w:cs="Arial"/>
          <w:kern w:val="0"/>
          <w:sz w:val="20"/>
          <w:szCs w:val="24"/>
          <w14:ligatures w14:val="none"/>
        </w:rPr>
        <w:t xml:space="preserve"> </w:t>
      </w:r>
      <w:r w:rsidRPr="00AB575B">
        <w:rPr>
          <w:rFonts w:ascii="Arial" w:hAnsi="Arial" w:cs="Arial"/>
          <w:kern w:val="0"/>
          <w:sz w:val="20"/>
          <w:szCs w:val="24"/>
          <w14:ligatures w14:val="none"/>
        </w:rPr>
        <w:t>and yield of black gram</w:t>
      </w:r>
      <w:bookmarkEnd w:id="1"/>
      <w:r>
        <w:rPr>
          <w:rFonts w:ascii="Arial" w:hAnsi="Arial" w:cs="Arial"/>
          <w:kern w:val="0"/>
          <w:sz w:val="20"/>
          <w:szCs w:val="24"/>
          <w14:ligatures w14:val="none"/>
        </w:rPr>
        <w:t>.</w:t>
      </w:r>
      <w:r w:rsidRPr="00AB575B">
        <w:rPr>
          <w:rFonts w:ascii="Arial" w:hAnsi="Arial" w:cs="Arial"/>
          <w:kern w:val="0"/>
          <w:sz w:val="20"/>
          <w:szCs w:val="24"/>
          <w:lang w:val="en-US"/>
          <w14:ligatures w14:val="none"/>
        </w:rPr>
        <w:t xml:space="preserve"> </w:t>
      </w:r>
      <w:r w:rsidRPr="00AB575B">
        <w:rPr>
          <w:rFonts w:ascii="Arial" w:hAnsi="Arial" w:cs="Arial"/>
          <w:kern w:val="0"/>
          <w:sz w:val="20"/>
          <w:szCs w:val="24"/>
          <w14:ligatures w14:val="none"/>
        </w:rPr>
        <w:t>The experiment was laid out in a Randomized Block Design (RBD) having three replication and eight treatments by using MASH-114 variety. The treatments were: T</w:t>
      </w:r>
      <w:r w:rsidRPr="00AB575B">
        <w:rPr>
          <w:rFonts w:ascii="Arial" w:hAnsi="Arial" w:cs="Arial"/>
          <w:kern w:val="0"/>
          <w:sz w:val="20"/>
          <w:szCs w:val="24"/>
          <w:vertAlign w:val="subscript"/>
          <w14:ligatures w14:val="none"/>
        </w:rPr>
        <w:t>0</w:t>
      </w:r>
      <w:r w:rsidRPr="00AB575B">
        <w:rPr>
          <w:rFonts w:ascii="Arial" w:hAnsi="Arial" w:cs="Arial"/>
          <w:kern w:val="0"/>
          <w:sz w:val="20"/>
          <w:szCs w:val="24"/>
          <w14:ligatures w14:val="none"/>
        </w:rPr>
        <w:t>-Control T</w:t>
      </w:r>
      <w:r w:rsidRPr="00AB575B">
        <w:rPr>
          <w:rFonts w:ascii="Arial" w:hAnsi="Arial" w:cs="Arial"/>
          <w:kern w:val="0"/>
          <w:sz w:val="20"/>
          <w:szCs w:val="24"/>
          <w:vertAlign w:val="subscript"/>
          <w14:ligatures w14:val="none"/>
        </w:rPr>
        <w:t>1</w:t>
      </w:r>
      <w:r w:rsidRPr="00AB575B">
        <w:rPr>
          <w:rFonts w:ascii="Arial" w:hAnsi="Arial" w:cs="Arial"/>
          <w:kern w:val="0"/>
          <w:sz w:val="20"/>
          <w:szCs w:val="24"/>
          <w14:ligatures w14:val="none"/>
        </w:rPr>
        <w:t>-(100% RDF), T</w:t>
      </w:r>
      <w:r w:rsidRPr="00AB575B">
        <w:rPr>
          <w:rFonts w:ascii="Arial" w:hAnsi="Arial" w:cs="Arial"/>
          <w:kern w:val="0"/>
          <w:sz w:val="20"/>
          <w:szCs w:val="24"/>
          <w:vertAlign w:val="subscript"/>
          <w14:ligatures w14:val="none"/>
        </w:rPr>
        <w:t>2</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(Soil applied), T</w:t>
      </w:r>
      <w:r w:rsidRPr="00AB575B">
        <w:rPr>
          <w:rFonts w:ascii="Arial" w:hAnsi="Arial" w:cs="Arial"/>
          <w:kern w:val="0"/>
          <w:sz w:val="20"/>
          <w:szCs w:val="24"/>
          <w:vertAlign w:val="subscript"/>
          <w14:ligatures w14:val="none"/>
        </w:rPr>
        <w:t>3</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(Foliar applied), T</w:t>
      </w:r>
      <w:r w:rsidRPr="00AB575B">
        <w:rPr>
          <w:rFonts w:ascii="Arial" w:hAnsi="Arial" w:cs="Arial"/>
          <w:kern w:val="0"/>
          <w:sz w:val="20"/>
          <w:szCs w:val="24"/>
          <w:vertAlign w:val="subscript"/>
          <w14:ligatures w14:val="none"/>
        </w:rPr>
        <w:t>4</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 T</w:t>
      </w:r>
      <w:r w:rsidRPr="00AB575B">
        <w:rPr>
          <w:rFonts w:ascii="Arial" w:hAnsi="Arial" w:cs="Arial"/>
          <w:kern w:val="0"/>
          <w:sz w:val="20"/>
          <w:szCs w:val="24"/>
          <w:vertAlign w:val="subscript"/>
          <w14:ligatures w14:val="none"/>
        </w:rPr>
        <w:t>5</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(Foliar applied), </w:t>
      </w:r>
      <w:bookmarkStart w:id="2" w:name="_Hlk131625178"/>
      <w:r w:rsidRPr="00AB575B">
        <w:rPr>
          <w:rFonts w:ascii="Arial" w:hAnsi="Arial" w:cs="Arial"/>
          <w:kern w:val="0"/>
          <w:sz w:val="20"/>
          <w:szCs w:val="24"/>
          <w14:ligatures w14:val="none"/>
        </w:rPr>
        <w:t>T</w:t>
      </w:r>
      <w:r w:rsidRPr="00AB575B">
        <w:rPr>
          <w:rFonts w:ascii="Arial" w:hAnsi="Arial" w:cs="Arial"/>
          <w:kern w:val="0"/>
          <w:sz w:val="20"/>
          <w:szCs w:val="24"/>
          <w:vertAlign w:val="subscript"/>
          <w14:ligatures w14:val="none"/>
        </w:rPr>
        <w:t>6</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w:t>
      </w:r>
      <w:bookmarkEnd w:id="2"/>
      <w:r w:rsidRPr="00AB575B">
        <w:rPr>
          <w:rFonts w:ascii="Arial" w:hAnsi="Arial" w:cs="Arial"/>
          <w:kern w:val="0"/>
          <w:sz w:val="20"/>
          <w:szCs w:val="24"/>
          <w14:ligatures w14:val="none"/>
        </w:rPr>
        <w:t xml:space="preserve">, </w:t>
      </w:r>
      <w:bookmarkStart w:id="3" w:name="_Hlk140260150"/>
      <w:r w:rsidRPr="00AB575B">
        <w:rPr>
          <w:rFonts w:ascii="Arial" w:hAnsi="Arial" w:cs="Arial"/>
          <w:kern w:val="0"/>
          <w:sz w:val="20"/>
          <w:szCs w:val="24"/>
          <w14:ligatures w14:val="none"/>
        </w:rPr>
        <w:t>T</w:t>
      </w:r>
      <w:r w:rsidRPr="00AB575B">
        <w:rPr>
          <w:rFonts w:ascii="Arial" w:hAnsi="Arial" w:cs="Arial"/>
          <w:kern w:val="0"/>
          <w:sz w:val="20"/>
          <w:szCs w:val="24"/>
          <w:vertAlign w:val="subscript"/>
          <w14:ligatures w14:val="none"/>
        </w:rPr>
        <w:t>7</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(Foliar applied) were used for this study. According to the findings of a field investigation the </w:t>
      </w:r>
      <w:bookmarkEnd w:id="3"/>
      <w:r w:rsidR="00CE2A2E">
        <w:rPr>
          <w:rFonts w:ascii="Arial" w:hAnsi="Arial" w:cs="Arial"/>
          <w:kern w:val="0"/>
          <w:sz w:val="20"/>
          <w:szCs w:val="24"/>
          <w14:ligatures w14:val="none"/>
        </w:rPr>
        <w:t>protein and</w:t>
      </w:r>
      <w:r w:rsidRPr="00AB575B">
        <w:rPr>
          <w:rFonts w:ascii="Arial" w:hAnsi="Arial" w:cs="Arial"/>
          <w:kern w:val="0"/>
          <w:sz w:val="20"/>
          <w:szCs w:val="24"/>
          <w14:ligatures w14:val="none"/>
        </w:rPr>
        <w:t xml:space="preserve"> nutrient uptake</w:t>
      </w:r>
      <w:r w:rsidR="00CE2A2E">
        <w:rPr>
          <w:rFonts w:ascii="Arial" w:hAnsi="Arial" w:cs="Arial"/>
          <w:kern w:val="0"/>
          <w:sz w:val="20"/>
          <w:szCs w:val="24"/>
          <w14:ligatures w14:val="none"/>
        </w:rPr>
        <w:t xml:space="preserve"> </w:t>
      </w:r>
      <w:r w:rsidRPr="00AB575B">
        <w:rPr>
          <w:rFonts w:ascii="Arial" w:hAnsi="Arial" w:cs="Arial"/>
          <w:kern w:val="0"/>
          <w:sz w:val="20"/>
          <w:szCs w:val="24"/>
          <w14:ligatures w14:val="none"/>
        </w:rPr>
        <w:t xml:space="preserve">black gram were considerably impact due to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and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The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considerably enhanced the content and uptake of NPK</w:t>
      </w:r>
      <w:r w:rsidR="00CE2A2E">
        <w:rPr>
          <w:rFonts w:ascii="Arial" w:hAnsi="Arial" w:cs="Arial"/>
          <w:kern w:val="0"/>
          <w:sz w:val="20"/>
          <w:szCs w:val="24"/>
          <w14:ligatures w14:val="none"/>
        </w:rPr>
        <w:t xml:space="preserve"> </w:t>
      </w:r>
      <w:r w:rsidRPr="00AB575B">
        <w:rPr>
          <w:rFonts w:ascii="Arial" w:hAnsi="Arial" w:cs="Arial"/>
          <w:kern w:val="0"/>
          <w:sz w:val="20"/>
          <w:szCs w:val="24"/>
          <w14:ligatures w14:val="none"/>
        </w:rPr>
        <w:t>as compared to the other treatments. Available NPK, uptake of NPK, content of NPK in plant after harvest of crop were increased significantly due to</w:t>
      </w:r>
      <w:r w:rsidRPr="00AB575B">
        <w:rPr>
          <w:rFonts w:ascii="Arial" w:eastAsia="Calibri" w:hAnsi="Arial" w:cs="Arial"/>
          <w:color w:val="000000" w:themeColor="text1"/>
          <w:sz w:val="20"/>
          <w:szCs w:val="24"/>
        </w:rPr>
        <w:t xml:space="preserve">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 along with RDF and foliar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respectively along with RDF in black gram.</w:t>
      </w:r>
    </w:p>
    <w:p w14:paraId="574997E8" w14:textId="77777777" w:rsidR="00B424F5" w:rsidRPr="00AB575B" w:rsidRDefault="00B424F5" w:rsidP="00B424F5">
      <w:pPr>
        <w:spacing w:after="0" w:line="240" w:lineRule="auto"/>
        <w:jc w:val="both"/>
        <w:rPr>
          <w:rFonts w:ascii="Arial" w:hAnsi="Arial" w:cs="Arial"/>
          <w:kern w:val="0"/>
          <w:sz w:val="20"/>
          <w:szCs w:val="24"/>
          <w14:ligatures w14:val="none"/>
        </w:rPr>
      </w:pPr>
    </w:p>
    <w:p w14:paraId="3D5587BB" w14:textId="77777777" w:rsidR="00B424F5" w:rsidRPr="00CE2A2E" w:rsidRDefault="00B424F5" w:rsidP="00B424F5">
      <w:pPr>
        <w:spacing w:after="0" w:line="240" w:lineRule="auto"/>
        <w:jc w:val="both"/>
        <w:rPr>
          <w:rFonts w:ascii="Arial" w:hAnsi="Arial" w:cs="Arial"/>
          <w:i/>
          <w:kern w:val="0"/>
          <w:sz w:val="20"/>
          <w:szCs w:val="24"/>
          <w14:ligatures w14:val="none"/>
        </w:rPr>
      </w:pPr>
      <w:r w:rsidRPr="00CE2A2E">
        <w:rPr>
          <w:rFonts w:ascii="Arial" w:hAnsi="Arial" w:cs="Arial"/>
          <w:b/>
          <w:bCs/>
          <w:i/>
          <w:kern w:val="0"/>
          <w:sz w:val="20"/>
          <w:szCs w:val="24"/>
          <w14:ligatures w14:val="none"/>
        </w:rPr>
        <w:t>Keywords</w:t>
      </w:r>
      <w:r w:rsidRPr="00CE2A2E">
        <w:rPr>
          <w:rFonts w:ascii="Arial" w:hAnsi="Arial" w:cs="Arial"/>
          <w:i/>
          <w:kern w:val="0"/>
          <w:sz w:val="20"/>
          <w:szCs w:val="24"/>
          <w14:ligatures w14:val="none"/>
        </w:rPr>
        <w:t xml:space="preserve"> - </w:t>
      </w:r>
      <w:r w:rsidR="00CE2A2E">
        <w:rPr>
          <w:rFonts w:ascii="Arial" w:hAnsi="Arial" w:cs="Arial"/>
          <w:i/>
          <w:kern w:val="0"/>
          <w:sz w:val="20"/>
          <w:szCs w:val="24"/>
          <w14:ligatures w14:val="none"/>
        </w:rPr>
        <w:t>Protein</w:t>
      </w:r>
      <w:r w:rsidRPr="00CE2A2E">
        <w:rPr>
          <w:rFonts w:ascii="Arial" w:hAnsi="Arial" w:cs="Arial"/>
          <w:i/>
          <w:kern w:val="0"/>
          <w:sz w:val="20"/>
          <w:szCs w:val="24"/>
          <w14:ligatures w14:val="none"/>
        </w:rPr>
        <w:t xml:space="preserve">, </w:t>
      </w:r>
      <w:r w:rsidR="00CE2A2E">
        <w:rPr>
          <w:rFonts w:ascii="Arial" w:hAnsi="Arial" w:cs="Arial"/>
          <w:i/>
          <w:kern w:val="0"/>
          <w:sz w:val="20"/>
          <w:szCs w:val="24"/>
          <w14:ligatures w14:val="none"/>
        </w:rPr>
        <w:t>S</w:t>
      </w:r>
      <w:r w:rsidRPr="00CE2A2E">
        <w:rPr>
          <w:rFonts w:ascii="Arial" w:hAnsi="Arial" w:cs="Arial"/>
          <w:i/>
          <w:kern w:val="0"/>
          <w:sz w:val="20"/>
          <w:szCs w:val="24"/>
          <w14:ligatures w14:val="none"/>
        </w:rPr>
        <w:t xml:space="preserve">ustainability, </w:t>
      </w:r>
      <w:proofErr w:type="spellStart"/>
      <w:r w:rsidR="00CE2A2E">
        <w:rPr>
          <w:rFonts w:ascii="Arial" w:hAnsi="Arial" w:cs="Arial"/>
          <w:i/>
          <w:kern w:val="0"/>
          <w:sz w:val="20"/>
          <w:szCs w:val="24"/>
          <w14:ligatures w14:val="none"/>
        </w:rPr>
        <w:t>B</w:t>
      </w:r>
      <w:r w:rsidRPr="00CE2A2E">
        <w:rPr>
          <w:rFonts w:ascii="Arial" w:hAnsi="Arial" w:cs="Arial"/>
          <w:i/>
          <w:kern w:val="0"/>
          <w:sz w:val="20"/>
          <w:szCs w:val="24"/>
          <w14:ligatures w14:val="none"/>
        </w:rPr>
        <w:t>rassinolide</w:t>
      </w:r>
      <w:proofErr w:type="spellEnd"/>
      <w:r w:rsidRPr="00CE2A2E">
        <w:rPr>
          <w:rFonts w:ascii="Arial" w:hAnsi="Arial" w:cs="Arial"/>
          <w:i/>
          <w:kern w:val="0"/>
          <w:sz w:val="20"/>
          <w:szCs w:val="24"/>
          <w14:ligatures w14:val="none"/>
        </w:rPr>
        <w:t xml:space="preserve">, </w:t>
      </w:r>
      <w:proofErr w:type="spellStart"/>
      <w:r w:rsidR="00CE2A2E">
        <w:rPr>
          <w:rFonts w:ascii="Arial" w:hAnsi="Arial" w:cs="Arial"/>
          <w:i/>
          <w:kern w:val="0"/>
          <w:sz w:val="20"/>
          <w:szCs w:val="24"/>
          <w14:ligatures w14:val="none"/>
        </w:rPr>
        <w:t>H</w:t>
      </w:r>
      <w:r w:rsidRPr="00CE2A2E">
        <w:rPr>
          <w:rFonts w:ascii="Arial" w:hAnsi="Arial" w:cs="Arial"/>
          <w:i/>
          <w:kern w:val="0"/>
          <w:sz w:val="20"/>
          <w:szCs w:val="24"/>
          <w14:ligatures w14:val="none"/>
        </w:rPr>
        <w:t>umic</w:t>
      </w:r>
      <w:proofErr w:type="spellEnd"/>
      <w:r w:rsidRPr="00CE2A2E">
        <w:rPr>
          <w:rFonts w:ascii="Arial" w:hAnsi="Arial" w:cs="Arial"/>
          <w:i/>
          <w:kern w:val="0"/>
          <w:sz w:val="20"/>
          <w:szCs w:val="24"/>
          <w14:ligatures w14:val="none"/>
        </w:rPr>
        <w:t xml:space="preserve"> acid</w:t>
      </w:r>
      <w:r w:rsidR="00CE2A2E">
        <w:rPr>
          <w:rFonts w:ascii="Arial" w:hAnsi="Arial" w:cs="Arial"/>
          <w:i/>
          <w:kern w:val="0"/>
          <w:sz w:val="20"/>
          <w:szCs w:val="24"/>
          <w14:ligatures w14:val="none"/>
        </w:rPr>
        <w:t>, Black gram</w:t>
      </w:r>
      <w:r w:rsidRPr="00CE2A2E">
        <w:rPr>
          <w:rFonts w:ascii="Arial" w:hAnsi="Arial" w:cs="Arial"/>
          <w:i/>
          <w:kern w:val="0"/>
          <w:sz w:val="20"/>
          <w:szCs w:val="24"/>
          <w14:ligatures w14:val="none"/>
        </w:rPr>
        <w:t>.</w:t>
      </w:r>
    </w:p>
    <w:p w14:paraId="1544F2B8" w14:textId="77777777" w:rsidR="00B424F5" w:rsidRDefault="00B424F5" w:rsidP="00B424F5">
      <w:pPr>
        <w:spacing w:after="200" w:line="240" w:lineRule="auto"/>
        <w:rPr>
          <w:rFonts w:ascii="Arial" w:eastAsia="Calibri" w:hAnsi="Arial" w:cs="Arial"/>
          <w:b/>
          <w:bCs/>
          <w:kern w:val="0"/>
          <w:sz w:val="20"/>
          <w:szCs w:val="24"/>
          <w14:ligatures w14:val="none"/>
        </w:rPr>
      </w:pPr>
    </w:p>
    <w:p w14:paraId="112031E5" w14:textId="77777777" w:rsidR="00B424F5" w:rsidRPr="00AB575B" w:rsidRDefault="00B424F5" w:rsidP="00B424F5">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14:paraId="1B26E8BF" w14:textId="631970B7" w:rsidR="00B424F5" w:rsidRPr="00AB575B" w:rsidRDefault="00B424F5" w:rsidP="00B424F5">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One of the most significant pulse crops farmed throughout the nation in rainfed areas is the black gram [</w:t>
      </w:r>
      <w:r w:rsidRPr="00AB575B">
        <w:rPr>
          <w:rFonts w:ascii="Arial" w:eastAsia="Calibri" w:hAnsi="Arial" w:cs="Arial"/>
          <w:i/>
          <w:iCs/>
          <w:kern w:val="0"/>
          <w:sz w:val="20"/>
          <w:szCs w:val="24"/>
          <w14:ligatures w14:val="none"/>
        </w:rPr>
        <w:t>Vigna mungo. L</w:t>
      </w:r>
      <w:r w:rsidRPr="00AB575B">
        <w:rPr>
          <w:rFonts w:ascii="Arial" w:eastAsia="Calibri" w:hAnsi="Arial" w:cs="Arial"/>
          <w:kern w:val="0"/>
          <w:sz w:val="20"/>
          <w:szCs w:val="24"/>
          <w14:ligatures w14:val="none"/>
        </w:rPr>
        <w:t xml:space="preserve">]. This crop is grown across the country in many different kinds of cropping systems, including mixed crop, catch crop, and sequential crop. In India, the states of Andhra Pradesh, Bihar, Madhya Pradesh, Maharashtra, U.P., West Bengal, Punjab, Haryana, and Karnataka are among the most well-known for growing black gram. For </w:t>
      </w:r>
      <w:proofErr w:type="spellStart"/>
      <w:r w:rsidRPr="00AB575B">
        <w:rPr>
          <w:rFonts w:ascii="Arial" w:eastAsia="Calibri" w:hAnsi="Arial" w:cs="Arial"/>
          <w:kern w:val="0"/>
          <w:sz w:val="20"/>
          <w:szCs w:val="24"/>
          <w14:ligatures w14:val="none"/>
        </w:rPr>
        <w:t>milch</w:t>
      </w:r>
      <w:proofErr w:type="spellEnd"/>
      <w:r w:rsidRPr="00AB575B">
        <w:rPr>
          <w:rFonts w:ascii="Arial" w:eastAsia="Calibri" w:hAnsi="Arial" w:cs="Arial"/>
          <w:kern w:val="0"/>
          <w:sz w:val="20"/>
          <w:szCs w:val="24"/>
          <w14:ligatures w14:val="none"/>
        </w:rPr>
        <w:t xml:space="preserve"> cattle specifically, it is utilized as nutritional feed. Black gram, commonly known as </w:t>
      </w:r>
      <w:proofErr w:type="spellStart"/>
      <w:r w:rsidRPr="00AB575B">
        <w:rPr>
          <w:rFonts w:ascii="Arial" w:eastAsia="Calibri" w:hAnsi="Arial" w:cs="Arial"/>
          <w:kern w:val="0"/>
          <w:sz w:val="20"/>
          <w:szCs w:val="24"/>
          <w14:ligatures w14:val="none"/>
        </w:rPr>
        <w:t>urd</w:t>
      </w:r>
      <w:proofErr w:type="spellEnd"/>
      <w:r w:rsidRPr="00AB575B">
        <w:rPr>
          <w:rFonts w:ascii="Arial" w:eastAsia="Calibri" w:hAnsi="Arial" w:cs="Arial"/>
          <w:kern w:val="0"/>
          <w:sz w:val="20"/>
          <w:szCs w:val="24"/>
          <w14:ligatures w14:val="none"/>
        </w:rPr>
        <w:t>, is grown in India as a green manuring crop (</w:t>
      </w:r>
      <w:r w:rsidRPr="00AB575B">
        <w:rPr>
          <w:rFonts w:ascii="Arial" w:hAnsi="Arial" w:cs="Arial"/>
          <w:color w:val="1F1A17"/>
          <w:kern w:val="0"/>
          <w:sz w:val="20"/>
          <w:szCs w:val="24"/>
          <w14:ligatures w14:val="none"/>
        </w:rPr>
        <w:t xml:space="preserve">Asha and </w:t>
      </w:r>
      <w:proofErr w:type="spellStart"/>
      <w:r w:rsidR="00333871">
        <w:rPr>
          <w:rFonts w:ascii="Arial" w:hAnsi="Arial" w:cs="Arial"/>
          <w:color w:val="1F1A17"/>
          <w:kern w:val="0"/>
          <w:sz w:val="20"/>
          <w:szCs w:val="24"/>
          <w14:ligatures w14:val="none"/>
        </w:rPr>
        <w:t>Lingak</w:t>
      </w:r>
      <w:r w:rsidRPr="00AB575B">
        <w:rPr>
          <w:rFonts w:ascii="Arial" w:hAnsi="Arial" w:cs="Arial"/>
          <w:color w:val="1F1A17"/>
          <w:kern w:val="0"/>
          <w:sz w:val="20"/>
          <w:szCs w:val="24"/>
          <w14:ligatures w14:val="none"/>
        </w:rPr>
        <w:t>umar</w:t>
      </w:r>
      <w:proofErr w:type="spellEnd"/>
      <w:r w:rsidR="00CE2A2E">
        <w:rPr>
          <w:rFonts w:ascii="Arial" w:hAnsi="Arial" w:cs="Arial"/>
          <w:color w:val="1F1A17"/>
          <w:kern w:val="0"/>
          <w:sz w:val="20"/>
          <w:szCs w:val="24"/>
          <w14:ligatures w14:val="none"/>
        </w:rPr>
        <w:t>,</w:t>
      </w:r>
      <w:r w:rsidRPr="00AB575B">
        <w:rPr>
          <w:rFonts w:ascii="Arial" w:hAnsi="Arial" w:cs="Arial"/>
          <w:color w:val="1F1A17"/>
          <w:kern w:val="0"/>
          <w:sz w:val="20"/>
          <w:szCs w:val="24"/>
          <w14:ligatures w14:val="none"/>
        </w:rPr>
        <w:t xml:space="preserve"> 2015)</w:t>
      </w:r>
      <w:r w:rsidR="00CE2A2E">
        <w:rPr>
          <w:rFonts w:ascii="Arial" w:hAnsi="Arial" w:cs="Arial"/>
          <w:color w:val="1F1A17"/>
          <w:kern w:val="0"/>
          <w:sz w:val="20"/>
          <w:szCs w:val="24"/>
          <w14:ligatures w14:val="none"/>
        </w:rPr>
        <w:t xml:space="preserve">. </w:t>
      </w:r>
      <w:r w:rsidRPr="00AB575B">
        <w:rPr>
          <w:rFonts w:ascii="Arial" w:eastAsia="Calibri" w:hAnsi="Arial" w:cs="Arial"/>
          <w:kern w:val="0"/>
          <w:sz w:val="20"/>
          <w:szCs w:val="24"/>
          <w14:ligatures w14:val="none"/>
        </w:rPr>
        <w:t>One of the most significant pulse crops is the black gram. The Indian subcontinent is where the black gram first appeared (De Candolle, 19</w:t>
      </w:r>
      <w:r w:rsidR="00E41253">
        <w:rPr>
          <w:rFonts w:ascii="Arial" w:eastAsia="Calibri" w:hAnsi="Arial" w:cs="Arial"/>
          <w:kern w:val="0"/>
          <w:sz w:val="20"/>
          <w:szCs w:val="24"/>
          <w14:ligatures w14:val="none"/>
        </w:rPr>
        <w:t>9</w:t>
      </w:r>
      <w:r w:rsidRPr="00AB575B">
        <w:rPr>
          <w:rFonts w:ascii="Arial" w:eastAsia="Calibri" w:hAnsi="Arial" w:cs="Arial"/>
          <w:kern w:val="0"/>
          <w:sz w:val="20"/>
          <w:szCs w:val="24"/>
          <w14:ligatures w14:val="none"/>
        </w:rPr>
        <w:t xml:space="preserve">6). About 18,000 species comprise the family </w:t>
      </w:r>
      <w:proofErr w:type="spellStart"/>
      <w:r w:rsidRPr="00AB575B">
        <w:rPr>
          <w:rFonts w:ascii="Arial" w:eastAsia="Calibri" w:hAnsi="Arial" w:cs="Arial"/>
          <w:kern w:val="0"/>
          <w:sz w:val="20"/>
          <w:szCs w:val="24"/>
          <w14:ligatures w14:val="none"/>
        </w:rPr>
        <w:t>Leguminoseae</w:t>
      </w:r>
      <w:proofErr w:type="spellEnd"/>
      <w:r w:rsidRPr="00AB575B">
        <w:rPr>
          <w:rFonts w:ascii="Arial" w:eastAsia="Calibri" w:hAnsi="Arial" w:cs="Arial"/>
          <w:kern w:val="0"/>
          <w:sz w:val="20"/>
          <w:szCs w:val="24"/>
          <w14:ligatures w14:val="none"/>
        </w:rPr>
        <w:t>, distinguished by its pods and alternate pinnate or trifoliate leaves (</w:t>
      </w:r>
      <w:proofErr w:type="spellStart"/>
      <w:r w:rsidRPr="00AB575B">
        <w:rPr>
          <w:rFonts w:ascii="Arial" w:eastAsia="Calibri" w:hAnsi="Arial" w:cs="Arial"/>
          <w:kern w:val="0"/>
          <w:sz w:val="20"/>
          <w:szCs w:val="24"/>
          <w14:ligatures w14:val="none"/>
        </w:rPr>
        <w:t>Cobley</w:t>
      </w:r>
      <w:proofErr w:type="spellEnd"/>
      <w:r w:rsidRPr="00AB575B">
        <w:rPr>
          <w:rFonts w:ascii="Arial" w:eastAsia="Calibri" w:hAnsi="Arial" w:cs="Arial"/>
          <w:kern w:val="0"/>
          <w:sz w:val="20"/>
          <w:szCs w:val="24"/>
          <w14:ligatures w14:val="none"/>
        </w:rPr>
        <w:t xml:space="preserve"> and Steele, 1976). Grain legumes, also referred to as pulse, are members of the "papilionaceous" subfamily because their blossoms have a butterfly-like appearance.</w:t>
      </w:r>
    </w:p>
    <w:p w14:paraId="3EBBB6F6" w14:textId="77777777" w:rsidR="00CE2A2E" w:rsidRPr="00AB575B"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In India, 4.4 million ha of land is used for the cultivation of black gram, which yields 2.8 million tonnes at a productivity of 632 kg</w:t>
      </w:r>
      <w:r w:rsidRPr="00AB575B">
        <w:rPr>
          <w:rFonts w:ascii="Arial" w:eastAsia="Calibri" w:hAnsi="Arial" w:cs="Arial"/>
          <w:kern w:val="0"/>
          <w:sz w:val="20"/>
          <w:szCs w:val="24"/>
          <w:vertAlign w:val="superscript"/>
          <w14:ligatures w14:val="none"/>
        </w:rPr>
        <w:t>-1</w:t>
      </w:r>
      <w:r w:rsidRPr="00AB575B">
        <w:rPr>
          <w:rFonts w:ascii="Arial" w:eastAsia="Calibri" w:hAnsi="Arial" w:cs="Arial"/>
          <w:kern w:val="0"/>
          <w:sz w:val="20"/>
          <w:szCs w:val="24"/>
          <w14:ligatures w14:val="none"/>
        </w:rPr>
        <w:t>. It covers 3.37 lakh hectares with a 1.83 lakh tonnes total production and a 542 kg</w:t>
      </w:r>
      <w:r w:rsidRPr="00AB575B">
        <w:rPr>
          <w:rFonts w:ascii="Arial" w:eastAsia="Calibri" w:hAnsi="Arial" w:cs="Arial"/>
          <w:kern w:val="0"/>
          <w:sz w:val="20"/>
          <w:szCs w:val="24"/>
          <w:vertAlign w:val="superscript"/>
          <w14:ligatures w14:val="none"/>
        </w:rPr>
        <w:t>-1</w:t>
      </w:r>
      <w:r w:rsidRPr="00AB575B">
        <w:rPr>
          <w:rFonts w:ascii="Arial" w:eastAsia="Calibri" w:hAnsi="Arial" w:cs="Arial"/>
          <w:kern w:val="0"/>
          <w:sz w:val="20"/>
          <w:szCs w:val="24"/>
          <w14:ligatures w14:val="none"/>
        </w:rPr>
        <w:t xml:space="preserve"> productivity. India is the greatest producer of pulse crops. Pulses are the most often consumed food item in Indian diets and provide the most practical solution to the issue of protein deficiency. Malnutrition related to protein and calories is a widespread issue in the nation. A severe protein deficiency is currently plaguing our nation's population, especially young children. Especially for vegans, pulses are the main source of protein, and they contribute (Rao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2016)</w:t>
      </w:r>
      <w:r w:rsidR="00CE2A2E">
        <w:rPr>
          <w:rFonts w:ascii="Arial" w:eastAsia="Calibri" w:hAnsi="Arial" w:cs="Arial"/>
          <w:kern w:val="0"/>
          <w:sz w:val="20"/>
          <w:szCs w:val="24"/>
          <w14:ligatures w14:val="none"/>
        </w:rPr>
        <w:t xml:space="preserve">. </w:t>
      </w:r>
      <w:r w:rsidR="00CE2A2E" w:rsidRPr="00AB575B">
        <w:rPr>
          <w:rFonts w:ascii="Arial" w:eastAsia="Calibri" w:hAnsi="Arial" w:cs="Arial"/>
          <w:kern w:val="0"/>
          <w:sz w:val="20"/>
          <w:szCs w:val="24"/>
          <w14:ligatures w14:val="none"/>
        </w:rPr>
        <w:t>Black gram (</w:t>
      </w:r>
      <w:r w:rsidR="00CE2A2E" w:rsidRPr="00AB575B">
        <w:rPr>
          <w:rFonts w:ascii="Arial" w:eastAsia="Calibri" w:hAnsi="Arial" w:cs="Arial"/>
          <w:i/>
          <w:iCs/>
          <w:kern w:val="0"/>
          <w:sz w:val="20"/>
          <w:szCs w:val="24"/>
          <w14:ligatures w14:val="none"/>
        </w:rPr>
        <w:t>Vigna mungo</w:t>
      </w:r>
      <w:r w:rsidR="00CE2A2E" w:rsidRPr="00AB575B">
        <w:rPr>
          <w:rFonts w:ascii="Arial" w:eastAsia="Calibri" w:hAnsi="Arial" w:cs="Arial"/>
          <w:kern w:val="0"/>
          <w:sz w:val="20"/>
          <w:szCs w:val="24"/>
          <w14:ligatures w14:val="none"/>
        </w:rPr>
        <w:t>), a type of pulse, is one of the most significant crops farmed in India. It is eaten as "dal" (whole or split, husked and unhusked), or it can be parched. It is a key component in "</w:t>
      </w:r>
      <w:proofErr w:type="spellStart"/>
      <w:r w:rsidR="00CE2A2E" w:rsidRPr="00AB575B">
        <w:rPr>
          <w:rFonts w:ascii="Arial" w:eastAsia="Calibri" w:hAnsi="Arial" w:cs="Arial"/>
          <w:kern w:val="0"/>
          <w:sz w:val="20"/>
          <w:szCs w:val="24"/>
          <w14:ligatures w14:val="none"/>
        </w:rPr>
        <w:t>papad</w:t>
      </w:r>
      <w:proofErr w:type="spellEnd"/>
      <w:r w:rsidR="00CE2A2E" w:rsidRPr="00AB575B">
        <w:rPr>
          <w:rFonts w:ascii="Arial" w:eastAsia="Calibri" w:hAnsi="Arial" w:cs="Arial"/>
          <w:kern w:val="0"/>
          <w:sz w:val="20"/>
          <w:szCs w:val="24"/>
          <w14:ligatures w14:val="none"/>
        </w:rPr>
        <w:t xml:space="preserve">." It serves as both a crop for green manuring and nutritious feed, particularly for </w:t>
      </w:r>
      <w:proofErr w:type="spellStart"/>
      <w:r w:rsidR="00CE2A2E" w:rsidRPr="00AB575B">
        <w:rPr>
          <w:rFonts w:ascii="Arial" w:eastAsia="Calibri" w:hAnsi="Arial" w:cs="Arial"/>
          <w:kern w:val="0"/>
          <w:sz w:val="20"/>
          <w:szCs w:val="24"/>
          <w14:ligatures w14:val="none"/>
        </w:rPr>
        <w:t>milch</w:t>
      </w:r>
      <w:proofErr w:type="spellEnd"/>
      <w:r w:rsidR="00CE2A2E" w:rsidRPr="00AB575B">
        <w:rPr>
          <w:rFonts w:ascii="Arial" w:eastAsia="Calibri" w:hAnsi="Arial" w:cs="Arial"/>
          <w:kern w:val="0"/>
          <w:sz w:val="20"/>
          <w:szCs w:val="24"/>
          <w14:ligatures w14:val="none"/>
        </w:rPr>
        <w:t xml:space="preserve"> cattle. Each hectare of soil receives an addition of 42 kg of nitrogen. It has a dense root system that ties together soil particles to stop erosion. Black gram has roughly 25% protein, 60% carbohydrates, 10.9 percent moisture, 1.4 % fat, 0.9 % </w:t>
      </w:r>
      <w:proofErr w:type="spellStart"/>
      <w:r w:rsidR="00CE2A2E" w:rsidRPr="00AB575B">
        <w:rPr>
          <w:rFonts w:ascii="Arial" w:eastAsia="Calibri" w:hAnsi="Arial" w:cs="Arial"/>
          <w:kern w:val="0"/>
          <w:sz w:val="20"/>
          <w:szCs w:val="24"/>
          <w14:ligatures w14:val="none"/>
        </w:rPr>
        <w:t>fiber</w:t>
      </w:r>
      <w:proofErr w:type="spellEnd"/>
      <w:r w:rsidR="00CE2A2E" w:rsidRPr="00AB575B">
        <w:rPr>
          <w:rFonts w:ascii="Arial" w:eastAsia="Calibri" w:hAnsi="Arial" w:cs="Arial"/>
          <w:kern w:val="0"/>
          <w:sz w:val="20"/>
          <w:szCs w:val="24"/>
          <w14:ligatures w14:val="none"/>
        </w:rPr>
        <w:t>, and 3.2% minerals and vitamins, contains 154 mg of calcium, 385 mg of phosphorus, 9.1 mg of iron, and a little quantity of vitamin B complex (</w:t>
      </w:r>
      <w:proofErr w:type="spellStart"/>
      <w:r w:rsidR="00CE2A2E" w:rsidRPr="00AB575B">
        <w:rPr>
          <w:rFonts w:ascii="Arial" w:hAnsi="Arial" w:cs="Arial"/>
          <w:kern w:val="0"/>
          <w:sz w:val="20"/>
          <w:szCs w:val="24"/>
          <w14:ligatures w14:val="none"/>
        </w:rPr>
        <w:t>Devaraju</w:t>
      </w:r>
      <w:proofErr w:type="spellEnd"/>
      <w:r w:rsidR="00CE2A2E" w:rsidRPr="00AB575B">
        <w:rPr>
          <w:rFonts w:ascii="Arial" w:hAnsi="Arial" w:cs="Arial"/>
          <w:kern w:val="0"/>
          <w:sz w:val="20"/>
          <w:szCs w:val="24"/>
          <w14:ligatures w14:val="none"/>
        </w:rPr>
        <w:t xml:space="preserve"> and </w:t>
      </w:r>
      <w:proofErr w:type="spellStart"/>
      <w:r w:rsidR="00CE2A2E" w:rsidRPr="00AB575B">
        <w:rPr>
          <w:rFonts w:ascii="Arial" w:hAnsi="Arial" w:cs="Arial"/>
          <w:kern w:val="0"/>
          <w:sz w:val="20"/>
          <w:szCs w:val="24"/>
          <w14:ligatures w14:val="none"/>
        </w:rPr>
        <w:t>Senthivel</w:t>
      </w:r>
      <w:proofErr w:type="spellEnd"/>
      <w:r w:rsidR="00CE2A2E" w:rsidRPr="00AB575B">
        <w:rPr>
          <w:rFonts w:ascii="Arial" w:hAnsi="Arial" w:cs="Arial"/>
          <w:kern w:val="0"/>
          <w:sz w:val="20"/>
          <w:szCs w:val="24"/>
          <w14:ligatures w14:val="none"/>
        </w:rPr>
        <w:t xml:space="preserve"> 2018).</w:t>
      </w:r>
    </w:p>
    <w:p w14:paraId="4266D176" w14:textId="77777777" w:rsidR="00B424F5" w:rsidRPr="00AB575B" w:rsidRDefault="00B424F5" w:rsidP="00B424F5">
      <w:pPr>
        <w:spacing w:after="0" w:line="240" w:lineRule="auto"/>
        <w:jc w:val="both"/>
        <w:rPr>
          <w:rFonts w:ascii="Arial" w:eastAsia="Calibri" w:hAnsi="Arial" w:cs="Arial"/>
          <w:kern w:val="0"/>
          <w:sz w:val="20"/>
          <w:szCs w:val="24"/>
          <w14:ligatures w14:val="none"/>
        </w:rPr>
      </w:pPr>
    </w:p>
    <w:p w14:paraId="7D7E6A63" w14:textId="2436E8C5" w:rsidR="00B424F5" w:rsidRPr="00AB575B"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Because of their high nutritional value (protein content ranges from 17 to 27%) and flexibility to a wide range of agroecological and management variables, pulses are an important component of food grain crops</w:t>
      </w:r>
      <w:r w:rsidR="00E41253">
        <w:rPr>
          <w:rFonts w:ascii="Arial" w:eastAsia="Calibri" w:hAnsi="Arial" w:cs="Arial"/>
          <w:kern w:val="0"/>
          <w:sz w:val="20"/>
          <w:szCs w:val="24"/>
          <w14:ligatures w14:val="none"/>
        </w:rPr>
        <w:t xml:space="preserve"> (Kumar et al., 2023)</w:t>
      </w:r>
      <w:r w:rsidRPr="00AB575B">
        <w:rPr>
          <w:rFonts w:ascii="Arial" w:eastAsia="Calibri" w:hAnsi="Arial" w:cs="Arial"/>
          <w:kern w:val="0"/>
          <w:sz w:val="20"/>
          <w:szCs w:val="24"/>
          <w14:ligatures w14:val="none"/>
        </w:rPr>
        <w:t xml:space="preserve">. Leguminous crops integrate well in crop rotation and cropping systems because they fix and use atmospheric nitrogen while also enhancing soil fertility. Pulse production is much lower than what is needed. As opposed to the 104 g per capita recommended by the FAO and </w:t>
      </w:r>
      <w:r w:rsidRPr="00AB575B">
        <w:rPr>
          <w:rFonts w:ascii="Arial" w:eastAsia="Calibri" w:hAnsi="Arial" w:cs="Arial"/>
          <w:kern w:val="0"/>
          <w:sz w:val="20"/>
          <w:szCs w:val="24"/>
          <w14:ligatures w14:val="none"/>
        </w:rPr>
        <w:lastRenderedPageBreak/>
        <w:t>WHO, India only provides 45 g of pulses per person each day. Therefore, it presents a significant problem for agricultural experts to supply the nation's rapidly expanding population with pulses (</w:t>
      </w:r>
      <w:proofErr w:type="spellStart"/>
      <w:r w:rsidR="00E41253">
        <w:rPr>
          <w:rFonts w:ascii="Arial" w:hAnsi="Arial" w:cs="Arial"/>
          <w:color w:val="222222"/>
          <w:sz w:val="20"/>
          <w:szCs w:val="20"/>
          <w:shd w:val="clear" w:color="auto" w:fill="FFFFFF"/>
        </w:rPr>
        <w:t>Jumrani</w:t>
      </w:r>
      <w:proofErr w:type="spellEnd"/>
      <w:r w:rsidR="00E41253">
        <w:rPr>
          <w:rFonts w:ascii="Arial" w:hAnsi="Arial" w:cs="Arial"/>
          <w:color w:val="222222"/>
          <w:sz w:val="20"/>
          <w:szCs w:val="20"/>
          <w:shd w:val="clear" w:color="auto" w:fill="FFFFFF"/>
        </w:rPr>
        <w:t>, 2025</w:t>
      </w:r>
      <w:r w:rsidRPr="00AB575B">
        <w:rPr>
          <w:rFonts w:ascii="Arial" w:hAnsi="Arial" w:cs="Arial"/>
          <w:color w:val="1F1A17"/>
          <w:kern w:val="0"/>
          <w:sz w:val="20"/>
          <w:szCs w:val="24"/>
          <w14:ligatures w14:val="none"/>
        </w:rPr>
        <w:t>).</w:t>
      </w:r>
      <w:r w:rsidRPr="00AB575B">
        <w:rPr>
          <w:rFonts w:ascii="Arial" w:eastAsia="Calibri" w:hAnsi="Arial" w:cs="Arial"/>
          <w:kern w:val="0"/>
          <w:sz w:val="20"/>
          <w:szCs w:val="24"/>
          <w14:ligatures w14:val="none"/>
        </w:rPr>
        <w:t xml:space="preserve">       </w:t>
      </w:r>
    </w:p>
    <w:p w14:paraId="75C465F3" w14:textId="5CF43949" w:rsidR="00B424F5" w:rsidRPr="00AB575B" w:rsidRDefault="00B424F5" w:rsidP="00CE2A2E">
      <w:pPr>
        <w:spacing w:after="0" w:line="240" w:lineRule="auto"/>
        <w:ind w:firstLine="720"/>
        <w:jc w:val="both"/>
        <w:rPr>
          <w:rFonts w:ascii="Arial" w:eastAsia="Calibri" w:hAnsi="Arial" w:cs="Arial"/>
          <w:kern w:val="0"/>
          <w:sz w:val="20"/>
          <w:szCs w:val="24"/>
          <w14:ligatures w14:val="none"/>
        </w:rPr>
      </w:pP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promotes plant cell elongation and division, which is its most notable physiological function. First, it increases the activity of DNA polymerase and RNA polymerase, promoting the synthesis of nucleic acids and proteins. Researchers have hypothesised that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induces cell division and elongation, prompts cell wall expansion, increases water absorption, and modifies the direction of microtubule distribution</w:t>
      </w:r>
      <w:r w:rsidR="00E41253">
        <w:rPr>
          <w:rFonts w:ascii="Arial" w:eastAsia="Calibri" w:hAnsi="Arial" w:cs="Arial"/>
          <w:kern w:val="0"/>
          <w:sz w:val="20"/>
          <w:szCs w:val="24"/>
          <w14:ligatures w14:val="none"/>
        </w:rPr>
        <w:t xml:space="preserve"> (Liu et al., 2018)</w:t>
      </w:r>
      <w:r w:rsidRPr="00AB575B">
        <w:rPr>
          <w:rFonts w:ascii="Arial" w:eastAsia="Calibri" w:hAnsi="Arial" w:cs="Arial"/>
          <w:kern w:val="0"/>
          <w:sz w:val="20"/>
          <w:szCs w:val="24"/>
          <w14:ligatures w14:val="none"/>
        </w:rPr>
        <w:t>. Additionally, it can boost the movement of photosynthetic products, maintain a high level of soluble protein, and lift the cloud of growth inhibition. by increasing the photosynthetic rate and encouraging plant photosynthesis</w:t>
      </w:r>
      <w:r w:rsidR="00E41253">
        <w:rPr>
          <w:rFonts w:ascii="Arial" w:eastAsia="Calibri" w:hAnsi="Arial" w:cs="Arial"/>
          <w:kern w:val="0"/>
          <w:sz w:val="20"/>
          <w:szCs w:val="24"/>
          <w14:ligatures w14:val="none"/>
        </w:rPr>
        <w:t xml:space="preserve"> (</w:t>
      </w:r>
      <w:r w:rsidR="00E41253">
        <w:rPr>
          <w:rFonts w:ascii="Arial" w:hAnsi="Arial" w:cs="Arial"/>
          <w:color w:val="222222"/>
          <w:sz w:val="20"/>
          <w:szCs w:val="20"/>
          <w:shd w:val="clear" w:color="auto" w:fill="FFFFFF"/>
        </w:rPr>
        <w:t xml:space="preserve">Wilhelm &amp; </w:t>
      </w:r>
      <w:proofErr w:type="spellStart"/>
      <w:r w:rsidR="00E41253">
        <w:rPr>
          <w:rFonts w:ascii="Arial" w:hAnsi="Arial" w:cs="Arial"/>
          <w:color w:val="222222"/>
          <w:sz w:val="20"/>
          <w:szCs w:val="20"/>
          <w:shd w:val="clear" w:color="auto" w:fill="FFFFFF"/>
        </w:rPr>
        <w:t>Selmar</w:t>
      </w:r>
      <w:proofErr w:type="spellEnd"/>
      <w:r w:rsidR="00E41253">
        <w:rPr>
          <w:rFonts w:ascii="Arial" w:hAnsi="Arial" w:cs="Arial"/>
          <w:color w:val="222222"/>
          <w:sz w:val="20"/>
          <w:szCs w:val="20"/>
          <w:shd w:val="clear" w:color="auto" w:fill="FFFFFF"/>
        </w:rPr>
        <w:t>, 2011).</w:t>
      </w:r>
    </w:p>
    <w:p w14:paraId="0A882393" w14:textId="4969C791" w:rsidR="00CE2A2E"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and fulvic acid have received significant attention among the three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and researchers have extensively investigated their effects on various crop plants. The portion of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known as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is insoluble in both alkali and acid. </w:t>
      </w:r>
      <w:proofErr w:type="spellStart"/>
      <w:r w:rsidRPr="00AB575B">
        <w:rPr>
          <w:rFonts w:ascii="Arial" w:eastAsia="Calibri" w:hAnsi="Arial" w:cs="Arial"/>
          <w:kern w:val="0"/>
          <w:sz w:val="20"/>
          <w:szCs w:val="24"/>
          <w14:ligatures w14:val="none"/>
        </w:rPr>
        <w:t>Humin</w:t>
      </w:r>
      <w:proofErr w:type="spellEnd"/>
      <w:r w:rsidRPr="00AB575B">
        <w:rPr>
          <w:rFonts w:ascii="Arial" w:eastAsia="Calibri" w:hAnsi="Arial" w:cs="Arial"/>
          <w:kern w:val="0"/>
          <w:sz w:val="20"/>
          <w:szCs w:val="24"/>
          <w14:ligatures w14:val="none"/>
        </w:rPr>
        <w:t xml:space="preserve"> remains insoluble in water across all pH levels. Organic acids are unable to dissolve in water under acidic conditions; however, they can do so in alkaline environments.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 complement fertilizer, not a fertilizer because it does not give plants nutrition directly. The plant's ability to absorb and receive more nutrients increases plant development.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particularly useful for preserving soil nutrients so that they are always available to the plant</w:t>
      </w:r>
      <w:r w:rsidR="00E41253">
        <w:rPr>
          <w:rFonts w:ascii="Arial" w:eastAsia="Calibri" w:hAnsi="Arial" w:cs="Arial"/>
          <w:kern w:val="0"/>
          <w:sz w:val="20"/>
          <w:szCs w:val="24"/>
          <w14:ligatures w14:val="none"/>
        </w:rPr>
        <w:t xml:space="preserve"> (</w:t>
      </w:r>
      <w:r w:rsidR="00E41253">
        <w:rPr>
          <w:rFonts w:ascii="Arial" w:hAnsi="Arial" w:cs="Arial"/>
          <w:color w:val="222222"/>
          <w:sz w:val="20"/>
          <w:szCs w:val="20"/>
          <w:shd w:val="clear" w:color="auto" w:fill="FFFFFF"/>
        </w:rPr>
        <w:t xml:space="preserve">Khaled &amp; </w:t>
      </w:r>
      <w:proofErr w:type="spellStart"/>
      <w:r w:rsidR="00E41253">
        <w:rPr>
          <w:rFonts w:ascii="Arial" w:hAnsi="Arial" w:cs="Arial"/>
          <w:color w:val="222222"/>
          <w:sz w:val="20"/>
          <w:szCs w:val="20"/>
          <w:shd w:val="clear" w:color="auto" w:fill="FFFFFF"/>
        </w:rPr>
        <w:t>Fawy</w:t>
      </w:r>
      <w:proofErr w:type="spellEnd"/>
      <w:r w:rsidR="00E41253">
        <w:rPr>
          <w:rFonts w:ascii="Arial" w:hAnsi="Arial" w:cs="Arial"/>
          <w:color w:val="222222"/>
          <w:sz w:val="20"/>
          <w:szCs w:val="20"/>
          <w:shd w:val="clear" w:color="auto" w:fill="FFFFFF"/>
        </w:rPr>
        <w:t>, 2011</w:t>
      </w:r>
      <w:r w:rsidR="00E41253">
        <w:rPr>
          <w:rFonts w:ascii="Arial" w:eastAsia="Calibri" w:hAnsi="Arial" w:cs="Arial"/>
          <w:kern w:val="0"/>
          <w:sz w:val="20"/>
          <w:szCs w:val="24"/>
          <w14:ligatures w14:val="none"/>
        </w:rPr>
        <w:t>)</w:t>
      </w: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acids are intermediates between </w:t>
      </w:r>
      <w:proofErr w:type="spellStart"/>
      <w:r w:rsidRPr="00AB575B">
        <w:rPr>
          <w:rFonts w:ascii="Arial" w:eastAsia="Calibri" w:hAnsi="Arial" w:cs="Arial"/>
          <w:kern w:val="0"/>
          <w:sz w:val="20"/>
          <w:szCs w:val="24"/>
          <w14:ligatures w14:val="none"/>
        </w:rPr>
        <w:t>humas</w:t>
      </w:r>
      <w:proofErr w:type="spellEnd"/>
      <w:r w:rsidRPr="00AB575B">
        <w:rPr>
          <w:rFonts w:ascii="Arial" w:eastAsia="Calibri" w:hAnsi="Arial" w:cs="Arial"/>
          <w:kern w:val="0"/>
          <w:sz w:val="20"/>
          <w:szCs w:val="24"/>
          <w14:ligatures w14:val="none"/>
        </w:rPr>
        <w:t xml:space="preserve"> in complexity and remain in the soil for a longer time, making them beneficial to crops. Due to improved nutrient availability, increased metabolic activity, and quick and timely availability of micro and macronutrients,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applied topically actively expanding leaves resulting in a bigger expansion of the plant (</w:t>
      </w:r>
      <w:proofErr w:type="spellStart"/>
      <w:r w:rsidRPr="00AB575B">
        <w:rPr>
          <w:rFonts w:ascii="Arial" w:eastAsia="Calibri" w:hAnsi="Arial" w:cs="Arial"/>
          <w:kern w:val="0"/>
          <w:sz w:val="20"/>
          <w:szCs w:val="24"/>
          <w14:ligatures w14:val="none"/>
        </w:rPr>
        <w:t>Bakry</w:t>
      </w:r>
      <w:proofErr w:type="spellEnd"/>
      <w:r w:rsidRPr="00AB575B">
        <w:rPr>
          <w:rFonts w:ascii="Arial" w:eastAsia="Calibri" w:hAnsi="Arial" w:cs="Arial"/>
          <w:kern w:val="0"/>
          <w:sz w:val="20"/>
          <w:szCs w:val="24"/>
          <w14:ligatures w14:val="none"/>
        </w:rPr>
        <w:t xml:space="preserve">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xml:space="preserve"> 2015).</w:t>
      </w:r>
      <w:r w:rsidR="00CE2A2E">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 xml:space="preserve">The present study was initiated </w:t>
      </w:r>
      <w:r w:rsidR="00CE2A2E">
        <w:rPr>
          <w:rFonts w:ascii="Arial" w:eastAsia="Calibri" w:hAnsi="Arial" w:cs="Arial"/>
          <w:kern w:val="0"/>
          <w:sz w:val="20"/>
          <w:szCs w:val="24"/>
          <w14:ligatures w14:val="none"/>
        </w:rPr>
        <w:t>t</w:t>
      </w:r>
      <w:r w:rsidRPr="00AB575B">
        <w:rPr>
          <w:rFonts w:ascii="Arial" w:eastAsia="Calibri" w:hAnsi="Arial" w:cs="Arial"/>
          <w:kern w:val="0"/>
          <w:sz w:val="20"/>
          <w:szCs w:val="24"/>
          <w14:ligatures w14:val="none"/>
        </w:rPr>
        <w:t xml:space="preserve">o evaluate the effects of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and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on the </w:t>
      </w:r>
      <w:r w:rsidR="00CE2A2E">
        <w:rPr>
          <w:rFonts w:ascii="Arial" w:eastAsia="Calibri" w:hAnsi="Arial" w:cs="Arial"/>
          <w:kern w:val="0"/>
          <w:sz w:val="20"/>
          <w:szCs w:val="24"/>
          <w14:ligatures w14:val="none"/>
        </w:rPr>
        <w:t>protein and nutrient uptakes</w:t>
      </w:r>
      <w:r w:rsidRPr="00AB575B">
        <w:rPr>
          <w:rFonts w:ascii="Arial" w:eastAsia="Calibri" w:hAnsi="Arial" w:cs="Arial"/>
          <w:kern w:val="0"/>
          <w:sz w:val="20"/>
          <w:szCs w:val="24"/>
          <w14:ligatures w14:val="none"/>
        </w:rPr>
        <w:t xml:space="preserve"> of black gram.</w:t>
      </w:r>
    </w:p>
    <w:p w14:paraId="23C98177" w14:textId="77777777" w:rsidR="00B424F5" w:rsidRPr="00CE2A2E"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
    <w:p w14:paraId="04787B84" w14:textId="77777777" w:rsidR="00B424F5" w:rsidRPr="00951D1B" w:rsidRDefault="00B424F5" w:rsidP="00B424F5">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14:paraId="1D271CCB" w14:textId="77777777" w:rsidR="00B424F5" w:rsidRPr="00AB575B" w:rsidRDefault="00F80A33" w:rsidP="00B424F5">
      <w:pPr>
        <w:spacing w:after="0" w:line="240" w:lineRule="auto"/>
        <w:jc w:val="both"/>
        <w:rPr>
          <w:rFonts w:ascii="Arial" w:hAnsi="Arial" w:cs="Arial"/>
          <w:kern w:val="0"/>
          <w:sz w:val="20"/>
          <w:szCs w:val="24"/>
          <w14:ligatures w14:val="none"/>
        </w:rPr>
      </w:pPr>
      <w:r>
        <w:rPr>
          <w:rFonts w:ascii="Arial" w:hAnsi="Arial" w:cs="Arial"/>
          <w:b/>
          <w:bCs/>
          <w:kern w:val="0"/>
          <w:sz w:val="20"/>
          <w:szCs w:val="24"/>
          <w14:ligatures w14:val="none"/>
        </w:rPr>
        <w:t xml:space="preserve">2.1 Experimental Site </w:t>
      </w:r>
    </w:p>
    <w:p w14:paraId="0088672D" w14:textId="77777777" w:rsidR="00F80A33" w:rsidRDefault="00B424F5" w:rsidP="00F80A33">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14:paraId="0BEACB25" w14:textId="77777777" w:rsidR="00F80A33" w:rsidRDefault="00F80A33" w:rsidP="00F80A33">
      <w:pPr>
        <w:spacing w:after="0" w:line="240" w:lineRule="auto"/>
        <w:jc w:val="both"/>
        <w:rPr>
          <w:rFonts w:ascii="Arial" w:hAnsi="Arial" w:cs="Arial"/>
          <w:b/>
          <w:bCs/>
          <w:kern w:val="0"/>
          <w:sz w:val="20"/>
          <w:szCs w:val="24"/>
          <w14:ligatures w14:val="none"/>
        </w:rPr>
      </w:pPr>
    </w:p>
    <w:p w14:paraId="497FFAD9" w14:textId="77777777" w:rsidR="00B424F5" w:rsidRDefault="00F80A33" w:rsidP="00F80A33">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00B424F5" w:rsidRPr="00AB575B">
        <w:rPr>
          <w:rFonts w:ascii="Arial" w:hAnsi="Arial" w:cs="Arial"/>
          <w:b/>
          <w:bCs/>
          <w:kern w:val="0"/>
          <w:sz w:val="20"/>
          <w:szCs w:val="24"/>
          <w14:ligatures w14:val="none"/>
        </w:rPr>
        <w:t>Details of treatments</w:t>
      </w:r>
    </w:p>
    <w:tbl>
      <w:tblPr>
        <w:tblpPr w:leftFromText="180" w:rightFromText="180" w:vertAnchor="page" w:horzAnchor="margin" w:tblpY="11458"/>
        <w:tblW w:w="9078" w:type="dxa"/>
        <w:tblLayout w:type="fixed"/>
        <w:tblLook w:val="04A0" w:firstRow="1" w:lastRow="0" w:firstColumn="1" w:lastColumn="0" w:noHBand="0" w:noVBand="1"/>
      </w:tblPr>
      <w:tblGrid>
        <w:gridCol w:w="1587"/>
        <w:gridCol w:w="7491"/>
      </w:tblGrid>
      <w:tr w:rsidR="00CE2A2E" w:rsidRPr="00AB575B" w14:paraId="28BEDF08" w14:textId="77777777" w:rsidTr="00766E2B">
        <w:trPr>
          <w:trHeight w:val="125"/>
        </w:trPr>
        <w:tc>
          <w:tcPr>
            <w:tcW w:w="1587" w:type="dxa"/>
            <w:vAlign w:val="center"/>
          </w:tcPr>
          <w:p w14:paraId="4DC722D9" w14:textId="77777777" w:rsidR="00CE2A2E" w:rsidRPr="00AB575B" w:rsidRDefault="00CE2A2E" w:rsidP="00766E2B">
            <w:pPr>
              <w:pStyle w:val="NoSpacing"/>
              <w:jc w:val="center"/>
              <w:rPr>
                <w:rFonts w:ascii="Arial" w:hAnsi="Arial" w:cs="Arial"/>
                <w:b/>
                <w:sz w:val="20"/>
              </w:rPr>
            </w:pPr>
            <w:r w:rsidRPr="00AB575B">
              <w:rPr>
                <w:rFonts w:ascii="Arial" w:hAnsi="Arial" w:cs="Arial"/>
                <w:b/>
                <w:sz w:val="20"/>
              </w:rPr>
              <w:t>Treatments</w:t>
            </w:r>
          </w:p>
        </w:tc>
        <w:tc>
          <w:tcPr>
            <w:tcW w:w="7491" w:type="dxa"/>
            <w:vAlign w:val="center"/>
          </w:tcPr>
          <w:p w14:paraId="6B90B00D" w14:textId="77777777" w:rsidR="00CE2A2E" w:rsidRPr="00AB575B" w:rsidRDefault="00CE2A2E" w:rsidP="00766E2B">
            <w:pPr>
              <w:pStyle w:val="NoSpacing"/>
              <w:jc w:val="center"/>
              <w:rPr>
                <w:rFonts w:ascii="Arial" w:hAnsi="Arial" w:cs="Arial"/>
                <w:b/>
                <w:sz w:val="20"/>
              </w:rPr>
            </w:pPr>
            <w:r w:rsidRPr="00AB575B">
              <w:rPr>
                <w:rFonts w:ascii="Arial" w:hAnsi="Arial" w:cs="Arial"/>
                <w:b/>
                <w:sz w:val="20"/>
              </w:rPr>
              <w:t>Description</w:t>
            </w:r>
          </w:p>
        </w:tc>
      </w:tr>
      <w:tr w:rsidR="00CE2A2E" w:rsidRPr="00AB575B" w14:paraId="2B4DF194" w14:textId="77777777" w:rsidTr="00766E2B">
        <w:trPr>
          <w:trHeight w:val="125"/>
        </w:trPr>
        <w:tc>
          <w:tcPr>
            <w:tcW w:w="1587" w:type="dxa"/>
            <w:vAlign w:val="center"/>
          </w:tcPr>
          <w:p w14:paraId="3D7EF692"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0</w:t>
            </w:r>
          </w:p>
        </w:tc>
        <w:tc>
          <w:tcPr>
            <w:tcW w:w="7491" w:type="dxa"/>
            <w:vAlign w:val="center"/>
          </w:tcPr>
          <w:p w14:paraId="4AC60F83"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Control</w:t>
            </w:r>
          </w:p>
        </w:tc>
      </w:tr>
      <w:tr w:rsidR="00CE2A2E" w:rsidRPr="00AB575B" w14:paraId="4827FC44" w14:textId="77777777" w:rsidTr="00766E2B">
        <w:trPr>
          <w:trHeight w:val="125"/>
        </w:trPr>
        <w:tc>
          <w:tcPr>
            <w:tcW w:w="1587" w:type="dxa"/>
            <w:vAlign w:val="center"/>
          </w:tcPr>
          <w:p w14:paraId="68397E33"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1</w:t>
            </w:r>
          </w:p>
        </w:tc>
        <w:tc>
          <w:tcPr>
            <w:tcW w:w="7491" w:type="dxa"/>
            <w:vAlign w:val="center"/>
          </w:tcPr>
          <w:p w14:paraId="00AB56A7"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(100%RDF)</w:t>
            </w:r>
          </w:p>
        </w:tc>
      </w:tr>
      <w:tr w:rsidR="00CE2A2E" w:rsidRPr="00AB575B" w14:paraId="726E03AF" w14:textId="77777777" w:rsidTr="00766E2B">
        <w:trPr>
          <w:trHeight w:val="128"/>
        </w:trPr>
        <w:tc>
          <w:tcPr>
            <w:tcW w:w="1587" w:type="dxa"/>
            <w:vAlign w:val="center"/>
          </w:tcPr>
          <w:p w14:paraId="41058E00"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2</w:t>
            </w:r>
          </w:p>
        </w:tc>
        <w:tc>
          <w:tcPr>
            <w:tcW w:w="7491" w:type="dxa"/>
            <w:vAlign w:val="center"/>
          </w:tcPr>
          <w:p w14:paraId="0D257E61"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20kg ha</w:t>
            </w:r>
            <w:r w:rsidRPr="00AB575B">
              <w:rPr>
                <w:rFonts w:ascii="Arial" w:hAnsi="Arial" w:cs="Arial"/>
                <w:sz w:val="20"/>
                <w:vertAlign w:val="superscript"/>
              </w:rPr>
              <w:t>-1</w:t>
            </w:r>
            <w:r w:rsidRPr="00AB575B">
              <w:rPr>
                <w:rFonts w:ascii="Arial" w:hAnsi="Arial" w:cs="Arial"/>
                <w:sz w:val="20"/>
              </w:rPr>
              <w:t xml:space="preserve"> (Soil applied)</w:t>
            </w:r>
          </w:p>
        </w:tc>
      </w:tr>
      <w:tr w:rsidR="00CE2A2E" w:rsidRPr="00AB575B" w14:paraId="002A33B0" w14:textId="77777777" w:rsidTr="00766E2B">
        <w:trPr>
          <w:trHeight w:val="125"/>
        </w:trPr>
        <w:tc>
          <w:tcPr>
            <w:tcW w:w="1587" w:type="dxa"/>
            <w:vAlign w:val="center"/>
          </w:tcPr>
          <w:p w14:paraId="0190567A"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3</w:t>
            </w:r>
          </w:p>
        </w:tc>
        <w:tc>
          <w:tcPr>
            <w:tcW w:w="7491" w:type="dxa"/>
            <w:vAlign w:val="center"/>
          </w:tcPr>
          <w:p w14:paraId="19522A37"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0.1% (Foliar applied)</w:t>
            </w:r>
          </w:p>
        </w:tc>
      </w:tr>
      <w:tr w:rsidR="00CE2A2E" w:rsidRPr="00AB575B" w14:paraId="5DC02222" w14:textId="77777777" w:rsidTr="00766E2B">
        <w:trPr>
          <w:trHeight w:val="125"/>
        </w:trPr>
        <w:tc>
          <w:tcPr>
            <w:tcW w:w="1587" w:type="dxa"/>
            <w:vAlign w:val="center"/>
          </w:tcPr>
          <w:p w14:paraId="6E0D8C49"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4</w:t>
            </w:r>
          </w:p>
        </w:tc>
        <w:tc>
          <w:tcPr>
            <w:tcW w:w="7491" w:type="dxa"/>
            <w:vAlign w:val="center"/>
          </w:tcPr>
          <w:p w14:paraId="18CBCE90"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Brassinolide</w:t>
            </w:r>
            <w:proofErr w:type="spellEnd"/>
            <w:r w:rsidRPr="00AB575B">
              <w:rPr>
                <w:rFonts w:ascii="Arial" w:hAnsi="Arial" w:cs="Arial"/>
                <w:sz w:val="20"/>
              </w:rPr>
              <w:t xml:space="preserve"> 0.25ppm (Soil applied)</w:t>
            </w:r>
          </w:p>
        </w:tc>
      </w:tr>
      <w:tr w:rsidR="00CE2A2E" w:rsidRPr="00AB575B" w14:paraId="06FBCC4F" w14:textId="77777777" w:rsidTr="00766E2B">
        <w:trPr>
          <w:trHeight w:val="125"/>
        </w:trPr>
        <w:tc>
          <w:tcPr>
            <w:tcW w:w="1587" w:type="dxa"/>
            <w:vAlign w:val="center"/>
          </w:tcPr>
          <w:p w14:paraId="2EEA588E"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5</w:t>
            </w:r>
          </w:p>
        </w:tc>
        <w:tc>
          <w:tcPr>
            <w:tcW w:w="7491" w:type="dxa"/>
            <w:vAlign w:val="center"/>
          </w:tcPr>
          <w:p w14:paraId="6F541022"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Brassinolide</w:t>
            </w:r>
            <w:proofErr w:type="spellEnd"/>
            <w:r w:rsidRPr="00AB575B">
              <w:rPr>
                <w:rFonts w:ascii="Arial" w:hAnsi="Arial" w:cs="Arial"/>
                <w:sz w:val="20"/>
              </w:rPr>
              <w:t xml:space="preserve"> 0.1ppm (Foliar applied)</w:t>
            </w:r>
          </w:p>
        </w:tc>
      </w:tr>
      <w:tr w:rsidR="00CE2A2E" w:rsidRPr="00AB575B" w14:paraId="1CFC6DB7" w14:textId="77777777" w:rsidTr="00766E2B">
        <w:trPr>
          <w:trHeight w:val="125"/>
        </w:trPr>
        <w:tc>
          <w:tcPr>
            <w:tcW w:w="1587" w:type="dxa"/>
            <w:vAlign w:val="center"/>
          </w:tcPr>
          <w:p w14:paraId="04D9B22B"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6</w:t>
            </w:r>
          </w:p>
        </w:tc>
        <w:tc>
          <w:tcPr>
            <w:tcW w:w="7491" w:type="dxa"/>
            <w:vAlign w:val="center"/>
          </w:tcPr>
          <w:p w14:paraId="2E94C954"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20kg ha</w:t>
            </w:r>
            <w:r w:rsidRPr="00AB575B">
              <w:rPr>
                <w:rFonts w:ascii="Arial" w:hAnsi="Arial" w:cs="Arial"/>
                <w:sz w:val="20"/>
                <w:vertAlign w:val="superscript"/>
              </w:rPr>
              <w:t>-1</w:t>
            </w:r>
            <w:r w:rsidRPr="00AB575B">
              <w:rPr>
                <w:rFonts w:ascii="Arial" w:hAnsi="Arial" w:cs="Arial"/>
                <w:sz w:val="20"/>
              </w:rPr>
              <w:t xml:space="preserve"> + </w:t>
            </w:r>
            <w:proofErr w:type="spellStart"/>
            <w:r w:rsidRPr="00AB575B">
              <w:rPr>
                <w:rFonts w:ascii="Arial" w:hAnsi="Arial" w:cs="Arial"/>
                <w:sz w:val="20"/>
              </w:rPr>
              <w:t>Brassinolide</w:t>
            </w:r>
            <w:proofErr w:type="spellEnd"/>
            <w:r w:rsidRPr="00AB575B">
              <w:rPr>
                <w:rFonts w:ascii="Arial" w:hAnsi="Arial" w:cs="Arial"/>
                <w:sz w:val="20"/>
              </w:rPr>
              <w:t xml:space="preserve"> 0.25ppm (Soil applied)</w:t>
            </w:r>
          </w:p>
        </w:tc>
      </w:tr>
      <w:tr w:rsidR="00CE2A2E" w:rsidRPr="00AB575B" w14:paraId="5063A9B2" w14:textId="77777777" w:rsidTr="00766E2B">
        <w:trPr>
          <w:trHeight w:val="125"/>
        </w:trPr>
        <w:tc>
          <w:tcPr>
            <w:tcW w:w="1587" w:type="dxa"/>
            <w:vAlign w:val="center"/>
          </w:tcPr>
          <w:p w14:paraId="1B09C2ED"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7</w:t>
            </w:r>
          </w:p>
        </w:tc>
        <w:tc>
          <w:tcPr>
            <w:tcW w:w="7491" w:type="dxa"/>
            <w:vAlign w:val="center"/>
          </w:tcPr>
          <w:p w14:paraId="6087AF79"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0.1%+ </w:t>
            </w:r>
            <w:proofErr w:type="spellStart"/>
            <w:r w:rsidRPr="00AB575B">
              <w:rPr>
                <w:rFonts w:ascii="Arial" w:hAnsi="Arial" w:cs="Arial"/>
                <w:sz w:val="20"/>
              </w:rPr>
              <w:t>Brassinolide</w:t>
            </w:r>
            <w:proofErr w:type="spellEnd"/>
            <w:r w:rsidRPr="00AB575B">
              <w:rPr>
                <w:rFonts w:ascii="Arial" w:hAnsi="Arial" w:cs="Arial"/>
                <w:sz w:val="20"/>
              </w:rPr>
              <w:t xml:space="preserve"> 0.1ppm (Foliar applied)</w:t>
            </w:r>
          </w:p>
        </w:tc>
      </w:tr>
      <w:tr w:rsidR="00CE2A2E" w:rsidRPr="00AB575B" w14:paraId="1F5EC5CC" w14:textId="77777777" w:rsidTr="00766E2B">
        <w:trPr>
          <w:trHeight w:val="125"/>
        </w:trPr>
        <w:tc>
          <w:tcPr>
            <w:tcW w:w="9078" w:type="dxa"/>
            <w:gridSpan w:val="2"/>
            <w:vAlign w:val="center"/>
          </w:tcPr>
          <w:p w14:paraId="1A71EB5B" w14:textId="77777777" w:rsidR="00CE2A2E" w:rsidRPr="00F80A33" w:rsidRDefault="00CE2A2E" w:rsidP="00766E2B">
            <w:pPr>
              <w:tabs>
                <w:tab w:val="left" w:pos="142"/>
              </w:tabs>
              <w:spacing w:after="0" w:line="240" w:lineRule="auto"/>
              <w:jc w:val="center"/>
              <w:rPr>
                <w:rFonts w:ascii="Arial" w:hAnsi="Arial" w:cs="Arial"/>
                <w:i/>
                <w:kern w:val="0"/>
                <w:sz w:val="20"/>
                <w:szCs w:val="24"/>
                <w14:ligatures w14:val="none"/>
              </w:rPr>
            </w:pPr>
            <w:r w:rsidRPr="00F80A33">
              <w:rPr>
                <w:rFonts w:ascii="Arial" w:hAnsi="Arial" w:cs="Arial"/>
                <w:i/>
                <w:kern w:val="0"/>
                <w:sz w:val="20"/>
                <w:szCs w:val="24"/>
                <w14:ligatures w14:val="none"/>
              </w:rPr>
              <w:t>Recommended doses of fertilizer (RDF) - 20:40:20 (N:P: K kg ha</w:t>
            </w:r>
            <w:r w:rsidRPr="00F80A33">
              <w:rPr>
                <w:rFonts w:ascii="Arial" w:hAnsi="Arial" w:cs="Arial"/>
                <w:i/>
                <w:kern w:val="0"/>
                <w:sz w:val="20"/>
                <w:szCs w:val="24"/>
                <w:vertAlign w:val="superscript"/>
                <w14:ligatures w14:val="none"/>
              </w:rPr>
              <w:t>-1</w:t>
            </w:r>
            <w:r w:rsidRPr="00F80A33">
              <w:rPr>
                <w:rFonts w:ascii="Arial" w:hAnsi="Arial" w:cs="Arial"/>
                <w:i/>
                <w:kern w:val="0"/>
                <w:sz w:val="20"/>
                <w:szCs w:val="24"/>
                <w14:ligatures w14:val="none"/>
              </w:rPr>
              <w:t xml:space="preserve">), </w:t>
            </w:r>
            <w:proofErr w:type="spellStart"/>
            <w:r w:rsidRPr="00F80A33">
              <w:rPr>
                <w:rFonts w:ascii="Arial" w:hAnsi="Arial" w:cs="Arial"/>
                <w:i/>
                <w:kern w:val="0"/>
                <w:sz w:val="20"/>
                <w:szCs w:val="24"/>
                <w14:ligatures w14:val="none"/>
              </w:rPr>
              <w:t>Humic</w:t>
            </w:r>
            <w:proofErr w:type="spellEnd"/>
            <w:r w:rsidRPr="00F80A33">
              <w:rPr>
                <w:rFonts w:ascii="Arial" w:hAnsi="Arial" w:cs="Arial"/>
                <w:i/>
                <w:kern w:val="0"/>
                <w:sz w:val="20"/>
                <w:szCs w:val="24"/>
                <w14:ligatures w14:val="none"/>
              </w:rPr>
              <w:t xml:space="preserve"> acid foliar application – 25 DAS and 15 Days after 1</w:t>
            </w:r>
            <w:r w:rsidRPr="00F80A33">
              <w:rPr>
                <w:rFonts w:ascii="Arial" w:hAnsi="Arial" w:cs="Arial"/>
                <w:i/>
                <w:kern w:val="0"/>
                <w:sz w:val="20"/>
                <w:szCs w:val="24"/>
                <w:vertAlign w:val="superscript"/>
                <w14:ligatures w14:val="none"/>
              </w:rPr>
              <w:t>st</w:t>
            </w:r>
            <w:r w:rsidRPr="00F80A33">
              <w:rPr>
                <w:rFonts w:ascii="Arial" w:hAnsi="Arial" w:cs="Arial"/>
                <w:i/>
                <w:kern w:val="0"/>
                <w:sz w:val="20"/>
                <w:szCs w:val="24"/>
                <w14:ligatures w14:val="none"/>
              </w:rPr>
              <w:t xml:space="preserve"> spray, </w:t>
            </w:r>
            <w:proofErr w:type="spellStart"/>
            <w:r w:rsidRPr="00F80A33">
              <w:rPr>
                <w:rFonts w:ascii="Arial" w:hAnsi="Arial" w:cs="Arial"/>
                <w:i/>
                <w:kern w:val="0"/>
                <w:sz w:val="20"/>
                <w:szCs w:val="24"/>
                <w14:ligatures w14:val="none"/>
              </w:rPr>
              <w:t>Brassinolide</w:t>
            </w:r>
            <w:proofErr w:type="spellEnd"/>
            <w:r w:rsidRPr="00F80A33">
              <w:rPr>
                <w:rFonts w:ascii="Arial" w:hAnsi="Arial" w:cs="Arial"/>
                <w:i/>
                <w:kern w:val="0"/>
                <w:sz w:val="20"/>
                <w:szCs w:val="24"/>
                <w14:ligatures w14:val="none"/>
              </w:rPr>
              <w:t xml:space="preserve"> foliar application – 30 DAS and 45 DAS.</w:t>
            </w:r>
          </w:p>
        </w:tc>
      </w:tr>
    </w:tbl>
    <w:p w14:paraId="11D6DE61" w14:textId="77777777" w:rsidR="00F80A33" w:rsidRDefault="00F80A33" w:rsidP="00B424F5">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w:t>
      </w:r>
      <w:proofErr w:type="spellStart"/>
      <w:r w:rsidRPr="00F80A33">
        <w:rPr>
          <w:rFonts w:ascii="Arial" w:hAnsi="Arial" w:cs="Arial"/>
          <w:kern w:val="0"/>
          <w:sz w:val="20"/>
          <w:szCs w:val="24"/>
          <w14:ligatures w14:val="none"/>
        </w:rPr>
        <w:t>Humic</w:t>
      </w:r>
      <w:proofErr w:type="spellEnd"/>
      <w:r w:rsidRPr="00F80A33">
        <w:rPr>
          <w:rFonts w:ascii="Arial" w:hAnsi="Arial" w:cs="Arial"/>
          <w:kern w:val="0"/>
          <w:sz w:val="20"/>
          <w:szCs w:val="24"/>
          <w14:ligatures w14:val="none"/>
        </w:rPr>
        <w:t xml:space="preserve"> acid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25 DAS and 15 Days after 1</w:t>
      </w:r>
      <w:r w:rsidRPr="00F80A33">
        <w:rPr>
          <w:rFonts w:ascii="Arial" w:hAnsi="Arial" w:cs="Arial"/>
          <w:kern w:val="0"/>
          <w:sz w:val="20"/>
          <w:szCs w:val="24"/>
          <w:vertAlign w:val="superscript"/>
          <w14:ligatures w14:val="none"/>
        </w:rPr>
        <w:t>st</w:t>
      </w:r>
      <w:r w:rsidRPr="00F80A33">
        <w:rPr>
          <w:rFonts w:ascii="Arial" w:hAnsi="Arial" w:cs="Arial"/>
          <w:kern w:val="0"/>
          <w:sz w:val="20"/>
          <w:szCs w:val="24"/>
          <w14:ligatures w14:val="none"/>
        </w:rPr>
        <w:t xml:space="preserve"> spray, </w:t>
      </w:r>
      <w:proofErr w:type="spellStart"/>
      <w:r w:rsidRPr="00F80A33">
        <w:rPr>
          <w:rFonts w:ascii="Arial" w:hAnsi="Arial" w:cs="Arial"/>
          <w:kern w:val="0"/>
          <w:sz w:val="20"/>
          <w:szCs w:val="24"/>
          <w14:ligatures w14:val="none"/>
        </w:rPr>
        <w:t>Brassinolide</w:t>
      </w:r>
      <w:proofErr w:type="spellEnd"/>
      <w:r w:rsidRPr="00F80A33">
        <w:rPr>
          <w:rFonts w:ascii="Arial" w:hAnsi="Arial" w:cs="Arial"/>
          <w:kern w:val="0"/>
          <w:sz w:val="20"/>
          <w:szCs w:val="24"/>
          <w14:ligatures w14:val="none"/>
        </w:rPr>
        <w:t xml:space="preserve">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30 DAS and 45</w:t>
      </w:r>
      <w:r w:rsidRPr="00F80A33">
        <w:rPr>
          <w:rFonts w:ascii="Arial" w:hAnsi="Arial" w:cs="Arial"/>
          <w:i/>
          <w:kern w:val="0"/>
          <w:sz w:val="20"/>
          <w:szCs w:val="24"/>
          <w14:ligatures w14:val="none"/>
        </w:rPr>
        <w:t xml:space="preserve"> </w:t>
      </w:r>
      <w:r w:rsidRPr="00F80A33">
        <w:rPr>
          <w:rFonts w:ascii="Arial" w:hAnsi="Arial" w:cs="Arial"/>
          <w:kern w:val="0"/>
          <w:sz w:val="20"/>
          <w:szCs w:val="24"/>
          <w14:ligatures w14:val="none"/>
        </w:rPr>
        <w:t>DAS.</w:t>
      </w:r>
    </w:p>
    <w:p w14:paraId="7124FE36" w14:textId="427E3EDB" w:rsidR="00766E2B" w:rsidRPr="00AB575B" w:rsidRDefault="00766E2B" w:rsidP="00B424F5">
      <w:pPr>
        <w:tabs>
          <w:tab w:val="left" w:pos="1040"/>
        </w:tabs>
        <w:spacing w:line="240" w:lineRule="auto"/>
        <w:jc w:val="both"/>
        <w:rPr>
          <w:rFonts w:ascii="Arial" w:hAnsi="Arial" w:cs="Arial"/>
          <w:b/>
          <w:bCs/>
          <w:kern w:val="0"/>
          <w:sz w:val="20"/>
          <w:szCs w:val="24"/>
          <w14:ligatures w14:val="none"/>
        </w:rPr>
      </w:pPr>
      <w:r>
        <w:rPr>
          <w:rFonts w:ascii="Arial" w:hAnsi="Arial" w:cs="Arial"/>
          <w:kern w:val="0"/>
          <w:sz w:val="20"/>
          <w:szCs w:val="24"/>
          <w14:ligatures w14:val="none"/>
        </w:rPr>
        <w:t xml:space="preserve">Chart 1: </w:t>
      </w:r>
      <w:r w:rsidRPr="00766E2B">
        <w:rPr>
          <w:rFonts w:ascii="Arial" w:hAnsi="Arial" w:cs="Arial"/>
          <w:kern w:val="0"/>
          <w:sz w:val="20"/>
          <w:szCs w:val="24"/>
          <w14:ligatures w14:val="none"/>
        </w:rPr>
        <w:t>Treatments</w:t>
      </w:r>
      <w:r>
        <w:rPr>
          <w:rFonts w:ascii="Arial" w:hAnsi="Arial" w:cs="Arial"/>
          <w:kern w:val="0"/>
          <w:sz w:val="20"/>
          <w:szCs w:val="24"/>
          <w14:ligatures w14:val="none"/>
        </w:rPr>
        <w:t xml:space="preserve"> </w:t>
      </w:r>
      <w:r w:rsidRPr="00766E2B">
        <w:rPr>
          <w:rFonts w:ascii="Arial" w:hAnsi="Arial" w:cs="Arial"/>
          <w:kern w:val="0"/>
          <w:sz w:val="20"/>
          <w:szCs w:val="24"/>
          <w14:ligatures w14:val="none"/>
        </w:rPr>
        <w:t>Details</w:t>
      </w:r>
    </w:p>
    <w:p w14:paraId="7B1DFCB6" w14:textId="77777777" w:rsidR="00B424F5" w:rsidRDefault="00B424F5" w:rsidP="00B424F5">
      <w:pPr>
        <w:tabs>
          <w:tab w:val="left" w:pos="1040"/>
        </w:tabs>
        <w:spacing w:line="240" w:lineRule="auto"/>
        <w:jc w:val="both"/>
        <w:rPr>
          <w:rFonts w:ascii="Arial" w:hAnsi="Arial" w:cs="Arial"/>
          <w:kern w:val="0"/>
          <w:sz w:val="20"/>
          <w:szCs w:val="24"/>
          <w14:ligatures w14:val="none"/>
        </w:rPr>
      </w:pPr>
    </w:p>
    <w:p w14:paraId="4874CB47" w14:textId="77777777" w:rsidR="00B424F5" w:rsidRPr="00AB575B" w:rsidRDefault="00F80A33" w:rsidP="00F80A33">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00B424F5" w:rsidRPr="00AB575B">
        <w:rPr>
          <w:rFonts w:ascii="Arial" w:hAnsi="Arial" w:cs="Arial"/>
          <w:b/>
          <w:bCs/>
          <w:kern w:val="0"/>
          <w:sz w:val="20"/>
          <w:szCs w:val="24"/>
          <w14:ligatures w14:val="none"/>
        </w:rPr>
        <w:t xml:space="preserve">ariety description                                                                                                 </w:t>
      </w:r>
    </w:p>
    <w:p w14:paraId="43A731B1" w14:textId="77777777" w:rsidR="00F80A33" w:rsidRDefault="00B424F5" w:rsidP="00F80A33">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w:t>
      </w:r>
      <w:proofErr w:type="spellStart"/>
      <w:r w:rsidRPr="00AB575B">
        <w:rPr>
          <w:rFonts w:ascii="Arial" w:hAnsi="Arial" w:cs="Arial"/>
          <w:kern w:val="0"/>
          <w:sz w:val="20"/>
          <w:szCs w:val="24"/>
          <w14:ligatures w14:val="none"/>
        </w:rPr>
        <w:t>podding</w:t>
      </w:r>
      <w:proofErr w:type="spellEnd"/>
      <w:r w:rsidRPr="00AB575B">
        <w:rPr>
          <w:rFonts w:ascii="Arial" w:hAnsi="Arial" w:cs="Arial"/>
          <w:kern w:val="0"/>
          <w:sz w:val="20"/>
          <w:szCs w:val="24"/>
          <w14:ligatures w14:val="none"/>
        </w:rPr>
        <w:t xml:space="preserve">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14:paraId="002A3769" w14:textId="77777777" w:rsidR="00F80A33" w:rsidRPr="00F80A33" w:rsidRDefault="00F80A33" w:rsidP="00F80A33">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14:paraId="6E9C5E08"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lastRenderedPageBreak/>
        <w:t>Protein content</w:t>
      </w:r>
    </w:p>
    <w:p w14:paraId="7FD03D28"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Protein analysis of grain was calculated by multiplying N content (%) by 6.25 (based on assumption that N content 16 % of protein).</w:t>
      </w:r>
    </w:p>
    <w:p w14:paraId="72C73777"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ab/>
        <w:t>Protein content (%)</w:t>
      </w:r>
      <w:r w:rsidRPr="003776C7">
        <w:rPr>
          <w:rFonts w:ascii="Arial" w:hAnsi="Arial" w:cs="Arial"/>
          <w:b/>
          <w:sz w:val="20"/>
          <w:szCs w:val="20"/>
        </w:rPr>
        <w:t xml:space="preserve"> =</w:t>
      </w:r>
      <m:oMath>
        <m:r>
          <m:rPr>
            <m:sty m:val="bi"/>
          </m:rPr>
          <w:rPr>
            <w:rFonts w:ascii="Cambria Math" w:hAnsi="Cambria Math" w:cs="Arial"/>
            <w:sz w:val="20"/>
            <w:szCs w:val="20"/>
          </w:rPr>
          <m:t>N content in % X 6.25</m:t>
        </m:r>
      </m:oMath>
    </w:p>
    <w:p w14:paraId="5FA7CDE2" w14:textId="77777777" w:rsidR="003776C7" w:rsidRPr="003776C7" w:rsidRDefault="003776C7" w:rsidP="003776C7">
      <w:pPr>
        <w:spacing w:line="240" w:lineRule="auto"/>
        <w:ind w:firstLine="720"/>
        <w:jc w:val="both"/>
        <w:rPr>
          <w:rFonts w:ascii="Arial" w:hAnsi="Arial" w:cs="Arial"/>
          <w:b/>
          <w:iCs/>
          <w:sz w:val="20"/>
          <w:szCs w:val="20"/>
        </w:rPr>
      </w:pPr>
      <w:r w:rsidRPr="003776C7">
        <w:rPr>
          <w:rFonts w:ascii="Arial" w:hAnsi="Arial" w:cs="Arial"/>
          <w:sz w:val="20"/>
          <w:szCs w:val="20"/>
        </w:rPr>
        <w:t>Protein yield (kg ha</w:t>
      </w:r>
      <w:r w:rsidRPr="003776C7">
        <w:rPr>
          <w:rFonts w:ascii="Arial" w:hAnsi="Arial" w:cs="Arial"/>
          <w:sz w:val="20"/>
          <w:szCs w:val="20"/>
          <w:vertAlign w:val="superscript"/>
        </w:rPr>
        <w:t>-1</w:t>
      </w:r>
      <w:r w:rsidRPr="003776C7">
        <w:rPr>
          <w:rFonts w:ascii="Arial" w:hAnsi="Arial" w:cs="Arial"/>
          <w:sz w:val="20"/>
          <w:szCs w:val="20"/>
        </w:rPr>
        <w:t>)</w:t>
      </w:r>
      <w:r w:rsidRPr="003776C7">
        <w:rPr>
          <w:rFonts w:ascii="Arial" w:hAnsi="Arial" w:cs="Arial"/>
          <w:b/>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Protein content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43924878"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b/>
          <w:sz w:val="20"/>
          <w:szCs w:val="20"/>
        </w:rPr>
        <w:t>Chemical analysis</w:t>
      </w:r>
    </w:p>
    <w:p w14:paraId="5DF2F69D"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N content in grain </w:t>
      </w:r>
    </w:p>
    <w:p w14:paraId="4CEBC8C4"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sz w:val="20"/>
          <w:szCs w:val="20"/>
        </w:rPr>
        <w:t>N content in grain was determined by micro-</w:t>
      </w:r>
      <w:proofErr w:type="spellStart"/>
      <w:r w:rsidRPr="003776C7">
        <w:rPr>
          <w:rFonts w:ascii="Arial" w:hAnsi="Arial" w:cs="Arial"/>
          <w:sz w:val="20"/>
          <w:szCs w:val="20"/>
        </w:rPr>
        <w:t>Kjeldahl</w:t>
      </w:r>
      <w:proofErr w:type="spellEnd"/>
      <w:r w:rsidRPr="003776C7">
        <w:rPr>
          <w:rFonts w:ascii="Arial" w:hAnsi="Arial" w:cs="Arial"/>
          <w:sz w:val="20"/>
          <w:szCs w:val="20"/>
        </w:rPr>
        <w:t xml:space="preserve"> method as per procedure suggested by AOAC</w:t>
      </w:r>
      <w:r>
        <w:rPr>
          <w:rFonts w:ascii="Arial" w:hAnsi="Arial" w:cs="Arial"/>
          <w:sz w:val="20"/>
          <w:szCs w:val="20"/>
        </w:rPr>
        <w:t>, 1995</w:t>
      </w:r>
      <w:r w:rsidRPr="003776C7">
        <w:rPr>
          <w:rFonts w:ascii="Arial" w:hAnsi="Arial" w:cs="Arial"/>
          <w:sz w:val="20"/>
          <w:szCs w:val="20"/>
        </w:rPr>
        <w:t>.</w:t>
      </w:r>
    </w:p>
    <w:p w14:paraId="0C81D7FB" w14:textId="77777777" w:rsidR="003776C7" w:rsidRPr="003776C7" w:rsidRDefault="003776C7" w:rsidP="003776C7">
      <w:pPr>
        <w:spacing w:line="240" w:lineRule="auto"/>
        <w:ind w:firstLine="720"/>
        <w:jc w:val="both"/>
        <w:rPr>
          <w:rFonts w:ascii="Arial" w:eastAsiaTheme="minorEastAsia" w:hAnsi="Arial" w:cs="Arial"/>
          <w:iCs/>
          <w:sz w:val="20"/>
          <w:szCs w:val="20"/>
        </w:rPr>
      </w:pPr>
      <w:r w:rsidRPr="003776C7">
        <w:rPr>
          <w:rFonts w:ascii="Arial" w:hAnsi="Arial" w:cs="Arial"/>
          <w:sz w:val="20"/>
          <w:szCs w:val="20"/>
        </w:rPr>
        <w:t>N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N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6C476450"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P content in grain </w:t>
      </w:r>
    </w:p>
    <w:p w14:paraId="09E050BE"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 xml:space="preserve">P content in grain was determined by Wet digestion (Diacid) </w:t>
      </w:r>
      <w:proofErr w:type="spellStart"/>
      <w:r w:rsidRPr="003776C7">
        <w:rPr>
          <w:rFonts w:ascii="Arial" w:hAnsi="Arial" w:cs="Arial"/>
          <w:sz w:val="20"/>
          <w:szCs w:val="20"/>
        </w:rPr>
        <w:t>Vanadomolybdo</w:t>
      </w:r>
      <w:proofErr w:type="spellEnd"/>
      <w:r w:rsidRPr="003776C7">
        <w:rPr>
          <w:rFonts w:ascii="Arial" w:hAnsi="Arial" w:cs="Arial"/>
          <w:sz w:val="20"/>
          <w:szCs w:val="20"/>
        </w:rPr>
        <w:t xml:space="preserve"> phosphoric acid yellow colour method as per procedure outlined by Jackson</w:t>
      </w:r>
      <w:r>
        <w:rPr>
          <w:rFonts w:ascii="Arial" w:hAnsi="Arial" w:cs="Arial"/>
          <w:sz w:val="20"/>
          <w:szCs w:val="20"/>
        </w:rPr>
        <w:t>, 1973</w:t>
      </w:r>
      <w:r w:rsidRPr="003776C7">
        <w:rPr>
          <w:rFonts w:ascii="Arial" w:hAnsi="Arial" w:cs="Arial"/>
          <w:sz w:val="20"/>
          <w:szCs w:val="20"/>
        </w:rPr>
        <w:t>.</w:t>
      </w:r>
    </w:p>
    <w:p w14:paraId="7D865047" w14:textId="77777777" w:rsidR="003776C7" w:rsidRPr="003776C7" w:rsidRDefault="003776C7" w:rsidP="003776C7">
      <w:pPr>
        <w:spacing w:line="240" w:lineRule="auto"/>
        <w:ind w:firstLine="720"/>
        <w:jc w:val="both"/>
        <w:rPr>
          <w:rFonts w:ascii="Arial" w:hAnsi="Arial" w:cs="Arial"/>
          <w:iCs/>
          <w:sz w:val="20"/>
          <w:szCs w:val="20"/>
        </w:rPr>
      </w:pPr>
      <w:r w:rsidRPr="003776C7">
        <w:rPr>
          <w:rFonts w:ascii="Arial" w:hAnsi="Arial" w:cs="Arial"/>
          <w:sz w:val="20"/>
          <w:szCs w:val="20"/>
        </w:rPr>
        <w:t>P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24C2AA08"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K content in grain </w:t>
      </w:r>
    </w:p>
    <w:p w14:paraId="5B01C0A8"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sz w:val="20"/>
          <w:szCs w:val="20"/>
        </w:rPr>
        <w:t>K content in grain was determined by flame photometry method as per the procedure outlined by Jackson</w:t>
      </w:r>
      <w:r>
        <w:rPr>
          <w:rFonts w:ascii="Arial" w:hAnsi="Arial" w:cs="Arial"/>
          <w:sz w:val="20"/>
          <w:szCs w:val="20"/>
        </w:rPr>
        <w:t>, 1973</w:t>
      </w:r>
      <w:r w:rsidRPr="003776C7">
        <w:rPr>
          <w:rFonts w:ascii="Arial" w:hAnsi="Arial" w:cs="Arial"/>
          <w:sz w:val="20"/>
          <w:szCs w:val="20"/>
        </w:rPr>
        <w:t>.</w:t>
      </w:r>
    </w:p>
    <w:p w14:paraId="6D48DF5F" w14:textId="77777777" w:rsidR="003776C7" w:rsidRPr="003776C7" w:rsidRDefault="003776C7" w:rsidP="003776C7">
      <w:pPr>
        <w:spacing w:line="240" w:lineRule="auto"/>
        <w:ind w:firstLine="720"/>
        <w:jc w:val="both"/>
        <w:rPr>
          <w:rFonts w:ascii="Arial" w:hAnsi="Arial" w:cs="Arial"/>
          <w:iCs/>
          <w:sz w:val="20"/>
          <w:szCs w:val="20"/>
        </w:rPr>
      </w:pPr>
      <w:r w:rsidRPr="003776C7">
        <w:rPr>
          <w:rFonts w:ascii="Arial" w:hAnsi="Arial" w:cs="Arial"/>
          <w:sz w:val="20"/>
          <w:szCs w:val="20"/>
        </w:rPr>
        <w:t>K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K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1FAE2065" w14:textId="77777777" w:rsidR="00B424F5" w:rsidRPr="00951D1B" w:rsidRDefault="00F80A33" w:rsidP="00B424F5">
      <w:pPr>
        <w:spacing w:before="240" w:after="0"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2.5 </w:t>
      </w:r>
      <w:r w:rsidR="00B424F5" w:rsidRPr="00951D1B">
        <w:rPr>
          <w:rFonts w:ascii="Arial" w:hAnsi="Arial" w:cs="Arial"/>
          <w:b/>
          <w:bCs/>
          <w:kern w:val="0"/>
          <w:sz w:val="20"/>
          <w:szCs w:val="20"/>
          <w14:ligatures w14:val="none"/>
        </w:rPr>
        <w:t>Statistical analysis</w:t>
      </w:r>
    </w:p>
    <w:p w14:paraId="761D9748" w14:textId="77777777" w:rsidR="00B424F5" w:rsidRDefault="00B424F5" w:rsidP="00B424F5">
      <w:pPr>
        <w:pStyle w:val="NoSpacing"/>
        <w:jc w:val="both"/>
        <w:rPr>
          <w:rFonts w:ascii="Arial" w:hAnsi="Arial" w:cs="Arial"/>
          <w:sz w:val="20"/>
          <w:szCs w:val="20"/>
        </w:rPr>
      </w:pPr>
      <w:r w:rsidRPr="00951D1B">
        <w:rPr>
          <w:rFonts w:ascii="Arial" w:hAnsi="Arial" w:cs="Arial"/>
          <w:sz w:val="20"/>
          <w:szCs w:val="20"/>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 as determined by Duncan's multiple range test (DMRT) for comparing means. To assess the significance of treatment means based on the F-test of one-way ANOVA, the critical difference between different variables was calculated.</w:t>
      </w:r>
    </w:p>
    <w:p w14:paraId="6841A821" w14:textId="77777777" w:rsidR="00B424F5" w:rsidRPr="00951D1B" w:rsidRDefault="00B424F5" w:rsidP="00B424F5">
      <w:pPr>
        <w:pStyle w:val="NoSpacing"/>
        <w:jc w:val="both"/>
        <w:rPr>
          <w:rFonts w:ascii="Arial" w:hAnsi="Arial" w:cs="Arial"/>
          <w:b/>
          <w:bCs/>
          <w:sz w:val="20"/>
          <w:szCs w:val="20"/>
        </w:rPr>
      </w:pPr>
    </w:p>
    <w:p w14:paraId="39DBE74F" w14:textId="77777777" w:rsidR="00B424F5" w:rsidRPr="00B424F5" w:rsidRDefault="001B7CC6" w:rsidP="00B424F5">
      <w:pPr>
        <w:tabs>
          <w:tab w:val="left" w:pos="0"/>
        </w:tabs>
        <w:spacing w:after="240" w:line="240" w:lineRule="auto"/>
        <w:jc w:val="both"/>
        <w:rPr>
          <w:rFonts w:ascii="Arial" w:hAnsi="Arial" w:cs="Arial"/>
          <w:b/>
          <w:bCs/>
          <w:sz w:val="24"/>
          <w:szCs w:val="20"/>
        </w:rPr>
      </w:pPr>
      <w:r>
        <w:rPr>
          <w:rFonts w:ascii="Arial" w:hAnsi="Arial" w:cs="Arial"/>
          <w:b/>
          <w:bCs/>
          <w:sz w:val="24"/>
          <w:szCs w:val="20"/>
        </w:rPr>
        <w:tab/>
        <w:t xml:space="preserve">3. </w:t>
      </w:r>
      <w:r w:rsidR="00B424F5" w:rsidRPr="00B424F5">
        <w:rPr>
          <w:rFonts w:ascii="Arial" w:hAnsi="Arial" w:cs="Arial"/>
          <w:b/>
          <w:bCs/>
          <w:sz w:val="24"/>
          <w:szCs w:val="20"/>
        </w:rPr>
        <w:t>RESULTS AND DISCUSSION</w:t>
      </w:r>
    </w:p>
    <w:p w14:paraId="44459C10" w14:textId="77777777" w:rsidR="001922E7" w:rsidRPr="00B424F5" w:rsidRDefault="001922E7" w:rsidP="00B424F5">
      <w:pPr>
        <w:spacing w:before="240" w:after="0" w:line="240" w:lineRule="auto"/>
        <w:jc w:val="both"/>
        <w:rPr>
          <w:rFonts w:ascii="Arial" w:hAnsi="Arial" w:cs="Arial"/>
          <w:b/>
          <w:bCs/>
          <w:sz w:val="20"/>
          <w:szCs w:val="20"/>
        </w:rPr>
      </w:pPr>
      <w:r w:rsidRPr="00B424F5">
        <w:rPr>
          <w:rFonts w:ascii="Arial" w:hAnsi="Arial" w:cs="Arial"/>
          <w:b/>
          <w:bCs/>
          <w:sz w:val="20"/>
          <w:szCs w:val="20"/>
        </w:rPr>
        <w:t>3</w:t>
      </w:r>
      <w:r w:rsidR="001B7CC6">
        <w:rPr>
          <w:rFonts w:ascii="Arial" w:hAnsi="Arial" w:cs="Arial"/>
          <w:b/>
          <w:bCs/>
          <w:sz w:val="20"/>
          <w:szCs w:val="20"/>
        </w:rPr>
        <w:t>.1</w:t>
      </w:r>
      <w:r w:rsidRPr="00B424F5">
        <w:rPr>
          <w:rFonts w:ascii="Arial" w:hAnsi="Arial" w:cs="Arial"/>
          <w:b/>
          <w:bCs/>
          <w:sz w:val="20"/>
          <w:szCs w:val="20"/>
        </w:rPr>
        <w:t xml:space="preserve"> </w:t>
      </w:r>
      <w:bookmarkStart w:id="4" w:name="_Hlk140441212"/>
      <w:r w:rsidRPr="00B424F5">
        <w:rPr>
          <w:rFonts w:ascii="Arial" w:hAnsi="Arial" w:cs="Arial"/>
          <w:b/>
          <w:bCs/>
          <w:sz w:val="20"/>
          <w:szCs w:val="20"/>
        </w:rPr>
        <w:t xml:space="preserve">Effect of </w:t>
      </w:r>
      <w:proofErr w:type="spellStart"/>
      <w:r w:rsidRPr="00B424F5">
        <w:rPr>
          <w:rFonts w:ascii="Arial" w:hAnsi="Arial" w:cs="Arial"/>
          <w:b/>
          <w:bCs/>
          <w:sz w:val="20"/>
          <w:szCs w:val="20"/>
        </w:rPr>
        <w:t>Humic</w:t>
      </w:r>
      <w:proofErr w:type="spellEnd"/>
      <w:r w:rsidRPr="00B424F5">
        <w:rPr>
          <w:rFonts w:ascii="Arial" w:hAnsi="Arial" w:cs="Arial"/>
          <w:b/>
          <w:bCs/>
          <w:sz w:val="20"/>
          <w:szCs w:val="20"/>
        </w:rPr>
        <w:t xml:space="preserve"> acid and </w:t>
      </w:r>
      <w:proofErr w:type="spellStart"/>
      <w:r w:rsidRPr="00B424F5">
        <w:rPr>
          <w:rFonts w:ascii="Arial" w:hAnsi="Arial" w:cs="Arial"/>
          <w:b/>
          <w:bCs/>
          <w:sz w:val="20"/>
          <w:szCs w:val="20"/>
        </w:rPr>
        <w:t>Brassinolide</w:t>
      </w:r>
      <w:proofErr w:type="spellEnd"/>
      <w:r w:rsidRPr="00B424F5">
        <w:rPr>
          <w:rFonts w:ascii="Arial" w:hAnsi="Arial" w:cs="Arial"/>
          <w:b/>
          <w:bCs/>
          <w:sz w:val="20"/>
          <w:szCs w:val="20"/>
        </w:rPr>
        <w:t xml:space="preserve"> on </w:t>
      </w:r>
      <w:r w:rsidR="006A4FD5" w:rsidRPr="00B424F5">
        <w:rPr>
          <w:rFonts w:ascii="Arial" w:hAnsi="Arial" w:cs="Arial"/>
          <w:b/>
          <w:bCs/>
          <w:sz w:val="20"/>
          <w:szCs w:val="20"/>
        </w:rPr>
        <w:t>Protein content (%) and Protein yield (kg ha</w:t>
      </w:r>
      <w:r w:rsidR="006A4FD5" w:rsidRPr="00B424F5">
        <w:rPr>
          <w:rFonts w:ascii="Arial" w:hAnsi="Arial" w:cs="Arial"/>
          <w:b/>
          <w:bCs/>
          <w:sz w:val="20"/>
          <w:szCs w:val="20"/>
          <w:vertAlign w:val="superscript"/>
        </w:rPr>
        <w:t>-1</w:t>
      </w:r>
      <w:r w:rsidR="006A4FD5" w:rsidRPr="00B424F5">
        <w:rPr>
          <w:rFonts w:ascii="Arial" w:hAnsi="Arial" w:cs="Arial"/>
          <w:b/>
          <w:bCs/>
          <w:sz w:val="20"/>
          <w:szCs w:val="20"/>
        </w:rPr>
        <w:t>)</w:t>
      </w:r>
      <w:r w:rsidR="006A4FD5">
        <w:rPr>
          <w:rFonts w:ascii="Arial" w:hAnsi="Arial" w:cs="Arial"/>
          <w:b/>
          <w:bCs/>
          <w:sz w:val="20"/>
          <w:szCs w:val="20"/>
        </w:rPr>
        <w:t xml:space="preserve"> </w:t>
      </w:r>
      <w:r w:rsidRPr="00B424F5">
        <w:rPr>
          <w:rFonts w:ascii="Arial" w:hAnsi="Arial" w:cs="Arial"/>
          <w:b/>
          <w:bCs/>
          <w:sz w:val="20"/>
          <w:szCs w:val="20"/>
        </w:rPr>
        <w:t>of black gram</w:t>
      </w:r>
      <w:bookmarkEnd w:id="4"/>
    </w:p>
    <w:p w14:paraId="3D80EDE6" w14:textId="77777777" w:rsidR="001922E7" w:rsidRDefault="001922E7" w:rsidP="00B424F5">
      <w:pPr>
        <w:spacing w:after="0" w:line="240" w:lineRule="auto"/>
        <w:jc w:val="both"/>
        <w:rPr>
          <w:rFonts w:ascii="Arial" w:hAnsi="Arial" w:cs="Arial"/>
          <w:sz w:val="20"/>
          <w:szCs w:val="20"/>
        </w:rPr>
      </w:pPr>
      <w:r w:rsidRPr="00B424F5">
        <w:rPr>
          <w:rFonts w:ascii="Arial" w:hAnsi="Arial" w:cs="Arial"/>
          <w:sz w:val="20"/>
          <w:szCs w:val="20"/>
        </w:rPr>
        <w:t>The protein content data presented in Table 1 and Fig</w:t>
      </w:r>
      <w:r w:rsidR="001B7CC6">
        <w:rPr>
          <w:rFonts w:ascii="Arial" w:hAnsi="Arial" w:cs="Arial"/>
          <w:sz w:val="20"/>
          <w:szCs w:val="20"/>
        </w:rPr>
        <w:t xml:space="preserve">. </w:t>
      </w:r>
      <w:r w:rsidRPr="00B424F5">
        <w:rPr>
          <w:rFonts w:ascii="Arial" w:hAnsi="Arial" w:cs="Arial"/>
          <w:sz w:val="20"/>
          <w:szCs w:val="20"/>
        </w:rPr>
        <w:t xml:space="preserve">1 clearly demonstrate that both soil and foliar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had a significant positive impact on the protein content of the crop. T</w:t>
      </w:r>
      <w:r w:rsidRPr="00B424F5">
        <w:rPr>
          <w:rFonts w:ascii="Arial" w:hAnsi="Arial" w:cs="Arial"/>
          <w:sz w:val="20"/>
          <w:szCs w:val="20"/>
          <w:vertAlign w:val="subscript"/>
        </w:rPr>
        <w:t xml:space="preserve">7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exhibited the highest percentage of protein content at (28.75%). Similarly, the T</w:t>
      </w:r>
      <w:r w:rsidRPr="00B424F5">
        <w:rPr>
          <w:rFonts w:ascii="Arial" w:hAnsi="Arial" w:cs="Arial"/>
          <w:sz w:val="20"/>
          <w:szCs w:val="20"/>
          <w:vertAlign w:val="subscript"/>
        </w:rPr>
        <w:t>6</w:t>
      </w:r>
      <w:r w:rsidRPr="00B424F5">
        <w:rPr>
          <w:rFonts w:ascii="Arial" w:hAnsi="Arial" w:cs="Arial"/>
          <w:sz w:val="20"/>
          <w:szCs w:val="20"/>
        </w:rPr>
        <w:t xml:space="preserve"> -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to the soil, showed a protein content of (27.73%). These results indicate that both methods of application effectively increased the protein content in the crop. In comparison, the control - T0 had the lowest protein content percentage at (17.14%.) This treatment did not receive any additional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or </w:t>
      </w:r>
      <w:proofErr w:type="spellStart"/>
      <w:r w:rsidRPr="00B424F5">
        <w:rPr>
          <w:rFonts w:ascii="Arial" w:hAnsi="Arial" w:cs="Arial"/>
          <w:sz w:val="20"/>
          <w:szCs w:val="20"/>
        </w:rPr>
        <w:t>brassinolide</w:t>
      </w:r>
      <w:proofErr w:type="spellEnd"/>
      <w:r w:rsidRPr="00B424F5">
        <w:rPr>
          <w:rFonts w:ascii="Arial" w:hAnsi="Arial" w:cs="Arial"/>
          <w:sz w:val="20"/>
          <w:szCs w:val="20"/>
        </w:rPr>
        <w:t>. The (T</w:t>
      </w:r>
      <w:r w:rsidRPr="00B424F5">
        <w:rPr>
          <w:rFonts w:ascii="Arial" w:hAnsi="Arial" w:cs="Arial"/>
          <w:sz w:val="20"/>
          <w:szCs w:val="20"/>
          <w:vertAlign w:val="subscript"/>
        </w:rPr>
        <w:t>1</w:t>
      </w:r>
      <w:r w:rsidRPr="00B424F5">
        <w:rPr>
          <w:rFonts w:ascii="Arial" w:hAnsi="Arial" w:cs="Arial"/>
          <w:sz w:val="20"/>
          <w:szCs w:val="20"/>
        </w:rPr>
        <w:t>) which involved the application of 100% RDF, showed a protein content of (24.19%). It is worth noting that (T</w:t>
      </w:r>
      <w:r w:rsidRPr="00B424F5">
        <w:rPr>
          <w:rFonts w:ascii="Arial" w:hAnsi="Arial" w:cs="Arial"/>
          <w:sz w:val="20"/>
          <w:szCs w:val="20"/>
          <w:vertAlign w:val="subscript"/>
        </w:rPr>
        <w:t>7</w:t>
      </w:r>
      <w:r w:rsidRPr="00B424F5">
        <w:rPr>
          <w:rFonts w:ascii="Arial" w:hAnsi="Arial" w:cs="Arial"/>
          <w:sz w:val="20"/>
          <w:szCs w:val="20"/>
        </w:rPr>
        <w:t>) and (T</w:t>
      </w:r>
      <w:r w:rsidRPr="00B424F5">
        <w:rPr>
          <w:rFonts w:ascii="Arial" w:hAnsi="Arial" w:cs="Arial"/>
          <w:sz w:val="20"/>
          <w:szCs w:val="20"/>
          <w:vertAlign w:val="subscript"/>
        </w:rPr>
        <w:t>6</w:t>
      </w:r>
      <w:r w:rsidRPr="00B424F5">
        <w:rPr>
          <w:rFonts w:ascii="Arial" w:hAnsi="Arial" w:cs="Arial"/>
          <w:sz w:val="20"/>
          <w:szCs w:val="20"/>
        </w:rPr>
        <w:t>) treatments resulted in significantly higher protein content compared to both the control and (T</w:t>
      </w:r>
      <w:r w:rsidRPr="00AD147C">
        <w:rPr>
          <w:rFonts w:ascii="Arial" w:hAnsi="Arial" w:cs="Arial"/>
          <w:sz w:val="20"/>
          <w:szCs w:val="20"/>
          <w:vertAlign w:val="subscript"/>
        </w:rPr>
        <w:t>1</w:t>
      </w:r>
      <w:r w:rsidRPr="00B424F5">
        <w:rPr>
          <w:rFonts w:ascii="Arial" w:hAnsi="Arial" w:cs="Arial"/>
          <w:sz w:val="20"/>
          <w:szCs w:val="20"/>
        </w:rPr>
        <w:t xml:space="preserve">) treatments. </w:t>
      </w:r>
    </w:p>
    <w:p w14:paraId="16337377" w14:textId="77777777" w:rsidR="001B7CC6" w:rsidRDefault="001B7CC6" w:rsidP="00B424F5">
      <w:pPr>
        <w:spacing w:after="0" w:line="240" w:lineRule="auto"/>
        <w:jc w:val="both"/>
        <w:rPr>
          <w:rFonts w:ascii="Arial" w:hAnsi="Arial" w:cs="Arial"/>
          <w:sz w:val="20"/>
          <w:szCs w:val="20"/>
        </w:rPr>
      </w:pPr>
    </w:p>
    <w:p w14:paraId="4EE146B7" w14:textId="77777777" w:rsidR="001B7CC6" w:rsidRPr="004A0813" w:rsidRDefault="001B7CC6" w:rsidP="001B7CC6">
      <w:pPr>
        <w:pStyle w:val="NoSpacing"/>
        <w:jc w:val="center"/>
        <w:rPr>
          <w:b/>
        </w:rPr>
      </w:pPr>
      <w:r w:rsidRPr="004A0813">
        <w:rPr>
          <w:b/>
          <w:noProof/>
        </w:rPr>
        <w:lastRenderedPageBreak/>
        <w:drawing>
          <wp:inline distT="0" distB="0" distL="0" distR="0" wp14:anchorId="1861542D" wp14:editId="68E6EF14">
            <wp:extent cx="5205046" cy="3045655"/>
            <wp:effectExtent l="0" t="0" r="15240" b="2540"/>
            <wp:docPr id="1228311231" name="Chart 1">
              <a:extLst xmlns:a="http://schemas.openxmlformats.org/drawingml/2006/main">
                <a:ext uri="{FF2B5EF4-FFF2-40B4-BE49-F238E27FC236}">
                  <a16:creationId xmlns:a16="http://schemas.microsoft.com/office/drawing/2014/main" id="{94E46331-AA36-786A-BE40-1E87525FF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362B3F2" w14:textId="77777777" w:rsidR="001B7CC6" w:rsidRPr="004A0813" w:rsidRDefault="001B7CC6" w:rsidP="001B7CC6">
      <w:pPr>
        <w:pStyle w:val="NoSpacing"/>
        <w:jc w:val="center"/>
        <w:rPr>
          <w:rFonts w:ascii="Arial" w:hAnsi="Arial" w:cs="Arial"/>
          <w:b/>
          <w:sz w:val="20"/>
        </w:rPr>
      </w:pPr>
      <w:r w:rsidRPr="004A0813">
        <w:rPr>
          <w:rFonts w:ascii="Arial" w:hAnsi="Arial" w:cs="Arial"/>
          <w:b/>
          <w:sz w:val="20"/>
        </w:rPr>
        <w:t>Fig. 1</w:t>
      </w:r>
      <w:r>
        <w:rPr>
          <w:rFonts w:ascii="Arial" w:hAnsi="Arial" w:cs="Arial"/>
          <w:b/>
          <w:sz w:val="20"/>
        </w:rPr>
        <w:t>:</w:t>
      </w:r>
      <w:r w:rsidRPr="004A0813">
        <w:rPr>
          <w:rFonts w:ascii="Arial" w:hAnsi="Arial" w:cs="Arial"/>
          <w:b/>
          <w:sz w:val="20"/>
        </w:rPr>
        <w:t xml:space="preserve"> Effect of </w:t>
      </w:r>
      <w:proofErr w:type="spellStart"/>
      <w:r w:rsidRPr="004A0813">
        <w:rPr>
          <w:rFonts w:ascii="Arial" w:hAnsi="Arial" w:cs="Arial"/>
          <w:b/>
          <w:sz w:val="20"/>
        </w:rPr>
        <w:t>humic</w:t>
      </w:r>
      <w:proofErr w:type="spellEnd"/>
      <w:r w:rsidRPr="004A0813">
        <w:rPr>
          <w:rFonts w:ascii="Arial" w:hAnsi="Arial" w:cs="Arial"/>
          <w:b/>
          <w:sz w:val="20"/>
        </w:rPr>
        <w:t xml:space="preserve"> acid and </w:t>
      </w:r>
      <w:proofErr w:type="spellStart"/>
      <w:r w:rsidRPr="004A0813">
        <w:rPr>
          <w:rFonts w:ascii="Arial" w:hAnsi="Arial" w:cs="Arial"/>
          <w:b/>
          <w:sz w:val="20"/>
        </w:rPr>
        <w:t>brassinolide</w:t>
      </w:r>
      <w:proofErr w:type="spellEnd"/>
      <w:r w:rsidRPr="004A0813">
        <w:rPr>
          <w:rFonts w:ascii="Arial" w:hAnsi="Arial" w:cs="Arial"/>
          <w:b/>
          <w:sz w:val="20"/>
        </w:rPr>
        <w:t xml:space="preserve"> on the Protein content (%) of black gram.</w:t>
      </w:r>
    </w:p>
    <w:p w14:paraId="6C9E201B" w14:textId="77777777" w:rsidR="001B7CC6" w:rsidRPr="00B424F5" w:rsidRDefault="001B7CC6" w:rsidP="00B424F5">
      <w:pPr>
        <w:spacing w:after="0" w:line="240" w:lineRule="auto"/>
        <w:jc w:val="both"/>
        <w:rPr>
          <w:rFonts w:ascii="Arial" w:hAnsi="Arial" w:cs="Arial"/>
          <w:sz w:val="20"/>
          <w:szCs w:val="20"/>
        </w:rPr>
      </w:pPr>
    </w:p>
    <w:p w14:paraId="094299CF" w14:textId="77777777" w:rsidR="001922E7"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The protein yield data presented in Table </w:t>
      </w:r>
      <w:r w:rsidR="001B7CC6">
        <w:rPr>
          <w:rFonts w:ascii="Arial" w:hAnsi="Arial" w:cs="Arial"/>
          <w:sz w:val="20"/>
          <w:szCs w:val="20"/>
        </w:rPr>
        <w:t>1 and Fig. 2</w:t>
      </w:r>
      <w:r w:rsidRPr="00B424F5">
        <w:rPr>
          <w:rFonts w:ascii="Arial" w:hAnsi="Arial" w:cs="Arial"/>
          <w:sz w:val="20"/>
          <w:szCs w:val="20"/>
        </w:rPr>
        <w:t xml:space="preserve"> revealed that both soil and foliar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resulted in a significant increase in protein yield. The treatment </w:t>
      </w:r>
      <w:proofErr w:type="spellStart"/>
      <w:r w:rsidRPr="00B424F5">
        <w:rPr>
          <w:rFonts w:ascii="Arial" w:hAnsi="Arial" w:cs="Arial"/>
          <w:sz w:val="20"/>
          <w:szCs w:val="20"/>
        </w:rPr>
        <w:t>labeled</w:t>
      </w:r>
      <w:proofErr w:type="spellEnd"/>
      <w:r w:rsidRPr="00B424F5">
        <w:rPr>
          <w:rFonts w:ascii="Arial" w:hAnsi="Arial" w:cs="Arial"/>
          <w:sz w:val="20"/>
          <w:szCs w:val="20"/>
        </w:rPr>
        <w:t xml:space="preserve"> as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(Foliar applied), recorded the highest protein yield of (266.7 kg ha</w:t>
      </w:r>
      <w:r w:rsidRPr="00B424F5">
        <w:rPr>
          <w:rFonts w:ascii="Arial" w:hAnsi="Arial" w:cs="Arial"/>
          <w:sz w:val="20"/>
          <w:szCs w:val="20"/>
          <w:vertAlign w:val="superscript"/>
        </w:rPr>
        <w:t>-1</w:t>
      </w:r>
      <w:r w:rsidRPr="00B424F5">
        <w:rPr>
          <w:rFonts w:ascii="Arial" w:hAnsi="Arial" w:cs="Arial"/>
          <w:sz w:val="20"/>
          <w:szCs w:val="20"/>
        </w:rPr>
        <w:t xml:space="preserve">). followed by </w:t>
      </w:r>
      <w:bookmarkStart w:id="5" w:name="_Hlk138001780"/>
      <w:r w:rsidRPr="00B424F5">
        <w:rPr>
          <w:rFonts w:ascii="Arial" w:hAnsi="Arial" w:cs="Arial"/>
          <w:sz w:val="20"/>
          <w:szCs w:val="20"/>
        </w:rPr>
        <w:t>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(Soil applied) </w:t>
      </w:r>
      <w:bookmarkEnd w:id="5"/>
      <w:r w:rsidRPr="00B424F5">
        <w:rPr>
          <w:rFonts w:ascii="Arial" w:hAnsi="Arial" w:cs="Arial"/>
          <w:sz w:val="20"/>
          <w:szCs w:val="20"/>
        </w:rPr>
        <w:t>with a protein yield of (244.4 kg ha</w:t>
      </w:r>
      <w:r w:rsidRPr="00B424F5">
        <w:rPr>
          <w:rFonts w:ascii="Arial" w:hAnsi="Arial" w:cs="Arial"/>
          <w:sz w:val="20"/>
          <w:szCs w:val="20"/>
          <w:vertAlign w:val="superscript"/>
        </w:rPr>
        <w:t>-1</w:t>
      </w:r>
      <w:r w:rsidRPr="00B424F5">
        <w:rPr>
          <w:rFonts w:ascii="Arial" w:hAnsi="Arial" w:cs="Arial"/>
          <w:sz w:val="20"/>
          <w:szCs w:val="20"/>
        </w:rPr>
        <w:t>). The T</w:t>
      </w:r>
      <w:r w:rsidRPr="00B424F5">
        <w:rPr>
          <w:rFonts w:ascii="Arial" w:hAnsi="Arial" w:cs="Arial"/>
          <w:sz w:val="20"/>
          <w:szCs w:val="20"/>
          <w:vertAlign w:val="subscript"/>
        </w:rPr>
        <w:t>0</w:t>
      </w:r>
      <w:r w:rsidRPr="00B424F5">
        <w:rPr>
          <w:rFonts w:ascii="Arial" w:hAnsi="Arial" w:cs="Arial"/>
          <w:sz w:val="20"/>
          <w:szCs w:val="20"/>
        </w:rPr>
        <w:t xml:space="preserve"> - (Control) exhibited the lowest protein yield of (111.6 kg ha</w:t>
      </w:r>
      <w:r w:rsidRPr="00B424F5">
        <w:rPr>
          <w:rFonts w:ascii="Arial" w:hAnsi="Arial" w:cs="Arial"/>
          <w:sz w:val="20"/>
          <w:szCs w:val="20"/>
          <w:vertAlign w:val="superscript"/>
        </w:rPr>
        <w:t>-1</w:t>
      </w:r>
      <w:r w:rsidRPr="00B424F5">
        <w:rPr>
          <w:rFonts w:ascii="Arial" w:hAnsi="Arial" w:cs="Arial"/>
          <w:sz w:val="20"/>
          <w:szCs w:val="20"/>
        </w:rPr>
        <w:t>), followed by T</w:t>
      </w:r>
      <w:r w:rsidRPr="00B424F5">
        <w:rPr>
          <w:rFonts w:ascii="Arial" w:hAnsi="Arial" w:cs="Arial"/>
          <w:sz w:val="20"/>
          <w:szCs w:val="20"/>
          <w:vertAlign w:val="subscript"/>
        </w:rPr>
        <w:t>1</w:t>
      </w:r>
      <w:r w:rsidRPr="00B424F5">
        <w:rPr>
          <w:rFonts w:ascii="Arial" w:hAnsi="Arial" w:cs="Arial"/>
          <w:sz w:val="20"/>
          <w:szCs w:val="20"/>
        </w:rPr>
        <w:t xml:space="preserve"> - (100% RDF) with a protein yield of (171.8 kg ha</w:t>
      </w:r>
      <w:r w:rsidRPr="00B424F5">
        <w:rPr>
          <w:rFonts w:ascii="Arial" w:hAnsi="Arial" w:cs="Arial"/>
          <w:sz w:val="20"/>
          <w:szCs w:val="20"/>
          <w:vertAlign w:val="superscript"/>
        </w:rPr>
        <w:t>-1</w:t>
      </w:r>
      <w:r w:rsidRPr="00B424F5">
        <w:rPr>
          <w:rFonts w:ascii="Arial" w:hAnsi="Arial" w:cs="Arial"/>
          <w:sz w:val="20"/>
          <w:szCs w:val="20"/>
        </w:rPr>
        <w:t>).</w:t>
      </w:r>
    </w:p>
    <w:p w14:paraId="5B134030" w14:textId="77777777" w:rsidR="001B7CC6" w:rsidRDefault="001B7CC6" w:rsidP="001B7CC6">
      <w:pPr>
        <w:spacing w:after="0" w:line="240" w:lineRule="auto"/>
        <w:ind w:firstLine="720"/>
        <w:jc w:val="both"/>
        <w:rPr>
          <w:rFonts w:ascii="Arial" w:hAnsi="Arial" w:cs="Arial"/>
          <w:sz w:val="20"/>
          <w:szCs w:val="20"/>
        </w:rPr>
      </w:pPr>
    </w:p>
    <w:p w14:paraId="0C924ECD" w14:textId="77777777" w:rsidR="001B7CC6" w:rsidRPr="004A0813" w:rsidRDefault="001B7CC6" w:rsidP="001B7CC6">
      <w:pPr>
        <w:pStyle w:val="NoSpacing"/>
        <w:jc w:val="center"/>
        <w:rPr>
          <w:rFonts w:ascii="Arial" w:hAnsi="Arial" w:cs="Arial"/>
          <w:b/>
          <w:sz w:val="20"/>
          <w:szCs w:val="20"/>
        </w:rPr>
      </w:pPr>
      <w:bookmarkStart w:id="6" w:name="_Hlk139548477"/>
      <w:r w:rsidRPr="004A0813">
        <w:rPr>
          <w:rFonts w:ascii="Arial" w:hAnsi="Arial" w:cs="Arial"/>
          <w:b/>
          <w:noProof/>
          <w:sz w:val="20"/>
          <w:szCs w:val="20"/>
        </w:rPr>
        <w:drawing>
          <wp:inline distT="0" distB="0" distL="0" distR="0" wp14:anchorId="392C0C29" wp14:editId="69DB55A3">
            <wp:extent cx="5205046" cy="2834640"/>
            <wp:effectExtent l="0" t="0" r="15240" b="3810"/>
            <wp:docPr id="111846293" name="Chart 1">
              <a:extLst xmlns:a="http://schemas.openxmlformats.org/drawingml/2006/main">
                <a:ext uri="{FF2B5EF4-FFF2-40B4-BE49-F238E27FC236}">
                  <a16:creationId xmlns:a16="http://schemas.microsoft.com/office/drawing/2014/main" id="{4FFCD3A5-CD32-2891-0153-DC79BCCFD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E5CE62" w14:textId="77777777" w:rsidR="001B7CC6" w:rsidRPr="004A0813" w:rsidRDefault="001B7CC6" w:rsidP="001B7CC6">
      <w:pPr>
        <w:pStyle w:val="NoSpacing"/>
        <w:jc w:val="center"/>
        <w:rPr>
          <w:rFonts w:ascii="Arial" w:hAnsi="Arial" w:cs="Arial"/>
          <w:b/>
          <w:sz w:val="20"/>
          <w:szCs w:val="20"/>
        </w:rPr>
      </w:pPr>
      <w:r w:rsidRPr="004A0813">
        <w:rPr>
          <w:rFonts w:ascii="Arial" w:hAnsi="Arial" w:cs="Arial"/>
          <w:b/>
          <w:sz w:val="20"/>
          <w:szCs w:val="20"/>
        </w:rPr>
        <w:t>Fig. 2</w:t>
      </w:r>
      <w:r>
        <w:rPr>
          <w:rFonts w:ascii="Arial" w:hAnsi="Arial" w:cs="Arial"/>
          <w:b/>
          <w:sz w:val="20"/>
          <w:szCs w:val="20"/>
        </w:rPr>
        <w:t>:</w:t>
      </w:r>
      <w:r w:rsidRPr="004A0813">
        <w:rPr>
          <w:rFonts w:ascii="Arial" w:hAnsi="Arial" w:cs="Arial"/>
          <w:b/>
          <w:sz w:val="20"/>
          <w:szCs w:val="20"/>
        </w:rPr>
        <w:t xml:space="preserve"> Effect of </w:t>
      </w:r>
      <w:proofErr w:type="spellStart"/>
      <w:r w:rsidRPr="004A0813">
        <w:rPr>
          <w:rFonts w:ascii="Arial" w:hAnsi="Arial" w:cs="Arial"/>
          <w:b/>
          <w:sz w:val="20"/>
          <w:szCs w:val="20"/>
        </w:rPr>
        <w:t>humic</w:t>
      </w:r>
      <w:proofErr w:type="spellEnd"/>
      <w:r w:rsidRPr="004A0813">
        <w:rPr>
          <w:rFonts w:ascii="Arial" w:hAnsi="Arial" w:cs="Arial"/>
          <w:b/>
          <w:sz w:val="20"/>
          <w:szCs w:val="20"/>
        </w:rPr>
        <w:t xml:space="preserve"> acid and </w:t>
      </w:r>
      <w:proofErr w:type="spellStart"/>
      <w:r w:rsidRPr="004A0813">
        <w:rPr>
          <w:rFonts w:ascii="Arial" w:hAnsi="Arial" w:cs="Arial"/>
          <w:b/>
          <w:sz w:val="20"/>
          <w:szCs w:val="20"/>
        </w:rPr>
        <w:t>brassinolide</w:t>
      </w:r>
      <w:proofErr w:type="spellEnd"/>
      <w:r w:rsidRPr="004A0813">
        <w:rPr>
          <w:rFonts w:ascii="Arial" w:hAnsi="Arial" w:cs="Arial"/>
          <w:b/>
          <w:sz w:val="20"/>
          <w:szCs w:val="20"/>
        </w:rPr>
        <w:t xml:space="preserve"> on the Protein yield (kg ha</w:t>
      </w:r>
      <w:r w:rsidRPr="004A0813">
        <w:rPr>
          <w:rFonts w:ascii="Arial" w:hAnsi="Arial" w:cs="Arial"/>
          <w:b/>
          <w:sz w:val="20"/>
          <w:szCs w:val="20"/>
          <w:vertAlign w:val="superscript"/>
        </w:rPr>
        <w:t>-1</w:t>
      </w:r>
      <w:r w:rsidRPr="004A0813">
        <w:rPr>
          <w:rFonts w:ascii="Arial" w:hAnsi="Arial" w:cs="Arial"/>
          <w:b/>
          <w:sz w:val="20"/>
          <w:szCs w:val="20"/>
        </w:rPr>
        <w:t>) of black gram.</w:t>
      </w:r>
    </w:p>
    <w:bookmarkEnd w:id="6"/>
    <w:p w14:paraId="022B837C" w14:textId="77777777" w:rsidR="001B7CC6" w:rsidRPr="00B424F5" w:rsidRDefault="001B7CC6" w:rsidP="001B7CC6">
      <w:pPr>
        <w:spacing w:after="0" w:line="240" w:lineRule="auto"/>
        <w:ind w:firstLine="720"/>
        <w:jc w:val="both"/>
        <w:rPr>
          <w:rFonts w:ascii="Arial" w:hAnsi="Arial" w:cs="Arial"/>
          <w:sz w:val="20"/>
          <w:szCs w:val="20"/>
        </w:rPr>
      </w:pPr>
    </w:p>
    <w:p w14:paraId="5A5FE584" w14:textId="73C3E611" w:rsidR="001922E7" w:rsidRPr="00B424F5"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In summary,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both as soil and foliar treatments, significantly increased the protein content and yield in the black gram plants the treatments (T</w:t>
      </w:r>
      <w:r w:rsidRPr="00B424F5">
        <w:rPr>
          <w:rFonts w:ascii="Arial" w:hAnsi="Arial" w:cs="Arial"/>
          <w:sz w:val="20"/>
          <w:szCs w:val="20"/>
          <w:vertAlign w:val="subscript"/>
        </w:rPr>
        <w:t>7</w:t>
      </w:r>
      <w:r w:rsidRPr="00B424F5">
        <w:rPr>
          <w:rFonts w:ascii="Arial" w:hAnsi="Arial" w:cs="Arial"/>
          <w:sz w:val="20"/>
          <w:szCs w:val="20"/>
        </w:rPr>
        <w:t>) and (T</w:t>
      </w:r>
      <w:r w:rsidRPr="00B424F5">
        <w:rPr>
          <w:rFonts w:ascii="Arial" w:hAnsi="Arial" w:cs="Arial"/>
          <w:sz w:val="20"/>
          <w:szCs w:val="20"/>
          <w:vertAlign w:val="subscript"/>
        </w:rPr>
        <w:t>6</w:t>
      </w:r>
      <w:r w:rsidRPr="00B424F5">
        <w:rPr>
          <w:rFonts w:ascii="Arial" w:hAnsi="Arial" w:cs="Arial"/>
          <w:sz w:val="20"/>
          <w:szCs w:val="20"/>
        </w:rPr>
        <w:t>) showed the highest protein yields, while the control treatment (T</w:t>
      </w:r>
      <w:r w:rsidRPr="00B424F5">
        <w:rPr>
          <w:rFonts w:ascii="Arial" w:hAnsi="Arial" w:cs="Arial"/>
          <w:sz w:val="20"/>
          <w:szCs w:val="20"/>
          <w:vertAlign w:val="subscript"/>
        </w:rPr>
        <w:t>0</w:t>
      </w:r>
      <w:r w:rsidRPr="00B424F5">
        <w:rPr>
          <w:rFonts w:ascii="Arial" w:hAnsi="Arial" w:cs="Arial"/>
          <w:sz w:val="20"/>
          <w:szCs w:val="20"/>
        </w:rPr>
        <w:t xml:space="preserve">) had the lowest protein content and protein yield. This result showed that an increase in protein yield and protein content can be attributed to the direct and indirect effects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on plant growth.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have been found to modify membranes, enhance nutrient transport, improve photosynthesis, and increase the solubilization of micronutrients, which ultimately leads to improved protein synthesis. </w:t>
      </w:r>
      <w:proofErr w:type="spellStart"/>
      <w:r w:rsidRPr="00B424F5">
        <w:rPr>
          <w:rFonts w:ascii="Arial" w:hAnsi="Arial" w:cs="Arial"/>
          <w:sz w:val="20"/>
          <w:szCs w:val="20"/>
        </w:rPr>
        <w:t>Saruhan</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(2011) observed a higher percentage of crude protein in millet with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treatments. Similarly, </w:t>
      </w:r>
      <w:proofErr w:type="spellStart"/>
      <w:r w:rsidRPr="00B424F5">
        <w:rPr>
          <w:rFonts w:ascii="Arial" w:hAnsi="Arial" w:cs="Arial"/>
          <w:sz w:val="20"/>
          <w:szCs w:val="20"/>
        </w:rPr>
        <w:t>Sritharan</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(2015) reported positive outcomes </w:t>
      </w:r>
      <w:r w:rsidRPr="00B424F5">
        <w:rPr>
          <w:rFonts w:ascii="Arial" w:hAnsi="Arial" w:cs="Arial"/>
          <w:sz w:val="20"/>
          <w:szCs w:val="20"/>
        </w:rPr>
        <w:lastRenderedPageBreak/>
        <w:t xml:space="preserve">in black gram with soil application of a combination of 1% </w:t>
      </w:r>
      <w:proofErr w:type="spellStart"/>
      <w:r w:rsidRPr="00B424F5">
        <w:rPr>
          <w:rFonts w:ascii="Arial" w:hAnsi="Arial" w:cs="Arial"/>
          <w:sz w:val="20"/>
          <w:szCs w:val="20"/>
        </w:rPr>
        <w:t>KCl</w:t>
      </w:r>
      <w:proofErr w:type="spellEnd"/>
      <w:r w:rsidRPr="00B424F5">
        <w:rPr>
          <w:rFonts w:ascii="Arial" w:hAnsi="Arial" w:cs="Arial"/>
          <w:sz w:val="20"/>
          <w:szCs w:val="20"/>
        </w:rPr>
        <w:t xml:space="preserve"> and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Rajesh </w:t>
      </w:r>
      <w:r w:rsidRPr="00B424F5">
        <w:rPr>
          <w:rFonts w:ascii="Arial" w:hAnsi="Arial" w:cs="Arial"/>
          <w:i/>
          <w:iCs/>
          <w:sz w:val="20"/>
          <w:szCs w:val="20"/>
        </w:rPr>
        <w:t>et al.,</w:t>
      </w:r>
      <w:r w:rsidRPr="00B424F5">
        <w:rPr>
          <w:rFonts w:ascii="Arial" w:hAnsi="Arial" w:cs="Arial"/>
          <w:sz w:val="20"/>
          <w:szCs w:val="20"/>
        </w:rPr>
        <w:t xml:space="preserve"> (2014) demonstrated improved yield in green gram</w:t>
      </w:r>
      <w:r w:rsidR="00AD147C">
        <w:rPr>
          <w:rFonts w:ascii="Arial" w:hAnsi="Arial" w:cs="Arial"/>
          <w:sz w:val="20"/>
          <w:szCs w:val="20"/>
        </w:rPr>
        <w:t xml:space="preserve"> </w:t>
      </w:r>
      <w:r w:rsidRPr="00B424F5">
        <w:rPr>
          <w:rFonts w:ascii="Arial" w:hAnsi="Arial" w:cs="Arial"/>
          <w:sz w:val="20"/>
          <w:szCs w:val="20"/>
        </w:rPr>
        <w:t xml:space="preserve">through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Additionally, the foliar spray of vermicompost resulted in increased protein content in kernels. These findings indicate that the utilization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positively impacts protein yield and content in various crops by influencing nutrient transport, photosynthesis, and micronutrient availability.</w:t>
      </w:r>
    </w:p>
    <w:p w14:paraId="2BF4DF02" w14:textId="5970F162" w:rsidR="001922E7"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Furthermore, </w:t>
      </w:r>
      <w:proofErr w:type="spellStart"/>
      <w:r w:rsidRPr="00B424F5">
        <w:rPr>
          <w:rFonts w:ascii="Arial" w:hAnsi="Arial" w:cs="Arial"/>
          <w:sz w:val="20"/>
          <w:szCs w:val="20"/>
        </w:rPr>
        <w:t>Dudde</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(1979) found that applying a foliar spray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to groundnut plants significantly increased nitrogen and phosphorus content in the leaves, particularly up to the peg formation stage. Han </w:t>
      </w:r>
      <w:r w:rsidRPr="00B424F5">
        <w:rPr>
          <w:rFonts w:ascii="Arial" w:hAnsi="Arial" w:cs="Arial"/>
          <w:i/>
          <w:iCs/>
          <w:sz w:val="20"/>
          <w:szCs w:val="20"/>
        </w:rPr>
        <w:t>et al.,</w:t>
      </w:r>
      <w:r w:rsidRPr="00B424F5">
        <w:rPr>
          <w:rFonts w:ascii="Arial" w:hAnsi="Arial" w:cs="Arial"/>
          <w:sz w:val="20"/>
          <w:szCs w:val="20"/>
        </w:rPr>
        <w:t xml:space="preserve"> (1988) also observed a notable increase in phosphorus uptake in tobacco plants with foliar application of BR,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treatment increased nitrogen absorption in rice. Similarly, D</w:t>
      </w:r>
      <w:bookmarkStart w:id="7" w:name="_Hlk214534982"/>
      <w:r w:rsidRPr="00B424F5">
        <w:rPr>
          <w:rFonts w:ascii="Arial" w:hAnsi="Arial" w:cs="Arial"/>
          <w:sz w:val="20"/>
          <w:szCs w:val="20"/>
        </w:rPr>
        <w:t>ogra</w:t>
      </w:r>
      <w:bookmarkEnd w:id="7"/>
      <w:r w:rsidRPr="00B424F5">
        <w:rPr>
          <w:rFonts w:ascii="Arial" w:hAnsi="Arial" w:cs="Arial"/>
          <w:sz w:val="20"/>
          <w:szCs w:val="20"/>
        </w:rPr>
        <w:t xml:space="preserve"> and </w:t>
      </w:r>
      <w:proofErr w:type="spellStart"/>
      <w:r w:rsidRPr="00B424F5">
        <w:rPr>
          <w:rFonts w:ascii="Arial" w:hAnsi="Arial" w:cs="Arial"/>
          <w:sz w:val="20"/>
          <w:szCs w:val="20"/>
        </w:rPr>
        <w:t>Thukral</w:t>
      </w:r>
      <w:proofErr w:type="spellEnd"/>
      <w:r w:rsidRPr="00B424F5">
        <w:rPr>
          <w:rFonts w:ascii="Arial" w:hAnsi="Arial" w:cs="Arial"/>
          <w:sz w:val="20"/>
          <w:szCs w:val="20"/>
        </w:rPr>
        <w:t xml:space="preserve"> (1998) revealed the positive effect of BR on nitrogen, phosphorus, and potassium absorption in maize. These findings support the idea that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improves nutrient absorption, presumably by altering root permeability and cation exchange capacity. Thus, the current study's findings are consistent with prior research findings, demonstrating that BR has a good influence on nutritional content in plants.</w:t>
      </w:r>
    </w:p>
    <w:p w14:paraId="6C1C2957" w14:textId="77777777" w:rsidR="00E450B3" w:rsidRDefault="00E450B3" w:rsidP="001B7CC6">
      <w:pPr>
        <w:spacing w:after="0" w:line="240" w:lineRule="auto"/>
        <w:ind w:firstLine="720"/>
        <w:jc w:val="both"/>
        <w:rPr>
          <w:rFonts w:ascii="Arial" w:hAnsi="Arial" w:cs="Arial"/>
          <w:sz w:val="20"/>
          <w:szCs w:val="20"/>
        </w:rPr>
      </w:pPr>
    </w:p>
    <w:p w14:paraId="0F6AD1BD" w14:textId="77777777" w:rsidR="00E450B3" w:rsidRDefault="00E450B3" w:rsidP="00E450B3">
      <w:pPr>
        <w:tabs>
          <w:tab w:val="left" w:pos="1310"/>
        </w:tabs>
        <w:spacing w:after="0" w:line="240" w:lineRule="auto"/>
        <w:ind w:right="567"/>
        <w:jc w:val="both"/>
        <w:rPr>
          <w:rFonts w:ascii="Arial" w:hAnsi="Arial" w:cs="Arial"/>
          <w:b/>
          <w:bCs/>
          <w:sz w:val="20"/>
          <w:szCs w:val="20"/>
        </w:rPr>
      </w:pPr>
      <w:bookmarkStart w:id="8" w:name="_Hlk138008589"/>
      <w:r w:rsidRPr="00B424F5">
        <w:rPr>
          <w:rFonts w:ascii="Arial" w:hAnsi="Arial" w:cs="Arial"/>
          <w:b/>
          <w:bCs/>
          <w:sz w:val="20"/>
          <w:szCs w:val="20"/>
        </w:rPr>
        <w:t xml:space="preserve">3.2 </w:t>
      </w:r>
      <w:r w:rsidR="006A4FD5" w:rsidRPr="00B424F5">
        <w:rPr>
          <w:rFonts w:ascii="Arial" w:hAnsi="Arial" w:cs="Arial"/>
          <w:b/>
          <w:bCs/>
          <w:sz w:val="20"/>
          <w:szCs w:val="20"/>
        </w:rPr>
        <w:t xml:space="preserve">Effect of </w:t>
      </w:r>
      <w:proofErr w:type="spellStart"/>
      <w:r w:rsidR="006A4FD5" w:rsidRPr="00B424F5">
        <w:rPr>
          <w:rFonts w:ascii="Arial" w:hAnsi="Arial" w:cs="Arial"/>
          <w:b/>
          <w:bCs/>
          <w:sz w:val="20"/>
          <w:szCs w:val="20"/>
        </w:rPr>
        <w:t>Humic</w:t>
      </w:r>
      <w:proofErr w:type="spellEnd"/>
      <w:r w:rsidR="006A4FD5" w:rsidRPr="00B424F5">
        <w:rPr>
          <w:rFonts w:ascii="Arial" w:hAnsi="Arial" w:cs="Arial"/>
          <w:b/>
          <w:bCs/>
          <w:sz w:val="20"/>
          <w:szCs w:val="20"/>
        </w:rPr>
        <w:t xml:space="preserve"> acid and </w:t>
      </w:r>
      <w:proofErr w:type="spellStart"/>
      <w:r w:rsidR="006A4FD5" w:rsidRPr="00B424F5">
        <w:rPr>
          <w:rFonts w:ascii="Arial" w:hAnsi="Arial" w:cs="Arial"/>
          <w:b/>
          <w:bCs/>
          <w:sz w:val="20"/>
          <w:szCs w:val="20"/>
        </w:rPr>
        <w:t>Brassinolide</w:t>
      </w:r>
      <w:proofErr w:type="spellEnd"/>
      <w:r w:rsidR="006A4FD5" w:rsidRPr="00B424F5">
        <w:rPr>
          <w:rFonts w:ascii="Arial" w:hAnsi="Arial" w:cs="Arial"/>
          <w:b/>
          <w:bCs/>
          <w:sz w:val="20"/>
          <w:szCs w:val="20"/>
        </w:rPr>
        <w:t xml:space="preserve"> on </w:t>
      </w:r>
      <w:r w:rsidRPr="00B424F5">
        <w:rPr>
          <w:rFonts w:ascii="Arial" w:hAnsi="Arial" w:cs="Arial"/>
          <w:b/>
          <w:bCs/>
          <w:sz w:val="20"/>
          <w:szCs w:val="20"/>
        </w:rPr>
        <w:t xml:space="preserve">N, P, K content (%) in grain </w:t>
      </w:r>
      <w:r w:rsidR="006A4FD5">
        <w:rPr>
          <w:rFonts w:ascii="Arial" w:hAnsi="Arial" w:cs="Arial"/>
          <w:b/>
          <w:bCs/>
          <w:sz w:val="20"/>
          <w:szCs w:val="20"/>
        </w:rPr>
        <w:t xml:space="preserve">of </w:t>
      </w:r>
      <w:r w:rsidR="006A4FD5" w:rsidRPr="004A0813">
        <w:rPr>
          <w:rFonts w:ascii="Arial" w:hAnsi="Arial" w:cs="Arial"/>
          <w:b/>
          <w:sz w:val="20"/>
        </w:rPr>
        <w:t>black gram</w:t>
      </w:r>
    </w:p>
    <w:p w14:paraId="0FFCFF21" w14:textId="77777777" w:rsidR="00E450B3" w:rsidRPr="00B424F5" w:rsidRDefault="00E450B3" w:rsidP="00E450B3">
      <w:pPr>
        <w:tabs>
          <w:tab w:val="left" w:pos="1310"/>
        </w:tabs>
        <w:spacing w:after="0" w:line="240" w:lineRule="auto"/>
        <w:ind w:right="95"/>
        <w:jc w:val="both"/>
        <w:rPr>
          <w:rFonts w:ascii="Arial" w:hAnsi="Arial" w:cs="Arial"/>
          <w:sz w:val="20"/>
          <w:szCs w:val="20"/>
        </w:rPr>
      </w:pPr>
      <w:r w:rsidRPr="00B424F5">
        <w:rPr>
          <w:rFonts w:ascii="Arial" w:hAnsi="Arial" w:cs="Arial"/>
          <w:sz w:val="20"/>
          <w:szCs w:val="20"/>
        </w:rPr>
        <w:t>The findings in Table 2 and Fig</w:t>
      </w:r>
      <w:r>
        <w:rPr>
          <w:rFonts w:ascii="Arial" w:hAnsi="Arial" w:cs="Arial"/>
          <w:sz w:val="20"/>
          <w:szCs w:val="20"/>
        </w:rPr>
        <w:t xml:space="preserve">. </w:t>
      </w:r>
      <w:r w:rsidRPr="00B424F5">
        <w:rPr>
          <w:rFonts w:ascii="Arial" w:hAnsi="Arial" w:cs="Arial"/>
          <w:sz w:val="20"/>
          <w:szCs w:val="20"/>
        </w:rPr>
        <w:t xml:space="preserve">3, </w:t>
      </w:r>
      <w:r>
        <w:rPr>
          <w:rFonts w:ascii="Arial" w:hAnsi="Arial" w:cs="Arial"/>
          <w:sz w:val="20"/>
          <w:szCs w:val="20"/>
        </w:rPr>
        <w:t xml:space="preserve">Fig. </w:t>
      </w:r>
      <w:r w:rsidRPr="00B424F5">
        <w:rPr>
          <w:rFonts w:ascii="Arial" w:hAnsi="Arial" w:cs="Arial"/>
          <w:sz w:val="20"/>
          <w:szCs w:val="20"/>
        </w:rPr>
        <w:t xml:space="preserve">4 and </w:t>
      </w:r>
      <w:r>
        <w:rPr>
          <w:rFonts w:ascii="Arial" w:hAnsi="Arial" w:cs="Arial"/>
          <w:sz w:val="20"/>
          <w:szCs w:val="20"/>
        </w:rPr>
        <w:t>Fig. 5</w:t>
      </w:r>
      <w:r w:rsidRPr="00B424F5">
        <w:rPr>
          <w:rFonts w:ascii="Arial" w:hAnsi="Arial" w:cs="Arial"/>
          <w:sz w:val="20"/>
          <w:szCs w:val="20"/>
        </w:rPr>
        <w:t xml:space="preserve"> show that the different treatments used in the study had a considerable beneficial influence on the nitrogen (N), phosphorous (P), and potassium (K) content of the grain. These nutrients are critical for plant growth and development and for producing high-quality crop production.</w:t>
      </w:r>
    </w:p>
    <w:p w14:paraId="77D442B1" w14:textId="77777777" w:rsidR="00E450B3" w:rsidRDefault="00E450B3" w:rsidP="00E450B3">
      <w:pPr>
        <w:spacing w:before="240" w:line="240" w:lineRule="auto"/>
        <w:jc w:val="both"/>
        <w:rPr>
          <w:rFonts w:ascii="Arial" w:hAnsi="Arial" w:cs="Arial"/>
          <w:b/>
          <w:bCs/>
          <w:sz w:val="20"/>
          <w:szCs w:val="20"/>
        </w:rPr>
      </w:pPr>
      <w:r w:rsidRPr="00B424F5">
        <w:rPr>
          <w:rFonts w:ascii="Arial" w:hAnsi="Arial" w:cs="Arial"/>
          <w:b/>
          <w:bCs/>
          <w:sz w:val="20"/>
          <w:szCs w:val="20"/>
        </w:rPr>
        <w:t>3.2.1 Nitrogen content (%) in grain</w:t>
      </w:r>
    </w:p>
    <w:p w14:paraId="250F78DD" w14:textId="77777777" w:rsidR="00F80A33" w:rsidRDefault="00E450B3" w:rsidP="00E450B3">
      <w:pPr>
        <w:spacing w:before="240" w:line="240" w:lineRule="auto"/>
        <w:jc w:val="both"/>
        <w:rPr>
          <w:rFonts w:ascii="Arial" w:hAnsi="Arial" w:cs="Arial"/>
          <w:sz w:val="20"/>
          <w:szCs w:val="20"/>
        </w:rPr>
      </w:pPr>
      <w:r w:rsidRPr="00B424F5">
        <w:rPr>
          <w:rFonts w:ascii="Arial" w:hAnsi="Arial" w:cs="Arial"/>
          <w:sz w:val="20"/>
          <w:szCs w:val="20"/>
        </w:rPr>
        <w:t xml:space="preserve">The nitrogen content in grain was </w:t>
      </w:r>
      <w:proofErr w:type="spellStart"/>
      <w:r w:rsidRPr="00B424F5">
        <w:rPr>
          <w:rFonts w:ascii="Arial" w:hAnsi="Arial" w:cs="Arial"/>
          <w:sz w:val="20"/>
          <w:szCs w:val="20"/>
        </w:rPr>
        <w:t>analyzed</w:t>
      </w:r>
      <w:proofErr w:type="spellEnd"/>
      <w:r w:rsidRPr="00B424F5">
        <w:rPr>
          <w:rFonts w:ascii="Arial" w:hAnsi="Arial" w:cs="Arial"/>
          <w:sz w:val="20"/>
          <w:szCs w:val="20"/>
        </w:rPr>
        <w:t xml:space="preserve"> to assess the effects of different treatments on nutrient accumulation. Notably,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exhibited the highest nitrogen content in the grain, recording an impressive value of (3.63%). This result was found to be statistically similar to the nitrogen content observed in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was applied to the soil, resulting in a nitrogen content of (3.50%) in the grain. Conversely, the T</w:t>
      </w:r>
      <w:r w:rsidRPr="00B424F5">
        <w:rPr>
          <w:rFonts w:ascii="Arial" w:hAnsi="Arial" w:cs="Arial"/>
          <w:sz w:val="20"/>
          <w:szCs w:val="20"/>
          <w:vertAlign w:val="subscript"/>
        </w:rPr>
        <w:t xml:space="preserve">0 </w:t>
      </w:r>
      <w:r w:rsidRPr="00B424F5">
        <w:rPr>
          <w:rFonts w:ascii="Arial" w:hAnsi="Arial" w:cs="Arial"/>
          <w:sz w:val="20"/>
          <w:szCs w:val="20"/>
        </w:rPr>
        <w:t>- (Control) demonstrated the lowest nitrogen content in the grain, with a value of (2.16%). followed by T</w:t>
      </w:r>
      <w:r w:rsidRPr="00B424F5">
        <w:rPr>
          <w:rFonts w:ascii="Arial" w:hAnsi="Arial" w:cs="Arial"/>
          <w:sz w:val="20"/>
          <w:szCs w:val="20"/>
          <w:vertAlign w:val="subscript"/>
        </w:rPr>
        <w:t>1</w:t>
      </w:r>
      <w:r w:rsidRPr="00B424F5">
        <w:rPr>
          <w:rFonts w:ascii="Arial" w:hAnsi="Arial" w:cs="Arial"/>
          <w:sz w:val="20"/>
          <w:szCs w:val="20"/>
        </w:rPr>
        <w:t xml:space="preserve">, where 100% RDF was applied, resulting in a nitrogen content of (3.10%) in the grain. The observed trend indicates that the treatments involving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(T7 and T6) positively influenced nitrogen accumulation in the grain</w:t>
      </w:r>
      <w:r>
        <w:rPr>
          <w:rFonts w:ascii="Arial" w:hAnsi="Arial" w:cs="Arial"/>
          <w:sz w:val="20"/>
          <w:szCs w:val="20"/>
        </w:rPr>
        <w:t xml:space="preserve"> (Table 2, Fig. 3)</w:t>
      </w:r>
      <w:r w:rsidRPr="00B424F5">
        <w:rPr>
          <w:rFonts w:ascii="Arial" w:hAnsi="Arial" w:cs="Arial"/>
          <w:sz w:val="20"/>
          <w:szCs w:val="20"/>
        </w:rPr>
        <w:t xml:space="preserve">. </w:t>
      </w:r>
    </w:p>
    <w:p w14:paraId="5D9C73CD" w14:textId="77777777" w:rsidR="00F80A33" w:rsidRPr="001B7CC6" w:rsidRDefault="00F80A33" w:rsidP="00F80A33">
      <w:pPr>
        <w:pStyle w:val="NoSpacing"/>
        <w:jc w:val="center"/>
        <w:rPr>
          <w:rFonts w:ascii="Arial" w:hAnsi="Arial" w:cs="Arial"/>
          <w:b/>
          <w:sz w:val="20"/>
        </w:rPr>
      </w:pPr>
      <w:r w:rsidRPr="001B7CC6">
        <w:rPr>
          <w:rFonts w:ascii="Arial" w:hAnsi="Arial" w:cs="Arial"/>
          <w:b/>
          <w:noProof/>
          <w:sz w:val="20"/>
        </w:rPr>
        <w:drawing>
          <wp:inline distT="0" distB="0" distL="0" distR="0" wp14:anchorId="2AD1AE8C" wp14:editId="49220DB2">
            <wp:extent cx="4916658" cy="2757170"/>
            <wp:effectExtent l="0" t="0" r="17780" b="5080"/>
            <wp:docPr id="1163539334" name="Chart 1">
              <a:extLst xmlns:a="http://schemas.openxmlformats.org/drawingml/2006/main">
                <a:ext uri="{FF2B5EF4-FFF2-40B4-BE49-F238E27FC236}">
                  <a16:creationId xmlns:a16="http://schemas.microsoft.com/office/drawing/2014/main" id="{5E8404B3-4406-C36B-A949-6BDF8D37F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135E2E" w14:textId="77777777" w:rsidR="00F80A33" w:rsidRPr="00F6001D" w:rsidRDefault="00F80A33" w:rsidP="00F80A33">
      <w:pPr>
        <w:pStyle w:val="NoSpacing"/>
        <w:jc w:val="center"/>
        <w:rPr>
          <w:rFonts w:ascii="Arial" w:hAnsi="Arial" w:cs="Arial"/>
          <w:sz w:val="20"/>
        </w:rPr>
      </w:pPr>
      <w:r w:rsidRPr="001B7CC6">
        <w:rPr>
          <w:rFonts w:ascii="Arial" w:hAnsi="Arial" w:cs="Arial"/>
          <w:b/>
          <w:sz w:val="20"/>
        </w:rPr>
        <w:t>Fig. 3</w:t>
      </w:r>
      <w:r>
        <w:rPr>
          <w:rFonts w:ascii="Arial" w:hAnsi="Arial" w:cs="Arial"/>
          <w:b/>
          <w:sz w:val="20"/>
        </w:rPr>
        <w:t>:</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Nitrogen content (%) of black gram.</w:t>
      </w:r>
    </w:p>
    <w:p w14:paraId="4010FB54" w14:textId="48869EE8" w:rsidR="00E450B3" w:rsidRDefault="00E450B3" w:rsidP="00E450B3">
      <w:pPr>
        <w:spacing w:before="240" w:line="240" w:lineRule="auto"/>
        <w:jc w:val="both"/>
        <w:rPr>
          <w:rFonts w:ascii="Arial" w:hAnsi="Arial" w:cs="Arial"/>
          <w:sz w:val="20"/>
          <w:szCs w:val="20"/>
        </w:rPr>
      </w:pPr>
      <w:r w:rsidRPr="00B424F5">
        <w:rPr>
          <w:rFonts w:ascii="Arial" w:hAnsi="Arial" w:cs="Arial"/>
          <w:sz w:val="20"/>
          <w:szCs w:val="20"/>
        </w:rPr>
        <w:t xml:space="preserve">These findings highlight the potential of foliar and soil applications of these substances in enhancing nitrogen content, and subsequently, the nutritional value of the grain.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foliar spray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and have been found to increase protein content in black gram seeds. Rajesh </w:t>
      </w:r>
      <w:r w:rsidRPr="00B424F5">
        <w:rPr>
          <w:rFonts w:ascii="Arial" w:hAnsi="Arial" w:cs="Arial"/>
          <w:i/>
          <w:iCs/>
          <w:sz w:val="20"/>
          <w:szCs w:val="20"/>
        </w:rPr>
        <w:t>et al.,</w:t>
      </w:r>
      <w:r w:rsidRPr="00B424F5">
        <w:rPr>
          <w:rFonts w:ascii="Arial" w:hAnsi="Arial" w:cs="Arial"/>
          <w:sz w:val="20"/>
          <w:szCs w:val="20"/>
        </w:rPr>
        <w:t xml:space="preserve"> (2014)</w:t>
      </w:r>
      <w:r w:rsidR="00AD147C">
        <w:rPr>
          <w:rFonts w:ascii="Arial" w:hAnsi="Arial" w:cs="Arial"/>
          <w:sz w:val="20"/>
          <w:szCs w:val="20"/>
        </w:rPr>
        <w:t xml:space="preserve"> </w:t>
      </w:r>
      <w:r w:rsidRPr="00B424F5">
        <w:rPr>
          <w:rFonts w:ascii="Arial" w:hAnsi="Arial" w:cs="Arial"/>
          <w:sz w:val="20"/>
          <w:szCs w:val="20"/>
        </w:rPr>
        <w:t xml:space="preserve">and Chaitra (2018) observed that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combined with foliar spray, resulted in higher protein content. The uptake of nutrients was enhanced by the stimulatory effect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substances on microbial activity in the soil. The increased protein content may be </w:t>
      </w:r>
      <w:r w:rsidRPr="00B424F5">
        <w:rPr>
          <w:rFonts w:ascii="Arial" w:hAnsi="Arial" w:cs="Arial"/>
          <w:sz w:val="20"/>
          <w:szCs w:val="20"/>
        </w:rPr>
        <w:lastRenderedPageBreak/>
        <w:t xml:space="preserve">attributed to enhanced mineral uptake and enzyme activity, as indicated by Poole et al. (1983). These findings emphasize the importance of nutrient management and growth regulator application in maximizing protein yield in crops. The administration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in conjunction with RDF, which improved nutritional content and absorption was mostly responsible for the increase in NPK uptake. The rate of vegetative growth, physiological activity and metabolic activity was all higher, use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enhanced the development of lateral root along with increase in the number of secondary roots and better availability of nutrients. Because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is an excellent source, improved crop nutrient absorption may be due to the fact that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encourage microbial activity in the soil and boost nutrient uptake. It is a supplier of nitrogen, phosphorus, potassium and sulphur. Additionally, the supply of natural and supplemented nutrients was enhanced up to the harvest.</w:t>
      </w:r>
    </w:p>
    <w:p w14:paraId="66869F94" w14:textId="77777777" w:rsidR="00E450B3" w:rsidRDefault="00E450B3" w:rsidP="00E450B3">
      <w:pPr>
        <w:spacing w:line="240" w:lineRule="auto"/>
        <w:jc w:val="both"/>
        <w:rPr>
          <w:rFonts w:ascii="Arial" w:hAnsi="Arial" w:cs="Arial"/>
          <w:b/>
          <w:bCs/>
          <w:sz w:val="20"/>
          <w:szCs w:val="20"/>
        </w:rPr>
      </w:pPr>
      <w:r w:rsidRPr="00B424F5">
        <w:rPr>
          <w:rFonts w:ascii="Arial" w:hAnsi="Arial" w:cs="Arial"/>
          <w:b/>
          <w:bCs/>
          <w:sz w:val="20"/>
          <w:szCs w:val="20"/>
        </w:rPr>
        <w:t xml:space="preserve">3.2.2 Phosphorus </w:t>
      </w:r>
    </w:p>
    <w:p w14:paraId="55A4D757" w14:textId="77777777" w:rsidR="00E450B3" w:rsidRDefault="00E450B3" w:rsidP="00E450B3">
      <w:pPr>
        <w:spacing w:line="240" w:lineRule="auto"/>
        <w:jc w:val="both"/>
        <w:rPr>
          <w:rFonts w:ascii="Arial" w:hAnsi="Arial" w:cs="Arial"/>
          <w:sz w:val="20"/>
          <w:szCs w:val="20"/>
        </w:rPr>
      </w:pPr>
      <w:r w:rsidRPr="00B424F5">
        <w:rPr>
          <w:rFonts w:ascii="Arial" w:hAnsi="Arial" w:cs="Arial"/>
          <w:sz w:val="20"/>
          <w:szCs w:val="20"/>
        </w:rPr>
        <w:t xml:space="preserve">The phosphorus content of grain was assessed in the study to determine the effect of different treatments on phosphorus absorption and </w:t>
      </w:r>
      <w:proofErr w:type="spellStart"/>
      <w:r w:rsidRPr="00B424F5">
        <w:rPr>
          <w:rFonts w:ascii="Arial" w:hAnsi="Arial" w:cs="Arial"/>
          <w:sz w:val="20"/>
          <w:szCs w:val="20"/>
        </w:rPr>
        <w:t>buildup</w:t>
      </w:r>
      <w:proofErr w:type="spellEnd"/>
      <w:r w:rsidRPr="00B424F5">
        <w:rPr>
          <w:rFonts w:ascii="Arial" w:hAnsi="Arial" w:cs="Arial"/>
          <w:sz w:val="20"/>
          <w:szCs w:val="20"/>
        </w:rPr>
        <w:t>. The highest phosphorus content of (0.700%) was observed in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This treatment resulted in the maximum phosphorus accumulation in the grain. Similarly,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to the soil, exhibited a phosphorus content of (0.700%) in the grain. This value was statistically similar to the phosphorus content recorded in T</w:t>
      </w:r>
      <w:r w:rsidRPr="00B424F5">
        <w:rPr>
          <w:rFonts w:ascii="Arial" w:hAnsi="Arial" w:cs="Arial"/>
          <w:sz w:val="20"/>
          <w:szCs w:val="20"/>
          <w:vertAlign w:val="subscript"/>
        </w:rPr>
        <w:t xml:space="preserve">3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were applied through foliar application</w:t>
      </w:r>
      <w:r>
        <w:rPr>
          <w:rFonts w:ascii="Arial" w:hAnsi="Arial" w:cs="Arial"/>
          <w:sz w:val="20"/>
          <w:szCs w:val="20"/>
        </w:rPr>
        <w:t xml:space="preserve"> (Table 2, Fig. 4)</w:t>
      </w:r>
      <w:r w:rsidRPr="00B424F5">
        <w:rPr>
          <w:rFonts w:ascii="Arial" w:hAnsi="Arial" w:cs="Arial"/>
          <w:sz w:val="20"/>
          <w:szCs w:val="20"/>
        </w:rPr>
        <w:t>. These findings indicate that both foliar and soil applications of these treatments contributed to enhanced phosphorus uptake and subsequent accumulation in the grain.  Conversely, the T</w:t>
      </w:r>
      <w:r w:rsidRPr="00B424F5">
        <w:rPr>
          <w:rFonts w:ascii="Arial" w:hAnsi="Arial" w:cs="Arial"/>
          <w:sz w:val="20"/>
          <w:szCs w:val="20"/>
          <w:vertAlign w:val="subscript"/>
        </w:rPr>
        <w:t>0</w:t>
      </w:r>
      <w:r w:rsidRPr="00B424F5">
        <w:rPr>
          <w:rFonts w:ascii="Arial" w:hAnsi="Arial" w:cs="Arial"/>
          <w:sz w:val="20"/>
          <w:szCs w:val="20"/>
        </w:rPr>
        <w:t xml:space="preserve"> - control displayed the lowest phosphorus content in the grain, measuring (0.366%). This was followed by T</w:t>
      </w:r>
      <w:r w:rsidRPr="00B424F5">
        <w:rPr>
          <w:rFonts w:ascii="Arial" w:hAnsi="Arial" w:cs="Arial"/>
          <w:sz w:val="20"/>
          <w:szCs w:val="20"/>
          <w:vertAlign w:val="subscript"/>
        </w:rPr>
        <w:t>1</w:t>
      </w:r>
      <w:r w:rsidRPr="00B424F5">
        <w:rPr>
          <w:rFonts w:ascii="Arial" w:hAnsi="Arial" w:cs="Arial"/>
          <w:sz w:val="20"/>
          <w:szCs w:val="20"/>
        </w:rPr>
        <w:t>, which received 100% RDF application, resulting in a phosphorus content of (0.500%) in the grain. Based on the observed results, the trend of phosphorus content in the grain followed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sidRPr="00B424F5">
        <w:rPr>
          <w:rFonts w:ascii="Arial" w:hAnsi="Arial" w:cs="Arial"/>
          <w:sz w:val="20"/>
          <w:szCs w:val="20"/>
        </w:rPr>
        <w:t xml:space="preserve">. This suggests that the application of RDF, combined with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through foliar or soil application, positively influenced phosphorus uptake and accumulation in the grain.</w:t>
      </w:r>
    </w:p>
    <w:p w14:paraId="2FE617FF" w14:textId="77777777" w:rsidR="00E450B3" w:rsidRPr="001B7CC6" w:rsidRDefault="00E450B3" w:rsidP="00E450B3">
      <w:pPr>
        <w:pStyle w:val="NoSpacing"/>
        <w:jc w:val="center"/>
        <w:rPr>
          <w:rFonts w:ascii="Arial" w:hAnsi="Arial" w:cs="Arial"/>
          <w:b/>
          <w:sz w:val="20"/>
        </w:rPr>
      </w:pPr>
      <w:r w:rsidRPr="001B7CC6">
        <w:rPr>
          <w:rFonts w:ascii="Arial" w:hAnsi="Arial" w:cs="Arial"/>
          <w:b/>
          <w:noProof/>
          <w:sz w:val="20"/>
        </w:rPr>
        <w:drawing>
          <wp:inline distT="0" distB="0" distL="0" distR="0" wp14:anchorId="010952D1" wp14:editId="5DBACCB4">
            <wp:extent cx="4909625" cy="2419643"/>
            <wp:effectExtent l="0" t="0" r="5715" b="0"/>
            <wp:docPr id="1352241876" name="Chart 1">
              <a:extLst xmlns:a="http://schemas.openxmlformats.org/drawingml/2006/main">
                <a:ext uri="{FF2B5EF4-FFF2-40B4-BE49-F238E27FC236}">
                  <a16:creationId xmlns:a16="http://schemas.microsoft.com/office/drawing/2014/main" id="{3F562BCA-5A1A-1083-7A01-70767242D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360FD" w14:textId="77777777" w:rsidR="00E450B3" w:rsidRPr="001B7CC6" w:rsidRDefault="00E450B3" w:rsidP="00E450B3">
      <w:pPr>
        <w:pStyle w:val="NoSpacing"/>
        <w:jc w:val="center"/>
        <w:rPr>
          <w:rFonts w:ascii="Arial" w:hAnsi="Arial" w:cs="Arial"/>
          <w:b/>
          <w:sz w:val="20"/>
        </w:rPr>
      </w:pPr>
      <w:r w:rsidRPr="001B7CC6">
        <w:rPr>
          <w:rFonts w:ascii="Arial" w:hAnsi="Arial" w:cs="Arial"/>
          <w:b/>
          <w:sz w:val="20"/>
        </w:rPr>
        <w:t>Fig. 4</w:t>
      </w:r>
      <w:r>
        <w:rPr>
          <w:rFonts w:ascii="Arial" w:hAnsi="Arial" w:cs="Arial"/>
          <w:b/>
          <w:sz w:val="20"/>
        </w:rPr>
        <w:t>:</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Phosphorus content (%) of black gram.</w:t>
      </w:r>
    </w:p>
    <w:p w14:paraId="331C8B19" w14:textId="77777777" w:rsidR="00E450B3" w:rsidRDefault="00E450B3" w:rsidP="00E450B3">
      <w:pPr>
        <w:spacing w:after="0" w:line="240" w:lineRule="auto"/>
        <w:jc w:val="both"/>
        <w:rPr>
          <w:rFonts w:ascii="Arial" w:hAnsi="Arial" w:cs="Arial"/>
          <w:b/>
          <w:bCs/>
          <w:sz w:val="20"/>
          <w:szCs w:val="20"/>
        </w:rPr>
      </w:pPr>
    </w:p>
    <w:p w14:paraId="691118F8" w14:textId="77777777" w:rsidR="00E450B3" w:rsidRPr="00B424F5" w:rsidRDefault="00E450B3" w:rsidP="00E450B3">
      <w:pPr>
        <w:spacing w:after="0" w:line="240" w:lineRule="auto"/>
        <w:jc w:val="both"/>
        <w:rPr>
          <w:rFonts w:ascii="Arial" w:hAnsi="Arial" w:cs="Arial"/>
          <w:b/>
          <w:bCs/>
          <w:sz w:val="20"/>
          <w:szCs w:val="20"/>
        </w:rPr>
      </w:pPr>
      <w:r w:rsidRPr="00B424F5">
        <w:rPr>
          <w:rFonts w:ascii="Arial" w:hAnsi="Arial" w:cs="Arial"/>
          <w:b/>
          <w:bCs/>
          <w:sz w:val="20"/>
          <w:szCs w:val="20"/>
        </w:rPr>
        <w:t xml:space="preserve">3.2.3 Potassium </w:t>
      </w:r>
    </w:p>
    <w:p w14:paraId="4FF7C898" w14:textId="77777777" w:rsidR="00E450B3" w:rsidRDefault="00E450B3" w:rsidP="00E450B3">
      <w:pPr>
        <w:spacing w:after="0" w:line="240" w:lineRule="auto"/>
        <w:jc w:val="both"/>
        <w:rPr>
          <w:rFonts w:ascii="Arial" w:hAnsi="Arial" w:cs="Arial"/>
          <w:sz w:val="20"/>
          <w:szCs w:val="20"/>
        </w:rPr>
      </w:pPr>
      <w:r w:rsidRPr="00B424F5">
        <w:rPr>
          <w:rFonts w:ascii="Arial" w:hAnsi="Arial" w:cs="Arial"/>
          <w:sz w:val="20"/>
          <w:szCs w:val="20"/>
        </w:rPr>
        <w:t>The maximum potassium content in grain (2.67%) was observed under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(Foliar applied) which was statistically similar to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(Soil applied) having potassium content is (2.65%). The minimum potassium content (1.52%) was observed under T</w:t>
      </w:r>
      <w:r w:rsidRPr="00B424F5">
        <w:rPr>
          <w:rFonts w:ascii="Arial" w:hAnsi="Arial" w:cs="Arial"/>
          <w:sz w:val="20"/>
          <w:szCs w:val="20"/>
          <w:vertAlign w:val="subscript"/>
        </w:rPr>
        <w:t>0</w:t>
      </w:r>
      <w:r w:rsidRPr="00B424F5">
        <w:rPr>
          <w:rFonts w:ascii="Arial" w:hAnsi="Arial" w:cs="Arial"/>
          <w:sz w:val="20"/>
          <w:szCs w:val="20"/>
        </w:rPr>
        <w:t xml:space="preserve"> - (Control) which was followed by T</w:t>
      </w:r>
      <w:r w:rsidRPr="00B424F5">
        <w:rPr>
          <w:rFonts w:ascii="Arial" w:hAnsi="Arial" w:cs="Arial"/>
          <w:sz w:val="20"/>
          <w:szCs w:val="20"/>
          <w:vertAlign w:val="subscript"/>
        </w:rPr>
        <w:t>1</w:t>
      </w:r>
      <w:r w:rsidRPr="00B424F5">
        <w:rPr>
          <w:rFonts w:ascii="Arial" w:hAnsi="Arial" w:cs="Arial"/>
          <w:sz w:val="20"/>
          <w:szCs w:val="20"/>
        </w:rPr>
        <w:t xml:space="preserve"> - (100% RDF) (1.80%). The trend follows as T</w:t>
      </w:r>
      <w:r w:rsidRPr="00B424F5">
        <w:rPr>
          <w:rFonts w:ascii="Arial" w:hAnsi="Arial" w:cs="Arial"/>
          <w:sz w:val="20"/>
          <w:szCs w:val="20"/>
          <w:vertAlign w:val="subscript"/>
        </w:rPr>
        <w:t>7</w:t>
      </w:r>
      <w:r w:rsidRPr="00B424F5">
        <w:rPr>
          <w:rFonts w:ascii="Arial" w:hAnsi="Arial" w:cs="Arial"/>
          <w:sz w:val="20"/>
          <w:szCs w:val="20"/>
        </w:rPr>
        <w:t>&gt;T</w:t>
      </w:r>
      <w:r w:rsidRPr="00B424F5">
        <w:rPr>
          <w:rFonts w:ascii="Arial" w:hAnsi="Arial" w:cs="Arial"/>
          <w:sz w:val="20"/>
          <w:szCs w:val="20"/>
          <w:vertAlign w:val="subscript"/>
        </w:rPr>
        <w:t>6</w:t>
      </w:r>
      <w:r w:rsidRPr="00B424F5">
        <w:rPr>
          <w:rFonts w:ascii="Arial" w:hAnsi="Arial" w:cs="Arial"/>
          <w:sz w:val="20"/>
          <w:szCs w:val="20"/>
        </w:rPr>
        <w:t>&gt;T</w:t>
      </w:r>
      <w:r w:rsidRPr="00B424F5">
        <w:rPr>
          <w:rFonts w:ascii="Arial" w:hAnsi="Arial" w:cs="Arial"/>
          <w:sz w:val="20"/>
          <w:szCs w:val="20"/>
          <w:vertAlign w:val="subscript"/>
        </w:rPr>
        <w:t>3</w:t>
      </w:r>
      <w:r w:rsidRPr="00B424F5">
        <w:rPr>
          <w:rFonts w:ascii="Arial" w:hAnsi="Arial" w:cs="Arial"/>
          <w:sz w:val="20"/>
          <w:szCs w:val="20"/>
        </w:rPr>
        <w:t>&gt;T</w:t>
      </w:r>
      <w:r w:rsidRPr="00B424F5">
        <w:rPr>
          <w:rFonts w:ascii="Arial" w:hAnsi="Arial" w:cs="Arial"/>
          <w:sz w:val="20"/>
          <w:szCs w:val="20"/>
          <w:vertAlign w:val="subscript"/>
        </w:rPr>
        <w:t>5</w:t>
      </w:r>
      <w:r w:rsidRPr="00B424F5">
        <w:rPr>
          <w:rFonts w:ascii="Arial" w:hAnsi="Arial" w:cs="Arial"/>
          <w:sz w:val="20"/>
          <w:szCs w:val="20"/>
        </w:rPr>
        <w:t>&gt;T</w:t>
      </w:r>
      <w:r w:rsidRPr="00B424F5">
        <w:rPr>
          <w:rFonts w:ascii="Arial" w:hAnsi="Arial" w:cs="Arial"/>
          <w:sz w:val="20"/>
          <w:szCs w:val="20"/>
          <w:vertAlign w:val="subscript"/>
        </w:rPr>
        <w:t>2</w:t>
      </w:r>
      <w:r w:rsidRPr="00B424F5">
        <w:rPr>
          <w:rFonts w:ascii="Arial" w:hAnsi="Arial" w:cs="Arial"/>
          <w:sz w:val="20"/>
          <w:szCs w:val="20"/>
        </w:rPr>
        <w:t>&gt;T</w:t>
      </w:r>
      <w:r w:rsidRPr="00B424F5">
        <w:rPr>
          <w:rFonts w:ascii="Arial" w:hAnsi="Arial" w:cs="Arial"/>
          <w:sz w:val="20"/>
          <w:szCs w:val="20"/>
          <w:vertAlign w:val="subscript"/>
        </w:rPr>
        <w:t>4</w:t>
      </w:r>
      <w:r w:rsidRPr="00B424F5">
        <w:rPr>
          <w:rFonts w:ascii="Arial" w:hAnsi="Arial" w:cs="Arial"/>
          <w:sz w:val="20"/>
          <w:szCs w:val="20"/>
        </w:rPr>
        <w:t>&gt;T</w:t>
      </w:r>
      <w:r w:rsidRPr="00B424F5">
        <w:rPr>
          <w:rFonts w:ascii="Arial" w:hAnsi="Arial" w:cs="Arial"/>
          <w:sz w:val="20"/>
          <w:szCs w:val="20"/>
          <w:vertAlign w:val="subscript"/>
        </w:rPr>
        <w:t>1</w:t>
      </w:r>
      <w:r w:rsidRPr="00B424F5">
        <w:rPr>
          <w:rFonts w:ascii="Arial" w:hAnsi="Arial" w:cs="Arial"/>
          <w:sz w:val="20"/>
          <w:szCs w:val="20"/>
        </w:rPr>
        <w:t>&gt;T</w:t>
      </w:r>
      <w:r w:rsidRPr="00B424F5">
        <w:rPr>
          <w:rFonts w:ascii="Arial" w:hAnsi="Arial" w:cs="Arial"/>
          <w:sz w:val="20"/>
          <w:szCs w:val="20"/>
          <w:vertAlign w:val="subscript"/>
        </w:rPr>
        <w:t>0</w:t>
      </w:r>
      <w:r>
        <w:rPr>
          <w:rFonts w:ascii="Arial" w:hAnsi="Arial" w:cs="Arial"/>
          <w:sz w:val="20"/>
          <w:szCs w:val="20"/>
          <w:vertAlign w:val="subscript"/>
        </w:rPr>
        <w:t xml:space="preserve"> </w:t>
      </w:r>
      <w:r>
        <w:rPr>
          <w:rFonts w:ascii="Arial" w:hAnsi="Arial" w:cs="Arial"/>
          <w:sz w:val="20"/>
          <w:szCs w:val="20"/>
        </w:rPr>
        <w:t>(Table 2, Fig. 5)</w:t>
      </w:r>
      <w:r w:rsidRPr="00B424F5">
        <w:rPr>
          <w:rFonts w:ascii="Arial" w:hAnsi="Arial" w:cs="Arial"/>
          <w:sz w:val="20"/>
          <w:szCs w:val="20"/>
        </w:rPr>
        <w:t>.</w:t>
      </w:r>
      <w:bookmarkEnd w:id="8"/>
      <w:r w:rsidRPr="00B424F5">
        <w:rPr>
          <w:rFonts w:ascii="Arial" w:hAnsi="Arial" w:cs="Arial"/>
          <w:sz w:val="20"/>
          <w:szCs w:val="20"/>
        </w:rPr>
        <w:t xml:space="preserve">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which enhance the formation of proteins and organic nitrogen molecules in plants, may be responsible for the rise in N, P, and K content. The combination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with (RDF) enhances nutrient absorption, resulting in increased nitrogen, phosphorus, and potassium (NPK) uptake. This results in enhanced vegetative growth, physiological activity, and metabolic processes.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also stimulate the development of lateral roots and increase the number of secondary roots, improving nutrient availability for the plant. Moreover,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enhances nutrient absorption by promoting soil microbiological activity. It serves as a supply of nitrogen, phosphorus, potassium, and sulphur, providing natural and supplemented nutrients to the crop. Overall, the use of </w:t>
      </w:r>
      <w:proofErr w:type="spellStart"/>
      <w:r w:rsidRPr="00B424F5">
        <w:rPr>
          <w:rFonts w:ascii="Arial" w:hAnsi="Arial" w:cs="Arial"/>
          <w:sz w:val="20"/>
          <w:szCs w:val="20"/>
        </w:rPr>
        <w:lastRenderedPageBreak/>
        <w:t>humic</w:t>
      </w:r>
      <w:proofErr w:type="spellEnd"/>
      <w:r w:rsidRPr="00B424F5">
        <w:rPr>
          <w:rFonts w:ascii="Arial" w:hAnsi="Arial" w:cs="Arial"/>
          <w:sz w:val="20"/>
          <w:szCs w:val="20"/>
        </w:rPr>
        <w:t xml:space="preserve"> acid improves nutrient supply and leads to increased nutrient uptake, ultimately enhancing crop growth and development. </w:t>
      </w:r>
    </w:p>
    <w:p w14:paraId="6FD75BA3" w14:textId="77777777" w:rsidR="00E450B3" w:rsidRDefault="00E450B3" w:rsidP="00E450B3">
      <w:pPr>
        <w:spacing w:after="0" w:line="240" w:lineRule="auto"/>
        <w:jc w:val="both"/>
        <w:rPr>
          <w:rFonts w:ascii="Arial" w:hAnsi="Arial" w:cs="Arial"/>
          <w:sz w:val="20"/>
          <w:szCs w:val="20"/>
        </w:rPr>
      </w:pPr>
    </w:p>
    <w:p w14:paraId="33E3760D" w14:textId="77777777" w:rsidR="00E450B3" w:rsidRPr="001B7CC6" w:rsidRDefault="00E450B3" w:rsidP="00E450B3">
      <w:pPr>
        <w:pStyle w:val="NoSpacing"/>
        <w:jc w:val="center"/>
        <w:rPr>
          <w:rFonts w:ascii="Arial" w:hAnsi="Arial" w:cs="Arial"/>
          <w:b/>
          <w:sz w:val="20"/>
        </w:rPr>
      </w:pPr>
      <w:r w:rsidRPr="001B7CC6">
        <w:rPr>
          <w:rFonts w:ascii="Arial" w:hAnsi="Arial" w:cs="Arial"/>
          <w:b/>
          <w:noProof/>
          <w:sz w:val="20"/>
        </w:rPr>
        <w:drawing>
          <wp:inline distT="0" distB="0" distL="0" distR="0" wp14:anchorId="15A8D136" wp14:editId="086EB699">
            <wp:extent cx="4916658" cy="2511083"/>
            <wp:effectExtent l="0" t="0" r="17780" b="3810"/>
            <wp:docPr id="127884496" name="Chart 1">
              <a:extLst xmlns:a="http://schemas.openxmlformats.org/drawingml/2006/main">
                <a:ext uri="{FF2B5EF4-FFF2-40B4-BE49-F238E27FC236}">
                  <a16:creationId xmlns:a16="http://schemas.microsoft.com/office/drawing/2014/main" id="{CEED4D2E-D610-390D-6A7F-CA6C10D5C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3491B0" w14:textId="77777777" w:rsidR="00E450B3" w:rsidRPr="001B7CC6" w:rsidRDefault="00E450B3" w:rsidP="00E450B3">
      <w:pPr>
        <w:pStyle w:val="NoSpacing"/>
        <w:jc w:val="center"/>
        <w:rPr>
          <w:rFonts w:ascii="Arial" w:hAnsi="Arial" w:cs="Arial"/>
          <w:b/>
          <w:sz w:val="20"/>
        </w:rPr>
      </w:pPr>
      <w:r w:rsidRPr="001B7CC6">
        <w:rPr>
          <w:rFonts w:ascii="Arial" w:hAnsi="Arial" w:cs="Arial"/>
          <w:b/>
          <w:sz w:val="20"/>
        </w:rPr>
        <w:t xml:space="preserve">Fig. </w:t>
      </w:r>
      <w:r>
        <w:rPr>
          <w:rFonts w:ascii="Arial" w:hAnsi="Arial" w:cs="Arial"/>
          <w:b/>
          <w:sz w:val="20"/>
        </w:rPr>
        <w:t>5:</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Potassium content (%) of black gram</w:t>
      </w:r>
    </w:p>
    <w:p w14:paraId="53C5D2EB" w14:textId="77777777" w:rsidR="00E450B3" w:rsidRPr="00B424F5" w:rsidRDefault="00E450B3" w:rsidP="00E450B3">
      <w:pPr>
        <w:spacing w:after="0" w:line="240" w:lineRule="auto"/>
        <w:jc w:val="both"/>
        <w:rPr>
          <w:rFonts w:ascii="Arial" w:hAnsi="Arial" w:cs="Arial"/>
          <w:sz w:val="20"/>
          <w:szCs w:val="20"/>
        </w:rPr>
      </w:pPr>
    </w:p>
    <w:p w14:paraId="6739743C" w14:textId="6F5E7526" w:rsidR="00E450B3" w:rsidRDefault="00E450B3" w:rsidP="00E450B3">
      <w:pPr>
        <w:spacing w:after="0" w:line="240" w:lineRule="auto"/>
        <w:ind w:firstLine="720"/>
        <w:jc w:val="both"/>
        <w:rPr>
          <w:rFonts w:ascii="Arial" w:hAnsi="Arial" w:cs="Arial"/>
          <w:sz w:val="20"/>
          <w:szCs w:val="20"/>
        </w:rPr>
      </w:pPr>
      <w:r w:rsidRPr="00B424F5">
        <w:rPr>
          <w:rFonts w:ascii="Arial" w:hAnsi="Arial" w:cs="Arial"/>
          <w:sz w:val="20"/>
          <w:szCs w:val="20"/>
        </w:rPr>
        <w:t xml:space="preserve">The increase in protein content of black gram seeds attribute to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from farmyard manure (FYM), which contains nitrogen and </w:t>
      </w:r>
      <w:proofErr w:type="spellStart"/>
      <w:r w:rsidRPr="00B424F5">
        <w:rPr>
          <w:rFonts w:ascii="Arial" w:hAnsi="Arial" w:cs="Arial"/>
          <w:sz w:val="20"/>
          <w:szCs w:val="20"/>
        </w:rPr>
        <w:t>sulfur</w:t>
      </w:r>
      <w:proofErr w:type="spellEnd"/>
      <w:r w:rsidRPr="00B424F5">
        <w:rPr>
          <w:rFonts w:ascii="Arial" w:hAnsi="Arial" w:cs="Arial"/>
          <w:sz w:val="20"/>
          <w:szCs w:val="20"/>
        </w:rPr>
        <w:t xml:space="preserve">. Nitrogen is necessary for protein synthesis because it is involved in the formation of amino acids and plant hormones, both of which are building blocks for proteins. Studies conducted by Rajesh </w:t>
      </w:r>
      <w:r w:rsidRPr="00B424F5">
        <w:rPr>
          <w:rFonts w:ascii="Arial" w:hAnsi="Arial" w:cs="Arial"/>
          <w:i/>
          <w:iCs/>
          <w:sz w:val="20"/>
          <w:szCs w:val="20"/>
        </w:rPr>
        <w:t>et al.,</w:t>
      </w:r>
      <w:r w:rsidRPr="00B424F5">
        <w:rPr>
          <w:rFonts w:ascii="Arial" w:hAnsi="Arial" w:cs="Arial"/>
          <w:sz w:val="20"/>
          <w:szCs w:val="20"/>
        </w:rPr>
        <w:t xml:space="preserve"> (2014) in green gram</w:t>
      </w:r>
      <w:r w:rsidR="00AD147C">
        <w:rPr>
          <w:rFonts w:ascii="Arial" w:hAnsi="Arial" w:cs="Arial"/>
          <w:sz w:val="20"/>
          <w:szCs w:val="20"/>
        </w:rPr>
        <w:t xml:space="preserve"> </w:t>
      </w:r>
      <w:r w:rsidRPr="00B424F5">
        <w:rPr>
          <w:rFonts w:ascii="Arial" w:hAnsi="Arial" w:cs="Arial"/>
          <w:sz w:val="20"/>
          <w:szCs w:val="20"/>
        </w:rPr>
        <w:t xml:space="preserve">and Chaitra (2018) in groundnut crops have shown that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from vermicompost, combined with a foliar spray at a rate of 20 kg ha</w:t>
      </w:r>
      <w:r w:rsidRPr="00B424F5">
        <w:rPr>
          <w:rFonts w:ascii="Arial" w:hAnsi="Arial" w:cs="Arial"/>
          <w:sz w:val="20"/>
          <w:szCs w:val="20"/>
          <w:vertAlign w:val="superscript"/>
        </w:rPr>
        <w:t>-1</w:t>
      </w:r>
      <w:r w:rsidRPr="00B424F5">
        <w:rPr>
          <w:rFonts w:ascii="Arial" w:hAnsi="Arial" w:cs="Arial"/>
          <w:sz w:val="20"/>
          <w:szCs w:val="20"/>
        </w:rPr>
        <w:t xml:space="preserve"> with a 0.2% concentration, resulted in increased protein content in kernels. The improved uptake of nutrients by the crop can be attributed to the stimulatory effect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substances on microbial activity in the soil.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acts as a good source of nitrogen, phosphorus, potassium, and sulphur, thereby increasing the availability of these nutrients to the crop. The increase in nitrogen content in response to the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application may be due to its stimulatory effect on microorganisms capable of enhancing urease enzyme activity, leading to increased nitrogen availability in the soil and subsequent uptake by the crop. The foliar application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and salicylic acid (SA) in mature green gram seeds resulted in higher amounts of sugar and starch. This can be attributed to enhanced carbon dioxide fixation, increased activity of carbohydrate-synthesizing enzymes, and efficient allocation of dry matter to reproductive sinks. These findings are consistent with previous studies by Sivakumar </w:t>
      </w:r>
      <w:r w:rsidRPr="00B424F5">
        <w:rPr>
          <w:rFonts w:ascii="Arial" w:hAnsi="Arial" w:cs="Arial"/>
          <w:i/>
          <w:iCs/>
          <w:sz w:val="20"/>
          <w:szCs w:val="20"/>
        </w:rPr>
        <w:t>et al.,</w:t>
      </w:r>
      <w:r w:rsidRPr="00B424F5">
        <w:rPr>
          <w:rFonts w:ascii="Arial" w:hAnsi="Arial" w:cs="Arial"/>
          <w:sz w:val="20"/>
          <w:szCs w:val="20"/>
        </w:rPr>
        <w:t xml:space="preserve"> (2002) on pearl millet, which also showed positive effects of foliar application of plant growth </w:t>
      </w:r>
      <w:proofErr w:type="spellStart"/>
      <w:r w:rsidRPr="00B424F5">
        <w:rPr>
          <w:rFonts w:ascii="Arial" w:hAnsi="Arial" w:cs="Arial"/>
          <w:sz w:val="20"/>
          <w:szCs w:val="20"/>
        </w:rPr>
        <w:t>regulatorsThe</w:t>
      </w:r>
      <w:proofErr w:type="spellEnd"/>
      <w:r w:rsidRPr="00B424F5">
        <w:rPr>
          <w:rFonts w:ascii="Arial" w:hAnsi="Arial" w:cs="Arial"/>
          <w:sz w:val="20"/>
          <w:szCs w:val="20"/>
        </w:rPr>
        <w:t xml:space="preserve"> higher protein content in green gram seeds may be attributed to the increased uptake and mobilization of minerals for enzyme activity involved in the biosynthesis of major amino acids, which are crucial for protein synthesis. This supports the notion that enhancing protein content in seeds is strongly influenced by mineral uptake and enzyme activity, as noted by Poole </w:t>
      </w:r>
      <w:r w:rsidRPr="00B424F5">
        <w:rPr>
          <w:rFonts w:ascii="Arial" w:hAnsi="Arial" w:cs="Arial"/>
          <w:i/>
          <w:iCs/>
          <w:sz w:val="20"/>
          <w:szCs w:val="20"/>
        </w:rPr>
        <w:t>et al.,</w:t>
      </w:r>
      <w:r w:rsidRPr="00B424F5">
        <w:rPr>
          <w:rFonts w:ascii="Arial" w:hAnsi="Arial" w:cs="Arial"/>
          <w:sz w:val="20"/>
          <w:szCs w:val="20"/>
        </w:rPr>
        <w:t xml:space="preserve"> (1983). </w:t>
      </w:r>
    </w:p>
    <w:p w14:paraId="222D0D19" w14:textId="77777777" w:rsidR="00E450B3" w:rsidRDefault="00E450B3" w:rsidP="00E450B3">
      <w:pPr>
        <w:spacing w:after="0" w:line="240" w:lineRule="auto"/>
        <w:jc w:val="both"/>
        <w:rPr>
          <w:rFonts w:ascii="Arial" w:hAnsi="Arial" w:cs="Arial"/>
          <w:sz w:val="20"/>
          <w:szCs w:val="20"/>
        </w:rPr>
      </w:pPr>
    </w:p>
    <w:p w14:paraId="355C2FC1" w14:textId="77777777" w:rsidR="00E450B3"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b/>
          <w:bCs/>
          <w:sz w:val="20"/>
          <w:szCs w:val="20"/>
        </w:rPr>
        <w:t xml:space="preserve">3.3 </w:t>
      </w:r>
      <w:r w:rsidR="006A4FD5" w:rsidRPr="00B424F5">
        <w:rPr>
          <w:rFonts w:ascii="Arial" w:hAnsi="Arial" w:cs="Arial"/>
          <w:b/>
          <w:bCs/>
          <w:sz w:val="20"/>
          <w:szCs w:val="20"/>
        </w:rPr>
        <w:t xml:space="preserve">Effect of </w:t>
      </w:r>
      <w:proofErr w:type="spellStart"/>
      <w:r w:rsidR="006A4FD5" w:rsidRPr="00B424F5">
        <w:rPr>
          <w:rFonts w:ascii="Arial" w:hAnsi="Arial" w:cs="Arial"/>
          <w:b/>
          <w:bCs/>
          <w:sz w:val="20"/>
          <w:szCs w:val="20"/>
        </w:rPr>
        <w:t>Humic</w:t>
      </w:r>
      <w:proofErr w:type="spellEnd"/>
      <w:r w:rsidR="006A4FD5" w:rsidRPr="00B424F5">
        <w:rPr>
          <w:rFonts w:ascii="Arial" w:hAnsi="Arial" w:cs="Arial"/>
          <w:b/>
          <w:bCs/>
          <w:sz w:val="20"/>
          <w:szCs w:val="20"/>
        </w:rPr>
        <w:t xml:space="preserve"> acid and </w:t>
      </w:r>
      <w:proofErr w:type="spellStart"/>
      <w:r w:rsidR="006A4FD5" w:rsidRPr="00B424F5">
        <w:rPr>
          <w:rFonts w:ascii="Arial" w:hAnsi="Arial" w:cs="Arial"/>
          <w:b/>
          <w:bCs/>
          <w:sz w:val="20"/>
          <w:szCs w:val="20"/>
        </w:rPr>
        <w:t>Brassinolide</w:t>
      </w:r>
      <w:proofErr w:type="spellEnd"/>
      <w:r w:rsidR="006A4FD5" w:rsidRPr="00B424F5">
        <w:rPr>
          <w:rFonts w:ascii="Arial" w:hAnsi="Arial" w:cs="Arial"/>
          <w:b/>
          <w:bCs/>
          <w:sz w:val="20"/>
          <w:szCs w:val="20"/>
        </w:rPr>
        <w:t xml:space="preserve"> on </w:t>
      </w:r>
      <w:r w:rsidRPr="00B424F5">
        <w:rPr>
          <w:rFonts w:ascii="Arial" w:hAnsi="Arial" w:cs="Arial"/>
          <w:b/>
          <w:bCs/>
          <w:sz w:val="20"/>
          <w:szCs w:val="20"/>
        </w:rPr>
        <w:t>Grain N, P, K uptake</w:t>
      </w:r>
      <w:r w:rsidR="006A4FD5">
        <w:rPr>
          <w:rFonts w:ascii="Arial" w:hAnsi="Arial" w:cs="Arial"/>
          <w:b/>
          <w:bCs/>
          <w:sz w:val="20"/>
          <w:szCs w:val="20"/>
        </w:rPr>
        <w:t xml:space="preserve"> of black gram</w:t>
      </w:r>
    </w:p>
    <w:p w14:paraId="2CA0D761" w14:textId="77777777" w:rsidR="00E450B3" w:rsidRPr="00B424F5"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sz w:val="20"/>
          <w:szCs w:val="20"/>
        </w:rPr>
        <w:t>The data presented in Table 3 and Fig</w:t>
      </w:r>
      <w:r>
        <w:rPr>
          <w:rFonts w:ascii="Arial" w:hAnsi="Arial" w:cs="Arial"/>
          <w:sz w:val="20"/>
          <w:szCs w:val="20"/>
        </w:rPr>
        <w:t>. 6</w:t>
      </w:r>
      <w:r w:rsidRPr="00B424F5">
        <w:rPr>
          <w:rFonts w:ascii="Arial" w:hAnsi="Arial" w:cs="Arial"/>
          <w:sz w:val="20"/>
          <w:szCs w:val="20"/>
        </w:rPr>
        <w:t>,</w:t>
      </w:r>
      <w:r w:rsidRPr="00E450B3">
        <w:rPr>
          <w:rFonts w:ascii="Arial" w:hAnsi="Arial" w:cs="Arial"/>
          <w:sz w:val="20"/>
          <w:szCs w:val="20"/>
        </w:rPr>
        <w:t xml:space="preserve"> </w:t>
      </w:r>
      <w:r w:rsidRPr="00B424F5">
        <w:rPr>
          <w:rFonts w:ascii="Arial" w:hAnsi="Arial" w:cs="Arial"/>
          <w:sz w:val="20"/>
          <w:szCs w:val="20"/>
        </w:rPr>
        <w:t>Fig</w:t>
      </w:r>
      <w:r>
        <w:rPr>
          <w:rFonts w:ascii="Arial" w:hAnsi="Arial" w:cs="Arial"/>
          <w:sz w:val="20"/>
          <w:szCs w:val="20"/>
        </w:rPr>
        <w:t>. 7</w:t>
      </w:r>
      <w:r w:rsidRPr="00B424F5">
        <w:rPr>
          <w:rFonts w:ascii="Arial" w:hAnsi="Arial" w:cs="Arial"/>
          <w:sz w:val="20"/>
          <w:szCs w:val="20"/>
        </w:rPr>
        <w:t xml:space="preserve"> </w:t>
      </w:r>
      <w:r>
        <w:rPr>
          <w:rFonts w:ascii="Arial" w:hAnsi="Arial" w:cs="Arial"/>
          <w:sz w:val="20"/>
          <w:szCs w:val="20"/>
        </w:rPr>
        <w:t xml:space="preserve">and </w:t>
      </w:r>
      <w:r w:rsidRPr="00B424F5">
        <w:rPr>
          <w:rFonts w:ascii="Arial" w:hAnsi="Arial" w:cs="Arial"/>
          <w:sz w:val="20"/>
          <w:szCs w:val="20"/>
        </w:rPr>
        <w:t>Fig</w:t>
      </w:r>
      <w:r>
        <w:rPr>
          <w:rFonts w:ascii="Arial" w:hAnsi="Arial" w:cs="Arial"/>
          <w:sz w:val="20"/>
          <w:szCs w:val="20"/>
        </w:rPr>
        <w:t>. 8</w:t>
      </w:r>
      <w:r w:rsidRPr="00B424F5">
        <w:rPr>
          <w:rFonts w:ascii="Arial" w:hAnsi="Arial" w:cs="Arial"/>
          <w:sz w:val="20"/>
          <w:szCs w:val="20"/>
        </w:rPr>
        <w:t xml:space="preserve"> provides clear evidence that the various treatments employed in the study had a significant positive effect on the content of nitrogen (N), phosphorus (P), and potassium (K) uptake by grain. </w:t>
      </w:r>
    </w:p>
    <w:p w14:paraId="31737D08" w14:textId="77777777" w:rsidR="00E450B3" w:rsidRDefault="00E450B3" w:rsidP="00E450B3">
      <w:pPr>
        <w:tabs>
          <w:tab w:val="left" w:pos="5430"/>
        </w:tabs>
        <w:spacing w:before="240" w:after="240" w:line="240" w:lineRule="auto"/>
        <w:jc w:val="both"/>
        <w:rPr>
          <w:rFonts w:ascii="Arial" w:hAnsi="Arial" w:cs="Arial"/>
          <w:b/>
          <w:bCs/>
          <w:sz w:val="20"/>
          <w:szCs w:val="20"/>
        </w:rPr>
      </w:pPr>
      <w:bookmarkStart w:id="9" w:name="_Hlk138006375"/>
      <w:bookmarkStart w:id="10" w:name="_Hlk138011633"/>
      <w:r w:rsidRPr="00B424F5">
        <w:rPr>
          <w:rFonts w:ascii="Arial" w:hAnsi="Arial" w:cs="Arial"/>
          <w:b/>
          <w:bCs/>
          <w:sz w:val="20"/>
          <w:szCs w:val="20"/>
        </w:rPr>
        <w:t>3.3.1 Nitrogen Uptake by grain</w:t>
      </w:r>
      <w:bookmarkEnd w:id="9"/>
    </w:p>
    <w:p w14:paraId="369058C0" w14:textId="77777777" w:rsidR="00E450B3" w:rsidRDefault="00E450B3" w:rsidP="00E450B3">
      <w:pPr>
        <w:tabs>
          <w:tab w:val="left" w:pos="5430"/>
        </w:tabs>
        <w:spacing w:before="240" w:after="240" w:line="240" w:lineRule="auto"/>
        <w:jc w:val="both"/>
        <w:rPr>
          <w:rFonts w:ascii="Arial" w:hAnsi="Arial" w:cs="Arial"/>
          <w:sz w:val="20"/>
          <w:szCs w:val="20"/>
        </w:rPr>
      </w:pPr>
      <w:r w:rsidRPr="00B424F5">
        <w:rPr>
          <w:rFonts w:ascii="Arial" w:hAnsi="Arial" w:cs="Arial"/>
          <w:sz w:val="20"/>
          <w:szCs w:val="20"/>
        </w:rPr>
        <w:t>The nitrogen uptake by grain was evaluated across different treatments to assess their impact on crop growth and nutrient uptake. Among the treatments, T</w:t>
      </w:r>
      <w:r w:rsidRPr="00B424F5">
        <w:rPr>
          <w:rFonts w:ascii="Arial" w:hAnsi="Arial" w:cs="Arial"/>
          <w:sz w:val="20"/>
          <w:szCs w:val="20"/>
          <w:vertAlign w:val="subscript"/>
        </w:rPr>
        <w:t>7</w:t>
      </w:r>
      <w:r w:rsidRPr="00B424F5">
        <w:rPr>
          <w:rFonts w:ascii="Arial" w:hAnsi="Arial" w:cs="Arial"/>
          <w:sz w:val="20"/>
          <w:szCs w:val="20"/>
        </w:rPr>
        <w:t xml:space="preserve"> -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the foliar application) exhibited the highest nitrogen uptake in the grain, recording an impressive value of (33.46%). This result was found to be comparable to the nitrogen uptake observed in T</w:t>
      </w:r>
      <w:proofErr w:type="gramStart"/>
      <w:r w:rsidRPr="00B424F5">
        <w:rPr>
          <w:rFonts w:ascii="Arial" w:hAnsi="Arial" w:cs="Arial"/>
          <w:sz w:val="20"/>
          <w:szCs w:val="20"/>
          <w:vertAlign w:val="subscript"/>
        </w:rPr>
        <w:t xml:space="preserve">6  </w:t>
      </w:r>
      <w:r w:rsidRPr="00B424F5">
        <w:rPr>
          <w:rFonts w:ascii="Arial" w:hAnsi="Arial" w:cs="Arial"/>
          <w:sz w:val="20"/>
          <w:szCs w:val="20"/>
        </w:rPr>
        <w:t>-</w:t>
      </w:r>
      <w:proofErr w:type="gramEnd"/>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 ppm through soil application), which demonstrated a nitrogen uptake of (30.26%) in the grain</w:t>
      </w:r>
      <w:r>
        <w:rPr>
          <w:rFonts w:ascii="Arial" w:hAnsi="Arial" w:cs="Arial"/>
          <w:sz w:val="20"/>
          <w:szCs w:val="20"/>
        </w:rPr>
        <w:t xml:space="preserve"> (Table 3, Fig. 6)</w:t>
      </w:r>
      <w:r w:rsidRPr="00B424F5">
        <w:rPr>
          <w:rFonts w:ascii="Arial" w:hAnsi="Arial" w:cs="Arial"/>
          <w:sz w:val="20"/>
          <w:szCs w:val="20"/>
        </w:rPr>
        <w:t>. Conversely, the control treatment (T0) showed the lowest nitrogen uptake in the grain, with a value of (14.63%). This was followed by T</w:t>
      </w:r>
      <w:r w:rsidRPr="00B424F5">
        <w:rPr>
          <w:rFonts w:ascii="Arial" w:hAnsi="Arial" w:cs="Arial"/>
          <w:sz w:val="20"/>
          <w:szCs w:val="20"/>
          <w:vertAlign w:val="subscript"/>
        </w:rPr>
        <w:t>1</w:t>
      </w:r>
      <w:r w:rsidRPr="00B424F5">
        <w:rPr>
          <w:rFonts w:ascii="Arial" w:hAnsi="Arial" w:cs="Arial"/>
          <w:sz w:val="20"/>
          <w:szCs w:val="20"/>
        </w:rPr>
        <w:t xml:space="preserve">, where 100% RDF was applied, resulting in a nitrogen uptake of (22.73%) in the grain. These findings underscore the </w:t>
      </w:r>
      <w:r w:rsidRPr="00B424F5">
        <w:rPr>
          <w:rFonts w:ascii="Arial" w:hAnsi="Arial" w:cs="Arial"/>
          <w:sz w:val="20"/>
          <w:szCs w:val="20"/>
        </w:rPr>
        <w:lastRenderedPageBreak/>
        <w:t xml:space="preserve">importance of incorporating specific treatments, such as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to enhance nitrogen uptake in grain crops.</w:t>
      </w:r>
      <w:bookmarkStart w:id="11" w:name="_Hlk138006728"/>
    </w:p>
    <w:p w14:paraId="5AA9841B" w14:textId="77777777" w:rsidR="00E450B3" w:rsidRDefault="00E450B3" w:rsidP="00E450B3">
      <w:pPr>
        <w:pStyle w:val="NoSpacing"/>
        <w:jc w:val="center"/>
        <w:rPr>
          <w:rFonts w:ascii="Arial" w:hAnsi="Arial" w:cs="Arial"/>
          <w:b/>
          <w:sz w:val="20"/>
          <w:szCs w:val="20"/>
        </w:rPr>
      </w:pPr>
      <w:r w:rsidRPr="00BE5A83">
        <w:rPr>
          <w:b/>
          <w:noProof/>
        </w:rPr>
        <w:drawing>
          <wp:inline distT="0" distB="0" distL="0" distR="0" wp14:anchorId="6DBD4586" wp14:editId="112112C7">
            <wp:extent cx="5099538" cy="2574388"/>
            <wp:effectExtent l="0" t="0" r="6350" b="16510"/>
            <wp:docPr id="783110364" name="Chart 1">
              <a:extLst xmlns:a="http://schemas.openxmlformats.org/drawingml/2006/main">
                <a:ext uri="{FF2B5EF4-FFF2-40B4-BE49-F238E27FC236}">
                  <a16:creationId xmlns:a16="http://schemas.microsoft.com/office/drawing/2014/main" id="{FA9F2340-2B38-D085-65D0-733119D21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3DEF27" w14:textId="77777777" w:rsidR="00E450B3" w:rsidRPr="00BE5A83" w:rsidRDefault="00E450B3" w:rsidP="00E450B3">
      <w:pPr>
        <w:pStyle w:val="NoSpacing"/>
        <w:jc w:val="center"/>
        <w:rPr>
          <w:rFonts w:ascii="Arial" w:hAnsi="Arial" w:cs="Arial"/>
          <w:b/>
          <w:sz w:val="20"/>
          <w:szCs w:val="20"/>
        </w:rPr>
      </w:pPr>
      <w:r w:rsidRPr="00BE5A83">
        <w:rPr>
          <w:rFonts w:ascii="Arial" w:hAnsi="Arial" w:cs="Arial"/>
          <w:b/>
          <w:sz w:val="20"/>
          <w:szCs w:val="20"/>
        </w:rPr>
        <w:t xml:space="preserve">Fig. </w:t>
      </w:r>
      <w:r>
        <w:rPr>
          <w:rFonts w:ascii="Arial" w:hAnsi="Arial" w:cs="Arial"/>
          <w:b/>
          <w:sz w:val="20"/>
          <w:szCs w:val="20"/>
        </w:rPr>
        <w:t xml:space="preserve">6: </w:t>
      </w:r>
      <w:r w:rsidRPr="00BE5A83">
        <w:rPr>
          <w:rFonts w:ascii="Arial" w:hAnsi="Arial" w:cs="Arial"/>
          <w:b/>
          <w:sz w:val="20"/>
          <w:szCs w:val="20"/>
        </w:rPr>
        <w:t xml:space="preserve">Effect of </w:t>
      </w:r>
      <w:proofErr w:type="spellStart"/>
      <w:r w:rsidRPr="00BE5A83">
        <w:rPr>
          <w:rFonts w:ascii="Arial" w:hAnsi="Arial" w:cs="Arial"/>
          <w:b/>
          <w:sz w:val="20"/>
          <w:szCs w:val="20"/>
        </w:rPr>
        <w:t>humic</w:t>
      </w:r>
      <w:proofErr w:type="spellEnd"/>
      <w:r w:rsidRPr="00BE5A83">
        <w:rPr>
          <w:rFonts w:ascii="Arial" w:hAnsi="Arial" w:cs="Arial"/>
          <w:b/>
          <w:sz w:val="20"/>
          <w:szCs w:val="20"/>
        </w:rPr>
        <w:t xml:space="preserve"> acid and </w:t>
      </w:r>
      <w:proofErr w:type="spellStart"/>
      <w:r w:rsidRPr="00BE5A83">
        <w:rPr>
          <w:rFonts w:ascii="Arial" w:hAnsi="Arial" w:cs="Arial"/>
          <w:b/>
          <w:sz w:val="20"/>
          <w:szCs w:val="20"/>
        </w:rPr>
        <w:t>brassinolide</w:t>
      </w:r>
      <w:proofErr w:type="spellEnd"/>
      <w:r w:rsidRPr="00BE5A83">
        <w:rPr>
          <w:rFonts w:ascii="Arial" w:hAnsi="Arial" w:cs="Arial"/>
          <w:b/>
          <w:sz w:val="20"/>
          <w:szCs w:val="20"/>
        </w:rPr>
        <w:t xml:space="preserve"> on the Nitrogen uptake (kg ha</w:t>
      </w:r>
      <w:r w:rsidRPr="00BE5A83">
        <w:rPr>
          <w:rFonts w:ascii="Arial" w:hAnsi="Arial" w:cs="Arial"/>
          <w:b/>
          <w:sz w:val="20"/>
          <w:szCs w:val="20"/>
          <w:vertAlign w:val="superscript"/>
        </w:rPr>
        <w:t>-1</w:t>
      </w:r>
      <w:r w:rsidRPr="00BE5A83">
        <w:rPr>
          <w:rFonts w:ascii="Arial" w:hAnsi="Arial" w:cs="Arial"/>
          <w:b/>
          <w:sz w:val="20"/>
          <w:szCs w:val="20"/>
        </w:rPr>
        <w:t>) by black gram.</w:t>
      </w:r>
    </w:p>
    <w:p w14:paraId="470C81DC" w14:textId="77777777" w:rsidR="00E450B3" w:rsidRPr="00B424F5" w:rsidRDefault="00E450B3" w:rsidP="00E450B3">
      <w:pPr>
        <w:spacing w:after="0" w:line="240" w:lineRule="auto"/>
        <w:ind w:right="567"/>
        <w:rPr>
          <w:rFonts w:ascii="Arial" w:hAnsi="Arial" w:cs="Arial"/>
          <w:sz w:val="20"/>
          <w:szCs w:val="20"/>
        </w:rPr>
      </w:pPr>
    </w:p>
    <w:p w14:paraId="45DEB4D4" w14:textId="77777777" w:rsidR="00E450B3" w:rsidRDefault="00E450B3" w:rsidP="00E450B3">
      <w:pPr>
        <w:pStyle w:val="NoSpacing"/>
      </w:pPr>
    </w:p>
    <w:p w14:paraId="0BCC160A" w14:textId="77777777" w:rsidR="00E450B3" w:rsidRDefault="00E450B3" w:rsidP="00E450B3">
      <w:pPr>
        <w:tabs>
          <w:tab w:val="left" w:pos="5430"/>
        </w:tabs>
        <w:spacing w:after="240" w:line="240" w:lineRule="auto"/>
        <w:jc w:val="both"/>
        <w:rPr>
          <w:rFonts w:ascii="Arial" w:hAnsi="Arial" w:cs="Arial"/>
          <w:b/>
          <w:bCs/>
          <w:sz w:val="20"/>
          <w:szCs w:val="20"/>
        </w:rPr>
      </w:pPr>
      <w:r w:rsidRPr="00B424F5">
        <w:rPr>
          <w:rFonts w:ascii="Arial" w:hAnsi="Arial" w:cs="Arial"/>
          <w:b/>
          <w:bCs/>
          <w:sz w:val="20"/>
          <w:szCs w:val="20"/>
        </w:rPr>
        <w:t>4.3.3.2 Phosphorus uptake by grain</w:t>
      </w:r>
      <w:bookmarkEnd w:id="11"/>
    </w:p>
    <w:p w14:paraId="2F763C20" w14:textId="77777777" w:rsidR="00E450B3" w:rsidRDefault="00E450B3" w:rsidP="00E450B3">
      <w:pPr>
        <w:tabs>
          <w:tab w:val="left" w:pos="5430"/>
        </w:tabs>
        <w:spacing w:after="240" w:line="240" w:lineRule="auto"/>
        <w:jc w:val="both"/>
        <w:rPr>
          <w:rFonts w:ascii="Arial" w:hAnsi="Arial" w:cs="Arial"/>
          <w:sz w:val="20"/>
          <w:szCs w:val="20"/>
        </w:rPr>
      </w:pPr>
      <w:r w:rsidRPr="00B424F5">
        <w:rPr>
          <w:rFonts w:ascii="Arial" w:hAnsi="Arial" w:cs="Arial"/>
          <w:sz w:val="20"/>
          <w:szCs w:val="20"/>
        </w:rPr>
        <w:t>The phosphorus uptake by grain varied among different treatments. The highest phosphorus uptake (7.06%) was observed in T</w:t>
      </w:r>
      <w:r w:rsidRPr="00B424F5">
        <w:rPr>
          <w:rFonts w:ascii="Arial" w:hAnsi="Arial" w:cs="Arial"/>
          <w:sz w:val="20"/>
          <w:szCs w:val="20"/>
          <w:vertAlign w:val="subscript"/>
        </w:rPr>
        <w:t>7</w:t>
      </w:r>
      <w:r w:rsidRPr="00B424F5">
        <w:rPr>
          <w:rFonts w:ascii="Arial" w:hAnsi="Arial" w:cs="Arial"/>
          <w:sz w:val="20"/>
          <w:szCs w:val="20"/>
        </w:rPr>
        <w:t xml:space="preserve">, where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 ppm) were applied through foliar application. It was followed by T</w:t>
      </w:r>
      <w:r w:rsidRPr="00B424F5">
        <w:rPr>
          <w:rFonts w:ascii="Arial" w:hAnsi="Arial" w:cs="Arial"/>
          <w:sz w:val="20"/>
          <w:szCs w:val="20"/>
          <w:vertAlign w:val="subscript"/>
        </w:rPr>
        <w:t>6</w:t>
      </w:r>
      <w:r w:rsidRPr="00B424F5">
        <w:rPr>
          <w:rFonts w:ascii="Arial" w:hAnsi="Arial" w:cs="Arial"/>
          <w:sz w:val="20"/>
          <w:szCs w:val="20"/>
        </w:rPr>
        <w:t xml:space="preserve">, which received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 ppm) applied to the soil, resulting in a phosphorus uptake of (6.54%) in the grain. In contrast, the lowest phosphorus uptake (2.39%) was recorded in the T</w:t>
      </w:r>
      <w:r w:rsidRPr="00B424F5">
        <w:rPr>
          <w:rFonts w:ascii="Arial" w:hAnsi="Arial" w:cs="Arial"/>
          <w:sz w:val="20"/>
          <w:szCs w:val="20"/>
          <w:vertAlign w:val="subscript"/>
        </w:rPr>
        <w:t>0</w:t>
      </w:r>
      <w:r w:rsidRPr="00B424F5">
        <w:rPr>
          <w:rFonts w:ascii="Arial" w:hAnsi="Arial" w:cs="Arial"/>
          <w:sz w:val="20"/>
          <w:szCs w:val="20"/>
        </w:rPr>
        <w:t xml:space="preserve"> - control, where no additional treatments were applied. T</w:t>
      </w:r>
      <w:r w:rsidRPr="00B424F5">
        <w:rPr>
          <w:rFonts w:ascii="Arial" w:hAnsi="Arial" w:cs="Arial"/>
          <w:sz w:val="20"/>
          <w:szCs w:val="20"/>
          <w:vertAlign w:val="subscript"/>
        </w:rPr>
        <w:t>1</w:t>
      </w:r>
      <w:r w:rsidRPr="00B424F5">
        <w:rPr>
          <w:rFonts w:ascii="Arial" w:hAnsi="Arial" w:cs="Arial"/>
          <w:sz w:val="20"/>
          <w:szCs w:val="20"/>
        </w:rPr>
        <w:t xml:space="preserve"> - 100% RDF, exhibited a phosphorus uptake of (3.90%) in the grain. The trend of phosphorus uptake by grain follows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Pr>
          <w:rFonts w:ascii="Arial" w:hAnsi="Arial" w:cs="Arial"/>
          <w:sz w:val="20"/>
          <w:szCs w:val="20"/>
        </w:rPr>
        <w:t xml:space="preserve"> (Table 3, Fig. 7)</w:t>
      </w:r>
      <w:r w:rsidRPr="00B424F5">
        <w:rPr>
          <w:rFonts w:ascii="Arial" w:hAnsi="Arial" w:cs="Arial"/>
          <w:sz w:val="20"/>
          <w:szCs w:val="20"/>
        </w:rPr>
        <w:t xml:space="preserve">. These results indicate that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especially through the foliar application (T</w:t>
      </w:r>
      <w:r w:rsidRPr="00B424F5">
        <w:rPr>
          <w:rFonts w:ascii="Arial" w:hAnsi="Arial" w:cs="Arial"/>
          <w:sz w:val="20"/>
          <w:szCs w:val="20"/>
          <w:vertAlign w:val="subscript"/>
        </w:rPr>
        <w:t>7</w:t>
      </w:r>
      <w:r w:rsidRPr="00B424F5">
        <w:rPr>
          <w:rFonts w:ascii="Arial" w:hAnsi="Arial" w:cs="Arial"/>
          <w:sz w:val="20"/>
          <w:szCs w:val="20"/>
        </w:rPr>
        <w:t>) and soil application (T</w:t>
      </w:r>
      <w:r w:rsidRPr="00B424F5">
        <w:rPr>
          <w:rFonts w:ascii="Arial" w:hAnsi="Arial" w:cs="Arial"/>
          <w:sz w:val="20"/>
          <w:szCs w:val="20"/>
          <w:vertAlign w:val="subscript"/>
        </w:rPr>
        <w:t>6</w:t>
      </w:r>
      <w:r w:rsidRPr="00B424F5">
        <w:rPr>
          <w:rFonts w:ascii="Arial" w:hAnsi="Arial" w:cs="Arial"/>
          <w:sz w:val="20"/>
          <w:szCs w:val="20"/>
        </w:rPr>
        <w:t>), positively influenced phosphorus accumulation in the grain.</w:t>
      </w:r>
    </w:p>
    <w:p w14:paraId="65ED5DD5" w14:textId="77777777" w:rsidR="00E450B3" w:rsidRDefault="00E450B3" w:rsidP="00E450B3">
      <w:pPr>
        <w:pStyle w:val="NoSpacing"/>
        <w:jc w:val="center"/>
      </w:pPr>
      <w:r w:rsidRPr="00B424F5">
        <w:rPr>
          <w:noProof/>
        </w:rPr>
        <w:drawing>
          <wp:inline distT="0" distB="0" distL="0" distR="0" wp14:anchorId="3CDA21C1" wp14:editId="174DAB34">
            <wp:extent cx="5035746" cy="2212975"/>
            <wp:effectExtent l="0" t="0" r="12700" b="15875"/>
            <wp:docPr id="1362782317" name="Chart 1">
              <a:extLst xmlns:a="http://schemas.openxmlformats.org/drawingml/2006/main">
                <a:ext uri="{FF2B5EF4-FFF2-40B4-BE49-F238E27FC236}">
                  <a16:creationId xmlns:a16="http://schemas.microsoft.com/office/drawing/2014/main" id="{7F3F7008-22A8-98DF-51D7-46FAD62C4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3595C9" w14:textId="77777777" w:rsidR="00E450B3" w:rsidRPr="00BE5A83" w:rsidRDefault="00E450B3" w:rsidP="00E450B3">
      <w:pPr>
        <w:pStyle w:val="NoSpacing"/>
        <w:jc w:val="center"/>
        <w:rPr>
          <w:rFonts w:ascii="Arial" w:hAnsi="Arial" w:cs="Arial"/>
          <w:sz w:val="20"/>
        </w:rPr>
      </w:pPr>
      <w:r w:rsidRPr="00BE5A83">
        <w:rPr>
          <w:rFonts w:ascii="Arial" w:hAnsi="Arial" w:cs="Arial"/>
          <w:b/>
          <w:bCs/>
          <w:sz w:val="20"/>
        </w:rPr>
        <w:t xml:space="preserve">Fig. </w:t>
      </w:r>
      <w:r>
        <w:rPr>
          <w:rFonts w:ascii="Arial" w:hAnsi="Arial" w:cs="Arial"/>
          <w:b/>
          <w:bCs/>
          <w:sz w:val="20"/>
        </w:rPr>
        <w:t xml:space="preserve">7: </w:t>
      </w:r>
      <w:r w:rsidRPr="00BE5A83">
        <w:rPr>
          <w:rFonts w:ascii="Arial" w:hAnsi="Arial" w:cs="Arial"/>
          <w:b/>
          <w:bCs/>
          <w:sz w:val="20"/>
        </w:rPr>
        <w:t xml:space="preserve">Effect of </w:t>
      </w:r>
      <w:proofErr w:type="spellStart"/>
      <w:r w:rsidRPr="00BE5A83">
        <w:rPr>
          <w:rFonts w:ascii="Arial" w:hAnsi="Arial" w:cs="Arial"/>
          <w:b/>
          <w:bCs/>
          <w:sz w:val="20"/>
        </w:rPr>
        <w:t>humic</w:t>
      </w:r>
      <w:proofErr w:type="spellEnd"/>
      <w:r w:rsidRPr="00BE5A83">
        <w:rPr>
          <w:rFonts w:ascii="Arial" w:hAnsi="Arial" w:cs="Arial"/>
          <w:b/>
          <w:bCs/>
          <w:sz w:val="20"/>
        </w:rPr>
        <w:t xml:space="preserve"> acid and </w:t>
      </w:r>
      <w:proofErr w:type="spellStart"/>
      <w:r w:rsidRPr="00BE5A83">
        <w:rPr>
          <w:rFonts w:ascii="Arial" w:hAnsi="Arial" w:cs="Arial"/>
          <w:b/>
          <w:bCs/>
          <w:sz w:val="20"/>
        </w:rPr>
        <w:t>brassinolide</w:t>
      </w:r>
      <w:proofErr w:type="spellEnd"/>
      <w:r w:rsidRPr="00BE5A83">
        <w:rPr>
          <w:rFonts w:ascii="Arial" w:hAnsi="Arial" w:cs="Arial"/>
          <w:b/>
          <w:bCs/>
          <w:sz w:val="20"/>
        </w:rPr>
        <w:t xml:space="preserve"> on the Phosphorus uptake (kg ha</w:t>
      </w:r>
      <w:r w:rsidRPr="00BE5A83">
        <w:rPr>
          <w:rFonts w:ascii="Arial" w:hAnsi="Arial" w:cs="Arial"/>
          <w:b/>
          <w:bCs/>
          <w:sz w:val="20"/>
          <w:vertAlign w:val="superscript"/>
        </w:rPr>
        <w:t>-1</w:t>
      </w:r>
      <w:r w:rsidRPr="00BE5A83">
        <w:rPr>
          <w:rFonts w:ascii="Arial" w:hAnsi="Arial" w:cs="Arial"/>
          <w:b/>
          <w:bCs/>
          <w:sz w:val="20"/>
        </w:rPr>
        <w:t>) by black gram.</w:t>
      </w:r>
    </w:p>
    <w:p w14:paraId="48C01EF4" w14:textId="77777777" w:rsidR="00E450B3" w:rsidRDefault="00E450B3" w:rsidP="00E450B3">
      <w:pPr>
        <w:tabs>
          <w:tab w:val="left" w:pos="5430"/>
        </w:tabs>
        <w:spacing w:after="0" w:line="240" w:lineRule="auto"/>
        <w:jc w:val="both"/>
        <w:rPr>
          <w:rFonts w:ascii="Arial" w:hAnsi="Arial" w:cs="Arial"/>
          <w:b/>
          <w:bCs/>
          <w:sz w:val="20"/>
          <w:szCs w:val="20"/>
        </w:rPr>
      </w:pPr>
    </w:p>
    <w:p w14:paraId="0D7055CE" w14:textId="77777777" w:rsidR="00E450B3" w:rsidRPr="00B424F5"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b/>
          <w:bCs/>
          <w:sz w:val="20"/>
          <w:szCs w:val="20"/>
        </w:rPr>
        <w:t>3.3.3 Potassium uptake by grain</w:t>
      </w:r>
    </w:p>
    <w:p w14:paraId="2998672D" w14:textId="77777777" w:rsidR="00E450B3" w:rsidRDefault="00E450B3" w:rsidP="00E450B3">
      <w:pPr>
        <w:tabs>
          <w:tab w:val="left" w:pos="5430"/>
        </w:tabs>
        <w:spacing w:after="0" w:line="240" w:lineRule="auto"/>
        <w:jc w:val="both"/>
        <w:rPr>
          <w:rFonts w:ascii="Arial" w:hAnsi="Arial" w:cs="Arial"/>
          <w:sz w:val="20"/>
          <w:szCs w:val="20"/>
        </w:rPr>
      </w:pPr>
      <w:r w:rsidRPr="00B424F5">
        <w:rPr>
          <w:rFonts w:ascii="Arial" w:hAnsi="Arial" w:cs="Arial"/>
          <w:sz w:val="20"/>
          <w:szCs w:val="20"/>
        </w:rPr>
        <w:t>The potassium uptake by grain varied across different treatments. The highest potassium uptake (26.5%) was observed in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were applied through foliar application. It was closely followed by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applied to the soil, resulting in a potassium uptake of (25.1%) in the grain. In contrast, the lowest potassium </w:t>
      </w:r>
      <w:r w:rsidRPr="00B424F5">
        <w:rPr>
          <w:rFonts w:ascii="Arial" w:hAnsi="Arial" w:cs="Arial"/>
          <w:sz w:val="20"/>
          <w:szCs w:val="20"/>
        </w:rPr>
        <w:lastRenderedPageBreak/>
        <w:t>uptake (9.0%) was recorded in the control treatment (T</w:t>
      </w:r>
      <w:r w:rsidRPr="00B424F5">
        <w:rPr>
          <w:rFonts w:ascii="Arial" w:hAnsi="Arial" w:cs="Arial"/>
          <w:sz w:val="20"/>
          <w:szCs w:val="20"/>
          <w:vertAlign w:val="subscript"/>
        </w:rPr>
        <w:t>0</w:t>
      </w:r>
      <w:r w:rsidRPr="00B424F5">
        <w:rPr>
          <w:rFonts w:ascii="Arial" w:hAnsi="Arial" w:cs="Arial"/>
          <w:sz w:val="20"/>
          <w:szCs w:val="20"/>
        </w:rPr>
        <w:t>), where no additional treatments were applied. The T</w:t>
      </w:r>
      <w:r w:rsidRPr="00B424F5">
        <w:rPr>
          <w:rFonts w:ascii="Arial" w:hAnsi="Arial" w:cs="Arial"/>
          <w:sz w:val="20"/>
          <w:szCs w:val="20"/>
          <w:vertAlign w:val="subscript"/>
        </w:rPr>
        <w:t>1</w:t>
      </w:r>
      <w:r w:rsidRPr="00B424F5">
        <w:rPr>
          <w:rFonts w:ascii="Arial" w:hAnsi="Arial" w:cs="Arial"/>
          <w:sz w:val="20"/>
          <w:szCs w:val="20"/>
        </w:rPr>
        <w:t xml:space="preserve"> - 100% RDF, exhibited a potassium uptake of (13.0%) in the grain. The trend of potassium uptake by grain follows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Pr>
          <w:rFonts w:ascii="Arial" w:hAnsi="Arial" w:cs="Arial"/>
          <w:sz w:val="20"/>
          <w:szCs w:val="20"/>
        </w:rPr>
        <w:t xml:space="preserve"> (Table 3, Fig. 8)</w:t>
      </w:r>
      <w:r w:rsidRPr="00B424F5">
        <w:rPr>
          <w:rFonts w:ascii="Arial" w:hAnsi="Arial" w:cs="Arial"/>
          <w:sz w:val="20"/>
          <w:szCs w:val="20"/>
        </w:rPr>
        <w:t xml:space="preserve">. These findings indicate the beneficial effects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treatment on increasing potassium absorption in grain. It appears that foliar applications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w:t>
      </w:r>
      <w:r w:rsidRPr="00B424F5">
        <w:rPr>
          <w:rFonts w:ascii="Arial" w:hAnsi="Arial" w:cs="Arial"/>
          <w:sz w:val="20"/>
          <w:szCs w:val="20"/>
          <w:vertAlign w:val="subscript"/>
        </w:rPr>
        <w:t>7</w:t>
      </w:r>
      <w:r w:rsidRPr="00B424F5">
        <w:rPr>
          <w:rFonts w:ascii="Arial" w:hAnsi="Arial" w:cs="Arial"/>
          <w:sz w:val="20"/>
          <w:szCs w:val="20"/>
        </w:rPr>
        <w:t xml:space="preserve">), as well as soil applications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w:t>
      </w:r>
      <w:r w:rsidRPr="00B424F5">
        <w:rPr>
          <w:rFonts w:ascii="Arial" w:hAnsi="Arial" w:cs="Arial"/>
          <w:sz w:val="20"/>
          <w:szCs w:val="20"/>
          <w:vertAlign w:val="subscript"/>
        </w:rPr>
        <w:t>6</w:t>
      </w:r>
      <w:r w:rsidRPr="00B424F5">
        <w:rPr>
          <w:rFonts w:ascii="Arial" w:hAnsi="Arial" w:cs="Arial"/>
          <w:sz w:val="20"/>
          <w:szCs w:val="20"/>
        </w:rPr>
        <w:t>), were very successful in boosting potassium accumulation in grain. Proper nutrient management practices, as demonstrated by these treatments, can contribute to improved crop quality and productivity.</w:t>
      </w:r>
    </w:p>
    <w:p w14:paraId="56BAEAAF" w14:textId="77777777" w:rsidR="00E450B3" w:rsidRDefault="00E450B3" w:rsidP="00E450B3">
      <w:pPr>
        <w:tabs>
          <w:tab w:val="left" w:pos="5430"/>
        </w:tabs>
        <w:spacing w:after="0" w:line="240" w:lineRule="auto"/>
        <w:jc w:val="both"/>
        <w:rPr>
          <w:rFonts w:ascii="Arial" w:hAnsi="Arial" w:cs="Arial"/>
          <w:sz w:val="20"/>
          <w:szCs w:val="20"/>
        </w:rPr>
      </w:pPr>
    </w:p>
    <w:p w14:paraId="5BCA2466" w14:textId="77777777" w:rsidR="00E450B3" w:rsidRPr="00BE5A83" w:rsidRDefault="00E450B3" w:rsidP="00E450B3">
      <w:pPr>
        <w:pStyle w:val="NoSpacing"/>
        <w:jc w:val="center"/>
        <w:rPr>
          <w:rFonts w:ascii="Arial" w:hAnsi="Arial" w:cs="Arial"/>
          <w:sz w:val="20"/>
        </w:rPr>
      </w:pPr>
      <w:r w:rsidRPr="00BE5A83">
        <w:rPr>
          <w:rFonts w:ascii="Arial" w:hAnsi="Arial" w:cs="Arial"/>
          <w:noProof/>
          <w:sz w:val="20"/>
        </w:rPr>
        <w:drawing>
          <wp:inline distT="0" distB="0" distL="0" distR="0" wp14:anchorId="19ADA550" wp14:editId="35ABA31D">
            <wp:extent cx="5028565" cy="2482948"/>
            <wp:effectExtent l="0" t="0" r="635" b="12700"/>
            <wp:docPr id="1519638807" name="Chart 1">
              <a:extLst xmlns:a="http://schemas.openxmlformats.org/drawingml/2006/main">
                <a:ext uri="{FF2B5EF4-FFF2-40B4-BE49-F238E27FC236}">
                  <a16:creationId xmlns:a16="http://schemas.microsoft.com/office/drawing/2014/main" id="{22FE6AD5-8FA3-C35D-A2E1-03DE0383D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E33B50" w14:textId="77777777" w:rsidR="00E450B3" w:rsidRPr="00BE5A83" w:rsidRDefault="00E450B3" w:rsidP="00E450B3">
      <w:pPr>
        <w:pStyle w:val="NoSpacing"/>
        <w:jc w:val="center"/>
        <w:rPr>
          <w:rFonts w:ascii="Arial" w:hAnsi="Arial" w:cs="Arial"/>
          <w:b/>
          <w:bCs/>
          <w:sz w:val="20"/>
        </w:rPr>
      </w:pPr>
      <w:bookmarkStart w:id="12" w:name="_Hlk139574419"/>
      <w:r w:rsidRPr="00BE5A83">
        <w:rPr>
          <w:rFonts w:ascii="Arial" w:hAnsi="Arial" w:cs="Arial"/>
          <w:b/>
          <w:bCs/>
          <w:sz w:val="20"/>
        </w:rPr>
        <w:t xml:space="preserve">Fig. </w:t>
      </w:r>
      <w:r>
        <w:rPr>
          <w:rFonts w:ascii="Arial" w:hAnsi="Arial" w:cs="Arial"/>
          <w:b/>
          <w:bCs/>
          <w:sz w:val="20"/>
        </w:rPr>
        <w:t>8:</w:t>
      </w:r>
      <w:r w:rsidRPr="00BE5A83">
        <w:rPr>
          <w:rFonts w:ascii="Arial" w:hAnsi="Arial" w:cs="Arial"/>
          <w:b/>
          <w:bCs/>
          <w:sz w:val="20"/>
        </w:rPr>
        <w:t xml:space="preserve"> Effect of </w:t>
      </w:r>
      <w:proofErr w:type="spellStart"/>
      <w:r w:rsidRPr="00BE5A83">
        <w:rPr>
          <w:rFonts w:ascii="Arial" w:hAnsi="Arial" w:cs="Arial"/>
          <w:b/>
          <w:bCs/>
          <w:sz w:val="20"/>
        </w:rPr>
        <w:t>humic</w:t>
      </w:r>
      <w:proofErr w:type="spellEnd"/>
      <w:r w:rsidRPr="00BE5A83">
        <w:rPr>
          <w:rFonts w:ascii="Arial" w:hAnsi="Arial" w:cs="Arial"/>
          <w:b/>
          <w:bCs/>
          <w:sz w:val="20"/>
        </w:rPr>
        <w:t xml:space="preserve"> acid and </w:t>
      </w:r>
      <w:proofErr w:type="spellStart"/>
      <w:r w:rsidRPr="00BE5A83">
        <w:rPr>
          <w:rFonts w:ascii="Arial" w:hAnsi="Arial" w:cs="Arial"/>
          <w:b/>
          <w:bCs/>
          <w:sz w:val="20"/>
        </w:rPr>
        <w:t>brassinolide</w:t>
      </w:r>
      <w:proofErr w:type="spellEnd"/>
      <w:r w:rsidRPr="00BE5A83">
        <w:rPr>
          <w:rFonts w:ascii="Arial" w:hAnsi="Arial" w:cs="Arial"/>
          <w:b/>
          <w:bCs/>
          <w:sz w:val="20"/>
        </w:rPr>
        <w:t xml:space="preserve"> on the Potassium uptake (kg ha</w:t>
      </w:r>
      <w:r w:rsidRPr="00BE5A83">
        <w:rPr>
          <w:rFonts w:ascii="Arial" w:hAnsi="Arial" w:cs="Arial"/>
          <w:b/>
          <w:bCs/>
          <w:sz w:val="20"/>
          <w:vertAlign w:val="superscript"/>
        </w:rPr>
        <w:t>-1</w:t>
      </w:r>
      <w:r w:rsidRPr="00BE5A83">
        <w:rPr>
          <w:rFonts w:ascii="Arial" w:hAnsi="Arial" w:cs="Arial"/>
          <w:b/>
          <w:bCs/>
          <w:sz w:val="20"/>
        </w:rPr>
        <w:t>) by black gram.</w:t>
      </w:r>
      <w:bookmarkEnd w:id="12"/>
    </w:p>
    <w:p w14:paraId="4C67593C" w14:textId="77777777" w:rsidR="00E450B3" w:rsidRPr="00B424F5" w:rsidRDefault="00E450B3" w:rsidP="00E450B3">
      <w:pPr>
        <w:tabs>
          <w:tab w:val="left" w:pos="5430"/>
        </w:tabs>
        <w:spacing w:after="0" w:line="240" w:lineRule="auto"/>
        <w:jc w:val="both"/>
        <w:rPr>
          <w:rFonts w:ascii="Arial" w:hAnsi="Arial" w:cs="Arial"/>
          <w:sz w:val="20"/>
          <w:szCs w:val="20"/>
        </w:rPr>
      </w:pPr>
    </w:p>
    <w:p w14:paraId="33D71F4D" w14:textId="77777777" w:rsidR="00E450B3" w:rsidRDefault="00E450B3" w:rsidP="00E450B3">
      <w:pPr>
        <w:tabs>
          <w:tab w:val="left" w:pos="1701"/>
        </w:tabs>
        <w:spacing w:after="0" w:line="240" w:lineRule="auto"/>
        <w:jc w:val="both"/>
        <w:rPr>
          <w:rFonts w:ascii="Arial" w:hAnsi="Arial" w:cs="Arial"/>
          <w:sz w:val="20"/>
          <w:szCs w:val="20"/>
        </w:rPr>
      </w:pPr>
      <w:r w:rsidRPr="00B424F5">
        <w:rPr>
          <w:rFonts w:ascii="Arial" w:hAnsi="Arial" w:cs="Arial"/>
          <w:sz w:val="20"/>
          <w:szCs w:val="20"/>
        </w:rPr>
        <w:t xml:space="preserve">The findings show that applying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as soil amendments and foliar sprays has a significant influence on nitrogen (N), phosphorus (P), and potassium (K) absorption in grain crops. This is attributed to the ability of these substances to enhance the absorption, translocation, and assimilation of various plant nutrients, resulting in a balanced and simultaneous utilization of these nutrients within the plants. Consequently, there is an increase in the production of dry matter, as well as improved availability of essential elements crucial for plant growth.</w:t>
      </w:r>
    </w:p>
    <w:p w14:paraId="5ED891E8" w14:textId="441AFBBF" w:rsidR="00E450B3" w:rsidRPr="00B424F5" w:rsidRDefault="00E450B3" w:rsidP="00E450B3">
      <w:pPr>
        <w:tabs>
          <w:tab w:val="left" w:pos="1701"/>
        </w:tabs>
        <w:spacing w:after="0" w:line="240" w:lineRule="auto"/>
        <w:jc w:val="both"/>
        <w:rPr>
          <w:rFonts w:ascii="Arial" w:hAnsi="Arial" w:cs="Arial"/>
          <w:sz w:val="20"/>
          <w:szCs w:val="20"/>
        </w:rPr>
      </w:pP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plays a critical role in mobilizing phosphorus by forming complexes with organic matter in the soil, as indicated by Balasubramanian </w:t>
      </w:r>
      <w:r w:rsidRPr="00B424F5">
        <w:rPr>
          <w:rFonts w:ascii="Arial" w:hAnsi="Arial" w:cs="Arial"/>
          <w:i/>
          <w:iCs/>
          <w:sz w:val="20"/>
          <w:szCs w:val="20"/>
        </w:rPr>
        <w:t>et al.,</w:t>
      </w:r>
      <w:r w:rsidRPr="00B424F5">
        <w:rPr>
          <w:rFonts w:ascii="Arial" w:hAnsi="Arial" w:cs="Arial"/>
          <w:sz w:val="20"/>
          <w:szCs w:val="20"/>
        </w:rPr>
        <w:t xml:space="preserve"> (1989). Furthermore, the balanced and simultaneous usage of different nutrient sources emerged as a key factor for the proper absorption, translocation, and assimilation of plant nutrients. According to Kadam </w:t>
      </w:r>
      <w:r w:rsidRPr="00B424F5">
        <w:rPr>
          <w:rFonts w:ascii="Arial" w:hAnsi="Arial" w:cs="Arial"/>
          <w:i/>
          <w:iCs/>
          <w:sz w:val="20"/>
          <w:szCs w:val="20"/>
        </w:rPr>
        <w:t>et al.,</w:t>
      </w:r>
      <w:r w:rsidRPr="00B424F5">
        <w:rPr>
          <w:rFonts w:ascii="Arial" w:hAnsi="Arial" w:cs="Arial"/>
          <w:sz w:val="20"/>
          <w:szCs w:val="20"/>
        </w:rPr>
        <w:t xml:space="preserve"> (2010), the combination treatment of organic nitrogen and fulvic acid substantially altered nitrogen, phosphorus, and potassium absorption in soybeans when compared to other treatments.</w:t>
      </w:r>
    </w:p>
    <w:bookmarkEnd w:id="10"/>
    <w:p w14:paraId="35624F51" w14:textId="77777777" w:rsidR="001B7CC6" w:rsidRDefault="001B7CC6" w:rsidP="00B424F5">
      <w:pPr>
        <w:spacing w:after="0" w:line="240" w:lineRule="auto"/>
        <w:jc w:val="both"/>
        <w:rPr>
          <w:rFonts w:ascii="Arial" w:hAnsi="Arial" w:cs="Arial"/>
          <w:sz w:val="20"/>
          <w:szCs w:val="20"/>
        </w:rPr>
      </w:pPr>
    </w:p>
    <w:p w14:paraId="1789AEB2" w14:textId="77777777" w:rsidR="001B7CC6" w:rsidRPr="00B424F5" w:rsidRDefault="001B7CC6" w:rsidP="001B7CC6">
      <w:pPr>
        <w:pStyle w:val="NoSpacing"/>
      </w:pPr>
    </w:p>
    <w:p w14:paraId="17FF9518" w14:textId="77777777" w:rsidR="001B7CC6" w:rsidRPr="00B424F5" w:rsidRDefault="001B7CC6" w:rsidP="00B424F5">
      <w:pPr>
        <w:spacing w:after="0" w:line="240" w:lineRule="auto"/>
        <w:jc w:val="both"/>
        <w:rPr>
          <w:rFonts w:ascii="Arial" w:hAnsi="Arial" w:cs="Arial"/>
          <w:sz w:val="20"/>
          <w:szCs w:val="20"/>
        </w:rPr>
        <w:sectPr w:rsidR="001B7CC6" w:rsidRPr="00B424F5" w:rsidSect="00BE5A83">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docGrid w:linePitch="360"/>
        </w:sectPr>
      </w:pPr>
    </w:p>
    <w:tbl>
      <w:tblPr>
        <w:tblStyle w:val="TableGrid21"/>
        <w:tblpPr w:leftFromText="180" w:rightFromText="180" w:vertAnchor="page" w:horzAnchor="margin" w:tblpXSpec="center" w:tblpY="1806"/>
        <w:tblW w:w="11382" w:type="dxa"/>
        <w:tblLook w:val="04A0" w:firstRow="1" w:lastRow="0" w:firstColumn="1" w:lastColumn="0" w:noHBand="0" w:noVBand="1"/>
      </w:tblPr>
      <w:tblGrid>
        <w:gridCol w:w="6851"/>
        <w:gridCol w:w="2157"/>
        <w:gridCol w:w="2374"/>
      </w:tblGrid>
      <w:tr w:rsidR="004A0813" w:rsidRPr="00B424F5" w14:paraId="671A96EC" w14:textId="77777777" w:rsidTr="004A0813">
        <w:trPr>
          <w:trHeight w:val="192"/>
        </w:trPr>
        <w:tc>
          <w:tcPr>
            <w:tcW w:w="6851" w:type="dxa"/>
            <w:tcBorders>
              <w:top w:val="single" w:sz="4" w:space="0" w:color="auto"/>
              <w:left w:val="single" w:sz="4" w:space="0" w:color="auto"/>
              <w:bottom w:val="single" w:sz="4" w:space="0" w:color="auto"/>
              <w:right w:val="single" w:sz="4" w:space="0" w:color="auto"/>
            </w:tcBorders>
          </w:tcPr>
          <w:p w14:paraId="43077690" w14:textId="77777777" w:rsidR="004A0813" w:rsidRPr="001A16EF" w:rsidRDefault="004A0813" w:rsidP="004A0813">
            <w:pPr>
              <w:pStyle w:val="NoSpacing"/>
              <w:jc w:val="center"/>
              <w:rPr>
                <w:rFonts w:ascii="Arial" w:hAnsi="Arial" w:cs="Arial"/>
                <w:b/>
                <w:sz w:val="20"/>
                <w:szCs w:val="20"/>
              </w:rPr>
            </w:pPr>
            <w:r w:rsidRPr="001A16EF">
              <w:rPr>
                <w:rFonts w:ascii="Arial" w:hAnsi="Arial" w:cs="Arial"/>
                <w:b/>
                <w:sz w:val="20"/>
                <w:szCs w:val="20"/>
              </w:rPr>
              <w:lastRenderedPageBreak/>
              <w:t>Treatments</w:t>
            </w:r>
          </w:p>
        </w:tc>
        <w:tc>
          <w:tcPr>
            <w:tcW w:w="2157" w:type="dxa"/>
            <w:tcBorders>
              <w:top w:val="single" w:sz="4" w:space="0" w:color="auto"/>
              <w:left w:val="single" w:sz="4" w:space="0" w:color="auto"/>
              <w:bottom w:val="single" w:sz="4" w:space="0" w:color="auto"/>
              <w:right w:val="single" w:sz="4" w:space="0" w:color="auto"/>
            </w:tcBorders>
          </w:tcPr>
          <w:p w14:paraId="105C38AC" w14:textId="77777777" w:rsidR="004A0813" w:rsidRPr="004A0813" w:rsidRDefault="004A0813" w:rsidP="004A0813">
            <w:pPr>
              <w:pStyle w:val="NoSpacing"/>
              <w:jc w:val="center"/>
              <w:rPr>
                <w:rFonts w:ascii="Arial" w:hAnsi="Arial" w:cs="Arial"/>
                <w:b/>
                <w:sz w:val="20"/>
              </w:rPr>
            </w:pPr>
            <w:bookmarkStart w:id="13" w:name="_Hlk138243229"/>
            <w:r w:rsidRPr="004A0813">
              <w:rPr>
                <w:rFonts w:ascii="Arial" w:hAnsi="Arial" w:cs="Arial"/>
                <w:b/>
                <w:sz w:val="20"/>
              </w:rPr>
              <w:t>Protein content (%)</w:t>
            </w:r>
            <w:bookmarkEnd w:id="13"/>
          </w:p>
        </w:tc>
        <w:tc>
          <w:tcPr>
            <w:tcW w:w="2374" w:type="dxa"/>
            <w:tcBorders>
              <w:top w:val="single" w:sz="4" w:space="0" w:color="auto"/>
              <w:left w:val="single" w:sz="4" w:space="0" w:color="auto"/>
              <w:bottom w:val="single" w:sz="4" w:space="0" w:color="auto"/>
              <w:right w:val="single" w:sz="4" w:space="0" w:color="auto"/>
            </w:tcBorders>
            <w:vAlign w:val="bottom"/>
          </w:tcPr>
          <w:p w14:paraId="3CF6E777" w14:textId="77777777" w:rsidR="004A0813" w:rsidRPr="004A0813" w:rsidRDefault="004A0813" w:rsidP="004A0813">
            <w:pPr>
              <w:pStyle w:val="NoSpacing"/>
              <w:jc w:val="center"/>
              <w:rPr>
                <w:rFonts w:ascii="Arial" w:hAnsi="Arial" w:cs="Arial"/>
                <w:b/>
                <w:sz w:val="20"/>
              </w:rPr>
            </w:pPr>
            <w:bookmarkStart w:id="14" w:name="_Hlk138243241"/>
            <w:r w:rsidRPr="004A0813">
              <w:rPr>
                <w:rFonts w:ascii="Arial" w:hAnsi="Arial" w:cs="Arial"/>
                <w:b/>
                <w:sz w:val="20"/>
              </w:rPr>
              <w:t>Protein yield (kg ha</w:t>
            </w:r>
            <w:r w:rsidRPr="004A0813">
              <w:rPr>
                <w:rFonts w:ascii="Arial" w:hAnsi="Arial" w:cs="Arial"/>
                <w:b/>
                <w:sz w:val="20"/>
                <w:vertAlign w:val="superscript"/>
              </w:rPr>
              <w:t>-1</w:t>
            </w:r>
            <w:r w:rsidRPr="004A0813">
              <w:rPr>
                <w:rFonts w:ascii="Arial" w:hAnsi="Arial" w:cs="Arial"/>
                <w:b/>
                <w:sz w:val="20"/>
              </w:rPr>
              <w:t>)</w:t>
            </w:r>
            <w:bookmarkEnd w:id="14"/>
          </w:p>
        </w:tc>
      </w:tr>
      <w:tr w:rsidR="004A0813" w:rsidRPr="00B424F5" w14:paraId="65E616E5"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021CBBA6"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0</w:t>
            </w:r>
            <w:r w:rsidRPr="001A16EF">
              <w:rPr>
                <w:rFonts w:ascii="Arial" w:hAnsi="Arial" w:cs="Arial"/>
                <w:sz w:val="20"/>
                <w:szCs w:val="20"/>
              </w:rPr>
              <w:t>-Control</w:t>
            </w:r>
          </w:p>
        </w:tc>
        <w:tc>
          <w:tcPr>
            <w:tcW w:w="2157" w:type="dxa"/>
            <w:tcBorders>
              <w:top w:val="single" w:sz="4" w:space="0" w:color="auto"/>
              <w:left w:val="single" w:sz="4" w:space="0" w:color="auto"/>
              <w:bottom w:val="single" w:sz="4" w:space="0" w:color="auto"/>
              <w:right w:val="single" w:sz="4" w:space="0" w:color="auto"/>
            </w:tcBorders>
          </w:tcPr>
          <w:p w14:paraId="23576F9A"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17.14</w:t>
            </w:r>
            <w:r w:rsidRPr="004A0813">
              <w:rPr>
                <w:rFonts w:ascii="Arial" w:hAnsi="Arial" w:cs="Arial"/>
                <w:sz w:val="20"/>
                <w:vertAlign w:val="superscript"/>
              </w:rPr>
              <w:t xml:space="preserve"> e</w:t>
            </w:r>
            <w:r w:rsidRPr="004A0813">
              <w:rPr>
                <w:rFonts w:ascii="Arial" w:hAnsi="Arial" w:cs="Arial"/>
                <w:sz w:val="20"/>
              </w:rPr>
              <w:t xml:space="preserve"> ± 0.35</w:t>
            </w:r>
          </w:p>
        </w:tc>
        <w:tc>
          <w:tcPr>
            <w:tcW w:w="2374" w:type="dxa"/>
            <w:tcBorders>
              <w:top w:val="single" w:sz="4" w:space="0" w:color="auto"/>
              <w:left w:val="single" w:sz="4" w:space="0" w:color="auto"/>
              <w:bottom w:val="single" w:sz="4" w:space="0" w:color="auto"/>
              <w:right w:val="single" w:sz="4" w:space="0" w:color="auto"/>
            </w:tcBorders>
          </w:tcPr>
          <w:p w14:paraId="6C61256F"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111.6</w:t>
            </w:r>
            <w:r w:rsidRPr="004A0813">
              <w:rPr>
                <w:rFonts w:ascii="Arial" w:hAnsi="Arial" w:cs="Arial"/>
                <w:sz w:val="20"/>
                <w:vertAlign w:val="superscript"/>
              </w:rPr>
              <w:t xml:space="preserve"> f</w:t>
            </w:r>
            <w:r w:rsidRPr="004A0813">
              <w:rPr>
                <w:rFonts w:ascii="Arial" w:hAnsi="Arial" w:cs="Arial"/>
                <w:sz w:val="20"/>
              </w:rPr>
              <w:t xml:space="preserve"> ± 8.60</w:t>
            </w:r>
          </w:p>
        </w:tc>
      </w:tr>
      <w:tr w:rsidR="004A0813" w:rsidRPr="00B424F5" w14:paraId="69AB6C84" w14:textId="77777777" w:rsidTr="004A0813">
        <w:trPr>
          <w:trHeight w:val="188"/>
        </w:trPr>
        <w:tc>
          <w:tcPr>
            <w:tcW w:w="6851" w:type="dxa"/>
            <w:tcBorders>
              <w:top w:val="single" w:sz="4" w:space="0" w:color="auto"/>
              <w:left w:val="single" w:sz="4" w:space="0" w:color="auto"/>
              <w:bottom w:val="single" w:sz="4" w:space="0" w:color="auto"/>
              <w:right w:val="single" w:sz="4" w:space="0" w:color="auto"/>
            </w:tcBorders>
            <w:vAlign w:val="bottom"/>
          </w:tcPr>
          <w:p w14:paraId="47094DE5"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1</w:t>
            </w:r>
            <w:r w:rsidRPr="001A16EF">
              <w:rPr>
                <w:rFonts w:ascii="Arial" w:hAnsi="Arial" w:cs="Arial"/>
                <w:sz w:val="20"/>
                <w:szCs w:val="20"/>
              </w:rPr>
              <w:t>-[100%RDF]</w:t>
            </w:r>
          </w:p>
        </w:tc>
        <w:tc>
          <w:tcPr>
            <w:tcW w:w="2157" w:type="dxa"/>
            <w:tcBorders>
              <w:top w:val="single" w:sz="4" w:space="0" w:color="auto"/>
              <w:left w:val="single" w:sz="4" w:space="0" w:color="auto"/>
              <w:bottom w:val="single" w:sz="4" w:space="0" w:color="auto"/>
              <w:right w:val="single" w:sz="4" w:space="0" w:color="auto"/>
            </w:tcBorders>
          </w:tcPr>
          <w:p w14:paraId="4AFE29F3"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24.19</w:t>
            </w:r>
            <w:r w:rsidRPr="004A0813">
              <w:rPr>
                <w:rFonts w:ascii="Arial" w:hAnsi="Arial" w:cs="Arial"/>
                <w:sz w:val="20"/>
                <w:vertAlign w:val="superscript"/>
              </w:rPr>
              <w:t xml:space="preserve"> d</w:t>
            </w:r>
            <w:r w:rsidRPr="004A0813">
              <w:rPr>
                <w:rFonts w:ascii="Arial" w:hAnsi="Arial" w:cs="Arial"/>
                <w:sz w:val="20"/>
              </w:rPr>
              <w:t xml:space="preserve"> ± 0.00</w:t>
            </w:r>
          </w:p>
        </w:tc>
        <w:tc>
          <w:tcPr>
            <w:tcW w:w="2374" w:type="dxa"/>
            <w:tcBorders>
              <w:top w:val="single" w:sz="4" w:space="0" w:color="auto"/>
              <w:left w:val="single" w:sz="4" w:space="0" w:color="auto"/>
              <w:bottom w:val="single" w:sz="4" w:space="0" w:color="auto"/>
              <w:right w:val="single" w:sz="4" w:space="0" w:color="auto"/>
            </w:tcBorders>
          </w:tcPr>
          <w:p w14:paraId="139C2E5D"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171.8</w:t>
            </w:r>
            <w:r w:rsidRPr="004A0813">
              <w:rPr>
                <w:rFonts w:ascii="Arial" w:hAnsi="Arial" w:cs="Arial"/>
                <w:sz w:val="20"/>
                <w:vertAlign w:val="superscript"/>
              </w:rPr>
              <w:t xml:space="preserve"> e</w:t>
            </w:r>
            <w:r w:rsidRPr="004A0813">
              <w:rPr>
                <w:rFonts w:ascii="Arial" w:hAnsi="Arial" w:cs="Arial"/>
                <w:sz w:val="20"/>
              </w:rPr>
              <w:t xml:space="preserve"> ± 13.56</w:t>
            </w:r>
          </w:p>
        </w:tc>
      </w:tr>
      <w:tr w:rsidR="004A0813" w:rsidRPr="00B424F5" w14:paraId="0F80190C"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706EEFC6"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2</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(Soil applied)</w:t>
            </w:r>
          </w:p>
        </w:tc>
        <w:tc>
          <w:tcPr>
            <w:tcW w:w="2157" w:type="dxa"/>
            <w:tcBorders>
              <w:top w:val="single" w:sz="4" w:space="0" w:color="auto"/>
              <w:left w:val="single" w:sz="4" w:space="0" w:color="auto"/>
              <w:bottom w:val="single" w:sz="4" w:space="0" w:color="auto"/>
              <w:right w:val="single" w:sz="4" w:space="0" w:color="auto"/>
            </w:tcBorders>
          </w:tcPr>
          <w:p w14:paraId="6AF16761"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25.52</w:t>
            </w:r>
            <w:r w:rsidRPr="004A0813">
              <w:rPr>
                <w:rFonts w:ascii="Arial" w:hAnsi="Arial" w:cs="Arial"/>
                <w:sz w:val="20"/>
                <w:vertAlign w:val="superscript"/>
              </w:rPr>
              <w:t xml:space="preserve"> cd</w:t>
            </w:r>
            <w:r w:rsidRPr="004A0813">
              <w:rPr>
                <w:rFonts w:ascii="Arial" w:hAnsi="Arial" w:cs="Arial"/>
                <w:sz w:val="20"/>
              </w:rPr>
              <w:t xml:space="preserve"> ± 0.19</w:t>
            </w:r>
          </w:p>
        </w:tc>
        <w:tc>
          <w:tcPr>
            <w:tcW w:w="2374" w:type="dxa"/>
            <w:tcBorders>
              <w:top w:val="single" w:sz="4" w:space="0" w:color="auto"/>
              <w:left w:val="single" w:sz="4" w:space="0" w:color="auto"/>
              <w:bottom w:val="single" w:sz="4" w:space="0" w:color="auto"/>
              <w:right w:val="single" w:sz="4" w:space="0" w:color="auto"/>
            </w:tcBorders>
          </w:tcPr>
          <w:p w14:paraId="4A17D62B"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207.4</w:t>
            </w:r>
            <w:r w:rsidRPr="004A0813">
              <w:rPr>
                <w:rFonts w:ascii="Arial" w:hAnsi="Arial" w:cs="Arial"/>
                <w:sz w:val="20"/>
                <w:vertAlign w:val="superscript"/>
              </w:rPr>
              <w:t xml:space="preserve"> d</w:t>
            </w:r>
            <w:r w:rsidRPr="004A0813">
              <w:rPr>
                <w:rFonts w:ascii="Arial" w:hAnsi="Arial" w:cs="Arial"/>
                <w:sz w:val="20"/>
              </w:rPr>
              <w:t xml:space="preserve"> ± 4.43</w:t>
            </w:r>
          </w:p>
        </w:tc>
      </w:tr>
      <w:tr w:rsidR="004A0813" w:rsidRPr="00B424F5" w14:paraId="28197EC9" w14:textId="77777777" w:rsidTr="004A0813">
        <w:trPr>
          <w:trHeight w:val="188"/>
        </w:trPr>
        <w:tc>
          <w:tcPr>
            <w:tcW w:w="6851" w:type="dxa"/>
            <w:tcBorders>
              <w:top w:val="single" w:sz="4" w:space="0" w:color="auto"/>
              <w:left w:val="single" w:sz="4" w:space="0" w:color="auto"/>
              <w:bottom w:val="single" w:sz="4" w:space="0" w:color="auto"/>
              <w:right w:val="single" w:sz="4" w:space="0" w:color="auto"/>
            </w:tcBorders>
            <w:vAlign w:val="bottom"/>
          </w:tcPr>
          <w:p w14:paraId="404DAAA4"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3</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(Foliar applied)</w:t>
            </w:r>
          </w:p>
        </w:tc>
        <w:tc>
          <w:tcPr>
            <w:tcW w:w="2157" w:type="dxa"/>
            <w:tcBorders>
              <w:top w:val="single" w:sz="4" w:space="0" w:color="auto"/>
              <w:left w:val="single" w:sz="4" w:space="0" w:color="auto"/>
              <w:bottom w:val="single" w:sz="4" w:space="0" w:color="auto"/>
              <w:right w:val="single" w:sz="4" w:space="0" w:color="auto"/>
            </w:tcBorders>
          </w:tcPr>
          <w:p w14:paraId="7E9821C7"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27.29</w:t>
            </w:r>
            <w:r w:rsidRPr="004A0813">
              <w:rPr>
                <w:rFonts w:ascii="Arial" w:hAnsi="Arial" w:cs="Arial"/>
                <w:sz w:val="20"/>
                <w:vertAlign w:val="superscript"/>
              </w:rPr>
              <w:t xml:space="preserve"> b</w:t>
            </w:r>
            <w:r w:rsidRPr="004A0813">
              <w:rPr>
                <w:rFonts w:ascii="Arial" w:hAnsi="Arial" w:cs="Arial"/>
                <w:sz w:val="20"/>
              </w:rPr>
              <w:t xml:space="preserve"> ± 0.31</w:t>
            </w:r>
          </w:p>
        </w:tc>
        <w:tc>
          <w:tcPr>
            <w:tcW w:w="2374" w:type="dxa"/>
            <w:tcBorders>
              <w:top w:val="single" w:sz="4" w:space="0" w:color="auto"/>
              <w:left w:val="single" w:sz="4" w:space="0" w:color="auto"/>
              <w:bottom w:val="single" w:sz="4" w:space="0" w:color="auto"/>
              <w:right w:val="single" w:sz="4" w:space="0" w:color="auto"/>
            </w:tcBorders>
          </w:tcPr>
          <w:p w14:paraId="2D54C515"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230.3</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2.56</w:t>
            </w:r>
          </w:p>
        </w:tc>
      </w:tr>
      <w:tr w:rsidR="004A0813" w:rsidRPr="00B424F5" w14:paraId="150FDD75"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7521BBC9"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4</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2157" w:type="dxa"/>
            <w:tcBorders>
              <w:top w:val="single" w:sz="4" w:space="0" w:color="auto"/>
              <w:left w:val="single" w:sz="4" w:space="0" w:color="auto"/>
              <w:bottom w:val="single" w:sz="4" w:space="0" w:color="auto"/>
              <w:right w:val="single" w:sz="4" w:space="0" w:color="auto"/>
            </w:tcBorders>
          </w:tcPr>
          <w:p w14:paraId="2A2DF4E6"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26.45</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1.56</w:t>
            </w:r>
          </w:p>
        </w:tc>
        <w:tc>
          <w:tcPr>
            <w:tcW w:w="2374" w:type="dxa"/>
            <w:tcBorders>
              <w:top w:val="single" w:sz="4" w:space="0" w:color="auto"/>
              <w:left w:val="single" w:sz="4" w:space="0" w:color="auto"/>
              <w:bottom w:val="single" w:sz="4" w:space="0" w:color="auto"/>
              <w:right w:val="single" w:sz="4" w:space="0" w:color="auto"/>
            </w:tcBorders>
          </w:tcPr>
          <w:p w14:paraId="4018DE2B"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213.6</w:t>
            </w:r>
            <w:r w:rsidRPr="004A0813">
              <w:rPr>
                <w:rFonts w:ascii="Arial" w:hAnsi="Arial" w:cs="Arial"/>
                <w:sz w:val="20"/>
                <w:vertAlign w:val="superscript"/>
              </w:rPr>
              <w:t xml:space="preserve"> cd</w:t>
            </w:r>
            <w:r w:rsidRPr="004A0813">
              <w:rPr>
                <w:rFonts w:ascii="Arial" w:hAnsi="Arial" w:cs="Arial"/>
                <w:sz w:val="20"/>
              </w:rPr>
              <w:t xml:space="preserve"> ± 11.22</w:t>
            </w:r>
          </w:p>
        </w:tc>
      </w:tr>
      <w:tr w:rsidR="004A0813" w:rsidRPr="00B424F5" w14:paraId="4C7E4A83"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1CAF9012"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5</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w:t>
            </w:r>
          </w:p>
        </w:tc>
        <w:tc>
          <w:tcPr>
            <w:tcW w:w="2157" w:type="dxa"/>
            <w:tcBorders>
              <w:top w:val="single" w:sz="4" w:space="0" w:color="auto"/>
              <w:left w:val="single" w:sz="4" w:space="0" w:color="auto"/>
              <w:bottom w:val="single" w:sz="4" w:space="0" w:color="auto"/>
              <w:right w:val="single" w:sz="4" w:space="0" w:color="auto"/>
            </w:tcBorders>
          </w:tcPr>
          <w:p w14:paraId="1636CFB8"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26.87</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1.39</w:t>
            </w:r>
          </w:p>
        </w:tc>
        <w:tc>
          <w:tcPr>
            <w:tcW w:w="2374" w:type="dxa"/>
            <w:tcBorders>
              <w:top w:val="single" w:sz="4" w:space="0" w:color="auto"/>
              <w:left w:val="single" w:sz="4" w:space="0" w:color="auto"/>
              <w:bottom w:val="single" w:sz="4" w:space="0" w:color="auto"/>
              <w:right w:val="single" w:sz="4" w:space="0" w:color="auto"/>
            </w:tcBorders>
          </w:tcPr>
          <w:p w14:paraId="4FCB7CC4"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231.2</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15.52</w:t>
            </w:r>
          </w:p>
        </w:tc>
      </w:tr>
      <w:tr w:rsidR="004A0813" w:rsidRPr="00B424F5" w14:paraId="73EF839D" w14:textId="77777777" w:rsidTr="004A0813">
        <w:trPr>
          <w:trHeight w:val="54"/>
        </w:trPr>
        <w:tc>
          <w:tcPr>
            <w:tcW w:w="6851" w:type="dxa"/>
            <w:tcBorders>
              <w:top w:val="single" w:sz="4" w:space="0" w:color="auto"/>
              <w:left w:val="single" w:sz="4" w:space="0" w:color="auto"/>
              <w:bottom w:val="single" w:sz="4" w:space="0" w:color="auto"/>
              <w:right w:val="single" w:sz="4" w:space="0" w:color="auto"/>
            </w:tcBorders>
            <w:vAlign w:val="bottom"/>
          </w:tcPr>
          <w:p w14:paraId="23FD5F3B"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6</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2157" w:type="dxa"/>
            <w:tcBorders>
              <w:top w:val="single" w:sz="4" w:space="0" w:color="auto"/>
              <w:left w:val="single" w:sz="4" w:space="0" w:color="auto"/>
              <w:bottom w:val="single" w:sz="4" w:space="0" w:color="auto"/>
              <w:right w:val="single" w:sz="4" w:space="0" w:color="auto"/>
            </w:tcBorders>
          </w:tcPr>
          <w:p w14:paraId="4A3B1387"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27.73</w:t>
            </w:r>
            <w:r w:rsidRPr="004A0813">
              <w:rPr>
                <w:rFonts w:ascii="Arial" w:hAnsi="Arial" w:cs="Arial"/>
                <w:sz w:val="20"/>
                <w:vertAlign w:val="superscript"/>
              </w:rPr>
              <w:t xml:space="preserve"> ab</w:t>
            </w:r>
            <w:r w:rsidRPr="004A0813">
              <w:rPr>
                <w:rFonts w:ascii="Arial" w:hAnsi="Arial" w:cs="Arial"/>
                <w:sz w:val="20"/>
              </w:rPr>
              <w:t xml:space="preserve"> ± 0.47</w:t>
            </w:r>
          </w:p>
        </w:tc>
        <w:tc>
          <w:tcPr>
            <w:tcW w:w="2374" w:type="dxa"/>
            <w:tcBorders>
              <w:top w:val="single" w:sz="4" w:space="0" w:color="auto"/>
              <w:left w:val="single" w:sz="4" w:space="0" w:color="auto"/>
              <w:bottom w:val="single" w:sz="4" w:space="0" w:color="auto"/>
              <w:right w:val="single" w:sz="4" w:space="0" w:color="auto"/>
            </w:tcBorders>
          </w:tcPr>
          <w:p w14:paraId="57690B9E"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244.4</w:t>
            </w:r>
            <w:r w:rsidRPr="004A0813">
              <w:rPr>
                <w:rFonts w:ascii="Arial" w:hAnsi="Arial" w:cs="Arial"/>
                <w:sz w:val="20"/>
                <w:vertAlign w:val="superscript"/>
              </w:rPr>
              <w:t xml:space="preserve"> b</w:t>
            </w:r>
            <w:r w:rsidRPr="004A0813">
              <w:rPr>
                <w:rFonts w:ascii="Arial" w:hAnsi="Arial" w:cs="Arial"/>
                <w:sz w:val="20"/>
              </w:rPr>
              <w:t xml:space="preserve"> ± 10.9</w:t>
            </w:r>
          </w:p>
        </w:tc>
      </w:tr>
      <w:tr w:rsidR="004A0813" w:rsidRPr="00F6001D" w14:paraId="4A4C69A0" w14:textId="77777777" w:rsidTr="004A0813">
        <w:trPr>
          <w:trHeight w:val="57"/>
        </w:trPr>
        <w:tc>
          <w:tcPr>
            <w:tcW w:w="6851" w:type="dxa"/>
            <w:tcBorders>
              <w:top w:val="single" w:sz="4" w:space="0" w:color="auto"/>
              <w:left w:val="single" w:sz="4" w:space="0" w:color="auto"/>
              <w:bottom w:val="single" w:sz="4" w:space="0" w:color="auto"/>
              <w:right w:val="single" w:sz="4" w:space="0" w:color="auto"/>
            </w:tcBorders>
            <w:vAlign w:val="bottom"/>
          </w:tcPr>
          <w:p w14:paraId="4699085C"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2157" w:type="dxa"/>
            <w:tcBorders>
              <w:top w:val="single" w:sz="4" w:space="0" w:color="auto"/>
              <w:left w:val="single" w:sz="4" w:space="0" w:color="auto"/>
              <w:bottom w:val="single" w:sz="4" w:space="0" w:color="auto"/>
              <w:right w:val="single" w:sz="4" w:space="0" w:color="auto"/>
            </w:tcBorders>
          </w:tcPr>
          <w:p w14:paraId="77E281AB"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28.75</w:t>
            </w:r>
            <w:r w:rsidRPr="00F6001D">
              <w:rPr>
                <w:rFonts w:ascii="Arial" w:hAnsi="Arial" w:cs="Arial"/>
                <w:sz w:val="20"/>
                <w:szCs w:val="20"/>
                <w:vertAlign w:val="superscript"/>
              </w:rPr>
              <w:t xml:space="preserve"> a</w:t>
            </w:r>
            <w:r w:rsidRPr="00F6001D">
              <w:rPr>
                <w:rFonts w:ascii="Arial" w:hAnsi="Arial" w:cs="Arial"/>
                <w:sz w:val="20"/>
                <w:szCs w:val="20"/>
              </w:rPr>
              <w:t xml:space="preserve"> ± 0.44</w:t>
            </w:r>
          </w:p>
        </w:tc>
        <w:tc>
          <w:tcPr>
            <w:tcW w:w="2374" w:type="dxa"/>
            <w:tcBorders>
              <w:top w:val="single" w:sz="4" w:space="0" w:color="auto"/>
              <w:left w:val="single" w:sz="4" w:space="0" w:color="auto"/>
              <w:bottom w:val="single" w:sz="4" w:space="0" w:color="auto"/>
              <w:right w:val="single" w:sz="4" w:space="0" w:color="auto"/>
            </w:tcBorders>
          </w:tcPr>
          <w:p w14:paraId="47956B91"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266.7</w:t>
            </w:r>
            <w:r w:rsidRPr="00F6001D">
              <w:rPr>
                <w:rFonts w:ascii="Arial" w:hAnsi="Arial" w:cs="Arial"/>
                <w:sz w:val="20"/>
                <w:szCs w:val="20"/>
                <w:vertAlign w:val="superscript"/>
              </w:rPr>
              <w:t xml:space="preserve"> a</w:t>
            </w:r>
            <w:r w:rsidRPr="00F6001D">
              <w:rPr>
                <w:rFonts w:ascii="Arial" w:hAnsi="Arial" w:cs="Arial"/>
                <w:sz w:val="20"/>
                <w:szCs w:val="20"/>
              </w:rPr>
              <w:t xml:space="preserve"> ± 9.6</w:t>
            </w:r>
          </w:p>
        </w:tc>
      </w:tr>
    </w:tbl>
    <w:p w14:paraId="707CF1B1" w14:textId="77777777" w:rsidR="00BE5A83" w:rsidRPr="00F6001D" w:rsidRDefault="00BE5A83" w:rsidP="004A0813">
      <w:pPr>
        <w:pStyle w:val="NoSpacing"/>
        <w:jc w:val="center"/>
        <w:rPr>
          <w:rFonts w:ascii="Arial" w:hAnsi="Arial" w:cs="Arial"/>
          <w:b/>
          <w:sz w:val="20"/>
          <w:szCs w:val="20"/>
        </w:rPr>
      </w:pPr>
      <w:r w:rsidRPr="00F6001D">
        <w:rPr>
          <w:rFonts w:ascii="Arial" w:hAnsi="Arial" w:cs="Arial"/>
          <w:b/>
          <w:sz w:val="20"/>
          <w:szCs w:val="20"/>
        </w:rPr>
        <w:t>Table 1</w:t>
      </w:r>
      <w:r w:rsidR="004A0813" w:rsidRPr="00F6001D">
        <w:rPr>
          <w:rFonts w:ascii="Arial" w:hAnsi="Arial" w:cs="Arial"/>
          <w:b/>
          <w:sz w:val="20"/>
          <w:szCs w:val="20"/>
        </w:rPr>
        <w:t>:</w:t>
      </w:r>
      <w:r w:rsidRPr="00F6001D">
        <w:rPr>
          <w:rFonts w:ascii="Arial" w:hAnsi="Arial" w:cs="Arial"/>
          <w:b/>
          <w:sz w:val="20"/>
          <w:szCs w:val="20"/>
        </w:rPr>
        <w:t xml:space="preserve"> Effect of </w:t>
      </w:r>
      <w:proofErr w:type="spellStart"/>
      <w:r w:rsidRPr="00F6001D">
        <w:rPr>
          <w:rFonts w:ascii="Arial" w:hAnsi="Arial" w:cs="Arial"/>
          <w:b/>
          <w:sz w:val="20"/>
          <w:szCs w:val="20"/>
        </w:rPr>
        <w:t>humic</w:t>
      </w:r>
      <w:proofErr w:type="spellEnd"/>
      <w:r w:rsidRPr="00F6001D">
        <w:rPr>
          <w:rFonts w:ascii="Arial" w:hAnsi="Arial" w:cs="Arial"/>
          <w:b/>
          <w:sz w:val="20"/>
          <w:szCs w:val="20"/>
        </w:rPr>
        <w:t xml:space="preserve"> acid and </w:t>
      </w:r>
      <w:proofErr w:type="spellStart"/>
      <w:r w:rsidRPr="00F6001D">
        <w:rPr>
          <w:rFonts w:ascii="Arial" w:hAnsi="Arial" w:cs="Arial"/>
          <w:b/>
          <w:sz w:val="20"/>
          <w:szCs w:val="20"/>
        </w:rPr>
        <w:t>brassinolide</w:t>
      </w:r>
      <w:proofErr w:type="spellEnd"/>
      <w:r w:rsidRPr="00F6001D">
        <w:rPr>
          <w:rFonts w:ascii="Arial" w:hAnsi="Arial" w:cs="Arial"/>
          <w:b/>
          <w:sz w:val="20"/>
          <w:szCs w:val="20"/>
        </w:rPr>
        <w:t xml:space="preserve"> on the Protein content (%) and Protein yield (kg ha</w:t>
      </w:r>
      <w:r w:rsidRPr="00F6001D">
        <w:rPr>
          <w:rFonts w:ascii="Arial" w:hAnsi="Arial" w:cs="Arial"/>
          <w:b/>
          <w:sz w:val="20"/>
          <w:szCs w:val="20"/>
          <w:vertAlign w:val="superscript"/>
        </w:rPr>
        <w:t>-1</w:t>
      </w:r>
      <w:r w:rsidRPr="00F6001D">
        <w:rPr>
          <w:rFonts w:ascii="Arial" w:hAnsi="Arial" w:cs="Arial"/>
          <w:b/>
          <w:sz w:val="20"/>
          <w:szCs w:val="20"/>
        </w:rPr>
        <w:t>) of black gram.</w:t>
      </w:r>
    </w:p>
    <w:p w14:paraId="045119F3" w14:textId="77777777" w:rsidR="004A0813" w:rsidRPr="00F6001D" w:rsidRDefault="004A0813" w:rsidP="004A0813">
      <w:pPr>
        <w:pStyle w:val="NoSpacing"/>
        <w:jc w:val="center"/>
        <w:rPr>
          <w:rFonts w:ascii="Arial" w:hAnsi="Arial" w:cs="Arial"/>
          <w:b/>
          <w:sz w:val="20"/>
          <w:szCs w:val="20"/>
        </w:rPr>
      </w:pPr>
    </w:p>
    <w:p w14:paraId="365D427D" w14:textId="77777777" w:rsidR="004A0813" w:rsidRPr="00F6001D" w:rsidRDefault="004A0813" w:rsidP="004A0813">
      <w:pPr>
        <w:pStyle w:val="NoSpacing"/>
        <w:jc w:val="center"/>
        <w:rPr>
          <w:rFonts w:ascii="Arial" w:hAnsi="Arial" w:cs="Arial"/>
          <w:b/>
          <w:sz w:val="20"/>
          <w:szCs w:val="20"/>
        </w:rPr>
      </w:pPr>
    </w:p>
    <w:p w14:paraId="32CC8CA1" w14:textId="77777777" w:rsidR="004A0813" w:rsidRPr="00F6001D" w:rsidRDefault="004A0813" w:rsidP="004A0813">
      <w:pPr>
        <w:pStyle w:val="NoSpacing"/>
        <w:jc w:val="center"/>
        <w:rPr>
          <w:rFonts w:ascii="Arial" w:hAnsi="Arial" w:cs="Arial"/>
          <w:b/>
          <w:sz w:val="20"/>
          <w:szCs w:val="20"/>
        </w:rPr>
      </w:pPr>
    </w:p>
    <w:p w14:paraId="6C3BC072" w14:textId="77777777" w:rsidR="004A0813" w:rsidRPr="00F6001D" w:rsidRDefault="004A0813" w:rsidP="004A0813">
      <w:pPr>
        <w:pStyle w:val="NoSpacing"/>
        <w:jc w:val="center"/>
        <w:rPr>
          <w:rFonts w:ascii="Arial" w:hAnsi="Arial" w:cs="Arial"/>
          <w:b/>
          <w:sz w:val="20"/>
          <w:szCs w:val="20"/>
        </w:rPr>
      </w:pPr>
    </w:p>
    <w:p w14:paraId="4B52CBF3" w14:textId="77777777" w:rsidR="004A0813" w:rsidRPr="00F6001D" w:rsidRDefault="004A0813" w:rsidP="004A0813">
      <w:pPr>
        <w:pStyle w:val="NoSpacing"/>
        <w:jc w:val="center"/>
        <w:rPr>
          <w:rFonts w:ascii="Arial" w:hAnsi="Arial" w:cs="Arial"/>
          <w:b/>
          <w:sz w:val="20"/>
          <w:szCs w:val="20"/>
        </w:rPr>
      </w:pPr>
    </w:p>
    <w:p w14:paraId="426710E7" w14:textId="77777777" w:rsidR="004A0813" w:rsidRPr="00F6001D" w:rsidRDefault="004A0813" w:rsidP="004A0813">
      <w:pPr>
        <w:pStyle w:val="NoSpacing"/>
        <w:jc w:val="center"/>
        <w:rPr>
          <w:rFonts w:ascii="Arial" w:hAnsi="Arial" w:cs="Arial"/>
          <w:b/>
          <w:sz w:val="20"/>
          <w:szCs w:val="20"/>
        </w:rPr>
      </w:pPr>
    </w:p>
    <w:p w14:paraId="07004FC7" w14:textId="77777777" w:rsidR="004A0813" w:rsidRPr="00F6001D" w:rsidRDefault="004A0813" w:rsidP="004A0813">
      <w:pPr>
        <w:pStyle w:val="NoSpacing"/>
        <w:jc w:val="center"/>
        <w:rPr>
          <w:rFonts w:ascii="Arial" w:hAnsi="Arial" w:cs="Arial"/>
          <w:b/>
          <w:sz w:val="20"/>
          <w:szCs w:val="20"/>
        </w:rPr>
      </w:pPr>
    </w:p>
    <w:p w14:paraId="32014150" w14:textId="77777777" w:rsidR="004A0813" w:rsidRPr="00F6001D" w:rsidRDefault="004A0813" w:rsidP="004A0813">
      <w:pPr>
        <w:pStyle w:val="NoSpacing"/>
        <w:jc w:val="center"/>
        <w:rPr>
          <w:rFonts w:ascii="Arial" w:hAnsi="Arial" w:cs="Arial"/>
          <w:b/>
          <w:sz w:val="20"/>
          <w:szCs w:val="20"/>
        </w:rPr>
      </w:pPr>
    </w:p>
    <w:p w14:paraId="7533607E" w14:textId="77777777" w:rsidR="004A0813" w:rsidRPr="00F6001D" w:rsidRDefault="004A0813" w:rsidP="004A0813">
      <w:pPr>
        <w:pStyle w:val="NoSpacing"/>
        <w:jc w:val="center"/>
        <w:rPr>
          <w:rFonts w:ascii="Arial" w:hAnsi="Arial" w:cs="Arial"/>
          <w:b/>
          <w:sz w:val="20"/>
          <w:szCs w:val="20"/>
        </w:rPr>
      </w:pPr>
    </w:p>
    <w:p w14:paraId="4F09B816" w14:textId="77777777" w:rsidR="004A0813" w:rsidRPr="00F6001D" w:rsidRDefault="004A0813" w:rsidP="004A0813">
      <w:pPr>
        <w:pStyle w:val="NoSpacing"/>
        <w:jc w:val="center"/>
        <w:rPr>
          <w:rFonts w:ascii="Arial" w:hAnsi="Arial" w:cs="Arial"/>
          <w:b/>
          <w:sz w:val="20"/>
          <w:szCs w:val="20"/>
        </w:rPr>
      </w:pPr>
    </w:p>
    <w:p w14:paraId="42E7F6A3" w14:textId="77777777" w:rsidR="00F6001D" w:rsidRDefault="00F6001D" w:rsidP="00F6001D">
      <w:pPr>
        <w:pStyle w:val="NoSpacing"/>
        <w:jc w:val="center"/>
        <w:rPr>
          <w:rFonts w:ascii="Arial" w:hAnsi="Arial" w:cs="Arial"/>
          <w:b/>
          <w:sz w:val="20"/>
          <w:szCs w:val="20"/>
        </w:rPr>
      </w:pPr>
    </w:p>
    <w:p w14:paraId="57EDB277" w14:textId="77777777" w:rsidR="004A0813" w:rsidRPr="00F6001D" w:rsidRDefault="004A0813" w:rsidP="00F6001D">
      <w:pPr>
        <w:pStyle w:val="NoSpacing"/>
        <w:jc w:val="center"/>
        <w:rPr>
          <w:rFonts w:ascii="Arial" w:hAnsi="Arial" w:cs="Arial"/>
          <w:b/>
          <w:sz w:val="20"/>
          <w:szCs w:val="20"/>
        </w:rPr>
      </w:pPr>
      <w:r w:rsidRPr="00F6001D">
        <w:rPr>
          <w:rFonts w:ascii="Arial" w:hAnsi="Arial" w:cs="Arial"/>
          <w:b/>
          <w:sz w:val="20"/>
          <w:szCs w:val="20"/>
        </w:rPr>
        <w:t>Table 2</w:t>
      </w:r>
      <w:r w:rsidR="00F6001D" w:rsidRPr="00F6001D">
        <w:rPr>
          <w:rFonts w:ascii="Arial" w:hAnsi="Arial" w:cs="Arial"/>
          <w:b/>
          <w:sz w:val="20"/>
          <w:szCs w:val="20"/>
        </w:rPr>
        <w:t>:</w:t>
      </w:r>
      <w:r w:rsidRPr="00F6001D">
        <w:rPr>
          <w:rFonts w:ascii="Arial" w:hAnsi="Arial" w:cs="Arial"/>
          <w:b/>
          <w:sz w:val="20"/>
          <w:szCs w:val="20"/>
        </w:rPr>
        <w:t xml:space="preserve"> Effect of </w:t>
      </w:r>
      <w:proofErr w:type="spellStart"/>
      <w:r w:rsidRPr="00F6001D">
        <w:rPr>
          <w:rFonts w:ascii="Arial" w:hAnsi="Arial" w:cs="Arial"/>
          <w:b/>
          <w:sz w:val="20"/>
          <w:szCs w:val="20"/>
        </w:rPr>
        <w:t>humic</w:t>
      </w:r>
      <w:proofErr w:type="spellEnd"/>
      <w:r w:rsidRPr="00F6001D">
        <w:rPr>
          <w:rFonts w:ascii="Arial" w:hAnsi="Arial" w:cs="Arial"/>
          <w:b/>
          <w:sz w:val="20"/>
          <w:szCs w:val="20"/>
        </w:rPr>
        <w:t xml:space="preserve"> acid and </w:t>
      </w:r>
      <w:proofErr w:type="spellStart"/>
      <w:r w:rsidRPr="00F6001D">
        <w:rPr>
          <w:rFonts w:ascii="Arial" w:hAnsi="Arial" w:cs="Arial"/>
          <w:b/>
          <w:sz w:val="20"/>
          <w:szCs w:val="20"/>
        </w:rPr>
        <w:t>brassinolide</w:t>
      </w:r>
      <w:proofErr w:type="spellEnd"/>
      <w:r w:rsidRPr="00F6001D">
        <w:rPr>
          <w:rFonts w:ascii="Arial" w:hAnsi="Arial" w:cs="Arial"/>
          <w:b/>
          <w:sz w:val="20"/>
          <w:szCs w:val="20"/>
        </w:rPr>
        <w:t xml:space="preserve"> on the Grain N, P, K (%) content of black gram.</w:t>
      </w:r>
    </w:p>
    <w:tbl>
      <w:tblPr>
        <w:tblpPr w:leftFromText="180" w:rightFromText="180" w:vertAnchor="page" w:horzAnchor="margin" w:tblpXSpec="center" w:tblpY="4576"/>
        <w:tblW w:w="11902" w:type="dxa"/>
        <w:tblLook w:val="04A0" w:firstRow="1" w:lastRow="0" w:firstColumn="1" w:lastColumn="0" w:noHBand="0" w:noVBand="1"/>
      </w:tblPr>
      <w:tblGrid>
        <w:gridCol w:w="6990"/>
        <w:gridCol w:w="1652"/>
        <w:gridCol w:w="1559"/>
        <w:gridCol w:w="1701"/>
      </w:tblGrid>
      <w:tr w:rsidR="00F6001D" w:rsidRPr="00F6001D" w14:paraId="2698D338" w14:textId="77777777" w:rsidTr="00F6001D">
        <w:trPr>
          <w:trHeight w:val="193"/>
        </w:trPr>
        <w:tc>
          <w:tcPr>
            <w:tcW w:w="6990" w:type="dxa"/>
            <w:tcBorders>
              <w:top w:val="single" w:sz="4" w:space="0" w:color="auto"/>
              <w:left w:val="single" w:sz="4" w:space="0" w:color="auto"/>
              <w:bottom w:val="single" w:sz="4" w:space="0" w:color="auto"/>
              <w:right w:val="single" w:sz="4" w:space="0" w:color="auto"/>
            </w:tcBorders>
          </w:tcPr>
          <w:p w14:paraId="54E4649C"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Treatments</w:t>
            </w:r>
          </w:p>
        </w:tc>
        <w:tc>
          <w:tcPr>
            <w:tcW w:w="1652" w:type="dxa"/>
            <w:tcBorders>
              <w:top w:val="single" w:sz="4" w:space="0" w:color="auto"/>
              <w:left w:val="single" w:sz="4" w:space="0" w:color="auto"/>
              <w:bottom w:val="single" w:sz="4" w:space="0" w:color="auto"/>
              <w:right w:val="single" w:sz="4" w:space="0" w:color="auto"/>
            </w:tcBorders>
          </w:tcPr>
          <w:p w14:paraId="58F4854B"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N (%)</w:t>
            </w:r>
          </w:p>
        </w:tc>
        <w:tc>
          <w:tcPr>
            <w:tcW w:w="1559" w:type="dxa"/>
            <w:tcBorders>
              <w:top w:val="single" w:sz="4" w:space="0" w:color="auto"/>
              <w:left w:val="single" w:sz="4" w:space="0" w:color="auto"/>
              <w:bottom w:val="single" w:sz="4" w:space="0" w:color="auto"/>
              <w:right w:val="single" w:sz="4" w:space="0" w:color="auto"/>
            </w:tcBorders>
            <w:vAlign w:val="bottom"/>
          </w:tcPr>
          <w:p w14:paraId="37AA792B"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P (%)</w:t>
            </w:r>
          </w:p>
        </w:tc>
        <w:tc>
          <w:tcPr>
            <w:tcW w:w="1701" w:type="dxa"/>
            <w:tcBorders>
              <w:top w:val="single" w:sz="4" w:space="0" w:color="auto"/>
              <w:left w:val="single" w:sz="4" w:space="0" w:color="auto"/>
              <w:bottom w:val="single" w:sz="4" w:space="0" w:color="auto"/>
              <w:right w:val="single" w:sz="4" w:space="0" w:color="auto"/>
            </w:tcBorders>
            <w:vAlign w:val="bottom"/>
          </w:tcPr>
          <w:p w14:paraId="21F7482E"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K (%)</w:t>
            </w:r>
          </w:p>
        </w:tc>
      </w:tr>
      <w:tr w:rsidR="00F6001D" w:rsidRPr="00F6001D" w14:paraId="6BFF83AD"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FEBE243"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0</w:t>
            </w:r>
            <w:r w:rsidRPr="00F6001D">
              <w:rPr>
                <w:rFonts w:ascii="Arial" w:hAnsi="Arial" w:cs="Arial"/>
                <w:sz w:val="20"/>
                <w:szCs w:val="20"/>
              </w:rPr>
              <w:t>-Control</w:t>
            </w:r>
          </w:p>
        </w:tc>
        <w:tc>
          <w:tcPr>
            <w:tcW w:w="1652" w:type="dxa"/>
            <w:tcBorders>
              <w:top w:val="single" w:sz="4" w:space="0" w:color="auto"/>
              <w:left w:val="single" w:sz="4" w:space="0" w:color="auto"/>
              <w:bottom w:val="single" w:sz="4" w:space="0" w:color="auto"/>
              <w:right w:val="single" w:sz="4" w:space="0" w:color="auto"/>
            </w:tcBorders>
          </w:tcPr>
          <w:p w14:paraId="2753F2C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2.16</w:t>
            </w:r>
            <w:r w:rsidRPr="00F6001D">
              <w:rPr>
                <w:rFonts w:ascii="Arial" w:hAnsi="Arial" w:cs="Arial"/>
                <w:sz w:val="20"/>
                <w:szCs w:val="20"/>
                <w:vertAlign w:val="superscript"/>
              </w:rPr>
              <w:t xml:space="preserve"> d</w:t>
            </w:r>
            <w:r w:rsidRPr="00F6001D">
              <w:rPr>
                <w:rFonts w:ascii="Arial" w:hAnsi="Arial" w:cs="Arial"/>
                <w:sz w:val="20"/>
                <w:szCs w:val="20"/>
              </w:rPr>
              <w:t xml:space="preserve"> ± 0.03</w:t>
            </w:r>
          </w:p>
        </w:tc>
        <w:tc>
          <w:tcPr>
            <w:tcW w:w="1559" w:type="dxa"/>
            <w:tcBorders>
              <w:top w:val="single" w:sz="4" w:space="0" w:color="auto"/>
              <w:left w:val="single" w:sz="4" w:space="0" w:color="auto"/>
              <w:bottom w:val="single" w:sz="4" w:space="0" w:color="auto"/>
              <w:right w:val="single" w:sz="4" w:space="0" w:color="auto"/>
            </w:tcBorders>
          </w:tcPr>
          <w:p w14:paraId="5A96100A"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0.366</w:t>
            </w:r>
            <w:r w:rsidRPr="00F6001D">
              <w:rPr>
                <w:rFonts w:ascii="Arial" w:hAnsi="Arial" w:cs="Arial"/>
                <w:sz w:val="20"/>
                <w:szCs w:val="20"/>
                <w:vertAlign w:val="superscript"/>
              </w:rPr>
              <w:t xml:space="preserve"> e</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49F2359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1.52</w:t>
            </w:r>
            <w:r w:rsidRPr="00F6001D">
              <w:rPr>
                <w:rFonts w:ascii="Arial" w:hAnsi="Arial" w:cs="Arial"/>
                <w:sz w:val="20"/>
                <w:szCs w:val="20"/>
                <w:vertAlign w:val="superscript"/>
              </w:rPr>
              <w:t xml:space="preserve"> g</w:t>
            </w:r>
            <w:r w:rsidRPr="00F6001D">
              <w:rPr>
                <w:rFonts w:ascii="Arial" w:hAnsi="Arial" w:cs="Arial"/>
                <w:sz w:val="20"/>
                <w:szCs w:val="20"/>
              </w:rPr>
              <w:t xml:space="preserve"> ± 0.01</w:t>
            </w:r>
          </w:p>
        </w:tc>
      </w:tr>
      <w:tr w:rsidR="00F6001D" w:rsidRPr="00F6001D" w14:paraId="04764E4A" w14:textId="77777777" w:rsidTr="00F6001D">
        <w:trPr>
          <w:trHeight w:val="187"/>
        </w:trPr>
        <w:tc>
          <w:tcPr>
            <w:tcW w:w="6990" w:type="dxa"/>
            <w:tcBorders>
              <w:top w:val="single" w:sz="4" w:space="0" w:color="auto"/>
              <w:left w:val="single" w:sz="4" w:space="0" w:color="auto"/>
              <w:bottom w:val="single" w:sz="4" w:space="0" w:color="auto"/>
              <w:right w:val="single" w:sz="4" w:space="0" w:color="auto"/>
            </w:tcBorders>
            <w:vAlign w:val="bottom"/>
          </w:tcPr>
          <w:p w14:paraId="446B742A"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1</w:t>
            </w:r>
            <w:r w:rsidRPr="00F6001D">
              <w:rPr>
                <w:rFonts w:ascii="Arial" w:hAnsi="Arial" w:cs="Arial"/>
                <w:sz w:val="20"/>
                <w:szCs w:val="20"/>
              </w:rPr>
              <w:t>-[100%RDF]</w:t>
            </w:r>
          </w:p>
        </w:tc>
        <w:tc>
          <w:tcPr>
            <w:tcW w:w="1652" w:type="dxa"/>
            <w:tcBorders>
              <w:top w:val="single" w:sz="4" w:space="0" w:color="auto"/>
              <w:left w:val="single" w:sz="4" w:space="0" w:color="auto"/>
              <w:bottom w:val="single" w:sz="4" w:space="0" w:color="auto"/>
              <w:right w:val="single" w:sz="4" w:space="0" w:color="auto"/>
            </w:tcBorders>
          </w:tcPr>
          <w:p w14:paraId="695453E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3.10</w:t>
            </w:r>
            <w:r w:rsidRPr="00F6001D">
              <w:rPr>
                <w:rFonts w:ascii="Arial" w:hAnsi="Arial" w:cs="Arial"/>
                <w:sz w:val="20"/>
                <w:szCs w:val="20"/>
                <w:vertAlign w:val="superscript"/>
              </w:rPr>
              <w:t xml:space="preserve"> c</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6323032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0.500</w:t>
            </w:r>
            <w:r w:rsidRPr="00F6001D">
              <w:rPr>
                <w:rFonts w:ascii="Arial" w:hAnsi="Arial" w:cs="Arial"/>
                <w:sz w:val="20"/>
                <w:szCs w:val="20"/>
                <w:vertAlign w:val="superscript"/>
              </w:rPr>
              <w:t xml:space="preserve"> d</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513BF6C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1.80</w:t>
            </w:r>
            <w:r w:rsidRPr="00F6001D">
              <w:rPr>
                <w:rFonts w:ascii="Arial" w:hAnsi="Arial" w:cs="Arial"/>
                <w:sz w:val="20"/>
                <w:szCs w:val="20"/>
                <w:vertAlign w:val="superscript"/>
              </w:rPr>
              <w:t xml:space="preserve"> f</w:t>
            </w:r>
            <w:r w:rsidRPr="00F6001D">
              <w:rPr>
                <w:rFonts w:ascii="Arial" w:hAnsi="Arial" w:cs="Arial"/>
                <w:sz w:val="20"/>
                <w:szCs w:val="20"/>
              </w:rPr>
              <w:t xml:space="preserve"> ± 0.2</w:t>
            </w:r>
          </w:p>
        </w:tc>
      </w:tr>
      <w:tr w:rsidR="00F6001D" w:rsidRPr="00F6001D" w14:paraId="6EAC1808"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9A6303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2</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(Soil applied)</w:t>
            </w:r>
          </w:p>
        </w:tc>
        <w:tc>
          <w:tcPr>
            <w:tcW w:w="1652" w:type="dxa"/>
            <w:tcBorders>
              <w:top w:val="single" w:sz="4" w:space="0" w:color="auto"/>
              <w:left w:val="single" w:sz="4" w:space="0" w:color="auto"/>
              <w:bottom w:val="single" w:sz="4" w:space="0" w:color="auto"/>
              <w:right w:val="single" w:sz="4" w:space="0" w:color="auto"/>
            </w:tcBorders>
          </w:tcPr>
          <w:p w14:paraId="07959FA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3.43</w:t>
            </w:r>
            <w:r w:rsidRPr="00F6001D">
              <w:rPr>
                <w:rFonts w:ascii="Arial" w:hAnsi="Arial" w:cs="Arial"/>
                <w:sz w:val="20"/>
                <w:szCs w:val="20"/>
                <w:vertAlign w:val="superscript"/>
              </w:rPr>
              <w:t xml:space="preserve"> ab</w:t>
            </w:r>
            <w:r w:rsidRPr="00F6001D">
              <w:rPr>
                <w:rFonts w:ascii="Arial" w:hAnsi="Arial" w:cs="Arial"/>
                <w:sz w:val="20"/>
                <w:szCs w:val="20"/>
              </w:rPr>
              <w:t xml:space="preserve"> ± 0.20</w:t>
            </w:r>
          </w:p>
        </w:tc>
        <w:tc>
          <w:tcPr>
            <w:tcW w:w="1559" w:type="dxa"/>
            <w:tcBorders>
              <w:top w:val="single" w:sz="4" w:space="0" w:color="auto"/>
              <w:left w:val="single" w:sz="4" w:space="0" w:color="auto"/>
              <w:bottom w:val="single" w:sz="4" w:space="0" w:color="auto"/>
              <w:right w:val="single" w:sz="4" w:space="0" w:color="auto"/>
            </w:tcBorders>
          </w:tcPr>
          <w:p w14:paraId="121B91E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0.633</w:t>
            </w:r>
            <w:r w:rsidRPr="00F6001D">
              <w:rPr>
                <w:rFonts w:ascii="Arial" w:hAnsi="Arial" w:cs="Arial"/>
                <w:sz w:val="20"/>
                <w:szCs w:val="20"/>
                <w:vertAlign w:val="superscript"/>
              </w:rPr>
              <w:t xml:space="preserve"> b</w:t>
            </w:r>
            <w:r w:rsidRPr="00F6001D">
              <w:rPr>
                <w:rFonts w:ascii="Arial" w:hAnsi="Arial" w:cs="Arial"/>
                <w:sz w:val="20"/>
                <w:szCs w:val="20"/>
              </w:rPr>
              <w:t xml:space="preserve"> ± 0.0</w:t>
            </w:r>
          </w:p>
        </w:tc>
        <w:tc>
          <w:tcPr>
            <w:tcW w:w="1701" w:type="dxa"/>
            <w:tcBorders>
              <w:top w:val="single" w:sz="4" w:space="0" w:color="auto"/>
              <w:left w:val="single" w:sz="4" w:space="0" w:color="auto"/>
              <w:bottom w:val="single" w:sz="4" w:space="0" w:color="auto"/>
              <w:right w:val="single" w:sz="4" w:space="0" w:color="auto"/>
            </w:tcBorders>
          </w:tcPr>
          <w:p w14:paraId="46BA286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2.39</w:t>
            </w:r>
            <w:r w:rsidRPr="00F6001D">
              <w:rPr>
                <w:rFonts w:ascii="Arial" w:hAnsi="Arial" w:cs="Arial"/>
                <w:sz w:val="20"/>
                <w:szCs w:val="20"/>
                <w:vertAlign w:val="superscript"/>
              </w:rPr>
              <w:t xml:space="preserve"> d</w:t>
            </w:r>
            <w:r w:rsidRPr="00F6001D">
              <w:rPr>
                <w:rFonts w:ascii="Arial" w:hAnsi="Arial" w:cs="Arial"/>
                <w:sz w:val="20"/>
                <w:szCs w:val="20"/>
              </w:rPr>
              <w:t xml:space="preserve"> ± 0.01</w:t>
            </w:r>
          </w:p>
        </w:tc>
      </w:tr>
      <w:tr w:rsidR="00F6001D" w:rsidRPr="00F6001D" w14:paraId="2504B6CB" w14:textId="77777777" w:rsidTr="00F6001D">
        <w:trPr>
          <w:trHeight w:val="187"/>
        </w:trPr>
        <w:tc>
          <w:tcPr>
            <w:tcW w:w="6990" w:type="dxa"/>
            <w:tcBorders>
              <w:top w:val="single" w:sz="4" w:space="0" w:color="auto"/>
              <w:left w:val="single" w:sz="4" w:space="0" w:color="auto"/>
              <w:bottom w:val="single" w:sz="4" w:space="0" w:color="auto"/>
              <w:right w:val="single" w:sz="4" w:space="0" w:color="auto"/>
            </w:tcBorders>
            <w:vAlign w:val="bottom"/>
          </w:tcPr>
          <w:p w14:paraId="5B22E257"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3</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(Foliar applied)</w:t>
            </w:r>
          </w:p>
        </w:tc>
        <w:tc>
          <w:tcPr>
            <w:tcW w:w="1652" w:type="dxa"/>
            <w:tcBorders>
              <w:top w:val="single" w:sz="4" w:space="0" w:color="auto"/>
              <w:left w:val="single" w:sz="4" w:space="0" w:color="auto"/>
              <w:bottom w:val="single" w:sz="4" w:space="0" w:color="auto"/>
              <w:right w:val="single" w:sz="4" w:space="0" w:color="auto"/>
            </w:tcBorders>
          </w:tcPr>
          <w:p w14:paraId="6452121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3.46</w:t>
            </w:r>
            <w:r w:rsidRPr="00F6001D">
              <w:rPr>
                <w:rFonts w:ascii="Arial" w:hAnsi="Arial" w:cs="Arial"/>
                <w:sz w:val="20"/>
                <w:szCs w:val="20"/>
                <w:vertAlign w:val="superscript"/>
              </w:rPr>
              <w:t xml:space="preserve"> ab</w:t>
            </w:r>
            <w:r w:rsidRPr="00F6001D">
              <w:rPr>
                <w:rFonts w:ascii="Arial" w:hAnsi="Arial" w:cs="Arial"/>
                <w:sz w:val="20"/>
                <w:szCs w:val="20"/>
              </w:rPr>
              <w:t xml:space="preserve"> ± 0.05</w:t>
            </w:r>
          </w:p>
        </w:tc>
        <w:tc>
          <w:tcPr>
            <w:tcW w:w="1559" w:type="dxa"/>
            <w:tcBorders>
              <w:top w:val="single" w:sz="4" w:space="0" w:color="auto"/>
              <w:left w:val="single" w:sz="4" w:space="0" w:color="auto"/>
              <w:bottom w:val="single" w:sz="4" w:space="0" w:color="auto"/>
              <w:right w:val="single" w:sz="4" w:space="0" w:color="auto"/>
            </w:tcBorders>
          </w:tcPr>
          <w:p w14:paraId="3B8E2C6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5849DF3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2.59</w:t>
            </w:r>
            <w:r w:rsidRPr="00F6001D">
              <w:rPr>
                <w:rFonts w:ascii="Arial" w:hAnsi="Arial" w:cs="Arial"/>
                <w:sz w:val="20"/>
                <w:szCs w:val="20"/>
                <w:vertAlign w:val="superscript"/>
              </w:rPr>
              <w:t xml:space="preserve"> b</w:t>
            </w:r>
            <w:r w:rsidRPr="00F6001D">
              <w:rPr>
                <w:rFonts w:ascii="Arial" w:hAnsi="Arial" w:cs="Arial"/>
                <w:sz w:val="20"/>
                <w:szCs w:val="20"/>
              </w:rPr>
              <w:t xml:space="preserve"> ± 0.01</w:t>
            </w:r>
          </w:p>
        </w:tc>
      </w:tr>
      <w:tr w:rsidR="00F6001D" w:rsidRPr="00F6001D" w14:paraId="623D1952"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0E5489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4</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52" w:type="dxa"/>
            <w:tcBorders>
              <w:top w:val="single" w:sz="4" w:space="0" w:color="auto"/>
              <w:left w:val="single" w:sz="4" w:space="0" w:color="auto"/>
              <w:bottom w:val="single" w:sz="4" w:space="0" w:color="auto"/>
              <w:right w:val="single" w:sz="4" w:space="0" w:color="auto"/>
            </w:tcBorders>
          </w:tcPr>
          <w:p w14:paraId="371F71B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3.30</w:t>
            </w:r>
            <w:r w:rsidRPr="00F6001D">
              <w:rPr>
                <w:rFonts w:ascii="Arial" w:hAnsi="Arial" w:cs="Arial"/>
                <w:sz w:val="20"/>
                <w:szCs w:val="20"/>
                <w:vertAlign w:val="superscript"/>
              </w:rPr>
              <w:t xml:space="preserve"> b</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4C5A930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0.566</w:t>
            </w:r>
            <w:r w:rsidRPr="00F6001D">
              <w:rPr>
                <w:rFonts w:ascii="Arial" w:hAnsi="Arial" w:cs="Arial"/>
                <w:sz w:val="20"/>
                <w:szCs w:val="20"/>
                <w:vertAlign w:val="superscript"/>
              </w:rPr>
              <w:t xml:space="preserve"> c</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49C6948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2.33</w:t>
            </w:r>
            <w:r w:rsidRPr="00F6001D">
              <w:rPr>
                <w:rFonts w:ascii="Arial" w:hAnsi="Arial" w:cs="Arial"/>
                <w:sz w:val="20"/>
                <w:szCs w:val="20"/>
                <w:vertAlign w:val="superscript"/>
              </w:rPr>
              <w:t xml:space="preserve"> e</w:t>
            </w:r>
            <w:r w:rsidRPr="00F6001D">
              <w:rPr>
                <w:rFonts w:ascii="Arial" w:hAnsi="Arial" w:cs="Arial"/>
                <w:sz w:val="20"/>
                <w:szCs w:val="20"/>
              </w:rPr>
              <w:t xml:space="preserve"> ± 0.02</w:t>
            </w:r>
          </w:p>
        </w:tc>
      </w:tr>
      <w:tr w:rsidR="00F6001D" w:rsidRPr="00F6001D" w14:paraId="021B79C6"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5D01388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5</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52" w:type="dxa"/>
            <w:tcBorders>
              <w:top w:val="single" w:sz="4" w:space="0" w:color="auto"/>
              <w:left w:val="single" w:sz="4" w:space="0" w:color="auto"/>
              <w:bottom w:val="single" w:sz="4" w:space="0" w:color="auto"/>
              <w:right w:val="single" w:sz="4" w:space="0" w:color="auto"/>
            </w:tcBorders>
          </w:tcPr>
          <w:p w14:paraId="12E36A4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3.43</w:t>
            </w:r>
            <w:r w:rsidRPr="00F6001D">
              <w:rPr>
                <w:rFonts w:ascii="Arial" w:hAnsi="Arial" w:cs="Arial"/>
                <w:sz w:val="20"/>
                <w:szCs w:val="20"/>
                <w:vertAlign w:val="superscript"/>
              </w:rPr>
              <w:t xml:space="preserve"> ab</w:t>
            </w:r>
            <w:r w:rsidRPr="00F6001D">
              <w:rPr>
                <w:rFonts w:ascii="Arial" w:hAnsi="Arial" w:cs="Arial"/>
                <w:sz w:val="20"/>
                <w:szCs w:val="20"/>
              </w:rPr>
              <w:t xml:space="preserve"> ± 0.20</w:t>
            </w:r>
          </w:p>
        </w:tc>
        <w:tc>
          <w:tcPr>
            <w:tcW w:w="1559" w:type="dxa"/>
            <w:tcBorders>
              <w:top w:val="single" w:sz="4" w:space="0" w:color="auto"/>
              <w:left w:val="single" w:sz="4" w:space="0" w:color="auto"/>
              <w:bottom w:val="single" w:sz="4" w:space="0" w:color="auto"/>
              <w:right w:val="single" w:sz="4" w:space="0" w:color="auto"/>
            </w:tcBorders>
          </w:tcPr>
          <w:p w14:paraId="3971766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0.600</w:t>
            </w:r>
            <w:r w:rsidRPr="00F6001D">
              <w:rPr>
                <w:rFonts w:ascii="Arial" w:hAnsi="Arial" w:cs="Arial"/>
                <w:sz w:val="20"/>
                <w:szCs w:val="20"/>
                <w:vertAlign w:val="superscript"/>
              </w:rPr>
              <w:t xml:space="preserve"> </w:t>
            </w:r>
            <w:proofErr w:type="spellStart"/>
            <w:r w:rsidRPr="00F6001D">
              <w:rPr>
                <w:rFonts w:ascii="Arial" w:hAnsi="Arial" w:cs="Arial"/>
                <w:sz w:val="20"/>
                <w:szCs w:val="20"/>
                <w:vertAlign w:val="superscript"/>
              </w:rPr>
              <w:t>bc</w:t>
            </w:r>
            <w:proofErr w:type="spellEnd"/>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50D7CE8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2.52`</w:t>
            </w:r>
            <w:r w:rsidRPr="00F6001D">
              <w:rPr>
                <w:rFonts w:ascii="Arial" w:hAnsi="Arial" w:cs="Arial"/>
                <w:sz w:val="20"/>
                <w:szCs w:val="20"/>
                <w:vertAlign w:val="superscript"/>
              </w:rPr>
              <w:t xml:space="preserve"> c</w:t>
            </w:r>
            <w:r w:rsidRPr="00F6001D">
              <w:rPr>
                <w:rFonts w:ascii="Arial" w:hAnsi="Arial" w:cs="Arial"/>
                <w:sz w:val="20"/>
                <w:szCs w:val="20"/>
              </w:rPr>
              <w:t xml:space="preserve"> ± 0.01</w:t>
            </w:r>
          </w:p>
        </w:tc>
      </w:tr>
      <w:tr w:rsidR="00F6001D" w:rsidRPr="00F6001D" w14:paraId="1AE00D03" w14:textId="77777777" w:rsidTr="00F6001D">
        <w:trPr>
          <w:trHeight w:val="54"/>
        </w:trPr>
        <w:tc>
          <w:tcPr>
            <w:tcW w:w="6990" w:type="dxa"/>
            <w:tcBorders>
              <w:top w:val="single" w:sz="4" w:space="0" w:color="auto"/>
              <w:left w:val="single" w:sz="4" w:space="0" w:color="auto"/>
              <w:bottom w:val="single" w:sz="4" w:space="0" w:color="auto"/>
              <w:right w:val="single" w:sz="4" w:space="0" w:color="auto"/>
            </w:tcBorders>
            <w:vAlign w:val="bottom"/>
          </w:tcPr>
          <w:p w14:paraId="731B5B2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6</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52" w:type="dxa"/>
            <w:tcBorders>
              <w:top w:val="single" w:sz="4" w:space="0" w:color="auto"/>
              <w:left w:val="single" w:sz="4" w:space="0" w:color="auto"/>
              <w:bottom w:val="single" w:sz="4" w:space="0" w:color="auto"/>
              <w:right w:val="single" w:sz="4" w:space="0" w:color="auto"/>
            </w:tcBorders>
          </w:tcPr>
          <w:p w14:paraId="7B849FD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3.50</w:t>
            </w:r>
            <w:r w:rsidRPr="00F6001D">
              <w:rPr>
                <w:rFonts w:ascii="Arial" w:hAnsi="Arial" w:cs="Arial"/>
                <w:sz w:val="20"/>
                <w:szCs w:val="20"/>
                <w:vertAlign w:val="superscript"/>
              </w:rPr>
              <w:t xml:space="preserve"> ab</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29F3EBC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0DA8AC2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2.56</w:t>
            </w:r>
            <w:r w:rsidRPr="00F6001D">
              <w:rPr>
                <w:rFonts w:ascii="Arial" w:hAnsi="Arial" w:cs="Arial"/>
                <w:sz w:val="20"/>
                <w:szCs w:val="20"/>
                <w:vertAlign w:val="superscript"/>
              </w:rPr>
              <w:t xml:space="preserve"> a</w:t>
            </w:r>
            <w:r w:rsidRPr="00F6001D">
              <w:rPr>
                <w:rFonts w:ascii="Arial" w:hAnsi="Arial" w:cs="Arial"/>
                <w:sz w:val="20"/>
                <w:szCs w:val="20"/>
              </w:rPr>
              <w:t xml:space="preserve"> ± 0.02</w:t>
            </w:r>
          </w:p>
        </w:tc>
      </w:tr>
      <w:tr w:rsidR="00F6001D" w:rsidRPr="00F6001D" w14:paraId="1842FAB8" w14:textId="77777777" w:rsidTr="00F6001D">
        <w:trPr>
          <w:trHeight w:val="62"/>
        </w:trPr>
        <w:tc>
          <w:tcPr>
            <w:tcW w:w="6990" w:type="dxa"/>
            <w:tcBorders>
              <w:top w:val="single" w:sz="4" w:space="0" w:color="auto"/>
              <w:left w:val="single" w:sz="4" w:space="0" w:color="auto"/>
              <w:bottom w:val="single" w:sz="4" w:space="0" w:color="auto"/>
              <w:right w:val="single" w:sz="4" w:space="0" w:color="auto"/>
            </w:tcBorders>
            <w:vAlign w:val="bottom"/>
          </w:tcPr>
          <w:p w14:paraId="205FE73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52" w:type="dxa"/>
            <w:tcBorders>
              <w:top w:val="single" w:sz="4" w:space="0" w:color="auto"/>
              <w:left w:val="single" w:sz="4" w:space="0" w:color="auto"/>
              <w:bottom w:val="single" w:sz="4" w:space="0" w:color="auto"/>
              <w:right w:val="single" w:sz="4" w:space="0" w:color="auto"/>
            </w:tcBorders>
          </w:tcPr>
          <w:p w14:paraId="1A35C22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3.63</w:t>
            </w:r>
            <w:r w:rsidRPr="00F6001D">
              <w:rPr>
                <w:rFonts w:ascii="Arial" w:hAnsi="Arial" w:cs="Arial"/>
                <w:sz w:val="20"/>
                <w:szCs w:val="20"/>
                <w:vertAlign w:val="superscript"/>
              </w:rPr>
              <w:t xml:space="preserve"> a</w:t>
            </w:r>
            <w:r w:rsidRPr="00F6001D">
              <w:rPr>
                <w:rFonts w:ascii="Arial" w:hAnsi="Arial" w:cs="Arial"/>
                <w:sz w:val="20"/>
                <w:szCs w:val="20"/>
              </w:rPr>
              <w:t xml:space="preserve"> ± 0.05</w:t>
            </w:r>
          </w:p>
        </w:tc>
        <w:tc>
          <w:tcPr>
            <w:tcW w:w="1559" w:type="dxa"/>
            <w:tcBorders>
              <w:top w:val="single" w:sz="4" w:space="0" w:color="auto"/>
              <w:left w:val="single" w:sz="4" w:space="0" w:color="auto"/>
              <w:bottom w:val="single" w:sz="4" w:space="0" w:color="auto"/>
              <w:right w:val="single" w:sz="4" w:space="0" w:color="auto"/>
            </w:tcBorders>
          </w:tcPr>
          <w:p w14:paraId="1B66539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3FA0D61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2.67</w:t>
            </w:r>
            <w:r w:rsidRPr="00F6001D">
              <w:rPr>
                <w:rFonts w:ascii="Arial" w:hAnsi="Arial" w:cs="Arial"/>
                <w:sz w:val="20"/>
                <w:szCs w:val="20"/>
                <w:vertAlign w:val="superscript"/>
              </w:rPr>
              <w:t xml:space="preserve"> a</w:t>
            </w:r>
            <w:r w:rsidRPr="00F6001D">
              <w:rPr>
                <w:rFonts w:ascii="Arial" w:hAnsi="Arial" w:cs="Arial"/>
                <w:sz w:val="20"/>
                <w:szCs w:val="20"/>
              </w:rPr>
              <w:t xml:space="preserve"> ± 0.06</w:t>
            </w:r>
          </w:p>
        </w:tc>
      </w:tr>
    </w:tbl>
    <w:p w14:paraId="5C9912B3" w14:textId="77777777" w:rsidR="004A0813" w:rsidRDefault="004A0813" w:rsidP="004A0813">
      <w:pPr>
        <w:pStyle w:val="NoSpacing"/>
        <w:jc w:val="center"/>
        <w:rPr>
          <w:b/>
        </w:rPr>
      </w:pPr>
    </w:p>
    <w:tbl>
      <w:tblPr>
        <w:tblStyle w:val="TableGrid4"/>
        <w:tblpPr w:leftFromText="180" w:rightFromText="180" w:vertAnchor="page" w:horzAnchor="page" w:tblpXSpec="center" w:tblpY="7545"/>
        <w:tblW w:w="11906" w:type="dxa"/>
        <w:tblLook w:val="04A0" w:firstRow="1" w:lastRow="0" w:firstColumn="1" w:lastColumn="0" w:noHBand="0" w:noVBand="1"/>
      </w:tblPr>
      <w:tblGrid>
        <w:gridCol w:w="7062"/>
        <w:gridCol w:w="1610"/>
        <w:gridCol w:w="1764"/>
        <w:gridCol w:w="1470"/>
      </w:tblGrid>
      <w:tr w:rsidR="00F6001D" w:rsidRPr="00F6001D" w14:paraId="0546F639"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tcPr>
          <w:p w14:paraId="776F3D28"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Treatments</w:t>
            </w:r>
          </w:p>
        </w:tc>
        <w:tc>
          <w:tcPr>
            <w:tcW w:w="1610" w:type="dxa"/>
            <w:tcBorders>
              <w:top w:val="single" w:sz="4" w:space="0" w:color="auto"/>
              <w:left w:val="single" w:sz="4" w:space="0" w:color="auto"/>
              <w:bottom w:val="single" w:sz="4" w:space="0" w:color="auto"/>
              <w:right w:val="single" w:sz="4" w:space="0" w:color="auto"/>
            </w:tcBorders>
          </w:tcPr>
          <w:p w14:paraId="018A2976" w14:textId="77777777" w:rsidR="00F6001D" w:rsidRPr="00F6001D" w:rsidRDefault="00F6001D" w:rsidP="00F6001D">
            <w:pPr>
              <w:pStyle w:val="NoSpacing"/>
              <w:jc w:val="center"/>
              <w:rPr>
                <w:rFonts w:ascii="Arial" w:hAnsi="Arial" w:cs="Arial"/>
                <w:sz w:val="20"/>
                <w:szCs w:val="20"/>
              </w:rPr>
            </w:pPr>
            <w:bookmarkStart w:id="15" w:name="_Hlk137856327"/>
            <w:r w:rsidRPr="00F6001D">
              <w:rPr>
                <w:rFonts w:ascii="Arial" w:hAnsi="Arial" w:cs="Arial"/>
                <w:sz w:val="20"/>
                <w:szCs w:val="20"/>
              </w:rPr>
              <w:t>N (kg ha</w:t>
            </w:r>
            <w:r w:rsidRPr="00F6001D">
              <w:rPr>
                <w:rFonts w:ascii="Arial" w:hAnsi="Arial" w:cs="Arial"/>
                <w:sz w:val="20"/>
                <w:szCs w:val="20"/>
                <w:vertAlign w:val="superscript"/>
              </w:rPr>
              <w:t>-1</w:t>
            </w:r>
            <w:r w:rsidRPr="00F6001D">
              <w:rPr>
                <w:rFonts w:ascii="Arial" w:hAnsi="Arial" w:cs="Arial"/>
                <w:sz w:val="20"/>
                <w:szCs w:val="20"/>
              </w:rPr>
              <w:t>)</w:t>
            </w:r>
          </w:p>
        </w:tc>
        <w:tc>
          <w:tcPr>
            <w:tcW w:w="1764" w:type="dxa"/>
            <w:tcBorders>
              <w:top w:val="single" w:sz="4" w:space="0" w:color="auto"/>
              <w:left w:val="single" w:sz="4" w:space="0" w:color="auto"/>
              <w:bottom w:val="single" w:sz="4" w:space="0" w:color="auto"/>
              <w:right w:val="single" w:sz="4" w:space="0" w:color="auto"/>
            </w:tcBorders>
            <w:vAlign w:val="bottom"/>
          </w:tcPr>
          <w:p w14:paraId="2C65462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P (kg ha</w:t>
            </w:r>
            <w:r w:rsidRPr="00F6001D">
              <w:rPr>
                <w:rFonts w:ascii="Arial" w:hAnsi="Arial" w:cs="Arial"/>
                <w:sz w:val="20"/>
                <w:szCs w:val="20"/>
                <w:vertAlign w:val="superscript"/>
              </w:rPr>
              <w:t>-1</w:t>
            </w:r>
            <w:r w:rsidRPr="00F6001D">
              <w:rPr>
                <w:rFonts w:ascii="Arial" w:hAnsi="Arial" w:cs="Arial"/>
                <w:sz w:val="20"/>
                <w:szCs w:val="20"/>
              </w:rPr>
              <w:t>)</w:t>
            </w:r>
          </w:p>
        </w:tc>
        <w:tc>
          <w:tcPr>
            <w:tcW w:w="1470" w:type="dxa"/>
            <w:tcBorders>
              <w:top w:val="single" w:sz="4" w:space="0" w:color="auto"/>
              <w:left w:val="single" w:sz="4" w:space="0" w:color="auto"/>
              <w:bottom w:val="single" w:sz="4" w:space="0" w:color="auto"/>
              <w:right w:val="single" w:sz="4" w:space="0" w:color="auto"/>
            </w:tcBorders>
            <w:vAlign w:val="bottom"/>
          </w:tcPr>
          <w:p w14:paraId="4440CEB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K (kg ha</w:t>
            </w:r>
            <w:r w:rsidRPr="00F6001D">
              <w:rPr>
                <w:rFonts w:ascii="Arial" w:hAnsi="Arial" w:cs="Arial"/>
                <w:sz w:val="20"/>
                <w:szCs w:val="20"/>
                <w:vertAlign w:val="superscript"/>
              </w:rPr>
              <w:t>-1</w:t>
            </w:r>
            <w:r w:rsidRPr="00F6001D">
              <w:rPr>
                <w:rFonts w:ascii="Arial" w:hAnsi="Arial" w:cs="Arial"/>
                <w:sz w:val="20"/>
                <w:szCs w:val="20"/>
              </w:rPr>
              <w:t>)</w:t>
            </w:r>
          </w:p>
        </w:tc>
      </w:tr>
      <w:tr w:rsidR="00F6001D" w:rsidRPr="00F6001D" w14:paraId="3EE9EAAE"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vAlign w:val="bottom"/>
          </w:tcPr>
          <w:p w14:paraId="0E60994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0</w:t>
            </w:r>
            <w:r w:rsidRPr="00F6001D">
              <w:rPr>
                <w:rFonts w:ascii="Arial" w:hAnsi="Arial" w:cs="Arial"/>
                <w:sz w:val="20"/>
                <w:szCs w:val="20"/>
              </w:rPr>
              <w:t>-Control</w:t>
            </w:r>
          </w:p>
        </w:tc>
        <w:tc>
          <w:tcPr>
            <w:tcW w:w="1610" w:type="dxa"/>
            <w:tcBorders>
              <w:top w:val="single" w:sz="4" w:space="0" w:color="auto"/>
              <w:left w:val="single" w:sz="4" w:space="0" w:color="auto"/>
              <w:bottom w:val="single" w:sz="4" w:space="0" w:color="auto"/>
              <w:right w:val="single" w:sz="4" w:space="0" w:color="auto"/>
            </w:tcBorders>
          </w:tcPr>
          <w:p w14:paraId="2AE46DC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14.63</w:t>
            </w:r>
            <w:r w:rsidRPr="00F6001D">
              <w:rPr>
                <w:rFonts w:ascii="Arial" w:hAnsi="Arial" w:cs="Arial"/>
                <w:sz w:val="20"/>
                <w:szCs w:val="20"/>
                <w:vertAlign w:val="superscript"/>
              </w:rPr>
              <w:t xml:space="preserve"> f</w:t>
            </w:r>
            <w:r w:rsidRPr="00F6001D">
              <w:rPr>
                <w:rFonts w:ascii="Arial" w:hAnsi="Arial" w:cs="Arial"/>
                <w:sz w:val="20"/>
                <w:szCs w:val="20"/>
              </w:rPr>
              <w:t xml:space="preserve"> ± 0.37</w:t>
            </w:r>
          </w:p>
        </w:tc>
        <w:tc>
          <w:tcPr>
            <w:tcW w:w="1764" w:type="dxa"/>
            <w:tcBorders>
              <w:top w:val="single" w:sz="4" w:space="0" w:color="auto"/>
              <w:left w:val="single" w:sz="4" w:space="0" w:color="auto"/>
              <w:bottom w:val="single" w:sz="4" w:space="0" w:color="auto"/>
              <w:right w:val="single" w:sz="4" w:space="0" w:color="auto"/>
            </w:tcBorders>
          </w:tcPr>
          <w:p w14:paraId="1854BF0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2.39</w:t>
            </w:r>
            <w:r w:rsidRPr="00F6001D">
              <w:rPr>
                <w:rFonts w:ascii="Arial" w:hAnsi="Arial" w:cs="Arial"/>
                <w:sz w:val="20"/>
                <w:szCs w:val="20"/>
                <w:vertAlign w:val="superscript"/>
              </w:rPr>
              <w:t xml:space="preserve"> g</w:t>
            </w:r>
            <w:r w:rsidRPr="00F6001D">
              <w:rPr>
                <w:rFonts w:ascii="Arial" w:hAnsi="Arial" w:cs="Arial"/>
                <w:sz w:val="20"/>
                <w:szCs w:val="20"/>
              </w:rPr>
              <w:t xml:space="preserve"> ± 0.05</w:t>
            </w:r>
          </w:p>
        </w:tc>
        <w:tc>
          <w:tcPr>
            <w:tcW w:w="1470" w:type="dxa"/>
            <w:tcBorders>
              <w:top w:val="single" w:sz="4" w:space="0" w:color="auto"/>
              <w:left w:val="single" w:sz="4" w:space="0" w:color="auto"/>
              <w:bottom w:val="single" w:sz="4" w:space="0" w:color="auto"/>
              <w:right w:val="single" w:sz="4" w:space="0" w:color="auto"/>
            </w:tcBorders>
          </w:tcPr>
          <w:p w14:paraId="0631C89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9.0</w:t>
            </w:r>
            <w:r w:rsidRPr="00F6001D">
              <w:rPr>
                <w:rFonts w:ascii="Arial" w:hAnsi="Arial" w:cs="Arial"/>
                <w:sz w:val="20"/>
                <w:szCs w:val="20"/>
                <w:vertAlign w:val="superscript"/>
              </w:rPr>
              <w:t xml:space="preserve"> g</w:t>
            </w:r>
            <w:r w:rsidRPr="00F6001D">
              <w:rPr>
                <w:rFonts w:ascii="Arial" w:hAnsi="Arial" w:cs="Arial"/>
                <w:sz w:val="20"/>
                <w:szCs w:val="20"/>
              </w:rPr>
              <w:t xml:space="preserve"> ± 0.10</w:t>
            </w:r>
          </w:p>
        </w:tc>
      </w:tr>
      <w:tr w:rsidR="00F6001D" w:rsidRPr="00F6001D" w14:paraId="69CF5915" w14:textId="77777777" w:rsidTr="00F6001D">
        <w:trPr>
          <w:trHeight w:val="207"/>
        </w:trPr>
        <w:tc>
          <w:tcPr>
            <w:tcW w:w="7062" w:type="dxa"/>
            <w:tcBorders>
              <w:top w:val="single" w:sz="4" w:space="0" w:color="auto"/>
              <w:left w:val="single" w:sz="4" w:space="0" w:color="auto"/>
              <w:bottom w:val="single" w:sz="4" w:space="0" w:color="auto"/>
              <w:right w:val="single" w:sz="4" w:space="0" w:color="auto"/>
            </w:tcBorders>
            <w:vAlign w:val="bottom"/>
          </w:tcPr>
          <w:p w14:paraId="2EDCDF2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1</w:t>
            </w:r>
            <w:r w:rsidRPr="00F6001D">
              <w:rPr>
                <w:rFonts w:ascii="Arial" w:hAnsi="Arial" w:cs="Arial"/>
                <w:sz w:val="20"/>
                <w:szCs w:val="20"/>
              </w:rPr>
              <w:t>-[100%RDF]</w:t>
            </w:r>
          </w:p>
        </w:tc>
        <w:tc>
          <w:tcPr>
            <w:tcW w:w="1610" w:type="dxa"/>
            <w:tcBorders>
              <w:top w:val="single" w:sz="4" w:space="0" w:color="auto"/>
              <w:left w:val="single" w:sz="4" w:space="0" w:color="auto"/>
              <w:bottom w:val="single" w:sz="4" w:space="0" w:color="auto"/>
              <w:right w:val="single" w:sz="4" w:space="0" w:color="auto"/>
            </w:tcBorders>
          </w:tcPr>
          <w:p w14:paraId="6A6A32C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22.73</w:t>
            </w:r>
            <w:r w:rsidRPr="00F6001D">
              <w:rPr>
                <w:rFonts w:ascii="Arial" w:hAnsi="Arial" w:cs="Arial"/>
                <w:sz w:val="20"/>
                <w:szCs w:val="20"/>
                <w:vertAlign w:val="superscript"/>
              </w:rPr>
              <w:t xml:space="preserve"> e</w:t>
            </w:r>
            <w:r w:rsidRPr="00F6001D">
              <w:rPr>
                <w:rFonts w:ascii="Arial" w:hAnsi="Arial" w:cs="Arial"/>
                <w:sz w:val="20"/>
                <w:szCs w:val="20"/>
              </w:rPr>
              <w:t xml:space="preserve"> ± 0.40</w:t>
            </w:r>
          </w:p>
        </w:tc>
        <w:tc>
          <w:tcPr>
            <w:tcW w:w="1764" w:type="dxa"/>
            <w:tcBorders>
              <w:top w:val="single" w:sz="4" w:space="0" w:color="auto"/>
              <w:left w:val="single" w:sz="4" w:space="0" w:color="auto"/>
              <w:bottom w:val="single" w:sz="4" w:space="0" w:color="auto"/>
              <w:right w:val="single" w:sz="4" w:space="0" w:color="auto"/>
            </w:tcBorders>
          </w:tcPr>
          <w:p w14:paraId="072C264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3.90</w:t>
            </w:r>
            <w:r w:rsidRPr="00F6001D">
              <w:rPr>
                <w:rFonts w:ascii="Arial" w:hAnsi="Arial" w:cs="Arial"/>
                <w:sz w:val="20"/>
                <w:szCs w:val="20"/>
                <w:vertAlign w:val="superscript"/>
              </w:rPr>
              <w:t xml:space="preserve"> f</w:t>
            </w:r>
            <w:r w:rsidRPr="00F6001D">
              <w:rPr>
                <w:rFonts w:ascii="Arial" w:hAnsi="Arial" w:cs="Arial"/>
                <w:sz w:val="20"/>
                <w:szCs w:val="20"/>
              </w:rPr>
              <w:t xml:space="preserve"> ± 0.05</w:t>
            </w:r>
          </w:p>
        </w:tc>
        <w:tc>
          <w:tcPr>
            <w:tcW w:w="1470" w:type="dxa"/>
            <w:tcBorders>
              <w:top w:val="single" w:sz="4" w:space="0" w:color="auto"/>
              <w:left w:val="single" w:sz="4" w:space="0" w:color="auto"/>
              <w:bottom w:val="single" w:sz="4" w:space="0" w:color="auto"/>
              <w:right w:val="single" w:sz="4" w:space="0" w:color="auto"/>
            </w:tcBorders>
          </w:tcPr>
          <w:p w14:paraId="43C4A3D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13.0</w:t>
            </w:r>
            <w:r w:rsidRPr="00F6001D">
              <w:rPr>
                <w:rFonts w:ascii="Arial" w:hAnsi="Arial" w:cs="Arial"/>
                <w:sz w:val="20"/>
                <w:szCs w:val="20"/>
                <w:vertAlign w:val="superscript"/>
              </w:rPr>
              <w:t xml:space="preserve"> f</w:t>
            </w:r>
            <w:r w:rsidRPr="00F6001D">
              <w:rPr>
                <w:rFonts w:ascii="Arial" w:hAnsi="Arial" w:cs="Arial"/>
                <w:sz w:val="20"/>
                <w:szCs w:val="20"/>
              </w:rPr>
              <w:t xml:space="preserve"> ± 0.11</w:t>
            </w:r>
          </w:p>
        </w:tc>
      </w:tr>
      <w:tr w:rsidR="00F6001D" w:rsidRPr="00F6001D" w14:paraId="0038713E"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29967E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2</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(Soil applied)</w:t>
            </w:r>
          </w:p>
        </w:tc>
        <w:tc>
          <w:tcPr>
            <w:tcW w:w="1610" w:type="dxa"/>
            <w:tcBorders>
              <w:top w:val="single" w:sz="4" w:space="0" w:color="auto"/>
              <w:left w:val="single" w:sz="4" w:space="0" w:color="auto"/>
              <w:bottom w:val="single" w:sz="4" w:space="0" w:color="auto"/>
              <w:right w:val="single" w:sz="4" w:space="0" w:color="auto"/>
            </w:tcBorders>
          </w:tcPr>
          <w:p w14:paraId="6232CFC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26.33</w:t>
            </w:r>
            <w:r w:rsidRPr="00F6001D">
              <w:rPr>
                <w:rFonts w:ascii="Arial" w:hAnsi="Arial" w:cs="Arial"/>
                <w:sz w:val="20"/>
                <w:szCs w:val="20"/>
                <w:vertAlign w:val="superscript"/>
              </w:rPr>
              <w:t xml:space="preserve"> cd</w:t>
            </w:r>
            <w:r w:rsidRPr="00F6001D">
              <w:rPr>
                <w:rFonts w:ascii="Arial" w:hAnsi="Arial" w:cs="Arial"/>
                <w:sz w:val="20"/>
                <w:szCs w:val="20"/>
              </w:rPr>
              <w:t xml:space="preserve"> ± 1.05</w:t>
            </w:r>
          </w:p>
        </w:tc>
        <w:tc>
          <w:tcPr>
            <w:tcW w:w="1764" w:type="dxa"/>
            <w:tcBorders>
              <w:top w:val="single" w:sz="4" w:space="0" w:color="auto"/>
              <w:left w:val="single" w:sz="4" w:space="0" w:color="auto"/>
              <w:bottom w:val="single" w:sz="4" w:space="0" w:color="auto"/>
              <w:right w:val="single" w:sz="4" w:space="0" w:color="auto"/>
            </w:tcBorders>
          </w:tcPr>
          <w:p w14:paraId="525998C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5.26</w:t>
            </w:r>
            <w:r w:rsidRPr="00F6001D">
              <w:rPr>
                <w:rFonts w:ascii="Arial" w:hAnsi="Arial" w:cs="Arial"/>
                <w:sz w:val="20"/>
                <w:szCs w:val="20"/>
                <w:vertAlign w:val="superscript"/>
              </w:rPr>
              <w:t xml:space="preserve"> d</w:t>
            </w:r>
            <w:r w:rsidRPr="00F6001D">
              <w:rPr>
                <w:rFonts w:ascii="Arial" w:hAnsi="Arial" w:cs="Arial"/>
                <w:sz w:val="20"/>
                <w:szCs w:val="20"/>
              </w:rPr>
              <w:t xml:space="preserve"> ± 0.17</w:t>
            </w:r>
          </w:p>
        </w:tc>
        <w:tc>
          <w:tcPr>
            <w:tcW w:w="1470" w:type="dxa"/>
            <w:tcBorders>
              <w:top w:val="single" w:sz="4" w:space="0" w:color="auto"/>
              <w:left w:val="single" w:sz="4" w:space="0" w:color="auto"/>
              <w:bottom w:val="single" w:sz="4" w:space="0" w:color="auto"/>
              <w:right w:val="single" w:sz="4" w:space="0" w:color="auto"/>
            </w:tcBorders>
          </w:tcPr>
          <w:p w14:paraId="5246C67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21.3</w:t>
            </w:r>
            <w:r w:rsidRPr="00F6001D">
              <w:rPr>
                <w:rFonts w:ascii="Arial" w:hAnsi="Arial" w:cs="Arial"/>
                <w:sz w:val="20"/>
                <w:szCs w:val="20"/>
                <w:vertAlign w:val="superscript"/>
              </w:rPr>
              <w:t xml:space="preserve"> d</w:t>
            </w:r>
            <w:r w:rsidRPr="00F6001D">
              <w:rPr>
                <w:rFonts w:ascii="Arial" w:hAnsi="Arial" w:cs="Arial"/>
                <w:sz w:val="20"/>
                <w:szCs w:val="20"/>
              </w:rPr>
              <w:t xml:space="preserve"> ± 0.8</w:t>
            </w:r>
          </w:p>
        </w:tc>
      </w:tr>
      <w:tr w:rsidR="00F6001D" w:rsidRPr="00F6001D" w14:paraId="20EA3AE8" w14:textId="77777777" w:rsidTr="00F6001D">
        <w:trPr>
          <w:trHeight w:val="207"/>
        </w:trPr>
        <w:tc>
          <w:tcPr>
            <w:tcW w:w="7062" w:type="dxa"/>
            <w:tcBorders>
              <w:top w:val="single" w:sz="4" w:space="0" w:color="auto"/>
              <w:left w:val="single" w:sz="4" w:space="0" w:color="auto"/>
              <w:bottom w:val="single" w:sz="4" w:space="0" w:color="auto"/>
              <w:right w:val="single" w:sz="4" w:space="0" w:color="auto"/>
            </w:tcBorders>
            <w:vAlign w:val="bottom"/>
          </w:tcPr>
          <w:p w14:paraId="105CF8D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3</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(Foliar applied)</w:t>
            </w:r>
          </w:p>
        </w:tc>
        <w:tc>
          <w:tcPr>
            <w:tcW w:w="1610" w:type="dxa"/>
            <w:tcBorders>
              <w:top w:val="single" w:sz="4" w:space="0" w:color="auto"/>
              <w:left w:val="single" w:sz="4" w:space="0" w:color="auto"/>
              <w:bottom w:val="single" w:sz="4" w:space="0" w:color="auto"/>
              <w:right w:val="single" w:sz="4" w:space="0" w:color="auto"/>
            </w:tcBorders>
          </w:tcPr>
          <w:p w14:paraId="59C42FF8"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27.13</w:t>
            </w:r>
            <w:r w:rsidRPr="00F6001D">
              <w:rPr>
                <w:rFonts w:ascii="Arial" w:hAnsi="Arial" w:cs="Arial"/>
                <w:sz w:val="20"/>
                <w:szCs w:val="20"/>
                <w:vertAlign w:val="superscript"/>
              </w:rPr>
              <w:t xml:space="preserve"> c</w:t>
            </w:r>
            <w:r w:rsidRPr="00F6001D">
              <w:rPr>
                <w:rFonts w:ascii="Arial" w:hAnsi="Arial" w:cs="Arial"/>
                <w:sz w:val="20"/>
                <w:szCs w:val="20"/>
              </w:rPr>
              <w:t xml:space="preserve"> ± 0.70</w:t>
            </w:r>
          </w:p>
        </w:tc>
        <w:tc>
          <w:tcPr>
            <w:tcW w:w="1764" w:type="dxa"/>
            <w:tcBorders>
              <w:top w:val="single" w:sz="4" w:space="0" w:color="auto"/>
              <w:left w:val="single" w:sz="4" w:space="0" w:color="auto"/>
              <w:bottom w:val="single" w:sz="4" w:space="0" w:color="auto"/>
              <w:right w:val="single" w:sz="4" w:space="0" w:color="auto"/>
            </w:tcBorders>
          </w:tcPr>
          <w:p w14:paraId="567124B3"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5.42</w:t>
            </w:r>
            <w:r w:rsidRPr="00F6001D">
              <w:rPr>
                <w:rFonts w:ascii="Arial" w:hAnsi="Arial" w:cs="Arial"/>
                <w:sz w:val="20"/>
                <w:szCs w:val="20"/>
                <w:vertAlign w:val="superscript"/>
              </w:rPr>
              <w:t xml:space="preserve"> c</w:t>
            </w:r>
            <w:r w:rsidRPr="00F6001D">
              <w:rPr>
                <w:rFonts w:ascii="Arial" w:hAnsi="Arial" w:cs="Arial"/>
                <w:sz w:val="20"/>
                <w:szCs w:val="20"/>
              </w:rPr>
              <w:t xml:space="preserve"> ± 0.06</w:t>
            </w:r>
          </w:p>
        </w:tc>
        <w:tc>
          <w:tcPr>
            <w:tcW w:w="1470" w:type="dxa"/>
            <w:tcBorders>
              <w:top w:val="single" w:sz="4" w:space="0" w:color="auto"/>
              <w:left w:val="single" w:sz="4" w:space="0" w:color="auto"/>
              <w:bottom w:val="single" w:sz="4" w:space="0" w:color="auto"/>
              <w:right w:val="single" w:sz="4" w:space="0" w:color="auto"/>
            </w:tcBorders>
          </w:tcPr>
          <w:p w14:paraId="4D99D0C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22.6</w:t>
            </w:r>
            <w:r w:rsidRPr="00F6001D">
              <w:rPr>
                <w:rFonts w:ascii="Arial" w:hAnsi="Arial" w:cs="Arial"/>
                <w:sz w:val="20"/>
                <w:szCs w:val="20"/>
                <w:vertAlign w:val="superscript"/>
              </w:rPr>
              <w:t xml:space="preserve"> c</w:t>
            </w:r>
            <w:r w:rsidRPr="00F6001D">
              <w:rPr>
                <w:rFonts w:ascii="Arial" w:hAnsi="Arial" w:cs="Arial"/>
                <w:sz w:val="20"/>
                <w:szCs w:val="20"/>
              </w:rPr>
              <w:t xml:space="preserve"> ± 0.8</w:t>
            </w:r>
          </w:p>
        </w:tc>
      </w:tr>
      <w:tr w:rsidR="00F6001D" w:rsidRPr="00F6001D" w14:paraId="35105EAC"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4E2920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4</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10" w:type="dxa"/>
            <w:tcBorders>
              <w:top w:val="single" w:sz="4" w:space="0" w:color="auto"/>
              <w:left w:val="single" w:sz="4" w:space="0" w:color="auto"/>
              <w:bottom w:val="single" w:sz="4" w:space="0" w:color="auto"/>
              <w:right w:val="single" w:sz="4" w:space="0" w:color="auto"/>
            </w:tcBorders>
          </w:tcPr>
          <w:p w14:paraId="1307DAE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25.26</w:t>
            </w:r>
            <w:r w:rsidRPr="00F6001D">
              <w:rPr>
                <w:rFonts w:ascii="Arial" w:hAnsi="Arial" w:cs="Arial"/>
                <w:sz w:val="20"/>
                <w:szCs w:val="20"/>
                <w:vertAlign w:val="superscript"/>
              </w:rPr>
              <w:t xml:space="preserve"> d</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2F66702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4.98</w:t>
            </w:r>
            <w:r w:rsidRPr="00F6001D">
              <w:rPr>
                <w:rFonts w:ascii="Arial" w:hAnsi="Arial" w:cs="Arial"/>
                <w:sz w:val="20"/>
                <w:szCs w:val="20"/>
                <w:vertAlign w:val="superscript"/>
              </w:rPr>
              <w:t xml:space="preserve"> e</w:t>
            </w:r>
            <w:r w:rsidRPr="00F6001D">
              <w:rPr>
                <w:rFonts w:ascii="Arial" w:hAnsi="Arial" w:cs="Arial"/>
                <w:sz w:val="20"/>
                <w:szCs w:val="20"/>
              </w:rPr>
              <w:t xml:space="preserve"> ± 0.04</w:t>
            </w:r>
          </w:p>
        </w:tc>
        <w:tc>
          <w:tcPr>
            <w:tcW w:w="1470" w:type="dxa"/>
            <w:tcBorders>
              <w:top w:val="single" w:sz="4" w:space="0" w:color="auto"/>
              <w:left w:val="single" w:sz="4" w:space="0" w:color="auto"/>
              <w:bottom w:val="single" w:sz="4" w:space="0" w:color="auto"/>
              <w:right w:val="single" w:sz="4" w:space="0" w:color="auto"/>
            </w:tcBorders>
          </w:tcPr>
          <w:p w14:paraId="07E9F2B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19.8</w:t>
            </w:r>
            <w:r w:rsidRPr="00F6001D">
              <w:rPr>
                <w:rFonts w:ascii="Arial" w:hAnsi="Arial" w:cs="Arial"/>
                <w:sz w:val="20"/>
                <w:szCs w:val="20"/>
                <w:vertAlign w:val="superscript"/>
              </w:rPr>
              <w:t xml:space="preserve"> e</w:t>
            </w:r>
            <w:r w:rsidRPr="00F6001D">
              <w:rPr>
                <w:rFonts w:ascii="Arial" w:hAnsi="Arial" w:cs="Arial"/>
                <w:sz w:val="20"/>
                <w:szCs w:val="20"/>
              </w:rPr>
              <w:t xml:space="preserve"> ± 0.5</w:t>
            </w:r>
          </w:p>
        </w:tc>
      </w:tr>
      <w:tr w:rsidR="00F6001D" w:rsidRPr="00F6001D" w14:paraId="79CEA4C5"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00CB55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5</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10" w:type="dxa"/>
            <w:tcBorders>
              <w:top w:val="single" w:sz="4" w:space="0" w:color="auto"/>
              <w:left w:val="single" w:sz="4" w:space="0" w:color="auto"/>
              <w:bottom w:val="single" w:sz="4" w:space="0" w:color="auto"/>
              <w:right w:val="single" w:sz="4" w:space="0" w:color="auto"/>
            </w:tcBorders>
          </w:tcPr>
          <w:p w14:paraId="1294AD2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26.20</w:t>
            </w:r>
            <w:r w:rsidRPr="00F6001D">
              <w:rPr>
                <w:rFonts w:ascii="Arial" w:hAnsi="Arial" w:cs="Arial"/>
                <w:sz w:val="20"/>
                <w:szCs w:val="20"/>
                <w:vertAlign w:val="superscript"/>
              </w:rPr>
              <w:t xml:space="preserve"> cd</w:t>
            </w:r>
            <w:r w:rsidRPr="00F6001D">
              <w:rPr>
                <w:rFonts w:ascii="Arial" w:hAnsi="Arial" w:cs="Arial"/>
                <w:sz w:val="20"/>
                <w:szCs w:val="20"/>
              </w:rPr>
              <w:t xml:space="preserve"> ± 1.05</w:t>
            </w:r>
          </w:p>
        </w:tc>
        <w:tc>
          <w:tcPr>
            <w:tcW w:w="1764" w:type="dxa"/>
            <w:tcBorders>
              <w:top w:val="single" w:sz="4" w:space="0" w:color="auto"/>
              <w:left w:val="single" w:sz="4" w:space="0" w:color="auto"/>
              <w:bottom w:val="single" w:sz="4" w:space="0" w:color="auto"/>
              <w:right w:val="single" w:sz="4" w:space="0" w:color="auto"/>
            </w:tcBorders>
          </w:tcPr>
          <w:p w14:paraId="6CC4A5D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5.10</w:t>
            </w:r>
            <w:r w:rsidRPr="00F6001D">
              <w:rPr>
                <w:rFonts w:ascii="Arial" w:hAnsi="Arial" w:cs="Arial"/>
                <w:sz w:val="20"/>
                <w:szCs w:val="20"/>
                <w:vertAlign w:val="superscript"/>
              </w:rPr>
              <w:t xml:space="preserve"> e</w:t>
            </w:r>
            <w:r w:rsidRPr="00F6001D">
              <w:rPr>
                <w:rFonts w:ascii="Arial" w:hAnsi="Arial" w:cs="Arial"/>
                <w:sz w:val="20"/>
                <w:szCs w:val="20"/>
              </w:rPr>
              <w:t xml:space="preserve"> ± 0.07</w:t>
            </w:r>
          </w:p>
        </w:tc>
        <w:tc>
          <w:tcPr>
            <w:tcW w:w="1470" w:type="dxa"/>
            <w:tcBorders>
              <w:top w:val="single" w:sz="4" w:space="0" w:color="auto"/>
              <w:left w:val="single" w:sz="4" w:space="0" w:color="auto"/>
              <w:bottom w:val="single" w:sz="4" w:space="0" w:color="auto"/>
              <w:right w:val="single" w:sz="4" w:space="0" w:color="auto"/>
            </w:tcBorders>
          </w:tcPr>
          <w:p w14:paraId="4F1BD53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20.6</w:t>
            </w:r>
            <w:r w:rsidRPr="00F6001D">
              <w:rPr>
                <w:rFonts w:ascii="Arial" w:hAnsi="Arial" w:cs="Arial"/>
                <w:sz w:val="20"/>
                <w:szCs w:val="20"/>
                <w:vertAlign w:val="superscript"/>
              </w:rPr>
              <w:t xml:space="preserve"> de</w:t>
            </w:r>
            <w:r w:rsidRPr="00F6001D">
              <w:rPr>
                <w:rFonts w:ascii="Arial" w:hAnsi="Arial" w:cs="Arial"/>
                <w:sz w:val="20"/>
                <w:szCs w:val="20"/>
              </w:rPr>
              <w:t xml:space="preserve"> ± 0.5</w:t>
            </w:r>
          </w:p>
        </w:tc>
      </w:tr>
      <w:tr w:rsidR="00F6001D" w:rsidRPr="00F6001D" w14:paraId="156D6632" w14:textId="77777777" w:rsidTr="00F6001D">
        <w:trPr>
          <w:trHeight w:val="53"/>
        </w:trPr>
        <w:tc>
          <w:tcPr>
            <w:tcW w:w="7062" w:type="dxa"/>
            <w:tcBorders>
              <w:top w:val="single" w:sz="4" w:space="0" w:color="auto"/>
              <w:left w:val="single" w:sz="4" w:space="0" w:color="auto"/>
              <w:bottom w:val="single" w:sz="4" w:space="0" w:color="auto"/>
              <w:right w:val="single" w:sz="4" w:space="0" w:color="auto"/>
            </w:tcBorders>
            <w:vAlign w:val="bottom"/>
          </w:tcPr>
          <w:p w14:paraId="07940FF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6</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10" w:type="dxa"/>
            <w:tcBorders>
              <w:top w:val="single" w:sz="4" w:space="0" w:color="auto"/>
              <w:left w:val="single" w:sz="4" w:space="0" w:color="auto"/>
              <w:bottom w:val="single" w:sz="4" w:space="0" w:color="auto"/>
              <w:right w:val="single" w:sz="4" w:space="0" w:color="auto"/>
            </w:tcBorders>
          </w:tcPr>
          <w:p w14:paraId="5634DD2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31.26</w:t>
            </w:r>
            <w:r w:rsidRPr="00F6001D">
              <w:rPr>
                <w:rFonts w:ascii="Arial" w:hAnsi="Arial" w:cs="Arial"/>
                <w:sz w:val="20"/>
                <w:szCs w:val="20"/>
                <w:vertAlign w:val="superscript"/>
              </w:rPr>
              <w:t xml:space="preserve"> ab</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451609D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6.54</w:t>
            </w:r>
            <w:r w:rsidRPr="00F6001D">
              <w:rPr>
                <w:rFonts w:ascii="Arial" w:hAnsi="Arial" w:cs="Arial"/>
                <w:sz w:val="20"/>
                <w:szCs w:val="20"/>
                <w:vertAlign w:val="superscript"/>
              </w:rPr>
              <w:t xml:space="preserve"> b</w:t>
            </w:r>
            <w:r w:rsidRPr="00F6001D">
              <w:rPr>
                <w:rFonts w:ascii="Arial" w:hAnsi="Arial" w:cs="Arial"/>
                <w:sz w:val="20"/>
                <w:szCs w:val="20"/>
              </w:rPr>
              <w:t xml:space="preserve"> ± 0.02</w:t>
            </w:r>
          </w:p>
        </w:tc>
        <w:tc>
          <w:tcPr>
            <w:tcW w:w="1470" w:type="dxa"/>
            <w:tcBorders>
              <w:top w:val="single" w:sz="4" w:space="0" w:color="auto"/>
              <w:left w:val="single" w:sz="4" w:space="0" w:color="auto"/>
              <w:bottom w:val="single" w:sz="4" w:space="0" w:color="auto"/>
              <w:right w:val="single" w:sz="4" w:space="0" w:color="auto"/>
            </w:tcBorders>
          </w:tcPr>
          <w:p w14:paraId="798599E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25.1</w:t>
            </w:r>
            <w:r w:rsidRPr="00F6001D">
              <w:rPr>
                <w:rFonts w:ascii="Arial" w:hAnsi="Arial" w:cs="Arial"/>
                <w:sz w:val="20"/>
                <w:szCs w:val="20"/>
                <w:vertAlign w:val="superscript"/>
              </w:rPr>
              <w:t xml:space="preserve"> b</w:t>
            </w:r>
            <w:r w:rsidRPr="00F6001D">
              <w:rPr>
                <w:rFonts w:ascii="Arial" w:hAnsi="Arial" w:cs="Arial"/>
                <w:sz w:val="20"/>
                <w:szCs w:val="20"/>
              </w:rPr>
              <w:t xml:space="preserve"> ± 1.0</w:t>
            </w:r>
          </w:p>
        </w:tc>
      </w:tr>
      <w:tr w:rsidR="00F6001D" w:rsidRPr="00F6001D" w14:paraId="43793F97"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vAlign w:val="bottom"/>
          </w:tcPr>
          <w:p w14:paraId="20F63FA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10" w:type="dxa"/>
            <w:tcBorders>
              <w:top w:val="single" w:sz="4" w:space="0" w:color="auto"/>
              <w:left w:val="single" w:sz="4" w:space="0" w:color="auto"/>
              <w:bottom w:val="single" w:sz="4" w:space="0" w:color="auto"/>
              <w:right w:val="single" w:sz="4" w:space="0" w:color="auto"/>
            </w:tcBorders>
          </w:tcPr>
          <w:p w14:paraId="21F4484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33.46</w:t>
            </w:r>
            <w:r w:rsidRPr="00F6001D">
              <w:rPr>
                <w:rFonts w:ascii="Arial" w:hAnsi="Arial" w:cs="Arial"/>
                <w:sz w:val="20"/>
                <w:szCs w:val="20"/>
                <w:vertAlign w:val="superscript"/>
              </w:rPr>
              <w:t xml:space="preserve"> a</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338498A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7.06</w:t>
            </w:r>
            <w:r w:rsidRPr="00F6001D">
              <w:rPr>
                <w:rFonts w:ascii="Arial" w:hAnsi="Arial" w:cs="Arial"/>
                <w:sz w:val="20"/>
                <w:szCs w:val="20"/>
                <w:vertAlign w:val="superscript"/>
              </w:rPr>
              <w:t xml:space="preserve"> a</w:t>
            </w:r>
            <w:r w:rsidRPr="00F6001D">
              <w:rPr>
                <w:rFonts w:ascii="Arial" w:hAnsi="Arial" w:cs="Arial"/>
                <w:sz w:val="20"/>
                <w:szCs w:val="20"/>
              </w:rPr>
              <w:t xml:space="preserve"> ± 0.07</w:t>
            </w:r>
          </w:p>
        </w:tc>
        <w:tc>
          <w:tcPr>
            <w:tcW w:w="1470" w:type="dxa"/>
            <w:tcBorders>
              <w:top w:val="single" w:sz="4" w:space="0" w:color="auto"/>
              <w:left w:val="single" w:sz="4" w:space="0" w:color="auto"/>
              <w:bottom w:val="single" w:sz="4" w:space="0" w:color="auto"/>
              <w:right w:val="single" w:sz="4" w:space="0" w:color="auto"/>
            </w:tcBorders>
          </w:tcPr>
          <w:p w14:paraId="00E099C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26.5</w:t>
            </w:r>
            <w:r w:rsidRPr="00F6001D">
              <w:rPr>
                <w:rFonts w:ascii="Arial" w:hAnsi="Arial" w:cs="Arial"/>
                <w:sz w:val="20"/>
                <w:szCs w:val="20"/>
                <w:vertAlign w:val="superscript"/>
              </w:rPr>
              <w:t xml:space="preserve"> a</w:t>
            </w:r>
            <w:r w:rsidRPr="00F6001D">
              <w:rPr>
                <w:rFonts w:ascii="Arial" w:hAnsi="Arial" w:cs="Arial"/>
                <w:sz w:val="20"/>
                <w:szCs w:val="20"/>
              </w:rPr>
              <w:t xml:space="preserve"> ± 1.0</w:t>
            </w:r>
          </w:p>
        </w:tc>
      </w:tr>
      <w:bookmarkEnd w:id="15"/>
    </w:tbl>
    <w:p w14:paraId="1D894FD6" w14:textId="77777777" w:rsidR="004A0813" w:rsidRDefault="004A0813" w:rsidP="004A0813">
      <w:pPr>
        <w:pStyle w:val="NoSpacing"/>
        <w:jc w:val="center"/>
        <w:rPr>
          <w:b/>
        </w:rPr>
      </w:pPr>
    </w:p>
    <w:p w14:paraId="37C88ABA" w14:textId="77777777" w:rsidR="004A0813" w:rsidRDefault="004A0813" w:rsidP="004A0813">
      <w:pPr>
        <w:pStyle w:val="NoSpacing"/>
        <w:jc w:val="center"/>
        <w:rPr>
          <w:b/>
        </w:rPr>
      </w:pPr>
    </w:p>
    <w:p w14:paraId="237ECE13" w14:textId="77777777" w:rsidR="00F6001D" w:rsidRDefault="00F6001D" w:rsidP="004A0813">
      <w:pPr>
        <w:pStyle w:val="NoSpacing"/>
        <w:jc w:val="center"/>
        <w:rPr>
          <w:b/>
        </w:rPr>
      </w:pPr>
    </w:p>
    <w:p w14:paraId="52B473D6" w14:textId="77777777" w:rsidR="00F6001D" w:rsidRDefault="00F6001D" w:rsidP="004A0813">
      <w:pPr>
        <w:pStyle w:val="NoSpacing"/>
        <w:jc w:val="center"/>
        <w:rPr>
          <w:b/>
        </w:rPr>
      </w:pPr>
    </w:p>
    <w:p w14:paraId="6FCCB6C6" w14:textId="77777777" w:rsidR="00F6001D" w:rsidRDefault="00F6001D" w:rsidP="004A0813">
      <w:pPr>
        <w:pStyle w:val="NoSpacing"/>
        <w:jc w:val="center"/>
        <w:rPr>
          <w:b/>
        </w:rPr>
      </w:pPr>
    </w:p>
    <w:p w14:paraId="1B8CC890" w14:textId="77777777" w:rsidR="00F6001D" w:rsidRDefault="00F6001D" w:rsidP="004A0813">
      <w:pPr>
        <w:pStyle w:val="NoSpacing"/>
        <w:jc w:val="center"/>
        <w:rPr>
          <w:b/>
        </w:rPr>
      </w:pPr>
    </w:p>
    <w:p w14:paraId="02F6EEE5" w14:textId="77777777" w:rsidR="00F6001D" w:rsidRDefault="00F6001D" w:rsidP="004A0813">
      <w:pPr>
        <w:pStyle w:val="NoSpacing"/>
        <w:jc w:val="center"/>
        <w:rPr>
          <w:b/>
        </w:rPr>
      </w:pPr>
    </w:p>
    <w:p w14:paraId="56376B9B" w14:textId="77777777" w:rsidR="00F6001D" w:rsidRDefault="00F6001D" w:rsidP="004A0813">
      <w:pPr>
        <w:pStyle w:val="NoSpacing"/>
        <w:jc w:val="center"/>
        <w:rPr>
          <w:b/>
        </w:rPr>
      </w:pPr>
    </w:p>
    <w:p w14:paraId="2727FDCB" w14:textId="77777777" w:rsidR="00F6001D" w:rsidRDefault="00F6001D" w:rsidP="004A0813">
      <w:pPr>
        <w:pStyle w:val="NoSpacing"/>
        <w:jc w:val="center"/>
        <w:rPr>
          <w:b/>
        </w:rPr>
      </w:pPr>
    </w:p>
    <w:p w14:paraId="44400F1E" w14:textId="77777777" w:rsidR="00F6001D" w:rsidRPr="00083A88" w:rsidRDefault="00083A88" w:rsidP="004A0813">
      <w:pPr>
        <w:pStyle w:val="NoSpacing"/>
        <w:jc w:val="center"/>
        <w:rPr>
          <w:rFonts w:ascii="Arial" w:hAnsi="Arial" w:cs="Arial"/>
          <w:b/>
          <w:sz w:val="20"/>
          <w:szCs w:val="20"/>
        </w:rPr>
      </w:pPr>
      <w:r w:rsidRPr="00083A88">
        <w:rPr>
          <w:rFonts w:ascii="Arial" w:hAnsi="Arial" w:cs="Arial"/>
          <w:b/>
          <w:sz w:val="20"/>
          <w:szCs w:val="20"/>
        </w:rPr>
        <w:t xml:space="preserve">Table 3: </w:t>
      </w:r>
      <w:r w:rsidRPr="00083A88">
        <w:rPr>
          <w:rFonts w:ascii="Arial" w:hAnsi="Arial" w:cs="Arial"/>
          <w:b/>
          <w:bCs/>
          <w:sz w:val="20"/>
          <w:szCs w:val="20"/>
        </w:rPr>
        <w:t xml:space="preserve">Effect of </w:t>
      </w:r>
      <w:proofErr w:type="spellStart"/>
      <w:r>
        <w:rPr>
          <w:rFonts w:ascii="Arial" w:hAnsi="Arial" w:cs="Arial"/>
          <w:b/>
          <w:bCs/>
          <w:sz w:val="20"/>
          <w:szCs w:val="20"/>
        </w:rPr>
        <w:t>h</w:t>
      </w:r>
      <w:r w:rsidRPr="00083A88">
        <w:rPr>
          <w:rFonts w:ascii="Arial" w:hAnsi="Arial" w:cs="Arial"/>
          <w:b/>
          <w:bCs/>
          <w:sz w:val="20"/>
          <w:szCs w:val="20"/>
        </w:rPr>
        <w:t>umic</w:t>
      </w:r>
      <w:proofErr w:type="spellEnd"/>
      <w:r w:rsidRPr="00083A88">
        <w:rPr>
          <w:rFonts w:ascii="Arial" w:hAnsi="Arial" w:cs="Arial"/>
          <w:b/>
          <w:bCs/>
          <w:sz w:val="20"/>
          <w:szCs w:val="20"/>
        </w:rPr>
        <w:t xml:space="preserve"> acid and </w:t>
      </w:r>
      <w:proofErr w:type="spellStart"/>
      <w:r>
        <w:rPr>
          <w:rFonts w:ascii="Arial" w:hAnsi="Arial" w:cs="Arial"/>
          <w:b/>
          <w:bCs/>
          <w:sz w:val="20"/>
          <w:szCs w:val="20"/>
        </w:rPr>
        <w:t>b</w:t>
      </w:r>
      <w:r w:rsidRPr="00083A88">
        <w:rPr>
          <w:rFonts w:ascii="Arial" w:hAnsi="Arial" w:cs="Arial"/>
          <w:b/>
          <w:bCs/>
          <w:sz w:val="20"/>
          <w:szCs w:val="20"/>
        </w:rPr>
        <w:t>rassinolide</w:t>
      </w:r>
      <w:proofErr w:type="spellEnd"/>
      <w:r w:rsidRPr="00083A88">
        <w:rPr>
          <w:rFonts w:ascii="Arial" w:hAnsi="Arial" w:cs="Arial"/>
          <w:b/>
          <w:bCs/>
          <w:sz w:val="20"/>
          <w:szCs w:val="20"/>
        </w:rPr>
        <w:t xml:space="preserve"> on Grain N, P, K uptake </w:t>
      </w:r>
      <w:r w:rsidRPr="00BE5A83">
        <w:rPr>
          <w:rFonts w:ascii="Arial" w:hAnsi="Arial" w:cs="Arial"/>
          <w:b/>
          <w:bCs/>
          <w:sz w:val="20"/>
        </w:rPr>
        <w:t>(kg ha</w:t>
      </w:r>
      <w:r w:rsidRPr="00BE5A83">
        <w:rPr>
          <w:rFonts w:ascii="Arial" w:hAnsi="Arial" w:cs="Arial"/>
          <w:b/>
          <w:bCs/>
          <w:sz w:val="20"/>
          <w:vertAlign w:val="superscript"/>
        </w:rPr>
        <w:t>-1</w:t>
      </w:r>
      <w:r w:rsidRPr="00BE5A83">
        <w:rPr>
          <w:rFonts w:ascii="Arial" w:hAnsi="Arial" w:cs="Arial"/>
          <w:b/>
          <w:bCs/>
          <w:sz w:val="20"/>
        </w:rPr>
        <w:t xml:space="preserve">) </w:t>
      </w:r>
      <w:r w:rsidRPr="00083A88">
        <w:rPr>
          <w:rFonts w:ascii="Arial" w:hAnsi="Arial" w:cs="Arial"/>
          <w:b/>
          <w:bCs/>
          <w:sz w:val="20"/>
          <w:szCs w:val="20"/>
        </w:rPr>
        <w:t>of black gram</w:t>
      </w:r>
    </w:p>
    <w:p w14:paraId="6890B87B" w14:textId="77777777" w:rsidR="00F6001D" w:rsidRPr="004A0813" w:rsidRDefault="00F6001D" w:rsidP="004A0813">
      <w:pPr>
        <w:pStyle w:val="NoSpacing"/>
        <w:jc w:val="center"/>
        <w:rPr>
          <w:b/>
        </w:rPr>
        <w:sectPr w:rsidR="00F6001D" w:rsidRPr="004A0813" w:rsidSect="004A0813">
          <w:pgSz w:w="16838" w:h="11906" w:orient="landscape" w:code="9"/>
          <w:pgMar w:top="1440" w:right="1440" w:bottom="1440" w:left="1440" w:header="709" w:footer="283" w:gutter="0"/>
          <w:cols w:space="708"/>
          <w:docGrid w:linePitch="360"/>
        </w:sectPr>
      </w:pPr>
    </w:p>
    <w:p w14:paraId="13022492" w14:textId="77777777" w:rsidR="00BE5A83" w:rsidRDefault="003776C7" w:rsidP="003776C7">
      <w:pPr>
        <w:spacing w:line="240" w:lineRule="auto"/>
        <w:rPr>
          <w:rFonts w:ascii="Arial" w:hAnsi="Arial" w:cs="Arial"/>
          <w:b/>
          <w:sz w:val="24"/>
          <w:szCs w:val="20"/>
        </w:rPr>
      </w:pPr>
      <w:r w:rsidRPr="003776C7">
        <w:rPr>
          <w:rFonts w:ascii="Arial" w:hAnsi="Arial" w:cs="Arial"/>
          <w:b/>
          <w:sz w:val="24"/>
          <w:szCs w:val="20"/>
        </w:rPr>
        <w:lastRenderedPageBreak/>
        <w:t>CONCLUSION</w:t>
      </w:r>
    </w:p>
    <w:p w14:paraId="5441BF5E" w14:textId="77777777" w:rsidR="003776C7" w:rsidRDefault="003776C7" w:rsidP="003776C7">
      <w:pPr>
        <w:jc w:val="both"/>
        <w:rPr>
          <w:rFonts w:ascii="Arial" w:hAnsi="Arial" w:cs="Arial"/>
          <w:sz w:val="20"/>
          <w:szCs w:val="20"/>
        </w:rPr>
      </w:pPr>
      <w:r>
        <w:rPr>
          <w:rFonts w:ascii="Arial" w:hAnsi="Arial" w:cs="Arial"/>
          <w:sz w:val="20"/>
          <w:szCs w:val="20"/>
        </w:rPr>
        <w:t>T</w:t>
      </w:r>
      <w:r w:rsidRPr="00B424F5">
        <w:rPr>
          <w:rFonts w:ascii="Arial" w:hAnsi="Arial" w:cs="Arial"/>
          <w:sz w:val="20"/>
          <w:szCs w:val="20"/>
        </w:rPr>
        <w:t xml:space="preserve">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the use of plant growth regulators such as BR and SA have shown positive effects on protein content in various crops.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improves nutrient availability and uptake, while BR and SA enhance carbohydrate fixation, enzyme activity, and nutrient translocation, ultimately leading to increased protein synthesis in seeds. These findings align with previous research and highlight the importance of nutrient management and growth regulator application for optimizing protein yield in crops.</w:t>
      </w:r>
      <w:r>
        <w:rPr>
          <w:rFonts w:ascii="Arial" w:hAnsi="Arial" w:cs="Arial"/>
          <w:sz w:val="20"/>
          <w:szCs w:val="20"/>
        </w:rPr>
        <w:t xml:space="preserve"> T</w:t>
      </w:r>
      <w:r w:rsidRPr="00B424F5">
        <w:rPr>
          <w:rFonts w:ascii="Arial" w:hAnsi="Arial" w:cs="Arial"/>
          <w:sz w:val="20"/>
          <w:szCs w:val="20"/>
        </w:rPr>
        <w:t xml:space="preserve">he outcomes of this study highlight the relevance of using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as part of nutrient management techniques to optimise nitrogen, phosphorous, and potassium absorption in grain crops.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acts as a facilitator for phosphorus mobilization and stimulates nutrient absorption, while the balanced utilization of multiple nutrient sources plays a vital role in promoting efficient absorption and utilization of plant nutrients. These results underscore the significance of incorporating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in agricultural practices to maximize nutrient uptake and ultimately enhance crop productivity.</w:t>
      </w:r>
    </w:p>
    <w:p w14:paraId="79575A2D" w14:textId="77777777" w:rsidR="003776C7" w:rsidRDefault="003776C7" w:rsidP="003776C7">
      <w:pPr>
        <w:spacing w:line="240" w:lineRule="auto"/>
        <w:rPr>
          <w:rFonts w:ascii="Arial" w:hAnsi="Arial" w:cs="Arial"/>
          <w:b/>
          <w:sz w:val="24"/>
          <w:szCs w:val="20"/>
        </w:rPr>
      </w:pPr>
    </w:p>
    <w:p w14:paraId="272B792B" w14:textId="77777777" w:rsidR="003776C7" w:rsidRPr="003776C7" w:rsidRDefault="003776C7" w:rsidP="003776C7">
      <w:pPr>
        <w:pStyle w:val="Heading2"/>
        <w:rPr>
          <w:rFonts w:eastAsia="Calibri"/>
          <w:sz w:val="24"/>
          <w:szCs w:val="24"/>
        </w:rPr>
      </w:pPr>
      <w:r w:rsidRPr="003776C7">
        <w:rPr>
          <w:rFonts w:eastAsia="Calibri"/>
          <w:sz w:val="24"/>
          <w:szCs w:val="24"/>
        </w:rPr>
        <w:t>DISCLAIMER (ARTIFICIAL INTELLIGENCE)</w:t>
      </w:r>
    </w:p>
    <w:p w14:paraId="49D4342C" w14:textId="77777777" w:rsidR="003776C7" w:rsidRPr="00434627" w:rsidRDefault="003776C7" w:rsidP="003776C7">
      <w:pPr>
        <w:spacing w:after="0" w:line="240" w:lineRule="auto"/>
        <w:jc w:val="both"/>
        <w:rPr>
          <w:rFonts w:ascii="Arial" w:eastAsia="Calibri" w:hAnsi="Arial" w:cs="Arial"/>
          <w:b/>
          <w:sz w:val="20"/>
          <w:szCs w:val="20"/>
        </w:rPr>
      </w:pPr>
    </w:p>
    <w:p w14:paraId="6CE255BF" w14:textId="77777777" w:rsidR="003776C7" w:rsidRPr="00434627" w:rsidRDefault="003776C7" w:rsidP="003776C7">
      <w:pPr>
        <w:spacing w:after="0" w:line="240" w:lineRule="auto"/>
        <w:jc w:val="both"/>
        <w:rPr>
          <w:rFonts w:ascii="Arial" w:eastAsia="Calibri" w:hAnsi="Arial" w:cs="Arial"/>
          <w:sz w:val="20"/>
          <w:szCs w:val="20"/>
        </w:rPr>
      </w:pPr>
      <w:r w:rsidRPr="00434627">
        <w:rPr>
          <w:rFonts w:ascii="Arial" w:eastAsia="Calibri" w:hAnsi="Arial" w:cs="Arial"/>
          <w:sz w:val="20"/>
          <w:szCs w:val="20"/>
        </w:rPr>
        <w:t xml:space="preserve">Author(s) hereby declare that </w:t>
      </w:r>
      <w:r w:rsidRPr="00A41DA8">
        <w:rPr>
          <w:rFonts w:ascii="Arial" w:eastAsia="Calibri" w:hAnsi="Arial" w:cs="Arial"/>
          <w:sz w:val="20"/>
          <w:szCs w:val="20"/>
        </w:rPr>
        <w:t xml:space="preserve">no </w:t>
      </w:r>
      <w:r w:rsidRPr="00434627">
        <w:rPr>
          <w:rFonts w:ascii="Arial" w:eastAsia="Calibri" w:hAnsi="Arial" w:cs="Arial"/>
          <w:sz w:val="20"/>
          <w:szCs w:val="20"/>
        </w:rPr>
        <w:t>generative AI technologies such as Large Language Models (</w:t>
      </w:r>
      <w:proofErr w:type="spellStart"/>
      <w:r w:rsidRPr="00434627">
        <w:rPr>
          <w:rFonts w:ascii="Arial" w:eastAsia="Calibri" w:hAnsi="Arial" w:cs="Arial"/>
          <w:sz w:val="20"/>
          <w:szCs w:val="20"/>
        </w:rPr>
        <w:t>ChatGPT</w:t>
      </w:r>
      <w:proofErr w:type="spellEnd"/>
      <w:r w:rsidRPr="00434627">
        <w:rPr>
          <w:rFonts w:ascii="Arial" w:eastAsia="Calibri" w:hAnsi="Arial" w:cs="Arial"/>
          <w:sz w:val="20"/>
          <w:szCs w:val="20"/>
        </w:rPr>
        <w:t xml:space="preserve">, COPILOT, etc.) and text-to-image generators have been used during the writing or editing of this manuscript. </w:t>
      </w:r>
    </w:p>
    <w:p w14:paraId="42007174" w14:textId="77777777" w:rsidR="003776C7" w:rsidRPr="00434627" w:rsidRDefault="003776C7" w:rsidP="003776C7">
      <w:pPr>
        <w:spacing w:after="0" w:line="240" w:lineRule="auto"/>
        <w:jc w:val="both"/>
        <w:rPr>
          <w:rFonts w:ascii="Arial" w:eastAsia="Times New Roman" w:hAnsi="Arial" w:cs="Arial"/>
          <w:b/>
          <w:bCs/>
          <w:caps/>
          <w:sz w:val="20"/>
          <w:szCs w:val="20"/>
        </w:rPr>
      </w:pPr>
    </w:p>
    <w:p w14:paraId="260D4CBA" w14:textId="77777777" w:rsidR="003776C7" w:rsidRPr="003776C7" w:rsidRDefault="003776C7" w:rsidP="003776C7">
      <w:pPr>
        <w:pStyle w:val="Heading2"/>
        <w:rPr>
          <w:sz w:val="24"/>
          <w:szCs w:val="24"/>
        </w:rPr>
      </w:pPr>
      <w:r w:rsidRPr="003776C7">
        <w:rPr>
          <w:sz w:val="24"/>
          <w:szCs w:val="24"/>
        </w:rPr>
        <w:t>COMPETING INTERESTS</w:t>
      </w:r>
    </w:p>
    <w:p w14:paraId="67455063" w14:textId="77777777" w:rsidR="003776C7" w:rsidRPr="00A41DA8" w:rsidRDefault="003776C7" w:rsidP="003776C7">
      <w:pPr>
        <w:pStyle w:val="ReferHead"/>
        <w:keepNext w:val="0"/>
        <w:spacing w:after="0"/>
        <w:jc w:val="both"/>
        <w:rPr>
          <w:rFonts w:ascii="Arial" w:hAnsi="Arial" w:cs="Arial"/>
          <w:sz w:val="20"/>
        </w:rPr>
      </w:pPr>
    </w:p>
    <w:p w14:paraId="6929D77B" w14:textId="77777777" w:rsidR="003776C7" w:rsidRPr="00A41DA8" w:rsidRDefault="003776C7" w:rsidP="003776C7">
      <w:pPr>
        <w:pStyle w:val="ReferHead"/>
        <w:keepNext w:val="0"/>
        <w:spacing w:after="0"/>
        <w:jc w:val="both"/>
        <w:rPr>
          <w:rFonts w:ascii="Arial" w:hAnsi="Arial" w:cs="Arial"/>
          <w:b w:val="0"/>
          <w:caps w:val="0"/>
          <w:sz w:val="20"/>
        </w:rPr>
      </w:pPr>
      <w:r w:rsidRPr="00A41DA8">
        <w:rPr>
          <w:rFonts w:ascii="Arial" w:hAnsi="Arial" w:cs="Arial"/>
          <w:b w:val="0"/>
          <w:caps w:val="0"/>
          <w:sz w:val="20"/>
        </w:rPr>
        <w:t>Authors have declared that no competing interests exist.</w:t>
      </w:r>
    </w:p>
    <w:p w14:paraId="053C6AA5" w14:textId="77777777" w:rsidR="003776C7" w:rsidRDefault="003776C7" w:rsidP="003776C7">
      <w:pPr>
        <w:spacing w:line="240" w:lineRule="auto"/>
        <w:rPr>
          <w:rFonts w:ascii="Arial" w:hAnsi="Arial" w:cs="Arial"/>
          <w:b/>
          <w:sz w:val="24"/>
          <w:szCs w:val="20"/>
        </w:rPr>
      </w:pPr>
    </w:p>
    <w:p w14:paraId="79D3F110" w14:textId="77777777" w:rsidR="003776C7" w:rsidRDefault="003776C7" w:rsidP="003776C7">
      <w:pPr>
        <w:spacing w:line="240" w:lineRule="auto"/>
        <w:rPr>
          <w:rFonts w:ascii="Arial" w:hAnsi="Arial" w:cs="Arial"/>
          <w:b/>
          <w:sz w:val="24"/>
          <w:szCs w:val="20"/>
        </w:rPr>
      </w:pPr>
      <w:r w:rsidRPr="003776C7">
        <w:rPr>
          <w:rFonts w:ascii="Arial" w:hAnsi="Arial" w:cs="Arial"/>
          <w:b/>
          <w:sz w:val="24"/>
          <w:szCs w:val="20"/>
        </w:rPr>
        <w:t>REFERENCES</w:t>
      </w:r>
    </w:p>
    <w:p w14:paraId="47915555" w14:textId="77777777" w:rsidR="00AD147C" w:rsidRDefault="00AD147C" w:rsidP="00AD147C">
      <w:pPr>
        <w:pStyle w:val="NoSpacing"/>
        <w:ind w:left="720" w:hanging="720"/>
        <w:jc w:val="both"/>
        <w:rPr>
          <w:rFonts w:ascii="Arial" w:hAnsi="Arial" w:cs="Arial"/>
          <w:sz w:val="20"/>
          <w:shd w:val="clear" w:color="auto" w:fill="FFFFFF"/>
        </w:rPr>
      </w:pPr>
      <w:r w:rsidRPr="003776C7">
        <w:rPr>
          <w:rFonts w:ascii="Arial" w:hAnsi="Arial" w:cs="Arial"/>
          <w:sz w:val="20"/>
          <w:shd w:val="clear" w:color="auto" w:fill="FFFFFF"/>
        </w:rPr>
        <w:t>AOAC. (1995). Official methods of analysis. 16</w:t>
      </w:r>
      <w:r w:rsidRPr="003776C7">
        <w:rPr>
          <w:rFonts w:ascii="Arial" w:hAnsi="Arial" w:cs="Arial"/>
          <w:sz w:val="20"/>
          <w:shd w:val="clear" w:color="auto" w:fill="FFFFFF"/>
          <w:vertAlign w:val="superscript"/>
        </w:rPr>
        <w:t>th</w:t>
      </w:r>
      <w:r w:rsidRPr="003776C7">
        <w:rPr>
          <w:rFonts w:ascii="Arial" w:hAnsi="Arial" w:cs="Arial"/>
          <w:sz w:val="20"/>
          <w:shd w:val="clear" w:color="auto" w:fill="FFFFFF"/>
        </w:rPr>
        <w:t xml:space="preserve"> edition. </w:t>
      </w:r>
      <w:r w:rsidRPr="003776C7">
        <w:rPr>
          <w:rFonts w:ascii="Arial" w:hAnsi="Arial" w:cs="Arial"/>
          <w:i/>
          <w:iCs/>
          <w:sz w:val="20"/>
          <w:shd w:val="clear" w:color="auto" w:fill="FFFFFF"/>
        </w:rPr>
        <w:t>Association of Official Analytical Chemist</w:t>
      </w:r>
      <w:r w:rsidRPr="003776C7">
        <w:rPr>
          <w:rFonts w:ascii="Arial" w:hAnsi="Arial" w:cs="Arial"/>
          <w:sz w:val="20"/>
          <w:shd w:val="clear" w:color="auto" w:fill="FFFFFF"/>
        </w:rPr>
        <w:t xml:space="preserve">, </w:t>
      </w:r>
      <w:r w:rsidRPr="003776C7">
        <w:rPr>
          <w:rFonts w:ascii="Arial" w:hAnsi="Arial" w:cs="Arial"/>
          <w:i/>
          <w:iCs/>
          <w:sz w:val="20"/>
          <w:shd w:val="clear" w:color="auto" w:fill="FFFFFF"/>
        </w:rPr>
        <w:t>Washington</w:t>
      </w:r>
      <w:r w:rsidRPr="003776C7">
        <w:rPr>
          <w:rFonts w:ascii="Arial" w:hAnsi="Arial" w:cs="Arial"/>
          <w:sz w:val="20"/>
          <w:shd w:val="clear" w:color="auto" w:fill="FFFFFF"/>
        </w:rPr>
        <w:t xml:space="preserve">, DC. </w:t>
      </w:r>
    </w:p>
    <w:p w14:paraId="2D8381D6"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Asha, A., &amp; </w:t>
      </w:r>
      <w:proofErr w:type="spellStart"/>
      <w:r w:rsidRPr="00AD147C">
        <w:rPr>
          <w:rFonts w:ascii="Arial" w:hAnsi="Arial" w:cs="Arial"/>
          <w:sz w:val="20"/>
          <w:szCs w:val="20"/>
        </w:rPr>
        <w:t>Lingakumar</w:t>
      </w:r>
      <w:proofErr w:type="spellEnd"/>
      <w:r w:rsidRPr="00AD147C">
        <w:rPr>
          <w:rFonts w:ascii="Arial" w:hAnsi="Arial" w:cs="Arial"/>
          <w:sz w:val="20"/>
          <w:szCs w:val="20"/>
        </w:rPr>
        <w:t xml:space="preserve">, K. (2015). Effect of 24-epibrassinollide on the morphological and biochemical constitutions </w:t>
      </w:r>
      <w:r w:rsidRPr="00AD147C">
        <w:rPr>
          <w:rFonts w:ascii="Arial" w:hAnsi="Arial" w:cs="Arial"/>
          <w:i/>
          <w:iCs/>
          <w:sz w:val="20"/>
          <w:szCs w:val="20"/>
        </w:rPr>
        <w:t xml:space="preserve">Vigna </w:t>
      </w:r>
      <w:proofErr w:type="spellStart"/>
      <w:r w:rsidRPr="00AD147C">
        <w:rPr>
          <w:rFonts w:ascii="Arial" w:hAnsi="Arial" w:cs="Arial"/>
          <w:i/>
          <w:iCs/>
          <w:sz w:val="20"/>
          <w:szCs w:val="20"/>
        </w:rPr>
        <w:t>unguiculata</w:t>
      </w:r>
      <w:proofErr w:type="spellEnd"/>
      <w:r w:rsidRPr="00AD147C">
        <w:rPr>
          <w:rFonts w:ascii="Arial" w:hAnsi="Arial" w:cs="Arial"/>
          <w:sz w:val="20"/>
          <w:szCs w:val="20"/>
        </w:rPr>
        <w:t xml:space="preserve"> (L.) seedlings. </w:t>
      </w:r>
      <w:r w:rsidRPr="00AD147C">
        <w:rPr>
          <w:rFonts w:ascii="Arial" w:hAnsi="Arial" w:cs="Arial"/>
          <w:i/>
          <w:iCs/>
          <w:sz w:val="20"/>
          <w:szCs w:val="20"/>
        </w:rPr>
        <w:t>seed</w:t>
      </w:r>
      <w:r w:rsidRPr="00AD147C">
        <w:rPr>
          <w:rFonts w:ascii="Arial" w:hAnsi="Arial" w:cs="Arial"/>
          <w:sz w:val="20"/>
          <w:szCs w:val="20"/>
        </w:rPr>
        <w:t>, </w:t>
      </w:r>
      <w:r w:rsidRPr="00AD147C">
        <w:rPr>
          <w:rFonts w:ascii="Arial" w:hAnsi="Arial" w:cs="Arial"/>
          <w:bCs/>
          <w:i/>
          <w:sz w:val="20"/>
          <w:szCs w:val="20"/>
        </w:rPr>
        <w:t>8</w:t>
      </w:r>
      <w:r w:rsidRPr="00AD147C">
        <w:rPr>
          <w:rFonts w:ascii="Arial" w:hAnsi="Arial" w:cs="Arial"/>
          <w:sz w:val="20"/>
          <w:szCs w:val="20"/>
        </w:rPr>
        <w:t>(2).</w:t>
      </w:r>
    </w:p>
    <w:p w14:paraId="2918AE0F"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Bakry</w:t>
      </w:r>
      <w:proofErr w:type="spellEnd"/>
      <w:r w:rsidRPr="00AD147C">
        <w:rPr>
          <w:rFonts w:ascii="Arial" w:hAnsi="Arial" w:cs="Arial"/>
          <w:sz w:val="20"/>
          <w:szCs w:val="20"/>
        </w:rPr>
        <w:t xml:space="preserve">, A. B., </w:t>
      </w:r>
      <w:proofErr w:type="spellStart"/>
      <w:r w:rsidRPr="00AD147C">
        <w:rPr>
          <w:rFonts w:ascii="Arial" w:hAnsi="Arial" w:cs="Arial"/>
          <w:sz w:val="20"/>
          <w:szCs w:val="20"/>
        </w:rPr>
        <w:t>Sadak</w:t>
      </w:r>
      <w:proofErr w:type="spellEnd"/>
      <w:r w:rsidRPr="00AD147C">
        <w:rPr>
          <w:rFonts w:ascii="Arial" w:hAnsi="Arial" w:cs="Arial"/>
          <w:sz w:val="20"/>
          <w:szCs w:val="20"/>
        </w:rPr>
        <w:t>, M. S., &amp; El-</w:t>
      </w:r>
      <w:proofErr w:type="spellStart"/>
      <w:r w:rsidRPr="00AD147C">
        <w:rPr>
          <w:rFonts w:ascii="Arial" w:hAnsi="Arial" w:cs="Arial"/>
          <w:sz w:val="20"/>
          <w:szCs w:val="20"/>
        </w:rPr>
        <w:t>Karamany</w:t>
      </w:r>
      <w:proofErr w:type="spellEnd"/>
      <w:r w:rsidRPr="00AD147C">
        <w:rPr>
          <w:rFonts w:ascii="Arial" w:hAnsi="Arial" w:cs="Arial"/>
          <w:sz w:val="20"/>
          <w:szCs w:val="20"/>
        </w:rPr>
        <w:t xml:space="preserve">, M. F. (2015).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and </w:t>
      </w:r>
      <w:proofErr w:type="spellStart"/>
      <w:r w:rsidRPr="00AD147C">
        <w:rPr>
          <w:rFonts w:ascii="Arial" w:hAnsi="Arial" w:cs="Arial"/>
          <w:sz w:val="20"/>
          <w:szCs w:val="20"/>
        </w:rPr>
        <w:t>sulfur</w:t>
      </w:r>
      <w:proofErr w:type="spellEnd"/>
      <w:r w:rsidRPr="00AD147C">
        <w:rPr>
          <w:rFonts w:ascii="Arial" w:hAnsi="Arial" w:cs="Arial"/>
          <w:sz w:val="20"/>
          <w:szCs w:val="20"/>
        </w:rPr>
        <w:t xml:space="preserve"> on growth, some biochemical constituents, yield and yield attributes of flax grown under newly reclaimed sandy soils. </w:t>
      </w:r>
      <w:r w:rsidRPr="00AD147C">
        <w:rPr>
          <w:rFonts w:ascii="Arial" w:hAnsi="Arial" w:cs="Arial"/>
          <w:i/>
          <w:iCs/>
          <w:sz w:val="20"/>
          <w:szCs w:val="20"/>
        </w:rPr>
        <w:t>Journal of Agricultural and Biological Science</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(7), 247-259.</w:t>
      </w:r>
    </w:p>
    <w:p w14:paraId="32DA3B95" w14:textId="77777777" w:rsid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Balasubramanian, P., Chandrasekaran, S., &amp; </w:t>
      </w:r>
      <w:proofErr w:type="spellStart"/>
      <w:r w:rsidRPr="00AD147C">
        <w:rPr>
          <w:rFonts w:ascii="Arial" w:hAnsi="Arial" w:cs="Arial"/>
          <w:sz w:val="20"/>
          <w:szCs w:val="20"/>
        </w:rPr>
        <w:t>Govindasamy</w:t>
      </w:r>
      <w:proofErr w:type="spellEnd"/>
      <w:r w:rsidRPr="00AD147C">
        <w:rPr>
          <w:rFonts w:ascii="Arial" w:hAnsi="Arial" w:cs="Arial"/>
          <w:sz w:val="20"/>
          <w:szCs w:val="20"/>
        </w:rPr>
        <w:t xml:space="preserve">, R. (1989).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the yield, dry matter production and nutrient content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w:t>
      </w:r>
      <w:r w:rsidRPr="00AD147C">
        <w:rPr>
          <w:rFonts w:ascii="Arial" w:hAnsi="Arial" w:cs="Arial"/>
          <w:i/>
          <w:iCs/>
          <w:sz w:val="20"/>
          <w:szCs w:val="20"/>
        </w:rPr>
        <w:t>Vigna mungo</w:t>
      </w:r>
      <w:r w:rsidRPr="00AD147C">
        <w:rPr>
          <w:rFonts w:ascii="Arial" w:hAnsi="Arial" w:cs="Arial"/>
          <w:sz w:val="20"/>
          <w:szCs w:val="20"/>
        </w:rPr>
        <w:t xml:space="preserve"> L. Hepper). In </w:t>
      </w:r>
      <w:r w:rsidRPr="00AD147C">
        <w:rPr>
          <w:rFonts w:ascii="Arial" w:hAnsi="Arial" w:cs="Arial"/>
          <w:i/>
          <w:iCs/>
          <w:sz w:val="20"/>
          <w:szCs w:val="20"/>
        </w:rPr>
        <w:t>Proc. National Seminar on humus acids in agriculture, Annamalai University</w:t>
      </w:r>
      <w:r w:rsidRPr="00AD147C">
        <w:rPr>
          <w:rFonts w:ascii="Arial" w:hAnsi="Arial" w:cs="Arial"/>
          <w:sz w:val="20"/>
          <w:szCs w:val="20"/>
        </w:rPr>
        <w:t> (pp. 145-152).</w:t>
      </w:r>
    </w:p>
    <w:p w14:paraId="792C9D90"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Chaitra, P., &amp; Math, K. K. (2018).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soil microbial population and enzymatic activity. </w:t>
      </w:r>
      <w:r w:rsidRPr="00AD147C">
        <w:rPr>
          <w:rFonts w:ascii="Arial" w:hAnsi="Arial" w:cs="Arial"/>
          <w:i/>
          <w:iCs/>
          <w:sz w:val="20"/>
          <w:szCs w:val="20"/>
        </w:rPr>
        <w:t>International Journal of Current Microbiology and Applied Science</w:t>
      </w:r>
      <w:r w:rsidRPr="00AD147C">
        <w:rPr>
          <w:rFonts w:ascii="Arial" w:hAnsi="Arial" w:cs="Arial"/>
          <w:sz w:val="20"/>
          <w:szCs w:val="20"/>
        </w:rPr>
        <w:t>, </w:t>
      </w:r>
      <w:r w:rsidRPr="00AD147C">
        <w:rPr>
          <w:rFonts w:ascii="Arial" w:hAnsi="Arial" w:cs="Arial"/>
          <w:i/>
          <w:iCs/>
          <w:sz w:val="20"/>
          <w:szCs w:val="20"/>
        </w:rPr>
        <w:t>7</w:t>
      </w:r>
      <w:r w:rsidRPr="00AD147C">
        <w:rPr>
          <w:rFonts w:ascii="Arial" w:hAnsi="Arial" w:cs="Arial"/>
          <w:sz w:val="20"/>
          <w:szCs w:val="20"/>
        </w:rPr>
        <w:t>, 1729-1733.</w:t>
      </w:r>
    </w:p>
    <w:p w14:paraId="3FA5A6BB"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Cobley</w:t>
      </w:r>
      <w:proofErr w:type="spellEnd"/>
      <w:r w:rsidRPr="00AD147C">
        <w:rPr>
          <w:rFonts w:ascii="Arial" w:hAnsi="Arial" w:cs="Arial"/>
          <w:sz w:val="20"/>
          <w:szCs w:val="20"/>
        </w:rPr>
        <w:t xml:space="preserve">, L. S., &amp; Steele, W. M. (1976). Vegetables </w:t>
      </w:r>
      <w:proofErr w:type="spellStart"/>
      <w:r w:rsidRPr="00AD147C">
        <w:rPr>
          <w:rFonts w:ascii="Arial" w:hAnsi="Arial" w:cs="Arial"/>
          <w:sz w:val="20"/>
          <w:szCs w:val="20"/>
        </w:rPr>
        <w:t>fibers</w:t>
      </w:r>
      <w:proofErr w:type="spellEnd"/>
      <w:r w:rsidRPr="00AD147C">
        <w:rPr>
          <w:rFonts w:ascii="Arial" w:hAnsi="Arial" w:cs="Arial"/>
          <w:sz w:val="20"/>
          <w:szCs w:val="20"/>
        </w:rPr>
        <w:t>. </w:t>
      </w:r>
      <w:r w:rsidRPr="00AD147C">
        <w:rPr>
          <w:rFonts w:ascii="Arial" w:hAnsi="Arial" w:cs="Arial"/>
          <w:i/>
          <w:iCs/>
          <w:sz w:val="20"/>
          <w:szCs w:val="20"/>
        </w:rPr>
        <w:t>An Introduction to the Botany of Tropical Crops,</w:t>
      </w:r>
      <w:r w:rsidRPr="00AD147C">
        <w:rPr>
          <w:rFonts w:ascii="Arial" w:hAnsi="Arial" w:cs="Arial"/>
          <w:sz w:val="20"/>
          <w:szCs w:val="20"/>
        </w:rPr>
        <w:t xml:space="preserve"> 252-257.</w:t>
      </w:r>
    </w:p>
    <w:p w14:paraId="50FA32DE"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De Candolle, A. (1996). of crop plants. </w:t>
      </w:r>
      <w:r w:rsidRPr="00AD147C">
        <w:rPr>
          <w:rFonts w:ascii="Arial" w:hAnsi="Arial" w:cs="Arial"/>
          <w:i/>
          <w:iCs/>
          <w:color w:val="222222"/>
          <w:sz w:val="20"/>
          <w:szCs w:val="20"/>
          <w:shd w:val="clear" w:color="auto" w:fill="FFFFFF"/>
        </w:rPr>
        <w:t>Crop Evolution, Adaptation and Yield</w:t>
      </w:r>
      <w:r w:rsidRPr="00AD147C">
        <w:rPr>
          <w:rFonts w:ascii="Arial" w:hAnsi="Arial" w:cs="Arial"/>
          <w:color w:val="222222"/>
          <w:sz w:val="20"/>
          <w:szCs w:val="20"/>
          <w:shd w:val="clear" w:color="auto" w:fill="FFFFFF"/>
        </w:rPr>
        <w:t>, 62.</w:t>
      </w:r>
    </w:p>
    <w:p w14:paraId="297E4DCF"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Devaraju</w:t>
      </w:r>
      <w:proofErr w:type="spellEnd"/>
      <w:r w:rsidRPr="00AD147C">
        <w:rPr>
          <w:rFonts w:ascii="Arial" w:hAnsi="Arial" w:cs="Arial"/>
          <w:sz w:val="20"/>
          <w:szCs w:val="20"/>
        </w:rPr>
        <w:t xml:space="preserve">, B., &amp; </w:t>
      </w:r>
      <w:proofErr w:type="spellStart"/>
      <w:r w:rsidRPr="00AD147C">
        <w:rPr>
          <w:rFonts w:ascii="Arial" w:hAnsi="Arial" w:cs="Arial"/>
          <w:sz w:val="20"/>
          <w:szCs w:val="20"/>
        </w:rPr>
        <w:t>Senthivel</w:t>
      </w:r>
      <w:proofErr w:type="spellEnd"/>
      <w:r w:rsidRPr="00AD147C">
        <w:rPr>
          <w:rFonts w:ascii="Arial" w:hAnsi="Arial" w:cs="Arial"/>
          <w:sz w:val="20"/>
          <w:szCs w:val="20"/>
        </w:rPr>
        <w:t xml:space="preserve">, T. (2018). Effect of foliar application of different sources of nutrients on growth and yield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under irrigated conditions. </w:t>
      </w:r>
      <w:r w:rsidRPr="00AD147C">
        <w:rPr>
          <w:rFonts w:ascii="Arial" w:hAnsi="Arial" w:cs="Arial"/>
          <w:i/>
          <w:iCs/>
          <w:sz w:val="20"/>
          <w:szCs w:val="20"/>
        </w:rPr>
        <w:t>International Journal of Current Microbiology and Applied Sciences</w:t>
      </w:r>
      <w:r w:rsidRPr="00AD147C">
        <w:rPr>
          <w:rFonts w:ascii="Arial" w:hAnsi="Arial" w:cs="Arial"/>
          <w:sz w:val="20"/>
          <w:szCs w:val="20"/>
        </w:rPr>
        <w:t>, </w:t>
      </w:r>
      <w:r w:rsidRPr="00AD147C">
        <w:rPr>
          <w:rFonts w:ascii="Arial" w:hAnsi="Arial" w:cs="Arial"/>
          <w:bCs/>
          <w:i/>
          <w:sz w:val="20"/>
          <w:szCs w:val="20"/>
        </w:rPr>
        <w:t>7</w:t>
      </w:r>
      <w:r w:rsidRPr="00AD147C">
        <w:rPr>
          <w:rFonts w:ascii="Arial" w:hAnsi="Arial" w:cs="Arial"/>
          <w:sz w:val="20"/>
          <w:szCs w:val="20"/>
        </w:rPr>
        <w:t>(1), 3105-3109.</w:t>
      </w:r>
    </w:p>
    <w:p w14:paraId="6D7BCBE6"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Dogra, R., &amp; </w:t>
      </w:r>
      <w:proofErr w:type="spellStart"/>
      <w:r w:rsidRPr="00AD147C">
        <w:rPr>
          <w:rFonts w:ascii="Arial" w:hAnsi="Arial" w:cs="Arial"/>
          <w:sz w:val="20"/>
          <w:szCs w:val="20"/>
        </w:rPr>
        <w:t>Thukral</w:t>
      </w:r>
      <w:proofErr w:type="spellEnd"/>
      <w:r w:rsidRPr="00AD147C">
        <w:rPr>
          <w:rFonts w:ascii="Arial" w:hAnsi="Arial" w:cs="Arial"/>
          <w:sz w:val="20"/>
          <w:szCs w:val="20"/>
        </w:rPr>
        <w:t>, A. K. (1998). Effect of steroids on inorganic constituents of maize leaves. </w:t>
      </w:r>
      <w:r w:rsidRPr="00AD147C">
        <w:rPr>
          <w:rFonts w:ascii="Arial" w:hAnsi="Arial" w:cs="Arial"/>
          <w:i/>
          <w:iCs/>
          <w:sz w:val="20"/>
          <w:szCs w:val="20"/>
        </w:rPr>
        <w:t>Environment and Development Scientific Publishers, Jodhpur, India</w:t>
      </w:r>
      <w:r w:rsidRPr="00AD147C">
        <w:rPr>
          <w:rFonts w:ascii="Arial" w:hAnsi="Arial" w:cs="Arial"/>
          <w:sz w:val="20"/>
          <w:szCs w:val="20"/>
        </w:rPr>
        <w:t>, 269-273.</w:t>
      </w:r>
    </w:p>
    <w:p w14:paraId="414A1E41"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Dudde</w:t>
      </w:r>
      <w:proofErr w:type="spellEnd"/>
      <w:r w:rsidRPr="00AD147C">
        <w:rPr>
          <w:rFonts w:ascii="Arial" w:hAnsi="Arial" w:cs="Arial"/>
          <w:sz w:val="20"/>
          <w:szCs w:val="20"/>
        </w:rPr>
        <w:t xml:space="preserve">, K. B., </w:t>
      </w:r>
      <w:proofErr w:type="spellStart"/>
      <w:r w:rsidRPr="00AD147C">
        <w:rPr>
          <w:rFonts w:ascii="Arial" w:hAnsi="Arial" w:cs="Arial"/>
          <w:sz w:val="20"/>
          <w:szCs w:val="20"/>
        </w:rPr>
        <w:t>Malewar</w:t>
      </w:r>
      <w:proofErr w:type="spellEnd"/>
      <w:r w:rsidRPr="00AD147C">
        <w:rPr>
          <w:rFonts w:ascii="Arial" w:hAnsi="Arial" w:cs="Arial"/>
          <w:sz w:val="20"/>
          <w:szCs w:val="20"/>
        </w:rPr>
        <w:t xml:space="preserve">, G. U., &amp; </w:t>
      </w:r>
      <w:proofErr w:type="spellStart"/>
      <w:r w:rsidRPr="00AD147C">
        <w:rPr>
          <w:rFonts w:ascii="Arial" w:hAnsi="Arial" w:cs="Arial"/>
          <w:sz w:val="20"/>
          <w:szCs w:val="20"/>
        </w:rPr>
        <w:t>Gaffar</w:t>
      </w:r>
      <w:proofErr w:type="spellEnd"/>
      <w:r w:rsidRPr="00AD147C">
        <w:rPr>
          <w:rFonts w:ascii="Arial" w:hAnsi="Arial" w:cs="Arial"/>
          <w:sz w:val="20"/>
          <w:szCs w:val="20"/>
        </w:rPr>
        <w:t>, S. A. (1980). Studies on the effect of N, P, moisture and alkali levels on dry matter production and concentration of nutrients in groundnut. </w:t>
      </w:r>
      <w:r w:rsidRPr="00AD147C">
        <w:rPr>
          <w:rFonts w:ascii="Arial" w:hAnsi="Arial" w:cs="Arial"/>
          <w:i/>
          <w:iCs/>
          <w:sz w:val="20"/>
          <w:szCs w:val="20"/>
        </w:rPr>
        <w:t>Journal of Maharashtra agricultural universities</w:t>
      </w:r>
      <w:r w:rsidRPr="00AD147C">
        <w:rPr>
          <w:rFonts w:ascii="Arial" w:hAnsi="Arial" w:cs="Arial"/>
          <w:sz w:val="20"/>
          <w:szCs w:val="20"/>
        </w:rPr>
        <w:t>.</w:t>
      </w:r>
    </w:p>
    <w:p w14:paraId="53778C70" w14:textId="77777777" w:rsidR="00AD147C" w:rsidRPr="00AD147C" w:rsidRDefault="00AD147C" w:rsidP="00AD147C">
      <w:pPr>
        <w:pStyle w:val="NoSpacing"/>
        <w:ind w:left="720" w:hanging="720"/>
        <w:jc w:val="both"/>
        <w:rPr>
          <w:rFonts w:ascii="Arial" w:hAnsi="Arial" w:cs="Arial"/>
          <w:iCs/>
          <w:sz w:val="20"/>
          <w:szCs w:val="20"/>
        </w:rPr>
      </w:pPr>
      <w:r w:rsidRPr="00AD147C">
        <w:rPr>
          <w:rFonts w:ascii="Arial" w:hAnsi="Arial" w:cs="Arial"/>
          <w:iCs/>
          <w:sz w:val="20"/>
          <w:szCs w:val="20"/>
        </w:rPr>
        <w:t>Han, J., Zhang, X. M., &amp; Zhao, Y. Y. (1988). Study of physiological effects of 24-epibrassinolide on the growth and development of tobacco proceedings of the 9th International Tobacco Scientific Congress. Guangzhou China, 107-108.</w:t>
      </w:r>
    </w:p>
    <w:p w14:paraId="2C5382F3" w14:textId="77777777" w:rsidR="00AD147C" w:rsidRDefault="00AD147C" w:rsidP="00AD147C">
      <w:pPr>
        <w:pStyle w:val="NoSpacing"/>
        <w:ind w:left="720" w:hanging="720"/>
        <w:jc w:val="both"/>
        <w:rPr>
          <w:rFonts w:ascii="Arial" w:hAnsi="Arial" w:cs="Arial"/>
          <w:color w:val="222222"/>
          <w:sz w:val="20"/>
          <w:shd w:val="clear" w:color="auto" w:fill="FFFFFF"/>
        </w:rPr>
      </w:pPr>
      <w:r w:rsidRPr="003776C7">
        <w:rPr>
          <w:rFonts w:ascii="Arial" w:hAnsi="Arial" w:cs="Arial"/>
          <w:color w:val="222222"/>
          <w:sz w:val="20"/>
          <w:shd w:val="clear" w:color="auto" w:fill="FFFFFF"/>
        </w:rPr>
        <w:t xml:space="preserve">Jackson, M.L. (1973). Soil chemical analysis, </w:t>
      </w:r>
      <w:proofErr w:type="spellStart"/>
      <w:r w:rsidRPr="003776C7">
        <w:rPr>
          <w:rFonts w:ascii="Arial" w:hAnsi="Arial" w:cs="Arial"/>
          <w:color w:val="222222"/>
          <w:sz w:val="20"/>
          <w:shd w:val="clear" w:color="auto" w:fill="FFFFFF"/>
        </w:rPr>
        <w:t>pentice</w:t>
      </w:r>
      <w:proofErr w:type="spellEnd"/>
      <w:r w:rsidRPr="003776C7">
        <w:rPr>
          <w:rFonts w:ascii="Arial" w:hAnsi="Arial" w:cs="Arial"/>
          <w:color w:val="222222"/>
          <w:sz w:val="20"/>
          <w:shd w:val="clear" w:color="auto" w:fill="FFFFFF"/>
        </w:rPr>
        <w:t xml:space="preserve"> hall of India </w:t>
      </w:r>
      <w:proofErr w:type="spellStart"/>
      <w:r w:rsidRPr="003776C7">
        <w:rPr>
          <w:rFonts w:ascii="Arial" w:hAnsi="Arial" w:cs="Arial"/>
          <w:color w:val="222222"/>
          <w:sz w:val="20"/>
          <w:shd w:val="clear" w:color="auto" w:fill="FFFFFF"/>
        </w:rPr>
        <w:t>Pvt.</w:t>
      </w:r>
      <w:proofErr w:type="spellEnd"/>
      <w:r w:rsidRPr="003776C7">
        <w:rPr>
          <w:rFonts w:ascii="Arial" w:hAnsi="Arial" w:cs="Arial"/>
          <w:color w:val="222222"/>
          <w:sz w:val="20"/>
          <w:shd w:val="clear" w:color="auto" w:fill="FFFFFF"/>
        </w:rPr>
        <w:t xml:space="preserve"> Ltd., New Delhi, India. 498, 151-4.</w:t>
      </w:r>
    </w:p>
    <w:p w14:paraId="1AD36B16"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proofErr w:type="spellStart"/>
      <w:r w:rsidRPr="00AD147C">
        <w:rPr>
          <w:rFonts w:ascii="Arial" w:hAnsi="Arial" w:cs="Arial"/>
          <w:color w:val="222222"/>
          <w:sz w:val="20"/>
          <w:szCs w:val="20"/>
          <w:shd w:val="clear" w:color="auto" w:fill="FFFFFF"/>
        </w:rPr>
        <w:t>Jumrani</w:t>
      </w:r>
      <w:proofErr w:type="spellEnd"/>
      <w:r w:rsidRPr="00AD147C">
        <w:rPr>
          <w:rFonts w:ascii="Arial" w:hAnsi="Arial" w:cs="Arial"/>
          <w:color w:val="222222"/>
          <w:sz w:val="20"/>
          <w:szCs w:val="20"/>
          <w:shd w:val="clear" w:color="auto" w:fill="FFFFFF"/>
        </w:rPr>
        <w:t>, J. (2025). Importance of Pulses in Ensuring Food and Nutritional Security in India. </w:t>
      </w:r>
      <w:r w:rsidRPr="00AD147C">
        <w:rPr>
          <w:rFonts w:ascii="Arial" w:hAnsi="Arial" w:cs="Arial"/>
          <w:i/>
          <w:iCs/>
          <w:color w:val="222222"/>
          <w:sz w:val="20"/>
          <w:szCs w:val="20"/>
          <w:shd w:val="clear" w:color="auto" w:fill="FFFFFF"/>
        </w:rPr>
        <w:t>Navigating Food Security and Nutritional Challenges</w:t>
      </w:r>
      <w:r w:rsidRPr="00AD147C">
        <w:rPr>
          <w:rFonts w:ascii="Arial" w:hAnsi="Arial" w:cs="Arial"/>
          <w:color w:val="222222"/>
          <w:sz w:val="20"/>
          <w:szCs w:val="20"/>
          <w:shd w:val="clear" w:color="auto" w:fill="FFFFFF"/>
        </w:rPr>
        <w:t>, 207.</w:t>
      </w:r>
    </w:p>
    <w:p w14:paraId="3BBFF76B"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lastRenderedPageBreak/>
        <w:t xml:space="preserve">Kadam, S. R., </w:t>
      </w:r>
      <w:proofErr w:type="spellStart"/>
      <w:r w:rsidRPr="00AD147C">
        <w:rPr>
          <w:rFonts w:ascii="Arial" w:hAnsi="Arial" w:cs="Arial"/>
          <w:sz w:val="20"/>
          <w:szCs w:val="20"/>
        </w:rPr>
        <w:t>Amrutsagar</w:t>
      </w:r>
      <w:proofErr w:type="spellEnd"/>
      <w:r w:rsidRPr="00AD147C">
        <w:rPr>
          <w:rFonts w:ascii="Arial" w:hAnsi="Arial" w:cs="Arial"/>
          <w:sz w:val="20"/>
          <w:szCs w:val="20"/>
        </w:rPr>
        <w:t xml:space="preserve">, V. M., &amp; Deshpande, A. N. (2010). Influence of organic nitrogen sources with fulvic acid spray on yield and nutrient uptake of soybean on </w:t>
      </w:r>
      <w:proofErr w:type="spellStart"/>
      <w:r w:rsidRPr="00AD147C">
        <w:rPr>
          <w:rFonts w:ascii="Arial" w:hAnsi="Arial" w:cs="Arial"/>
          <w:sz w:val="20"/>
          <w:szCs w:val="20"/>
        </w:rPr>
        <w:t>inceptisol</w:t>
      </w:r>
      <w:proofErr w:type="spellEnd"/>
      <w:r w:rsidRPr="00AD147C">
        <w:rPr>
          <w:rFonts w:ascii="Arial" w:hAnsi="Arial" w:cs="Arial"/>
          <w:sz w:val="20"/>
          <w:szCs w:val="20"/>
        </w:rPr>
        <w:t>. </w:t>
      </w:r>
      <w:r w:rsidRPr="00AD147C">
        <w:rPr>
          <w:rFonts w:ascii="Arial" w:hAnsi="Arial" w:cs="Arial"/>
          <w:i/>
          <w:iCs/>
          <w:sz w:val="20"/>
          <w:szCs w:val="20"/>
        </w:rPr>
        <w:t>Journal of Soils and Crops</w:t>
      </w:r>
      <w:r w:rsidRPr="00AD147C">
        <w:rPr>
          <w:rFonts w:ascii="Arial" w:hAnsi="Arial" w:cs="Arial"/>
          <w:sz w:val="20"/>
          <w:szCs w:val="20"/>
        </w:rPr>
        <w:t>, </w:t>
      </w:r>
      <w:r w:rsidRPr="00AD147C">
        <w:rPr>
          <w:rFonts w:ascii="Arial" w:hAnsi="Arial" w:cs="Arial"/>
          <w:b/>
          <w:bCs/>
          <w:sz w:val="20"/>
          <w:szCs w:val="20"/>
        </w:rPr>
        <w:t>20</w:t>
      </w:r>
      <w:r w:rsidRPr="00AD147C">
        <w:rPr>
          <w:rFonts w:ascii="Arial" w:hAnsi="Arial" w:cs="Arial"/>
          <w:sz w:val="20"/>
          <w:szCs w:val="20"/>
        </w:rPr>
        <w:t>(1), 58-63.</w:t>
      </w:r>
    </w:p>
    <w:p w14:paraId="4E83A833"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Khaled, H., &amp; </w:t>
      </w:r>
      <w:proofErr w:type="spellStart"/>
      <w:r w:rsidRPr="00AD147C">
        <w:rPr>
          <w:rFonts w:ascii="Arial" w:hAnsi="Arial" w:cs="Arial"/>
          <w:color w:val="222222"/>
          <w:sz w:val="20"/>
          <w:szCs w:val="20"/>
          <w:shd w:val="clear" w:color="auto" w:fill="FFFFFF"/>
        </w:rPr>
        <w:t>Fawy</w:t>
      </w:r>
      <w:proofErr w:type="spellEnd"/>
      <w:r w:rsidRPr="00AD147C">
        <w:rPr>
          <w:rFonts w:ascii="Arial" w:hAnsi="Arial" w:cs="Arial"/>
          <w:color w:val="222222"/>
          <w:sz w:val="20"/>
          <w:szCs w:val="20"/>
          <w:shd w:val="clear" w:color="auto" w:fill="FFFFFF"/>
        </w:rPr>
        <w:t xml:space="preserve">, H. A. (2011). Effect of different levels of </w:t>
      </w:r>
      <w:proofErr w:type="spellStart"/>
      <w:r w:rsidRPr="00AD147C">
        <w:rPr>
          <w:rFonts w:ascii="Arial" w:hAnsi="Arial" w:cs="Arial"/>
          <w:color w:val="222222"/>
          <w:sz w:val="20"/>
          <w:szCs w:val="20"/>
          <w:shd w:val="clear" w:color="auto" w:fill="FFFFFF"/>
        </w:rPr>
        <w:t>humic</w:t>
      </w:r>
      <w:proofErr w:type="spellEnd"/>
      <w:r w:rsidRPr="00AD147C">
        <w:rPr>
          <w:rFonts w:ascii="Arial" w:hAnsi="Arial" w:cs="Arial"/>
          <w:color w:val="222222"/>
          <w:sz w:val="20"/>
          <w:szCs w:val="20"/>
          <w:shd w:val="clear" w:color="auto" w:fill="FFFFFF"/>
        </w:rPr>
        <w:t xml:space="preserve"> acids on the nutrient content, plant growth, and soil properties under conditions of salinity. </w:t>
      </w:r>
      <w:r w:rsidRPr="00AD147C">
        <w:rPr>
          <w:rFonts w:ascii="Arial" w:hAnsi="Arial" w:cs="Arial"/>
          <w:i/>
          <w:iCs/>
          <w:color w:val="222222"/>
          <w:sz w:val="20"/>
          <w:szCs w:val="20"/>
          <w:shd w:val="clear" w:color="auto" w:fill="FFFFFF"/>
        </w:rPr>
        <w:t>Soil and water research</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w:t>
      </w:r>
      <w:r w:rsidRPr="00AD147C">
        <w:rPr>
          <w:rFonts w:ascii="Arial" w:hAnsi="Arial" w:cs="Arial"/>
          <w:color w:val="222222"/>
          <w:sz w:val="20"/>
          <w:szCs w:val="20"/>
          <w:shd w:val="clear" w:color="auto" w:fill="FFFFFF"/>
        </w:rPr>
        <w:t>(1), 21.</w:t>
      </w:r>
    </w:p>
    <w:p w14:paraId="2BD88EAF"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Kumar, S., Gopinath, K. A., </w:t>
      </w:r>
      <w:proofErr w:type="spellStart"/>
      <w:r w:rsidRPr="00AD147C">
        <w:rPr>
          <w:rFonts w:ascii="Arial" w:hAnsi="Arial" w:cs="Arial"/>
          <w:color w:val="222222"/>
          <w:sz w:val="20"/>
          <w:szCs w:val="20"/>
          <w:shd w:val="clear" w:color="auto" w:fill="FFFFFF"/>
        </w:rPr>
        <w:t>Sheoran</w:t>
      </w:r>
      <w:proofErr w:type="spellEnd"/>
      <w:r w:rsidRPr="00AD147C">
        <w:rPr>
          <w:rFonts w:ascii="Arial" w:hAnsi="Arial" w:cs="Arial"/>
          <w:color w:val="222222"/>
          <w:sz w:val="20"/>
          <w:szCs w:val="20"/>
          <w:shd w:val="clear" w:color="auto" w:fill="FFFFFF"/>
        </w:rPr>
        <w:t xml:space="preserve">, S., Meena, R. S., </w:t>
      </w:r>
      <w:proofErr w:type="spellStart"/>
      <w:r w:rsidRPr="00AD147C">
        <w:rPr>
          <w:rFonts w:ascii="Arial" w:hAnsi="Arial" w:cs="Arial"/>
          <w:color w:val="222222"/>
          <w:sz w:val="20"/>
          <w:szCs w:val="20"/>
          <w:shd w:val="clear" w:color="auto" w:fill="FFFFFF"/>
        </w:rPr>
        <w:t>Srinivasarao</w:t>
      </w:r>
      <w:proofErr w:type="spellEnd"/>
      <w:r w:rsidRPr="00AD147C">
        <w:rPr>
          <w:rFonts w:ascii="Arial" w:hAnsi="Arial" w:cs="Arial"/>
          <w:color w:val="222222"/>
          <w:sz w:val="20"/>
          <w:szCs w:val="20"/>
          <w:shd w:val="clear" w:color="auto" w:fill="FFFFFF"/>
        </w:rPr>
        <w:t xml:space="preserve">, C., </w:t>
      </w:r>
      <w:proofErr w:type="spellStart"/>
      <w:r w:rsidRPr="00AD147C">
        <w:rPr>
          <w:rFonts w:ascii="Arial" w:hAnsi="Arial" w:cs="Arial"/>
          <w:color w:val="222222"/>
          <w:sz w:val="20"/>
          <w:szCs w:val="20"/>
          <w:shd w:val="clear" w:color="auto" w:fill="FFFFFF"/>
        </w:rPr>
        <w:t>Bedwal</w:t>
      </w:r>
      <w:proofErr w:type="spellEnd"/>
      <w:r w:rsidRPr="00AD147C">
        <w:rPr>
          <w:rFonts w:ascii="Arial" w:hAnsi="Arial" w:cs="Arial"/>
          <w:color w:val="222222"/>
          <w:sz w:val="20"/>
          <w:szCs w:val="20"/>
          <w:shd w:val="clear" w:color="auto" w:fill="FFFFFF"/>
        </w:rPr>
        <w:t xml:space="preserve">, S., ... &amp; </w:t>
      </w:r>
      <w:proofErr w:type="spellStart"/>
      <w:r w:rsidRPr="00AD147C">
        <w:rPr>
          <w:rFonts w:ascii="Arial" w:hAnsi="Arial" w:cs="Arial"/>
          <w:color w:val="222222"/>
          <w:sz w:val="20"/>
          <w:szCs w:val="20"/>
          <w:shd w:val="clear" w:color="auto" w:fill="FFFFFF"/>
        </w:rPr>
        <w:t>Praharaj</w:t>
      </w:r>
      <w:proofErr w:type="spellEnd"/>
      <w:r w:rsidRPr="00AD147C">
        <w:rPr>
          <w:rFonts w:ascii="Arial" w:hAnsi="Arial" w:cs="Arial"/>
          <w:color w:val="222222"/>
          <w:sz w:val="20"/>
          <w:szCs w:val="20"/>
          <w:shd w:val="clear" w:color="auto" w:fill="FFFFFF"/>
        </w:rPr>
        <w:t>, C. S. (2023). Pulse-based cropping systems for soil health restoration, resources conservation, and nutritional and environmental security in rainfed agroecosystems. </w:t>
      </w:r>
      <w:r w:rsidRPr="00AD147C">
        <w:rPr>
          <w:rFonts w:ascii="Arial" w:hAnsi="Arial" w:cs="Arial"/>
          <w:i/>
          <w:iCs/>
          <w:color w:val="222222"/>
          <w:sz w:val="20"/>
          <w:szCs w:val="20"/>
          <w:shd w:val="clear" w:color="auto" w:fill="FFFFFF"/>
        </w:rPr>
        <w:t>Frontiers in Microbiology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13</w:t>
      </w:r>
      <w:r w:rsidRPr="00AD147C">
        <w:rPr>
          <w:rFonts w:ascii="Arial" w:hAnsi="Arial" w:cs="Arial"/>
          <w:color w:val="222222"/>
          <w:sz w:val="20"/>
          <w:szCs w:val="20"/>
          <w:shd w:val="clear" w:color="auto" w:fill="FFFFFF"/>
        </w:rPr>
        <w:t>, 1041124.</w:t>
      </w:r>
    </w:p>
    <w:p w14:paraId="2DE6A777"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Liu, X., Yang, Q., Wang, Y., Wang, L., Fu, Y., &amp; Wang, X. (2018). </w:t>
      </w:r>
      <w:proofErr w:type="spellStart"/>
      <w:r w:rsidRPr="00AD147C">
        <w:rPr>
          <w:rFonts w:ascii="Arial" w:hAnsi="Arial" w:cs="Arial"/>
          <w:color w:val="222222"/>
          <w:sz w:val="20"/>
          <w:szCs w:val="20"/>
          <w:shd w:val="clear" w:color="auto" w:fill="FFFFFF"/>
        </w:rPr>
        <w:t>Brassinosteroids</w:t>
      </w:r>
      <w:proofErr w:type="spellEnd"/>
      <w:r w:rsidRPr="00AD147C">
        <w:rPr>
          <w:rFonts w:ascii="Arial" w:hAnsi="Arial" w:cs="Arial"/>
          <w:color w:val="222222"/>
          <w:sz w:val="20"/>
          <w:szCs w:val="20"/>
          <w:shd w:val="clear" w:color="auto" w:fill="FFFFFF"/>
        </w:rPr>
        <w:t xml:space="preserve"> regulate pavement cell growth by mediating BIN2-induced microtubule stabilization. </w:t>
      </w:r>
      <w:r w:rsidRPr="00AD147C">
        <w:rPr>
          <w:rFonts w:ascii="Arial" w:hAnsi="Arial" w:cs="Arial"/>
          <w:i/>
          <w:iCs/>
          <w:color w:val="222222"/>
          <w:sz w:val="20"/>
          <w:szCs w:val="20"/>
          <w:shd w:val="clear" w:color="auto" w:fill="FFFFFF"/>
        </w:rPr>
        <w:t>Journal of experimental botany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69</w:t>
      </w:r>
      <w:r w:rsidRPr="00AD147C">
        <w:rPr>
          <w:rFonts w:ascii="Arial" w:hAnsi="Arial" w:cs="Arial"/>
          <w:color w:val="222222"/>
          <w:sz w:val="20"/>
          <w:szCs w:val="20"/>
          <w:shd w:val="clear" w:color="auto" w:fill="FFFFFF"/>
        </w:rPr>
        <w:t>(5), 1037-1049.</w:t>
      </w:r>
    </w:p>
    <w:p w14:paraId="04B35C8C"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Poole, W. D., Randall, G. W., &amp; Ham, G. E. (1983). Foliar Fertilization of Soybeans. I. Effect of Fertilizer Sources, Rates, and Frequency of Application 1. </w:t>
      </w:r>
      <w:r w:rsidRPr="00AD147C">
        <w:rPr>
          <w:rFonts w:ascii="Arial" w:hAnsi="Arial" w:cs="Arial"/>
          <w:i/>
          <w:iCs/>
          <w:sz w:val="20"/>
          <w:szCs w:val="20"/>
        </w:rPr>
        <w:t>Agronomy Journal</w:t>
      </w:r>
      <w:r w:rsidRPr="00AD147C">
        <w:rPr>
          <w:rFonts w:ascii="Arial" w:hAnsi="Arial" w:cs="Arial"/>
          <w:sz w:val="20"/>
          <w:szCs w:val="20"/>
        </w:rPr>
        <w:t>, </w:t>
      </w:r>
      <w:r w:rsidRPr="00AD147C">
        <w:rPr>
          <w:rFonts w:ascii="Arial" w:hAnsi="Arial" w:cs="Arial"/>
          <w:b/>
          <w:bCs/>
          <w:sz w:val="20"/>
          <w:szCs w:val="20"/>
        </w:rPr>
        <w:t>75</w:t>
      </w:r>
      <w:r w:rsidRPr="00AD147C">
        <w:rPr>
          <w:rFonts w:ascii="Arial" w:hAnsi="Arial" w:cs="Arial"/>
          <w:sz w:val="20"/>
          <w:szCs w:val="20"/>
        </w:rPr>
        <w:t>(2), 195-200.</w:t>
      </w:r>
    </w:p>
    <w:p w14:paraId="6FF211F1"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Rajesh, K., Reddy, S., Reddy, A. P. K., &amp; Singh, B. G. (2014). Effect of plant growth regulating compounds on chlorophyll, photosynthetic rate and yield of green gram. </w:t>
      </w:r>
      <w:r w:rsidRPr="00AD147C">
        <w:rPr>
          <w:rFonts w:ascii="Arial" w:hAnsi="Arial" w:cs="Arial"/>
          <w:i/>
          <w:iCs/>
          <w:sz w:val="20"/>
          <w:szCs w:val="20"/>
        </w:rPr>
        <w:t>International Journal of Development Research</w:t>
      </w:r>
      <w:r w:rsidRPr="00AD147C">
        <w:rPr>
          <w:rFonts w:ascii="Arial" w:hAnsi="Arial" w:cs="Arial"/>
          <w:sz w:val="20"/>
          <w:szCs w:val="20"/>
        </w:rPr>
        <w:t>, </w:t>
      </w:r>
      <w:r w:rsidRPr="00AD147C">
        <w:rPr>
          <w:rFonts w:ascii="Arial" w:hAnsi="Arial" w:cs="Arial"/>
          <w:b/>
          <w:bCs/>
          <w:sz w:val="20"/>
          <w:szCs w:val="20"/>
        </w:rPr>
        <w:t>4</w:t>
      </w:r>
      <w:r w:rsidRPr="00AD147C">
        <w:rPr>
          <w:rFonts w:ascii="Arial" w:hAnsi="Arial" w:cs="Arial"/>
          <w:sz w:val="20"/>
          <w:szCs w:val="20"/>
        </w:rPr>
        <w:t>(5), 1110-1112.</w:t>
      </w:r>
    </w:p>
    <w:p w14:paraId="34A73566"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Rao, D. S. N., Naidu, T. C. M., &amp; Rani, Y. A. (2016). Effect of foliar nutrition on physiological and biochemical parameters of mung bean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mungo</w:t>
      </w:r>
      <w:r w:rsidRPr="00AD147C">
        <w:rPr>
          <w:rFonts w:ascii="Arial" w:hAnsi="Arial" w:cs="Arial"/>
          <w:sz w:val="20"/>
          <w:szCs w:val="20"/>
        </w:rPr>
        <w:t xml:space="preserve"> (L.) hepper) under irrigated conditions. </w:t>
      </w:r>
      <w:r w:rsidRPr="00AD147C">
        <w:rPr>
          <w:rFonts w:ascii="Arial" w:hAnsi="Arial" w:cs="Arial"/>
          <w:i/>
          <w:iCs/>
          <w:sz w:val="20"/>
          <w:szCs w:val="20"/>
        </w:rPr>
        <w:t>Intl. J. Res. Soc. Sci</w:t>
      </w:r>
      <w:r w:rsidRPr="00AD147C">
        <w:rPr>
          <w:rFonts w:ascii="Arial" w:hAnsi="Arial" w:cs="Arial"/>
          <w:sz w:val="20"/>
          <w:szCs w:val="20"/>
        </w:rPr>
        <w:t>, </w:t>
      </w:r>
      <w:r w:rsidRPr="00AD147C">
        <w:rPr>
          <w:rFonts w:ascii="Arial" w:hAnsi="Arial" w:cs="Arial"/>
          <w:i/>
          <w:iCs/>
          <w:sz w:val="20"/>
          <w:szCs w:val="20"/>
        </w:rPr>
        <w:t>4</w:t>
      </w:r>
      <w:r w:rsidRPr="00AD147C">
        <w:rPr>
          <w:rFonts w:ascii="Arial" w:hAnsi="Arial" w:cs="Arial"/>
          <w:sz w:val="20"/>
          <w:szCs w:val="20"/>
        </w:rPr>
        <w:t>, 2347-4580.</w:t>
      </w:r>
    </w:p>
    <w:p w14:paraId="0DB864CC"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Saruhan</w:t>
      </w:r>
      <w:proofErr w:type="spellEnd"/>
      <w:r w:rsidRPr="00AD147C">
        <w:rPr>
          <w:rFonts w:ascii="Arial" w:hAnsi="Arial" w:cs="Arial"/>
          <w:sz w:val="20"/>
          <w:szCs w:val="20"/>
        </w:rPr>
        <w:t xml:space="preserve">, V., </w:t>
      </w:r>
      <w:proofErr w:type="spellStart"/>
      <w:r w:rsidRPr="00AD147C">
        <w:rPr>
          <w:rFonts w:ascii="Arial" w:hAnsi="Arial" w:cs="Arial"/>
          <w:sz w:val="20"/>
          <w:szCs w:val="20"/>
        </w:rPr>
        <w:t>Kusvuran</w:t>
      </w:r>
      <w:proofErr w:type="spellEnd"/>
      <w:r w:rsidRPr="00AD147C">
        <w:rPr>
          <w:rFonts w:ascii="Arial" w:hAnsi="Arial" w:cs="Arial"/>
          <w:sz w:val="20"/>
          <w:szCs w:val="20"/>
        </w:rPr>
        <w:t xml:space="preserve">, A., &amp; </w:t>
      </w:r>
      <w:proofErr w:type="spellStart"/>
      <w:r w:rsidRPr="00AD147C">
        <w:rPr>
          <w:rFonts w:ascii="Arial" w:hAnsi="Arial" w:cs="Arial"/>
          <w:sz w:val="20"/>
          <w:szCs w:val="20"/>
        </w:rPr>
        <w:t>Kokten</w:t>
      </w:r>
      <w:proofErr w:type="spellEnd"/>
      <w:r w:rsidRPr="00AD147C">
        <w:rPr>
          <w:rFonts w:ascii="Arial" w:hAnsi="Arial" w:cs="Arial"/>
          <w:sz w:val="20"/>
          <w:szCs w:val="20"/>
        </w:rPr>
        <w:t xml:space="preserve">, K. (2011). The effect of different replications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fertilization on yield performances of common vetch (</w:t>
      </w:r>
      <w:proofErr w:type="spellStart"/>
      <w:r w:rsidRPr="00AD147C">
        <w:rPr>
          <w:rFonts w:ascii="Arial" w:hAnsi="Arial" w:cs="Arial"/>
          <w:i/>
          <w:iCs/>
          <w:sz w:val="20"/>
          <w:szCs w:val="20"/>
        </w:rPr>
        <w:t>Vicia</w:t>
      </w:r>
      <w:proofErr w:type="spellEnd"/>
      <w:r w:rsidRPr="00AD147C">
        <w:rPr>
          <w:rFonts w:ascii="Arial" w:hAnsi="Arial" w:cs="Arial"/>
          <w:i/>
          <w:iCs/>
          <w:sz w:val="20"/>
          <w:szCs w:val="20"/>
        </w:rPr>
        <w:t xml:space="preserve"> sativa</w:t>
      </w:r>
      <w:r w:rsidRPr="00AD147C">
        <w:rPr>
          <w:rFonts w:ascii="Arial" w:hAnsi="Arial" w:cs="Arial"/>
          <w:sz w:val="20"/>
          <w:szCs w:val="20"/>
        </w:rPr>
        <w:t xml:space="preserve"> L.). </w:t>
      </w:r>
      <w:r w:rsidRPr="00AD147C">
        <w:rPr>
          <w:rFonts w:ascii="Arial" w:hAnsi="Arial" w:cs="Arial"/>
          <w:i/>
          <w:iCs/>
          <w:sz w:val="20"/>
          <w:szCs w:val="20"/>
        </w:rPr>
        <w:t>African Journal of Biotechnology</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(29), 5587-5592.</w:t>
      </w:r>
    </w:p>
    <w:p w14:paraId="75FF984F"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Sivakumar, R., </w:t>
      </w:r>
      <w:proofErr w:type="spellStart"/>
      <w:r w:rsidRPr="00AD147C">
        <w:rPr>
          <w:rFonts w:ascii="Arial" w:hAnsi="Arial" w:cs="Arial"/>
          <w:sz w:val="20"/>
          <w:szCs w:val="20"/>
        </w:rPr>
        <w:t>Pathmanaban</w:t>
      </w:r>
      <w:proofErr w:type="spellEnd"/>
      <w:r w:rsidRPr="00AD147C">
        <w:rPr>
          <w:rFonts w:ascii="Arial" w:hAnsi="Arial" w:cs="Arial"/>
          <w:sz w:val="20"/>
          <w:szCs w:val="20"/>
        </w:rPr>
        <w:t xml:space="preserve">, G., </w:t>
      </w:r>
      <w:proofErr w:type="spellStart"/>
      <w:r w:rsidRPr="00AD147C">
        <w:rPr>
          <w:rFonts w:ascii="Arial" w:hAnsi="Arial" w:cs="Arial"/>
          <w:sz w:val="20"/>
          <w:szCs w:val="20"/>
        </w:rPr>
        <w:t>Kalarani</w:t>
      </w:r>
      <w:proofErr w:type="spellEnd"/>
      <w:r w:rsidRPr="00AD147C">
        <w:rPr>
          <w:rFonts w:ascii="Arial" w:hAnsi="Arial" w:cs="Arial"/>
          <w:sz w:val="20"/>
          <w:szCs w:val="20"/>
        </w:rPr>
        <w:t xml:space="preserve">, M. K., </w:t>
      </w:r>
      <w:proofErr w:type="spellStart"/>
      <w:r w:rsidRPr="00AD147C">
        <w:rPr>
          <w:rFonts w:ascii="Arial" w:hAnsi="Arial" w:cs="Arial"/>
          <w:sz w:val="20"/>
          <w:szCs w:val="20"/>
        </w:rPr>
        <w:t>Vanangamudi</w:t>
      </w:r>
      <w:proofErr w:type="spellEnd"/>
      <w:r w:rsidRPr="00AD147C">
        <w:rPr>
          <w:rFonts w:ascii="Arial" w:hAnsi="Arial" w:cs="Arial"/>
          <w:sz w:val="20"/>
          <w:szCs w:val="20"/>
        </w:rPr>
        <w:t>, M., &amp; Srinivasan, P. S. (2002). Effect of foliar application of growth regulators on biochemical attributes and grain yield in pearl millet. </w:t>
      </w:r>
      <w:r w:rsidRPr="00AD147C">
        <w:rPr>
          <w:rFonts w:ascii="Arial" w:hAnsi="Arial" w:cs="Arial"/>
          <w:i/>
          <w:iCs/>
          <w:sz w:val="20"/>
          <w:szCs w:val="20"/>
        </w:rPr>
        <w:t>Indian Journal of Plant Physiology</w:t>
      </w:r>
      <w:r w:rsidRPr="00AD147C">
        <w:rPr>
          <w:rFonts w:ascii="Arial" w:hAnsi="Arial" w:cs="Arial"/>
          <w:sz w:val="20"/>
          <w:szCs w:val="20"/>
        </w:rPr>
        <w:t>, </w:t>
      </w:r>
      <w:r w:rsidRPr="00AD147C">
        <w:rPr>
          <w:rFonts w:ascii="Arial" w:hAnsi="Arial" w:cs="Arial"/>
          <w:b/>
          <w:bCs/>
          <w:sz w:val="20"/>
          <w:szCs w:val="20"/>
        </w:rPr>
        <w:t>7</w:t>
      </w:r>
      <w:r w:rsidRPr="00AD147C">
        <w:rPr>
          <w:rFonts w:ascii="Arial" w:hAnsi="Arial" w:cs="Arial"/>
          <w:sz w:val="20"/>
          <w:szCs w:val="20"/>
        </w:rPr>
        <w:t>(1), 79-82.</w:t>
      </w:r>
    </w:p>
    <w:p w14:paraId="6983035C"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Sritharan</w:t>
      </w:r>
      <w:proofErr w:type="spellEnd"/>
      <w:r w:rsidRPr="00AD147C">
        <w:rPr>
          <w:rFonts w:ascii="Arial" w:hAnsi="Arial" w:cs="Arial"/>
          <w:sz w:val="20"/>
          <w:szCs w:val="20"/>
        </w:rPr>
        <w:t xml:space="preserve">, N., </w:t>
      </w:r>
      <w:proofErr w:type="spellStart"/>
      <w:r w:rsidRPr="00AD147C">
        <w:rPr>
          <w:rFonts w:ascii="Arial" w:hAnsi="Arial" w:cs="Arial"/>
          <w:sz w:val="20"/>
          <w:szCs w:val="20"/>
        </w:rPr>
        <w:t>Rajavel</w:t>
      </w:r>
      <w:proofErr w:type="spellEnd"/>
      <w:r w:rsidRPr="00AD147C">
        <w:rPr>
          <w:rFonts w:ascii="Arial" w:hAnsi="Arial" w:cs="Arial"/>
          <w:sz w:val="20"/>
          <w:szCs w:val="20"/>
        </w:rPr>
        <w:t xml:space="preserve">, M., &amp; </w:t>
      </w:r>
      <w:proofErr w:type="spellStart"/>
      <w:r w:rsidRPr="00AD147C">
        <w:rPr>
          <w:rFonts w:ascii="Arial" w:hAnsi="Arial" w:cs="Arial"/>
          <w:sz w:val="20"/>
          <w:szCs w:val="20"/>
        </w:rPr>
        <w:t>Senthilkumar</w:t>
      </w:r>
      <w:proofErr w:type="spellEnd"/>
      <w:r w:rsidRPr="00AD147C">
        <w:rPr>
          <w:rFonts w:ascii="Arial" w:hAnsi="Arial" w:cs="Arial"/>
          <w:sz w:val="20"/>
          <w:szCs w:val="20"/>
        </w:rPr>
        <w:t xml:space="preserve">, R. (2015). Physiological approaches: Yield improvement in </w:t>
      </w:r>
      <w:proofErr w:type="spellStart"/>
      <w:r w:rsidRPr="00AD147C">
        <w:rPr>
          <w:rFonts w:ascii="Arial" w:hAnsi="Arial" w:cs="Arial"/>
          <w:sz w:val="20"/>
          <w:szCs w:val="20"/>
        </w:rPr>
        <w:t>blackgram</w:t>
      </w:r>
      <w:proofErr w:type="spellEnd"/>
      <w:r w:rsidRPr="00AD147C">
        <w:rPr>
          <w:rFonts w:ascii="Arial" w:hAnsi="Arial" w:cs="Arial"/>
          <w:sz w:val="20"/>
          <w:szCs w:val="20"/>
        </w:rPr>
        <w:t>. </w:t>
      </w:r>
      <w:r w:rsidRPr="00AD147C">
        <w:rPr>
          <w:rFonts w:ascii="Arial" w:hAnsi="Arial" w:cs="Arial"/>
          <w:i/>
          <w:iCs/>
          <w:sz w:val="20"/>
          <w:szCs w:val="20"/>
        </w:rPr>
        <w:t>Legume Research-An International Journal</w:t>
      </w:r>
      <w:r w:rsidRPr="00AD147C">
        <w:rPr>
          <w:rFonts w:ascii="Arial" w:hAnsi="Arial" w:cs="Arial"/>
          <w:sz w:val="20"/>
          <w:szCs w:val="20"/>
        </w:rPr>
        <w:t>, </w:t>
      </w:r>
      <w:r w:rsidRPr="00AD147C">
        <w:rPr>
          <w:rFonts w:ascii="Arial" w:hAnsi="Arial" w:cs="Arial"/>
          <w:b/>
          <w:bCs/>
          <w:sz w:val="20"/>
          <w:szCs w:val="20"/>
        </w:rPr>
        <w:t>38</w:t>
      </w:r>
      <w:r w:rsidRPr="00AD147C">
        <w:rPr>
          <w:rFonts w:ascii="Arial" w:hAnsi="Arial" w:cs="Arial"/>
          <w:sz w:val="20"/>
          <w:szCs w:val="20"/>
        </w:rPr>
        <w:t>(1), 91-95.</w:t>
      </w:r>
    </w:p>
    <w:p w14:paraId="6224D994"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Wilhelm, C., &amp; </w:t>
      </w:r>
      <w:proofErr w:type="spellStart"/>
      <w:r w:rsidRPr="00AD147C">
        <w:rPr>
          <w:rFonts w:ascii="Arial" w:hAnsi="Arial" w:cs="Arial"/>
          <w:color w:val="222222"/>
          <w:sz w:val="20"/>
          <w:szCs w:val="20"/>
          <w:shd w:val="clear" w:color="auto" w:fill="FFFFFF"/>
        </w:rPr>
        <w:t>Selmar</w:t>
      </w:r>
      <w:proofErr w:type="spellEnd"/>
      <w:r w:rsidRPr="00AD147C">
        <w:rPr>
          <w:rFonts w:ascii="Arial" w:hAnsi="Arial" w:cs="Arial"/>
          <w:color w:val="222222"/>
          <w:sz w:val="20"/>
          <w:szCs w:val="20"/>
          <w:shd w:val="clear" w:color="auto" w:fill="FFFFFF"/>
        </w:rPr>
        <w:t>, D. (2011). Energy dissipation is an essential mechanism to sustain the viability of plants: the physiological limits of improved photosynthesis. </w:t>
      </w:r>
      <w:r w:rsidRPr="00AD147C">
        <w:rPr>
          <w:rFonts w:ascii="Arial" w:hAnsi="Arial" w:cs="Arial"/>
          <w:i/>
          <w:iCs/>
          <w:color w:val="222222"/>
          <w:sz w:val="20"/>
          <w:szCs w:val="20"/>
          <w:shd w:val="clear" w:color="auto" w:fill="FFFFFF"/>
        </w:rPr>
        <w:t>Journal of plant physiology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168</w:t>
      </w:r>
      <w:r w:rsidRPr="00AD147C">
        <w:rPr>
          <w:rFonts w:ascii="Arial" w:hAnsi="Arial" w:cs="Arial"/>
          <w:color w:val="222222"/>
          <w:sz w:val="20"/>
          <w:szCs w:val="20"/>
          <w:shd w:val="clear" w:color="auto" w:fill="FFFFFF"/>
        </w:rPr>
        <w:t>(2), 79-87.</w:t>
      </w:r>
    </w:p>
    <w:p w14:paraId="1187AA09" w14:textId="77777777" w:rsidR="00AD147C" w:rsidRPr="003776C7" w:rsidRDefault="00AD147C" w:rsidP="003776C7">
      <w:pPr>
        <w:pStyle w:val="NoSpacing"/>
        <w:ind w:left="720" w:hanging="720"/>
        <w:jc w:val="both"/>
        <w:rPr>
          <w:rFonts w:ascii="Arial" w:hAnsi="Arial" w:cs="Arial"/>
          <w:color w:val="222222"/>
          <w:sz w:val="20"/>
          <w:shd w:val="clear" w:color="auto" w:fill="FFFFFF"/>
        </w:rPr>
      </w:pPr>
    </w:p>
    <w:p w14:paraId="6C1C6526" w14:textId="77777777" w:rsidR="003776C7" w:rsidRPr="003776C7" w:rsidRDefault="003776C7" w:rsidP="003776C7">
      <w:pPr>
        <w:spacing w:line="240" w:lineRule="auto"/>
        <w:rPr>
          <w:rFonts w:ascii="Arial" w:hAnsi="Arial" w:cs="Arial"/>
          <w:b/>
          <w:sz w:val="24"/>
          <w:szCs w:val="20"/>
        </w:rPr>
      </w:pPr>
    </w:p>
    <w:sectPr w:rsidR="003776C7" w:rsidRPr="003776C7" w:rsidSect="00BE5A8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FB791" w14:textId="77777777" w:rsidR="001A5BC1" w:rsidRDefault="001A5BC1" w:rsidP="00DC2502">
      <w:pPr>
        <w:spacing w:after="0" w:line="240" w:lineRule="auto"/>
      </w:pPr>
      <w:r>
        <w:separator/>
      </w:r>
    </w:p>
  </w:endnote>
  <w:endnote w:type="continuationSeparator" w:id="0">
    <w:p w14:paraId="24F1A4D4" w14:textId="77777777" w:rsidR="001A5BC1" w:rsidRDefault="001A5BC1" w:rsidP="00DC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7C17A" w14:textId="77777777" w:rsidR="00DC2502" w:rsidRDefault="00DC2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0AF26" w14:textId="77777777" w:rsidR="00DC2502" w:rsidRDefault="00DC2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435A" w14:textId="77777777" w:rsidR="00DC2502" w:rsidRDefault="00DC2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B1685" w14:textId="77777777" w:rsidR="001A5BC1" w:rsidRDefault="001A5BC1" w:rsidP="00DC2502">
      <w:pPr>
        <w:spacing w:after="0" w:line="240" w:lineRule="auto"/>
      </w:pPr>
      <w:r>
        <w:separator/>
      </w:r>
    </w:p>
  </w:footnote>
  <w:footnote w:type="continuationSeparator" w:id="0">
    <w:p w14:paraId="5D7895CC" w14:textId="77777777" w:rsidR="001A5BC1" w:rsidRDefault="001A5BC1" w:rsidP="00DC2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2C1F1" w14:textId="05DDCA49" w:rsidR="00DC2502" w:rsidRDefault="00DC2502">
    <w:pPr>
      <w:pStyle w:val="Header"/>
    </w:pPr>
    <w:r>
      <w:rPr>
        <w:noProof/>
      </w:rPr>
      <w:pict w14:anchorId="4688B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9BADE" w14:textId="5B4CAFEC" w:rsidR="00DC2502" w:rsidRDefault="00DC2502">
    <w:pPr>
      <w:pStyle w:val="Header"/>
    </w:pPr>
    <w:r>
      <w:rPr>
        <w:noProof/>
      </w:rPr>
      <w:pict w14:anchorId="3340E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41E8" w14:textId="4F836FE4" w:rsidR="00DC2502" w:rsidRDefault="00DC2502">
    <w:pPr>
      <w:pStyle w:val="Header"/>
    </w:pPr>
    <w:r>
      <w:rPr>
        <w:noProof/>
      </w:rPr>
      <w:pict w14:anchorId="4AD45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B24D3"/>
    <w:multiLevelType w:val="multilevel"/>
    <w:tmpl w:val="63CC1BA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8414C41"/>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7756E1"/>
    <w:multiLevelType w:val="hybridMultilevel"/>
    <w:tmpl w:val="9C3408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E7"/>
    <w:rsid w:val="00083A88"/>
    <w:rsid w:val="000B1B5C"/>
    <w:rsid w:val="001922E7"/>
    <w:rsid w:val="001A5BC1"/>
    <w:rsid w:val="001B7CC6"/>
    <w:rsid w:val="001E3ED5"/>
    <w:rsid w:val="002B4C44"/>
    <w:rsid w:val="00333871"/>
    <w:rsid w:val="003776C7"/>
    <w:rsid w:val="004A0813"/>
    <w:rsid w:val="00517EE9"/>
    <w:rsid w:val="006A0E96"/>
    <w:rsid w:val="006A4FD5"/>
    <w:rsid w:val="00766A44"/>
    <w:rsid w:val="00766E2B"/>
    <w:rsid w:val="008A43C7"/>
    <w:rsid w:val="0092615D"/>
    <w:rsid w:val="00AD147C"/>
    <w:rsid w:val="00B424F5"/>
    <w:rsid w:val="00B43974"/>
    <w:rsid w:val="00BE5A83"/>
    <w:rsid w:val="00CE2A2E"/>
    <w:rsid w:val="00DC2502"/>
    <w:rsid w:val="00E41253"/>
    <w:rsid w:val="00E450B3"/>
    <w:rsid w:val="00F215B5"/>
    <w:rsid w:val="00F57C75"/>
    <w:rsid w:val="00F6001D"/>
    <w:rsid w:val="00F80A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4CB123"/>
  <w15:chartTrackingRefBased/>
  <w15:docId w15:val="{E22EACA7-3FD1-4F38-8456-2477B348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2E7"/>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3776C7"/>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766A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1">
    <w:name w:val="Table Grid21"/>
    <w:basedOn w:val="TableNormal"/>
    <w:next w:val="TableGrid"/>
    <w:uiPriority w:val="39"/>
    <w:rsid w:val="001922E7"/>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22E7"/>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22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4F5"/>
    <w:pPr>
      <w:autoSpaceDE w:val="0"/>
      <w:autoSpaceDN w:val="0"/>
      <w:adjustRightInd w:val="0"/>
      <w:spacing w:line="240" w:lineRule="auto"/>
      <w:ind w:left="0"/>
      <w:jc w:val="left"/>
    </w:pPr>
    <w:rPr>
      <w:rFonts w:ascii="Times" w:hAnsi="Times" w:cs="Times"/>
      <w:color w:val="000000"/>
      <w:sz w:val="24"/>
      <w:szCs w:val="24"/>
    </w:rPr>
  </w:style>
  <w:style w:type="paragraph" w:styleId="NoSpacing">
    <w:name w:val="No Spacing"/>
    <w:uiPriority w:val="1"/>
    <w:qFormat/>
    <w:rsid w:val="00B424F5"/>
    <w:pPr>
      <w:spacing w:line="240" w:lineRule="auto"/>
      <w:ind w:left="0"/>
      <w:jc w:val="left"/>
    </w:pPr>
    <w:rPr>
      <w:kern w:val="2"/>
      <w14:ligatures w14:val="standardContextual"/>
    </w:rPr>
  </w:style>
  <w:style w:type="character" w:styleId="Hyperlink">
    <w:name w:val="Hyperlink"/>
    <w:basedOn w:val="DefaultParagraphFont"/>
    <w:uiPriority w:val="99"/>
    <w:unhideWhenUsed/>
    <w:rsid w:val="00B424F5"/>
    <w:rPr>
      <w:color w:val="0563C1" w:themeColor="hyperlink"/>
      <w:u w:val="single"/>
    </w:rPr>
  </w:style>
  <w:style w:type="paragraph" w:styleId="ListParagraph">
    <w:name w:val="List Paragraph"/>
    <w:basedOn w:val="Normal"/>
    <w:uiPriority w:val="34"/>
    <w:qFormat/>
    <w:rsid w:val="00B424F5"/>
    <w:pPr>
      <w:ind w:left="720"/>
      <w:contextualSpacing/>
    </w:pPr>
  </w:style>
  <w:style w:type="character" w:customStyle="1" w:styleId="Heading2Char">
    <w:name w:val="Heading 2 Char"/>
    <w:basedOn w:val="DefaultParagraphFont"/>
    <w:link w:val="Heading2"/>
    <w:uiPriority w:val="9"/>
    <w:rsid w:val="003776C7"/>
    <w:rPr>
      <w:rFonts w:ascii="Arial" w:eastAsiaTheme="majorEastAsia" w:hAnsi="Arial" w:cstheme="majorBidi"/>
      <w:b/>
      <w:bCs/>
      <w:szCs w:val="26"/>
      <w:lang w:val="en-US"/>
    </w:rPr>
  </w:style>
  <w:style w:type="paragraph" w:customStyle="1" w:styleId="ReferHead">
    <w:name w:val="Refer Head"/>
    <w:basedOn w:val="Normal"/>
    <w:rsid w:val="003776C7"/>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766A44"/>
    <w:rPr>
      <w:color w:val="605E5C"/>
      <w:shd w:val="clear" w:color="auto" w:fill="E1DFDD"/>
    </w:rPr>
  </w:style>
  <w:style w:type="character" w:customStyle="1" w:styleId="Heading3Char">
    <w:name w:val="Heading 3 Char"/>
    <w:basedOn w:val="DefaultParagraphFont"/>
    <w:link w:val="Heading3"/>
    <w:uiPriority w:val="9"/>
    <w:semiHidden/>
    <w:rsid w:val="00766A44"/>
    <w:rPr>
      <w:rFonts w:asciiTheme="majorHAnsi" w:eastAsiaTheme="majorEastAsia" w:hAnsiTheme="majorHAnsi" w:cstheme="majorBidi"/>
      <w:color w:val="1F3763" w:themeColor="accent1" w:themeShade="7F"/>
      <w:kern w:val="2"/>
      <w:sz w:val="24"/>
      <w:szCs w:val="24"/>
      <w14:ligatures w14:val="standardContextual"/>
    </w:rPr>
  </w:style>
  <w:style w:type="paragraph" w:styleId="Header">
    <w:name w:val="header"/>
    <w:basedOn w:val="Normal"/>
    <w:link w:val="HeaderChar"/>
    <w:uiPriority w:val="99"/>
    <w:unhideWhenUsed/>
    <w:rsid w:val="00DC2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502"/>
    <w:rPr>
      <w:kern w:val="2"/>
      <w14:ligatures w14:val="standardContextual"/>
    </w:rPr>
  </w:style>
  <w:style w:type="paragraph" w:styleId="Footer">
    <w:name w:val="footer"/>
    <w:basedOn w:val="Normal"/>
    <w:link w:val="FooterChar"/>
    <w:uiPriority w:val="99"/>
    <w:unhideWhenUsed/>
    <w:rsid w:val="00DC2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502"/>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Protein content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'protein content'!$G$7</c:f>
              <c:strCache>
                <c:ptCount val="1"/>
                <c:pt idx="0">
                  <c:v>Protein content</c:v>
                </c:pt>
              </c:strCache>
            </c:strRef>
          </c:tx>
          <c:spPr>
            <a:pattFill prst="diagBrick">
              <a:fgClr>
                <a:schemeClr val="tx1"/>
              </a:fgClr>
              <a:bgClr>
                <a:schemeClr val="accent6">
                  <a:lumMod val="40000"/>
                  <a:lumOff val="60000"/>
                </a:schemeClr>
              </a:bgClr>
            </a:pattFill>
            <a:ln w="1270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5-43EC-8BEC-718D8C4FCD07}"/>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35-43EC-8BEC-718D8C4FCD07}"/>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5-43EC-8BEC-718D8C4FCD0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5-43EC-8BEC-718D8C4FCD07}"/>
                </c:ext>
              </c:extLst>
            </c:dLbl>
            <c:dLbl>
              <c:idx val="4"/>
              <c:layout>
                <c:manualLayout>
                  <c:x val="0"/>
                  <c:y val="-2.347417840375586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35-43EC-8BEC-718D8C4FCD07}"/>
                </c:ext>
              </c:extLst>
            </c:dLbl>
            <c:dLbl>
              <c:idx val="5"/>
              <c:layout>
                <c:manualLayout>
                  <c:x val="-1.1255945693046072E-16"/>
                  <c:y val="-2.1126760563380302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5-43EC-8BEC-718D8C4FCD07}"/>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5-43EC-8BEC-718D8C4FCD0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35-43EC-8BEC-718D8C4FCD0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'protein content'!$G$20:$G$27</c:f>
                <c:numCache>
                  <c:formatCode>General</c:formatCode>
                  <c:ptCount val="8"/>
                  <c:pt idx="0">
                    <c:v>0.36084391824351614</c:v>
                  </c:pt>
                  <c:pt idx="1">
                    <c:v>0</c:v>
                  </c:pt>
                  <c:pt idx="2">
                    <c:v>0.20090939085402118</c:v>
                  </c:pt>
                  <c:pt idx="3">
                    <c:v>0.3207250899654322</c:v>
                  </c:pt>
                  <c:pt idx="4">
                    <c:v>1.5616664443258468</c:v>
                  </c:pt>
                  <c:pt idx="5">
                    <c:v>1.3961442439805438</c:v>
                  </c:pt>
                  <c:pt idx="6">
                    <c:v>0.47735163489123139</c:v>
                  </c:pt>
                  <c:pt idx="7">
                    <c:v>0.4375</c:v>
                  </c:pt>
                </c:numCache>
              </c:numRef>
            </c:plus>
            <c:minus>
              <c:numRef>
                <c:f>'protein content'!$G$20:$G$27</c:f>
                <c:numCache>
                  <c:formatCode>General</c:formatCode>
                  <c:ptCount val="8"/>
                  <c:pt idx="0">
                    <c:v>0.36084391824351614</c:v>
                  </c:pt>
                  <c:pt idx="1">
                    <c:v>0</c:v>
                  </c:pt>
                  <c:pt idx="2">
                    <c:v>0.20090939085402118</c:v>
                  </c:pt>
                  <c:pt idx="3">
                    <c:v>0.3207250899654322</c:v>
                  </c:pt>
                  <c:pt idx="4">
                    <c:v>1.5616664443258468</c:v>
                  </c:pt>
                  <c:pt idx="5">
                    <c:v>1.3961442439805438</c:v>
                  </c:pt>
                  <c:pt idx="6">
                    <c:v>0.47735163489123139</c:v>
                  </c:pt>
                  <c:pt idx="7">
                    <c:v>0.4375</c:v>
                  </c:pt>
                </c:numCache>
              </c:numRef>
            </c:minus>
            <c:spPr>
              <a:noFill/>
              <a:ln w="9525" cap="flat" cmpd="sng" algn="ctr">
                <a:solidFill>
                  <a:schemeClr val="tx1"/>
                </a:solidFill>
                <a:round/>
              </a:ln>
              <a:effectLst/>
            </c:spPr>
          </c:errBars>
          <c:cat>
            <c:strRef>
              <c:f>'protein content'!$F$8:$F$15</c:f>
              <c:strCache>
                <c:ptCount val="8"/>
                <c:pt idx="0">
                  <c:v>T0</c:v>
                </c:pt>
                <c:pt idx="1">
                  <c:v>T1</c:v>
                </c:pt>
                <c:pt idx="2">
                  <c:v>T2</c:v>
                </c:pt>
                <c:pt idx="3">
                  <c:v>T3</c:v>
                </c:pt>
                <c:pt idx="4">
                  <c:v>T4</c:v>
                </c:pt>
                <c:pt idx="5">
                  <c:v>T5</c:v>
                </c:pt>
                <c:pt idx="6">
                  <c:v>T6</c:v>
                </c:pt>
                <c:pt idx="7">
                  <c:v>T7</c:v>
                </c:pt>
              </c:strCache>
            </c:strRef>
          </c:cat>
          <c:val>
            <c:numRef>
              <c:f>'protein content'!$G$8:$G$15</c:f>
              <c:numCache>
                <c:formatCode>0.00</c:formatCode>
                <c:ptCount val="8"/>
                <c:pt idx="0">
                  <c:v>17.145833333333332</c:v>
                </c:pt>
                <c:pt idx="1">
                  <c:v>24.1875</c:v>
                </c:pt>
                <c:pt idx="2">
                  <c:v>25.520833333333332</c:v>
                </c:pt>
                <c:pt idx="3">
                  <c:v>27.291666666666668</c:v>
                </c:pt>
                <c:pt idx="4">
                  <c:v>26.458333333333332</c:v>
                </c:pt>
                <c:pt idx="5">
                  <c:v>26.875</c:v>
                </c:pt>
                <c:pt idx="6">
                  <c:v>27.729166666666668</c:v>
                </c:pt>
                <c:pt idx="7">
                  <c:v>28.75</c:v>
                </c:pt>
              </c:numCache>
            </c:numRef>
          </c:val>
          <c:extLst>
            <c:ext xmlns:c16="http://schemas.microsoft.com/office/drawing/2014/chart" uri="{C3380CC4-5D6E-409C-BE32-E72D297353CC}">
              <c16:uniqueId val="{00000008-4035-43EC-8BEC-718D8C4FCD07}"/>
            </c:ext>
          </c:extLst>
        </c:ser>
        <c:dLbls>
          <c:dLblPos val="outEnd"/>
          <c:showLegendKey val="0"/>
          <c:showVal val="1"/>
          <c:showCatName val="0"/>
          <c:showSerName val="0"/>
          <c:showPercent val="0"/>
          <c:showBubbleSize val="0"/>
        </c:dLbls>
        <c:gapWidth val="90"/>
        <c:overlap val="-24"/>
        <c:axId val="533344367"/>
        <c:axId val="533350127"/>
      </c:barChart>
      <c:catAx>
        <c:axId val="53334436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003508529223012"/>
              <c:y val="0.830340572524347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50127"/>
        <c:crosses val="autoZero"/>
        <c:auto val="1"/>
        <c:lblAlgn val="ctr"/>
        <c:lblOffset val="100"/>
        <c:noMultiLvlLbl val="0"/>
      </c:catAx>
      <c:valAx>
        <c:axId val="533350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Preotein content (%)</a:t>
                </a:r>
              </a:p>
            </c:rich>
          </c:tx>
          <c:layout>
            <c:manualLayout>
              <c:xMode val="edge"/>
              <c:yMode val="edge"/>
              <c:x val="1.0744435917114352E-2"/>
              <c:y val="0.323060884995009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44367"/>
        <c:crosses val="autoZero"/>
        <c:crossBetween val="between"/>
      </c:valAx>
      <c:spPr>
        <a:noFill/>
        <a:ln>
          <a:noFill/>
        </a:ln>
        <a:effectLst/>
      </c:spPr>
    </c:plotArea>
    <c:legend>
      <c:legendPos val="b"/>
      <c:layout>
        <c:manualLayout>
          <c:xMode val="edge"/>
          <c:yMode val="edge"/>
          <c:x val="0.40623196258593591"/>
          <c:y val="0.883861879650365"/>
          <c:w val="0.20165915387955716"/>
          <c:h val="7.833069552711248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Protein yeild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'Protein yield'!$H$9</c:f>
              <c:strCache>
                <c:ptCount val="1"/>
                <c:pt idx="0">
                  <c:v>Protein yeild</c:v>
                </c:pt>
              </c:strCache>
            </c:strRef>
          </c:tx>
          <c:spPr>
            <a:pattFill prst="diagBrick">
              <a:fgClr>
                <a:sysClr val="windowText" lastClr="000000"/>
              </a:fgClr>
              <a:bgClr>
                <a:srgbClr val="91BCE3"/>
              </a:bgClr>
            </a:pattFill>
            <a:ln w="1270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layout>
                <c:manualLayout>
                  <c:x val="-2.6318003944227376E-17"/>
                  <c:y val="-0.13459113762005906"/>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7-4397-A435-A2634BD3E049}"/>
                </c:ext>
              </c:extLst>
            </c:dLbl>
            <c:dLbl>
              <c:idx val="1"/>
              <c:layout>
                <c:manualLayout>
                  <c:x val="1.435544071202986E-3"/>
                  <c:y val="-0.21636987134101426"/>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D7-4397-A435-A2634BD3E049}"/>
                </c:ext>
              </c:extLst>
            </c:dLbl>
            <c:dLbl>
              <c:idx val="2"/>
              <c:layout>
                <c:manualLayout>
                  <c:x val="-5.2568090458921263E-17"/>
                  <c:y val="-6.1334014822386963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D7-4397-A435-A2634BD3E049}"/>
                </c:ext>
              </c:extLst>
            </c:dLbl>
            <c:dLbl>
              <c:idx val="3"/>
              <c:layout>
                <c:manualLayout>
                  <c:x val="-1.052720157769095E-16"/>
                  <c:y val="-3.492333383395195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D7-4397-A435-A2634BD3E049}"/>
                </c:ext>
              </c:extLst>
            </c:dLbl>
            <c:dLbl>
              <c:idx val="4"/>
              <c:layout>
                <c:manualLayout>
                  <c:x val="0"/>
                  <c:y val="-0.17803607314753234"/>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D7-4397-A435-A2634BD3E049}"/>
                </c:ext>
              </c:extLst>
            </c:dLbl>
            <c:dLbl>
              <c:idx val="5"/>
              <c:layout>
                <c:manualLayout>
                  <c:x val="-1.052720157769095E-16"/>
                  <c:y val="-0.248737725904153"/>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D7-4397-A435-A2634BD3E049}"/>
                </c:ext>
              </c:extLst>
            </c:dLbl>
            <c:dLbl>
              <c:idx val="6"/>
              <c:layout>
                <c:manualLayout>
                  <c:x val="0"/>
                  <c:y val="-0.17263994078396877"/>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D7-4397-A435-A2634BD3E049}"/>
                </c:ext>
              </c:extLst>
            </c:dLbl>
            <c:dLbl>
              <c:idx val="7"/>
              <c:layout>
                <c:manualLayout>
                  <c:x val="-1.052720157769095E-16"/>
                  <c:y val="-0.1521953914480036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D7-4397-A435-A2634BD3E04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'Protein yield'!$M$21:$M$28</c:f>
                <c:numCache>
                  <c:formatCode>General</c:formatCode>
                  <c:ptCount val="8"/>
                  <c:pt idx="0">
                    <c:v>8.6017300751917549</c:v>
                  </c:pt>
                  <c:pt idx="1">
                    <c:v>13.56729749537929</c:v>
                  </c:pt>
                  <c:pt idx="2">
                    <c:v>4.4377025188529311</c:v>
                  </c:pt>
                  <c:pt idx="3">
                    <c:v>2.5609596234045093</c:v>
                  </c:pt>
                  <c:pt idx="4">
                    <c:v>11.226946384935136</c:v>
                  </c:pt>
                  <c:pt idx="5">
                    <c:v>15.526684192228851</c:v>
                  </c:pt>
                  <c:pt idx="6">
                    <c:v>10.899212527699333</c:v>
                  </c:pt>
                  <c:pt idx="7">
                    <c:v>9.6873618000895103</c:v>
                  </c:pt>
                </c:numCache>
              </c:numRef>
            </c:plus>
            <c:minus>
              <c:numRef>
                <c:f>'Protein yield'!$M$21:$M$28</c:f>
                <c:numCache>
                  <c:formatCode>General</c:formatCode>
                  <c:ptCount val="8"/>
                  <c:pt idx="0">
                    <c:v>8.6017300751917549</c:v>
                  </c:pt>
                  <c:pt idx="1">
                    <c:v>13.56729749537929</c:v>
                  </c:pt>
                  <c:pt idx="2">
                    <c:v>4.4377025188529311</c:v>
                  </c:pt>
                  <c:pt idx="3">
                    <c:v>2.5609596234045093</c:v>
                  </c:pt>
                  <c:pt idx="4">
                    <c:v>11.226946384935136</c:v>
                  </c:pt>
                  <c:pt idx="5">
                    <c:v>15.526684192228851</c:v>
                  </c:pt>
                  <c:pt idx="6">
                    <c:v>10.899212527699333</c:v>
                  </c:pt>
                  <c:pt idx="7">
                    <c:v>9.6873618000895103</c:v>
                  </c:pt>
                </c:numCache>
              </c:numRef>
            </c:minus>
            <c:spPr>
              <a:noFill/>
              <a:ln w="9525" cap="flat" cmpd="sng" algn="ctr">
                <a:solidFill>
                  <a:schemeClr val="tx1"/>
                </a:solidFill>
                <a:round/>
              </a:ln>
              <a:effectLst/>
            </c:spPr>
          </c:errBars>
          <c:cat>
            <c:strRef>
              <c:f>'Protein yield'!$G$10:$G$17</c:f>
              <c:strCache>
                <c:ptCount val="8"/>
                <c:pt idx="0">
                  <c:v>T0</c:v>
                </c:pt>
                <c:pt idx="1">
                  <c:v>T1</c:v>
                </c:pt>
                <c:pt idx="2">
                  <c:v>T2</c:v>
                </c:pt>
                <c:pt idx="3">
                  <c:v>T3</c:v>
                </c:pt>
                <c:pt idx="4">
                  <c:v>T4</c:v>
                </c:pt>
                <c:pt idx="5">
                  <c:v>T5</c:v>
                </c:pt>
                <c:pt idx="6">
                  <c:v>T6</c:v>
                </c:pt>
                <c:pt idx="7">
                  <c:v>T7</c:v>
                </c:pt>
              </c:strCache>
            </c:strRef>
          </c:cat>
          <c:val>
            <c:numRef>
              <c:f>'Protein yield'!$H$10:$H$17</c:f>
              <c:numCache>
                <c:formatCode>0.00</c:formatCode>
                <c:ptCount val="8"/>
                <c:pt idx="0">
                  <c:v>17.145833333333332</c:v>
                </c:pt>
                <c:pt idx="1">
                  <c:v>24.1875</c:v>
                </c:pt>
                <c:pt idx="2">
                  <c:v>25.520833333333332</c:v>
                </c:pt>
                <c:pt idx="3">
                  <c:v>27.291666666666668</c:v>
                </c:pt>
                <c:pt idx="4">
                  <c:v>26.458333333333332</c:v>
                </c:pt>
                <c:pt idx="5">
                  <c:v>26.875</c:v>
                </c:pt>
                <c:pt idx="6">
                  <c:v>27.729166666666668</c:v>
                </c:pt>
                <c:pt idx="7">
                  <c:v>28.75</c:v>
                </c:pt>
              </c:numCache>
            </c:numRef>
          </c:val>
          <c:extLst>
            <c:ext xmlns:c16="http://schemas.microsoft.com/office/drawing/2014/chart" uri="{C3380CC4-5D6E-409C-BE32-E72D297353CC}">
              <c16:uniqueId val="{00000008-5FD7-4397-A435-A2634BD3E049}"/>
            </c:ext>
          </c:extLst>
        </c:ser>
        <c:dLbls>
          <c:dLblPos val="outEnd"/>
          <c:showLegendKey val="0"/>
          <c:showVal val="1"/>
          <c:showCatName val="0"/>
          <c:showSerName val="0"/>
          <c:showPercent val="0"/>
          <c:showBubbleSize val="0"/>
        </c:dLbls>
        <c:gapWidth val="100"/>
        <c:overlap val="-24"/>
        <c:axId val="533356847"/>
        <c:axId val="533374127"/>
      </c:barChart>
      <c:catAx>
        <c:axId val="53335684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417672534710612"/>
              <c:y val="0.78546340981570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74127"/>
        <c:crosses val="autoZero"/>
        <c:auto val="1"/>
        <c:lblAlgn val="ctr"/>
        <c:lblOffset val="100"/>
        <c:noMultiLvlLbl val="0"/>
      </c:catAx>
      <c:valAx>
        <c:axId val="5333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Protien yiled (kg ha -1)</a:t>
                </a:r>
              </a:p>
            </c:rich>
          </c:tx>
          <c:layout>
            <c:manualLayout>
              <c:xMode val="edge"/>
              <c:yMode val="edge"/>
              <c:x val="1.003584229390681E-2"/>
              <c:y val="0.381277630993800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56847"/>
        <c:crosses val="autoZero"/>
        <c:crossBetween val="between"/>
      </c:valAx>
      <c:spPr>
        <a:noFill/>
        <a:ln>
          <a:noFill/>
        </a:ln>
        <a:effectLst/>
      </c:spPr>
    </c:plotArea>
    <c:legend>
      <c:legendPos val="b"/>
      <c:layout>
        <c:manualLayout>
          <c:xMode val="edge"/>
          <c:yMode val="edge"/>
          <c:x val="0.41337775677015481"/>
          <c:y val="0.84610320887308443"/>
          <c:w val="0.21650084735015737"/>
          <c:h val="8.928012022690713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content (%) in grain</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N'!$H$7</c:f>
              <c:strCache>
                <c:ptCount val="1"/>
                <c:pt idx="0">
                  <c:v>Grain N Content</c:v>
                </c:pt>
              </c:strCache>
            </c:strRef>
          </c:tx>
          <c:spPr>
            <a:pattFill prst="horzBrick">
              <a:fgClr>
                <a:srgbClr val="E2AC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8F-4DFB-8FE1-7B47BCE32087}"/>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8F-4DFB-8FE1-7B47BCE32087}"/>
                </c:ext>
              </c:extLst>
            </c:dLbl>
            <c:dLbl>
              <c:idx val="2"/>
              <c:layout>
                <c:manualLayout>
                  <c:x val="0"/>
                  <c:y val="-2.893309222423146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8F-4DFB-8FE1-7B47BCE32087}"/>
                </c:ext>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8F-4DFB-8FE1-7B47BCE3208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8F-4DFB-8FE1-7B47BCE32087}"/>
                </c:ext>
              </c:extLst>
            </c:dLbl>
            <c:dLbl>
              <c:idx val="5"/>
              <c:layout>
                <c:manualLayout>
                  <c:x val="-1.0685972486731535E-16"/>
                  <c:y val="-2.893309222423146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8F-4DFB-8FE1-7B47BCE32087}"/>
                </c:ext>
              </c:extLst>
            </c:dLbl>
            <c:dLbl>
              <c:idx val="6"/>
              <c:layout>
                <c:manualLayout>
                  <c:x val="-1.0685972486731535E-16"/>
                  <c:y val="-7.2332730560578885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8F-4DFB-8FE1-7B47BCE3208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8F-4DFB-8FE1-7B47BCE3208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N'!$J$19:$J$26</c:f>
                <c:numCache>
                  <c:formatCode>General</c:formatCode>
                  <c:ptCount val="8"/>
                  <c:pt idx="0">
                    <c:v>3.605551275464005E-2</c:v>
                  </c:pt>
                  <c:pt idx="1">
                    <c:v>3.0550504633038961E-2</c:v>
                  </c:pt>
                  <c:pt idx="2">
                    <c:v>0.20816659994661321</c:v>
                  </c:pt>
                  <c:pt idx="3">
                    <c:v>7.0945988845975957E-2</c:v>
                  </c:pt>
                  <c:pt idx="4">
                    <c:v>1.5275252316519383E-2</c:v>
                  </c:pt>
                  <c:pt idx="5">
                    <c:v>0.22338307903688689</c:v>
                  </c:pt>
                  <c:pt idx="6">
                    <c:v>9.6090235369330479E-2</c:v>
                  </c:pt>
                  <c:pt idx="7">
                    <c:v>5.0332229568471713E-2</c:v>
                  </c:pt>
                </c:numCache>
              </c:numRef>
            </c:plus>
            <c:minus>
              <c:numRef>
                <c:f>'Grain N'!$J$19:$J$26</c:f>
                <c:numCache>
                  <c:formatCode>General</c:formatCode>
                  <c:ptCount val="8"/>
                  <c:pt idx="0">
                    <c:v>3.605551275464005E-2</c:v>
                  </c:pt>
                  <c:pt idx="1">
                    <c:v>3.0550504633038961E-2</c:v>
                  </c:pt>
                  <c:pt idx="2">
                    <c:v>0.20816659994661321</c:v>
                  </c:pt>
                  <c:pt idx="3">
                    <c:v>7.0945988845975957E-2</c:v>
                  </c:pt>
                  <c:pt idx="4">
                    <c:v>1.5275252316519383E-2</c:v>
                  </c:pt>
                  <c:pt idx="5">
                    <c:v>0.22338307903688689</c:v>
                  </c:pt>
                  <c:pt idx="6">
                    <c:v>9.6090235369330479E-2</c:v>
                  </c:pt>
                  <c:pt idx="7">
                    <c:v>5.0332229568471713E-2</c:v>
                  </c:pt>
                </c:numCache>
              </c:numRef>
            </c:minus>
            <c:spPr>
              <a:noFill/>
              <a:ln w="9525" cap="flat" cmpd="sng" algn="ctr">
                <a:solidFill>
                  <a:schemeClr val="tx1"/>
                </a:solidFill>
                <a:round/>
              </a:ln>
              <a:effectLst/>
            </c:spPr>
          </c:errBars>
          <c:cat>
            <c:strRef>
              <c:f>'Grain N'!$G$8:$G$15</c:f>
              <c:strCache>
                <c:ptCount val="8"/>
                <c:pt idx="0">
                  <c:v>T0</c:v>
                </c:pt>
                <c:pt idx="1">
                  <c:v>T1</c:v>
                </c:pt>
                <c:pt idx="2">
                  <c:v>T2</c:v>
                </c:pt>
                <c:pt idx="3">
                  <c:v>T3</c:v>
                </c:pt>
                <c:pt idx="4">
                  <c:v>T4</c:v>
                </c:pt>
                <c:pt idx="5">
                  <c:v>T5</c:v>
                </c:pt>
                <c:pt idx="6">
                  <c:v>T6</c:v>
                </c:pt>
                <c:pt idx="7">
                  <c:v>T7</c:v>
                </c:pt>
              </c:strCache>
            </c:strRef>
          </c:cat>
          <c:val>
            <c:numRef>
              <c:f>'Grain N'!$H$8:$H$15</c:f>
              <c:numCache>
                <c:formatCode>0.00</c:formatCode>
                <c:ptCount val="8"/>
                <c:pt idx="0">
                  <c:v>2.16</c:v>
                </c:pt>
                <c:pt idx="1">
                  <c:v>3.1133333333333333</c:v>
                </c:pt>
                <c:pt idx="2">
                  <c:v>3.4333333333333336</c:v>
                </c:pt>
                <c:pt idx="3">
                  <c:v>3.436666666666667</c:v>
                </c:pt>
                <c:pt idx="4">
                  <c:v>3.2633333333333332</c:v>
                </c:pt>
                <c:pt idx="5">
                  <c:v>3.4</c:v>
                </c:pt>
                <c:pt idx="6">
                  <c:v>3.4766666666666666</c:v>
                </c:pt>
                <c:pt idx="7">
                  <c:v>3.6266666666666669</c:v>
                </c:pt>
              </c:numCache>
            </c:numRef>
          </c:val>
          <c:extLst>
            <c:ext xmlns:c16="http://schemas.microsoft.com/office/drawing/2014/chart" uri="{C3380CC4-5D6E-409C-BE32-E72D297353CC}">
              <c16:uniqueId val="{00000008-CC8F-4DFB-8FE1-7B47BCE32087}"/>
            </c:ext>
          </c:extLst>
        </c:ser>
        <c:dLbls>
          <c:dLblPos val="outEnd"/>
          <c:showLegendKey val="0"/>
          <c:showVal val="1"/>
          <c:showCatName val="0"/>
          <c:showSerName val="0"/>
          <c:showPercent val="0"/>
          <c:showBubbleSize val="0"/>
        </c:dLbls>
        <c:gapWidth val="100"/>
        <c:overlap val="-24"/>
        <c:axId val="74413119"/>
        <c:axId val="74409279"/>
      </c:barChart>
      <c:catAx>
        <c:axId val="744131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1485322924146234"/>
              <c:y val="0.8065607126147462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409279"/>
        <c:crosses val="autoZero"/>
        <c:auto val="1"/>
        <c:lblAlgn val="ctr"/>
        <c:lblOffset val="100"/>
        <c:noMultiLvlLbl val="0"/>
      </c:catAx>
      <c:valAx>
        <c:axId val="744092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content (%)</a:t>
                </a:r>
              </a:p>
            </c:rich>
          </c:tx>
          <c:layout>
            <c:manualLayout>
              <c:xMode val="edge"/>
              <c:yMode val="edge"/>
              <c:x val="2.1990899419670189E-2"/>
              <c:y val="0.2329272406126571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413119"/>
        <c:crosses val="autoZero"/>
        <c:crossBetween val="between"/>
      </c:valAx>
      <c:spPr>
        <a:noFill/>
        <a:ln>
          <a:noFill/>
        </a:ln>
        <a:effectLst/>
      </c:spPr>
    </c:plotArea>
    <c:legend>
      <c:legendPos val="b"/>
      <c:layout>
        <c:manualLayout>
          <c:xMode val="edge"/>
          <c:yMode val="edge"/>
          <c:x val="0.3809809772840308"/>
          <c:y val="0.89735133079733631"/>
          <c:w val="0.27565112053301027"/>
          <c:h val="6.145970635136536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content (%) in grain</a:t>
            </a:r>
          </a:p>
        </c:rich>
      </c:tx>
      <c:layout>
        <c:manualLayout>
          <c:xMode val="edge"/>
          <c:yMode val="edge"/>
          <c:x val="0.29887810797843817"/>
          <c:y val="1.7348203221809171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P conte'!$I$9</c:f>
              <c:strCache>
                <c:ptCount val="1"/>
                <c:pt idx="0">
                  <c:v>Grain P Content</c:v>
                </c:pt>
              </c:strCache>
            </c:strRef>
          </c:tx>
          <c:spPr>
            <a:pattFill prst="horzBrick">
              <a:fgClr>
                <a:srgbClr val="00C4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C2-454D-B464-A852D74B9A69}"/>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C2-454D-B464-A852D74B9A69}"/>
                </c:ext>
              </c:extLst>
            </c:dLbl>
            <c:dLbl>
              <c:idx val="2"/>
              <c:layout>
                <c:manualLayout>
                  <c:x val="0"/>
                  <c:y val="-1.021711366538955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C2-454D-B464-A852D74B9A69}"/>
                </c:ext>
              </c:extLst>
            </c:dLbl>
            <c:dLbl>
              <c:idx val="3"/>
              <c:layout>
                <c:manualLayout>
                  <c:x val="0"/>
                  <c:y val="-1.02930070544156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C2-454D-B464-A852D74B9A69}"/>
                </c:ext>
              </c:extLst>
            </c:dLbl>
            <c:dLbl>
              <c:idx val="4"/>
              <c:layout>
                <c:manualLayout>
                  <c:x val="0"/>
                  <c:y val="-1.0217113665389528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C2-454D-B464-A852D74B9A69}"/>
                </c:ext>
              </c:extLst>
            </c:dLbl>
            <c:dLbl>
              <c:idx val="5"/>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C2-454D-B464-A852D74B9A69}"/>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C2-454D-B464-A852D74B9A69}"/>
                </c:ext>
              </c:extLst>
            </c:dLbl>
            <c:dLbl>
              <c:idx val="7"/>
              <c:layout>
                <c:manualLayout>
                  <c:x val="-1.0513618091784253E-16"/>
                  <c:y val="-1.02930070544156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C2-454D-B464-A852D74B9A6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P conte'!$P$11:$P$18</c:f>
                <c:numCache>
                  <c:formatCode>General</c:formatCode>
                  <c:ptCount val="8"/>
                  <c:pt idx="0">
                    <c:v>1.527525231651948E-2</c:v>
                  </c:pt>
                  <c:pt idx="1">
                    <c:v>1.0000000000000009E-2</c:v>
                  </c:pt>
                  <c:pt idx="2">
                    <c:v>2.0000000000000018E-2</c:v>
                  </c:pt>
                  <c:pt idx="3">
                    <c:v>1.9999999999999962E-2</c:v>
                  </c:pt>
                  <c:pt idx="4">
                    <c:v>1.9999999999999962E-2</c:v>
                  </c:pt>
                  <c:pt idx="5">
                    <c:v>1.527525231651948E-2</c:v>
                  </c:pt>
                  <c:pt idx="6">
                    <c:v>1.527525231651948E-2</c:v>
                  </c:pt>
                  <c:pt idx="7">
                    <c:v>1.9999999999999962E-2</c:v>
                  </c:pt>
                </c:numCache>
              </c:numRef>
            </c:plus>
            <c:minus>
              <c:numRef>
                <c:f>'Grain P conte'!$P$11:$P$18</c:f>
                <c:numCache>
                  <c:formatCode>General</c:formatCode>
                  <c:ptCount val="8"/>
                  <c:pt idx="0">
                    <c:v>1.527525231651948E-2</c:v>
                  </c:pt>
                  <c:pt idx="1">
                    <c:v>1.0000000000000009E-2</c:v>
                  </c:pt>
                  <c:pt idx="2">
                    <c:v>2.0000000000000018E-2</c:v>
                  </c:pt>
                  <c:pt idx="3">
                    <c:v>1.9999999999999962E-2</c:v>
                  </c:pt>
                  <c:pt idx="4">
                    <c:v>1.9999999999999962E-2</c:v>
                  </c:pt>
                  <c:pt idx="5">
                    <c:v>1.527525231651948E-2</c:v>
                  </c:pt>
                  <c:pt idx="6">
                    <c:v>1.527525231651948E-2</c:v>
                  </c:pt>
                  <c:pt idx="7">
                    <c:v>1.9999999999999962E-2</c:v>
                  </c:pt>
                </c:numCache>
              </c:numRef>
            </c:minus>
            <c:spPr>
              <a:noFill/>
              <a:ln w="9525" cap="flat" cmpd="sng" algn="ctr">
                <a:solidFill>
                  <a:schemeClr val="tx1"/>
                </a:solidFill>
                <a:round/>
              </a:ln>
              <a:effectLst/>
            </c:spPr>
          </c:errBars>
          <c:cat>
            <c:strRef>
              <c:f>'Grain P conte'!$H$10:$H$17</c:f>
              <c:strCache>
                <c:ptCount val="8"/>
                <c:pt idx="0">
                  <c:v>T0</c:v>
                </c:pt>
                <c:pt idx="1">
                  <c:v>T1</c:v>
                </c:pt>
                <c:pt idx="2">
                  <c:v>T2</c:v>
                </c:pt>
                <c:pt idx="3">
                  <c:v>T3</c:v>
                </c:pt>
                <c:pt idx="4">
                  <c:v>T4</c:v>
                </c:pt>
                <c:pt idx="5">
                  <c:v>T5</c:v>
                </c:pt>
                <c:pt idx="6">
                  <c:v>T6</c:v>
                </c:pt>
                <c:pt idx="7">
                  <c:v>T7</c:v>
                </c:pt>
              </c:strCache>
            </c:strRef>
          </c:cat>
          <c:val>
            <c:numRef>
              <c:f>'Grain P conte'!$I$10:$I$17</c:f>
              <c:numCache>
                <c:formatCode>0.00</c:formatCode>
                <c:ptCount val="8"/>
                <c:pt idx="0">
                  <c:v>0.3666666666666667</c:v>
                </c:pt>
                <c:pt idx="1">
                  <c:v>0.48</c:v>
                </c:pt>
                <c:pt idx="2">
                  <c:v>0.63</c:v>
                </c:pt>
                <c:pt idx="3">
                  <c:v>0.66999999999999993</c:v>
                </c:pt>
                <c:pt idx="4">
                  <c:v>0.56000000000000005</c:v>
                </c:pt>
                <c:pt idx="5">
                  <c:v>0.60666666666666658</c:v>
                </c:pt>
                <c:pt idx="6">
                  <c:v>0.70333333333333325</c:v>
                </c:pt>
                <c:pt idx="7">
                  <c:v>0.66999999999999993</c:v>
                </c:pt>
              </c:numCache>
            </c:numRef>
          </c:val>
          <c:extLst>
            <c:ext xmlns:c16="http://schemas.microsoft.com/office/drawing/2014/chart" uri="{C3380CC4-5D6E-409C-BE32-E72D297353CC}">
              <c16:uniqueId val="{00000008-CAC2-454D-B464-A852D74B9A69}"/>
            </c:ext>
          </c:extLst>
        </c:ser>
        <c:dLbls>
          <c:dLblPos val="outEnd"/>
          <c:showLegendKey val="0"/>
          <c:showVal val="1"/>
          <c:showCatName val="0"/>
          <c:showSerName val="0"/>
          <c:showPercent val="0"/>
          <c:showBubbleSize val="0"/>
        </c:dLbls>
        <c:gapWidth val="100"/>
        <c:overlap val="-24"/>
        <c:axId val="330173759"/>
        <c:axId val="330151679"/>
      </c:barChart>
      <c:catAx>
        <c:axId val="33017375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366118816056026"/>
              <c:y val="0.778518610370554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51679"/>
        <c:crosses val="autoZero"/>
        <c:auto val="1"/>
        <c:lblAlgn val="ctr"/>
        <c:lblOffset val="100"/>
        <c:noMultiLvlLbl val="0"/>
      </c:catAx>
      <c:valAx>
        <c:axId val="3301516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content (%)</a:t>
                </a:r>
              </a:p>
            </c:rich>
          </c:tx>
          <c:layout>
            <c:manualLayout>
              <c:xMode val="edge"/>
              <c:yMode val="edge"/>
              <c:x val="2.0383831532117858E-2"/>
              <c:y val="0.169505445677558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73759"/>
        <c:crosses val="autoZero"/>
        <c:crossBetween val="between"/>
      </c:valAx>
      <c:spPr>
        <a:noFill/>
        <a:ln>
          <a:noFill/>
        </a:ln>
        <a:effectLst/>
      </c:spPr>
    </c:plotArea>
    <c:legend>
      <c:legendPos val="b"/>
      <c:layout>
        <c:manualLayout>
          <c:xMode val="edge"/>
          <c:yMode val="edge"/>
          <c:x val="0.45358439872435302"/>
          <c:y val="0.93574179664323565"/>
          <c:w val="0.16738306098834421"/>
          <c:h val="4.747729024578247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Pottasium content (%) in grain</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k content'!$I$10</c:f>
              <c:strCache>
                <c:ptCount val="1"/>
                <c:pt idx="0">
                  <c:v>Grain K Content</c:v>
                </c:pt>
              </c:strCache>
            </c:strRef>
          </c:tx>
          <c:spPr>
            <a:pattFill prst="horzBrick">
              <a:fgClr>
                <a:srgbClr val="006DDA"/>
              </a:fgClr>
              <a:bgClr>
                <a:schemeClr val="bg1"/>
              </a:bgClr>
            </a:pattFill>
            <a:ln w="1905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FA-4410-9533-1240754CD1FD}"/>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FA-4410-9533-1240754CD1FD}"/>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FA-4410-9533-1240754CD1FD}"/>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FA-4410-9533-1240754CD1FD}"/>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FA-4410-9533-1240754CD1FD}"/>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FA-4410-9533-1240754CD1FD}"/>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FA-4410-9533-1240754CD1FD}"/>
                </c:ext>
              </c:extLst>
            </c:dLbl>
            <c:dLbl>
              <c:idx val="7"/>
              <c:layout>
                <c:manualLayout>
                  <c:x val="-2.1632001826016272E-16"/>
                  <c:y val="-4.761904761904762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FA-4410-9533-1240754CD1F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k content'!$J$23:$J$30</c:f>
                <c:numCache>
                  <c:formatCode>General</c:formatCode>
                  <c:ptCount val="8"/>
                  <c:pt idx="0">
                    <c:v>1.527525231651948E-2</c:v>
                  </c:pt>
                  <c:pt idx="1">
                    <c:v>2.0816659994661344E-2</c:v>
                  </c:pt>
                  <c:pt idx="2">
                    <c:v>1.0000000000000009E-2</c:v>
                  </c:pt>
                  <c:pt idx="3">
                    <c:v>1.0000000000000009E-2</c:v>
                  </c:pt>
                  <c:pt idx="4">
                    <c:v>2.5166114784235735E-2</c:v>
                  </c:pt>
                  <c:pt idx="5">
                    <c:v>1.0000000000000009E-2</c:v>
                  </c:pt>
                  <c:pt idx="6">
                    <c:v>2.5166114784235971E-2</c:v>
                  </c:pt>
                  <c:pt idx="7">
                    <c:v>6.0000000000000053E-2</c:v>
                  </c:pt>
                </c:numCache>
              </c:numRef>
            </c:plus>
            <c:minus>
              <c:numRef>
                <c:f>'Grain k content'!$J$23:$J$30</c:f>
                <c:numCache>
                  <c:formatCode>General</c:formatCode>
                  <c:ptCount val="8"/>
                  <c:pt idx="0">
                    <c:v>1.527525231651948E-2</c:v>
                  </c:pt>
                  <c:pt idx="1">
                    <c:v>2.0816659994661344E-2</c:v>
                  </c:pt>
                  <c:pt idx="2">
                    <c:v>1.0000000000000009E-2</c:v>
                  </c:pt>
                  <c:pt idx="3">
                    <c:v>1.0000000000000009E-2</c:v>
                  </c:pt>
                  <c:pt idx="4">
                    <c:v>2.5166114784235735E-2</c:v>
                  </c:pt>
                  <c:pt idx="5">
                    <c:v>1.0000000000000009E-2</c:v>
                  </c:pt>
                  <c:pt idx="6">
                    <c:v>2.5166114784235971E-2</c:v>
                  </c:pt>
                  <c:pt idx="7">
                    <c:v>6.0000000000000053E-2</c:v>
                  </c:pt>
                </c:numCache>
              </c:numRef>
            </c:minus>
            <c:spPr>
              <a:noFill/>
              <a:ln w="9525" cap="flat" cmpd="sng" algn="ctr">
                <a:solidFill>
                  <a:schemeClr val="tx1"/>
                </a:solidFill>
                <a:round/>
              </a:ln>
              <a:effectLst/>
            </c:spPr>
          </c:errBars>
          <c:cat>
            <c:strRef>
              <c:f>'Grain k content'!$H$11:$H$18</c:f>
              <c:strCache>
                <c:ptCount val="8"/>
                <c:pt idx="0">
                  <c:v>T0</c:v>
                </c:pt>
                <c:pt idx="1">
                  <c:v>T1</c:v>
                </c:pt>
                <c:pt idx="2">
                  <c:v>T2</c:v>
                </c:pt>
                <c:pt idx="3">
                  <c:v>T3</c:v>
                </c:pt>
                <c:pt idx="4">
                  <c:v>T4</c:v>
                </c:pt>
                <c:pt idx="5">
                  <c:v>T5</c:v>
                </c:pt>
                <c:pt idx="6">
                  <c:v>T6</c:v>
                </c:pt>
                <c:pt idx="7">
                  <c:v>T7</c:v>
                </c:pt>
              </c:strCache>
            </c:strRef>
          </c:cat>
          <c:val>
            <c:numRef>
              <c:f>'Grain k content'!$I$11:$I$18</c:f>
              <c:numCache>
                <c:formatCode>0.00</c:formatCode>
                <c:ptCount val="8"/>
                <c:pt idx="0">
                  <c:v>1.5233333333333334</c:v>
                </c:pt>
                <c:pt idx="1">
                  <c:v>1.8033333333333335</c:v>
                </c:pt>
                <c:pt idx="2">
                  <c:v>2.39</c:v>
                </c:pt>
                <c:pt idx="3">
                  <c:v>2.59</c:v>
                </c:pt>
                <c:pt idx="4">
                  <c:v>2.3333333333333335</c:v>
                </c:pt>
                <c:pt idx="5">
                  <c:v>2.52</c:v>
                </c:pt>
                <c:pt idx="6">
                  <c:v>2.6533333333333329</c:v>
                </c:pt>
                <c:pt idx="7">
                  <c:v>2.67</c:v>
                </c:pt>
              </c:numCache>
            </c:numRef>
          </c:val>
          <c:extLst>
            <c:ext xmlns:c16="http://schemas.microsoft.com/office/drawing/2014/chart" uri="{C3380CC4-5D6E-409C-BE32-E72D297353CC}">
              <c16:uniqueId val="{00000008-09FA-4410-9533-1240754CD1FD}"/>
            </c:ext>
          </c:extLst>
        </c:ser>
        <c:dLbls>
          <c:dLblPos val="outEnd"/>
          <c:showLegendKey val="0"/>
          <c:showVal val="1"/>
          <c:showCatName val="0"/>
          <c:showSerName val="0"/>
          <c:showPercent val="0"/>
          <c:showBubbleSize val="0"/>
        </c:dLbls>
        <c:gapWidth val="100"/>
        <c:overlap val="-24"/>
        <c:axId val="83371151"/>
        <c:axId val="2069167695"/>
      </c:barChart>
      <c:catAx>
        <c:axId val="833711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1455609853463693"/>
              <c:y val="0.79297937973270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69167695"/>
        <c:crosses val="autoZero"/>
        <c:auto val="1"/>
        <c:lblAlgn val="ctr"/>
        <c:lblOffset val="100"/>
        <c:noMultiLvlLbl val="0"/>
      </c:catAx>
      <c:valAx>
        <c:axId val="20691676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pottasium content (%)</a:t>
                </a:r>
              </a:p>
            </c:rich>
          </c:tx>
          <c:layout>
            <c:manualLayout>
              <c:xMode val="edge"/>
              <c:yMode val="edge"/>
              <c:x val="2.102429330149283E-2"/>
              <c:y val="0.1994380254820196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371151"/>
        <c:crosses val="autoZero"/>
        <c:crossBetween val="between"/>
      </c:valAx>
      <c:spPr>
        <a:noFill/>
        <a:ln>
          <a:noFill/>
        </a:ln>
        <a:effectLst/>
      </c:spPr>
    </c:plotArea>
    <c:legend>
      <c:legendPos val="b"/>
      <c:layout>
        <c:manualLayout>
          <c:xMode val="edge"/>
          <c:yMode val="edge"/>
          <c:x val="0.38562694426267435"/>
          <c:y val="0.86826296497420585"/>
          <c:w val="0.24776101460599867"/>
          <c:h val="7.475865085829788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N uptake'!$M$9</c:f>
              <c:strCache>
                <c:ptCount val="1"/>
                <c:pt idx="0">
                  <c:v>Grain N Uptake</c:v>
                </c:pt>
              </c:strCache>
            </c:strRef>
          </c:tx>
          <c:spPr>
            <a:pattFill prst="openDmnd">
              <a:fgClr>
                <a:srgbClr val="E200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CB-48AC-8B60-01E11BE52759}"/>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CB-48AC-8B60-01E11BE52759}"/>
                </c:ext>
              </c:extLst>
            </c:dLbl>
            <c:dLbl>
              <c:idx val="2"/>
              <c:layout>
                <c:manualLayout>
                  <c:x val="-5.8948943882793536E-17"/>
                  <c:y val="-1.015873015873020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CB-48AC-8B60-01E11BE52759}"/>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CB-48AC-8B60-01E11BE52759}"/>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CB-48AC-8B60-01E11BE52759}"/>
                </c:ext>
              </c:extLst>
            </c:dLbl>
            <c:dLbl>
              <c:idx val="5"/>
              <c:layout>
                <c:manualLayout>
                  <c:x val="0"/>
                  <c:y val="-1.015873015873020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CB-48AC-8B60-01E11BE52759}"/>
                </c:ext>
              </c:extLst>
            </c:dLbl>
            <c:dLbl>
              <c:idx val="6"/>
              <c:layout>
                <c:manualLayout>
                  <c:x val="0"/>
                  <c:y val="-2.5396825396825631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CB-48AC-8B60-01E11BE52759}"/>
                </c:ext>
              </c:extLst>
            </c:dLbl>
            <c:dLbl>
              <c:idx val="7"/>
              <c:layout>
                <c:manualLayout>
                  <c:x val="-1.1789788776558707E-16"/>
                  <c:y val="-2.5396825396825397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CB-48AC-8B60-01E11BE5275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N uptake'!$I$9:$I$16</c:f>
                <c:numCache>
                  <c:formatCode>General</c:formatCode>
                  <c:ptCount val="8"/>
                  <c:pt idx="0">
                    <c:v>0.37859388972001895</c:v>
                  </c:pt>
                  <c:pt idx="1">
                    <c:v>0.40414518843273839</c:v>
                  </c:pt>
                  <c:pt idx="2">
                    <c:v>1.0454823448214385</c:v>
                  </c:pt>
                  <c:pt idx="3">
                    <c:v>0.70237691685685033</c:v>
                  </c:pt>
                  <c:pt idx="4">
                    <c:v>0.80208062770106503</c:v>
                  </c:pt>
                  <c:pt idx="5">
                    <c:v>1.0535653752852745</c:v>
                  </c:pt>
                  <c:pt idx="6">
                    <c:v>0.80208062770106503</c:v>
                  </c:pt>
                  <c:pt idx="7">
                    <c:v>0.80293212664583469</c:v>
                  </c:pt>
                </c:numCache>
              </c:numRef>
            </c:plus>
            <c:minus>
              <c:numRef>
                <c:f>'grain N uptake'!$I$9:$I$16</c:f>
                <c:numCache>
                  <c:formatCode>General</c:formatCode>
                  <c:ptCount val="8"/>
                  <c:pt idx="0">
                    <c:v>0.37859388972001895</c:v>
                  </c:pt>
                  <c:pt idx="1">
                    <c:v>0.40414518843273839</c:v>
                  </c:pt>
                  <c:pt idx="2">
                    <c:v>1.0454823448214385</c:v>
                  </c:pt>
                  <c:pt idx="3">
                    <c:v>0.70237691685685033</c:v>
                  </c:pt>
                  <c:pt idx="4">
                    <c:v>0.80208062770106503</c:v>
                  </c:pt>
                  <c:pt idx="5">
                    <c:v>1.0535653752852745</c:v>
                  </c:pt>
                  <c:pt idx="6">
                    <c:v>0.80208062770106503</c:v>
                  </c:pt>
                  <c:pt idx="7">
                    <c:v>0.80293212664583469</c:v>
                  </c:pt>
                </c:numCache>
              </c:numRef>
            </c:minus>
            <c:spPr>
              <a:noFill/>
              <a:ln w="9525" cap="flat" cmpd="sng" algn="ctr">
                <a:solidFill>
                  <a:schemeClr val="tx1"/>
                </a:solidFill>
                <a:round/>
              </a:ln>
              <a:effectLst/>
            </c:spPr>
          </c:errBars>
          <c:cat>
            <c:strRef>
              <c:f>'grain N uptake'!$L$10:$L$17</c:f>
              <c:strCache>
                <c:ptCount val="8"/>
                <c:pt idx="0">
                  <c:v>T0</c:v>
                </c:pt>
                <c:pt idx="1">
                  <c:v>T1</c:v>
                </c:pt>
                <c:pt idx="2">
                  <c:v>T2</c:v>
                </c:pt>
                <c:pt idx="3">
                  <c:v>T3</c:v>
                </c:pt>
                <c:pt idx="4">
                  <c:v>T4</c:v>
                </c:pt>
                <c:pt idx="5">
                  <c:v>T5</c:v>
                </c:pt>
                <c:pt idx="6">
                  <c:v>T6</c:v>
                </c:pt>
                <c:pt idx="7">
                  <c:v>T7</c:v>
                </c:pt>
              </c:strCache>
            </c:strRef>
          </c:cat>
          <c:val>
            <c:numRef>
              <c:f>'grain N uptake'!$M$10:$M$17</c:f>
              <c:numCache>
                <c:formatCode>0.00</c:formatCode>
                <c:ptCount val="8"/>
                <c:pt idx="0">
                  <c:v>14.633333333333333</c:v>
                </c:pt>
                <c:pt idx="1">
                  <c:v>22.733333333333334</c:v>
                </c:pt>
                <c:pt idx="2">
                  <c:v>26.336666666666662</c:v>
                </c:pt>
                <c:pt idx="3">
                  <c:v>27.133333333333329</c:v>
                </c:pt>
                <c:pt idx="4">
                  <c:v>25.266666666666669</c:v>
                </c:pt>
                <c:pt idx="5">
                  <c:v>26.2</c:v>
                </c:pt>
                <c:pt idx="6">
                  <c:v>31.266666666666669</c:v>
                </c:pt>
                <c:pt idx="7">
                  <c:v>33.470000000000006</c:v>
                </c:pt>
              </c:numCache>
            </c:numRef>
          </c:val>
          <c:extLst>
            <c:ext xmlns:c16="http://schemas.microsoft.com/office/drawing/2014/chart" uri="{C3380CC4-5D6E-409C-BE32-E72D297353CC}">
              <c16:uniqueId val="{00000008-59CB-48AC-8B60-01E11BE52759}"/>
            </c:ext>
          </c:extLst>
        </c:ser>
        <c:dLbls>
          <c:dLblPos val="outEnd"/>
          <c:showLegendKey val="0"/>
          <c:showVal val="1"/>
          <c:showCatName val="0"/>
          <c:showSerName val="0"/>
          <c:showPercent val="0"/>
          <c:showBubbleSize val="0"/>
        </c:dLbls>
        <c:gapWidth val="100"/>
        <c:overlap val="-24"/>
        <c:axId val="537201519"/>
        <c:axId val="537205359"/>
      </c:barChart>
      <c:catAx>
        <c:axId val="5372015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059560114138907"/>
              <c:y val="0.7944823621270331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5359"/>
        <c:crosses val="autoZero"/>
        <c:auto val="1"/>
        <c:lblAlgn val="ctr"/>
        <c:lblOffset val="100"/>
        <c:noMultiLvlLbl val="0"/>
      </c:catAx>
      <c:valAx>
        <c:axId val="5372053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uptake (kg ha-1)</a:t>
                </a:r>
              </a:p>
            </c:rich>
          </c:tx>
          <c:layout>
            <c:manualLayout>
              <c:xMode val="edge"/>
              <c:yMode val="edge"/>
              <c:x val="1.2861736334405145E-2"/>
              <c:y val="0.2682958630171228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1519"/>
        <c:crosses val="autoZero"/>
        <c:crossBetween val="between"/>
      </c:valAx>
      <c:spPr>
        <a:noFill/>
        <a:ln>
          <a:noFill/>
        </a:ln>
        <a:effectLst/>
      </c:spPr>
    </c:plotArea>
    <c:legend>
      <c:legendPos val="b"/>
      <c:layout>
        <c:manualLayout>
          <c:xMode val="edge"/>
          <c:yMode val="edge"/>
          <c:x val="0.40407683784234316"/>
          <c:y val="0.8546348701972194"/>
          <c:w val="0.23736303821300045"/>
          <c:h val="7.332002221971883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'Grain P uptake'!$N$12</c:f>
              <c:strCache>
                <c:ptCount val="1"/>
                <c:pt idx="0">
                  <c:v>Grain P Uptake</c:v>
                </c:pt>
              </c:strCache>
            </c:strRef>
          </c:tx>
          <c:spPr>
            <a:pattFill prst="diagBrick">
              <a:fgClr>
                <a:srgbClr val="9F00EE"/>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1.6128631511422254E-3"/>
                  <c:y val="-0.13900281958039071"/>
                </c:manualLayout>
              </c:layout>
              <c:tx>
                <c:rich>
                  <a:bodyPr/>
                  <a:lstStyle/>
                  <a:p>
                    <a:r>
                      <a:rPr lang="en-US"/>
                      <a:t>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E-4019-99A8-330129C53531}"/>
                </c:ext>
              </c:extLst>
            </c:dLbl>
            <c:dLbl>
              <c:idx val="1"/>
              <c:layout>
                <c:manualLayout>
                  <c:x val="1.6128631511422519E-3"/>
                  <c:y val="-0.20754966511571113"/>
                </c:manualLayout>
              </c:layout>
              <c:tx>
                <c:rich>
                  <a:bodyPr/>
                  <a:lstStyle/>
                  <a:p>
                    <a:r>
                      <a:rPr lang="en-US"/>
                      <a:t>f</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EE-4019-99A8-330129C53531}"/>
                </c:ext>
              </c:extLst>
            </c:dLbl>
            <c:dLbl>
              <c:idx val="2"/>
              <c:layout>
                <c:manualLayout>
                  <c:x val="0"/>
                  <c:y val="-0.28147804828972112"/>
                </c:manualLayout>
              </c:layout>
              <c:tx>
                <c:rich>
                  <a:bodyPr/>
                  <a:lstStyle/>
                  <a:p>
                    <a:r>
                      <a:rPr lang="en-US"/>
                      <a:t>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E-4019-99A8-330129C53531}"/>
                </c:ext>
              </c:extLst>
            </c:dLbl>
            <c:dLbl>
              <c:idx val="3"/>
              <c:layout>
                <c:manualLayout>
                  <c:x val="0"/>
                  <c:y val="-0.2810092360820301"/>
                </c:manualLayout>
              </c:layout>
              <c:tx>
                <c:rich>
                  <a:bodyPr/>
                  <a:lstStyle/>
                  <a:p>
                    <a:r>
                      <a:rPr lang="en-US"/>
                      <a:t>c</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EE-4019-99A8-330129C53531}"/>
                </c:ext>
              </c:extLst>
            </c:dLbl>
            <c:dLbl>
              <c:idx val="4"/>
              <c:layout>
                <c:manualLayout>
                  <c:x val="0"/>
                  <c:y val="-0.2606422176915556"/>
                </c:manualLayout>
              </c:layout>
              <c:tx>
                <c:rich>
                  <a:bodyPr/>
                  <a:lstStyle/>
                  <a:p>
                    <a:r>
                      <a:rPr lang="en-US"/>
                      <a:t>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EE-4019-99A8-330129C53531}"/>
                </c:ext>
              </c:extLst>
            </c:dLbl>
            <c:dLbl>
              <c:idx val="5"/>
              <c:layout>
                <c:manualLayout>
                  <c:x val="0"/>
                  <c:y val="-0.26429881532909294"/>
                </c:manualLayout>
              </c:layout>
              <c:tx>
                <c:rich>
                  <a:bodyPr/>
                  <a:lstStyle/>
                  <a:p>
                    <a:r>
                      <a:rPr lang="en-US"/>
                      <a:t>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EE-4019-99A8-330129C53531}"/>
                </c:ext>
              </c:extLst>
            </c:dLbl>
            <c:dLbl>
              <c:idx val="6"/>
              <c:layout>
                <c:manualLayout>
                  <c:x val="0"/>
                  <c:y val="-0.33688611354507852"/>
                </c:manualLayout>
              </c:layout>
              <c:tx>
                <c:rich>
                  <a:bodyPr/>
                  <a:lstStyle/>
                  <a:p>
                    <a:r>
                      <a:rPr lang="en-US"/>
                      <a:t>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EE-4019-99A8-330129C53531}"/>
                </c:ext>
              </c:extLst>
            </c:dLbl>
            <c:dLbl>
              <c:idx val="7"/>
              <c:layout>
                <c:manualLayout>
                  <c:x val="0"/>
                  <c:y val="-0.36200970128269838"/>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EE-4019-99A8-330129C5353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'Grain P uptake'!$I$22:$I$29</c:f>
                <c:numCache>
                  <c:formatCode>General</c:formatCode>
                  <c:ptCount val="8"/>
                  <c:pt idx="0">
                    <c:v>5.0332229568471713E-2</c:v>
                  </c:pt>
                  <c:pt idx="1">
                    <c:v>5.5075705472860961E-2</c:v>
                  </c:pt>
                  <c:pt idx="2">
                    <c:v>0.17691806012954153</c:v>
                  </c:pt>
                  <c:pt idx="3">
                    <c:v>6.5574385243019964E-2</c:v>
                  </c:pt>
                  <c:pt idx="4">
                    <c:v>3.9999999999999591E-2</c:v>
                  </c:pt>
                  <c:pt idx="5">
                    <c:v>7.2111025509280099E-2</c:v>
                  </c:pt>
                  <c:pt idx="6">
                    <c:v>2.0816659994661379E-2</c:v>
                  </c:pt>
                  <c:pt idx="7">
                    <c:v>7.21110255092796E-2</c:v>
                  </c:pt>
                </c:numCache>
              </c:numRef>
            </c:plus>
            <c:minus>
              <c:numRef>
                <c:f>'Grain P uptake'!$I$22:$I$29</c:f>
                <c:numCache>
                  <c:formatCode>General</c:formatCode>
                  <c:ptCount val="8"/>
                  <c:pt idx="0">
                    <c:v>5.0332229568471713E-2</c:v>
                  </c:pt>
                  <c:pt idx="1">
                    <c:v>5.5075705472860961E-2</c:v>
                  </c:pt>
                  <c:pt idx="2">
                    <c:v>0.17691806012954153</c:v>
                  </c:pt>
                  <c:pt idx="3">
                    <c:v>6.5574385243019964E-2</c:v>
                  </c:pt>
                  <c:pt idx="4">
                    <c:v>3.9999999999999591E-2</c:v>
                  </c:pt>
                  <c:pt idx="5">
                    <c:v>7.2111025509280099E-2</c:v>
                  </c:pt>
                  <c:pt idx="6">
                    <c:v>2.0816659994661379E-2</c:v>
                  </c:pt>
                  <c:pt idx="7">
                    <c:v>7.21110255092796E-2</c:v>
                  </c:pt>
                </c:numCache>
              </c:numRef>
            </c:minus>
            <c:spPr>
              <a:noFill/>
              <a:ln w="9525" cap="flat" cmpd="sng" algn="ctr">
                <a:solidFill>
                  <a:sysClr val="windowText" lastClr="000000"/>
                </a:solidFill>
                <a:round/>
              </a:ln>
              <a:effectLst/>
            </c:spPr>
          </c:errBars>
          <c:cat>
            <c:strRef>
              <c:f>'Grain P uptake'!$M$13:$M$20</c:f>
              <c:strCache>
                <c:ptCount val="8"/>
                <c:pt idx="0">
                  <c:v>T0</c:v>
                </c:pt>
                <c:pt idx="1">
                  <c:v>T1</c:v>
                </c:pt>
                <c:pt idx="2">
                  <c:v>T2</c:v>
                </c:pt>
                <c:pt idx="3">
                  <c:v>T3</c:v>
                </c:pt>
                <c:pt idx="4">
                  <c:v>T4</c:v>
                </c:pt>
                <c:pt idx="5">
                  <c:v>T5</c:v>
                </c:pt>
                <c:pt idx="6">
                  <c:v>T6</c:v>
                </c:pt>
                <c:pt idx="7">
                  <c:v>T7</c:v>
                </c:pt>
              </c:strCache>
            </c:strRef>
          </c:cat>
          <c:val>
            <c:numRef>
              <c:f>'Grain P uptake'!$N$13:$N$20</c:f>
              <c:numCache>
                <c:formatCode>0.00</c:formatCode>
                <c:ptCount val="8"/>
                <c:pt idx="0">
                  <c:v>2.3966666666666669</c:v>
                </c:pt>
                <c:pt idx="1">
                  <c:v>3.9066666666666663</c:v>
                </c:pt>
                <c:pt idx="2">
                  <c:v>5.2600000000000007</c:v>
                </c:pt>
                <c:pt idx="3">
                  <c:v>5.419999999999999</c:v>
                </c:pt>
                <c:pt idx="4">
                  <c:v>4.9800000000000004</c:v>
                </c:pt>
                <c:pt idx="5">
                  <c:v>5.1000000000000005</c:v>
                </c:pt>
                <c:pt idx="6">
                  <c:v>6.5633333333333335</c:v>
                </c:pt>
                <c:pt idx="7">
                  <c:v>7.06</c:v>
                </c:pt>
              </c:numCache>
            </c:numRef>
          </c:val>
          <c:extLst>
            <c:ext xmlns:c16="http://schemas.microsoft.com/office/drawing/2014/chart" uri="{C3380CC4-5D6E-409C-BE32-E72D297353CC}">
              <c16:uniqueId val="{00000008-3BEE-4019-99A8-330129C53531}"/>
            </c:ext>
          </c:extLst>
        </c:ser>
        <c:dLbls>
          <c:dLblPos val="inEnd"/>
          <c:showLegendKey val="0"/>
          <c:showVal val="1"/>
          <c:showCatName val="0"/>
          <c:showSerName val="0"/>
          <c:showPercent val="0"/>
          <c:showBubbleSize val="0"/>
        </c:dLbls>
        <c:gapWidth val="99"/>
        <c:overlap val="-24"/>
        <c:axId val="537201039"/>
        <c:axId val="537188559"/>
      </c:barChart>
      <c:catAx>
        <c:axId val="5372010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7247490343656601"/>
              <c:y val="0.752791604062404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88559"/>
        <c:crosses val="autoZero"/>
        <c:auto val="1"/>
        <c:lblAlgn val="ctr"/>
        <c:lblOffset val="100"/>
        <c:noMultiLvlLbl val="0"/>
      </c:catAx>
      <c:valAx>
        <c:axId val="5371885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uptake (kg ha-1)</a:t>
                </a:r>
              </a:p>
            </c:rich>
          </c:tx>
          <c:layout>
            <c:manualLayout>
              <c:xMode val="edge"/>
              <c:yMode val="edge"/>
              <c:x val="1.1290322580645161E-2"/>
              <c:y val="0.2749788943907784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1039"/>
        <c:crosses val="autoZero"/>
        <c:crossBetween val="between"/>
      </c:valAx>
      <c:spPr>
        <a:noFill/>
        <a:ln>
          <a:noFill/>
        </a:ln>
        <a:effectLst/>
      </c:spPr>
    </c:plotArea>
    <c:legend>
      <c:legendPos val="b"/>
      <c:layout>
        <c:manualLayout>
          <c:xMode val="edge"/>
          <c:yMode val="edge"/>
          <c:x val="0.45099939430648089"/>
          <c:y val="0.84617268608999208"/>
          <c:w val="0.23708016006195948"/>
          <c:h val="0.109669110586427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Potasium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K uptake'!$G$7</c:f>
              <c:strCache>
                <c:ptCount val="1"/>
                <c:pt idx="0">
                  <c:v>Grain K Uptake</c:v>
                </c:pt>
              </c:strCache>
            </c:strRef>
          </c:tx>
          <c:spPr>
            <a:pattFill prst="solidDmnd">
              <a:fgClr>
                <a:srgbClr val="0094DE"/>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D2-47FF-8175-9FE606E0D10C}"/>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D2-47FF-8175-9FE606E0D10C}"/>
                </c:ext>
              </c:extLst>
            </c:dLbl>
            <c:dLbl>
              <c:idx val="2"/>
              <c:layout>
                <c:manualLayout>
                  <c:x val="-5.259071011918758E-17"/>
                  <c:y val="-1.2021729355543704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D2-47FF-8175-9FE606E0D10C}"/>
                </c:ext>
              </c:extLst>
            </c:dLbl>
            <c:dLbl>
              <c:idx val="3"/>
              <c:layout>
                <c:manualLayout>
                  <c:x val="5.259071011918758E-17"/>
                  <c:y val="-1.202172935554370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2-47FF-8175-9FE606E0D10C}"/>
                </c:ext>
              </c:extLst>
            </c:dLbl>
            <c:dLbl>
              <c:idx val="4"/>
              <c:layout>
                <c:manualLayout>
                  <c:x val="0"/>
                  <c:y val="-8.853474988933155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D2-47FF-8175-9FE606E0D10C}"/>
                </c:ext>
              </c:extLst>
            </c:dLbl>
            <c:dLbl>
              <c:idx val="5"/>
              <c:layout>
                <c:manualLayout>
                  <c:x val="0"/>
                  <c:y val="-6.6401062416998674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D2-47FF-8175-9FE606E0D10C}"/>
                </c:ext>
              </c:extLst>
            </c:dLbl>
            <c:dLbl>
              <c:idx val="6"/>
              <c:layout>
                <c:manualLayout>
                  <c:x val="0"/>
                  <c:y val="-1.89800727100347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D2-47FF-8175-9FE606E0D10C}"/>
                </c:ext>
              </c:extLst>
            </c:dLbl>
            <c:dLbl>
              <c:idx val="7"/>
              <c:layout>
                <c:manualLayout>
                  <c:x val="0"/>
                  <c:y val="-1.51898734177215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2-47FF-8175-9FE606E0D10C}"/>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K uptake'!$M$19:$M$26</c:f>
                <c:numCache>
                  <c:formatCode>General</c:formatCode>
                  <c:ptCount val="8"/>
                  <c:pt idx="0">
                    <c:v>0.10440306508910592</c:v>
                  </c:pt>
                  <c:pt idx="1">
                    <c:v>0.13650396819628821</c:v>
                  </c:pt>
                  <c:pt idx="2">
                    <c:v>0.82129978286453575</c:v>
                  </c:pt>
                  <c:pt idx="3">
                    <c:v>0.85440037453175277</c:v>
                  </c:pt>
                  <c:pt idx="4">
                    <c:v>0.50163067423487306</c:v>
                  </c:pt>
                  <c:pt idx="5">
                    <c:v>0.50649119768593553</c:v>
                  </c:pt>
                  <c:pt idx="6">
                    <c:v>1.0066445913694333</c:v>
                  </c:pt>
                  <c:pt idx="7">
                    <c:v>1.014889156509222</c:v>
                  </c:pt>
                </c:numCache>
              </c:numRef>
            </c:plus>
            <c:minus>
              <c:numRef>
                <c:f>'Grain K uptake'!$M$19:$M$26</c:f>
                <c:numCache>
                  <c:formatCode>General</c:formatCode>
                  <c:ptCount val="8"/>
                  <c:pt idx="0">
                    <c:v>0.10440306508910592</c:v>
                  </c:pt>
                  <c:pt idx="1">
                    <c:v>0.13650396819628821</c:v>
                  </c:pt>
                  <c:pt idx="2">
                    <c:v>0.82129978286453575</c:v>
                  </c:pt>
                  <c:pt idx="3">
                    <c:v>0.85440037453175277</c:v>
                  </c:pt>
                  <c:pt idx="4">
                    <c:v>0.50163067423487306</c:v>
                  </c:pt>
                  <c:pt idx="5">
                    <c:v>0.50649119768593553</c:v>
                  </c:pt>
                  <c:pt idx="6">
                    <c:v>1.0066445913694333</c:v>
                  </c:pt>
                  <c:pt idx="7">
                    <c:v>1.014889156509222</c:v>
                  </c:pt>
                </c:numCache>
              </c:numRef>
            </c:minus>
            <c:spPr>
              <a:noFill/>
              <a:ln w="9525" cap="flat" cmpd="sng" algn="ctr">
                <a:solidFill>
                  <a:sysClr val="windowText" lastClr="000000"/>
                </a:solidFill>
                <a:round/>
              </a:ln>
              <a:effectLst/>
            </c:spPr>
          </c:errBars>
          <c:cat>
            <c:strRef>
              <c:f>'Grain K uptake'!$F$8:$F$15</c:f>
              <c:strCache>
                <c:ptCount val="8"/>
                <c:pt idx="0">
                  <c:v>T0</c:v>
                </c:pt>
                <c:pt idx="1">
                  <c:v>T1</c:v>
                </c:pt>
                <c:pt idx="2">
                  <c:v>T2</c:v>
                </c:pt>
                <c:pt idx="3">
                  <c:v>T3</c:v>
                </c:pt>
                <c:pt idx="4">
                  <c:v>T4</c:v>
                </c:pt>
                <c:pt idx="5">
                  <c:v>T5</c:v>
                </c:pt>
                <c:pt idx="6">
                  <c:v>T6</c:v>
                </c:pt>
                <c:pt idx="7">
                  <c:v>T7</c:v>
                </c:pt>
              </c:strCache>
            </c:strRef>
          </c:cat>
          <c:val>
            <c:numRef>
              <c:f>'Grain K uptake'!$G$8:$G$15</c:f>
              <c:numCache>
                <c:formatCode>0.00</c:formatCode>
                <c:ptCount val="8"/>
                <c:pt idx="0">
                  <c:v>9.07</c:v>
                </c:pt>
                <c:pt idx="1">
                  <c:v>13.043333333333331</c:v>
                </c:pt>
                <c:pt idx="2">
                  <c:v>21.353333333333335</c:v>
                </c:pt>
                <c:pt idx="3">
                  <c:v>22.599999999999998</c:v>
                </c:pt>
                <c:pt idx="4">
                  <c:v>19.823333333333334</c:v>
                </c:pt>
                <c:pt idx="5">
                  <c:v>20.653333333333332</c:v>
                </c:pt>
                <c:pt idx="6">
                  <c:v>25.166666666666668</c:v>
                </c:pt>
                <c:pt idx="7">
                  <c:v>26.5</c:v>
                </c:pt>
              </c:numCache>
            </c:numRef>
          </c:val>
          <c:extLst>
            <c:ext xmlns:c16="http://schemas.microsoft.com/office/drawing/2014/chart" uri="{C3380CC4-5D6E-409C-BE32-E72D297353CC}">
              <c16:uniqueId val="{00000008-2CD2-47FF-8175-9FE606E0D10C}"/>
            </c:ext>
          </c:extLst>
        </c:ser>
        <c:dLbls>
          <c:dLblPos val="outEnd"/>
          <c:showLegendKey val="0"/>
          <c:showVal val="1"/>
          <c:showCatName val="0"/>
          <c:showSerName val="0"/>
          <c:showPercent val="0"/>
          <c:showBubbleSize val="0"/>
        </c:dLbls>
        <c:gapWidth val="100"/>
        <c:overlap val="-24"/>
        <c:axId val="330169439"/>
        <c:axId val="330164639"/>
      </c:barChart>
      <c:catAx>
        <c:axId val="3301694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707738688870482"/>
              <c:y val="0.7917001660195525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64639"/>
        <c:crosses val="autoZero"/>
        <c:auto val="1"/>
        <c:lblAlgn val="ctr"/>
        <c:lblOffset val="100"/>
        <c:noMultiLvlLbl val="0"/>
      </c:catAx>
      <c:valAx>
        <c:axId val="33016463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Potasium uptake (kg ha-1)</a:t>
                </a:r>
              </a:p>
            </c:rich>
          </c:tx>
          <c:layout>
            <c:manualLayout>
              <c:xMode val="edge"/>
              <c:yMode val="edge"/>
              <c:x val="1.2769353551476457E-2"/>
              <c:y val="0.3399096979966111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69439"/>
        <c:crosses val="autoZero"/>
        <c:crossBetween val="between"/>
      </c:valAx>
      <c:spPr>
        <a:noFill/>
        <a:ln>
          <a:noFill/>
        </a:ln>
        <a:effectLst/>
      </c:spPr>
    </c:plotArea>
    <c:legend>
      <c:legendPos val="b"/>
      <c:layout>
        <c:manualLayout>
          <c:xMode val="edge"/>
          <c:yMode val="edge"/>
          <c:x val="0.43030029441799"/>
          <c:y val="0.85678897980889646"/>
          <c:w val="0.21530993434508652"/>
          <c:h val="7.476521861782527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110</TotalTime>
  <Pages>12</Pages>
  <Words>5442</Words>
  <Characters>31026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16</cp:revision>
  <cp:lastPrinted>2025-11-20T06:54:00Z</cp:lastPrinted>
  <dcterms:created xsi:type="dcterms:W3CDTF">2025-11-19T19:43:00Z</dcterms:created>
  <dcterms:modified xsi:type="dcterms:W3CDTF">2025-11-20T12:08:00Z</dcterms:modified>
</cp:coreProperties>
</file>