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9D582" w14:textId="4F4EF551" w:rsidR="00DF68D1" w:rsidRPr="00DF68D1" w:rsidRDefault="00DF68D1" w:rsidP="00DF68D1">
      <w:pPr>
        <w:pStyle w:val="Author"/>
        <w:spacing w:line="240" w:lineRule="auto"/>
        <w:jc w:val="left"/>
        <w:rPr>
          <w:rFonts w:ascii="Arial" w:hAnsi="Arial" w:cs="Arial"/>
          <w:bCs/>
          <w:iCs/>
          <w:kern w:val="28"/>
          <w:sz w:val="36"/>
          <w:u w:val="single"/>
        </w:rPr>
      </w:pPr>
      <w:bookmarkStart w:id="0" w:name="_Hlk213067332"/>
      <w:bookmarkStart w:id="1" w:name="_Hlk212978293"/>
      <w:r w:rsidRPr="00DF68D1">
        <w:rPr>
          <w:rFonts w:ascii="Arial" w:hAnsi="Arial" w:cs="Arial"/>
          <w:bCs/>
          <w:iCs/>
          <w:kern w:val="28"/>
          <w:sz w:val="36"/>
          <w:u w:val="single"/>
        </w:rPr>
        <w:t>Original Research Article</w:t>
      </w:r>
    </w:p>
    <w:bookmarkEnd w:id="0"/>
    <w:p w14:paraId="2F7F137C" w14:textId="3BB2768B" w:rsidR="00EF0F19" w:rsidRDefault="002E2061" w:rsidP="00EF0F19">
      <w:pPr>
        <w:pStyle w:val="Author"/>
        <w:spacing w:line="240" w:lineRule="auto"/>
        <w:rPr>
          <w:rFonts w:ascii="Arial" w:hAnsi="Arial" w:cs="Arial"/>
          <w:bCs/>
          <w:iCs/>
          <w:kern w:val="28"/>
          <w:sz w:val="36"/>
        </w:rPr>
      </w:pPr>
      <w:r w:rsidRPr="002E2061">
        <w:rPr>
          <w:rFonts w:ascii="Arial" w:hAnsi="Arial" w:cs="Arial"/>
          <w:bCs/>
          <w:iCs/>
          <w:kern w:val="28"/>
          <w:sz w:val="36"/>
        </w:rPr>
        <w:t xml:space="preserve">Rapid UV spectrophotometric method for piperine quantification: evaluating genotypic and developmental stage effects in </w:t>
      </w:r>
      <w:proofErr w:type="spellStart"/>
      <w:r w:rsidRPr="002E2061">
        <w:rPr>
          <w:rFonts w:ascii="Arial" w:hAnsi="Arial" w:cs="Arial"/>
          <w:bCs/>
          <w:iCs/>
          <w:kern w:val="28"/>
          <w:sz w:val="36"/>
        </w:rPr>
        <w:t>blackpepper</w:t>
      </w:r>
      <w:proofErr w:type="spellEnd"/>
      <w:r w:rsidRPr="002E2061">
        <w:rPr>
          <w:rFonts w:ascii="Arial" w:hAnsi="Arial" w:cs="Arial"/>
          <w:bCs/>
          <w:iCs/>
          <w:kern w:val="28"/>
          <w:sz w:val="36"/>
        </w:rPr>
        <w:t xml:space="preserve"> (Piper nigrum L.)</w:t>
      </w:r>
    </w:p>
    <w:p w14:paraId="6EEC0E62" w14:textId="77777777" w:rsidR="002E2061" w:rsidRPr="00163BC4" w:rsidRDefault="002E2061" w:rsidP="00EF0F19">
      <w:pPr>
        <w:pStyle w:val="Author"/>
        <w:spacing w:line="240" w:lineRule="auto"/>
        <w:rPr>
          <w:rFonts w:ascii="Arial" w:hAnsi="Arial" w:cs="Arial"/>
          <w:bCs/>
          <w:iCs/>
          <w:kern w:val="28"/>
          <w:sz w:val="36"/>
        </w:rPr>
      </w:pPr>
    </w:p>
    <w:p w14:paraId="660EB4A7" w14:textId="05FDB768" w:rsidR="00A258C3" w:rsidRPr="00EF0F19" w:rsidRDefault="00EF0F19" w:rsidP="002C1829">
      <w:pPr>
        <w:pStyle w:val="Affiliation"/>
        <w:spacing w:after="0" w:line="240" w:lineRule="auto"/>
        <w:ind w:left="90"/>
        <w:jc w:val="left"/>
        <w:rPr>
          <w:rFonts w:ascii="Arial" w:hAnsi="Arial" w:cs="Arial"/>
          <w:i/>
        </w:rPr>
      </w:pPr>
      <w:r>
        <w:rPr>
          <w:rFonts w:ascii="Arial" w:hAnsi="Arial" w:cs="Arial"/>
          <w:i/>
        </w:rPr>
        <w:t xml:space="preserve">                                                                                                                        </w:t>
      </w:r>
    </w:p>
    <w:bookmarkEnd w:id="1"/>
    <w:p w14:paraId="20B15DE2" w14:textId="351495F8" w:rsidR="002C57D2" w:rsidRPr="00FB3A86" w:rsidRDefault="002C57D2" w:rsidP="00441B6F">
      <w:pPr>
        <w:pStyle w:val="Affiliation"/>
        <w:spacing w:after="0" w:line="240" w:lineRule="auto"/>
        <w:jc w:val="both"/>
        <w:rPr>
          <w:rFonts w:ascii="Arial" w:hAnsi="Arial" w:cs="Arial"/>
        </w:rPr>
      </w:pPr>
    </w:p>
    <w:bookmarkStart w:id="2" w:name="_Hlk213022432"/>
    <w:p w14:paraId="0EB20CC4" w14:textId="6C7F3C95" w:rsidR="00B01FCD" w:rsidRDefault="00A03523"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4EC6DEFA" wp14:editId="7DA63654">
                <wp:extent cx="5303520" cy="635"/>
                <wp:effectExtent l="17145" t="17780" r="13335" b="10795"/>
                <wp:docPr id="1055398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8282BD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bookmarkEnd w:id="2"/>
    </w:p>
    <w:p w14:paraId="5FFC283B" w14:textId="22D6F199" w:rsidR="00A03523" w:rsidRDefault="00A03523" w:rsidP="00441B6F">
      <w:pPr>
        <w:pStyle w:val="Copyright"/>
        <w:spacing w:after="0" w:line="240" w:lineRule="auto"/>
        <w:jc w:val="both"/>
        <w:rPr>
          <w:rFonts w:ascii="Arial" w:hAnsi="Arial" w:cs="Arial"/>
        </w:rPr>
      </w:pPr>
    </w:p>
    <w:p w14:paraId="4AC9C62D" w14:textId="00E16F83" w:rsidR="00A03523" w:rsidRDefault="00A03523" w:rsidP="00441B6F">
      <w:pPr>
        <w:pStyle w:val="Copyright"/>
        <w:spacing w:after="0" w:line="240" w:lineRule="auto"/>
        <w:jc w:val="both"/>
        <w:rPr>
          <w:rFonts w:ascii="Arial" w:hAnsi="Arial" w:cs="Arial"/>
        </w:rPr>
      </w:pPr>
    </w:p>
    <w:p w14:paraId="420471C8" w14:textId="77777777" w:rsidR="00A03523" w:rsidRDefault="00A03523" w:rsidP="00A03523">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tbl>
      <w:tblPr>
        <w:tblpPr w:leftFromText="180" w:rightFromText="180" w:vertAnchor="text" w:horzAnchor="margin" w:tblpXSpec="center" w:tblpY="1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A03523" w:rsidRPr="001E44FE" w14:paraId="29917235" w14:textId="77777777" w:rsidTr="00FC2340">
        <w:tc>
          <w:tcPr>
            <w:tcW w:w="8424" w:type="dxa"/>
            <w:shd w:val="clear" w:color="auto" w:fill="F2F2F2"/>
          </w:tcPr>
          <w:p w14:paraId="3F8DCF50" w14:textId="77777777" w:rsidR="00A03523" w:rsidRPr="00752142" w:rsidRDefault="00A03523" w:rsidP="00FC2340">
            <w:pPr>
              <w:jc w:val="both"/>
              <w:rPr>
                <w:rFonts w:ascii="Arial" w:hAnsi="Arial" w:cs="Arial"/>
                <w:sz w:val="24"/>
                <w:szCs w:val="24"/>
              </w:rPr>
            </w:pPr>
            <w:r w:rsidRPr="005F4C08">
              <w:rPr>
                <w:rFonts w:ascii="Arial" w:hAnsi="Arial" w:cs="Arial"/>
                <w:sz w:val="22"/>
                <w:szCs w:val="22"/>
              </w:rPr>
              <w:t>This study presents the development and validation of a rapid, cost-effective UV spectrophotometric method for the quantitative determination of piperine in Piper nigrum L. Three genotypes-Panniyur 1, Panniyur 2, and Uthirankotta-were studied at two critical stages of development (immature and mature green berries) to understand the genotypic and developmental effects on piperine accumulation. The method was highly specific and accurate and thus can be used as an effective substitute for high cost and time-consuming extraction methods for large-scale screenings.  Results showed significant genotypic variation, where Panniyur 2 had the highest piperine content of 6.56% w/w at maturity, followed by Panniyur 1 and Uthirankotta, respectively. Piperine rises significantly from the immature to the mature stage in all three genotypes, which ascertains the importance of a correct harvest period to get a good yield of alkaloids.</w:t>
            </w:r>
            <w:r w:rsidRPr="005F4C08">
              <w:rPr>
                <w:rFonts w:ascii="Arial" w:hAnsi="Arial" w:cs="Arial"/>
                <w:sz w:val="22"/>
                <w:szCs w:val="22"/>
                <w:lang w:eastAsia="en-IN" w:bidi="ml-IN"/>
              </w:rPr>
              <w:t xml:space="preserve"> </w:t>
            </w:r>
            <w:r w:rsidRPr="005F4C08">
              <w:rPr>
                <w:rFonts w:ascii="Arial" w:hAnsi="Arial" w:cs="Arial"/>
                <w:sz w:val="22"/>
                <w:szCs w:val="22"/>
              </w:rPr>
              <w:t>These results therefore establish that Panniyur 2 is a better genotype with regard to piperine production, and the mature green stage is the ideal period for harvest to obtain maximum bioactive principal contents. A validated UV spectrophotometric method described here will be an effective tool in quality control and breeding programs to improve the piperine yield in black pepper cultivation</w:t>
            </w:r>
            <w:r w:rsidRPr="00752142">
              <w:rPr>
                <w:rFonts w:ascii="Arial" w:hAnsi="Arial" w:cs="Arial"/>
                <w:sz w:val="24"/>
                <w:szCs w:val="24"/>
              </w:rPr>
              <w:t>.</w:t>
            </w:r>
          </w:p>
          <w:p w14:paraId="3E56F8BE" w14:textId="77777777" w:rsidR="00A03523" w:rsidRPr="00BA1B01" w:rsidRDefault="00A03523" w:rsidP="00FC2340">
            <w:pPr>
              <w:pStyle w:val="Body"/>
              <w:spacing w:after="0"/>
              <w:rPr>
                <w:rFonts w:ascii="Arial" w:eastAsia="Calibri" w:hAnsi="Arial" w:cs="Arial"/>
                <w:szCs w:val="22"/>
              </w:rPr>
            </w:pPr>
          </w:p>
        </w:tc>
      </w:tr>
    </w:tbl>
    <w:p w14:paraId="4BD72548" w14:textId="77777777" w:rsidR="00A03523" w:rsidRDefault="00A03523" w:rsidP="00A03523">
      <w:pPr>
        <w:jc w:val="both"/>
        <w:rPr>
          <w:rFonts w:ascii="Arial" w:hAnsi="Arial" w:cs="Arial"/>
          <w:i/>
        </w:rPr>
      </w:pPr>
    </w:p>
    <w:p w14:paraId="17BE26AE" w14:textId="77777777" w:rsidR="00A03523" w:rsidRDefault="00A03523" w:rsidP="00A03523">
      <w:pPr>
        <w:jc w:val="both"/>
        <w:rPr>
          <w:rFonts w:ascii="Arial" w:hAnsi="Arial" w:cs="Arial"/>
          <w:i/>
        </w:rPr>
      </w:pPr>
    </w:p>
    <w:p w14:paraId="0B64F56C" w14:textId="77777777" w:rsidR="00957D5E" w:rsidRDefault="00A03523" w:rsidP="00957D5E">
      <w:pPr>
        <w:ind w:left="-284" w:firstLine="284"/>
        <w:jc w:val="both"/>
        <w:rPr>
          <w:rFonts w:ascii="Arial" w:hAnsi="Arial" w:cs="Arial"/>
          <w:i/>
          <w:iCs/>
        </w:rPr>
      </w:pPr>
      <w:r>
        <w:rPr>
          <w:rFonts w:ascii="Arial" w:hAnsi="Arial" w:cs="Arial"/>
          <w:i/>
        </w:rPr>
        <w:t xml:space="preserve"> Keywords: </w:t>
      </w:r>
      <w:r w:rsidRPr="005F4C08">
        <w:rPr>
          <w:rFonts w:ascii="Arial" w:hAnsi="Arial" w:cs="Arial"/>
          <w:i/>
          <w:iCs/>
        </w:rPr>
        <w:t>Piper nigrum L., Piperine, UV spectrophotometer, developmental stages,</w:t>
      </w:r>
    </w:p>
    <w:p w14:paraId="1DBDEA4A" w14:textId="0569898E" w:rsidR="00A03523" w:rsidRPr="00DA411D" w:rsidRDefault="00A03523" w:rsidP="00957D5E">
      <w:pPr>
        <w:jc w:val="both"/>
        <w:rPr>
          <w:rFonts w:ascii="Arial" w:hAnsi="Arial" w:cs="Arial"/>
          <w:i/>
          <w:iCs/>
        </w:rPr>
      </w:pPr>
      <w:r>
        <w:rPr>
          <w:rFonts w:ascii="Arial" w:hAnsi="Arial" w:cs="Arial"/>
          <w:i/>
          <w:iCs/>
        </w:rPr>
        <w:t xml:space="preserve"> </w:t>
      </w:r>
      <w:r w:rsidRPr="005F4C08">
        <w:rPr>
          <w:rFonts w:ascii="Arial" w:hAnsi="Arial" w:cs="Arial"/>
          <w:i/>
          <w:iCs/>
        </w:rPr>
        <w:t>alkaloid</w:t>
      </w:r>
      <w:r>
        <w:rPr>
          <w:rFonts w:ascii="Arial" w:hAnsi="Arial" w:cs="Arial"/>
          <w:i/>
          <w:iCs/>
        </w:rPr>
        <w:t>,</w:t>
      </w:r>
      <w:r w:rsidR="00957D5E">
        <w:rPr>
          <w:rFonts w:ascii="Arial" w:hAnsi="Arial" w:cs="Arial"/>
          <w:i/>
          <w:iCs/>
        </w:rPr>
        <w:t xml:space="preserve"> </w:t>
      </w:r>
      <w:r>
        <w:rPr>
          <w:rFonts w:ascii="Arial" w:hAnsi="Arial" w:cs="Arial"/>
          <w:i/>
          <w:iCs/>
        </w:rPr>
        <w:t>blackpepper</w:t>
      </w:r>
    </w:p>
    <w:p w14:paraId="19D1CC83" w14:textId="77777777" w:rsidR="00A03523" w:rsidRDefault="00A03523" w:rsidP="00957D5E">
      <w:pPr>
        <w:pStyle w:val="Body"/>
        <w:spacing w:after="0"/>
        <w:rPr>
          <w:rFonts w:ascii="Arial" w:hAnsi="Arial" w:cs="Arial"/>
        </w:rPr>
      </w:pPr>
      <w:r w:rsidRPr="004539DB">
        <w:rPr>
          <w:rFonts w:ascii="Arial" w:hAnsi="Arial" w:cs="Arial"/>
          <w:i/>
          <w:sz w:val="18"/>
        </w:rPr>
        <w:t>.</w:t>
      </w:r>
    </w:p>
    <w:p w14:paraId="209F76D6" w14:textId="77777777" w:rsidR="00A03523" w:rsidRPr="005F4C08" w:rsidRDefault="00A03523" w:rsidP="00A03523">
      <w:pPr>
        <w:ind w:right="1019"/>
        <w:rPr>
          <w:rFonts w:ascii="Arial" w:hAnsi="Arial" w:cs="Arial"/>
          <w:b/>
          <w:bCs/>
          <w:sz w:val="22"/>
          <w:szCs w:val="22"/>
        </w:rPr>
      </w:pPr>
      <w:r>
        <w:rPr>
          <w:rFonts w:ascii="Arial" w:hAnsi="Arial" w:cs="Arial"/>
          <w:b/>
          <w:bCs/>
          <w:sz w:val="22"/>
          <w:szCs w:val="22"/>
        </w:rPr>
        <w:t xml:space="preserve">1. </w:t>
      </w:r>
      <w:r w:rsidRPr="005F4C08">
        <w:rPr>
          <w:rFonts w:ascii="Arial" w:hAnsi="Arial" w:cs="Arial"/>
          <w:b/>
          <w:bCs/>
          <w:sz w:val="22"/>
          <w:szCs w:val="22"/>
        </w:rPr>
        <w:t>INTRODUCTION</w:t>
      </w:r>
    </w:p>
    <w:p w14:paraId="209EC0E4" w14:textId="0E99FF12" w:rsidR="00A03523" w:rsidRPr="00957D5E" w:rsidRDefault="00A03523" w:rsidP="00A03523">
      <w:pPr>
        <w:ind w:right="-14"/>
        <w:jc w:val="both"/>
        <w:rPr>
          <w:rFonts w:ascii="Arial" w:hAnsi="Arial" w:cs="Arial"/>
          <w:sz w:val="22"/>
          <w:szCs w:val="22"/>
        </w:rPr>
      </w:pPr>
      <w:r>
        <w:rPr>
          <w:noProof/>
        </w:rPr>
        <mc:AlternateContent>
          <mc:Choice Requires="wps">
            <w:drawing>
              <wp:anchor distT="0" distB="0" distL="114300" distR="114300" simplePos="0" relativeHeight="251665408" behindDoc="0" locked="0" layoutInCell="1" allowOverlap="1" wp14:anchorId="0067448B" wp14:editId="314043A9">
                <wp:simplePos x="0" y="0"/>
                <wp:positionH relativeFrom="column">
                  <wp:posOffset>137160</wp:posOffset>
                </wp:positionH>
                <wp:positionV relativeFrom="paragraph">
                  <wp:posOffset>1834515</wp:posOffset>
                </wp:positionV>
                <wp:extent cx="2934970" cy="640080"/>
                <wp:effectExtent l="0" t="0" r="0" b="0"/>
                <wp:wrapNone/>
                <wp:docPr id="4025362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4970" cy="6400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9E4687" w14:textId="1C7644CB" w:rsidR="00A03523" w:rsidRDefault="00A03523" w:rsidP="003A1000">
                            <w:pPr>
                              <w:pStyle w:val="Footer"/>
                            </w:pPr>
                            <w:r w:rsidRPr="00EF0F19">
                              <w:rPr>
                                <w:rFonts w:ascii="Arial" w:hAnsi="Arial" w:cs="Arial"/>
                                <w:color w:val="A6A6A6" w:themeColor="background1" w:themeShade="A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67448B" id="_x0000_t202" coordsize="21600,21600" o:spt="202" path="m,l,21600r21600,l21600,xe">
                <v:stroke joinstyle="miter"/>
                <v:path gradientshapeok="t" o:connecttype="rect"/>
              </v:shapetype>
              <v:shape id="Text Box 1" o:spid="_x0000_s1026" type="#_x0000_t202" style="position:absolute;left:0;text-align:left;margin-left:10.8pt;margin-top:144.45pt;width:231.1pt;height:5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" filled="f" stroked="f">
                <v:textbox>
                  <w:txbxContent>
                    <w:p w14:paraId="3B9E4687" w14:textId="1C7644CB" w:rsidR="00A03523" w:rsidRDefault="00A03523" w:rsidP="003A1000">
                      <w:pPr>
                        <w:pStyle w:val="Footer"/>
                      </w:pPr>
                      <w:r w:rsidRPr="00EF0F19">
                        <w:rPr>
                          <w:rFonts w:ascii="Arial" w:hAnsi="Arial" w:cs="Arial"/>
                          <w:color w:val="A6A6A6" w:themeColor="background1" w:themeShade="A6"/>
                        </w:rPr>
                        <w:t>*</w:t>
                      </w:r>
                    </w:p>
                  </w:txbxContent>
                </v:textbox>
              </v:shape>
            </w:pict>
          </mc:Fallback>
        </mc:AlternateContent>
      </w:r>
      <w:r w:rsidRPr="005F4C08">
        <w:rPr>
          <w:rFonts w:ascii="Arial" w:hAnsi="Arial" w:cs="Arial"/>
          <w:sz w:val="22"/>
          <w:szCs w:val="22"/>
        </w:rPr>
        <w:t>Black pepper (</w:t>
      </w:r>
      <w:r w:rsidRPr="005F4C08">
        <w:rPr>
          <w:rFonts w:ascii="Arial" w:hAnsi="Arial" w:cs="Arial"/>
          <w:i/>
          <w:iCs/>
          <w:sz w:val="22"/>
          <w:szCs w:val="22"/>
        </w:rPr>
        <w:t>Piper nigrum</w:t>
      </w:r>
      <w:r w:rsidRPr="005F4C08">
        <w:rPr>
          <w:rFonts w:ascii="Arial" w:hAnsi="Arial" w:cs="Arial"/>
          <w:sz w:val="22"/>
          <w:szCs w:val="22"/>
        </w:rPr>
        <w:t xml:space="preserve"> L.) - also referred to as "King of spices" or "Black gold" - belongs to the family Piperaceae and is generally believed to have originated in the sub-mountainous plains of the Western Ghats of India [</w:t>
      </w:r>
      <w:r w:rsidR="00957D5E">
        <w:rPr>
          <w:rFonts w:ascii="Arial" w:hAnsi="Arial" w:cs="Arial"/>
          <w:sz w:val="22"/>
          <w:szCs w:val="22"/>
        </w:rPr>
        <w:t>1</w:t>
      </w:r>
      <w:r w:rsidRPr="005F4C08">
        <w:rPr>
          <w:rFonts w:ascii="Arial" w:hAnsi="Arial" w:cs="Arial"/>
          <w:sz w:val="22"/>
          <w:szCs w:val="22"/>
        </w:rPr>
        <w:t>]. It is considered a high-value crop with great economic and therapeutic importance [</w:t>
      </w:r>
      <w:r w:rsidR="00957D5E">
        <w:rPr>
          <w:rFonts w:ascii="Arial" w:hAnsi="Arial" w:cs="Arial"/>
          <w:sz w:val="22"/>
          <w:szCs w:val="22"/>
        </w:rPr>
        <w:t>2</w:t>
      </w:r>
      <w:r w:rsidRPr="005F4C08">
        <w:rPr>
          <w:rFonts w:ascii="Arial" w:hAnsi="Arial" w:cs="Arial"/>
          <w:sz w:val="22"/>
          <w:szCs w:val="22"/>
        </w:rPr>
        <w:t xml:space="preserve">]. Black pepper has been used since 50,000 B.C. as an aromatic enhancer for food, luring ancient emperors and travelers who fought wars and discovered sea routes in search of Indian spices [ </w:t>
      </w:r>
      <w:r w:rsidR="00957D5E">
        <w:rPr>
          <w:rFonts w:ascii="Arial" w:hAnsi="Arial" w:cs="Arial"/>
          <w:sz w:val="22"/>
          <w:szCs w:val="22"/>
        </w:rPr>
        <w:t>3</w:t>
      </w:r>
      <w:r w:rsidRPr="005F4C08">
        <w:rPr>
          <w:rFonts w:ascii="Arial" w:hAnsi="Arial" w:cs="Arial"/>
          <w:sz w:val="22"/>
          <w:szCs w:val="22"/>
        </w:rPr>
        <w:t xml:space="preserve">]. The peculiar aroma and pungency of black pepper are attributed mainly to piperine and volatile oils. Piperine is the </w:t>
      </w:r>
      <w:r w:rsidRPr="00957D5E">
        <w:rPr>
          <w:rFonts w:ascii="Arial" w:hAnsi="Arial" w:cs="Arial"/>
          <w:sz w:val="22"/>
          <w:szCs w:val="22"/>
        </w:rPr>
        <w:t>chief bioactive constituent of black pepper and possesses various medicinal properties such as antiplatelet, antihypertensive, anticancer, antioxidant, analgesic, antidepressant, and anti-</w:t>
      </w:r>
      <w:r w:rsidRPr="00957D5E">
        <w:rPr>
          <w:rFonts w:ascii="Arial" w:hAnsi="Arial" w:cs="Arial"/>
          <w:sz w:val="22"/>
          <w:szCs w:val="22"/>
        </w:rPr>
        <w:lastRenderedPageBreak/>
        <w:t>diarrheal activity [</w:t>
      </w:r>
      <w:r w:rsidR="00957D5E">
        <w:rPr>
          <w:rFonts w:ascii="Arial" w:hAnsi="Arial" w:cs="Arial"/>
          <w:sz w:val="22"/>
          <w:szCs w:val="22"/>
        </w:rPr>
        <w:t>4</w:t>
      </w:r>
      <w:r w:rsidRPr="00957D5E">
        <w:rPr>
          <w:rFonts w:ascii="Arial" w:hAnsi="Arial" w:cs="Arial"/>
          <w:sz w:val="22"/>
          <w:szCs w:val="22"/>
        </w:rPr>
        <w:t xml:space="preserve">]. Piperine is also reported in different plant species, namely </w:t>
      </w:r>
      <w:r w:rsidRPr="00957D5E">
        <w:rPr>
          <w:rFonts w:ascii="Arial" w:hAnsi="Arial" w:cs="Arial"/>
          <w:i/>
          <w:iCs/>
          <w:sz w:val="22"/>
          <w:szCs w:val="22"/>
        </w:rPr>
        <w:t>Anethum sowa, Piper longum, Piper cubeba, Piper chaba, Vicoa indica, Rhododendron faurie</w:t>
      </w:r>
      <w:r w:rsidRPr="00957D5E">
        <w:rPr>
          <w:rFonts w:ascii="Arial" w:hAnsi="Arial" w:cs="Arial"/>
          <w:sz w:val="22"/>
          <w:szCs w:val="22"/>
        </w:rPr>
        <w:t xml:space="preserve">, and many others. Piperine is concentrated in </w:t>
      </w:r>
      <w:r w:rsidRPr="00957D5E">
        <w:rPr>
          <w:rFonts w:ascii="Arial" w:hAnsi="Arial" w:cs="Arial"/>
          <w:i/>
          <w:iCs/>
          <w:sz w:val="22"/>
          <w:szCs w:val="22"/>
        </w:rPr>
        <w:t>Piper nigrum</w:t>
      </w:r>
      <w:r w:rsidRPr="00957D5E">
        <w:rPr>
          <w:rFonts w:ascii="Arial" w:hAnsi="Arial" w:cs="Arial"/>
          <w:sz w:val="22"/>
          <w:szCs w:val="22"/>
        </w:rPr>
        <w:t xml:space="preserve"> L., and its content usually ranges from 2% to 9%, which depends on growing conditions and environmental factors, particularly climate and geographical location [</w:t>
      </w:r>
      <w:r w:rsidR="00957D5E">
        <w:rPr>
          <w:rFonts w:ascii="Arial" w:hAnsi="Arial" w:cs="Arial"/>
          <w:sz w:val="22"/>
          <w:szCs w:val="22"/>
        </w:rPr>
        <w:t>5</w:t>
      </w:r>
      <w:r w:rsidRPr="00957D5E">
        <w:rPr>
          <w:rFonts w:ascii="Arial" w:hAnsi="Arial" w:cs="Arial"/>
          <w:sz w:val="22"/>
          <w:szCs w:val="22"/>
        </w:rPr>
        <w:t>]. Improving cultivation for high piperine concentration in various pepper types is important to meet the increasing demand for this spice in the international market, especially in pharmaceutical extraction, where purity and yield are crucial [</w:t>
      </w:r>
      <w:r w:rsidR="00957D5E">
        <w:rPr>
          <w:rFonts w:ascii="Arial" w:hAnsi="Arial" w:cs="Arial"/>
          <w:sz w:val="22"/>
          <w:szCs w:val="22"/>
        </w:rPr>
        <w:t>6</w:t>
      </w:r>
      <w:r w:rsidRPr="00957D5E">
        <w:rPr>
          <w:rFonts w:ascii="Arial" w:hAnsi="Arial" w:cs="Arial"/>
          <w:sz w:val="22"/>
          <w:szCs w:val="22"/>
        </w:rPr>
        <w:t>]. A minimum concentration of 3.5% to 4.0% piperine on a dry weight basis is usually prescribed for premium black pepper grades [</w:t>
      </w:r>
      <w:r w:rsidR="00957D5E">
        <w:rPr>
          <w:rFonts w:ascii="Arial" w:hAnsi="Arial" w:cs="Arial"/>
          <w:sz w:val="22"/>
          <w:szCs w:val="22"/>
        </w:rPr>
        <w:t>7</w:t>
      </w:r>
      <w:r w:rsidRPr="00957D5E">
        <w:rPr>
          <w:rFonts w:ascii="Arial" w:hAnsi="Arial" w:cs="Arial"/>
          <w:sz w:val="22"/>
          <w:szCs w:val="22"/>
        </w:rPr>
        <w:t>].</w:t>
      </w:r>
    </w:p>
    <w:p w14:paraId="055AB9CE" w14:textId="372C3690" w:rsidR="00A03523" w:rsidRPr="00957D5E" w:rsidRDefault="00A03523" w:rsidP="00A03523">
      <w:pPr>
        <w:ind w:firstLine="720"/>
        <w:jc w:val="both"/>
        <w:rPr>
          <w:rFonts w:ascii="Arial" w:hAnsi="Arial" w:cs="Arial"/>
          <w:sz w:val="22"/>
          <w:szCs w:val="22"/>
        </w:rPr>
      </w:pPr>
      <w:r w:rsidRPr="00957D5E">
        <w:rPr>
          <w:rFonts w:ascii="Arial" w:hAnsi="Arial" w:cs="Arial"/>
          <w:i/>
          <w:iCs/>
          <w:sz w:val="22"/>
          <w:szCs w:val="22"/>
        </w:rPr>
        <w:t>Piper nigrum</w:t>
      </w:r>
      <w:r w:rsidRPr="00957D5E">
        <w:rPr>
          <w:rFonts w:ascii="Arial" w:hAnsi="Arial" w:cs="Arial"/>
          <w:sz w:val="22"/>
          <w:szCs w:val="22"/>
        </w:rPr>
        <w:t xml:space="preserve"> is a perennial woody climber, which develops ivy-like roots, allowing it to adhere to support trees and climb up to 10 meters or more in height. Its vines exhibit dimorphic branching, comprising two types: the sympodial branches, which grow laterally for fruiting, and the monopodial branches, which grow vertically [</w:t>
      </w:r>
      <w:r w:rsidR="00957D5E">
        <w:rPr>
          <w:rFonts w:ascii="Arial" w:hAnsi="Arial" w:cs="Arial"/>
          <w:sz w:val="22"/>
          <w:szCs w:val="22"/>
        </w:rPr>
        <w:t>8</w:t>
      </w:r>
      <w:r w:rsidRPr="00957D5E">
        <w:rPr>
          <w:rFonts w:ascii="Arial" w:hAnsi="Arial" w:cs="Arial"/>
          <w:sz w:val="22"/>
          <w:szCs w:val="22"/>
        </w:rPr>
        <w:t>]. Piperine content is influenced by genotype, fruit size, developmental stage, and many other environmental factors [</w:t>
      </w:r>
      <w:r w:rsidR="00957D5E">
        <w:rPr>
          <w:rFonts w:ascii="Arial" w:hAnsi="Arial" w:cs="Arial"/>
          <w:sz w:val="22"/>
          <w:szCs w:val="22"/>
        </w:rPr>
        <w:t>9</w:t>
      </w:r>
      <w:r w:rsidRPr="00957D5E">
        <w:rPr>
          <w:rFonts w:ascii="Arial" w:hAnsi="Arial" w:cs="Arial"/>
          <w:sz w:val="22"/>
          <w:szCs w:val="22"/>
        </w:rPr>
        <w:t>]. Black pepper berries undergo significant biochemical changes as they progress to maturity from the immature to mature green stage. During this stage, earlier studies have qualitatively confirmed an increase in piperine content [</w:t>
      </w:r>
      <w:r w:rsidR="00957D5E">
        <w:rPr>
          <w:rFonts w:ascii="Arial" w:hAnsi="Arial" w:cs="Arial"/>
          <w:sz w:val="22"/>
          <w:szCs w:val="22"/>
        </w:rPr>
        <w:t>10</w:t>
      </w:r>
      <w:r w:rsidRPr="00957D5E">
        <w:rPr>
          <w:rFonts w:ascii="Arial" w:hAnsi="Arial" w:cs="Arial"/>
          <w:sz w:val="22"/>
          <w:szCs w:val="22"/>
        </w:rPr>
        <w:t>].</w:t>
      </w:r>
    </w:p>
    <w:p w14:paraId="0496D88D" w14:textId="59A6676D" w:rsidR="00A03523" w:rsidRPr="00DA411D" w:rsidRDefault="00A03523" w:rsidP="00A03523">
      <w:pPr>
        <w:ind w:firstLine="720"/>
        <w:jc w:val="both"/>
        <w:rPr>
          <w:rFonts w:ascii="Arial" w:hAnsi="Arial" w:cs="Arial"/>
          <w:sz w:val="22"/>
          <w:szCs w:val="22"/>
        </w:rPr>
      </w:pPr>
      <w:r w:rsidRPr="00DA411D">
        <w:rPr>
          <w:rFonts w:ascii="Arial" w:hAnsi="Arial" w:cs="Arial"/>
          <w:sz w:val="22"/>
          <w:szCs w:val="22"/>
        </w:rPr>
        <w:t xml:space="preserve">Piperine, an alkaloid of </w:t>
      </w:r>
      <w:r w:rsidRPr="00DA411D">
        <w:rPr>
          <w:rFonts w:ascii="Arial" w:hAnsi="Arial" w:cs="Arial"/>
          <w:i/>
          <w:iCs/>
          <w:sz w:val="22"/>
          <w:szCs w:val="22"/>
        </w:rPr>
        <w:t>Piper nigrum</w:t>
      </w:r>
      <w:r w:rsidRPr="00DA411D">
        <w:rPr>
          <w:rFonts w:ascii="Arial" w:hAnsi="Arial" w:cs="Arial"/>
          <w:sz w:val="22"/>
          <w:szCs w:val="22"/>
        </w:rPr>
        <w:t xml:space="preserve"> is a molecule chemically characterized as the carboxamide of piperidine and piperic acid. It is highly soluble in ethanol and other organic solvents, while its water solubility is poor [</w:t>
      </w:r>
      <w:r w:rsidR="00957D5E">
        <w:rPr>
          <w:rFonts w:ascii="Arial" w:hAnsi="Arial" w:cs="Arial"/>
          <w:sz w:val="22"/>
          <w:szCs w:val="22"/>
        </w:rPr>
        <w:t>11</w:t>
      </w:r>
      <w:r w:rsidRPr="00DA411D">
        <w:rPr>
          <w:rFonts w:ascii="Arial" w:hAnsi="Arial" w:cs="Arial"/>
          <w:sz w:val="22"/>
          <w:szCs w:val="22"/>
        </w:rPr>
        <w:t xml:space="preserve">]. To meet the industry's demand for high-piperine pepper efficiently and to facilitate high-throughput screening in breeding programs, there is an increasing need for a rapid, reliable, and cost-effective analytical method. With high resolution and specificity, the HPLC can precisely separate piperine from interfering molecules in the extracted solvent. However, </w:t>
      </w:r>
      <w:proofErr w:type="spellStart"/>
      <w:r w:rsidRPr="00DA411D">
        <w:rPr>
          <w:rFonts w:ascii="Arial" w:hAnsi="Arial" w:cs="Arial"/>
          <w:sz w:val="22"/>
          <w:szCs w:val="22"/>
        </w:rPr>
        <w:t>its</w:t>
      </w:r>
      <w:proofErr w:type="spellEnd"/>
      <w:r w:rsidRPr="00DA411D">
        <w:rPr>
          <w:rFonts w:ascii="Arial" w:hAnsi="Arial" w:cs="Arial"/>
          <w:sz w:val="22"/>
          <w:szCs w:val="22"/>
        </w:rPr>
        <w:t xml:space="preserve"> very low throughput, high operating costs, and dependence on specialized infrastructure severely limit its application when hundreds of samples need to be analyzed quickly and economically, such as in rapid field-based quality assessment or large-scale genotype screening. A number of studies have explored spectrophotometric methods with a view to overcoming these limitations, capitalizing on the potent UV absorbability of piperine [</w:t>
      </w:r>
      <w:r w:rsidR="00957D5E">
        <w:rPr>
          <w:rFonts w:ascii="Arial" w:hAnsi="Arial" w:cs="Arial"/>
          <w:sz w:val="22"/>
          <w:szCs w:val="22"/>
        </w:rPr>
        <w:t>12</w:t>
      </w:r>
      <w:r w:rsidR="004933E7">
        <w:rPr>
          <w:rFonts w:ascii="Arial" w:hAnsi="Arial" w:cs="Arial"/>
          <w:sz w:val="22"/>
          <w:szCs w:val="22"/>
        </w:rPr>
        <w:t>,</w:t>
      </w:r>
      <w:r w:rsidRPr="00DA411D">
        <w:rPr>
          <w:rFonts w:ascii="Arial" w:hAnsi="Arial" w:cs="Arial"/>
          <w:sz w:val="22"/>
          <w:szCs w:val="22"/>
        </w:rPr>
        <w:t>13]. Finally, it is known that the final yield of piperine is affected by the developmental stage of the berry or the time of harvest. Piperine has been reported to usually accumulate during the aging process of the fruit [</w:t>
      </w:r>
      <w:r w:rsidR="00957D5E">
        <w:rPr>
          <w:rFonts w:ascii="Arial" w:hAnsi="Arial" w:cs="Arial"/>
          <w:sz w:val="22"/>
          <w:szCs w:val="22"/>
        </w:rPr>
        <w:t>14</w:t>
      </w:r>
      <w:r w:rsidR="004933E7">
        <w:rPr>
          <w:rFonts w:ascii="Arial" w:hAnsi="Arial" w:cs="Arial"/>
          <w:sz w:val="22"/>
          <w:szCs w:val="22"/>
        </w:rPr>
        <w:t>,</w:t>
      </w:r>
      <w:r w:rsidR="00957D5E">
        <w:rPr>
          <w:rFonts w:ascii="Arial" w:hAnsi="Arial" w:cs="Arial"/>
          <w:sz w:val="22"/>
          <w:szCs w:val="22"/>
        </w:rPr>
        <w:t>15].</w:t>
      </w:r>
    </w:p>
    <w:p w14:paraId="29FE3BFE" w14:textId="7BEB5106" w:rsidR="00A03523" w:rsidRPr="00DA411D" w:rsidRDefault="00A03523" w:rsidP="00A03523">
      <w:pPr>
        <w:ind w:firstLine="720"/>
        <w:jc w:val="both"/>
        <w:rPr>
          <w:rFonts w:ascii="Arial" w:hAnsi="Arial" w:cs="Arial"/>
          <w:sz w:val="22"/>
          <w:szCs w:val="22"/>
        </w:rPr>
      </w:pPr>
      <w:r w:rsidRPr="00DA411D">
        <w:rPr>
          <w:rFonts w:ascii="Arial" w:hAnsi="Arial" w:cs="Arial"/>
          <w:sz w:val="22"/>
          <w:szCs w:val="22"/>
        </w:rPr>
        <w:t>Piperine has economic significance that goes well beyond its conventional use as a spice. This is why a complex industrial process is used to isolate the compound for the pharmaceutical and nutraceutical markets</w:t>
      </w:r>
      <w:r w:rsidR="00957D5E">
        <w:rPr>
          <w:rFonts w:ascii="Arial" w:hAnsi="Arial" w:cs="Arial"/>
          <w:sz w:val="22"/>
          <w:szCs w:val="22"/>
        </w:rPr>
        <w:t xml:space="preserve"> [16]</w:t>
      </w:r>
      <w:r w:rsidRPr="00DA411D">
        <w:rPr>
          <w:rFonts w:ascii="Arial" w:hAnsi="Arial" w:cs="Arial"/>
          <w:sz w:val="22"/>
          <w:szCs w:val="22"/>
        </w:rPr>
        <w:t xml:space="preserve">. It has numerous uses in the food and pharmaceutical industries, so it should be extracted pure and free of residual solvents so that it can be used directly in food and medicine formulations. In an industrial environment, pepper is ground into coarse powder or reduced into flakes, and then it is repeatedly extracted using an organic solvent like ethanol, acetone, or chlorinated hydrocarbons </w:t>
      </w:r>
      <w:r w:rsidR="00957D5E">
        <w:rPr>
          <w:rFonts w:ascii="Arial" w:hAnsi="Arial" w:cs="Arial"/>
          <w:sz w:val="22"/>
          <w:szCs w:val="22"/>
        </w:rPr>
        <w:t>[17]</w:t>
      </w:r>
      <w:r w:rsidRPr="00DA411D">
        <w:rPr>
          <w:rFonts w:ascii="Arial" w:hAnsi="Arial" w:cs="Arial"/>
          <w:sz w:val="22"/>
          <w:szCs w:val="22"/>
        </w:rPr>
        <w:t xml:space="preserve">. To produce a crude piperine from the powdered pepper fruit, large-scale extraction usually makes use of effective solid-liquid techniques like Soxhlet extraction or percolation, using solvents like ethanol or dichloromethane </w:t>
      </w:r>
      <w:r w:rsidR="00957D5E">
        <w:rPr>
          <w:rFonts w:ascii="Arial" w:hAnsi="Arial" w:cs="Arial"/>
          <w:sz w:val="22"/>
          <w:szCs w:val="22"/>
        </w:rPr>
        <w:t>[18]</w:t>
      </w:r>
      <w:r w:rsidRPr="00DA411D">
        <w:rPr>
          <w:rFonts w:ascii="Arial" w:hAnsi="Arial" w:cs="Arial"/>
          <w:sz w:val="22"/>
          <w:szCs w:val="22"/>
        </w:rPr>
        <w:t xml:space="preserve">. To recover the alkaloid from </w:t>
      </w:r>
      <w:r w:rsidRPr="00DA411D">
        <w:rPr>
          <w:rFonts w:ascii="Arial" w:hAnsi="Arial" w:cs="Arial"/>
          <w:i/>
          <w:iCs/>
          <w:sz w:val="22"/>
          <w:szCs w:val="22"/>
        </w:rPr>
        <w:t>P. nigrum</w:t>
      </w:r>
      <w:r w:rsidRPr="00DA411D">
        <w:rPr>
          <w:rFonts w:ascii="Arial" w:hAnsi="Arial" w:cs="Arial"/>
          <w:sz w:val="22"/>
          <w:szCs w:val="22"/>
        </w:rPr>
        <w:t xml:space="preserve"> and </w:t>
      </w:r>
      <w:r w:rsidRPr="00DA411D">
        <w:rPr>
          <w:rFonts w:ascii="Arial" w:hAnsi="Arial" w:cs="Arial"/>
          <w:i/>
          <w:iCs/>
          <w:sz w:val="22"/>
          <w:szCs w:val="22"/>
        </w:rPr>
        <w:t>P. longum</w:t>
      </w:r>
      <w:r w:rsidRPr="00DA411D">
        <w:rPr>
          <w:rFonts w:ascii="Arial" w:hAnsi="Arial" w:cs="Arial"/>
          <w:sz w:val="22"/>
          <w:szCs w:val="22"/>
        </w:rPr>
        <w:t xml:space="preserve"> on a large scale, modern industrial facilities usually use optimized solvent extraction techniques like continuous percolation or supercritical fluid extraction (SFE)</w:t>
      </w:r>
      <w:r w:rsidR="00957D5E">
        <w:rPr>
          <w:rFonts w:ascii="Arial" w:hAnsi="Arial" w:cs="Arial"/>
          <w:sz w:val="22"/>
          <w:szCs w:val="22"/>
        </w:rPr>
        <w:t xml:space="preserve"> [19]</w:t>
      </w:r>
      <w:r w:rsidRPr="00DA411D">
        <w:rPr>
          <w:rFonts w:ascii="Arial" w:hAnsi="Arial" w:cs="Arial"/>
          <w:sz w:val="22"/>
          <w:szCs w:val="22"/>
        </w:rPr>
        <w:t xml:space="preserve">. The </w:t>
      </w:r>
      <w:r w:rsidRPr="00DA411D">
        <w:rPr>
          <w:rFonts w:ascii="Arial" w:hAnsi="Arial" w:cs="Arial"/>
          <w:sz w:val="22"/>
          <w:szCs w:val="22"/>
        </w:rPr>
        <w:lastRenderedPageBreak/>
        <w:t xml:space="preserve">main commercial use is still its potent bioenhancer properties, which were first formally presented to the scientific community along with piperine's mode of action </w:t>
      </w:r>
      <w:r w:rsidR="00957D5E">
        <w:rPr>
          <w:rFonts w:ascii="Arial" w:hAnsi="Arial" w:cs="Arial"/>
          <w:sz w:val="22"/>
          <w:szCs w:val="22"/>
        </w:rPr>
        <w:t>[20</w:t>
      </w:r>
      <w:r w:rsidR="004933E7">
        <w:rPr>
          <w:rFonts w:ascii="Arial" w:hAnsi="Arial" w:cs="Arial"/>
          <w:sz w:val="22"/>
          <w:szCs w:val="22"/>
        </w:rPr>
        <w:t>,21</w:t>
      </w:r>
      <w:r w:rsidR="00957D5E">
        <w:rPr>
          <w:rFonts w:ascii="Arial" w:hAnsi="Arial" w:cs="Arial"/>
          <w:sz w:val="22"/>
          <w:szCs w:val="22"/>
        </w:rPr>
        <w:t>]</w:t>
      </w:r>
      <w:r w:rsidRPr="00DA411D">
        <w:rPr>
          <w:rFonts w:ascii="Arial" w:hAnsi="Arial" w:cs="Arial"/>
          <w:sz w:val="22"/>
          <w:szCs w:val="22"/>
        </w:rPr>
        <w:t xml:space="preserve">. By inhibiting hepatic and intestinal phase I and phase II drug metabolism and modulating intestinal permeability, it has been shown to greatly increase the systemic exposure and therapeutic efficacy of low-bioavailability medications and supplements </w:t>
      </w:r>
      <w:r w:rsidR="004933E7">
        <w:rPr>
          <w:rFonts w:ascii="Arial" w:hAnsi="Arial" w:cs="Arial"/>
          <w:sz w:val="22"/>
          <w:szCs w:val="22"/>
        </w:rPr>
        <w:t>[22]</w:t>
      </w:r>
      <w:r w:rsidRPr="00DA411D">
        <w:rPr>
          <w:rFonts w:ascii="Arial" w:hAnsi="Arial" w:cs="Arial"/>
          <w:sz w:val="22"/>
          <w:szCs w:val="22"/>
        </w:rPr>
        <w:t xml:space="preserve">. Isolated, high-purity piperine strengthens its value as a commercially significant functional ingredient by improving absorption and adding its inherent antioxidant, anti-inflammatory, and neuroprotective properties to health-focused products </w:t>
      </w:r>
      <w:r w:rsidR="004933E7">
        <w:rPr>
          <w:rFonts w:ascii="Arial" w:hAnsi="Arial" w:cs="Arial"/>
          <w:sz w:val="22"/>
          <w:szCs w:val="22"/>
        </w:rPr>
        <w:t>[23]</w:t>
      </w:r>
      <w:r w:rsidRPr="00DA411D">
        <w:rPr>
          <w:rFonts w:ascii="Arial" w:hAnsi="Arial" w:cs="Arial"/>
          <w:sz w:val="22"/>
          <w:szCs w:val="22"/>
        </w:rPr>
        <w:t xml:space="preserve">. Significant preclinical activity against a variety of human diseases, such as cancer and inflammatory disorders, has been proven by piperine. A few possible molecular targets were investigated in relation to various illnesses </w:t>
      </w:r>
      <w:r w:rsidR="004933E7">
        <w:rPr>
          <w:rFonts w:ascii="Arial" w:hAnsi="Arial" w:cs="Arial"/>
          <w:sz w:val="22"/>
          <w:szCs w:val="22"/>
        </w:rPr>
        <w:t>[24].</w:t>
      </w:r>
    </w:p>
    <w:p w14:paraId="19503D8B" w14:textId="77777777" w:rsidR="00A03523" w:rsidRPr="00DA411D" w:rsidRDefault="00A03523" w:rsidP="00A03523">
      <w:pPr>
        <w:ind w:firstLine="720"/>
        <w:jc w:val="both"/>
        <w:rPr>
          <w:rFonts w:ascii="Arial" w:hAnsi="Arial" w:cs="Arial"/>
          <w:sz w:val="22"/>
          <w:szCs w:val="22"/>
        </w:rPr>
      </w:pPr>
      <w:r w:rsidRPr="00DA411D">
        <w:rPr>
          <w:rFonts w:ascii="Arial" w:hAnsi="Arial" w:cs="Arial"/>
          <w:sz w:val="22"/>
          <w:szCs w:val="22"/>
        </w:rPr>
        <w:t>This research, therefore, seeks to bridge that prevailing gap in knowledge. Several chemical studies have indicated that there is variation in piperine content; however, few have employed a rapid, validated method in making direct assessment of independent and interactive effects of genotypes and developmental stage on piperine accumulation crucial for optimizing harvest timing for the piperine extraction industry and in breeding programmes developing suitable varieties.</w:t>
      </w:r>
    </w:p>
    <w:p w14:paraId="3655AECD" w14:textId="77777777" w:rsidR="00A03523" w:rsidRDefault="00A03523" w:rsidP="00A03523">
      <w:pPr>
        <w:ind w:firstLine="720"/>
        <w:jc w:val="both"/>
        <w:rPr>
          <w:rFonts w:ascii="Arial" w:hAnsi="Arial" w:cs="Arial"/>
          <w:sz w:val="22"/>
          <w:szCs w:val="22"/>
        </w:rPr>
      </w:pPr>
      <w:r w:rsidRPr="00DA411D">
        <w:rPr>
          <w:rFonts w:ascii="Arial" w:hAnsi="Arial" w:cs="Arial"/>
          <w:sz w:val="22"/>
          <w:szCs w:val="22"/>
        </w:rPr>
        <w:t xml:space="preserve">The main objectives of this study are threefold: (i) to validate a rapid, specific, and cost-effective UV spectrophotometric method for the quantification of piperine in </w:t>
      </w:r>
      <w:r w:rsidRPr="00DA411D">
        <w:rPr>
          <w:rFonts w:ascii="Arial" w:hAnsi="Arial" w:cs="Arial"/>
          <w:i/>
          <w:iCs/>
          <w:sz w:val="22"/>
          <w:szCs w:val="22"/>
        </w:rPr>
        <w:t>P. nigrum</w:t>
      </w:r>
      <w:r w:rsidRPr="00DA411D">
        <w:rPr>
          <w:rFonts w:ascii="Arial" w:hAnsi="Arial" w:cs="Arial"/>
          <w:sz w:val="22"/>
          <w:szCs w:val="22"/>
        </w:rPr>
        <w:t>, (ii) to systematically apply the validated method for assessing the genotypic effect on piperine content in the prominent hybrid Panniyur1 (P1) and variety Panniyur2 (P2), in comparison with that of the cultivar Uthirankotta, also one of the parents of the hybrid P1, and (iii) to examine the developmental stage that can influence the accumulation dynamics of piperine for the selected high-performing genotypes, with the goal of pinpointing the optimal harvest time to achieve maximum alkaloid yield. This approach will help to overcome important knowledge gaps by providing a robust analytical tool and actionable insights that enable the optimization of both the choice of cultivars and agricultural practices in black pepper cultivation.</w:t>
      </w:r>
    </w:p>
    <w:p w14:paraId="6DA204E6" w14:textId="77777777" w:rsidR="00957D5E" w:rsidRDefault="00957D5E" w:rsidP="00A03523">
      <w:pPr>
        <w:ind w:firstLine="720"/>
        <w:jc w:val="both"/>
        <w:rPr>
          <w:rFonts w:ascii="Arial" w:hAnsi="Arial" w:cs="Arial"/>
          <w:sz w:val="22"/>
          <w:szCs w:val="22"/>
        </w:rPr>
      </w:pPr>
    </w:p>
    <w:p w14:paraId="5C78B922" w14:textId="77777777" w:rsidR="00A03523" w:rsidRPr="00DA411D" w:rsidRDefault="00A03523" w:rsidP="00A03523">
      <w:pPr>
        <w:pStyle w:val="AbstHead"/>
        <w:spacing w:after="0"/>
        <w:jc w:val="both"/>
        <w:rPr>
          <w:rFonts w:ascii="Arial" w:hAnsi="Arial" w:cs="Arial"/>
          <w:szCs w:val="22"/>
        </w:rPr>
      </w:pPr>
      <w:r w:rsidRPr="00DA411D">
        <w:rPr>
          <w:rFonts w:ascii="Arial" w:hAnsi="Arial" w:cs="Arial"/>
          <w:szCs w:val="22"/>
        </w:rPr>
        <w:t xml:space="preserve">2. material and methods </w:t>
      </w:r>
    </w:p>
    <w:p w14:paraId="1E633F52" w14:textId="77777777" w:rsidR="00A03523" w:rsidRPr="00DA411D" w:rsidRDefault="00A03523" w:rsidP="00A03523">
      <w:pPr>
        <w:ind w:firstLine="720"/>
        <w:jc w:val="both"/>
        <w:rPr>
          <w:rFonts w:ascii="Arial" w:hAnsi="Arial" w:cs="Arial"/>
          <w:sz w:val="22"/>
          <w:szCs w:val="22"/>
        </w:rPr>
      </w:pPr>
      <w:r w:rsidRPr="00DA411D">
        <w:rPr>
          <w:rFonts w:ascii="Arial" w:hAnsi="Arial" w:cs="Arial"/>
          <w:sz w:val="22"/>
          <w:szCs w:val="22"/>
        </w:rPr>
        <w:t>The materials used for this study were three diverse genotypes of black pepper (</w:t>
      </w:r>
      <w:r w:rsidRPr="00DA411D">
        <w:rPr>
          <w:rFonts w:ascii="Arial" w:hAnsi="Arial" w:cs="Arial"/>
          <w:i/>
          <w:iCs/>
          <w:sz w:val="22"/>
          <w:szCs w:val="22"/>
        </w:rPr>
        <w:t>Piper nigrum</w:t>
      </w:r>
      <w:r w:rsidRPr="00DA411D">
        <w:rPr>
          <w:rFonts w:ascii="Arial" w:hAnsi="Arial" w:cs="Arial"/>
          <w:sz w:val="22"/>
          <w:szCs w:val="22"/>
        </w:rPr>
        <w:t xml:space="preserve"> L.): Panniyur 1, Panniyur 2, and Uthirankotta (IISR Accession No. 1245). Panniyur 1 and Panniyur 2 were collected from the Pepper Research Station under Kerala Agricultural University located at Panniyur, Kannur, India. Uthirankotta was procured from Indian Institute of Spices Research, Appangala Research Station, Madikeri, Karnataka. These genotypes are selected based on historical chemotype data to represent the broadest range of known natural variability in piperine content. For the comparative experimental trial, samples were grouped by genotype (Panniyur 1 and Panniyur 2 as high-piperine; Uthirankotta as low-piperine) and harvested at two distinct physiological time points. The first time point, immature green stage (approximately one month after pollination), was characterized by just-formed berries that had not undergone any color break (light yellow green), representing an early developmental phase. On the other hand, the second time point, mature stage (approximately 6 months after pollination), is characterized by fully grown bold berries with dark green coloration, thus indicating peak alkaloid accumulation. All the samples were randomly collected from multiple healthy vines to ensure representation of the natural variation in the field and to minimize any possible sampling bias before the processing began.</w:t>
      </w:r>
    </w:p>
    <w:p w14:paraId="6080F64B" w14:textId="77777777" w:rsidR="00A03523" w:rsidRDefault="00A03523" w:rsidP="00A03523">
      <w:pPr>
        <w:ind w:firstLine="720"/>
        <w:jc w:val="both"/>
        <w:rPr>
          <w:rFonts w:ascii="Arial" w:hAnsi="Arial" w:cs="Arial"/>
          <w:sz w:val="22"/>
          <w:szCs w:val="22"/>
        </w:rPr>
      </w:pPr>
      <w:r w:rsidRPr="00DA411D">
        <w:rPr>
          <w:rFonts w:ascii="Arial" w:hAnsi="Arial" w:cs="Arial"/>
          <w:sz w:val="22"/>
          <w:szCs w:val="22"/>
        </w:rPr>
        <w:lastRenderedPageBreak/>
        <w:t>All chemical standards and solvents used were of analytical grade. A high-purity piperine standard was obtained from Sigma-Aldrich. The primary solvent used was methanol because it is efficient for the extraction of piperine and appropriate for analysis. Major equipment included a UV spectrophotometer, 342-345 nm absorbance capability, 1 cm square silica cuvettes, and micropipettes. Other materials that were required included Whatman No. 2 filter paper, a microcentrifuge, and standard volumetric flasks.</w:t>
      </w:r>
    </w:p>
    <w:p w14:paraId="428B343B" w14:textId="77777777" w:rsidR="00957D5E" w:rsidRPr="00DA411D" w:rsidRDefault="00957D5E" w:rsidP="00A03523">
      <w:pPr>
        <w:ind w:firstLine="720"/>
        <w:jc w:val="both"/>
        <w:rPr>
          <w:rFonts w:ascii="Arial" w:hAnsi="Arial" w:cs="Arial"/>
          <w:sz w:val="22"/>
          <w:szCs w:val="22"/>
        </w:rPr>
      </w:pPr>
    </w:p>
    <w:p w14:paraId="4E757C5A" w14:textId="77777777" w:rsidR="00A03523" w:rsidRPr="00DA411D" w:rsidRDefault="00A03523" w:rsidP="00A03523">
      <w:pPr>
        <w:jc w:val="both"/>
        <w:rPr>
          <w:rFonts w:ascii="Arial" w:hAnsi="Arial" w:cs="Arial"/>
          <w:b/>
          <w:bCs/>
          <w:sz w:val="22"/>
          <w:szCs w:val="22"/>
        </w:rPr>
      </w:pPr>
      <w:bookmarkStart w:id="3" w:name="OLE_LINK1"/>
      <w:r w:rsidRPr="00DA411D">
        <w:rPr>
          <w:rFonts w:ascii="Arial" w:hAnsi="Arial" w:cs="Arial"/>
          <w:b/>
          <w:bCs/>
          <w:sz w:val="22"/>
          <w:szCs w:val="22"/>
        </w:rPr>
        <w:t>Preparation of piperine standard curve</w:t>
      </w:r>
    </w:p>
    <w:bookmarkEnd w:id="3"/>
    <w:p w14:paraId="0C30721F" w14:textId="6149B3FD" w:rsidR="00A03523" w:rsidRPr="00DA411D" w:rsidRDefault="00A03523" w:rsidP="00A03523">
      <w:pPr>
        <w:ind w:firstLine="720"/>
        <w:jc w:val="both"/>
        <w:rPr>
          <w:rFonts w:ascii="Arial" w:hAnsi="Arial" w:cs="Arial"/>
          <w:sz w:val="22"/>
          <w:szCs w:val="22"/>
        </w:rPr>
      </w:pPr>
      <w:r w:rsidRPr="00DA411D">
        <w:rPr>
          <w:rFonts w:ascii="Arial" w:hAnsi="Arial" w:cs="Arial"/>
          <w:sz w:val="22"/>
          <w:szCs w:val="22"/>
        </w:rPr>
        <w:t xml:space="preserve">A piperine stock solution was prepared by dissolving 0.01g of piperine standard in methanol and making the volume up to 100mL in a volumetric flask. A series of five working standard solutions were then prepared by dilution, resulting in a range of concentrations from 5μg/mL to 25μg/ml. Absorbance measurements were made using a UV spectrophotometer, which was blanked with pure methanol. The maximum absorption wavelength (λmax) was recorded at 340nm. A final calibration equation (y = </w:t>
      </w:r>
      <w:proofErr w:type="spellStart"/>
      <w:r w:rsidRPr="00DA411D">
        <w:rPr>
          <w:rFonts w:ascii="Arial" w:hAnsi="Arial" w:cs="Arial"/>
          <w:sz w:val="22"/>
          <w:szCs w:val="22"/>
        </w:rPr>
        <w:t>mX</w:t>
      </w:r>
      <w:proofErr w:type="spellEnd"/>
      <w:r w:rsidRPr="00DA411D">
        <w:rPr>
          <w:rFonts w:ascii="Arial" w:hAnsi="Arial" w:cs="Arial"/>
          <w:sz w:val="22"/>
          <w:szCs w:val="22"/>
        </w:rPr>
        <w:t xml:space="preserve"> + c) was derived from the linear regression of absorbance (y) versus concentration (X) data (Fig 1).</w:t>
      </w:r>
    </w:p>
    <w:p w14:paraId="3996D88B" w14:textId="52729A15" w:rsidR="00A03523" w:rsidRPr="00DA411D" w:rsidRDefault="004933E7" w:rsidP="00A03523">
      <w:pPr>
        <w:jc w:val="both"/>
        <w:rPr>
          <w:rFonts w:ascii="Arial" w:hAnsi="Arial" w:cs="Arial"/>
          <w:sz w:val="22"/>
          <w:szCs w:val="22"/>
        </w:rPr>
      </w:pPr>
      <w:r w:rsidRPr="00DA411D">
        <w:rPr>
          <w:rFonts w:ascii="Arial" w:hAnsi="Arial" w:cs="Arial"/>
          <w:noProof/>
          <w:sz w:val="22"/>
          <w:szCs w:val="22"/>
          <w:lang w:eastAsia="en-IN"/>
        </w:rPr>
        <w:drawing>
          <wp:anchor distT="0" distB="0" distL="114300" distR="114300" simplePos="0" relativeHeight="251672064" behindDoc="1" locked="0" layoutInCell="1" allowOverlap="1" wp14:anchorId="53CFD63B" wp14:editId="68249670">
            <wp:simplePos x="0" y="0"/>
            <wp:positionH relativeFrom="column">
              <wp:posOffset>921385</wp:posOffset>
            </wp:positionH>
            <wp:positionV relativeFrom="paragraph">
              <wp:posOffset>116244</wp:posOffset>
            </wp:positionV>
            <wp:extent cx="3900196" cy="2491274"/>
            <wp:effectExtent l="0" t="0" r="5080" b="4445"/>
            <wp:wrapNone/>
            <wp:docPr id="1802090925" name="Chart 1">
              <a:extLst xmlns:a="http://schemas.openxmlformats.org/drawingml/2006/main">
                <a:ext uri="{FF2B5EF4-FFF2-40B4-BE49-F238E27FC236}">
                  <a16:creationId xmlns:a16="http://schemas.microsoft.com/office/drawing/2014/main" id="{DB5E6EC5-A461-B30D-10F4-7A7639C43A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6AFE18B2" w14:textId="4DE7D8BD" w:rsidR="00A03523" w:rsidRPr="00DA411D" w:rsidRDefault="00A03523" w:rsidP="00A03523">
      <w:pPr>
        <w:jc w:val="both"/>
        <w:rPr>
          <w:rFonts w:ascii="Arial" w:hAnsi="Arial" w:cs="Arial"/>
          <w:sz w:val="22"/>
          <w:szCs w:val="22"/>
        </w:rPr>
      </w:pPr>
    </w:p>
    <w:p w14:paraId="31065A74" w14:textId="7E71AFBB" w:rsidR="00A03523" w:rsidRPr="00DA411D" w:rsidRDefault="00A03523" w:rsidP="00A03523">
      <w:pPr>
        <w:jc w:val="both"/>
        <w:rPr>
          <w:rFonts w:ascii="Arial" w:hAnsi="Arial" w:cs="Arial"/>
          <w:sz w:val="22"/>
          <w:szCs w:val="22"/>
        </w:rPr>
      </w:pPr>
    </w:p>
    <w:p w14:paraId="5BC8DC4C" w14:textId="36DDA69A" w:rsidR="00A03523" w:rsidRDefault="00A03523" w:rsidP="00A03523">
      <w:pPr>
        <w:jc w:val="both"/>
        <w:rPr>
          <w:rFonts w:ascii="Arial" w:hAnsi="Arial" w:cs="Arial"/>
          <w:sz w:val="22"/>
          <w:szCs w:val="22"/>
        </w:rPr>
      </w:pPr>
    </w:p>
    <w:p w14:paraId="147EEAFE" w14:textId="77777777" w:rsidR="00A03523" w:rsidRPr="00DA411D" w:rsidRDefault="00A03523" w:rsidP="00A03523">
      <w:pPr>
        <w:jc w:val="both"/>
        <w:rPr>
          <w:rFonts w:ascii="Arial" w:hAnsi="Arial" w:cs="Arial"/>
          <w:sz w:val="22"/>
          <w:szCs w:val="22"/>
        </w:rPr>
      </w:pPr>
    </w:p>
    <w:p w14:paraId="43B82660" w14:textId="43D74035" w:rsidR="00A03523" w:rsidRPr="00DA411D" w:rsidRDefault="00A03523" w:rsidP="00A03523">
      <w:pPr>
        <w:jc w:val="both"/>
        <w:rPr>
          <w:rFonts w:ascii="Arial" w:hAnsi="Arial" w:cs="Arial"/>
          <w:sz w:val="22"/>
          <w:szCs w:val="22"/>
        </w:rPr>
      </w:pPr>
    </w:p>
    <w:p w14:paraId="0AA517C1" w14:textId="421DCD2D" w:rsidR="00A03523" w:rsidRPr="00DA411D" w:rsidRDefault="00A03523" w:rsidP="00A03523">
      <w:pPr>
        <w:jc w:val="both"/>
        <w:rPr>
          <w:rFonts w:ascii="Arial" w:hAnsi="Arial" w:cs="Arial"/>
          <w:sz w:val="22"/>
          <w:szCs w:val="22"/>
        </w:rPr>
      </w:pPr>
    </w:p>
    <w:p w14:paraId="7A8D09A5" w14:textId="77777777" w:rsidR="00A03523" w:rsidRPr="00DA411D" w:rsidRDefault="00A03523" w:rsidP="00A03523">
      <w:pPr>
        <w:jc w:val="both"/>
        <w:rPr>
          <w:rFonts w:ascii="Arial" w:hAnsi="Arial" w:cs="Arial"/>
          <w:sz w:val="22"/>
          <w:szCs w:val="22"/>
        </w:rPr>
      </w:pPr>
    </w:p>
    <w:p w14:paraId="0FB80A89" w14:textId="77777777" w:rsidR="00A03523" w:rsidRPr="00DA411D" w:rsidRDefault="00A03523" w:rsidP="00A03523">
      <w:pPr>
        <w:ind w:left="1440"/>
        <w:jc w:val="both"/>
        <w:rPr>
          <w:rFonts w:ascii="Arial" w:hAnsi="Arial" w:cs="Arial"/>
          <w:sz w:val="22"/>
          <w:szCs w:val="22"/>
        </w:rPr>
      </w:pPr>
      <w:r w:rsidRPr="00DA411D">
        <w:rPr>
          <w:rFonts w:ascii="Arial" w:hAnsi="Arial" w:cs="Arial"/>
          <w:sz w:val="22"/>
          <w:szCs w:val="22"/>
        </w:rPr>
        <w:t xml:space="preserve">          </w:t>
      </w:r>
    </w:p>
    <w:p w14:paraId="2278EC88" w14:textId="77777777" w:rsidR="00A03523" w:rsidRPr="00DA411D" w:rsidRDefault="00A03523" w:rsidP="00A03523">
      <w:pPr>
        <w:ind w:left="2160"/>
        <w:jc w:val="both"/>
        <w:rPr>
          <w:rFonts w:ascii="Arial" w:hAnsi="Arial" w:cs="Arial"/>
          <w:sz w:val="22"/>
          <w:szCs w:val="22"/>
        </w:rPr>
      </w:pPr>
      <w:r w:rsidRPr="00DA411D">
        <w:rPr>
          <w:rFonts w:ascii="Arial" w:hAnsi="Arial" w:cs="Arial"/>
          <w:sz w:val="22"/>
          <w:szCs w:val="22"/>
        </w:rPr>
        <w:t xml:space="preserve"> </w:t>
      </w:r>
    </w:p>
    <w:p w14:paraId="271D8FDF" w14:textId="77777777" w:rsidR="00A03523" w:rsidRDefault="00A03523" w:rsidP="00A03523">
      <w:pPr>
        <w:jc w:val="both"/>
        <w:rPr>
          <w:rFonts w:ascii="Arial" w:hAnsi="Arial" w:cs="Arial"/>
          <w:sz w:val="22"/>
          <w:szCs w:val="22"/>
        </w:rPr>
      </w:pPr>
    </w:p>
    <w:p w14:paraId="75696A61" w14:textId="77777777" w:rsidR="00A03523" w:rsidRDefault="00A03523" w:rsidP="00A03523">
      <w:pPr>
        <w:jc w:val="both"/>
        <w:rPr>
          <w:rFonts w:ascii="Arial" w:hAnsi="Arial" w:cs="Arial"/>
          <w:sz w:val="22"/>
          <w:szCs w:val="22"/>
        </w:rPr>
      </w:pPr>
    </w:p>
    <w:p w14:paraId="3EEAE6E9" w14:textId="77777777" w:rsidR="00A03523" w:rsidRDefault="00A03523" w:rsidP="00A03523">
      <w:pPr>
        <w:jc w:val="both"/>
        <w:rPr>
          <w:rFonts w:ascii="Arial" w:hAnsi="Arial" w:cs="Arial"/>
          <w:sz w:val="22"/>
          <w:szCs w:val="22"/>
        </w:rPr>
      </w:pPr>
      <w:r>
        <w:rPr>
          <w:rFonts w:ascii="Arial" w:hAnsi="Arial" w:cs="Arial"/>
          <w:sz w:val="22"/>
          <w:szCs w:val="22"/>
        </w:rPr>
        <w:t xml:space="preserve">                                      </w:t>
      </w:r>
    </w:p>
    <w:p w14:paraId="51E44D6B" w14:textId="77777777" w:rsidR="00A03523" w:rsidRDefault="00A03523" w:rsidP="00A03523">
      <w:pPr>
        <w:jc w:val="both"/>
        <w:rPr>
          <w:rFonts w:ascii="Arial" w:hAnsi="Arial" w:cs="Arial"/>
          <w:sz w:val="22"/>
          <w:szCs w:val="22"/>
        </w:rPr>
      </w:pPr>
    </w:p>
    <w:p w14:paraId="74B1EDA0" w14:textId="77777777" w:rsidR="00A03523" w:rsidRDefault="00A03523" w:rsidP="00A03523">
      <w:pPr>
        <w:jc w:val="both"/>
        <w:rPr>
          <w:rFonts w:ascii="Arial" w:hAnsi="Arial" w:cs="Arial"/>
          <w:sz w:val="22"/>
          <w:szCs w:val="22"/>
        </w:rPr>
      </w:pPr>
    </w:p>
    <w:p w14:paraId="765BAF12" w14:textId="77777777" w:rsidR="00A03523" w:rsidRDefault="00A03523" w:rsidP="00A03523">
      <w:pPr>
        <w:ind w:left="1440" w:firstLine="720"/>
        <w:jc w:val="both"/>
        <w:rPr>
          <w:rFonts w:ascii="Arial" w:hAnsi="Arial" w:cs="Arial"/>
          <w:sz w:val="22"/>
          <w:szCs w:val="22"/>
        </w:rPr>
      </w:pPr>
      <w:r>
        <w:rPr>
          <w:rFonts w:ascii="Arial" w:hAnsi="Arial" w:cs="Arial"/>
          <w:sz w:val="22"/>
          <w:szCs w:val="22"/>
        </w:rPr>
        <w:t xml:space="preserve">  </w:t>
      </w:r>
    </w:p>
    <w:p w14:paraId="453F40B7" w14:textId="77777777" w:rsidR="00A03523" w:rsidRDefault="00A03523" w:rsidP="00A03523">
      <w:pPr>
        <w:ind w:left="1440" w:firstLine="720"/>
        <w:jc w:val="both"/>
        <w:rPr>
          <w:rFonts w:ascii="Arial" w:hAnsi="Arial" w:cs="Arial"/>
          <w:sz w:val="22"/>
          <w:szCs w:val="22"/>
        </w:rPr>
      </w:pPr>
    </w:p>
    <w:p w14:paraId="55BE29B2" w14:textId="1C9E4FE2" w:rsidR="00A03523" w:rsidRPr="00A03523" w:rsidRDefault="004933E7" w:rsidP="00A03523">
      <w:pPr>
        <w:ind w:left="1440" w:firstLine="720"/>
        <w:jc w:val="both"/>
        <w:rPr>
          <w:rFonts w:ascii="Arial" w:hAnsi="Arial" w:cs="Arial"/>
          <w:sz w:val="22"/>
          <w:szCs w:val="22"/>
        </w:rPr>
      </w:pPr>
      <w:r>
        <w:rPr>
          <w:rFonts w:ascii="Arial" w:hAnsi="Arial" w:cs="Arial"/>
          <w:sz w:val="22"/>
          <w:szCs w:val="22"/>
        </w:rPr>
        <w:t xml:space="preserve">  </w:t>
      </w:r>
      <w:r w:rsidR="00A03523" w:rsidRPr="00DA411D">
        <w:rPr>
          <w:rFonts w:ascii="Arial" w:hAnsi="Arial" w:cs="Arial"/>
          <w:sz w:val="22"/>
          <w:szCs w:val="22"/>
        </w:rPr>
        <w:t>Fig 1. Standard curve of piperine at 342 nm</w:t>
      </w:r>
    </w:p>
    <w:p w14:paraId="6D3DF499" w14:textId="77777777" w:rsidR="00A03523" w:rsidRDefault="00A03523" w:rsidP="00A03523">
      <w:pPr>
        <w:jc w:val="both"/>
        <w:rPr>
          <w:rFonts w:ascii="Arial" w:hAnsi="Arial" w:cs="Arial"/>
          <w:b/>
          <w:bCs/>
          <w:sz w:val="22"/>
          <w:szCs w:val="22"/>
        </w:rPr>
      </w:pPr>
    </w:p>
    <w:p w14:paraId="0A3F938B" w14:textId="77777777" w:rsidR="00957D5E" w:rsidRDefault="00957D5E" w:rsidP="00A03523">
      <w:pPr>
        <w:jc w:val="both"/>
        <w:rPr>
          <w:rFonts w:ascii="Arial" w:hAnsi="Arial" w:cs="Arial"/>
          <w:b/>
          <w:bCs/>
          <w:sz w:val="22"/>
          <w:szCs w:val="22"/>
        </w:rPr>
      </w:pPr>
    </w:p>
    <w:p w14:paraId="0CA92FCE" w14:textId="24E898ED" w:rsidR="00A03523" w:rsidRPr="00DA411D" w:rsidRDefault="00A03523" w:rsidP="00A03523">
      <w:pPr>
        <w:jc w:val="both"/>
        <w:rPr>
          <w:rFonts w:ascii="Arial" w:hAnsi="Arial" w:cs="Arial"/>
          <w:b/>
          <w:bCs/>
          <w:sz w:val="22"/>
          <w:szCs w:val="22"/>
        </w:rPr>
      </w:pPr>
      <w:r w:rsidRPr="00DA411D">
        <w:rPr>
          <w:rFonts w:ascii="Arial" w:hAnsi="Arial" w:cs="Arial"/>
          <w:b/>
          <w:bCs/>
          <w:sz w:val="22"/>
          <w:szCs w:val="22"/>
        </w:rPr>
        <w:t>Piperine extraction and quantification by UV Spectrophotometry</w:t>
      </w:r>
    </w:p>
    <w:p w14:paraId="519BB56C" w14:textId="6D07F232" w:rsidR="00A03523" w:rsidRPr="00DA411D" w:rsidRDefault="00A03523" w:rsidP="00A03523">
      <w:pPr>
        <w:ind w:firstLine="720"/>
        <w:jc w:val="both"/>
        <w:rPr>
          <w:rFonts w:ascii="Arial" w:hAnsi="Arial" w:cs="Arial"/>
          <w:sz w:val="22"/>
          <w:szCs w:val="22"/>
        </w:rPr>
      </w:pPr>
      <w:r w:rsidRPr="00DA411D">
        <w:rPr>
          <w:rFonts w:ascii="Arial" w:hAnsi="Arial" w:cs="Arial"/>
          <w:sz w:val="22"/>
          <w:szCs w:val="22"/>
        </w:rPr>
        <w:t xml:space="preserve">Piperine was extracted from the berries of the black pepper according to the procedure of </w:t>
      </w:r>
      <w:r w:rsidR="004933E7">
        <w:rPr>
          <w:rFonts w:ascii="Arial" w:hAnsi="Arial" w:cs="Arial"/>
          <w:sz w:val="22"/>
          <w:szCs w:val="22"/>
        </w:rPr>
        <w:t>[25]</w:t>
      </w:r>
      <w:r w:rsidRPr="00DA411D">
        <w:rPr>
          <w:rFonts w:ascii="Arial" w:hAnsi="Arial" w:cs="Arial"/>
          <w:sz w:val="22"/>
          <w:szCs w:val="22"/>
        </w:rPr>
        <w:t xml:space="preserve">, with some modifications. A sample of berries (1g) was homogenized in a mortar and pestle with 5 mL of methanol. The crude extract was incubated in a water bath at 65˚ C for 1 </w:t>
      </w:r>
      <w:proofErr w:type="spellStart"/>
      <w:r w:rsidRPr="00DA411D">
        <w:rPr>
          <w:rFonts w:ascii="Arial" w:hAnsi="Arial" w:cs="Arial"/>
          <w:sz w:val="22"/>
          <w:szCs w:val="22"/>
        </w:rPr>
        <w:t>hr</w:t>
      </w:r>
      <w:proofErr w:type="spellEnd"/>
      <w:r w:rsidRPr="00DA411D">
        <w:rPr>
          <w:rFonts w:ascii="Arial" w:hAnsi="Arial" w:cs="Arial"/>
          <w:sz w:val="22"/>
          <w:szCs w:val="22"/>
        </w:rPr>
        <w:t>, followed by centrifugation at 5000 rpm for 10 minutes.</w:t>
      </w:r>
    </w:p>
    <w:p w14:paraId="5D8BCF6E" w14:textId="77777777" w:rsidR="00A03523" w:rsidRPr="00DA411D" w:rsidRDefault="00A03523" w:rsidP="00A03523">
      <w:pPr>
        <w:ind w:firstLine="720"/>
        <w:jc w:val="both"/>
        <w:rPr>
          <w:rFonts w:ascii="Arial" w:hAnsi="Arial" w:cs="Arial"/>
          <w:sz w:val="22"/>
          <w:szCs w:val="22"/>
        </w:rPr>
      </w:pPr>
      <w:r w:rsidRPr="00DA411D">
        <w:rPr>
          <w:rFonts w:ascii="Arial" w:hAnsi="Arial" w:cs="Arial"/>
          <w:sz w:val="22"/>
          <w:szCs w:val="22"/>
        </w:rPr>
        <w:t xml:space="preserve">The supernatant was filtered (Whatman No. 2), and a further dilution was made with the filtered extract and methanol to ensure that the concentration falls within the linear range of the standard curve. Then, the absorbance of the solution was determined spectrophotometrically at 342nm. Piperine concentration X in μg/mL was calculated from the linear regression equation of the standard curve. The final </w:t>
      </w:r>
      <w:r w:rsidRPr="00DA411D">
        <w:rPr>
          <w:rFonts w:ascii="Arial" w:hAnsi="Arial" w:cs="Arial"/>
          <w:sz w:val="22"/>
          <w:szCs w:val="22"/>
        </w:rPr>
        <w:lastRenderedPageBreak/>
        <w:t>concentration was adjusted for the dilution factor and reported as percent piperine content (w/w on a fresh weight basis).</w:t>
      </w:r>
    </w:p>
    <w:p w14:paraId="57A1935D" w14:textId="77777777" w:rsidR="00A03523" w:rsidRPr="00DA411D" w:rsidRDefault="00A03523" w:rsidP="00A03523">
      <w:pPr>
        <w:jc w:val="both"/>
        <w:rPr>
          <w:rFonts w:ascii="Arial" w:hAnsi="Arial" w:cs="Arial"/>
          <w:sz w:val="22"/>
          <w:szCs w:val="22"/>
        </w:rPr>
      </w:pPr>
      <w:r w:rsidRPr="00DA411D">
        <w:rPr>
          <w:rFonts w:ascii="Arial" w:hAnsi="Arial" w:cs="Arial"/>
          <w:sz w:val="22"/>
          <w:szCs w:val="22"/>
        </w:rPr>
        <w:t>Statistical Analysis</w:t>
      </w:r>
    </w:p>
    <w:p w14:paraId="6C9F3FE8" w14:textId="5F04232C" w:rsidR="00A03523" w:rsidRPr="00DA411D" w:rsidRDefault="00A03523" w:rsidP="00A03523">
      <w:pPr>
        <w:ind w:firstLine="720"/>
        <w:jc w:val="both"/>
        <w:rPr>
          <w:rFonts w:ascii="Arial" w:hAnsi="Arial" w:cs="Arial"/>
          <w:sz w:val="22"/>
          <w:szCs w:val="22"/>
        </w:rPr>
      </w:pPr>
      <w:r w:rsidRPr="00DA411D">
        <w:rPr>
          <w:rFonts w:ascii="Arial" w:hAnsi="Arial" w:cs="Arial"/>
          <w:sz w:val="22"/>
          <w:szCs w:val="22"/>
        </w:rPr>
        <w:t>The data were gathered as per the treatment structure in a completely randomized design (CRD). Statistical analysis, including analysis of variance (ANOVA), was done using the General R-based Analysis Platform Empowered by Statistics (GRAPES)</w:t>
      </w:r>
      <w:r w:rsidR="004933E7">
        <w:rPr>
          <w:rFonts w:ascii="Arial" w:hAnsi="Arial" w:cs="Arial"/>
          <w:sz w:val="22"/>
          <w:szCs w:val="22"/>
        </w:rPr>
        <w:t xml:space="preserve"> [26]</w:t>
      </w:r>
      <w:r w:rsidRPr="00DA411D">
        <w:rPr>
          <w:rFonts w:ascii="Arial" w:hAnsi="Arial" w:cs="Arial"/>
          <w:sz w:val="22"/>
          <w:szCs w:val="22"/>
        </w:rPr>
        <w:t xml:space="preserve"> software (version 1.1.0), developed by Kerala Agricultural University. The experimental layout resulted in 3 x 2= 6 treatment combinations replicated four times.  Statistical significance was accepted at p &lt; 0.05. The Critical Difference (CD value at P = 0.05) was calculated to compare the mean piperine content across the factors and treatment combinations).</w:t>
      </w:r>
    </w:p>
    <w:p w14:paraId="3463A16A" w14:textId="77777777" w:rsidR="00A03523" w:rsidRPr="00DA411D" w:rsidRDefault="00A03523" w:rsidP="00A03523">
      <w:pPr>
        <w:pStyle w:val="AbstHead"/>
        <w:spacing w:after="0"/>
        <w:jc w:val="both"/>
        <w:rPr>
          <w:rFonts w:ascii="Arial" w:hAnsi="Arial" w:cs="Arial"/>
          <w:szCs w:val="22"/>
        </w:rPr>
      </w:pPr>
    </w:p>
    <w:p w14:paraId="6D343C57" w14:textId="77777777" w:rsidR="00A03523" w:rsidRPr="00DA411D" w:rsidRDefault="00A03523" w:rsidP="00A03523">
      <w:pPr>
        <w:pStyle w:val="Body"/>
        <w:spacing w:after="0"/>
        <w:rPr>
          <w:rFonts w:ascii="Arial" w:hAnsi="Arial" w:cs="Arial"/>
          <w:sz w:val="22"/>
          <w:szCs w:val="22"/>
        </w:rPr>
      </w:pPr>
    </w:p>
    <w:p w14:paraId="07FBD7D6" w14:textId="77777777" w:rsidR="00A03523" w:rsidRPr="00DA411D" w:rsidRDefault="00A03523" w:rsidP="00A03523">
      <w:pPr>
        <w:pStyle w:val="Head1"/>
        <w:spacing w:after="0"/>
        <w:jc w:val="both"/>
        <w:rPr>
          <w:rFonts w:ascii="Arial" w:hAnsi="Arial" w:cs="Arial"/>
          <w:szCs w:val="22"/>
        </w:rPr>
      </w:pPr>
      <w:r w:rsidRPr="00DA411D">
        <w:rPr>
          <w:rFonts w:ascii="Arial" w:hAnsi="Arial" w:cs="Arial"/>
          <w:szCs w:val="22"/>
        </w:rPr>
        <w:t>3. results and discussion</w:t>
      </w:r>
    </w:p>
    <w:p w14:paraId="6393D487" w14:textId="77777777" w:rsidR="00A03523" w:rsidRPr="00DA411D" w:rsidRDefault="00A03523" w:rsidP="00A03523">
      <w:pPr>
        <w:pStyle w:val="Head1"/>
        <w:spacing w:after="0"/>
        <w:jc w:val="both"/>
        <w:rPr>
          <w:rFonts w:ascii="Arial" w:hAnsi="Arial" w:cs="Arial"/>
          <w:szCs w:val="22"/>
        </w:rPr>
      </w:pPr>
    </w:p>
    <w:p w14:paraId="394D2A31" w14:textId="77777777" w:rsidR="00A03523" w:rsidRPr="00DA411D" w:rsidRDefault="00A03523" w:rsidP="00A03523">
      <w:pPr>
        <w:ind w:firstLine="720"/>
        <w:jc w:val="both"/>
        <w:rPr>
          <w:rFonts w:ascii="Arial" w:hAnsi="Arial" w:cs="Arial"/>
          <w:sz w:val="22"/>
          <w:szCs w:val="22"/>
        </w:rPr>
      </w:pPr>
      <w:r w:rsidRPr="00DA411D">
        <w:rPr>
          <w:rFonts w:ascii="Arial" w:hAnsi="Arial" w:cs="Arial"/>
          <w:sz w:val="22"/>
          <w:szCs w:val="22"/>
        </w:rPr>
        <w:t xml:space="preserve">Piperine content (% w/w) was estimated in the three </w:t>
      </w:r>
      <w:r w:rsidRPr="00DA411D">
        <w:rPr>
          <w:rFonts w:ascii="Arial" w:hAnsi="Arial" w:cs="Arial"/>
          <w:i/>
          <w:iCs/>
          <w:sz w:val="22"/>
          <w:szCs w:val="22"/>
        </w:rPr>
        <w:t>P. nigrum</w:t>
      </w:r>
      <w:r w:rsidRPr="00DA411D">
        <w:rPr>
          <w:rFonts w:ascii="Arial" w:hAnsi="Arial" w:cs="Arial"/>
          <w:sz w:val="22"/>
          <w:szCs w:val="22"/>
        </w:rPr>
        <w:t xml:space="preserve"> genotypes, Panniyur 1, Panniyur 2, and Uthirankotta, at two critical developmental stages of green berries, namely immature and mature stages, following the UV spectrophotometric method in 4 replicates. ANOVA performed based on CRD showed that the differences among the genotypes in both developmental stages were statistically significant (p &lt; 0.05). The piperine content of genotypes, as averaged across the two developmental stages, is presented in Table 1 and Figure 2.</w:t>
      </w:r>
    </w:p>
    <w:p w14:paraId="605869E6" w14:textId="77777777" w:rsidR="00A03523" w:rsidRPr="00DA411D" w:rsidRDefault="00A03523" w:rsidP="00A03523">
      <w:pPr>
        <w:jc w:val="both"/>
        <w:rPr>
          <w:rFonts w:ascii="Arial" w:hAnsi="Arial" w:cs="Arial"/>
          <w:sz w:val="22"/>
          <w:szCs w:val="22"/>
        </w:rPr>
      </w:pPr>
      <w:r w:rsidRPr="00DA411D">
        <w:rPr>
          <w:rFonts w:ascii="Arial" w:hAnsi="Arial" w:cs="Arial"/>
          <w:sz w:val="22"/>
          <w:szCs w:val="22"/>
        </w:rPr>
        <w:t>Piperine content in immature berries</w:t>
      </w:r>
    </w:p>
    <w:p w14:paraId="3AE37D10" w14:textId="77777777" w:rsidR="00A03523" w:rsidRPr="00DA411D" w:rsidRDefault="00A03523" w:rsidP="00A03523">
      <w:pPr>
        <w:ind w:firstLine="720"/>
        <w:jc w:val="both"/>
        <w:rPr>
          <w:rFonts w:ascii="Arial" w:hAnsi="Arial" w:cs="Arial"/>
          <w:sz w:val="22"/>
          <w:szCs w:val="22"/>
        </w:rPr>
      </w:pPr>
      <w:r w:rsidRPr="00DA411D">
        <w:rPr>
          <w:rFonts w:ascii="Arial" w:hAnsi="Arial" w:cs="Arial"/>
          <w:sz w:val="22"/>
          <w:szCs w:val="22"/>
        </w:rPr>
        <w:t>The mean piperine content in immature black pepper berries ranged from 0.772% to 1.252% (Table 1). The highest accumulation, 1.252% ± 0.016, was exhibited by Panniyur 2, which was statistically superior (P = 0.05) to all other genotypes. This was followed by Panniyur 1, with 1.048% ± 0.016. The lowest piperine concentration was shown by the genotype Uthirankotta with a value of 0.772% ± 0.016. The CD value for the immature stage calculated at P = 0.05 was 0.063%.</w:t>
      </w:r>
    </w:p>
    <w:p w14:paraId="4441A6DA" w14:textId="77777777" w:rsidR="00A03523" w:rsidRPr="00DA411D" w:rsidRDefault="00A03523" w:rsidP="00A03523">
      <w:pPr>
        <w:jc w:val="both"/>
        <w:rPr>
          <w:rFonts w:ascii="Arial" w:hAnsi="Arial" w:cs="Arial"/>
          <w:sz w:val="22"/>
          <w:szCs w:val="22"/>
        </w:rPr>
      </w:pPr>
      <w:r w:rsidRPr="00DA411D">
        <w:rPr>
          <w:rFonts w:ascii="Arial" w:hAnsi="Arial" w:cs="Arial"/>
          <w:sz w:val="22"/>
          <w:szCs w:val="22"/>
        </w:rPr>
        <w:t>Piperine content in mature berries</w:t>
      </w:r>
    </w:p>
    <w:p w14:paraId="4E6FD1B2" w14:textId="77777777" w:rsidR="00A12887" w:rsidRDefault="00A03523" w:rsidP="00A03523">
      <w:pPr>
        <w:ind w:firstLine="720"/>
        <w:jc w:val="both"/>
        <w:rPr>
          <w:rFonts w:ascii="Arial" w:hAnsi="Arial" w:cs="Arial"/>
          <w:sz w:val="22"/>
          <w:szCs w:val="22"/>
        </w:rPr>
      </w:pPr>
      <w:r w:rsidRPr="00DA411D">
        <w:rPr>
          <w:rFonts w:ascii="Arial" w:hAnsi="Arial" w:cs="Arial"/>
          <w:sz w:val="22"/>
          <w:szCs w:val="22"/>
        </w:rPr>
        <w:t xml:space="preserve">At the mature stage, the mean piperine content ranged from 3.868% to 6.562% (Table 1). Panniyur 2 recorded the highest content, 6.562% ± 0.017, a value that was statistically superior to both Panniyur 1 and Uthirankotta, with contents of </w:t>
      </w:r>
    </w:p>
    <w:p w14:paraId="66E057D7" w14:textId="77777777" w:rsidR="00A12887" w:rsidRDefault="00A12887" w:rsidP="00A03523">
      <w:pPr>
        <w:ind w:firstLine="720"/>
        <w:jc w:val="both"/>
        <w:rPr>
          <w:rFonts w:ascii="Arial" w:hAnsi="Arial" w:cs="Arial"/>
          <w:sz w:val="22"/>
          <w:szCs w:val="22"/>
        </w:rPr>
      </w:pPr>
    </w:p>
    <w:p w14:paraId="123E3F3B" w14:textId="549D299E" w:rsidR="00A12887" w:rsidRDefault="00A12887" w:rsidP="00A03523">
      <w:pPr>
        <w:ind w:firstLine="720"/>
        <w:jc w:val="both"/>
        <w:rPr>
          <w:rFonts w:ascii="Arial" w:hAnsi="Arial" w:cs="Arial"/>
          <w:sz w:val="22"/>
          <w:szCs w:val="22"/>
        </w:rPr>
      </w:pPr>
      <w:r w:rsidRPr="00A12887">
        <w:rPr>
          <w:rFonts w:ascii="Arial" w:hAnsi="Arial" w:cs="Arial"/>
          <w:sz w:val="22"/>
          <w:szCs w:val="22"/>
        </w:rPr>
        <w:t>Note: Data are presented as means within a column followed by different letters (a, b, c) are significantly different at the P = 0.05 level according to the Critical Difference (CD).</w:t>
      </w:r>
    </w:p>
    <w:p w14:paraId="5FB343E0" w14:textId="48019F85" w:rsidR="00A12887" w:rsidRDefault="00A12887" w:rsidP="00A03523">
      <w:pPr>
        <w:ind w:firstLine="720"/>
        <w:jc w:val="both"/>
        <w:rPr>
          <w:rFonts w:ascii="Arial" w:hAnsi="Arial" w:cs="Arial"/>
          <w:sz w:val="22"/>
          <w:szCs w:val="22"/>
        </w:rPr>
      </w:pPr>
      <w:r w:rsidRPr="00A12887">
        <w:rPr>
          <w:rFonts w:ascii="Arial" w:hAnsi="Arial" w:cs="Arial"/>
          <w:sz w:val="22"/>
          <w:szCs w:val="22"/>
        </w:rPr>
        <w:t>Table 1. Mean piperine content (% w/w) of Piper nigrum genotypes across stages of development</w:t>
      </w:r>
    </w:p>
    <w:p w14:paraId="3ECE7953" w14:textId="77777777" w:rsidR="00A12887" w:rsidRDefault="00A12887" w:rsidP="00A03523">
      <w:pPr>
        <w:ind w:firstLine="720"/>
        <w:jc w:val="both"/>
        <w:rPr>
          <w:rFonts w:ascii="Arial" w:hAnsi="Arial" w:cs="Arial"/>
          <w:sz w:val="22"/>
          <w:szCs w:val="22"/>
        </w:rPr>
      </w:pPr>
    </w:p>
    <w:p w14:paraId="71A4C417" w14:textId="77777777" w:rsidR="00A12887" w:rsidRDefault="00A12887" w:rsidP="00A03523">
      <w:pPr>
        <w:ind w:firstLine="720"/>
        <w:jc w:val="both"/>
        <w:rPr>
          <w:rFonts w:ascii="Arial" w:hAnsi="Arial" w:cs="Arial"/>
          <w:sz w:val="22"/>
          <w:szCs w:val="22"/>
        </w:rPr>
      </w:pPr>
    </w:p>
    <w:p w14:paraId="746EE980" w14:textId="77777777" w:rsidR="00A12887" w:rsidRDefault="00A12887" w:rsidP="00A03523">
      <w:pPr>
        <w:ind w:firstLine="720"/>
        <w:jc w:val="both"/>
        <w:rPr>
          <w:rFonts w:ascii="Arial" w:hAnsi="Arial" w:cs="Arial"/>
          <w:sz w:val="22"/>
          <w:szCs w:val="22"/>
        </w:rPr>
      </w:pPr>
    </w:p>
    <w:p w14:paraId="3941DA97" w14:textId="77777777" w:rsidR="00A12887" w:rsidRDefault="00A12887" w:rsidP="00A03523">
      <w:pPr>
        <w:ind w:firstLine="720"/>
        <w:jc w:val="both"/>
        <w:rPr>
          <w:rFonts w:ascii="Arial" w:hAnsi="Arial" w:cs="Arial"/>
          <w:sz w:val="22"/>
          <w:szCs w:val="22"/>
        </w:rPr>
      </w:pPr>
    </w:p>
    <w:p w14:paraId="47282E97" w14:textId="77777777" w:rsidR="00A12887" w:rsidRDefault="00A12887" w:rsidP="00A03523">
      <w:pPr>
        <w:ind w:firstLine="720"/>
        <w:jc w:val="both"/>
        <w:rPr>
          <w:rFonts w:ascii="Arial" w:hAnsi="Arial" w:cs="Arial"/>
          <w:sz w:val="22"/>
          <w:szCs w:val="22"/>
        </w:rPr>
      </w:pPr>
    </w:p>
    <w:p w14:paraId="40238AEC" w14:textId="77777777" w:rsidR="00A12887" w:rsidRDefault="00A12887" w:rsidP="00A03523">
      <w:pPr>
        <w:ind w:firstLine="720"/>
        <w:jc w:val="both"/>
        <w:rPr>
          <w:rFonts w:ascii="Arial" w:hAnsi="Arial" w:cs="Arial"/>
          <w:sz w:val="22"/>
          <w:szCs w:val="22"/>
        </w:rPr>
      </w:pPr>
    </w:p>
    <w:p w14:paraId="1F649668" w14:textId="77777777" w:rsidR="00A12887" w:rsidRDefault="00A12887" w:rsidP="00A03523">
      <w:pPr>
        <w:ind w:firstLine="720"/>
        <w:jc w:val="both"/>
        <w:rPr>
          <w:rFonts w:ascii="Arial" w:hAnsi="Arial" w:cs="Arial"/>
          <w:sz w:val="22"/>
          <w:szCs w:val="22"/>
        </w:rPr>
      </w:pPr>
    </w:p>
    <w:p w14:paraId="7BB606B8" w14:textId="77777777" w:rsidR="00A12887" w:rsidRDefault="00A12887" w:rsidP="00A03523">
      <w:pPr>
        <w:ind w:firstLine="720"/>
        <w:jc w:val="both"/>
        <w:rPr>
          <w:rFonts w:ascii="Arial" w:hAnsi="Arial" w:cs="Arial"/>
          <w:sz w:val="22"/>
          <w:szCs w:val="22"/>
        </w:rPr>
      </w:pPr>
    </w:p>
    <w:p w14:paraId="5F10F019" w14:textId="77777777" w:rsidR="00A12887" w:rsidRDefault="00A12887" w:rsidP="00A03523">
      <w:pPr>
        <w:ind w:firstLine="720"/>
        <w:jc w:val="both"/>
        <w:rPr>
          <w:rFonts w:ascii="Arial" w:hAnsi="Arial" w:cs="Arial"/>
          <w:sz w:val="22"/>
          <w:szCs w:val="22"/>
        </w:rPr>
      </w:pPr>
    </w:p>
    <w:p w14:paraId="22275DE5" w14:textId="77777777" w:rsidR="00A12887" w:rsidRDefault="00A12887" w:rsidP="00A03523">
      <w:pPr>
        <w:ind w:firstLine="720"/>
        <w:jc w:val="both"/>
        <w:rPr>
          <w:rFonts w:ascii="Arial" w:hAnsi="Arial" w:cs="Arial"/>
          <w:sz w:val="22"/>
          <w:szCs w:val="22"/>
        </w:rPr>
      </w:pPr>
    </w:p>
    <w:p w14:paraId="779DEB4B" w14:textId="74E7E310" w:rsidR="00A12887" w:rsidRDefault="00A12887" w:rsidP="00A03523">
      <w:pPr>
        <w:ind w:firstLine="720"/>
        <w:jc w:val="both"/>
        <w:rPr>
          <w:rFonts w:ascii="Arial" w:hAnsi="Arial" w:cs="Arial"/>
          <w:sz w:val="22"/>
          <w:szCs w:val="22"/>
        </w:rPr>
      </w:pPr>
    </w:p>
    <w:p w14:paraId="7EFEDE83" w14:textId="12AB319E" w:rsidR="00483183" w:rsidRDefault="00483183" w:rsidP="00A03523">
      <w:pPr>
        <w:ind w:firstLine="720"/>
        <w:jc w:val="both"/>
        <w:rPr>
          <w:rFonts w:ascii="Arial" w:hAnsi="Arial" w:cs="Arial"/>
          <w:sz w:val="22"/>
          <w:szCs w:val="22"/>
        </w:rPr>
      </w:pPr>
    </w:p>
    <w:p w14:paraId="4C9B2EC6" w14:textId="785E3A7E" w:rsidR="00483183" w:rsidRDefault="00483183" w:rsidP="00A03523">
      <w:pPr>
        <w:ind w:firstLine="720"/>
        <w:jc w:val="both"/>
        <w:rPr>
          <w:rFonts w:ascii="Arial" w:hAnsi="Arial" w:cs="Arial"/>
          <w:sz w:val="22"/>
          <w:szCs w:val="22"/>
        </w:rPr>
      </w:pPr>
    </w:p>
    <w:p w14:paraId="51F6E870" w14:textId="77777777" w:rsidR="00483183" w:rsidRDefault="00483183" w:rsidP="00A03523">
      <w:pPr>
        <w:ind w:firstLine="720"/>
        <w:jc w:val="both"/>
        <w:rPr>
          <w:rFonts w:ascii="Arial" w:hAnsi="Arial" w:cs="Arial"/>
          <w:sz w:val="22"/>
          <w:szCs w:val="22"/>
        </w:rPr>
      </w:pPr>
    </w:p>
    <w:p w14:paraId="50B8D624" w14:textId="77777777" w:rsidR="00A12887" w:rsidRDefault="00A12887" w:rsidP="00A03523">
      <w:pPr>
        <w:ind w:firstLine="720"/>
        <w:jc w:val="both"/>
        <w:rPr>
          <w:rFonts w:ascii="Arial" w:hAnsi="Arial" w:cs="Arial"/>
          <w:sz w:val="22"/>
          <w:szCs w:val="22"/>
        </w:rPr>
      </w:pPr>
    </w:p>
    <w:p w14:paraId="4CFB2DD0" w14:textId="77777777" w:rsidR="00A12887" w:rsidRDefault="00A12887" w:rsidP="00A03523">
      <w:pPr>
        <w:ind w:firstLine="720"/>
        <w:jc w:val="both"/>
        <w:rPr>
          <w:rFonts w:ascii="Arial" w:hAnsi="Arial" w:cs="Arial"/>
          <w:sz w:val="22"/>
          <w:szCs w:val="22"/>
        </w:rPr>
      </w:pPr>
    </w:p>
    <w:p w14:paraId="7F16B84C" w14:textId="77777777" w:rsidR="00A12887" w:rsidRDefault="00A12887" w:rsidP="00A03523">
      <w:pPr>
        <w:ind w:firstLine="720"/>
        <w:jc w:val="both"/>
        <w:rPr>
          <w:rFonts w:ascii="Arial" w:hAnsi="Arial" w:cs="Arial"/>
          <w:sz w:val="22"/>
          <w:szCs w:val="22"/>
        </w:rPr>
      </w:pPr>
    </w:p>
    <w:p w14:paraId="55DECB9F" w14:textId="77777777" w:rsidR="00A12887" w:rsidRDefault="00A12887" w:rsidP="00A03523">
      <w:pPr>
        <w:ind w:firstLine="720"/>
        <w:jc w:val="both"/>
        <w:rPr>
          <w:rFonts w:ascii="Arial" w:hAnsi="Arial" w:cs="Arial"/>
          <w:sz w:val="22"/>
          <w:szCs w:val="22"/>
        </w:rPr>
      </w:pPr>
    </w:p>
    <w:p w14:paraId="25AAE372" w14:textId="02DF9188" w:rsidR="00A03523" w:rsidRDefault="00A03523" w:rsidP="00A03523">
      <w:pPr>
        <w:ind w:firstLine="720"/>
        <w:jc w:val="both"/>
        <w:rPr>
          <w:rFonts w:ascii="Arial" w:hAnsi="Arial" w:cs="Arial"/>
          <w:sz w:val="22"/>
          <w:szCs w:val="22"/>
        </w:rPr>
      </w:pPr>
      <w:r w:rsidRPr="00DA411D">
        <w:rPr>
          <w:rFonts w:ascii="Arial" w:hAnsi="Arial" w:cs="Arial"/>
          <w:sz w:val="22"/>
          <w:szCs w:val="22"/>
        </w:rPr>
        <w:t>5.518 % ± 0.017 and 3.868% ± 0.017, respectively. The Critical Difference (CD value at P = 0.05) was 0.055% for this data set.</w:t>
      </w:r>
    </w:p>
    <w:p w14:paraId="55967894" w14:textId="77777777" w:rsidR="00A03523" w:rsidRPr="00DA411D" w:rsidRDefault="00A03523" w:rsidP="00A03523">
      <w:pPr>
        <w:ind w:firstLine="720"/>
        <w:jc w:val="both"/>
        <w:rPr>
          <w:rFonts w:ascii="Arial" w:hAnsi="Arial" w:cs="Arial"/>
          <w:sz w:val="22"/>
          <w:szCs w:val="22"/>
        </w:rPr>
      </w:pPr>
      <w:r w:rsidRPr="00DA411D">
        <w:rPr>
          <w:rFonts w:ascii="Arial" w:hAnsi="Arial" w:cs="Arial"/>
          <w:sz w:val="22"/>
          <w:szCs w:val="22"/>
        </w:rPr>
        <w:t>Overall, both Panniyur 1 and Panniyur 2 showed much higher levels of piperine accumulation through both the immature and mature stages compared with the low-piperine genotype, Uthirankotta. Comparison between the two developmental stages showed that in all genotypes, there was a significant and consistent rise in accumulation as the berries went from the immature stage to the mature green stage.</w:t>
      </w:r>
    </w:p>
    <w:p w14:paraId="5CABBE1D" w14:textId="77777777" w:rsidR="00A03523" w:rsidRDefault="00A03523" w:rsidP="00A03523">
      <w:pPr>
        <w:ind w:firstLine="720"/>
        <w:jc w:val="both"/>
        <w:rPr>
          <w:rFonts w:ascii="Arial" w:hAnsi="Arial" w:cs="Arial"/>
          <w:sz w:val="22"/>
          <w:szCs w:val="22"/>
        </w:rPr>
      </w:pPr>
    </w:p>
    <w:p w14:paraId="3DFEE477" w14:textId="77777777" w:rsidR="00A03523" w:rsidRDefault="00A03523" w:rsidP="00A03523">
      <w:pPr>
        <w:ind w:firstLine="720"/>
        <w:jc w:val="both"/>
        <w:rPr>
          <w:rFonts w:ascii="Arial" w:hAnsi="Arial" w:cs="Arial"/>
          <w:sz w:val="22"/>
          <w:szCs w:val="22"/>
        </w:rPr>
      </w:pPr>
    </w:p>
    <w:tbl>
      <w:tblPr>
        <w:tblStyle w:val="TableGrid"/>
        <w:tblpPr w:leftFromText="180" w:rightFromText="180" w:vertAnchor="page" w:horzAnchor="margin" w:tblpXSpec="center" w:tblpY="2999"/>
        <w:tblW w:w="7689" w:type="dxa"/>
        <w:tblLook w:val="04A0" w:firstRow="1" w:lastRow="0" w:firstColumn="1" w:lastColumn="0" w:noHBand="0" w:noVBand="1"/>
      </w:tblPr>
      <w:tblGrid>
        <w:gridCol w:w="2078"/>
        <w:gridCol w:w="2880"/>
        <w:gridCol w:w="2731"/>
      </w:tblGrid>
      <w:tr w:rsidR="00957D5E" w:rsidRPr="00DA411D" w14:paraId="0B6310E7" w14:textId="77777777" w:rsidTr="00957D5E">
        <w:trPr>
          <w:trHeight w:val="699"/>
        </w:trPr>
        <w:tc>
          <w:tcPr>
            <w:tcW w:w="2078" w:type="dxa"/>
            <w:vAlign w:val="center"/>
          </w:tcPr>
          <w:p w14:paraId="54BF34C3" w14:textId="77777777" w:rsidR="00957D5E" w:rsidRPr="00DA411D" w:rsidRDefault="00957D5E" w:rsidP="00957D5E">
            <w:pPr>
              <w:spacing w:line="360" w:lineRule="auto"/>
              <w:jc w:val="both"/>
              <w:rPr>
                <w:rFonts w:ascii="Arial" w:hAnsi="Arial" w:cs="Arial"/>
                <w:b/>
                <w:bCs/>
              </w:rPr>
            </w:pPr>
            <w:r w:rsidRPr="00DA411D">
              <w:rPr>
                <w:rFonts w:ascii="Arial" w:hAnsi="Arial" w:cs="Arial"/>
                <w:b/>
                <w:bCs/>
              </w:rPr>
              <w:t>Genotype</w:t>
            </w:r>
          </w:p>
        </w:tc>
        <w:tc>
          <w:tcPr>
            <w:tcW w:w="2880" w:type="dxa"/>
            <w:vAlign w:val="center"/>
          </w:tcPr>
          <w:p w14:paraId="4657F9D3" w14:textId="77777777" w:rsidR="00957D5E" w:rsidRPr="00DA411D" w:rsidRDefault="00957D5E" w:rsidP="00957D5E">
            <w:pPr>
              <w:spacing w:line="360" w:lineRule="auto"/>
              <w:jc w:val="both"/>
              <w:rPr>
                <w:rFonts w:ascii="Arial" w:hAnsi="Arial" w:cs="Arial"/>
                <w:b/>
                <w:bCs/>
              </w:rPr>
            </w:pPr>
            <w:r w:rsidRPr="00DA411D">
              <w:rPr>
                <w:rFonts w:ascii="Arial" w:hAnsi="Arial" w:cs="Arial"/>
                <w:b/>
                <w:bCs/>
              </w:rPr>
              <w:t>Piperine in immature fruit (%)</w:t>
            </w:r>
          </w:p>
        </w:tc>
        <w:tc>
          <w:tcPr>
            <w:tcW w:w="2731" w:type="dxa"/>
            <w:vAlign w:val="center"/>
          </w:tcPr>
          <w:p w14:paraId="3817FD74" w14:textId="77777777" w:rsidR="00957D5E" w:rsidRPr="00DA411D" w:rsidRDefault="00957D5E" w:rsidP="00957D5E">
            <w:pPr>
              <w:spacing w:line="360" w:lineRule="auto"/>
              <w:jc w:val="both"/>
              <w:rPr>
                <w:rFonts w:ascii="Arial" w:hAnsi="Arial" w:cs="Arial"/>
                <w:b/>
                <w:bCs/>
              </w:rPr>
            </w:pPr>
            <w:r w:rsidRPr="00DA411D">
              <w:rPr>
                <w:rFonts w:ascii="Arial" w:hAnsi="Arial" w:cs="Arial"/>
                <w:b/>
                <w:bCs/>
              </w:rPr>
              <w:t>Piperine in mature fruit (%)</w:t>
            </w:r>
          </w:p>
        </w:tc>
      </w:tr>
      <w:tr w:rsidR="00957D5E" w:rsidRPr="00DA411D" w14:paraId="04A7E599" w14:textId="77777777" w:rsidTr="00957D5E">
        <w:trPr>
          <w:trHeight w:val="466"/>
        </w:trPr>
        <w:tc>
          <w:tcPr>
            <w:tcW w:w="2078" w:type="dxa"/>
            <w:vAlign w:val="center"/>
          </w:tcPr>
          <w:p w14:paraId="728C2583" w14:textId="77777777" w:rsidR="00957D5E" w:rsidRPr="00DA411D" w:rsidRDefault="00957D5E" w:rsidP="00957D5E">
            <w:pPr>
              <w:spacing w:line="360" w:lineRule="auto"/>
              <w:jc w:val="both"/>
              <w:rPr>
                <w:rFonts w:ascii="Arial" w:hAnsi="Arial" w:cs="Arial"/>
              </w:rPr>
            </w:pPr>
            <w:r w:rsidRPr="00DA411D">
              <w:rPr>
                <w:rFonts w:ascii="Arial" w:hAnsi="Arial" w:cs="Arial"/>
              </w:rPr>
              <w:t>Panniyur 1</w:t>
            </w:r>
          </w:p>
        </w:tc>
        <w:tc>
          <w:tcPr>
            <w:tcW w:w="2880" w:type="dxa"/>
            <w:vAlign w:val="center"/>
          </w:tcPr>
          <w:p w14:paraId="05880A41" w14:textId="77777777" w:rsidR="00957D5E" w:rsidRPr="00DA411D" w:rsidRDefault="00957D5E" w:rsidP="00957D5E">
            <w:pPr>
              <w:spacing w:line="360" w:lineRule="auto"/>
              <w:jc w:val="both"/>
              <w:rPr>
                <w:rFonts w:ascii="Arial" w:hAnsi="Arial" w:cs="Arial"/>
              </w:rPr>
            </w:pPr>
            <w:r w:rsidRPr="00DA411D">
              <w:rPr>
                <w:rFonts w:ascii="Arial" w:hAnsi="Arial" w:cs="Arial"/>
              </w:rPr>
              <w:t>1.048</w:t>
            </w:r>
            <w:r w:rsidRPr="00DA411D">
              <w:rPr>
                <w:rFonts w:ascii="Arial" w:hAnsi="Arial" w:cs="Arial"/>
                <w:vertAlign w:val="superscript"/>
              </w:rPr>
              <w:t>b</w:t>
            </w:r>
          </w:p>
        </w:tc>
        <w:tc>
          <w:tcPr>
            <w:tcW w:w="2731" w:type="dxa"/>
            <w:vAlign w:val="center"/>
          </w:tcPr>
          <w:p w14:paraId="4EFE163C" w14:textId="77777777" w:rsidR="00957D5E" w:rsidRPr="00DA411D" w:rsidRDefault="00957D5E" w:rsidP="00957D5E">
            <w:pPr>
              <w:spacing w:line="360" w:lineRule="auto"/>
              <w:jc w:val="both"/>
              <w:rPr>
                <w:rFonts w:ascii="Arial" w:hAnsi="Arial" w:cs="Arial"/>
              </w:rPr>
            </w:pPr>
            <w:r w:rsidRPr="00DA411D">
              <w:rPr>
                <w:rFonts w:ascii="Arial" w:hAnsi="Arial" w:cs="Arial"/>
              </w:rPr>
              <w:t>5.515</w:t>
            </w:r>
            <w:r w:rsidRPr="00DA411D">
              <w:rPr>
                <w:rFonts w:ascii="Arial" w:hAnsi="Arial" w:cs="Arial"/>
                <w:vertAlign w:val="superscript"/>
              </w:rPr>
              <w:t>b</w:t>
            </w:r>
          </w:p>
        </w:tc>
      </w:tr>
      <w:tr w:rsidR="00957D5E" w:rsidRPr="00DA411D" w14:paraId="46017F5E" w14:textId="77777777" w:rsidTr="00957D5E">
        <w:trPr>
          <w:trHeight w:val="466"/>
        </w:trPr>
        <w:tc>
          <w:tcPr>
            <w:tcW w:w="2078" w:type="dxa"/>
            <w:vAlign w:val="center"/>
          </w:tcPr>
          <w:p w14:paraId="381FE457" w14:textId="77777777" w:rsidR="00957D5E" w:rsidRPr="00DA411D" w:rsidRDefault="00957D5E" w:rsidP="00957D5E">
            <w:pPr>
              <w:spacing w:line="360" w:lineRule="auto"/>
              <w:jc w:val="both"/>
              <w:rPr>
                <w:rFonts w:ascii="Arial" w:hAnsi="Arial" w:cs="Arial"/>
              </w:rPr>
            </w:pPr>
            <w:r w:rsidRPr="00DA411D">
              <w:rPr>
                <w:rFonts w:ascii="Arial" w:hAnsi="Arial" w:cs="Arial"/>
              </w:rPr>
              <w:t>Panniyur 2</w:t>
            </w:r>
          </w:p>
        </w:tc>
        <w:tc>
          <w:tcPr>
            <w:tcW w:w="2880" w:type="dxa"/>
            <w:vAlign w:val="center"/>
          </w:tcPr>
          <w:p w14:paraId="3A87BB91" w14:textId="77777777" w:rsidR="00957D5E" w:rsidRPr="00DA411D" w:rsidRDefault="00957D5E" w:rsidP="00957D5E">
            <w:pPr>
              <w:spacing w:line="360" w:lineRule="auto"/>
              <w:jc w:val="both"/>
              <w:rPr>
                <w:rFonts w:ascii="Arial" w:hAnsi="Arial" w:cs="Arial"/>
              </w:rPr>
            </w:pPr>
            <w:r w:rsidRPr="00DA411D">
              <w:rPr>
                <w:rFonts w:ascii="Arial" w:hAnsi="Arial" w:cs="Arial"/>
              </w:rPr>
              <w:t>1.252</w:t>
            </w:r>
            <w:r w:rsidRPr="00DA411D">
              <w:rPr>
                <w:rFonts w:ascii="Arial" w:hAnsi="Arial" w:cs="Arial"/>
                <w:vertAlign w:val="superscript"/>
              </w:rPr>
              <w:t>a</w:t>
            </w:r>
            <w:r w:rsidRPr="00DA411D">
              <w:rPr>
                <w:rFonts w:ascii="Arial" w:hAnsi="Arial" w:cs="Arial"/>
              </w:rPr>
              <w:t xml:space="preserve"> </w:t>
            </w:r>
          </w:p>
        </w:tc>
        <w:tc>
          <w:tcPr>
            <w:tcW w:w="2731" w:type="dxa"/>
            <w:vAlign w:val="center"/>
          </w:tcPr>
          <w:p w14:paraId="04337AFA" w14:textId="77777777" w:rsidR="00957D5E" w:rsidRPr="00DA411D" w:rsidRDefault="00957D5E" w:rsidP="00957D5E">
            <w:pPr>
              <w:spacing w:line="360" w:lineRule="auto"/>
              <w:jc w:val="both"/>
              <w:rPr>
                <w:rFonts w:ascii="Arial" w:hAnsi="Arial" w:cs="Arial"/>
              </w:rPr>
            </w:pPr>
            <w:r w:rsidRPr="00DA411D">
              <w:rPr>
                <w:rFonts w:ascii="Arial" w:hAnsi="Arial" w:cs="Arial"/>
              </w:rPr>
              <w:t>6.562</w:t>
            </w:r>
            <w:r w:rsidRPr="00DA411D">
              <w:rPr>
                <w:rFonts w:ascii="Arial" w:hAnsi="Arial" w:cs="Arial"/>
                <w:vertAlign w:val="superscript"/>
              </w:rPr>
              <w:t>a</w:t>
            </w:r>
          </w:p>
        </w:tc>
      </w:tr>
      <w:tr w:rsidR="00957D5E" w:rsidRPr="00DA411D" w14:paraId="3FCFDAE0" w14:textId="77777777" w:rsidTr="00957D5E">
        <w:trPr>
          <w:trHeight w:val="466"/>
        </w:trPr>
        <w:tc>
          <w:tcPr>
            <w:tcW w:w="2078" w:type="dxa"/>
            <w:vAlign w:val="center"/>
          </w:tcPr>
          <w:p w14:paraId="42801BFB" w14:textId="77777777" w:rsidR="00957D5E" w:rsidRPr="00DA411D" w:rsidRDefault="00957D5E" w:rsidP="00957D5E">
            <w:pPr>
              <w:spacing w:line="360" w:lineRule="auto"/>
              <w:jc w:val="both"/>
              <w:rPr>
                <w:rFonts w:ascii="Arial" w:hAnsi="Arial" w:cs="Arial"/>
              </w:rPr>
            </w:pPr>
            <w:r w:rsidRPr="00DA411D">
              <w:rPr>
                <w:rFonts w:ascii="Arial" w:hAnsi="Arial" w:cs="Arial"/>
              </w:rPr>
              <w:t>Uthirankotta</w:t>
            </w:r>
          </w:p>
        </w:tc>
        <w:tc>
          <w:tcPr>
            <w:tcW w:w="2880" w:type="dxa"/>
            <w:vAlign w:val="center"/>
          </w:tcPr>
          <w:p w14:paraId="47BE3610" w14:textId="77777777" w:rsidR="00957D5E" w:rsidRPr="00DA411D" w:rsidRDefault="00957D5E" w:rsidP="00957D5E">
            <w:pPr>
              <w:spacing w:line="360" w:lineRule="auto"/>
              <w:jc w:val="both"/>
              <w:rPr>
                <w:rFonts w:ascii="Arial" w:hAnsi="Arial" w:cs="Arial"/>
              </w:rPr>
            </w:pPr>
            <w:r w:rsidRPr="00DA411D">
              <w:rPr>
                <w:rFonts w:ascii="Arial" w:hAnsi="Arial" w:cs="Arial"/>
              </w:rPr>
              <w:t>0.772</w:t>
            </w:r>
            <w:r w:rsidRPr="00DA411D">
              <w:rPr>
                <w:rFonts w:ascii="Arial" w:hAnsi="Arial" w:cs="Arial"/>
                <w:vertAlign w:val="superscript"/>
              </w:rPr>
              <w:t>c</w:t>
            </w:r>
            <w:r w:rsidRPr="00DA411D">
              <w:rPr>
                <w:rFonts w:ascii="Arial" w:hAnsi="Arial" w:cs="Arial"/>
              </w:rPr>
              <w:t xml:space="preserve"> </w:t>
            </w:r>
          </w:p>
        </w:tc>
        <w:tc>
          <w:tcPr>
            <w:tcW w:w="2731" w:type="dxa"/>
            <w:vAlign w:val="center"/>
          </w:tcPr>
          <w:p w14:paraId="672CE165" w14:textId="77777777" w:rsidR="00957D5E" w:rsidRPr="00DA411D" w:rsidRDefault="00957D5E" w:rsidP="00957D5E">
            <w:pPr>
              <w:spacing w:line="360" w:lineRule="auto"/>
              <w:jc w:val="both"/>
              <w:rPr>
                <w:rFonts w:ascii="Arial" w:hAnsi="Arial" w:cs="Arial"/>
              </w:rPr>
            </w:pPr>
            <w:r w:rsidRPr="00DA411D">
              <w:rPr>
                <w:rFonts w:ascii="Arial" w:hAnsi="Arial" w:cs="Arial"/>
              </w:rPr>
              <w:t>3.868</w:t>
            </w:r>
            <w:r w:rsidRPr="00DA411D">
              <w:rPr>
                <w:rFonts w:ascii="Arial" w:hAnsi="Arial" w:cs="Arial"/>
                <w:vertAlign w:val="superscript"/>
              </w:rPr>
              <w:t>c</w:t>
            </w:r>
          </w:p>
        </w:tc>
      </w:tr>
      <w:tr w:rsidR="00957D5E" w:rsidRPr="00DA411D" w14:paraId="0726DDF0" w14:textId="77777777" w:rsidTr="00957D5E">
        <w:trPr>
          <w:trHeight w:val="466"/>
        </w:trPr>
        <w:tc>
          <w:tcPr>
            <w:tcW w:w="2078" w:type="dxa"/>
            <w:vAlign w:val="center"/>
          </w:tcPr>
          <w:p w14:paraId="240C8E88" w14:textId="77777777" w:rsidR="00957D5E" w:rsidRPr="00DA411D" w:rsidRDefault="00957D5E" w:rsidP="00957D5E">
            <w:pPr>
              <w:spacing w:line="360" w:lineRule="auto"/>
              <w:jc w:val="both"/>
              <w:rPr>
                <w:rFonts w:ascii="Arial" w:hAnsi="Arial" w:cs="Arial"/>
              </w:rPr>
            </w:pPr>
            <w:r w:rsidRPr="00DA411D">
              <w:rPr>
                <w:rFonts w:ascii="Arial" w:hAnsi="Arial" w:cs="Arial"/>
              </w:rPr>
              <w:t>SE</w:t>
            </w:r>
            <w:r w:rsidRPr="00DA411D">
              <w:rPr>
                <w:rFonts w:ascii="Arial" w:hAnsi="Arial" w:cs="Arial"/>
                <w:vertAlign w:val="subscript"/>
              </w:rPr>
              <w:t>(m)</w:t>
            </w:r>
          </w:p>
        </w:tc>
        <w:tc>
          <w:tcPr>
            <w:tcW w:w="2880" w:type="dxa"/>
            <w:vAlign w:val="center"/>
          </w:tcPr>
          <w:p w14:paraId="10C4B201" w14:textId="77777777" w:rsidR="00957D5E" w:rsidRPr="00DA411D" w:rsidRDefault="00957D5E" w:rsidP="00957D5E">
            <w:pPr>
              <w:spacing w:line="360" w:lineRule="auto"/>
              <w:jc w:val="both"/>
              <w:rPr>
                <w:rFonts w:ascii="Arial" w:hAnsi="Arial" w:cs="Arial"/>
              </w:rPr>
            </w:pPr>
            <w:r w:rsidRPr="00DA411D">
              <w:rPr>
                <w:rFonts w:ascii="Arial" w:hAnsi="Arial" w:cs="Arial"/>
              </w:rPr>
              <w:t>0.016</w:t>
            </w:r>
          </w:p>
        </w:tc>
        <w:tc>
          <w:tcPr>
            <w:tcW w:w="2731" w:type="dxa"/>
            <w:vAlign w:val="center"/>
          </w:tcPr>
          <w:p w14:paraId="64ED857C" w14:textId="77777777" w:rsidR="00957D5E" w:rsidRPr="00DA411D" w:rsidRDefault="00957D5E" w:rsidP="00957D5E">
            <w:pPr>
              <w:spacing w:line="360" w:lineRule="auto"/>
              <w:jc w:val="both"/>
              <w:rPr>
                <w:rFonts w:ascii="Arial" w:hAnsi="Arial" w:cs="Arial"/>
              </w:rPr>
            </w:pPr>
            <w:r w:rsidRPr="00DA411D">
              <w:rPr>
                <w:rFonts w:ascii="Arial" w:hAnsi="Arial" w:cs="Arial"/>
              </w:rPr>
              <w:t>0.017</w:t>
            </w:r>
          </w:p>
        </w:tc>
      </w:tr>
      <w:tr w:rsidR="00957D5E" w:rsidRPr="00DA411D" w14:paraId="260266BC" w14:textId="77777777" w:rsidTr="00957D5E">
        <w:trPr>
          <w:trHeight w:val="466"/>
        </w:trPr>
        <w:tc>
          <w:tcPr>
            <w:tcW w:w="2078" w:type="dxa"/>
            <w:vAlign w:val="center"/>
          </w:tcPr>
          <w:p w14:paraId="791CE546" w14:textId="77777777" w:rsidR="00957D5E" w:rsidRPr="00DA411D" w:rsidRDefault="00957D5E" w:rsidP="00957D5E">
            <w:pPr>
              <w:spacing w:line="360" w:lineRule="auto"/>
              <w:jc w:val="both"/>
              <w:rPr>
                <w:rFonts w:ascii="Arial" w:hAnsi="Arial" w:cs="Arial"/>
              </w:rPr>
            </w:pPr>
            <w:r w:rsidRPr="00DA411D">
              <w:rPr>
                <w:rFonts w:ascii="Arial" w:hAnsi="Arial" w:cs="Arial"/>
              </w:rPr>
              <w:t xml:space="preserve">CD </w:t>
            </w:r>
          </w:p>
        </w:tc>
        <w:tc>
          <w:tcPr>
            <w:tcW w:w="2880" w:type="dxa"/>
            <w:vAlign w:val="center"/>
          </w:tcPr>
          <w:p w14:paraId="6494AB42" w14:textId="77777777" w:rsidR="00957D5E" w:rsidRPr="00DA411D" w:rsidRDefault="00957D5E" w:rsidP="00957D5E">
            <w:pPr>
              <w:spacing w:line="360" w:lineRule="auto"/>
              <w:jc w:val="both"/>
              <w:rPr>
                <w:rFonts w:ascii="Arial" w:hAnsi="Arial" w:cs="Arial"/>
              </w:rPr>
            </w:pPr>
            <w:r w:rsidRPr="00DA411D">
              <w:rPr>
                <w:rFonts w:ascii="Arial" w:hAnsi="Arial" w:cs="Arial"/>
              </w:rPr>
              <w:t>0.063</w:t>
            </w:r>
          </w:p>
        </w:tc>
        <w:tc>
          <w:tcPr>
            <w:tcW w:w="2731" w:type="dxa"/>
            <w:vAlign w:val="center"/>
          </w:tcPr>
          <w:p w14:paraId="367AF47E" w14:textId="77777777" w:rsidR="00957D5E" w:rsidRPr="00DA411D" w:rsidRDefault="00957D5E" w:rsidP="00957D5E">
            <w:pPr>
              <w:spacing w:line="360" w:lineRule="auto"/>
              <w:jc w:val="both"/>
              <w:rPr>
                <w:rFonts w:ascii="Arial" w:hAnsi="Arial" w:cs="Arial"/>
              </w:rPr>
            </w:pPr>
            <w:r w:rsidRPr="00DA411D">
              <w:rPr>
                <w:rFonts w:ascii="Arial" w:hAnsi="Arial" w:cs="Arial"/>
              </w:rPr>
              <w:t>0.055</w:t>
            </w:r>
          </w:p>
        </w:tc>
      </w:tr>
    </w:tbl>
    <w:p w14:paraId="2D6B5226" w14:textId="77777777" w:rsidR="00A12887" w:rsidRPr="00DA411D" w:rsidRDefault="00A12887" w:rsidP="00A03523">
      <w:pPr>
        <w:jc w:val="both"/>
        <w:rPr>
          <w:rFonts w:ascii="Arial" w:hAnsi="Arial" w:cs="Arial"/>
          <w:i/>
          <w:iCs/>
          <w:sz w:val="22"/>
          <w:szCs w:val="22"/>
        </w:rPr>
      </w:pPr>
    </w:p>
    <w:p w14:paraId="7DFF25D0" w14:textId="57EB3D1B" w:rsidR="00A03523" w:rsidRPr="00DA411D" w:rsidRDefault="00A03523" w:rsidP="00A03523">
      <w:pPr>
        <w:jc w:val="both"/>
        <w:rPr>
          <w:rFonts w:ascii="Arial" w:hAnsi="Arial" w:cs="Arial"/>
          <w:sz w:val="22"/>
          <w:szCs w:val="22"/>
        </w:rPr>
      </w:pPr>
    </w:p>
    <w:p w14:paraId="405A8E87" w14:textId="4B41CA65" w:rsidR="00A03523" w:rsidRPr="00DA411D" w:rsidRDefault="00A03523" w:rsidP="00A03523">
      <w:pPr>
        <w:jc w:val="both"/>
        <w:rPr>
          <w:rFonts w:ascii="Arial" w:hAnsi="Arial" w:cs="Arial"/>
          <w:sz w:val="22"/>
          <w:szCs w:val="22"/>
        </w:rPr>
      </w:pPr>
    </w:p>
    <w:p w14:paraId="6D1AB585" w14:textId="77777777" w:rsidR="00A03523" w:rsidRPr="00DA411D" w:rsidRDefault="00A03523" w:rsidP="00A03523">
      <w:pPr>
        <w:ind w:left="2880" w:firstLine="720"/>
        <w:jc w:val="both"/>
        <w:rPr>
          <w:rFonts w:ascii="Arial" w:hAnsi="Arial" w:cs="Arial"/>
          <w:sz w:val="22"/>
          <w:szCs w:val="22"/>
        </w:rPr>
      </w:pPr>
    </w:p>
    <w:p w14:paraId="34B29F69" w14:textId="77777777" w:rsidR="00A03523" w:rsidRPr="00DA411D" w:rsidRDefault="00A03523" w:rsidP="00A03523">
      <w:pPr>
        <w:jc w:val="both"/>
        <w:rPr>
          <w:rFonts w:ascii="Arial" w:hAnsi="Arial" w:cs="Arial"/>
          <w:sz w:val="22"/>
          <w:szCs w:val="22"/>
        </w:rPr>
      </w:pPr>
    </w:p>
    <w:p w14:paraId="439A4ECB" w14:textId="77777777" w:rsidR="00A03523" w:rsidRPr="00DA411D" w:rsidRDefault="00A03523" w:rsidP="00A03523">
      <w:pPr>
        <w:jc w:val="both"/>
        <w:rPr>
          <w:rFonts w:ascii="Arial" w:hAnsi="Arial" w:cs="Arial"/>
          <w:sz w:val="22"/>
          <w:szCs w:val="22"/>
        </w:rPr>
      </w:pPr>
    </w:p>
    <w:p w14:paraId="11CD9ECF" w14:textId="77777777" w:rsidR="00A03523" w:rsidRPr="00DA411D" w:rsidRDefault="00A03523" w:rsidP="00A03523">
      <w:pPr>
        <w:jc w:val="both"/>
        <w:rPr>
          <w:rFonts w:ascii="Arial" w:hAnsi="Arial" w:cs="Arial"/>
          <w:sz w:val="22"/>
          <w:szCs w:val="22"/>
        </w:rPr>
      </w:pPr>
    </w:p>
    <w:p w14:paraId="1852359B" w14:textId="77777777" w:rsidR="00A03523" w:rsidRPr="00DA411D" w:rsidRDefault="00A03523" w:rsidP="00A03523">
      <w:pPr>
        <w:jc w:val="both"/>
        <w:rPr>
          <w:rFonts w:ascii="Arial" w:hAnsi="Arial" w:cs="Arial"/>
          <w:sz w:val="22"/>
          <w:szCs w:val="22"/>
        </w:rPr>
      </w:pPr>
    </w:p>
    <w:p w14:paraId="24DF3CF3" w14:textId="77777777" w:rsidR="00A03523" w:rsidRPr="00DA411D" w:rsidRDefault="00A03523" w:rsidP="00A03523">
      <w:pPr>
        <w:jc w:val="both"/>
        <w:rPr>
          <w:rFonts w:ascii="Arial" w:hAnsi="Arial" w:cs="Arial"/>
          <w:sz w:val="22"/>
          <w:szCs w:val="22"/>
        </w:rPr>
      </w:pPr>
    </w:p>
    <w:p w14:paraId="2331EE40" w14:textId="77777777" w:rsidR="00A03523" w:rsidRPr="00DA411D" w:rsidRDefault="00A03523" w:rsidP="00A03523">
      <w:pPr>
        <w:jc w:val="both"/>
        <w:rPr>
          <w:rFonts w:ascii="Arial" w:hAnsi="Arial" w:cs="Arial"/>
          <w:sz w:val="22"/>
          <w:szCs w:val="22"/>
        </w:rPr>
      </w:pPr>
      <w:r w:rsidRPr="00DA411D">
        <w:rPr>
          <w:rFonts w:ascii="Arial" w:hAnsi="Arial" w:cs="Arial"/>
          <w:sz w:val="22"/>
          <w:szCs w:val="22"/>
        </w:rPr>
        <w:t xml:space="preserve">         </w:t>
      </w:r>
    </w:p>
    <w:p w14:paraId="4D8DDB06" w14:textId="77777777" w:rsidR="00A03523" w:rsidRPr="00DA411D" w:rsidRDefault="00A03523" w:rsidP="00A03523">
      <w:pPr>
        <w:jc w:val="both"/>
        <w:rPr>
          <w:rFonts w:ascii="Arial" w:hAnsi="Arial" w:cs="Arial"/>
          <w:sz w:val="22"/>
          <w:szCs w:val="22"/>
        </w:rPr>
      </w:pPr>
    </w:p>
    <w:p w14:paraId="561863D9" w14:textId="77777777" w:rsidR="00A03523" w:rsidRPr="00DA411D" w:rsidRDefault="00A03523" w:rsidP="00A03523">
      <w:pPr>
        <w:jc w:val="both"/>
        <w:rPr>
          <w:rFonts w:ascii="Arial" w:hAnsi="Arial" w:cs="Arial"/>
          <w:sz w:val="22"/>
          <w:szCs w:val="22"/>
        </w:rPr>
      </w:pPr>
    </w:p>
    <w:p w14:paraId="00BB608A" w14:textId="77777777" w:rsidR="00A03523" w:rsidRPr="00DA411D" w:rsidRDefault="00A03523" w:rsidP="00A03523">
      <w:pPr>
        <w:jc w:val="both"/>
        <w:rPr>
          <w:rFonts w:ascii="Arial" w:hAnsi="Arial" w:cs="Arial"/>
          <w:sz w:val="22"/>
          <w:szCs w:val="22"/>
        </w:rPr>
      </w:pPr>
    </w:p>
    <w:p w14:paraId="2F734668" w14:textId="77777777" w:rsidR="00A03523" w:rsidRPr="00DA411D" w:rsidRDefault="00A03523" w:rsidP="00A03523">
      <w:pPr>
        <w:jc w:val="both"/>
        <w:rPr>
          <w:rFonts w:ascii="Arial" w:hAnsi="Arial" w:cs="Arial"/>
          <w:sz w:val="22"/>
          <w:szCs w:val="22"/>
        </w:rPr>
      </w:pPr>
    </w:p>
    <w:p w14:paraId="7460C711" w14:textId="77777777" w:rsidR="00A03523" w:rsidRPr="00DA411D" w:rsidRDefault="00A03523" w:rsidP="00A03523">
      <w:pPr>
        <w:jc w:val="both"/>
        <w:rPr>
          <w:rFonts w:ascii="Arial" w:hAnsi="Arial" w:cs="Arial"/>
          <w:sz w:val="22"/>
          <w:szCs w:val="22"/>
        </w:rPr>
      </w:pPr>
    </w:p>
    <w:p w14:paraId="3FC1C0DD" w14:textId="77777777" w:rsidR="00A03523" w:rsidRPr="00DA411D" w:rsidRDefault="00A03523" w:rsidP="00A03523">
      <w:pPr>
        <w:jc w:val="both"/>
        <w:rPr>
          <w:rFonts w:ascii="Arial" w:hAnsi="Arial" w:cs="Arial"/>
          <w:sz w:val="22"/>
          <w:szCs w:val="22"/>
        </w:rPr>
      </w:pPr>
    </w:p>
    <w:p w14:paraId="0710ACE4" w14:textId="77777777" w:rsidR="00A03523" w:rsidRPr="00DA411D" w:rsidRDefault="00A03523" w:rsidP="00A03523">
      <w:pPr>
        <w:jc w:val="both"/>
        <w:rPr>
          <w:rFonts w:ascii="Arial" w:hAnsi="Arial" w:cs="Arial"/>
          <w:sz w:val="22"/>
          <w:szCs w:val="22"/>
        </w:rPr>
      </w:pPr>
    </w:p>
    <w:p w14:paraId="25C548B3" w14:textId="769413BD" w:rsidR="00A03523" w:rsidRPr="00DA411D" w:rsidRDefault="00A12887" w:rsidP="00A03523">
      <w:pPr>
        <w:jc w:val="both"/>
        <w:rPr>
          <w:rFonts w:ascii="Arial" w:hAnsi="Arial" w:cs="Arial"/>
          <w:sz w:val="22"/>
          <w:szCs w:val="22"/>
        </w:rPr>
      </w:pPr>
      <w:r w:rsidRPr="00DA411D">
        <w:rPr>
          <w:rFonts w:ascii="Arial" w:hAnsi="Arial" w:cs="Arial"/>
          <w:noProof/>
          <w:sz w:val="22"/>
          <w:szCs w:val="22"/>
          <w:lang w:eastAsia="en-IN"/>
        </w:rPr>
        <w:lastRenderedPageBreak/>
        <w:drawing>
          <wp:anchor distT="0" distB="0" distL="114300" distR="114300" simplePos="0" relativeHeight="251673088" behindDoc="1" locked="0" layoutInCell="1" allowOverlap="1" wp14:anchorId="156B4B16" wp14:editId="02C043B2">
            <wp:simplePos x="0" y="0"/>
            <wp:positionH relativeFrom="column">
              <wp:posOffset>952678</wp:posOffset>
            </wp:positionH>
            <wp:positionV relativeFrom="page">
              <wp:posOffset>3678496</wp:posOffset>
            </wp:positionV>
            <wp:extent cx="3622675" cy="2531110"/>
            <wp:effectExtent l="19050" t="19050" r="15875" b="21590"/>
            <wp:wrapNone/>
            <wp:docPr id="7" name="Content Placeholder 6">
              <a:extLst xmlns:a="http://schemas.openxmlformats.org/drawingml/2006/main">
                <a:ext uri="{FF2B5EF4-FFF2-40B4-BE49-F238E27FC236}">
                  <a16:creationId xmlns:a16="http://schemas.microsoft.com/office/drawing/2014/main" id="{DE39EF57-ACB6-97A3-A183-873EEA843C3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a:extLst>
                        <a:ext uri="{FF2B5EF4-FFF2-40B4-BE49-F238E27FC236}">
                          <a16:creationId xmlns:a16="http://schemas.microsoft.com/office/drawing/2014/main" id="{DE39EF57-ACB6-97A3-A183-873EEA843C34}"/>
                        </a:ext>
                      </a:extLst>
                    </pic:cNvPr>
                    <pic:cNvPicPr>
                      <a:picLocks noGrp="1" noChangeAspect="1"/>
                    </pic:cNvPicPr>
                  </pic:nvPicPr>
                  <pic:blipFill>
                    <a:blip r:embed="rId9" cstate="print">
                      <a:extLst>
                        <a:ext uri="{BEBA8EAE-BF5A-486C-A8C5-ECC9F3942E4B}">
                          <a14:imgProps xmlns:a14="http://schemas.microsoft.com/office/drawing/2010/main">
                            <a14:imgLayer r:embed="rId10">
                              <a14:imgEffect>
                                <a14:sharpenSoften amount="50000"/>
                              </a14:imgEffect>
                              <a14:imgEffect>
                                <a14:saturation sat="96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622675" cy="253111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0F4ED574" w14:textId="77777777" w:rsidR="00A12887" w:rsidRDefault="00A12887" w:rsidP="00A03523">
      <w:pPr>
        <w:jc w:val="both"/>
        <w:rPr>
          <w:rFonts w:ascii="Arial" w:hAnsi="Arial" w:cs="Arial"/>
          <w:sz w:val="22"/>
          <w:szCs w:val="22"/>
        </w:rPr>
      </w:pPr>
    </w:p>
    <w:p w14:paraId="0EA7818E" w14:textId="77777777" w:rsidR="00A12887" w:rsidRDefault="00A12887" w:rsidP="00A03523">
      <w:pPr>
        <w:jc w:val="both"/>
        <w:rPr>
          <w:rFonts w:ascii="Arial" w:hAnsi="Arial" w:cs="Arial"/>
          <w:sz w:val="22"/>
          <w:szCs w:val="22"/>
        </w:rPr>
      </w:pPr>
    </w:p>
    <w:p w14:paraId="5D4E7BCB" w14:textId="19224502" w:rsidR="00A12887" w:rsidRDefault="00A12887" w:rsidP="00A03523">
      <w:pPr>
        <w:jc w:val="both"/>
        <w:rPr>
          <w:rFonts w:ascii="Arial" w:hAnsi="Arial" w:cs="Arial"/>
          <w:sz w:val="22"/>
          <w:szCs w:val="22"/>
        </w:rPr>
      </w:pPr>
    </w:p>
    <w:p w14:paraId="000A7870" w14:textId="77777777" w:rsidR="00A12887" w:rsidRDefault="00A12887" w:rsidP="00A03523">
      <w:pPr>
        <w:jc w:val="both"/>
        <w:rPr>
          <w:rFonts w:ascii="Arial" w:hAnsi="Arial" w:cs="Arial"/>
          <w:sz w:val="22"/>
          <w:szCs w:val="22"/>
        </w:rPr>
      </w:pPr>
    </w:p>
    <w:p w14:paraId="67D10F07" w14:textId="77777777" w:rsidR="00A12887" w:rsidRDefault="00A12887" w:rsidP="00A03523">
      <w:pPr>
        <w:jc w:val="both"/>
        <w:rPr>
          <w:rFonts w:ascii="Arial" w:hAnsi="Arial" w:cs="Arial"/>
          <w:sz w:val="22"/>
          <w:szCs w:val="22"/>
        </w:rPr>
      </w:pPr>
    </w:p>
    <w:p w14:paraId="28C22B72" w14:textId="4644CF51" w:rsidR="00A12887" w:rsidRDefault="00A12887" w:rsidP="00A03523">
      <w:pPr>
        <w:jc w:val="both"/>
        <w:rPr>
          <w:rFonts w:ascii="Arial" w:hAnsi="Arial" w:cs="Arial"/>
          <w:sz w:val="22"/>
          <w:szCs w:val="22"/>
        </w:rPr>
      </w:pPr>
    </w:p>
    <w:p w14:paraId="4641C70A" w14:textId="77777777" w:rsidR="00A12887" w:rsidRDefault="00A12887" w:rsidP="00A03523">
      <w:pPr>
        <w:jc w:val="both"/>
        <w:rPr>
          <w:rFonts w:ascii="Arial" w:hAnsi="Arial" w:cs="Arial"/>
          <w:sz w:val="22"/>
          <w:szCs w:val="22"/>
        </w:rPr>
      </w:pPr>
    </w:p>
    <w:p w14:paraId="6B9D91CD" w14:textId="77777777" w:rsidR="00A12887" w:rsidRDefault="00A12887" w:rsidP="00A03523">
      <w:pPr>
        <w:jc w:val="both"/>
        <w:rPr>
          <w:rFonts w:ascii="Arial" w:hAnsi="Arial" w:cs="Arial"/>
          <w:sz w:val="22"/>
          <w:szCs w:val="22"/>
        </w:rPr>
      </w:pPr>
    </w:p>
    <w:p w14:paraId="0098AFF5" w14:textId="77777777" w:rsidR="00A12887" w:rsidRDefault="00A12887" w:rsidP="00A03523">
      <w:pPr>
        <w:jc w:val="both"/>
        <w:rPr>
          <w:rFonts w:ascii="Arial" w:hAnsi="Arial" w:cs="Arial"/>
          <w:sz w:val="22"/>
          <w:szCs w:val="22"/>
        </w:rPr>
      </w:pPr>
    </w:p>
    <w:p w14:paraId="6A99E674" w14:textId="77777777" w:rsidR="00A12887" w:rsidRDefault="00A12887" w:rsidP="00A03523">
      <w:pPr>
        <w:jc w:val="both"/>
        <w:rPr>
          <w:rFonts w:ascii="Arial" w:hAnsi="Arial" w:cs="Arial"/>
          <w:sz w:val="22"/>
          <w:szCs w:val="22"/>
        </w:rPr>
      </w:pPr>
    </w:p>
    <w:p w14:paraId="02EAD843" w14:textId="77777777" w:rsidR="00A12887" w:rsidRDefault="00A12887" w:rsidP="00A03523">
      <w:pPr>
        <w:jc w:val="both"/>
        <w:rPr>
          <w:rFonts w:ascii="Arial" w:hAnsi="Arial" w:cs="Arial"/>
          <w:sz w:val="22"/>
          <w:szCs w:val="22"/>
        </w:rPr>
      </w:pPr>
    </w:p>
    <w:p w14:paraId="444E360F" w14:textId="77777777" w:rsidR="00A12887" w:rsidRDefault="00A12887" w:rsidP="00A03523">
      <w:pPr>
        <w:jc w:val="both"/>
        <w:rPr>
          <w:rFonts w:ascii="Arial" w:hAnsi="Arial" w:cs="Arial"/>
          <w:sz w:val="22"/>
          <w:szCs w:val="22"/>
        </w:rPr>
      </w:pPr>
    </w:p>
    <w:p w14:paraId="01C82321" w14:textId="77777777" w:rsidR="00A12887" w:rsidRDefault="00A12887" w:rsidP="00A03523">
      <w:pPr>
        <w:jc w:val="both"/>
        <w:rPr>
          <w:rFonts w:ascii="Arial" w:hAnsi="Arial" w:cs="Arial"/>
          <w:sz w:val="22"/>
          <w:szCs w:val="22"/>
        </w:rPr>
      </w:pPr>
    </w:p>
    <w:p w14:paraId="380FE5E1" w14:textId="77777777" w:rsidR="00A12887" w:rsidRDefault="00A12887" w:rsidP="00A03523">
      <w:pPr>
        <w:jc w:val="both"/>
        <w:rPr>
          <w:rFonts w:ascii="Arial" w:hAnsi="Arial" w:cs="Arial"/>
          <w:sz w:val="22"/>
          <w:szCs w:val="22"/>
        </w:rPr>
      </w:pPr>
    </w:p>
    <w:p w14:paraId="78FA27C2" w14:textId="77777777" w:rsidR="00A12887" w:rsidRDefault="00A12887" w:rsidP="00A03523">
      <w:pPr>
        <w:jc w:val="both"/>
        <w:rPr>
          <w:rFonts w:ascii="Arial" w:hAnsi="Arial" w:cs="Arial"/>
          <w:sz w:val="22"/>
          <w:szCs w:val="22"/>
        </w:rPr>
      </w:pPr>
    </w:p>
    <w:p w14:paraId="41F05398" w14:textId="77777777" w:rsidR="00A12887" w:rsidRDefault="00A12887" w:rsidP="00A03523">
      <w:pPr>
        <w:jc w:val="both"/>
        <w:rPr>
          <w:rFonts w:ascii="Arial" w:hAnsi="Arial" w:cs="Arial"/>
          <w:sz w:val="22"/>
          <w:szCs w:val="22"/>
        </w:rPr>
      </w:pPr>
    </w:p>
    <w:p w14:paraId="4C4684F6" w14:textId="77777777" w:rsidR="00A12887" w:rsidRDefault="00A12887" w:rsidP="00A03523">
      <w:pPr>
        <w:jc w:val="both"/>
        <w:rPr>
          <w:rFonts w:ascii="Arial" w:hAnsi="Arial" w:cs="Arial"/>
          <w:sz w:val="22"/>
          <w:szCs w:val="22"/>
        </w:rPr>
      </w:pPr>
    </w:p>
    <w:p w14:paraId="10618F23" w14:textId="77777777" w:rsidR="00A12887" w:rsidRDefault="00A12887" w:rsidP="00A03523">
      <w:pPr>
        <w:jc w:val="both"/>
        <w:rPr>
          <w:rFonts w:ascii="Arial" w:hAnsi="Arial" w:cs="Arial"/>
          <w:sz w:val="22"/>
          <w:szCs w:val="22"/>
        </w:rPr>
      </w:pPr>
    </w:p>
    <w:p w14:paraId="50A5E81B" w14:textId="77777777" w:rsidR="00A12887" w:rsidRDefault="00A12887" w:rsidP="00A03523">
      <w:pPr>
        <w:jc w:val="both"/>
        <w:rPr>
          <w:rFonts w:ascii="Arial" w:hAnsi="Arial" w:cs="Arial"/>
          <w:sz w:val="22"/>
          <w:szCs w:val="22"/>
        </w:rPr>
      </w:pPr>
    </w:p>
    <w:p w14:paraId="1606DAE0" w14:textId="77777777" w:rsidR="00483183" w:rsidRDefault="00A03523" w:rsidP="00A03523">
      <w:pPr>
        <w:jc w:val="both"/>
        <w:rPr>
          <w:rFonts w:ascii="Arial" w:hAnsi="Arial" w:cs="Arial"/>
          <w:sz w:val="22"/>
          <w:szCs w:val="22"/>
        </w:rPr>
      </w:pPr>
      <w:r>
        <w:rPr>
          <w:rFonts w:ascii="Arial" w:hAnsi="Arial" w:cs="Arial"/>
          <w:sz w:val="22"/>
          <w:szCs w:val="22"/>
        </w:rPr>
        <w:t xml:space="preserve"> </w:t>
      </w:r>
    </w:p>
    <w:p w14:paraId="59E5D52D" w14:textId="77777777" w:rsidR="00483183" w:rsidRDefault="00483183" w:rsidP="00A03523">
      <w:pPr>
        <w:jc w:val="both"/>
        <w:rPr>
          <w:rFonts w:ascii="Arial" w:hAnsi="Arial" w:cs="Arial"/>
          <w:sz w:val="22"/>
          <w:szCs w:val="22"/>
        </w:rPr>
      </w:pPr>
    </w:p>
    <w:p w14:paraId="09F8A6C9" w14:textId="77777777" w:rsidR="00483183" w:rsidRDefault="00483183" w:rsidP="00A03523">
      <w:pPr>
        <w:jc w:val="both"/>
        <w:rPr>
          <w:rFonts w:ascii="Arial" w:hAnsi="Arial" w:cs="Arial"/>
          <w:sz w:val="22"/>
          <w:szCs w:val="22"/>
        </w:rPr>
      </w:pPr>
    </w:p>
    <w:p w14:paraId="134C94B6" w14:textId="77777777" w:rsidR="00483183" w:rsidRDefault="00483183" w:rsidP="00A03523">
      <w:pPr>
        <w:jc w:val="both"/>
        <w:rPr>
          <w:rFonts w:ascii="Arial" w:hAnsi="Arial" w:cs="Arial"/>
          <w:sz w:val="22"/>
          <w:szCs w:val="22"/>
        </w:rPr>
      </w:pPr>
    </w:p>
    <w:p w14:paraId="05EBEBE9" w14:textId="77777777" w:rsidR="00483183" w:rsidRDefault="00483183" w:rsidP="00A03523">
      <w:pPr>
        <w:jc w:val="both"/>
        <w:rPr>
          <w:rFonts w:ascii="Arial" w:hAnsi="Arial" w:cs="Arial"/>
          <w:sz w:val="22"/>
          <w:szCs w:val="22"/>
        </w:rPr>
      </w:pPr>
    </w:p>
    <w:p w14:paraId="32F9F20A" w14:textId="77777777" w:rsidR="00483183" w:rsidRDefault="00483183" w:rsidP="00A03523">
      <w:pPr>
        <w:jc w:val="both"/>
        <w:rPr>
          <w:rFonts w:ascii="Arial" w:hAnsi="Arial" w:cs="Arial"/>
          <w:sz w:val="22"/>
          <w:szCs w:val="22"/>
        </w:rPr>
      </w:pPr>
    </w:p>
    <w:p w14:paraId="2C9C88D2" w14:textId="77777777" w:rsidR="00483183" w:rsidRDefault="00483183" w:rsidP="00A03523">
      <w:pPr>
        <w:jc w:val="both"/>
        <w:rPr>
          <w:rFonts w:ascii="Arial" w:hAnsi="Arial" w:cs="Arial"/>
          <w:sz w:val="22"/>
          <w:szCs w:val="22"/>
        </w:rPr>
      </w:pPr>
    </w:p>
    <w:p w14:paraId="1AAF77CE" w14:textId="77777777" w:rsidR="00483183" w:rsidRDefault="00483183" w:rsidP="00A03523">
      <w:pPr>
        <w:jc w:val="both"/>
        <w:rPr>
          <w:rFonts w:ascii="Arial" w:hAnsi="Arial" w:cs="Arial"/>
          <w:sz w:val="22"/>
          <w:szCs w:val="22"/>
        </w:rPr>
      </w:pPr>
    </w:p>
    <w:p w14:paraId="3B37F0B7" w14:textId="77777777" w:rsidR="00483183" w:rsidRDefault="00483183" w:rsidP="00A03523">
      <w:pPr>
        <w:jc w:val="both"/>
        <w:rPr>
          <w:rFonts w:ascii="Arial" w:hAnsi="Arial" w:cs="Arial"/>
          <w:sz w:val="22"/>
          <w:szCs w:val="22"/>
        </w:rPr>
      </w:pPr>
    </w:p>
    <w:p w14:paraId="4D768241" w14:textId="77777777" w:rsidR="00483183" w:rsidRDefault="00483183" w:rsidP="00A03523">
      <w:pPr>
        <w:jc w:val="both"/>
        <w:rPr>
          <w:rFonts w:ascii="Arial" w:hAnsi="Arial" w:cs="Arial"/>
          <w:sz w:val="22"/>
          <w:szCs w:val="22"/>
        </w:rPr>
      </w:pPr>
    </w:p>
    <w:p w14:paraId="1C780D28" w14:textId="77777777" w:rsidR="00483183" w:rsidRDefault="00483183" w:rsidP="00A03523">
      <w:pPr>
        <w:jc w:val="both"/>
        <w:rPr>
          <w:rFonts w:ascii="Arial" w:hAnsi="Arial" w:cs="Arial"/>
          <w:sz w:val="22"/>
          <w:szCs w:val="22"/>
        </w:rPr>
      </w:pPr>
    </w:p>
    <w:p w14:paraId="69EA91AF" w14:textId="77777777" w:rsidR="00483183" w:rsidRDefault="00483183" w:rsidP="00A03523">
      <w:pPr>
        <w:jc w:val="both"/>
        <w:rPr>
          <w:rFonts w:ascii="Arial" w:hAnsi="Arial" w:cs="Arial"/>
          <w:sz w:val="22"/>
          <w:szCs w:val="22"/>
        </w:rPr>
      </w:pPr>
    </w:p>
    <w:p w14:paraId="4E41C72C" w14:textId="77777777" w:rsidR="00483183" w:rsidRDefault="00483183" w:rsidP="00A03523">
      <w:pPr>
        <w:jc w:val="both"/>
        <w:rPr>
          <w:rFonts w:ascii="Arial" w:hAnsi="Arial" w:cs="Arial"/>
          <w:sz w:val="22"/>
          <w:szCs w:val="22"/>
        </w:rPr>
      </w:pPr>
    </w:p>
    <w:p w14:paraId="520DD43B" w14:textId="77777777" w:rsidR="00483183" w:rsidRDefault="00483183" w:rsidP="00A03523">
      <w:pPr>
        <w:jc w:val="both"/>
        <w:rPr>
          <w:rFonts w:ascii="Arial" w:hAnsi="Arial" w:cs="Arial"/>
          <w:sz w:val="22"/>
          <w:szCs w:val="22"/>
        </w:rPr>
      </w:pPr>
    </w:p>
    <w:p w14:paraId="7C91E293" w14:textId="77777777" w:rsidR="00483183" w:rsidRDefault="00483183" w:rsidP="00A03523">
      <w:pPr>
        <w:jc w:val="both"/>
        <w:rPr>
          <w:rFonts w:ascii="Arial" w:hAnsi="Arial" w:cs="Arial"/>
          <w:sz w:val="22"/>
          <w:szCs w:val="22"/>
        </w:rPr>
      </w:pPr>
    </w:p>
    <w:p w14:paraId="7C866C33" w14:textId="7793CFA5" w:rsidR="00A03523" w:rsidRPr="00A03523" w:rsidRDefault="00A03523" w:rsidP="00A03523">
      <w:pPr>
        <w:jc w:val="both"/>
        <w:rPr>
          <w:rFonts w:ascii="Arial" w:hAnsi="Arial" w:cs="Arial"/>
          <w:i/>
          <w:iCs/>
          <w:sz w:val="22"/>
          <w:szCs w:val="22"/>
        </w:rPr>
      </w:pPr>
      <w:r>
        <w:rPr>
          <w:rFonts w:ascii="Arial" w:hAnsi="Arial" w:cs="Arial"/>
          <w:sz w:val="22"/>
          <w:szCs w:val="22"/>
        </w:rPr>
        <w:t xml:space="preserve">  </w:t>
      </w:r>
      <w:r w:rsidRPr="00DA411D">
        <w:rPr>
          <w:rFonts w:ascii="Arial" w:hAnsi="Arial" w:cs="Arial"/>
          <w:sz w:val="22"/>
          <w:szCs w:val="22"/>
        </w:rPr>
        <w:t>Fig 2. Mean piperine content across two developmental stages of three genotypes</w:t>
      </w:r>
    </w:p>
    <w:p w14:paraId="2A777B42" w14:textId="77777777" w:rsidR="00C16A7F" w:rsidRDefault="00C16A7F" w:rsidP="00A03523">
      <w:pPr>
        <w:jc w:val="both"/>
        <w:rPr>
          <w:rFonts w:ascii="Arial" w:hAnsi="Arial" w:cs="Arial"/>
          <w:sz w:val="22"/>
          <w:szCs w:val="22"/>
        </w:rPr>
      </w:pPr>
    </w:p>
    <w:p w14:paraId="4BF1D591" w14:textId="0C24B024" w:rsidR="00A03523" w:rsidRPr="00DA411D" w:rsidRDefault="00A03523" w:rsidP="008B6DB1">
      <w:pPr>
        <w:ind w:firstLine="720"/>
        <w:jc w:val="both"/>
        <w:rPr>
          <w:rFonts w:ascii="Arial" w:hAnsi="Arial" w:cs="Arial"/>
          <w:sz w:val="22"/>
          <w:szCs w:val="22"/>
        </w:rPr>
      </w:pPr>
      <w:r w:rsidRPr="00DA411D">
        <w:rPr>
          <w:rFonts w:ascii="Arial" w:hAnsi="Arial" w:cs="Arial"/>
          <w:sz w:val="22"/>
          <w:szCs w:val="22"/>
        </w:rPr>
        <w:t xml:space="preserve">The study examined the comparative mean piperine content (% w/w on a fresh weight basis) in three </w:t>
      </w:r>
      <w:r w:rsidRPr="002C1829">
        <w:rPr>
          <w:rFonts w:ascii="Arial" w:hAnsi="Arial" w:cs="Arial"/>
          <w:i/>
          <w:iCs/>
          <w:sz w:val="22"/>
          <w:szCs w:val="22"/>
        </w:rPr>
        <w:t>Piper nigrum</w:t>
      </w:r>
      <w:r w:rsidRPr="00DA411D">
        <w:rPr>
          <w:rFonts w:ascii="Arial" w:hAnsi="Arial" w:cs="Arial"/>
          <w:sz w:val="22"/>
          <w:szCs w:val="22"/>
        </w:rPr>
        <w:t xml:space="preserve"> genotypes (Panniyur 1, Panniyur 2, and Uthirankotta) at two main developmental stages: immature and mature. With maturation of berries, there was a gradual and significant increase in the piperine content in all varieties. This confirms a major trend of secondary metabolite accumulation during the later stages of fruit development in black pepper, thus agreeing with earlier reports </w:t>
      </w:r>
      <w:r w:rsidR="004933E7">
        <w:rPr>
          <w:rFonts w:ascii="Arial" w:hAnsi="Arial" w:cs="Arial"/>
          <w:sz w:val="22"/>
          <w:szCs w:val="22"/>
        </w:rPr>
        <w:t>[27]</w:t>
      </w:r>
      <w:r w:rsidRPr="00DA411D">
        <w:rPr>
          <w:rFonts w:ascii="Arial" w:hAnsi="Arial" w:cs="Arial"/>
          <w:sz w:val="22"/>
          <w:szCs w:val="22"/>
        </w:rPr>
        <w:t>.</w:t>
      </w:r>
    </w:p>
    <w:p w14:paraId="179AEB07" w14:textId="77777777" w:rsidR="00A03523" w:rsidRPr="00DA411D" w:rsidRDefault="00A03523" w:rsidP="00A03523">
      <w:pPr>
        <w:ind w:firstLine="720"/>
        <w:jc w:val="both"/>
        <w:rPr>
          <w:rFonts w:ascii="Arial" w:hAnsi="Arial" w:cs="Arial"/>
          <w:sz w:val="22"/>
          <w:szCs w:val="22"/>
        </w:rPr>
      </w:pPr>
      <w:r w:rsidRPr="00DA411D">
        <w:rPr>
          <w:rFonts w:ascii="Arial" w:hAnsi="Arial" w:cs="Arial"/>
          <w:sz w:val="22"/>
          <w:szCs w:val="22"/>
        </w:rPr>
        <w:t xml:space="preserve">The content of piperine varied between 0.77 and 1.25 percent at the immature stage. Panniyur 2 gave the highest accumulation, 1.25 percent, which was statistically higher (P = 0.05) than that of both Panniyur 1 (1.05%) and Uthirankotta (0.77%). The recorded concentration in immature Uthirankotta was notably the lowest. The values </w:t>
      </w:r>
      <w:r w:rsidRPr="00DA411D">
        <w:rPr>
          <w:rFonts w:ascii="Arial" w:hAnsi="Arial" w:cs="Arial"/>
          <w:sz w:val="22"/>
          <w:szCs w:val="22"/>
        </w:rPr>
        <w:lastRenderedPageBreak/>
        <w:t>ranged from 3.86% to 6.56%, with a significant enhancement at the mature stage. Panniyur 2 retained the maximum content, 6.56%, which was statistically superior (P = 0.05) to that of Panniyur 1 (5.51%) and Uthirankotta (3.86%), in coherence with the immature stage. The genotypic variation in the biosynthetic activity was underlined by the maximum difference of 2.70% between the highest (Panniyur 2) and the lowest (Uthirankotta) at maturity.</w:t>
      </w:r>
    </w:p>
    <w:p w14:paraId="2D372CBB" w14:textId="5E05F3A9" w:rsidR="00A03523" w:rsidRPr="00DA411D" w:rsidRDefault="00A03523" w:rsidP="00A03523">
      <w:pPr>
        <w:ind w:firstLine="720"/>
        <w:jc w:val="both"/>
        <w:rPr>
          <w:rFonts w:ascii="Arial" w:hAnsi="Arial" w:cs="Arial"/>
          <w:sz w:val="22"/>
          <w:szCs w:val="22"/>
        </w:rPr>
      </w:pPr>
      <w:r w:rsidRPr="00DA411D">
        <w:rPr>
          <w:rFonts w:ascii="Arial" w:hAnsi="Arial" w:cs="Arial"/>
          <w:sz w:val="22"/>
          <w:szCs w:val="22"/>
        </w:rPr>
        <w:t xml:space="preserve">In this study, the estimated concentration of piperine ranged from 6.56% in mature Panniyur 2 to 0.77% in immature Uthirankotta. </w:t>
      </w:r>
      <w:r w:rsidR="004933E7">
        <w:rPr>
          <w:rFonts w:ascii="Arial" w:hAnsi="Arial" w:cs="Arial"/>
          <w:sz w:val="22"/>
          <w:szCs w:val="22"/>
        </w:rPr>
        <w:t xml:space="preserve">[27] </w:t>
      </w:r>
      <w:r w:rsidRPr="00DA411D">
        <w:rPr>
          <w:rFonts w:ascii="Arial" w:hAnsi="Arial" w:cs="Arial"/>
          <w:sz w:val="22"/>
          <w:szCs w:val="22"/>
        </w:rPr>
        <w:t xml:space="preserve">and </w:t>
      </w:r>
      <w:r w:rsidR="004933E7">
        <w:rPr>
          <w:rFonts w:ascii="Arial" w:hAnsi="Arial" w:cs="Arial"/>
          <w:sz w:val="22"/>
          <w:szCs w:val="22"/>
        </w:rPr>
        <w:t>[28]</w:t>
      </w:r>
      <w:r w:rsidRPr="00DA411D">
        <w:rPr>
          <w:rFonts w:ascii="Arial" w:hAnsi="Arial" w:cs="Arial"/>
          <w:sz w:val="22"/>
          <w:szCs w:val="22"/>
        </w:rPr>
        <w:t xml:space="preserve"> reported that the mature fruit values for black pepper fruits are typically within a range from 2% to 8%. The highest piperine content of 6.56%, obtained for mature Panniyur 2, falls within the high value range for the variety, like 6.6 percent reported by </w:t>
      </w:r>
      <w:r w:rsidR="004933E7">
        <w:rPr>
          <w:rFonts w:ascii="Arial" w:hAnsi="Arial" w:cs="Arial"/>
          <w:sz w:val="22"/>
          <w:szCs w:val="22"/>
        </w:rPr>
        <w:t>[29]</w:t>
      </w:r>
      <w:r w:rsidRPr="00DA411D">
        <w:rPr>
          <w:rFonts w:ascii="Arial" w:hAnsi="Arial" w:cs="Arial"/>
          <w:sz w:val="22"/>
          <w:szCs w:val="22"/>
        </w:rPr>
        <w:t xml:space="preserve">. The slightly lower figure obtained in this study compared to some reports underscores the fact that piperine concentration tends to be highly variable with varietal character, harvest stage, and prevailing agroclimatic conditions </w:t>
      </w:r>
      <w:r w:rsidR="004933E7">
        <w:rPr>
          <w:rFonts w:ascii="Arial" w:hAnsi="Arial" w:cs="Arial"/>
          <w:sz w:val="22"/>
          <w:szCs w:val="22"/>
        </w:rPr>
        <w:t>[30,31</w:t>
      </w:r>
      <w:r w:rsidRPr="00DA411D">
        <w:rPr>
          <w:rFonts w:ascii="Arial" w:hAnsi="Arial" w:cs="Arial"/>
          <w:sz w:val="22"/>
          <w:szCs w:val="22"/>
        </w:rPr>
        <w:t>,</w:t>
      </w:r>
      <w:r w:rsidR="004933E7">
        <w:rPr>
          <w:rFonts w:ascii="Arial" w:hAnsi="Arial" w:cs="Arial"/>
          <w:sz w:val="22"/>
          <w:szCs w:val="22"/>
        </w:rPr>
        <w:t>3</w:t>
      </w:r>
      <w:r w:rsidRPr="00DA411D">
        <w:rPr>
          <w:rFonts w:ascii="Arial" w:hAnsi="Arial" w:cs="Arial"/>
          <w:sz w:val="22"/>
          <w:szCs w:val="22"/>
        </w:rPr>
        <w:t xml:space="preserve">2). In mature Panniyur 1, the piperine content recorded at 5.51 percent is significantly higher compared to the earlier reported values </w:t>
      </w:r>
      <w:r w:rsidR="004933E7">
        <w:rPr>
          <w:rFonts w:ascii="Arial" w:hAnsi="Arial" w:cs="Arial"/>
          <w:sz w:val="22"/>
          <w:szCs w:val="22"/>
        </w:rPr>
        <w:t>[32, 33</w:t>
      </w:r>
      <w:r w:rsidRPr="00DA411D">
        <w:rPr>
          <w:rFonts w:ascii="Arial" w:hAnsi="Arial" w:cs="Arial"/>
          <w:sz w:val="22"/>
          <w:szCs w:val="22"/>
        </w:rPr>
        <w:t xml:space="preserve">; </w:t>
      </w:r>
      <w:r w:rsidR="004933E7">
        <w:rPr>
          <w:rFonts w:ascii="Arial" w:hAnsi="Arial" w:cs="Arial"/>
          <w:sz w:val="22"/>
          <w:szCs w:val="22"/>
        </w:rPr>
        <w:t>34]</w:t>
      </w:r>
      <w:r w:rsidRPr="00DA411D">
        <w:rPr>
          <w:rFonts w:ascii="Arial" w:hAnsi="Arial" w:cs="Arial"/>
          <w:sz w:val="22"/>
          <w:szCs w:val="22"/>
        </w:rPr>
        <w:t xml:space="preserve"> of this genotype, which ranged from 2.13 percent to 4.49 percent. However, it was comparable with 5.3% piperine content reported by </w:t>
      </w:r>
      <w:r w:rsidR="004933E7">
        <w:rPr>
          <w:rFonts w:ascii="Arial" w:hAnsi="Arial" w:cs="Arial"/>
          <w:sz w:val="22"/>
          <w:szCs w:val="22"/>
        </w:rPr>
        <w:t>[35]</w:t>
      </w:r>
      <w:r w:rsidRPr="00DA411D">
        <w:rPr>
          <w:rFonts w:ascii="Arial" w:hAnsi="Arial" w:cs="Arial"/>
          <w:sz w:val="22"/>
          <w:szCs w:val="22"/>
        </w:rPr>
        <w:t xml:space="preserve">. The 3.86% content in mature Uthirankotta is at the lower end of the piperine spectrum for popular black pepper cultivars, often reported to be in the range of 2.8-3.8% </w:t>
      </w:r>
      <w:r w:rsidR="004933E7">
        <w:rPr>
          <w:rFonts w:ascii="Arial" w:hAnsi="Arial" w:cs="Arial"/>
          <w:sz w:val="22"/>
          <w:szCs w:val="22"/>
        </w:rPr>
        <w:t>[36].</w:t>
      </w:r>
    </w:p>
    <w:p w14:paraId="38BBDCD3" w14:textId="01E08E58" w:rsidR="00A03523" w:rsidRPr="00DA411D" w:rsidRDefault="00A03523" w:rsidP="00A03523">
      <w:pPr>
        <w:ind w:firstLine="720"/>
        <w:jc w:val="both"/>
        <w:rPr>
          <w:rFonts w:ascii="Arial" w:hAnsi="Arial" w:cs="Arial"/>
          <w:sz w:val="22"/>
          <w:szCs w:val="22"/>
        </w:rPr>
      </w:pPr>
      <w:r w:rsidRPr="00DA411D">
        <w:rPr>
          <w:rFonts w:ascii="Arial" w:hAnsi="Arial" w:cs="Arial"/>
          <w:sz w:val="22"/>
          <w:szCs w:val="22"/>
        </w:rPr>
        <w:t xml:space="preserve">The finding of the significantly higher accumulation of piperine in Panniyur 2 and Panniyur 1, as compared with Uthirankotta at both stages, confirms their superior genetic potential for this key secondary metabolite. This would mean that genotype is a primary factor affecting the final piperine yield. The results also accord with the generally accepted relationship that, whereas the number of secondary metabolites like piperine increases during fruit maturation, this may be followed by a decline at the final ripening stage due to metabolism of volatile oils and other components </w:t>
      </w:r>
      <w:r w:rsidR="004933E7">
        <w:rPr>
          <w:rFonts w:ascii="Arial" w:hAnsi="Arial" w:cs="Arial"/>
          <w:sz w:val="22"/>
          <w:szCs w:val="22"/>
        </w:rPr>
        <w:t>[37]</w:t>
      </w:r>
      <w:r w:rsidRPr="00DA411D">
        <w:rPr>
          <w:rFonts w:ascii="Arial" w:hAnsi="Arial" w:cs="Arial"/>
          <w:sz w:val="22"/>
          <w:szCs w:val="22"/>
        </w:rPr>
        <w:t>. The peak accumulation observed in the mature green stage in the present study provides evidence to support the optimal timing of harvest at this stage for maximum yield of piperine.</w:t>
      </w:r>
    </w:p>
    <w:p w14:paraId="1A134ACB" w14:textId="77777777" w:rsidR="00A03523" w:rsidRPr="00DA411D" w:rsidRDefault="00A03523" w:rsidP="00A03523">
      <w:pPr>
        <w:pStyle w:val="Body"/>
        <w:spacing w:after="0"/>
        <w:rPr>
          <w:rFonts w:ascii="Arial" w:hAnsi="Arial" w:cs="Arial"/>
          <w:sz w:val="22"/>
          <w:szCs w:val="22"/>
        </w:rPr>
      </w:pPr>
    </w:p>
    <w:p w14:paraId="712913CD" w14:textId="77777777" w:rsidR="00A03523" w:rsidRPr="00DA411D" w:rsidRDefault="00A03523" w:rsidP="00A03523">
      <w:pPr>
        <w:pStyle w:val="ConcHead"/>
        <w:spacing w:after="0"/>
        <w:jc w:val="both"/>
        <w:rPr>
          <w:rFonts w:ascii="Arial" w:hAnsi="Arial" w:cs="Arial"/>
          <w:szCs w:val="22"/>
        </w:rPr>
      </w:pPr>
      <w:r w:rsidRPr="00DA411D">
        <w:rPr>
          <w:rFonts w:ascii="Arial" w:hAnsi="Arial" w:cs="Arial"/>
          <w:szCs w:val="22"/>
        </w:rPr>
        <w:t>4. Conclusion</w:t>
      </w:r>
    </w:p>
    <w:p w14:paraId="4FE9994E" w14:textId="77777777" w:rsidR="00A03523" w:rsidRPr="00DA411D" w:rsidRDefault="00A03523" w:rsidP="00A03523">
      <w:pPr>
        <w:pStyle w:val="ConcHead"/>
        <w:spacing w:after="0"/>
        <w:jc w:val="both"/>
        <w:rPr>
          <w:rFonts w:ascii="Arial" w:hAnsi="Arial" w:cs="Arial"/>
          <w:szCs w:val="22"/>
        </w:rPr>
      </w:pPr>
    </w:p>
    <w:p w14:paraId="4FAB2CA9" w14:textId="77777777" w:rsidR="00A03523" w:rsidRPr="00DA411D" w:rsidRDefault="00A03523" w:rsidP="00A03523">
      <w:p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The mature green stage was indicated to be the time of maximum accumulation, and this investigation establishes beyond doubt an inherent genetic superiority of Panniyur 2 for production of piperine. The significant and reliable metabolic difference between Panniyur 2 and Uthirankotta has provided a sound scientific basis for deciding on future molecular and crop research goals. Establishment of Panniyur 2 and its crosses as top priority in breeding programs that are aimed at developing new cultivars with quality, yield, and resistance characteristics. Rapid identification and characterization of genes and regulatory elements that control biosynthesis of piperine using the Uthirankotta accession as a defined genetic tool will aid eventually in developing molecular markers for marker-assisted selection in </w:t>
      </w:r>
      <w:r w:rsidRPr="00DA411D">
        <w:rPr>
          <w:rFonts w:ascii="Arial" w:hAnsi="Arial" w:cs="Arial"/>
          <w:i/>
          <w:iCs/>
          <w:color w:val="000000" w:themeColor="text1"/>
          <w:sz w:val="22"/>
          <w:szCs w:val="22"/>
        </w:rPr>
        <w:t>Piper nigrum</w:t>
      </w:r>
      <w:r w:rsidRPr="00DA411D">
        <w:rPr>
          <w:rFonts w:ascii="Arial" w:hAnsi="Arial" w:cs="Arial"/>
          <w:color w:val="000000" w:themeColor="text1"/>
          <w:sz w:val="22"/>
          <w:szCs w:val="22"/>
        </w:rPr>
        <w:t>. For large-scale screening and quality control, the validated rapid UV spectrophotometric method provides a practical solution.</w:t>
      </w:r>
    </w:p>
    <w:p w14:paraId="74DD3BBD" w14:textId="77777777" w:rsidR="00A03523" w:rsidRPr="00DA411D" w:rsidRDefault="00A03523" w:rsidP="00A03523">
      <w:pPr>
        <w:pStyle w:val="Body"/>
        <w:spacing w:after="0"/>
        <w:rPr>
          <w:rFonts w:ascii="Arial" w:hAnsi="Arial" w:cs="Arial"/>
          <w:sz w:val="22"/>
          <w:szCs w:val="22"/>
        </w:rPr>
      </w:pPr>
    </w:p>
    <w:p w14:paraId="4C487EDD" w14:textId="77777777" w:rsidR="00A03523" w:rsidRDefault="00A03523" w:rsidP="00A03523">
      <w:pPr>
        <w:pStyle w:val="ReferHead"/>
        <w:spacing w:after="0"/>
        <w:jc w:val="both"/>
        <w:rPr>
          <w:rFonts w:ascii="Arial" w:hAnsi="Arial" w:cs="Arial"/>
          <w:b w:val="0"/>
          <w:caps w:val="0"/>
          <w:sz w:val="20"/>
        </w:rPr>
      </w:pPr>
    </w:p>
    <w:p w14:paraId="1437C953" w14:textId="77777777" w:rsidR="00A03523" w:rsidRDefault="00A03523" w:rsidP="00A03523">
      <w:pPr>
        <w:pStyle w:val="ReferHead"/>
        <w:spacing w:after="0"/>
        <w:jc w:val="both"/>
        <w:rPr>
          <w:rFonts w:ascii="Arial" w:hAnsi="Arial" w:cs="Arial"/>
          <w:bCs/>
        </w:rPr>
      </w:pPr>
      <w:r>
        <w:rPr>
          <w:rFonts w:ascii="Arial" w:hAnsi="Arial" w:cs="Arial"/>
          <w:bCs/>
        </w:rPr>
        <w:t>Ethical approval (where ever applicable)</w:t>
      </w:r>
    </w:p>
    <w:p w14:paraId="3B3331FF" w14:textId="77777777" w:rsidR="00A03523" w:rsidRPr="002B685A" w:rsidRDefault="00A03523" w:rsidP="00A03523">
      <w:pPr>
        <w:pStyle w:val="ReferHead"/>
        <w:spacing w:after="0"/>
        <w:jc w:val="both"/>
        <w:rPr>
          <w:rFonts w:ascii="Arial" w:hAnsi="Arial" w:cs="Arial"/>
          <w:bCs/>
        </w:rPr>
      </w:pPr>
    </w:p>
    <w:p w14:paraId="3611C9FF" w14:textId="77777777" w:rsidR="00A03523" w:rsidRDefault="00A03523" w:rsidP="00A03523">
      <w:pPr>
        <w:pStyle w:val="ReferHead"/>
        <w:jc w:val="both"/>
        <w:rPr>
          <w:rFonts w:ascii="Arial" w:hAnsi="Arial" w:cs="Arial"/>
          <w:b w:val="0"/>
          <w:bCs/>
          <w:caps w:val="0"/>
        </w:rPr>
      </w:pPr>
      <w:r>
        <w:rPr>
          <w:rFonts w:ascii="Arial" w:hAnsi="Arial" w:cs="Arial"/>
          <w:b w:val="0"/>
          <w:bCs/>
          <w:caps w:val="0"/>
        </w:rPr>
        <w:t>E</w:t>
      </w:r>
      <w:r w:rsidRPr="00DA411D">
        <w:rPr>
          <w:rFonts w:ascii="Arial" w:hAnsi="Arial" w:cs="Arial"/>
          <w:b w:val="0"/>
          <w:bCs/>
          <w:caps w:val="0"/>
        </w:rPr>
        <w:t>thical approval was not required for this study as it did not involve human participants, animal experiments, or the collection of personal data.</w:t>
      </w:r>
    </w:p>
    <w:p w14:paraId="14665B6E" w14:textId="77777777" w:rsidR="00137144" w:rsidRDefault="00137144" w:rsidP="00A03523">
      <w:pPr>
        <w:pStyle w:val="ReferHead"/>
        <w:jc w:val="both"/>
        <w:rPr>
          <w:rFonts w:ascii="Arial" w:hAnsi="Arial" w:cs="Arial"/>
          <w:b w:val="0"/>
          <w:bCs/>
          <w:caps w:val="0"/>
        </w:rPr>
      </w:pPr>
    </w:p>
    <w:p w14:paraId="37386615" w14:textId="77777777" w:rsidR="00137144" w:rsidRPr="00137144" w:rsidRDefault="00137144" w:rsidP="00137144">
      <w:pPr>
        <w:spacing w:after="200" w:line="276" w:lineRule="auto"/>
        <w:jc w:val="both"/>
        <w:outlineLvl w:val="0"/>
        <w:rPr>
          <w:rFonts w:ascii="Arial" w:eastAsiaTheme="minorEastAsia" w:hAnsi="Arial" w:cs="Arial"/>
          <w:sz w:val="22"/>
          <w:szCs w:val="22"/>
          <w:lang w:val="en-GB" w:eastAsia="en-GB"/>
        </w:rPr>
      </w:pPr>
      <w:r w:rsidRPr="00137144">
        <w:rPr>
          <w:rFonts w:ascii="Arial" w:eastAsiaTheme="minorEastAsia" w:hAnsi="Arial" w:cs="Arial"/>
          <w:b/>
          <w:bCs/>
          <w:sz w:val="22"/>
          <w:szCs w:val="22"/>
          <w:lang w:val="en-GB" w:eastAsia="en-GB"/>
        </w:rPr>
        <w:t>COMPETING INTERESTS DISCLAIMER:</w:t>
      </w:r>
    </w:p>
    <w:p w14:paraId="09B105C1" w14:textId="77777777" w:rsidR="00137144" w:rsidRPr="00137144" w:rsidRDefault="00137144" w:rsidP="00137144">
      <w:pPr>
        <w:spacing w:after="200" w:line="276" w:lineRule="auto"/>
        <w:rPr>
          <w:rFonts w:asciiTheme="minorHAnsi" w:eastAsiaTheme="minorEastAsia" w:hAnsiTheme="minorHAnsi" w:cstheme="minorBidi"/>
          <w:sz w:val="22"/>
          <w:szCs w:val="22"/>
          <w:lang w:val="en-GB" w:eastAsia="en-GB"/>
        </w:rPr>
      </w:pPr>
      <w:r w:rsidRPr="00137144">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A122F10" w14:textId="77777777" w:rsidR="00137144" w:rsidRPr="00DA411D" w:rsidRDefault="00137144" w:rsidP="00A03523">
      <w:pPr>
        <w:pStyle w:val="ReferHead"/>
        <w:jc w:val="both"/>
        <w:rPr>
          <w:rFonts w:ascii="Arial" w:hAnsi="Arial" w:cs="Arial"/>
          <w:b w:val="0"/>
          <w:bCs/>
        </w:rPr>
      </w:pPr>
    </w:p>
    <w:p w14:paraId="637F049D" w14:textId="77777777" w:rsidR="00A03523" w:rsidRDefault="00A03523" w:rsidP="00A03523">
      <w:pPr>
        <w:pStyle w:val="ReferHead"/>
        <w:spacing w:after="0"/>
        <w:jc w:val="both"/>
        <w:rPr>
          <w:rFonts w:ascii="Arial" w:hAnsi="Arial" w:cs="Arial"/>
        </w:rPr>
      </w:pPr>
    </w:p>
    <w:p w14:paraId="1AE0F818" w14:textId="77777777" w:rsidR="00A03523" w:rsidRDefault="00A03523" w:rsidP="00A03523">
      <w:pPr>
        <w:pStyle w:val="ReferHead"/>
        <w:spacing w:after="0"/>
        <w:jc w:val="both"/>
        <w:rPr>
          <w:rFonts w:ascii="Arial" w:hAnsi="Arial" w:cs="Arial"/>
        </w:rPr>
      </w:pPr>
      <w:r w:rsidRPr="00FB3A86">
        <w:rPr>
          <w:rFonts w:ascii="Arial" w:hAnsi="Arial" w:cs="Arial"/>
        </w:rPr>
        <w:t>References</w:t>
      </w:r>
    </w:p>
    <w:p w14:paraId="439A6A44" w14:textId="77777777" w:rsidR="00A03523" w:rsidRPr="00FB3A86" w:rsidRDefault="00A03523" w:rsidP="00A03523">
      <w:pPr>
        <w:pStyle w:val="ReferHead"/>
        <w:spacing w:after="0"/>
        <w:jc w:val="both"/>
        <w:rPr>
          <w:rFonts w:ascii="Arial" w:hAnsi="Arial" w:cs="Arial"/>
        </w:rPr>
      </w:pPr>
    </w:p>
    <w:p w14:paraId="15EB795D" w14:textId="77777777" w:rsidR="00A03523" w:rsidRPr="00DA411D" w:rsidRDefault="00A03523" w:rsidP="00A03523">
      <w:pPr>
        <w:pStyle w:val="ListParagraph"/>
        <w:numPr>
          <w:ilvl w:val="0"/>
          <w:numId w:val="31"/>
        </w:numPr>
        <w:jc w:val="both"/>
        <w:rPr>
          <w:rFonts w:ascii="Arial" w:hAnsi="Arial" w:cs="Arial"/>
          <w:i/>
          <w:iCs/>
          <w:color w:val="000000" w:themeColor="text1"/>
          <w:sz w:val="22"/>
          <w:szCs w:val="22"/>
        </w:rPr>
      </w:pPr>
      <w:r w:rsidRPr="00DA411D">
        <w:rPr>
          <w:rFonts w:ascii="Arial" w:hAnsi="Arial" w:cs="Arial"/>
          <w:color w:val="000000" w:themeColor="text1"/>
          <w:sz w:val="22"/>
          <w:szCs w:val="22"/>
        </w:rPr>
        <w:t xml:space="preserve">Rahiman, B. A., Murthy, K. N., Nair, M. K., &amp; Nayar, N. M. (1979). Distribution, morphology and ecology of </w:t>
      </w:r>
      <w:r w:rsidRPr="00DA411D">
        <w:rPr>
          <w:rFonts w:ascii="Arial" w:hAnsi="Arial" w:cs="Arial"/>
          <w:i/>
          <w:iCs/>
          <w:color w:val="000000" w:themeColor="text1"/>
          <w:sz w:val="22"/>
          <w:szCs w:val="22"/>
        </w:rPr>
        <w:t>Piper</w:t>
      </w:r>
      <w:r w:rsidRPr="00DA411D">
        <w:rPr>
          <w:rFonts w:ascii="Arial" w:hAnsi="Arial" w:cs="Arial"/>
          <w:color w:val="000000" w:themeColor="text1"/>
          <w:sz w:val="22"/>
          <w:szCs w:val="22"/>
        </w:rPr>
        <w:t xml:space="preserve"> species in Karnataka [pepper, India]. </w:t>
      </w:r>
      <w:r w:rsidRPr="00DA411D">
        <w:rPr>
          <w:rFonts w:ascii="Arial" w:hAnsi="Arial" w:cs="Arial"/>
          <w:i/>
          <w:iCs/>
          <w:color w:val="000000" w:themeColor="text1"/>
          <w:sz w:val="22"/>
          <w:szCs w:val="22"/>
        </w:rPr>
        <w:t xml:space="preserve">Journal of Plantation Crops, </w:t>
      </w:r>
      <w:r w:rsidRPr="00DA411D">
        <w:rPr>
          <w:rFonts w:ascii="Arial" w:hAnsi="Arial" w:cs="Arial"/>
          <w:color w:val="000000" w:themeColor="text1"/>
          <w:sz w:val="22"/>
          <w:szCs w:val="22"/>
        </w:rPr>
        <w:t>7(2), 93-100.</w:t>
      </w:r>
    </w:p>
    <w:p w14:paraId="059BA347"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Bekele, T. T., Getahun, B., &amp; Toga, T. (2025). Pre-extension demonstration of black pepper (</w:t>
      </w:r>
      <w:r w:rsidRPr="00DA411D">
        <w:rPr>
          <w:rFonts w:ascii="Arial" w:hAnsi="Arial" w:cs="Arial"/>
          <w:i/>
          <w:iCs/>
          <w:color w:val="000000" w:themeColor="text1"/>
          <w:sz w:val="22"/>
          <w:szCs w:val="22"/>
        </w:rPr>
        <w:t>Piper nigrum</w:t>
      </w:r>
      <w:r w:rsidRPr="00DA411D">
        <w:rPr>
          <w:rFonts w:ascii="Arial" w:hAnsi="Arial" w:cs="Arial"/>
          <w:color w:val="000000" w:themeColor="text1"/>
          <w:sz w:val="22"/>
          <w:szCs w:val="22"/>
        </w:rPr>
        <w:t xml:space="preserve"> Linn.) technologies in selected districts of Ethiopia. </w:t>
      </w:r>
      <w:r w:rsidRPr="00DA411D">
        <w:rPr>
          <w:rFonts w:ascii="Arial" w:hAnsi="Arial" w:cs="Arial"/>
          <w:i/>
          <w:iCs/>
          <w:color w:val="000000" w:themeColor="text1"/>
          <w:sz w:val="22"/>
          <w:szCs w:val="22"/>
        </w:rPr>
        <w:t>International Journal of Agricultural Research, Innovation and Technology,</w:t>
      </w:r>
      <w:r w:rsidRPr="00DA411D">
        <w:rPr>
          <w:rFonts w:ascii="Arial" w:hAnsi="Arial" w:cs="Arial"/>
          <w:color w:val="000000" w:themeColor="text1"/>
          <w:sz w:val="22"/>
          <w:szCs w:val="22"/>
        </w:rPr>
        <w:t xml:space="preserve"> 15(1), 70-77.</w:t>
      </w:r>
    </w:p>
    <w:p w14:paraId="3ED3A100"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Roy, P., &amp; Garg, A. P. (2023). Enhancement of Refrigerated Shelf Life of Foods against Microbial Spoilage Using Indian Spices. </w:t>
      </w:r>
      <w:r w:rsidRPr="00DA411D">
        <w:rPr>
          <w:rFonts w:ascii="Arial" w:hAnsi="Arial" w:cs="Arial"/>
          <w:i/>
          <w:iCs/>
          <w:color w:val="000000" w:themeColor="text1"/>
          <w:sz w:val="22"/>
          <w:szCs w:val="22"/>
        </w:rPr>
        <w:t>European Journal of Nutrition and Food Safety,</w:t>
      </w:r>
      <w:r w:rsidRPr="00DA411D">
        <w:rPr>
          <w:rFonts w:ascii="Arial" w:hAnsi="Arial" w:cs="Arial"/>
          <w:color w:val="000000" w:themeColor="text1"/>
          <w:sz w:val="22"/>
          <w:szCs w:val="22"/>
        </w:rPr>
        <w:t xml:space="preserve"> 15(10), 38-50.</w:t>
      </w:r>
    </w:p>
    <w:p w14:paraId="57D45E68"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Ashokkumar, K., Murugan, M., Dhanya, M. K., Pandian, A., &amp; Warkentin, T. D. (2021). Phytochemistry and therapeutic potential of black pepper [</w:t>
      </w:r>
      <w:r w:rsidRPr="00DA411D">
        <w:rPr>
          <w:rFonts w:ascii="Arial" w:hAnsi="Arial" w:cs="Arial"/>
          <w:i/>
          <w:iCs/>
          <w:color w:val="000000" w:themeColor="text1"/>
          <w:sz w:val="22"/>
          <w:szCs w:val="22"/>
        </w:rPr>
        <w:t>Piper nigrum</w:t>
      </w:r>
      <w:r w:rsidRPr="00DA411D">
        <w:rPr>
          <w:rFonts w:ascii="Arial" w:hAnsi="Arial" w:cs="Arial"/>
          <w:color w:val="000000" w:themeColor="text1"/>
          <w:sz w:val="22"/>
          <w:szCs w:val="22"/>
        </w:rPr>
        <w:t xml:space="preserve"> (L.)] essential oil and piperine: A review. </w:t>
      </w:r>
      <w:r w:rsidRPr="00DA411D">
        <w:rPr>
          <w:rFonts w:ascii="Arial" w:hAnsi="Arial" w:cs="Arial"/>
          <w:i/>
          <w:iCs/>
          <w:color w:val="000000" w:themeColor="text1"/>
          <w:sz w:val="22"/>
          <w:szCs w:val="22"/>
        </w:rPr>
        <w:t xml:space="preserve">Clinical </w:t>
      </w:r>
      <w:proofErr w:type="spellStart"/>
      <w:r w:rsidRPr="00DA411D">
        <w:rPr>
          <w:rFonts w:ascii="Arial" w:hAnsi="Arial" w:cs="Arial"/>
          <w:i/>
          <w:iCs/>
          <w:color w:val="000000" w:themeColor="text1"/>
          <w:sz w:val="22"/>
          <w:szCs w:val="22"/>
        </w:rPr>
        <w:t>Phytoscience</w:t>
      </w:r>
      <w:proofErr w:type="spellEnd"/>
      <w:r w:rsidRPr="00DA411D">
        <w:rPr>
          <w:rFonts w:ascii="Arial" w:hAnsi="Arial" w:cs="Arial"/>
          <w:color w:val="000000" w:themeColor="text1"/>
          <w:sz w:val="22"/>
          <w:szCs w:val="22"/>
        </w:rPr>
        <w:t>, 7(1), 52.</w:t>
      </w:r>
    </w:p>
    <w:p w14:paraId="09369AB8"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Gorgani, L., Mohammadi, M., Najafpour, G. D., &amp; Nikzad, M. (2017). Piperine—the bioactive compound of black pepper: from isolation to medicinal formulations. </w:t>
      </w:r>
      <w:r w:rsidRPr="00DA411D">
        <w:rPr>
          <w:rFonts w:ascii="Arial" w:hAnsi="Arial" w:cs="Arial"/>
          <w:i/>
          <w:iCs/>
          <w:color w:val="000000" w:themeColor="text1"/>
          <w:sz w:val="22"/>
          <w:szCs w:val="22"/>
        </w:rPr>
        <w:t>Comprehensive reviews in food science and food safety</w:t>
      </w:r>
      <w:r w:rsidRPr="00DA411D">
        <w:rPr>
          <w:rFonts w:ascii="Arial" w:hAnsi="Arial" w:cs="Arial"/>
          <w:color w:val="000000" w:themeColor="text1"/>
          <w:sz w:val="22"/>
          <w:szCs w:val="22"/>
        </w:rPr>
        <w:t>, 16(1), 124-140.</w:t>
      </w:r>
    </w:p>
    <w:p w14:paraId="0EDA3DA5"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Shrestha, S., Chaudhary, N., Sah, R., &amp; Malakar, N. (2020). Analysis of piperine in black pepper by high performance liquid chromatography. </w:t>
      </w:r>
      <w:r w:rsidRPr="00DA411D">
        <w:rPr>
          <w:rFonts w:ascii="Arial" w:hAnsi="Arial" w:cs="Arial"/>
          <w:i/>
          <w:iCs/>
          <w:color w:val="000000" w:themeColor="text1"/>
          <w:sz w:val="22"/>
          <w:szCs w:val="22"/>
        </w:rPr>
        <w:t>Journal of Nepal Chemical Society</w:t>
      </w:r>
      <w:r w:rsidRPr="00DA411D">
        <w:rPr>
          <w:rFonts w:ascii="Arial" w:hAnsi="Arial" w:cs="Arial"/>
          <w:color w:val="000000" w:themeColor="text1"/>
          <w:sz w:val="22"/>
          <w:szCs w:val="22"/>
        </w:rPr>
        <w:t>, 41(1), 80-86.</w:t>
      </w:r>
    </w:p>
    <w:p w14:paraId="657B8A47"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Food Safety and Standards Authority of India. (2017). Standard for black, white and green peppers. </w:t>
      </w:r>
      <w:r w:rsidRPr="00DA411D">
        <w:rPr>
          <w:rFonts w:ascii="Arial" w:hAnsi="Arial" w:cs="Arial"/>
          <w:i/>
          <w:iCs/>
          <w:color w:val="000000" w:themeColor="text1"/>
          <w:sz w:val="22"/>
          <w:szCs w:val="22"/>
        </w:rPr>
        <w:t>Codex Alimentarius</w:t>
      </w:r>
      <w:r w:rsidRPr="00DA411D">
        <w:rPr>
          <w:rFonts w:ascii="Arial" w:hAnsi="Arial" w:cs="Arial"/>
          <w:color w:val="000000" w:themeColor="text1"/>
          <w:sz w:val="22"/>
          <w:szCs w:val="22"/>
        </w:rPr>
        <w:t>, pp:1-6</w:t>
      </w:r>
    </w:p>
    <w:p w14:paraId="4F74AD7E"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Parthasarathy, V. A., Sasikumar, B., Nair, R. R., &amp; George, K. J. (2007). Black pepper: botany and horticulture</w:t>
      </w:r>
      <w:r w:rsidRPr="00DA411D">
        <w:rPr>
          <w:rFonts w:ascii="Arial" w:hAnsi="Arial" w:cs="Arial"/>
          <w:i/>
          <w:iCs/>
          <w:color w:val="000000" w:themeColor="text1"/>
          <w:sz w:val="22"/>
          <w:szCs w:val="22"/>
        </w:rPr>
        <w:t>. Horticultural reviews</w:t>
      </w:r>
      <w:r w:rsidRPr="00DA411D">
        <w:rPr>
          <w:rFonts w:ascii="Arial" w:hAnsi="Arial" w:cs="Arial"/>
          <w:color w:val="000000" w:themeColor="text1"/>
          <w:sz w:val="22"/>
          <w:szCs w:val="22"/>
        </w:rPr>
        <w:t>, 33, 173.</w:t>
      </w:r>
    </w:p>
    <w:p w14:paraId="4A30A399"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Sozzi, G. O., Peter, K. V., Babu, K. N., &amp; </w:t>
      </w:r>
      <w:proofErr w:type="spellStart"/>
      <w:r w:rsidRPr="00DA411D">
        <w:rPr>
          <w:rFonts w:ascii="Arial" w:hAnsi="Arial" w:cs="Arial"/>
          <w:color w:val="000000" w:themeColor="text1"/>
          <w:sz w:val="22"/>
          <w:szCs w:val="22"/>
        </w:rPr>
        <w:t>Divakaran</w:t>
      </w:r>
      <w:proofErr w:type="spellEnd"/>
      <w:r w:rsidRPr="00DA411D">
        <w:rPr>
          <w:rFonts w:ascii="Arial" w:hAnsi="Arial" w:cs="Arial"/>
          <w:color w:val="000000" w:themeColor="text1"/>
          <w:sz w:val="22"/>
          <w:szCs w:val="22"/>
        </w:rPr>
        <w:t xml:space="preserve">, M. (2012). Capers and caperberries. In: Handbook of herbs and spices, Woodhead Publishing, pp: 193-224. </w:t>
      </w:r>
    </w:p>
    <w:p w14:paraId="470102D7"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lastRenderedPageBreak/>
        <w:t xml:space="preserve">Putalun, W., &amp; De-Eknamkul, W. (1993). Changes in Volatile Oil and Piperine Content During the Maturation of Pepper Berries. </w:t>
      </w:r>
      <w:r w:rsidRPr="00DA411D">
        <w:rPr>
          <w:rFonts w:ascii="Arial" w:hAnsi="Arial" w:cs="Arial"/>
          <w:i/>
          <w:iCs/>
          <w:color w:val="000000" w:themeColor="text1"/>
          <w:sz w:val="22"/>
          <w:szCs w:val="22"/>
        </w:rPr>
        <w:t>The Thai Journal of Pharmaceutical Sciences</w:t>
      </w:r>
      <w:r w:rsidRPr="00DA411D">
        <w:rPr>
          <w:rFonts w:ascii="Arial" w:hAnsi="Arial" w:cs="Arial"/>
          <w:color w:val="000000" w:themeColor="text1"/>
          <w:sz w:val="22"/>
          <w:szCs w:val="22"/>
        </w:rPr>
        <w:t>, 17(3), 131-239.</w:t>
      </w:r>
    </w:p>
    <w:p w14:paraId="0CD6DF48"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Vipul Upadhyay, V. U., Neeru Sharma, N. S., Joshi, H. M., Amreesh Malik, A. M., Manoj Mishra, M. M., Singh, B. P., &amp; Sanjeev Tripathi, S. T. (2013). Development and validation of rapid RP-HPLC method for estimation of piperine in </w:t>
      </w:r>
      <w:r w:rsidRPr="00DA411D">
        <w:rPr>
          <w:rFonts w:ascii="Arial" w:hAnsi="Arial" w:cs="Arial"/>
          <w:i/>
          <w:iCs/>
          <w:color w:val="000000" w:themeColor="text1"/>
          <w:sz w:val="22"/>
          <w:szCs w:val="22"/>
        </w:rPr>
        <w:t>Piper nigrum</w:t>
      </w:r>
      <w:r w:rsidRPr="00DA411D">
        <w:rPr>
          <w:rFonts w:ascii="Arial" w:hAnsi="Arial" w:cs="Arial"/>
          <w:color w:val="000000" w:themeColor="text1"/>
          <w:sz w:val="22"/>
          <w:szCs w:val="22"/>
        </w:rPr>
        <w:t xml:space="preserve"> L.</w:t>
      </w:r>
      <w:r w:rsidRPr="00DA411D">
        <w:rPr>
          <w:rFonts w:ascii="Arial" w:hAnsi="Arial" w:cs="Arial"/>
          <w:sz w:val="22"/>
          <w:szCs w:val="22"/>
        </w:rPr>
        <w:t xml:space="preserve"> </w:t>
      </w:r>
      <w:r w:rsidRPr="00DA411D">
        <w:rPr>
          <w:rFonts w:ascii="Arial" w:hAnsi="Arial" w:cs="Arial"/>
          <w:i/>
          <w:iCs/>
          <w:color w:val="000000" w:themeColor="text1"/>
          <w:sz w:val="22"/>
          <w:szCs w:val="22"/>
        </w:rPr>
        <w:t xml:space="preserve">International Journal </w:t>
      </w:r>
      <w:proofErr w:type="gramStart"/>
      <w:r w:rsidRPr="00DA411D">
        <w:rPr>
          <w:rFonts w:ascii="Arial" w:hAnsi="Arial" w:cs="Arial"/>
          <w:i/>
          <w:iCs/>
          <w:color w:val="000000" w:themeColor="text1"/>
          <w:sz w:val="22"/>
          <w:szCs w:val="22"/>
        </w:rPr>
        <w:t>of  Herbal</w:t>
      </w:r>
      <w:proofErr w:type="gramEnd"/>
      <w:r w:rsidRPr="00DA411D">
        <w:rPr>
          <w:rFonts w:ascii="Arial" w:hAnsi="Arial" w:cs="Arial"/>
          <w:i/>
          <w:iCs/>
          <w:color w:val="000000" w:themeColor="text1"/>
          <w:sz w:val="22"/>
          <w:szCs w:val="22"/>
        </w:rPr>
        <w:t xml:space="preserve"> Medicine, </w:t>
      </w:r>
      <w:r w:rsidRPr="00DA411D">
        <w:rPr>
          <w:rFonts w:ascii="Arial" w:hAnsi="Arial" w:cs="Arial"/>
          <w:color w:val="000000" w:themeColor="text1"/>
          <w:sz w:val="22"/>
          <w:szCs w:val="22"/>
        </w:rPr>
        <w:t>1(4), 6-9.</w:t>
      </w:r>
    </w:p>
    <w:p w14:paraId="2A407339" w14:textId="77777777" w:rsidR="00A03523" w:rsidRPr="00DA411D" w:rsidRDefault="00A03523" w:rsidP="00A03523">
      <w:pPr>
        <w:pStyle w:val="ListParagraph"/>
        <w:numPr>
          <w:ilvl w:val="0"/>
          <w:numId w:val="31"/>
        </w:numPr>
        <w:spacing w:after="160" w:line="259" w:lineRule="auto"/>
        <w:jc w:val="both"/>
        <w:rPr>
          <w:rFonts w:ascii="Arial" w:hAnsi="Arial" w:cs="Arial"/>
          <w:color w:val="000000" w:themeColor="text1"/>
          <w:sz w:val="22"/>
          <w:szCs w:val="22"/>
        </w:rPr>
      </w:pPr>
      <w:r w:rsidRPr="00DA411D">
        <w:rPr>
          <w:rFonts w:ascii="Arial" w:hAnsi="Arial" w:cs="Arial"/>
          <w:color w:val="000000" w:themeColor="text1"/>
          <w:sz w:val="22"/>
          <w:szCs w:val="22"/>
        </w:rPr>
        <w:t xml:space="preserve">Parmar, V. S., Jain, S. C., Bisht, K. S., Jain, R., Taneja, P., Jha, A., Tyagi, O. D., Prasad, A. K., Wengel, J., Olsen, C. E., &amp; Boll, P. M. (1997). Phytochemistry of the genus </w:t>
      </w:r>
      <w:r w:rsidRPr="00DA411D">
        <w:rPr>
          <w:rFonts w:ascii="Arial" w:hAnsi="Arial" w:cs="Arial"/>
          <w:i/>
          <w:iCs/>
          <w:color w:val="000000" w:themeColor="text1"/>
          <w:sz w:val="22"/>
          <w:szCs w:val="22"/>
        </w:rPr>
        <w:t>Piper. Phytochemistry</w:t>
      </w:r>
      <w:r w:rsidRPr="00DA411D">
        <w:rPr>
          <w:rFonts w:ascii="Arial" w:hAnsi="Arial" w:cs="Arial"/>
          <w:color w:val="000000" w:themeColor="text1"/>
          <w:sz w:val="22"/>
          <w:szCs w:val="22"/>
        </w:rPr>
        <w:t>, 46(4), 597–673. https://doi.org/10.1016/s0031-9422(97)00328-2</w:t>
      </w:r>
    </w:p>
    <w:p w14:paraId="05910FAD"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Chauhan, S. K., </w:t>
      </w:r>
      <w:proofErr w:type="spellStart"/>
      <w:r w:rsidRPr="00DA411D">
        <w:rPr>
          <w:rFonts w:ascii="Arial" w:hAnsi="Arial" w:cs="Arial"/>
          <w:color w:val="000000" w:themeColor="text1"/>
          <w:sz w:val="22"/>
          <w:szCs w:val="22"/>
        </w:rPr>
        <w:t>Kimothi</w:t>
      </w:r>
      <w:proofErr w:type="spellEnd"/>
      <w:r w:rsidRPr="00DA411D">
        <w:rPr>
          <w:rFonts w:ascii="Arial" w:hAnsi="Arial" w:cs="Arial"/>
          <w:color w:val="000000" w:themeColor="text1"/>
          <w:sz w:val="22"/>
          <w:szCs w:val="22"/>
        </w:rPr>
        <w:t xml:space="preserve">, G. P., Singh, B. P., &amp; Agarwal, S. (1998). A spectrophotometric method to estimate piperine in </w:t>
      </w:r>
      <w:r w:rsidRPr="00DA411D">
        <w:rPr>
          <w:rFonts w:ascii="Arial" w:hAnsi="Arial" w:cs="Arial"/>
          <w:i/>
          <w:iCs/>
          <w:color w:val="000000" w:themeColor="text1"/>
          <w:sz w:val="22"/>
          <w:szCs w:val="22"/>
        </w:rPr>
        <w:t>piper</w:t>
      </w:r>
      <w:r w:rsidRPr="00DA411D">
        <w:rPr>
          <w:rFonts w:ascii="Arial" w:hAnsi="Arial" w:cs="Arial"/>
          <w:color w:val="000000" w:themeColor="text1"/>
          <w:sz w:val="22"/>
          <w:szCs w:val="22"/>
        </w:rPr>
        <w:t xml:space="preserve"> species. </w:t>
      </w:r>
      <w:r w:rsidRPr="00DA411D">
        <w:rPr>
          <w:rFonts w:ascii="Arial" w:hAnsi="Arial" w:cs="Arial"/>
          <w:i/>
          <w:iCs/>
          <w:color w:val="000000" w:themeColor="text1"/>
          <w:sz w:val="22"/>
          <w:szCs w:val="22"/>
        </w:rPr>
        <w:t>Ancient science of life</w:t>
      </w:r>
      <w:r w:rsidRPr="00DA411D">
        <w:rPr>
          <w:rFonts w:ascii="Arial" w:hAnsi="Arial" w:cs="Arial"/>
          <w:color w:val="000000" w:themeColor="text1"/>
          <w:sz w:val="22"/>
          <w:szCs w:val="22"/>
        </w:rPr>
        <w:t>, 18(1), 84-87.</w:t>
      </w:r>
    </w:p>
    <w:p w14:paraId="29131BA4"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Gupta, A., Gupta, M., &amp; Gupta, S. (2013). Isolation of piperine and few sesquiterpenes from the cold petroleum ether extract of </w:t>
      </w:r>
      <w:r w:rsidRPr="00DA411D">
        <w:rPr>
          <w:rFonts w:ascii="Arial" w:hAnsi="Arial" w:cs="Arial"/>
          <w:i/>
          <w:iCs/>
          <w:color w:val="000000" w:themeColor="text1"/>
          <w:sz w:val="22"/>
          <w:szCs w:val="22"/>
        </w:rPr>
        <w:t>Piper nigrum</w:t>
      </w:r>
      <w:r w:rsidRPr="00DA411D">
        <w:rPr>
          <w:rFonts w:ascii="Arial" w:hAnsi="Arial" w:cs="Arial"/>
          <w:color w:val="000000" w:themeColor="text1"/>
          <w:sz w:val="22"/>
          <w:szCs w:val="22"/>
        </w:rPr>
        <w:t xml:space="preserve"> (black pepper) and its antibacterial activity. </w:t>
      </w:r>
      <w:r w:rsidRPr="00DA411D">
        <w:rPr>
          <w:rFonts w:ascii="Arial" w:hAnsi="Arial" w:cs="Arial"/>
          <w:i/>
          <w:iCs/>
          <w:color w:val="000000" w:themeColor="text1"/>
          <w:sz w:val="22"/>
          <w:szCs w:val="22"/>
        </w:rPr>
        <w:t>International Journal of Pharmacognosy and Phytochemical Research</w:t>
      </w:r>
      <w:r w:rsidRPr="00DA411D">
        <w:rPr>
          <w:rFonts w:ascii="Arial" w:hAnsi="Arial" w:cs="Arial"/>
          <w:color w:val="000000" w:themeColor="text1"/>
          <w:sz w:val="22"/>
          <w:szCs w:val="22"/>
        </w:rPr>
        <w:t>, 5(2), 3-7.</w:t>
      </w:r>
    </w:p>
    <w:p w14:paraId="5D183A78"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Yadav, S., Tyagi, A., Kumari, R., Srivastava, H., Rangan, P., Wankhede, D., &amp; Gaikwad, A. B. (2023). Comparative transcriptome profiling of fruit tissue provides novel insights into piperine biosynthesis in black pepper (</w:t>
      </w:r>
      <w:r w:rsidRPr="00DA411D">
        <w:rPr>
          <w:rFonts w:ascii="Arial" w:hAnsi="Arial" w:cs="Arial"/>
          <w:i/>
          <w:iCs/>
          <w:color w:val="000000" w:themeColor="text1"/>
          <w:sz w:val="22"/>
          <w:szCs w:val="22"/>
        </w:rPr>
        <w:t>Piper nigrum</w:t>
      </w:r>
      <w:r w:rsidRPr="00DA411D">
        <w:rPr>
          <w:rFonts w:ascii="Arial" w:hAnsi="Arial" w:cs="Arial"/>
          <w:color w:val="000000" w:themeColor="text1"/>
          <w:sz w:val="22"/>
          <w:szCs w:val="22"/>
        </w:rPr>
        <w:t xml:space="preserve"> L.). </w:t>
      </w:r>
      <w:r w:rsidRPr="00DA411D">
        <w:rPr>
          <w:rFonts w:ascii="Arial" w:hAnsi="Arial" w:cs="Arial"/>
          <w:i/>
          <w:iCs/>
          <w:color w:val="000000" w:themeColor="text1"/>
          <w:sz w:val="22"/>
          <w:szCs w:val="22"/>
        </w:rPr>
        <w:t xml:space="preserve">Scientia </w:t>
      </w:r>
      <w:proofErr w:type="spellStart"/>
      <w:r w:rsidRPr="00DA411D">
        <w:rPr>
          <w:rFonts w:ascii="Arial" w:hAnsi="Arial" w:cs="Arial"/>
          <w:i/>
          <w:iCs/>
          <w:color w:val="000000" w:themeColor="text1"/>
          <w:sz w:val="22"/>
          <w:szCs w:val="22"/>
        </w:rPr>
        <w:t>Horticulturae</w:t>
      </w:r>
      <w:proofErr w:type="spellEnd"/>
      <w:r w:rsidRPr="00DA411D">
        <w:rPr>
          <w:rFonts w:ascii="Arial" w:hAnsi="Arial" w:cs="Arial"/>
          <w:i/>
          <w:iCs/>
          <w:color w:val="000000" w:themeColor="text1"/>
          <w:sz w:val="22"/>
          <w:szCs w:val="22"/>
        </w:rPr>
        <w:t>,</w:t>
      </w:r>
      <w:r w:rsidRPr="00DA411D">
        <w:rPr>
          <w:rFonts w:ascii="Arial" w:hAnsi="Arial" w:cs="Arial"/>
          <w:color w:val="000000" w:themeColor="text1"/>
          <w:sz w:val="22"/>
          <w:szCs w:val="22"/>
        </w:rPr>
        <w:t xml:space="preserve"> 322, 112451.</w:t>
      </w:r>
    </w:p>
    <w:p w14:paraId="0587E9E9"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Do, D. N. (2022, August). </w:t>
      </w:r>
      <w:proofErr w:type="spellStart"/>
      <w:r w:rsidRPr="00DA411D">
        <w:rPr>
          <w:rFonts w:ascii="Arial" w:hAnsi="Arial" w:cs="Arial"/>
          <w:color w:val="000000" w:themeColor="text1"/>
          <w:sz w:val="22"/>
          <w:szCs w:val="22"/>
        </w:rPr>
        <w:t>Hydrodistillation</w:t>
      </w:r>
      <w:proofErr w:type="spellEnd"/>
      <w:r w:rsidRPr="00DA411D">
        <w:rPr>
          <w:rFonts w:ascii="Arial" w:hAnsi="Arial" w:cs="Arial"/>
          <w:color w:val="000000" w:themeColor="text1"/>
          <w:sz w:val="22"/>
          <w:szCs w:val="22"/>
        </w:rPr>
        <w:t xml:space="preserve"> of essential oil from the whole black pepper and light berries black pepper (</w:t>
      </w:r>
      <w:r w:rsidRPr="00DA411D">
        <w:rPr>
          <w:rFonts w:ascii="Arial" w:hAnsi="Arial" w:cs="Arial"/>
          <w:i/>
          <w:iCs/>
          <w:color w:val="000000" w:themeColor="text1"/>
          <w:sz w:val="22"/>
          <w:szCs w:val="22"/>
        </w:rPr>
        <w:t>Piper nigrum</w:t>
      </w:r>
      <w:r w:rsidRPr="00DA411D">
        <w:rPr>
          <w:rFonts w:ascii="Arial" w:hAnsi="Arial" w:cs="Arial"/>
          <w:color w:val="000000" w:themeColor="text1"/>
          <w:sz w:val="22"/>
          <w:szCs w:val="22"/>
        </w:rPr>
        <w:t xml:space="preserve"> L.) harvesting in Dak Nong, Vietnam on a pilot scale: The study on extraction process and analyses of essential components. In AIP Conference Proceedings, AIP Publishing LLC, 2610 (1).</w:t>
      </w:r>
    </w:p>
    <w:p w14:paraId="4A253ABA" w14:textId="77777777" w:rsidR="00A03523" w:rsidRPr="00DA411D" w:rsidRDefault="00A03523" w:rsidP="00A03523">
      <w:pPr>
        <w:pStyle w:val="ListParagraph"/>
        <w:numPr>
          <w:ilvl w:val="0"/>
          <w:numId w:val="31"/>
        </w:numPr>
        <w:spacing w:after="160" w:line="259" w:lineRule="auto"/>
        <w:jc w:val="both"/>
        <w:rPr>
          <w:rFonts w:ascii="Arial" w:hAnsi="Arial" w:cs="Arial"/>
          <w:color w:val="000000" w:themeColor="text1"/>
          <w:sz w:val="22"/>
          <w:szCs w:val="22"/>
        </w:rPr>
      </w:pPr>
      <w:r w:rsidRPr="00DA411D">
        <w:rPr>
          <w:rFonts w:ascii="Arial" w:hAnsi="Arial" w:cs="Arial"/>
          <w:color w:val="000000" w:themeColor="text1"/>
          <w:sz w:val="22"/>
          <w:szCs w:val="22"/>
        </w:rPr>
        <w:t xml:space="preserve">Stojanović-Radić, Z., </w:t>
      </w:r>
      <w:proofErr w:type="spellStart"/>
      <w:r w:rsidRPr="00DA411D">
        <w:rPr>
          <w:rFonts w:ascii="Arial" w:hAnsi="Arial" w:cs="Arial"/>
          <w:color w:val="000000" w:themeColor="text1"/>
          <w:sz w:val="22"/>
          <w:szCs w:val="22"/>
        </w:rPr>
        <w:t>Pejčić</w:t>
      </w:r>
      <w:proofErr w:type="spellEnd"/>
      <w:r w:rsidRPr="00DA411D">
        <w:rPr>
          <w:rFonts w:ascii="Arial" w:hAnsi="Arial" w:cs="Arial"/>
          <w:color w:val="000000" w:themeColor="text1"/>
          <w:sz w:val="22"/>
          <w:szCs w:val="22"/>
        </w:rPr>
        <w:t xml:space="preserve">, M., Dimitrijević, M., Aleksić, A., V. Anil Kumar, N., Salehi, B., C. Cho, W., &amp; Sharifi-Rad, J. (2019). Piperine-A Major Principle of Black Pepper: A Review of Its Bioactivity and Studies. </w:t>
      </w:r>
      <w:r w:rsidRPr="00DA411D">
        <w:rPr>
          <w:rFonts w:ascii="Arial" w:hAnsi="Arial" w:cs="Arial"/>
          <w:i/>
          <w:iCs/>
          <w:color w:val="000000" w:themeColor="text1"/>
          <w:sz w:val="22"/>
          <w:szCs w:val="22"/>
        </w:rPr>
        <w:t>Applied Sciences</w:t>
      </w:r>
      <w:r w:rsidRPr="00DA411D">
        <w:rPr>
          <w:rFonts w:ascii="Arial" w:hAnsi="Arial" w:cs="Arial"/>
          <w:color w:val="000000" w:themeColor="text1"/>
          <w:sz w:val="22"/>
          <w:szCs w:val="22"/>
        </w:rPr>
        <w:t xml:space="preserve">, </w:t>
      </w:r>
      <w:r w:rsidRPr="00DA411D">
        <w:rPr>
          <w:rFonts w:ascii="Arial" w:hAnsi="Arial" w:cs="Arial"/>
          <w:i/>
          <w:iCs/>
          <w:color w:val="000000" w:themeColor="text1"/>
          <w:sz w:val="22"/>
          <w:szCs w:val="22"/>
        </w:rPr>
        <w:t>9</w:t>
      </w:r>
      <w:r w:rsidRPr="00DA411D">
        <w:rPr>
          <w:rFonts w:ascii="Arial" w:hAnsi="Arial" w:cs="Arial"/>
          <w:color w:val="000000" w:themeColor="text1"/>
          <w:sz w:val="22"/>
          <w:szCs w:val="22"/>
        </w:rPr>
        <w:t>(20), 4270. https://doi.org/10.3390/app9204270</w:t>
      </w:r>
    </w:p>
    <w:p w14:paraId="114ADC6C"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proofErr w:type="spellStart"/>
      <w:r w:rsidRPr="00DA411D">
        <w:rPr>
          <w:rFonts w:ascii="Arial" w:hAnsi="Arial" w:cs="Arial"/>
          <w:color w:val="000000" w:themeColor="text1"/>
          <w:sz w:val="22"/>
          <w:szCs w:val="22"/>
        </w:rPr>
        <w:t>Vasavirama</w:t>
      </w:r>
      <w:proofErr w:type="spellEnd"/>
      <w:r w:rsidRPr="00DA411D">
        <w:rPr>
          <w:rFonts w:ascii="Arial" w:hAnsi="Arial" w:cs="Arial"/>
          <w:color w:val="000000" w:themeColor="text1"/>
          <w:sz w:val="22"/>
          <w:szCs w:val="22"/>
        </w:rPr>
        <w:t xml:space="preserve">, K., &amp; Upender, M. (2014). Piperine: a valuable alkaloid from </w:t>
      </w:r>
      <w:r w:rsidRPr="00DA411D">
        <w:rPr>
          <w:rFonts w:ascii="Arial" w:hAnsi="Arial" w:cs="Arial"/>
          <w:i/>
          <w:iCs/>
          <w:color w:val="000000" w:themeColor="text1"/>
          <w:sz w:val="22"/>
          <w:szCs w:val="22"/>
        </w:rPr>
        <w:t xml:space="preserve">piper </w:t>
      </w:r>
      <w:r w:rsidRPr="00DA411D">
        <w:rPr>
          <w:rFonts w:ascii="Arial" w:hAnsi="Arial" w:cs="Arial"/>
          <w:color w:val="000000" w:themeColor="text1"/>
          <w:sz w:val="22"/>
          <w:szCs w:val="22"/>
        </w:rPr>
        <w:t xml:space="preserve">species. </w:t>
      </w:r>
      <w:r w:rsidRPr="00DA411D">
        <w:rPr>
          <w:rFonts w:ascii="Arial" w:hAnsi="Arial" w:cs="Arial"/>
          <w:i/>
          <w:iCs/>
          <w:color w:val="000000" w:themeColor="text1"/>
          <w:sz w:val="22"/>
          <w:szCs w:val="22"/>
        </w:rPr>
        <w:t>International Journal of Pharmacy and Pharmaceutical Sciences</w:t>
      </w:r>
      <w:r w:rsidRPr="00DA411D">
        <w:rPr>
          <w:rFonts w:ascii="Arial" w:hAnsi="Arial" w:cs="Arial"/>
          <w:color w:val="000000" w:themeColor="text1"/>
          <w:sz w:val="22"/>
          <w:szCs w:val="22"/>
        </w:rPr>
        <w:t>, 6(4), 34-38.</w:t>
      </w:r>
    </w:p>
    <w:p w14:paraId="7FF6CF75" w14:textId="77777777" w:rsidR="00A03523"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Kusumorini, N., Nugroho, A. K., </w:t>
      </w:r>
      <w:proofErr w:type="spellStart"/>
      <w:r w:rsidRPr="00DA411D">
        <w:rPr>
          <w:rFonts w:ascii="Arial" w:hAnsi="Arial" w:cs="Arial"/>
          <w:color w:val="000000" w:themeColor="text1"/>
          <w:sz w:val="22"/>
          <w:szCs w:val="22"/>
        </w:rPr>
        <w:t>Pramono</w:t>
      </w:r>
      <w:proofErr w:type="spellEnd"/>
      <w:r w:rsidRPr="00DA411D">
        <w:rPr>
          <w:rFonts w:ascii="Arial" w:hAnsi="Arial" w:cs="Arial"/>
          <w:color w:val="000000" w:themeColor="text1"/>
          <w:sz w:val="22"/>
          <w:szCs w:val="22"/>
        </w:rPr>
        <w:t>, S., &amp; Martien, R. (2021). Development of new isolation and quantification method of piperine from white pepper seeds (</w:t>
      </w:r>
      <w:r w:rsidRPr="00DA411D">
        <w:rPr>
          <w:rFonts w:ascii="Arial" w:hAnsi="Arial" w:cs="Arial"/>
          <w:i/>
          <w:iCs/>
          <w:color w:val="000000" w:themeColor="text1"/>
          <w:sz w:val="22"/>
          <w:szCs w:val="22"/>
        </w:rPr>
        <w:t>Pipe</w:t>
      </w:r>
      <w:r w:rsidRPr="00DA411D">
        <w:rPr>
          <w:rFonts w:ascii="Arial" w:hAnsi="Arial" w:cs="Arial"/>
          <w:color w:val="000000" w:themeColor="text1"/>
          <w:sz w:val="22"/>
          <w:szCs w:val="22"/>
        </w:rPr>
        <w:t xml:space="preserve">r </w:t>
      </w:r>
      <w:r w:rsidRPr="00DA411D">
        <w:rPr>
          <w:rFonts w:ascii="Arial" w:hAnsi="Arial" w:cs="Arial"/>
          <w:i/>
          <w:iCs/>
          <w:color w:val="000000" w:themeColor="text1"/>
          <w:sz w:val="22"/>
          <w:szCs w:val="22"/>
        </w:rPr>
        <w:t>nigrum</w:t>
      </w:r>
      <w:r w:rsidRPr="00DA411D">
        <w:rPr>
          <w:rFonts w:ascii="Arial" w:hAnsi="Arial" w:cs="Arial"/>
          <w:color w:val="000000" w:themeColor="text1"/>
          <w:sz w:val="22"/>
          <w:szCs w:val="22"/>
        </w:rPr>
        <w:t xml:space="preserve"> L.) using a validated HPLC. </w:t>
      </w:r>
      <w:r w:rsidRPr="00DA411D">
        <w:rPr>
          <w:rFonts w:ascii="Arial" w:hAnsi="Arial" w:cs="Arial"/>
          <w:i/>
          <w:iCs/>
          <w:color w:val="000000" w:themeColor="text1"/>
          <w:sz w:val="22"/>
          <w:szCs w:val="22"/>
        </w:rPr>
        <w:t>Indonesian Journal of Pharmacy</w:t>
      </w:r>
      <w:r w:rsidRPr="00DA411D">
        <w:rPr>
          <w:rFonts w:ascii="Arial" w:hAnsi="Arial" w:cs="Arial"/>
          <w:color w:val="000000" w:themeColor="text1"/>
          <w:sz w:val="22"/>
          <w:szCs w:val="22"/>
        </w:rPr>
        <w:t>, 158-165.</w:t>
      </w:r>
    </w:p>
    <w:p w14:paraId="0B3E7B3B" w14:textId="0BACE7C6" w:rsidR="00957D5E" w:rsidRPr="00DA411D" w:rsidRDefault="004933E7" w:rsidP="00A03523">
      <w:pPr>
        <w:pStyle w:val="ListParagraph"/>
        <w:numPr>
          <w:ilvl w:val="0"/>
          <w:numId w:val="31"/>
        </w:numPr>
        <w:jc w:val="both"/>
        <w:rPr>
          <w:rFonts w:ascii="Arial" w:hAnsi="Arial" w:cs="Arial"/>
          <w:color w:val="000000" w:themeColor="text1"/>
          <w:sz w:val="22"/>
          <w:szCs w:val="22"/>
        </w:rPr>
      </w:pPr>
      <w:r w:rsidRPr="004933E7">
        <w:rPr>
          <w:rFonts w:ascii="Arial" w:hAnsi="Arial" w:cs="Arial"/>
          <w:color w:val="000000" w:themeColor="text1"/>
          <w:sz w:val="22"/>
          <w:szCs w:val="22"/>
        </w:rPr>
        <w:t>Chaudhri, S.K. and Jain, S. (2023)</w:t>
      </w:r>
      <w:r>
        <w:rPr>
          <w:rFonts w:ascii="Arial" w:hAnsi="Arial" w:cs="Arial"/>
          <w:color w:val="000000" w:themeColor="text1"/>
          <w:sz w:val="22"/>
          <w:szCs w:val="22"/>
        </w:rPr>
        <w:t xml:space="preserve">. </w:t>
      </w:r>
      <w:r w:rsidRPr="004933E7">
        <w:rPr>
          <w:rFonts w:ascii="Arial" w:hAnsi="Arial" w:cs="Arial"/>
          <w:color w:val="000000" w:themeColor="text1"/>
          <w:sz w:val="22"/>
          <w:szCs w:val="22"/>
        </w:rPr>
        <w:t>A Systematic Review of Piperine as a Bioavailability Enhancer. </w:t>
      </w:r>
      <w:r w:rsidRPr="004933E7">
        <w:rPr>
          <w:rFonts w:ascii="Arial" w:hAnsi="Arial" w:cs="Arial"/>
          <w:i/>
          <w:iCs/>
          <w:color w:val="000000" w:themeColor="text1"/>
          <w:sz w:val="22"/>
          <w:szCs w:val="22"/>
        </w:rPr>
        <w:t>Journal of Drug Delivery and Therapeutics</w:t>
      </w:r>
      <w:r w:rsidRPr="004933E7">
        <w:rPr>
          <w:rFonts w:ascii="Arial" w:hAnsi="Arial" w:cs="Arial"/>
          <w:color w:val="000000" w:themeColor="text1"/>
          <w:sz w:val="22"/>
          <w:szCs w:val="22"/>
        </w:rPr>
        <w:t>, 13, 133-136.</w:t>
      </w:r>
      <w:r>
        <w:rPr>
          <w:rFonts w:ascii="Arial" w:hAnsi="Arial" w:cs="Arial"/>
          <w:color w:val="000000" w:themeColor="text1"/>
          <w:sz w:val="22"/>
          <w:szCs w:val="22"/>
        </w:rPr>
        <w:t xml:space="preserve"> </w:t>
      </w:r>
      <w:r w:rsidRPr="004933E7">
        <w:rPr>
          <w:rFonts w:ascii="Arial" w:hAnsi="Arial" w:cs="Arial"/>
          <w:color w:val="000000" w:themeColor="text1"/>
          <w:sz w:val="22"/>
          <w:szCs w:val="22"/>
        </w:rPr>
        <w:t>https://doi.org/10.22270/jddt.v13i4.5781</w:t>
      </w:r>
    </w:p>
    <w:p w14:paraId="3A81AC7F"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Patil, U. K., Singh, A., &amp; Chakraborty, A. K. (2011). Role of piperine as a bioavailability enhancer. </w:t>
      </w:r>
      <w:r w:rsidRPr="00DA411D">
        <w:rPr>
          <w:rFonts w:ascii="Arial" w:hAnsi="Arial" w:cs="Arial"/>
          <w:i/>
          <w:iCs/>
          <w:color w:val="000000" w:themeColor="text1"/>
          <w:sz w:val="22"/>
          <w:szCs w:val="22"/>
        </w:rPr>
        <w:t>International Journal of Recent Advances in Pharmaceutical Research</w:t>
      </w:r>
      <w:r w:rsidRPr="00DA411D">
        <w:rPr>
          <w:rFonts w:ascii="Arial" w:hAnsi="Arial" w:cs="Arial"/>
          <w:color w:val="000000" w:themeColor="text1"/>
          <w:sz w:val="22"/>
          <w:szCs w:val="22"/>
        </w:rPr>
        <w:t>, 4, 16-23.</w:t>
      </w:r>
    </w:p>
    <w:p w14:paraId="1BC35AAE"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Mhaske, D.B., Sreedharan, S., Mahadik, K.R (2018). Role of Piperine as an Effective Bioenhancer in Drug Absorption, </w:t>
      </w:r>
      <w:r w:rsidRPr="00DA411D">
        <w:rPr>
          <w:rFonts w:ascii="Arial" w:hAnsi="Arial" w:cs="Arial"/>
          <w:i/>
          <w:iCs/>
          <w:color w:val="000000" w:themeColor="text1"/>
          <w:sz w:val="22"/>
          <w:szCs w:val="22"/>
        </w:rPr>
        <w:t>Pharm. Anal Acta</w:t>
      </w:r>
      <w:r w:rsidRPr="00DA411D">
        <w:rPr>
          <w:rFonts w:ascii="Arial" w:hAnsi="Arial" w:cs="Arial"/>
          <w:color w:val="000000" w:themeColor="text1"/>
          <w:sz w:val="22"/>
          <w:szCs w:val="22"/>
        </w:rPr>
        <w:t>, 9(7), 1-4.</w:t>
      </w:r>
    </w:p>
    <w:p w14:paraId="307A972F"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lastRenderedPageBreak/>
        <w:t xml:space="preserve">Lwamba, C., Aboushanab, S. A., Ambati, R. R., and Kovaleva, E. G. (2023). Innovative Green Approach for Extraction of Piperine from Black Pepper Based on Response Surface Methodology. </w:t>
      </w:r>
      <w:r w:rsidRPr="00DA411D">
        <w:rPr>
          <w:rFonts w:ascii="Arial" w:hAnsi="Arial" w:cs="Arial"/>
          <w:i/>
          <w:iCs/>
          <w:color w:val="000000" w:themeColor="text1"/>
          <w:sz w:val="22"/>
          <w:szCs w:val="22"/>
        </w:rPr>
        <w:t>Sustainable Chemistry</w:t>
      </w:r>
      <w:r w:rsidRPr="00DA411D">
        <w:rPr>
          <w:rFonts w:ascii="Arial" w:hAnsi="Arial" w:cs="Arial"/>
          <w:color w:val="000000" w:themeColor="text1"/>
          <w:sz w:val="22"/>
          <w:szCs w:val="22"/>
        </w:rPr>
        <w:t>, 4(1), 40–53. https://doi.org/10.3390/suschem4010005</w:t>
      </w:r>
    </w:p>
    <w:p w14:paraId="6A06B4F9"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Tripathi, A. K., Ray, A. K., &amp; Mishra, S. K. (2022). Molecular and pharmacological aspects of piperine as a potential molecule for disease prevention and management: evidence from clinical trials. </w:t>
      </w:r>
      <w:r w:rsidRPr="00DA411D">
        <w:rPr>
          <w:rFonts w:ascii="Arial" w:hAnsi="Arial" w:cs="Arial"/>
          <w:i/>
          <w:iCs/>
          <w:color w:val="000000" w:themeColor="text1"/>
          <w:sz w:val="22"/>
          <w:szCs w:val="22"/>
        </w:rPr>
        <w:t>Beni-Suef University Journal of Basic and Applied Sciences</w:t>
      </w:r>
      <w:r w:rsidRPr="00DA411D">
        <w:rPr>
          <w:rFonts w:ascii="Arial" w:hAnsi="Arial" w:cs="Arial"/>
          <w:color w:val="000000" w:themeColor="text1"/>
          <w:sz w:val="22"/>
          <w:szCs w:val="22"/>
        </w:rPr>
        <w:t>, 11(1), 16. https://doi.org/10.1186/s43088-022-00196-1</w:t>
      </w:r>
    </w:p>
    <w:p w14:paraId="1E599890"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Dolui AK. (2011) Detection and quantification of piperine from in vitro cultures of black pepper </w:t>
      </w:r>
      <w:r w:rsidRPr="00DA411D">
        <w:rPr>
          <w:rFonts w:ascii="Arial" w:hAnsi="Arial" w:cs="Arial"/>
          <w:i/>
          <w:iCs/>
          <w:color w:val="000000" w:themeColor="text1"/>
          <w:sz w:val="22"/>
          <w:szCs w:val="22"/>
        </w:rPr>
        <w:t>(Piper nigrum</w:t>
      </w:r>
      <w:r w:rsidRPr="00DA411D">
        <w:rPr>
          <w:rFonts w:ascii="Arial" w:hAnsi="Arial" w:cs="Arial"/>
          <w:color w:val="000000" w:themeColor="text1"/>
          <w:sz w:val="22"/>
          <w:szCs w:val="22"/>
        </w:rPr>
        <w:t xml:space="preserve"> L.) [Master’s thesis] Kerala Agricultural University, Thrissur.</w:t>
      </w:r>
    </w:p>
    <w:p w14:paraId="6E3E9990"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Kerala Agricultural University. (2020). General R based Analysis Platform Empowered by Statistics (GRAPES) (Version 1.1.0).</w:t>
      </w:r>
    </w:p>
    <w:p w14:paraId="72960D90"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Mathai, C. K. (1983). Growth and yield analysis in blackpepper (</w:t>
      </w:r>
      <w:r w:rsidRPr="00DA411D">
        <w:rPr>
          <w:rFonts w:ascii="Arial" w:hAnsi="Arial" w:cs="Arial"/>
          <w:i/>
          <w:iCs/>
          <w:color w:val="000000" w:themeColor="text1"/>
          <w:sz w:val="22"/>
          <w:szCs w:val="22"/>
        </w:rPr>
        <w:t>Piper nigrum</w:t>
      </w:r>
      <w:r w:rsidRPr="00DA411D">
        <w:rPr>
          <w:rFonts w:ascii="Arial" w:hAnsi="Arial" w:cs="Arial"/>
          <w:color w:val="000000" w:themeColor="text1"/>
          <w:sz w:val="22"/>
          <w:szCs w:val="22"/>
        </w:rPr>
        <w:t xml:space="preserve"> L.) under different light conditions [Master's Thesis] University of Agriculture Sciences, Bangalore.</w:t>
      </w:r>
    </w:p>
    <w:p w14:paraId="01934F04"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Wood, A. B., Barrow, M. L., &amp; James, D. J. (1988). Piperine determination in pepper (</w:t>
      </w:r>
      <w:r w:rsidRPr="00DA411D">
        <w:rPr>
          <w:rFonts w:ascii="Arial" w:hAnsi="Arial" w:cs="Arial"/>
          <w:i/>
          <w:iCs/>
          <w:color w:val="000000" w:themeColor="text1"/>
          <w:sz w:val="22"/>
          <w:szCs w:val="22"/>
        </w:rPr>
        <w:t>Piper nigrum</w:t>
      </w:r>
      <w:r w:rsidRPr="00DA411D">
        <w:rPr>
          <w:rFonts w:ascii="Arial" w:hAnsi="Arial" w:cs="Arial"/>
          <w:color w:val="000000" w:themeColor="text1"/>
          <w:sz w:val="22"/>
          <w:szCs w:val="22"/>
        </w:rPr>
        <w:t xml:space="preserve"> L.) and its oleoresins—a reversed-phase high-performance liquid chromatographic method. </w:t>
      </w:r>
      <w:proofErr w:type="spellStart"/>
      <w:r w:rsidRPr="00DA411D">
        <w:rPr>
          <w:rFonts w:ascii="Arial" w:hAnsi="Arial" w:cs="Arial"/>
          <w:i/>
          <w:iCs/>
          <w:color w:val="000000" w:themeColor="text1"/>
          <w:sz w:val="22"/>
          <w:szCs w:val="22"/>
        </w:rPr>
        <w:t>Flavour</w:t>
      </w:r>
      <w:proofErr w:type="spellEnd"/>
      <w:r w:rsidRPr="00DA411D">
        <w:rPr>
          <w:rFonts w:ascii="Arial" w:hAnsi="Arial" w:cs="Arial"/>
          <w:i/>
          <w:iCs/>
          <w:color w:val="000000" w:themeColor="text1"/>
          <w:sz w:val="22"/>
          <w:szCs w:val="22"/>
        </w:rPr>
        <w:t xml:space="preserve"> and Fragrance Journal,</w:t>
      </w:r>
      <w:r w:rsidRPr="00DA411D">
        <w:rPr>
          <w:rFonts w:ascii="Arial" w:hAnsi="Arial" w:cs="Arial"/>
          <w:color w:val="000000" w:themeColor="text1"/>
          <w:sz w:val="22"/>
          <w:szCs w:val="22"/>
        </w:rPr>
        <w:t xml:space="preserve"> 3(2), 55–64. https://doi.org/10.1002/ffj.2730030202</w:t>
      </w:r>
    </w:p>
    <w:p w14:paraId="0B4B101E"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Gorgani, L., Mohammadi, M., Najafpour, G. D., &amp; Nikzad, M. (2016). Piperine-The Bioactive Compound of Black Pepper: From Isolation to Medicinal Formulations. </w:t>
      </w:r>
      <w:r w:rsidRPr="00DA411D">
        <w:rPr>
          <w:rFonts w:ascii="Arial" w:hAnsi="Arial" w:cs="Arial"/>
          <w:i/>
          <w:iCs/>
          <w:color w:val="000000" w:themeColor="text1"/>
          <w:sz w:val="22"/>
          <w:szCs w:val="22"/>
        </w:rPr>
        <w:t>Comprehensive Reviews in Food Science and Food Safety</w:t>
      </w:r>
      <w:r w:rsidRPr="00DA411D">
        <w:rPr>
          <w:rFonts w:ascii="Arial" w:hAnsi="Arial" w:cs="Arial"/>
          <w:color w:val="000000" w:themeColor="text1"/>
          <w:sz w:val="22"/>
          <w:szCs w:val="22"/>
        </w:rPr>
        <w:t>, 16(1), 124–140. https://doi.org/10.1111/1541-4337.12246</w:t>
      </w:r>
    </w:p>
    <w:p w14:paraId="59B60333"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Zachariah, T. J. (2008). Chemistry and quality standards of black pepper and its products. In National Seminar on Piperaceae-Harnessing Agro-technologies for Accelerated Production of Economically Important </w:t>
      </w:r>
      <w:r w:rsidRPr="00DA411D">
        <w:rPr>
          <w:rFonts w:ascii="Arial" w:hAnsi="Arial" w:cs="Arial"/>
          <w:i/>
          <w:iCs/>
          <w:color w:val="000000" w:themeColor="text1"/>
          <w:sz w:val="22"/>
          <w:szCs w:val="22"/>
        </w:rPr>
        <w:t>Piper</w:t>
      </w:r>
      <w:r w:rsidRPr="00DA411D">
        <w:rPr>
          <w:rFonts w:ascii="Arial" w:hAnsi="Arial" w:cs="Arial"/>
          <w:color w:val="000000" w:themeColor="text1"/>
          <w:sz w:val="22"/>
          <w:szCs w:val="22"/>
        </w:rPr>
        <w:t xml:space="preserve"> Species. by VA Parthasarathy, Director, Indian Institute of Spices Research, Marikunnu P 0, Calicut-673 012, Kerala, India.</w:t>
      </w:r>
    </w:p>
    <w:p w14:paraId="36A598A0"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Chauhan, R., Chaudhary, E., &amp; Chauhan, N. (2017). Investigation of inhibitory activity and bioactive compounds of </w:t>
      </w:r>
      <w:r w:rsidRPr="00DA411D">
        <w:rPr>
          <w:rFonts w:ascii="Arial" w:hAnsi="Arial" w:cs="Arial"/>
          <w:i/>
          <w:iCs/>
          <w:color w:val="000000" w:themeColor="text1"/>
          <w:sz w:val="22"/>
          <w:szCs w:val="22"/>
        </w:rPr>
        <w:t>Piper nigrum</w:t>
      </w:r>
      <w:r w:rsidRPr="00DA411D">
        <w:rPr>
          <w:rFonts w:ascii="Arial" w:hAnsi="Arial" w:cs="Arial"/>
          <w:color w:val="000000" w:themeColor="text1"/>
          <w:sz w:val="22"/>
          <w:szCs w:val="22"/>
        </w:rPr>
        <w:t xml:space="preserve"> seeds on selected human pathogens. </w:t>
      </w:r>
      <w:r w:rsidRPr="00DA411D">
        <w:rPr>
          <w:rFonts w:ascii="Arial" w:hAnsi="Arial" w:cs="Arial"/>
          <w:i/>
          <w:iCs/>
          <w:color w:val="000000" w:themeColor="text1"/>
          <w:sz w:val="22"/>
          <w:szCs w:val="22"/>
        </w:rPr>
        <w:t>International Journal of Current Microbiology</w:t>
      </w:r>
      <w:r w:rsidRPr="00DA411D">
        <w:rPr>
          <w:rFonts w:ascii="Arial" w:hAnsi="Arial" w:cs="Arial"/>
          <w:color w:val="000000" w:themeColor="text1"/>
          <w:sz w:val="22"/>
          <w:szCs w:val="22"/>
        </w:rPr>
        <w:t>, 6(7), 2670-2679.</w:t>
      </w:r>
    </w:p>
    <w:p w14:paraId="09DD133C"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Pannaga, T. S., </w:t>
      </w:r>
      <w:proofErr w:type="spellStart"/>
      <w:r w:rsidRPr="00DA411D">
        <w:rPr>
          <w:rFonts w:ascii="Arial" w:hAnsi="Arial" w:cs="Arial"/>
          <w:color w:val="000000" w:themeColor="text1"/>
          <w:sz w:val="22"/>
          <w:szCs w:val="22"/>
        </w:rPr>
        <w:t>Narayanpur</w:t>
      </w:r>
      <w:proofErr w:type="spellEnd"/>
      <w:r w:rsidRPr="00DA411D">
        <w:rPr>
          <w:rFonts w:ascii="Arial" w:hAnsi="Arial" w:cs="Arial"/>
          <w:color w:val="000000" w:themeColor="text1"/>
          <w:sz w:val="22"/>
          <w:szCs w:val="22"/>
        </w:rPr>
        <w:t xml:space="preserve">, V. B., Hiremath, J. S., Hegde, L., </w:t>
      </w:r>
      <w:proofErr w:type="spellStart"/>
      <w:r w:rsidRPr="00DA411D">
        <w:rPr>
          <w:rFonts w:ascii="Arial" w:hAnsi="Arial" w:cs="Arial"/>
          <w:color w:val="000000" w:themeColor="text1"/>
          <w:sz w:val="22"/>
          <w:szCs w:val="22"/>
        </w:rPr>
        <w:t>Gandolkar</w:t>
      </w:r>
      <w:proofErr w:type="spellEnd"/>
      <w:r w:rsidRPr="00DA411D">
        <w:rPr>
          <w:rFonts w:ascii="Arial" w:hAnsi="Arial" w:cs="Arial"/>
          <w:color w:val="000000" w:themeColor="text1"/>
          <w:sz w:val="22"/>
          <w:szCs w:val="22"/>
        </w:rPr>
        <w:t>, K., Rathod, V., &amp; Chandrakala, R. (2021). Evaluation of black pepper (</w:t>
      </w:r>
      <w:r w:rsidRPr="00DA411D">
        <w:rPr>
          <w:rFonts w:ascii="Arial" w:hAnsi="Arial" w:cs="Arial"/>
          <w:i/>
          <w:iCs/>
          <w:color w:val="000000" w:themeColor="text1"/>
          <w:sz w:val="22"/>
          <w:szCs w:val="22"/>
        </w:rPr>
        <w:t>Piper nigrum</w:t>
      </w:r>
      <w:r w:rsidRPr="00DA411D">
        <w:rPr>
          <w:rFonts w:ascii="Arial" w:hAnsi="Arial" w:cs="Arial"/>
          <w:color w:val="000000" w:themeColor="text1"/>
          <w:sz w:val="22"/>
          <w:szCs w:val="22"/>
        </w:rPr>
        <w:t xml:space="preserve"> L.) cultivars for yield and quality parameters under hill zone of Karnataka. </w:t>
      </w:r>
      <w:r w:rsidRPr="00DA411D">
        <w:rPr>
          <w:rFonts w:ascii="Arial" w:hAnsi="Arial" w:cs="Arial"/>
          <w:i/>
          <w:iCs/>
          <w:color w:val="000000" w:themeColor="text1"/>
          <w:sz w:val="22"/>
          <w:szCs w:val="22"/>
        </w:rPr>
        <w:t>Journal of Pharmacognosy and Phytochemistry</w:t>
      </w:r>
      <w:r w:rsidRPr="00DA411D">
        <w:rPr>
          <w:rFonts w:ascii="Arial" w:hAnsi="Arial" w:cs="Arial"/>
          <w:color w:val="000000" w:themeColor="text1"/>
          <w:sz w:val="22"/>
          <w:szCs w:val="22"/>
        </w:rPr>
        <w:t>, 10(1), 1497-1500.</w:t>
      </w:r>
    </w:p>
    <w:p w14:paraId="0137A7DD"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Jäckel, L., Schnabel, A., Stellmach, H., Klaus, U., </w:t>
      </w:r>
      <w:proofErr w:type="spellStart"/>
      <w:r w:rsidRPr="00DA411D">
        <w:rPr>
          <w:rFonts w:ascii="Arial" w:hAnsi="Arial" w:cs="Arial"/>
          <w:color w:val="000000" w:themeColor="text1"/>
          <w:sz w:val="22"/>
          <w:szCs w:val="22"/>
        </w:rPr>
        <w:t>Matschi</w:t>
      </w:r>
      <w:proofErr w:type="spellEnd"/>
      <w:r w:rsidRPr="00DA411D">
        <w:rPr>
          <w:rFonts w:ascii="Arial" w:hAnsi="Arial" w:cs="Arial"/>
          <w:color w:val="000000" w:themeColor="text1"/>
          <w:sz w:val="22"/>
          <w:szCs w:val="22"/>
        </w:rPr>
        <w:t>, S., Hause, G., &amp; Vogt, T. (2022). The terminal enzymatic step in piperine biosynthesis is co</w:t>
      </w:r>
      <w:r w:rsidRPr="00DA411D">
        <w:rPr>
          <w:rFonts w:ascii="Cambria Math" w:hAnsi="Cambria Math" w:cs="Cambria Math"/>
          <w:color w:val="000000" w:themeColor="text1"/>
          <w:sz w:val="22"/>
          <w:szCs w:val="22"/>
        </w:rPr>
        <w:t>‐</w:t>
      </w:r>
      <w:r w:rsidRPr="00DA411D">
        <w:rPr>
          <w:rFonts w:ascii="Arial" w:hAnsi="Arial" w:cs="Arial"/>
          <w:color w:val="000000" w:themeColor="text1"/>
          <w:sz w:val="22"/>
          <w:szCs w:val="22"/>
        </w:rPr>
        <w:t>localized with the product piperine in specialized cells of black pepper (</w:t>
      </w:r>
      <w:r w:rsidRPr="00DA411D">
        <w:rPr>
          <w:rFonts w:ascii="Arial" w:hAnsi="Arial" w:cs="Arial"/>
          <w:i/>
          <w:iCs/>
          <w:color w:val="000000" w:themeColor="text1"/>
          <w:sz w:val="22"/>
          <w:szCs w:val="22"/>
        </w:rPr>
        <w:t>Piper nigrum</w:t>
      </w:r>
      <w:r w:rsidRPr="00DA411D">
        <w:rPr>
          <w:rFonts w:ascii="Arial" w:hAnsi="Arial" w:cs="Arial"/>
          <w:color w:val="000000" w:themeColor="text1"/>
          <w:sz w:val="22"/>
          <w:szCs w:val="22"/>
        </w:rPr>
        <w:t xml:space="preserve"> L.). </w:t>
      </w:r>
      <w:r w:rsidRPr="00DA411D">
        <w:rPr>
          <w:rFonts w:ascii="Arial" w:hAnsi="Arial" w:cs="Arial"/>
          <w:i/>
          <w:iCs/>
          <w:color w:val="000000" w:themeColor="text1"/>
          <w:sz w:val="22"/>
          <w:szCs w:val="22"/>
        </w:rPr>
        <w:t>The Plant Journal</w:t>
      </w:r>
      <w:r w:rsidRPr="00DA411D">
        <w:rPr>
          <w:rFonts w:ascii="Arial" w:hAnsi="Arial" w:cs="Arial"/>
          <w:color w:val="000000" w:themeColor="text1"/>
          <w:sz w:val="22"/>
          <w:szCs w:val="22"/>
        </w:rPr>
        <w:t>, 111(3), 731-747.</w:t>
      </w:r>
    </w:p>
    <w:p w14:paraId="4F2F6C33"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Sruthi, D., Zachariah, T. J., Leela, N. K., &amp; Jayarajan, K. (2013). Correlation between chemical profiles of black pepper (</w:t>
      </w:r>
      <w:r w:rsidRPr="00DA411D">
        <w:rPr>
          <w:rFonts w:ascii="Arial" w:hAnsi="Arial" w:cs="Arial"/>
          <w:i/>
          <w:iCs/>
          <w:color w:val="000000" w:themeColor="text1"/>
          <w:sz w:val="22"/>
          <w:szCs w:val="22"/>
        </w:rPr>
        <w:t>Piper nigrum</w:t>
      </w:r>
      <w:r w:rsidRPr="00DA411D">
        <w:rPr>
          <w:rFonts w:ascii="Arial" w:hAnsi="Arial" w:cs="Arial"/>
          <w:color w:val="000000" w:themeColor="text1"/>
          <w:sz w:val="22"/>
          <w:szCs w:val="22"/>
        </w:rPr>
        <w:t xml:space="preserve"> L.) var. Panniyur-1 collected from different locations.</w:t>
      </w:r>
      <w:r w:rsidRPr="00DA411D">
        <w:rPr>
          <w:rFonts w:ascii="Arial" w:hAnsi="Arial" w:cs="Arial"/>
          <w:color w:val="555555"/>
          <w:sz w:val="22"/>
          <w:szCs w:val="22"/>
          <w:lang w:eastAsia="en-IN" w:bidi="ml-IN"/>
        </w:rPr>
        <w:t xml:space="preserve"> </w:t>
      </w:r>
      <w:hyperlink r:id="rId11" w:history="1">
        <w:r w:rsidRPr="00DA411D">
          <w:rPr>
            <w:rStyle w:val="Hyperlink"/>
            <w:rFonts w:ascii="Arial" w:hAnsi="Arial" w:cs="Arial"/>
            <w:i/>
            <w:iCs/>
            <w:color w:val="000000" w:themeColor="text1"/>
            <w:sz w:val="22"/>
            <w:szCs w:val="22"/>
            <w:u w:val="none"/>
          </w:rPr>
          <w:t>Journal of Medicinal Plants Research</w:t>
        </w:r>
      </w:hyperlink>
      <w:r w:rsidRPr="00DA411D">
        <w:rPr>
          <w:rFonts w:ascii="Arial" w:hAnsi="Arial" w:cs="Arial"/>
          <w:i/>
          <w:iCs/>
          <w:color w:val="000000" w:themeColor="text1"/>
          <w:sz w:val="22"/>
          <w:szCs w:val="22"/>
        </w:rPr>
        <w:t> </w:t>
      </w:r>
      <w:r w:rsidRPr="00DA411D">
        <w:rPr>
          <w:rFonts w:ascii="Arial" w:hAnsi="Arial" w:cs="Arial"/>
          <w:color w:val="000000" w:themeColor="text1"/>
          <w:sz w:val="22"/>
          <w:szCs w:val="22"/>
        </w:rPr>
        <w:t>, 7(31): 2349-2357</w:t>
      </w:r>
    </w:p>
    <w:p w14:paraId="6956D317"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Deka, K. K., Bora, P., &amp; Talukdar, J. (2016). Performance of different varieties and hybrids of black pepper (Piper nigrum L.) as mixed crop in </w:t>
      </w:r>
      <w:proofErr w:type="spellStart"/>
      <w:r w:rsidRPr="00DA411D">
        <w:rPr>
          <w:rFonts w:ascii="Arial" w:hAnsi="Arial" w:cs="Arial"/>
          <w:color w:val="000000" w:themeColor="text1"/>
          <w:sz w:val="22"/>
          <w:szCs w:val="22"/>
        </w:rPr>
        <w:t>arecanut</w:t>
      </w:r>
      <w:proofErr w:type="spellEnd"/>
      <w:r w:rsidRPr="00DA411D">
        <w:rPr>
          <w:rFonts w:ascii="Arial" w:hAnsi="Arial" w:cs="Arial"/>
          <w:color w:val="000000" w:themeColor="text1"/>
          <w:sz w:val="22"/>
          <w:szCs w:val="22"/>
        </w:rPr>
        <w:t xml:space="preserve"> </w:t>
      </w:r>
      <w:r w:rsidRPr="00DA411D">
        <w:rPr>
          <w:rFonts w:ascii="Arial" w:hAnsi="Arial" w:cs="Arial"/>
          <w:color w:val="000000" w:themeColor="text1"/>
          <w:sz w:val="22"/>
          <w:szCs w:val="22"/>
        </w:rPr>
        <w:lastRenderedPageBreak/>
        <w:t xml:space="preserve">garden of Assam, India. </w:t>
      </w:r>
      <w:r w:rsidRPr="00DA411D">
        <w:rPr>
          <w:rFonts w:ascii="Arial" w:hAnsi="Arial" w:cs="Arial"/>
          <w:i/>
          <w:iCs/>
          <w:color w:val="000000" w:themeColor="text1"/>
          <w:sz w:val="22"/>
          <w:szCs w:val="22"/>
        </w:rPr>
        <w:t>Agricultural Science Digest-A Research Journal</w:t>
      </w:r>
      <w:r w:rsidRPr="00DA411D">
        <w:rPr>
          <w:rFonts w:ascii="Arial" w:hAnsi="Arial" w:cs="Arial"/>
          <w:color w:val="000000" w:themeColor="text1"/>
          <w:sz w:val="22"/>
          <w:szCs w:val="22"/>
        </w:rPr>
        <w:t>, 36(4), 272-276.</w:t>
      </w:r>
    </w:p>
    <w:p w14:paraId="42ED1A9B"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Krishnamoorthy, B &amp; Va, Parthasarathy. (2009). Improvement of black pepper. </w:t>
      </w:r>
      <w:r w:rsidRPr="00DA411D">
        <w:rPr>
          <w:rFonts w:ascii="Arial" w:hAnsi="Arial" w:cs="Arial"/>
          <w:i/>
          <w:iCs/>
          <w:color w:val="000000" w:themeColor="text1"/>
          <w:sz w:val="22"/>
          <w:szCs w:val="22"/>
        </w:rPr>
        <w:t xml:space="preserve">CAB Reviews </w:t>
      </w:r>
      <w:r w:rsidRPr="00DA411D">
        <w:rPr>
          <w:rFonts w:ascii="Arial" w:hAnsi="Arial" w:cs="Arial"/>
          <w:color w:val="000000" w:themeColor="text1"/>
          <w:sz w:val="22"/>
          <w:szCs w:val="22"/>
        </w:rPr>
        <w:t>Perspectives in Agriculture Veterinary Science Nutrition and Natural Resources. 4. 1749-8848. 10.1079/PAVSNNR20094085.</w:t>
      </w:r>
    </w:p>
    <w:p w14:paraId="1D2292D0" w14:textId="77777777" w:rsidR="00A03523" w:rsidRPr="00DA411D" w:rsidRDefault="00A03523" w:rsidP="00A03523">
      <w:pPr>
        <w:pStyle w:val="ListParagraph"/>
        <w:numPr>
          <w:ilvl w:val="0"/>
          <w:numId w:val="31"/>
        </w:numPr>
        <w:jc w:val="both"/>
        <w:rPr>
          <w:rFonts w:ascii="Arial" w:hAnsi="Arial" w:cs="Arial"/>
          <w:color w:val="000000" w:themeColor="text1"/>
          <w:sz w:val="22"/>
          <w:szCs w:val="22"/>
        </w:rPr>
      </w:pPr>
      <w:r w:rsidRPr="00DA411D">
        <w:rPr>
          <w:rFonts w:ascii="Arial" w:hAnsi="Arial" w:cs="Arial"/>
          <w:color w:val="000000" w:themeColor="text1"/>
          <w:sz w:val="22"/>
          <w:szCs w:val="22"/>
        </w:rPr>
        <w:t xml:space="preserve">Milenković, A. N., &amp; Stanojević, L. P. (2021). Black pepper: Chemical composition and biological activities. </w:t>
      </w:r>
      <w:r w:rsidRPr="00DA411D">
        <w:rPr>
          <w:rFonts w:ascii="Arial" w:hAnsi="Arial" w:cs="Arial"/>
          <w:i/>
          <w:iCs/>
          <w:color w:val="000000" w:themeColor="text1"/>
          <w:sz w:val="22"/>
          <w:szCs w:val="22"/>
        </w:rPr>
        <w:t>Advanced technologies</w:t>
      </w:r>
      <w:r w:rsidRPr="00DA411D">
        <w:rPr>
          <w:rFonts w:ascii="Arial" w:hAnsi="Arial" w:cs="Arial"/>
          <w:color w:val="000000" w:themeColor="text1"/>
          <w:sz w:val="22"/>
          <w:szCs w:val="22"/>
        </w:rPr>
        <w:t>, 10(2), 40-50.</w:t>
      </w:r>
    </w:p>
    <w:p w14:paraId="5266FB9F" w14:textId="77777777" w:rsidR="00A03523" w:rsidRPr="00FB3A86" w:rsidRDefault="00A03523" w:rsidP="00A03523">
      <w:pPr>
        <w:pStyle w:val="Appendix"/>
        <w:spacing w:after="0"/>
        <w:jc w:val="both"/>
        <w:rPr>
          <w:rFonts w:ascii="Arial" w:hAnsi="Arial" w:cs="Arial"/>
          <w:b w:val="0"/>
        </w:rPr>
      </w:pPr>
    </w:p>
    <w:p w14:paraId="104F09DB" w14:textId="77777777" w:rsidR="00A03523" w:rsidRPr="00DA411D" w:rsidRDefault="00A03523" w:rsidP="00A03523">
      <w:pPr>
        <w:jc w:val="both"/>
        <w:rPr>
          <w:rFonts w:ascii="Arial" w:hAnsi="Arial" w:cs="Arial"/>
          <w:sz w:val="22"/>
          <w:szCs w:val="22"/>
        </w:rPr>
      </w:pPr>
    </w:p>
    <w:p w14:paraId="101FB5E2" w14:textId="77777777" w:rsidR="00A03523" w:rsidRPr="00DA411D" w:rsidRDefault="00A03523" w:rsidP="00A03523">
      <w:pPr>
        <w:pStyle w:val="Body"/>
        <w:spacing w:after="0"/>
        <w:rPr>
          <w:rFonts w:ascii="Arial" w:hAnsi="Arial" w:cs="Arial"/>
          <w:sz w:val="22"/>
          <w:szCs w:val="22"/>
        </w:rPr>
      </w:pPr>
    </w:p>
    <w:p w14:paraId="4B95AE01" w14:textId="0D5FCA26" w:rsidR="00A03523" w:rsidRDefault="00A03523" w:rsidP="00441B6F">
      <w:pPr>
        <w:pStyle w:val="Copyright"/>
        <w:spacing w:after="0" w:line="240" w:lineRule="auto"/>
        <w:jc w:val="both"/>
        <w:rPr>
          <w:rFonts w:ascii="Arial" w:hAnsi="Arial" w:cs="Arial"/>
        </w:rPr>
      </w:pPr>
    </w:p>
    <w:p w14:paraId="3FB3ECA6" w14:textId="18F96002" w:rsidR="00A03523" w:rsidRDefault="00A03523" w:rsidP="00441B6F">
      <w:pPr>
        <w:pStyle w:val="Copyright"/>
        <w:spacing w:after="0" w:line="240" w:lineRule="auto"/>
        <w:jc w:val="both"/>
        <w:rPr>
          <w:rFonts w:ascii="Arial" w:hAnsi="Arial" w:cs="Arial"/>
        </w:rPr>
      </w:pPr>
    </w:p>
    <w:p w14:paraId="34EE8979" w14:textId="50F393D0" w:rsidR="00A03523" w:rsidRDefault="00A03523" w:rsidP="00441B6F">
      <w:pPr>
        <w:pStyle w:val="Copyright"/>
        <w:spacing w:after="0" w:line="240" w:lineRule="auto"/>
        <w:jc w:val="both"/>
        <w:rPr>
          <w:rFonts w:ascii="Arial" w:hAnsi="Arial" w:cs="Arial"/>
        </w:rPr>
      </w:pPr>
    </w:p>
    <w:p w14:paraId="48497C14" w14:textId="2D27DC1C" w:rsidR="00A03523" w:rsidRDefault="00A03523" w:rsidP="00441B6F">
      <w:pPr>
        <w:pStyle w:val="Copyright"/>
        <w:spacing w:after="0" w:line="240" w:lineRule="auto"/>
        <w:jc w:val="both"/>
        <w:rPr>
          <w:rFonts w:ascii="Arial" w:hAnsi="Arial" w:cs="Arial"/>
        </w:rPr>
      </w:pPr>
    </w:p>
    <w:p w14:paraId="156B7BEE" w14:textId="37182196" w:rsidR="00A03523" w:rsidRDefault="00A03523" w:rsidP="00441B6F">
      <w:pPr>
        <w:pStyle w:val="Copyright"/>
        <w:spacing w:after="0" w:line="240" w:lineRule="auto"/>
        <w:jc w:val="both"/>
        <w:rPr>
          <w:rFonts w:ascii="Arial" w:hAnsi="Arial" w:cs="Arial"/>
        </w:rPr>
      </w:pPr>
    </w:p>
    <w:p w14:paraId="075682D5" w14:textId="5154E98D" w:rsidR="00A03523" w:rsidRDefault="00A03523" w:rsidP="00441B6F">
      <w:pPr>
        <w:pStyle w:val="Copyright"/>
        <w:spacing w:after="0" w:line="240" w:lineRule="auto"/>
        <w:jc w:val="both"/>
        <w:rPr>
          <w:rFonts w:ascii="Arial" w:hAnsi="Arial" w:cs="Arial"/>
        </w:rPr>
      </w:pPr>
    </w:p>
    <w:p w14:paraId="752F96B9" w14:textId="0680D61A" w:rsidR="00A03523" w:rsidRDefault="00A03523" w:rsidP="00441B6F">
      <w:pPr>
        <w:pStyle w:val="Copyright"/>
        <w:spacing w:after="0" w:line="240" w:lineRule="auto"/>
        <w:jc w:val="both"/>
        <w:rPr>
          <w:rFonts w:ascii="Arial" w:hAnsi="Arial" w:cs="Arial"/>
        </w:rPr>
      </w:pPr>
    </w:p>
    <w:p w14:paraId="104DC1EE" w14:textId="404188EB" w:rsidR="00A03523" w:rsidRDefault="00A03523" w:rsidP="00441B6F">
      <w:pPr>
        <w:pStyle w:val="Copyright"/>
        <w:spacing w:after="0" w:line="240" w:lineRule="auto"/>
        <w:jc w:val="both"/>
        <w:rPr>
          <w:rFonts w:ascii="Arial" w:hAnsi="Arial" w:cs="Arial"/>
        </w:rPr>
      </w:pPr>
    </w:p>
    <w:p w14:paraId="09D4422C" w14:textId="6CC29CED" w:rsidR="00A03523" w:rsidRDefault="00A03523" w:rsidP="00441B6F">
      <w:pPr>
        <w:pStyle w:val="Copyright"/>
        <w:spacing w:after="0" w:line="240" w:lineRule="auto"/>
        <w:jc w:val="both"/>
        <w:rPr>
          <w:rFonts w:ascii="Arial" w:hAnsi="Arial" w:cs="Arial"/>
        </w:rPr>
      </w:pPr>
    </w:p>
    <w:p w14:paraId="55E831C7" w14:textId="3534E320" w:rsidR="00A03523" w:rsidRDefault="00A03523" w:rsidP="00441B6F">
      <w:pPr>
        <w:pStyle w:val="Copyright"/>
        <w:spacing w:after="0" w:line="240" w:lineRule="auto"/>
        <w:jc w:val="both"/>
        <w:rPr>
          <w:rFonts w:ascii="Arial" w:hAnsi="Arial" w:cs="Arial"/>
        </w:rPr>
      </w:pPr>
    </w:p>
    <w:p w14:paraId="190EACDC" w14:textId="27F147E2" w:rsidR="00A03523" w:rsidRDefault="00A03523" w:rsidP="00441B6F">
      <w:pPr>
        <w:pStyle w:val="Copyright"/>
        <w:spacing w:after="0" w:line="240" w:lineRule="auto"/>
        <w:jc w:val="both"/>
        <w:rPr>
          <w:rFonts w:ascii="Arial" w:hAnsi="Arial" w:cs="Arial"/>
        </w:rPr>
      </w:pPr>
    </w:p>
    <w:p w14:paraId="33A9FDDA" w14:textId="2E06F777" w:rsidR="00A03523" w:rsidRDefault="00A03523" w:rsidP="00441B6F">
      <w:pPr>
        <w:pStyle w:val="Copyright"/>
        <w:spacing w:after="0" w:line="240" w:lineRule="auto"/>
        <w:jc w:val="both"/>
        <w:rPr>
          <w:rFonts w:ascii="Arial" w:hAnsi="Arial" w:cs="Arial"/>
        </w:rPr>
      </w:pPr>
    </w:p>
    <w:p w14:paraId="662403DB" w14:textId="741FA3F8" w:rsidR="00A03523" w:rsidRDefault="00A03523" w:rsidP="00441B6F">
      <w:pPr>
        <w:pStyle w:val="Copyright"/>
        <w:spacing w:after="0" w:line="240" w:lineRule="auto"/>
        <w:jc w:val="both"/>
        <w:rPr>
          <w:rFonts w:ascii="Arial" w:hAnsi="Arial" w:cs="Arial"/>
        </w:rPr>
      </w:pPr>
    </w:p>
    <w:p w14:paraId="4AD70F18" w14:textId="217324C2" w:rsidR="00A03523" w:rsidRDefault="00A03523" w:rsidP="00441B6F">
      <w:pPr>
        <w:pStyle w:val="Copyright"/>
        <w:spacing w:after="0" w:line="240" w:lineRule="auto"/>
        <w:jc w:val="both"/>
        <w:rPr>
          <w:rFonts w:ascii="Arial" w:hAnsi="Arial" w:cs="Arial"/>
        </w:rPr>
      </w:pPr>
    </w:p>
    <w:p w14:paraId="32960A45" w14:textId="76F57A6F" w:rsidR="00A03523" w:rsidRDefault="00A03523" w:rsidP="00441B6F">
      <w:pPr>
        <w:pStyle w:val="Copyright"/>
        <w:spacing w:after="0" w:line="240" w:lineRule="auto"/>
        <w:jc w:val="both"/>
        <w:rPr>
          <w:rFonts w:ascii="Arial" w:hAnsi="Arial" w:cs="Arial"/>
        </w:rPr>
      </w:pPr>
    </w:p>
    <w:p w14:paraId="52D58F07" w14:textId="3DE36037" w:rsidR="00A03523" w:rsidRDefault="00A03523" w:rsidP="00441B6F">
      <w:pPr>
        <w:pStyle w:val="Copyright"/>
        <w:spacing w:after="0" w:line="240" w:lineRule="auto"/>
        <w:jc w:val="both"/>
        <w:rPr>
          <w:rFonts w:ascii="Arial" w:hAnsi="Arial" w:cs="Arial"/>
        </w:rPr>
      </w:pPr>
    </w:p>
    <w:p w14:paraId="7F71326D" w14:textId="06100D01" w:rsidR="00A03523" w:rsidRDefault="00A03523" w:rsidP="00441B6F">
      <w:pPr>
        <w:pStyle w:val="Copyright"/>
        <w:spacing w:after="0" w:line="240" w:lineRule="auto"/>
        <w:jc w:val="both"/>
        <w:rPr>
          <w:rFonts w:ascii="Arial" w:hAnsi="Arial" w:cs="Arial"/>
        </w:rPr>
      </w:pPr>
    </w:p>
    <w:p w14:paraId="3BF452FC" w14:textId="14B3FB63" w:rsidR="00A03523" w:rsidRDefault="00A03523" w:rsidP="00441B6F">
      <w:pPr>
        <w:pStyle w:val="Copyright"/>
        <w:spacing w:after="0" w:line="240" w:lineRule="auto"/>
        <w:jc w:val="both"/>
        <w:rPr>
          <w:rFonts w:ascii="Arial" w:hAnsi="Arial" w:cs="Arial"/>
        </w:rPr>
      </w:pPr>
    </w:p>
    <w:p w14:paraId="41E32A78" w14:textId="77777777" w:rsidR="00A03523" w:rsidRDefault="00A03523" w:rsidP="00441B6F">
      <w:pPr>
        <w:pStyle w:val="Copyright"/>
        <w:spacing w:after="0" w:line="240" w:lineRule="auto"/>
        <w:jc w:val="both"/>
        <w:rPr>
          <w:rFonts w:ascii="Arial" w:hAnsi="Arial" w:cs="Arial"/>
        </w:rPr>
      </w:pPr>
    </w:p>
    <w:p w14:paraId="66E7A47C" w14:textId="77777777" w:rsidR="00A03523" w:rsidRDefault="00A03523" w:rsidP="00441B6F">
      <w:pPr>
        <w:pStyle w:val="Copyright"/>
        <w:spacing w:after="0" w:line="240" w:lineRule="auto"/>
        <w:jc w:val="both"/>
        <w:rPr>
          <w:rFonts w:ascii="Arial" w:hAnsi="Arial" w:cs="Arial"/>
        </w:rPr>
      </w:pPr>
    </w:p>
    <w:p w14:paraId="71104898" w14:textId="77777777" w:rsidR="00A03523" w:rsidRDefault="00A03523" w:rsidP="00441B6F">
      <w:pPr>
        <w:pStyle w:val="Copyright"/>
        <w:spacing w:after="0" w:line="240" w:lineRule="auto"/>
        <w:jc w:val="both"/>
        <w:rPr>
          <w:rFonts w:ascii="Arial" w:hAnsi="Arial" w:cs="Arial"/>
        </w:rPr>
      </w:pPr>
    </w:p>
    <w:p w14:paraId="630528CE" w14:textId="77777777" w:rsidR="00A03523" w:rsidRDefault="00A03523" w:rsidP="00441B6F">
      <w:pPr>
        <w:pStyle w:val="Copyright"/>
        <w:spacing w:after="0" w:line="240" w:lineRule="auto"/>
        <w:jc w:val="both"/>
        <w:rPr>
          <w:rFonts w:ascii="Arial" w:hAnsi="Arial" w:cs="Arial"/>
        </w:rPr>
      </w:pPr>
    </w:p>
    <w:p w14:paraId="66028E42" w14:textId="77777777" w:rsidR="00A03523" w:rsidRDefault="00A03523" w:rsidP="00441B6F">
      <w:pPr>
        <w:pStyle w:val="Copyright"/>
        <w:spacing w:after="0" w:line="240" w:lineRule="auto"/>
        <w:jc w:val="both"/>
        <w:rPr>
          <w:rFonts w:ascii="Arial" w:hAnsi="Arial" w:cs="Arial"/>
        </w:rPr>
      </w:pPr>
    </w:p>
    <w:p w14:paraId="05C0A303" w14:textId="77777777" w:rsidR="00A03523" w:rsidRDefault="00A03523" w:rsidP="00441B6F">
      <w:pPr>
        <w:pStyle w:val="Copyright"/>
        <w:spacing w:after="0" w:line="240" w:lineRule="auto"/>
        <w:jc w:val="both"/>
        <w:rPr>
          <w:rFonts w:ascii="Arial" w:hAnsi="Arial" w:cs="Arial"/>
        </w:rPr>
      </w:pPr>
    </w:p>
    <w:p w14:paraId="45F02119" w14:textId="77777777" w:rsidR="00A03523" w:rsidRDefault="00A03523" w:rsidP="00441B6F">
      <w:pPr>
        <w:pStyle w:val="Copyright"/>
        <w:spacing w:after="0" w:line="240" w:lineRule="auto"/>
        <w:jc w:val="both"/>
        <w:rPr>
          <w:rFonts w:ascii="Arial" w:hAnsi="Arial" w:cs="Arial"/>
        </w:rPr>
      </w:pPr>
    </w:p>
    <w:p w14:paraId="396F5603" w14:textId="77777777" w:rsidR="00A03523" w:rsidRDefault="00A03523" w:rsidP="00441B6F">
      <w:pPr>
        <w:pStyle w:val="Copyright"/>
        <w:spacing w:after="0" w:line="240" w:lineRule="auto"/>
        <w:jc w:val="both"/>
        <w:rPr>
          <w:rFonts w:ascii="Arial" w:hAnsi="Arial" w:cs="Arial"/>
        </w:rPr>
      </w:pPr>
    </w:p>
    <w:p w14:paraId="4D93D612" w14:textId="77777777" w:rsidR="00A03523" w:rsidRDefault="00A03523" w:rsidP="00441B6F">
      <w:pPr>
        <w:pStyle w:val="Copyright"/>
        <w:spacing w:after="0" w:line="240" w:lineRule="auto"/>
        <w:jc w:val="both"/>
        <w:rPr>
          <w:rFonts w:ascii="Arial" w:hAnsi="Arial" w:cs="Arial"/>
        </w:rPr>
      </w:pPr>
    </w:p>
    <w:p w14:paraId="61ED3B36" w14:textId="77777777" w:rsidR="00A03523" w:rsidRDefault="00A03523" w:rsidP="00441B6F">
      <w:pPr>
        <w:pStyle w:val="Copyright"/>
        <w:spacing w:after="0" w:line="240" w:lineRule="auto"/>
        <w:jc w:val="both"/>
        <w:rPr>
          <w:rFonts w:ascii="Arial" w:hAnsi="Arial" w:cs="Arial"/>
        </w:rPr>
      </w:pPr>
    </w:p>
    <w:p w14:paraId="2CAEB5FC" w14:textId="77777777" w:rsidR="00A03523" w:rsidRDefault="00A03523" w:rsidP="00441B6F">
      <w:pPr>
        <w:pStyle w:val="Copyright"/>
        <w:spacing w:after="0" w:line="240" w:lineRule="auto"/>
        <w:jc w:val="both"/>
        <w:rPr>
          <w:rFonts w:ascii="Arial" w:hAnsi="Arial" w:cs="Arial"/>
        </w:rPr>
      </w:pPr>
    </w:p>
    <w:p w14:paraId="6A605431" w14:textId="77777777" w:rsidR="00A03523" w:rsidRDefault="00A03523" w:rsidP="00441B6F">
      <w:pPr>
        <w:pStyle w:val="Copyright"/>
        <w:spacing w:after="0" w:line="240" w:lineRule="auto"/>
        <w:jc w:val="both"/>
        <w:rPr>
          <w:rFonts w:ascii="Arial" w:hAnsi="Arial" w:cs="Arial"/>
        </w:rPr>
      </w:pPr>
    </w:p>
    <w:p w14:paraId="142A5EC4" w14:textId="77777777" w:rsidR="00A03523" w:rsidRDefault="00A03523" w:rsidP="00441B6F">
      <w:pPr>
        <w:pStyle w:val="Copyright"/>
        <w:spacing w:after="0" w:line="240" w:lineRule="auto"/>
        <w:jc w:val="both"/>
        <w:rPr>
          <w:rFonts w:ascii="Arial" w:hAnsi="Arial" w:cs="Arial"/>
        </w:rPr>
      </w:pPr>
    </w:p>
    <w:p w14:paraId="59FBAB24" w14:textId="77777777" w:rsidR="00A03523" w:rsidRDefault="00A03523" w:rsidP="00441B6F">
      <w:pPr>
        <w:pStyle w:val="Copyright"/>
        <w:spacing w:after="0" w:line="240" w:lineRule="auto"/>
        <w:jc w:val="both"/>
        <w:rPr>
          <w:rFonts w:ascii="Arial" w:hAnsi="Arial" w:cs="Arial"/>
        </w:rPr>
      </w:pPr>
    </w:p>
    <w:p w14:paraId="521A218E" w14:textId="77777777" w:rsidR="00A03523" w:rsidRDefault="00A03523" w:rsidP="00441B6F">
      <w:pPr>
        <w:pStyle w:val="Copyright"/>
        <w:spacing w:after="0" w:line="240" w:lineRule="auto"/>
        <w:jc w:val="both"/>
        <w:rPr>
          <w:rFonts w:ascii="Arial" w:hAnsi="Arial" w:cs="Arial"/>
        </w:rPr>
      </w:pPr>
    </w:p>
    <w:p w14:paraId="63EC8BC4" w14:textId="77777777" w:rsidR="00A03523" w:rsidRDefault="00A03523" w:rsidP="00441B6F">
      <w:pPr>
        <w:pStyle w:val="Copyright"/>
        <w:spacing w:after="0" w:line="240" w:lineRule="auto"/>
        <w:jc w:val="both"/>
        <w:rPr>
          <w:rFonts w:ascii="Arial" w:hAnsi="Arial" w:cs="Arial"/>
        </w:rPr>
      </w:pPr>
    </w:p>
    <w:p w14:paraId="199CB88F" w14:textId="77777777" w:rsidR="00A03523" w:rsidRDefault="00A03523" w:rsidP="00441B6F">
      <w:pPr>
        <w:pStyle w:val="Copyright"/>
        <w:spacing w:after="0" w:line="240" w:lineRule="auto"/>
        <w:jc w:val="both"/>
        <w:rPr>
          <w:rFonts w:ascii="Arial" w:hAnsi="Arial" w:cs="Arial"/>
        </w:rPr>
      </w:pPr>
    </w:p>
    <w:p w14:paraId="4F6B7181" w14:textId="74D9217A" w:rsidR="00A03523" w:rsidRPr="00FB3A86" w:rsidRDefault="00A03523" w:rsidP="00441B6F">
      <w:pPr>
        <w:pStyle w:val="Copyright"/>
        <w:spacing w:after="0" w:line="240" w:lineRule="auto"/>
        <w:jc w:val="both"/>
        <w:rPr>
          <w:rFonts w:ascii="Arial" w:hAnsi="Arial" w:cs="Arial"/>
        </w:rPr>
        <w:sectPr w:rsidR="00A03523" w:rsidRPr="00FB3A86" w:rsidSect="00483183">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2016" w:bottom="2016" w:left="2016" w:header="720" w:footer="1296" w:gutter="0"/>
          <w:cols w:space="720"/>
          <w:docGrid w:linePitch="272"/>
        </w:sectPr>
      </w:pPr>
    </w:p>
    <w:p w14:paraId="4565003C" w14:textId="77777777" w:rsidR="00B01FCD" w:rsidRPr="00FB3A86" w:rsidRDefault="00B01FCD" w:rsidP="00A03523">
      <w:pPr>
        <w:pStyle w:val="AbstHead"/>
        <w:spacing w:after="0"/>
        <w:jc w:val="both"/>
        <w:rPr>
          <w:rFonts w:ascii="Arial" w:hAnsi="Arial" w:cs="Arial"/>
          <w:b w:val="0"/>
        </w:rPr>
      </w:pPr>
    </w:p>
    <w:sectPr w:rsidR="00B01FCD" w:rsidRPr="00FB3A86" w:rsidSect="00483183">
      <w:headerReference w:type="even" r:id="rId18"/>
      <w:headerReference w:type="default" r:id="rId19"/>
      <w:footerReference w:type="default" r:id="rId20"/>
      <w:headerReference w:type="first" r:id="rId21"/>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19ECD" w14:textId="77777777" w:rsidR="00D716D5" w:rsidRDefault="00D716D5" w:rsidP="00C37E61">
      <w:r>
        <w:separator/>
      </w:r>
    </w:p>
  </w:endnote>
  <w:endnote w:type="continuationSeparator" w:id="0">
    <w:p w14:paraId="2D0ACABF" w14:textId="77777777" w:rsidR="00D716D5" w:rsidRDefault="00D716D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rtika">
    <w:charset w:val="00"/>
    <w:family w:val="roman"/>
    <w:pitch w:val="variable"/>
    <w:sig w:usb0="008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9DF41" w14:textId="77777777" w:rsidR="00483183" w:rsidRDefault="00483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73459" w14:textId="77777777" w:rsidR="00483183" w:rsidRDefault="004831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4DA48" w14:textId="5CA13855" w:rsidR="00754C9A" w:rsidRPr="00483183" w:rsidRDefault="00754C9A" w:rsidP="00483183">
    <w:pPr>
      <w:pStyle w:val="Footer"/>
    </w:pPr>
    <w:bookmarkStart w:id="4" w:name="_GoBack"/>
    <w:bookmarkEnd w:id="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5ECE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08E66" w14:textId="77777777" w:rsidR="00D716D5" w:rsidRDefault="00D716D5" w:rsidP="00C37E61">
      <w:r>
        <w:separator/>
      </w:r>
    </w:p>
  </w:footnote>
  <w:footnote w:type="continuationSeparator" w:id="0">
    <w:p w14:paraId="29FE7A4B" w14:textId="77777777" w:rsidR="00D716D5" w:rsidRDefault="00D716D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47D28" w14:textId="6798738F" w:rsidR="00483183" w:rsidRDefault="00483183">
    <w:pPr>
      <w:pStyle w:val="Header"/>
    </w:pPr>
    <w:r>
      <w:rPr>
        <w:noProof/>
      </w:rPr>
      <w:pict w14:anchorId="298ED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144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9382D" w14:textId="1D635B9E" w:rsidR="00483183" w:rsidRDefault="00483183">
    <w:pPr>
      <w:pStyle w:val="Header"/>
    </w:pPr>
    <w:r>
      <w:rPr>
        <w:noProof/>
      </w:rPr>
      <w:pict w14:anchorId="273AF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144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D2A5B" w14:textId="4714C5B7" w:rsidR="00296529" w:rsidRPr="00296529" w:rsidRDefault="00483183" w:rsidP="00296529">
    <w:pPr>
      <w:ind w:left="2160"/>
      <w:jc w:val="center"/>
      <w:rPr>
        <w:rFonts w:ascii="Times New Roman" w:eastAsia="Calibri" w:hAnsi="Times New Roman"/>
        <w:i/>
        <w:sz w:val="18"/>
        <w:szCs w:val="22"/>
      </w:rPr>
    </w:pPr>
    <w:r>
      <w:rPr>
        <w:noProof/>
      </w:rPr>
      <w:pict w14:anchorId="4D9AC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144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D6E91D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5DEBCF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D03A54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E73C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F97F9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A0D55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DD4D4" w14:textId="32B5D488" w:rsidR="00483183" w:rsidRDefault="00483183">
    <w:pPr>
      <w:pStyle w:val="Header"/>
    </w:pPr>
    <w:r>
      <w:rPr>
        <w:noProof/>
      </w:rPr>
      <w:pict w14:anchorId="39740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144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C2FE8" w14:textId="3A9AB868" w:rsidR="00483183" w:rsidRDefault="00483183">
    <w:pPr>
      <w:pStyle w:val="Header"/>
    </w:pPr>
    <w:r>
      <w:rPr>
        <w:noProof/>
      </w:rPr>
      <w:pict w14:anchorId="7975E3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144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71152" w14:textId="66FECC11" w:rsidR="00483183" w:rsidRDefault="00483183">
    <w:pPr>
      <w:pStyle w:val="Header"/>
    </w:pPr>
    <w:r>
      <w:rPr>
        <w:noProof/>
      </w:rPr>
      <w:pict w14:anchorId="07230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144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38940ED"/>
    <w:multiLevelType w:val="hybridMultilevel"/>
    <w:tmpl w:val="2E1EA7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1B39"/>
    <w:rsid w:val="000A47FA"/>
    <w:rsid w:val="000A65D3"/>
    <w:rsid w:val="000B1E33"/>
    <w:rsid w:val="000D689F"/>
    <w:rsid w:val="000E7B7B"/>
    <w:rsid w:val="000E7D62"/>
    <w:rsid w:val="00103357"/>
    <w:rsid w:val="00123C9F"/>
    <w:rsid w:val="00126190"/>
    <w:rsid w:val="00130F17"/>
    <w:rsid w:val="001320BF"/>
    <w:rsid w:val="00137144"/>
    <w:rsid w:val="00163BC4"/>
    <w:rsid w:val="00191062"/>
    <w:rsid w:val="00192B72"/>
    <w:rsid w:val="001A29D8"/>
    <w:rsid w:val="001A5CAA"/>
    <w:rsid w:val="001B0427"/>
    <w:rsid w:val="001D3A51"/>
    <w:rsid w:val="001E10D2"/>
    <w:rsid w:val="001E25B4"/>
    <w:rsid w:val="001E44FE"/>
    <w:rsid w:val="00200595"/>
    <w:rsid w:val="00203C84"/>
    <w:rsid w:val="00204835"/>
    <w:rsid w:val="00231920"/>
    <w:rsid w:val="0023195C"/>
    <w:rsid w:val="0024282C"/>
    <w:rsid w:val="002460DC"/>
    <w:rsid w:val="00250985"/>
    <w:rsid w:val="002556F6"/>
    <w:rsid w:val="00283105"/>
    <w:rsid w:val="00284C4C"/>
    <w:rsid w:val="00287E68"/>
    <w:rsid w:val="00296529"/>
    <w:rsid w:val="002B27FB"/>
    <w:rsid w:val="002B36FE"/>
    <w:rsid w:val="002B685A"/>
    <w:rsid w:val="002C1829"/>
    <w:rsid w:val="002C57D2"/>
    <w:rsid w:val="002E0D56"/>
    <w:rsid w:val="002E2061"/>
    <w:rsid w:val="00315186"/>
    <w:rsid w:val="0033343E"/>
    <w:rsid w:val="003512C2"/>
    <w:rsid w:val="00371FB6"/>
    <w:rsid w:val="003763C1"/>
    <w:rsid w:val="00376BBE"/>
    <w:rsid w:val="0039224F"/>
    <w:rsid w:val="003A1000"/>
    <w:rsid w:val="003A43A4"/>
    <w:rsid w:val="003A7E18"/>
    <w:rsid w:val="003B44D0"/>
    <w:rsid w:val="003C4C86"/>
    <w:rsid w:val="003C6258"/>
    <w:rsid w:val="003D6907"/>
    <w:rsid w:val="003E2904"/>
    <w:rsid w:val="00401927"/>
    <w:rsid w:val="00405391"/>
    <w:rsid w:val="0041027F"/>
    <w:rsid w:val="00412475"/>
    <w:rsid w:val="00423789"/>
    <w:rsid w:val="00435AB0"/>
    <w:rsid w:val="00440F43"/>
    <w:rsid w:val="00441B6F"/>
    <w:rsid w:val="00446221"/>
    <w:rsid w:val="00450E62"/>
    <w:rsid w:val="004539DB"/>
    <w:rsid w:val="00471A80"/>
    <w:rsid w:val="00483183"/>
    <w:rsid w:val="004933E7"/>
    <w:rsid w:val="004D305E"/>
    <w:rsid w:val="004D4277"/>
    <w:rsid w:val="00502516"/>
    <w:rsid w:val="00505F06"/>
    <w:rsid w:val="00506828"/>
    <w:rsid w:val="00510D05"/>
    <w:rsid w:val="0053056E"/>
    <w:rsid w:val="00554FDA"/>
    <w:rsid w:val="005C784C"/>
    <w:rsid w:val="005D17F6"/>
    <w:rsid w:val="005E5539"/>
    <w:rsid w:val="00602BF5"/>
    <w:rsid w:val="00617FDD"/>
    <w:rsid w:val="00633614"/>
    <w:rsid w:val="00633F68"/>
    <w:rsid w:val="00636EB2"/>
    <w:rsid w:val="006375B8"/>
    <w:rsid w:val="00660E1F"/>
    <w:rsid w:val="0066510A"/>
    <w:rsid w:val="00673F9F"/>
    <w:rsid w:val="00684673"/>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3C21"/>
    <w:rsid w:val="00790ADA"/>
    <w:rsid w:val="007D2288"/>
    <w:rsid w:val="007E088F"/>
    <w:rsid w:val="007F7B32"/>
    <w:rsid w:val="00804BC2"/>
    <w:rsid w:val="0081431A"/>
    <w:rsid w:val="0083216F"/>
    <w:rsid w:val="008538C6"/>
    <w:rsid w:val="00860000"/>
    <w:rsid w:val="00863BD3"/>
    <w:rsid w:val="008641ED"/>
    <w:rsid w:val="00866D66"/>
    <w:rsid w:val="008671C6"/>
    <w:rsid w:val="00875803"/>
    <w:rsid w:val="008B459E"/>
    <w:rsid w:val="008B6DB1"/>
    <w:rsid w:val="008E13AE"/>
    <w:rsid w:val="008E1506"/>
    <w:rsid w:val="008E710C"/>
    <w:rsid w:val="008F69D6"/>
    <w:rsid w:val="00902823"/>
    <w:rsid w:val="00915CA6"/>
    <w:rsid w:val="00927834"/>
    <w:rsid w:val="009500A6"/>
    <w:rsid w:val="00957C18"/>
    <w:rsid w:val="00957D5E"/>
    <w:rsid w:val="009659BA"/>
    <w:rsid w:val="00970632"/>
    <w:rsid w:val="00983040"/>
    <w:rsid w:val="009B3FB9"/>
    <w:rsid w:val="009C2465"/>
    <w:rsid w:val="009D35A0"/>
    <w:rsid w:val="009D7EB7"/>
    <w:rsid w:val="009E048A"/>
    <w:rsid w:val="009E08E9"/>
    <w:rsid w:val="009E3DB9"/>
    <w:rsid w:val="009E6E35"/>
    <w:rsid w:val="009F0EDA"/>
    <w:rsid w:val="009F61D4"/>
    <w:rsid w:val="00A03523"/>
    <w:rsid w:val="00A03B96"/>
    <w:rsid w:val="00A05B19"/>
    <w:rsid w:val="00A1134E"/>
    <w:rsid w:val="00A12887"/>
    <w:rsid w:val="00A24E7E"/>
    <w:rsid w:val="00A258C3"/>
    <w:rsid w:val="00A347C0"/>
    <w:rsid w:val="00A51431"/>
    <w:rsid w:val="00A539AD"/>
    <w:rsid w:val="00A94063"/>
    <w:rsid w:val="00AA6219"/>
    <w:rsid w:val="00AA74E0"/>
    <w:rsid w:val="00AB55A2"/>
    <w:rsid w:val="00AB703F"/>
    <w:rsid w:val="00AC6BB8"/>
    <w:rsid w:val="00AE008F"/>
    <w:rsid w:val="00AF4568"/>
    <w:rsid w:val="00B01FCD"/>
    <w:rsid w:val="00B1776C"/>
    <w:rsid w:val="00B52583"/>
    <w:rsid w:val="00B52896"/>
    <w:rsid w:val="00B666DD"/>
    <w:rsid w:val="00B95236"/>
    <w:rsid w:val="00B96BD9"/>
    <w:rsid w:val="00BA1B01"/>
    <w:rsid w:val="00BA2641"/>
    <w:rsid w:val="00BB37AA"/>
    <w:rsid w:val="00BC53A0"/>
    <w:rsid w:val="00BE62AD"/>
    <w:rsid w:val="00BF121F"/>
    <w:rsid w:val="00BF1F80"/>
    <w:rsid w:val="00C0198C"/>
    <w:rsid w:val="00C166EF"/>
    <w:rsid w:val="00C16A7F"/>
    <w:rsid w:val="00C17EB0"/>
    <w:rsid w:val="00C27F5F"/>
    <w:rsid w:val="00C30A0F"/>
    <w:rsid w:val="00C37E61"/>
    <w:rsid w:val="00C70F1B"/>
    <w:rsid w:val="00C71A47"/>
    <w:rsid w:val="00C7464C"/>
    <w:rsid w:val="00C85588"/>
    <w:rsid w:val="00CD285D"/>
    <w:rsid w:val="00CD6755"/>
    <w:rsid w:val="00CD6856"/>
    <w:rsid w:val="00CE0089"/>
    <w:rsid w:val="00CE793C"/>
    <w:rsid w:val="00CF193C"/>
    <w:rsid w:val="00D1014E"/>
    <w:rsid w:val="00D173F1"/>
    <w:rsid w:val="00D716D5"/>
    <w:rsid w:val="00D74205"/>
    <w:rsid w:val="00D74CB0"/>
    <w:rsid w:val="00D8295D"/>
    <w:rsid w:val="00DA411D"/>
    <w:rsid w:val="00DC2A65"/>
    <w:rsid w:val="00DE15F0"/>
    <w:rsid w:val="00DE5663"/>
    <w:rsid w:val="00DE78AA"/>
    <w:rsid w:val="00DF68D1"/>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0F19"/>
    <w:rsid w:val="00EF581D"/>
    <w:rsid w:val="00EF7FD8"/>
    <w:rsid w:val="00F03032"/>
    <w:rsid w:val="00F06F59"/>
    <w:rsid w:val="00F17988"/>
    <w:rsid w:val="00F469F0"/>
    <w:rsid w:val="00F53273"/>
    <w:rsid w:val="00F6432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B5F76C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EF0F19"/>
    <w:rPr>
      <w:rFonts w:ascii="Helvetica" w:hAnsi="Helvetica"/>
    </w:rPr>
  </w:style>
  <w:style w:type="paragraph" w:styleId="ListParagraph">
    <w:name w:val="List Paragraph"/>
    <w:basedOn w:val="Normal"/>
    <w:uiPriority w:val="34"/>
    <w:qFormat/>
    <w:rsid w:val="00EF0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journal/Journal-of-Medicinal-Plants-Research-1996-0875?_tp=eyJjb250ZXh0Ijp7ImZpcnN0UGFnZSI6InB1YmxpY2F0aW9uIiwicGFnZSI6InB1YmxpY2F0aW9uIn19"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PG%20RESEARCH%202022-2024\Work%20progress\Piperine%20estimation\Piperine%20std%20curve(restructered%20for%20thesis)%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solidFill>
                <a:latin typeface="+mn-lt"/>
                <a:ea typeface="+mn-ea"/>
                <a:cs typeface="+mn-cs"/>
              </a:defRPr>
            </a:pPr>
            <a:r>
              <a:rPr lang="en-US"/>
              <a:t>Piperine standard curve</a:t>
            </a:r>
          </a:p>
        </c:rich>
      </c:tx>
      <c:layout>
        <c:manualLayout>
          <c:xMode val="edge"/>
          <c:yMode val="edge"/>
          <c:x val="0.2782009282355658"/>
          <c:y val="5.2566814666757649E-4"/>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solidFill>
              <a:latin typeface="+mn-lt"/>
              <a:ea typeface="+mn-ea"/>
              <a:cs typeface="+mn-cs"/>
            </a:defRPr>
          </a:pPr>
          <a:endParaRPr lang="en-US"/>
        </a:p>
      </c:txPr>
    </c:title>
    <c:autoTitleDeleted val="0"/>
    <c:plotArea>
      <c:layout>
        <c:manualLayout>
          <c:layoutTarget val="inner"/>
          <c:xMode val="edge"/>
          <c:yMode val="edge"/>
          <c:x val="7.091742154829149E-2"/>
          <c:y val="7.5122887232774216E-2"/>
          <c:w val="0.84590551181102358"/>
          <c:h val="0.726812647840407"/>
        </c:manualLayout>
      </c:layout>
      <c:scatterChart>
        <c:scatterStyle val="lineMarker"/>
        <c:varyColors val="0"/>
        <c:ser>
          <c:idx val="0"/>
          <c:order val="0"/>
          <c:tx>
            <c:strRef>
              <c:f>Sheet4!$B$1</c:f>
              <c:strCache>
                <c:ptCount val="1"/>
                <c:pt idx="0">
                  <c:v> Absorbance (Anew​)</c:v>
                </c:pt>
              </c:strCache>
            </c:strRef>
          </c:tx>
          <c:spPr>
            <a:ln w="25400" cap="flat" cmpd="sng" algn="ctr">
              <a:noFill/>
              <a:prstDash val="sysDot"/>
              <a:round/>
            </a:ln>
            <a:effectLst/>
          </c:spPr>
          <c:marker>
            <c:symbol val="circle"/>
            <c:size val="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rnd">
                      <a:solidFill>
                        <a:schemeClr val="dk1">
                          <a:lumMod val="35000"/>
                          <a:lumOff val="65000"/>
                        </a:schemeClr>
                      </a:solidFill>
                      <a:round/>
                    </a:ln>
                    <a:effectLst/>
                  </c:spPr>
                </c15:leaderLines>
              </c:ext>
            </c:extLst>
          </c:dLbls>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7.8539807524059493E-2"/>
                  <c:y val="0.3190277777777778"/>
                </c:manualLayout>
              </c:layout>
              <c:tx>
                <c:rich>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r>
                      <a:rPr lang="en-US"/>
                      <a:t>y = 0.1253x + 0.0553</a:t>
                    </a:r>
                    <a:br>
                      <a:rPr lang="en-US"/>
                    </a:br>
                    <a:r>
                      <a:rPr lang="en-US"/>
                      <a:t>R² = 0.9977</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trendlineLbl>
          </c:trendline>
          <c:xVal>
            <c:numRef>
              <c:f>Sheet4!$A$2:$A$6</c:f>
              <c:numCache>
                <c:formatCode>General</c:formatCode>
                <c:ptCount val="5"/>
                <c:pt idx="0">
                  <c:v>5</c:v>
                </c:pt>
                <c:pt idx="1">
                  <c:v>10</c:v>
                </c:pt>
                <c:pt idx="2">
                  <c:v>15</c:v>
                </c:pt>
                <c:pt idx="3">
                  <c:v>20</c:v>
                </c:pt>
                <c:pt idx="4">
                  <c:v>25</c:v>
                </c:pt>
              </c:numCache>
            </c:numRef>
          </c:xVal>
          <c:yVal>
            <c:numRef>
              <c:f>Sheet4!$B$2:$B$6</c:f>
              <c:numCache>
                <c:formatCode>General</c:formatCode>
                <c:ptCount val="5"/>
                <c:pt idx="0">
                  <c:v>0.65200000000000002</c:v>
                </c:pt>
                <c:pt idx="1">
                  <c:v>1.3080000000000001</c:v>
                </c:pt>
                <c:pt idx="2">
                  <c:v>1.9650000000000001</c:v>
                </c:pt>
                <c:pt idx="3">
                  <c:v>2.621</c:v>
                </c:pt>
                <c:pt idx="4">
                  <c:v>3.1280000000000001</c:v>
                </c:pt>
              </c:numCache>
            </c:numRef>
          </c:yVal>
          <c:smooth val="0"/>
          <c:extLst>
            <c:ext xmlns:c16="http://schemas.microsoft.com/office/drawing/2014/chart" uri="{C3380CC4-5D6E-409C-BE32-E72D297353CC}">
              <c16:uniqueId val="{00000002-92D7-47C2-AFC3-44338A11D016}"/>
            </c:ext>
          </c:extLst>
        </c:ser>
        <c:dLbls>
          <c:dLblPos val="t"/>
          <c:showLegendKey val="0"/>
          <c:showVal val="1"/>
          <c:showCatName val="0"/>
          <c:showSerName val="0"/>
          <c:showPercent val="0"/>
          <c:showBubbleSize val="0"/>
        </c:dLbls>
        <c:axId val="-1430097136"/>
        <c:axId val="-1430090608"/>
      </c:scatterChart>
      <c:valAx>
        <c:axId val="-1430097136"/>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r>
                  <a:rPr lang="en-IN"/>
                  <a:t>Concentration (ppm)</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chemeClr val="dk1"/>
                </a:solidFill>
                <a:latin typeface="+mn-lt"/>
                <a:ea typeface="+mn-ea"/>
                <a:cs typeface="+mn-cs"/>
              </a:defRPr>
            </a:pPr>
            <a:endParaRPr lang="en-US"/>
          </a:p>
        </c:txPr>
        <c:crossAx val="-1430090608"/>
        <c:crosses val="autoZero"/>
        <c:crossBetween val="midCat"/>
      </c:valAx>
      <c:valAx>
        <c:axId val="-1430090608"/>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dk1"/>
                    </a:solidFill>
                    <a:latin typeface="+mn-lt"/>
                    <a:ea typeface="+mn-ea"/>
                    <a:cs typeface="+mn-cs"/>
                  </a:defRPr>
                </a:pPr>
                <a:r>
                  <a:rPr lang="en-IN"/>
                  <a:t>Absorbance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chemeClr val="dk1"/>
                </a:solidFill>
                <a:latin typeface="+mn-lt"/>
                <a:ea typeface="+mn-ea"/>
                <a:cs typeface="+mn-cs"/>
              </a:defRPr>
            </a:pPr>
            <a:endParaRPr lang="en-US"/>
          </a:p>
        </c:txPr>
        <c:crossAx val="-1430097136"/>
        <c:crosses val="autoZero"/>
        <c:crossBetween val="midCat"/>
      </c:valAx>
      <c:spPr>
        <a:gradFill>
          <a:gsLst>
            <a:gs pos="100000">
              <a:schemeClr val="lt1">
                <a:lumMod val="95000"/>
              </a:schemeClr>
            </a:gs>
            <a:gs pos="0">
              <a:schemeClr val="lt1">
                <a:alpha val="0"/>
              </a:schemeClr>
            </a:gs>
          </a:gsLst>
          <a:lin ang="5400000" scaled="0"/>
        </a:gra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6">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effectRef idx="1"/>
    <cs:fontRef idx="minor">
      <a:schemeClr val="dk1"/>
    </cs:fontRef>
    <cs:spPr>
      <a:ln w="9525" cap="flat" cmpd="sng" algn="ctr">
        <a:solidFill>
          <a:schemeClr val="phClr">
            <a:alpha val="70000"/>
          </a:schemeClr>
        </a:solidFill>
        <a:prstDash val="sysDot"/>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rnd">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rnd">
        <a:solidFill>
          <a:schemeClr val="dk1">
            <a:lumMod val="65000"/>
            <a:lumOff val="35000"/>
          </a:schemeClr>
        </a:solidFill>
        <a:round/>
      </a:ln>
    </cs:spPr>
  </cs:downBar>
  <cs:dropLine>
    <cs:lnRef idx="0"/>
    <cs:fillRef idx="0"/>
    <cs:effectRef idx="0"/>
    <cs:fontRef idx="minor">
      <a:schemeClr val="dk1"/>
    </cs:fontRef>
    <cs:spPr>
      <a:ln w="9525" cap="rnd">
        <a:solidFill>
          <a:schemeClr val="dk1">
            <a:lumMod val="35000"/>
            <a:lumOff val="65000"/>
          </a:schemeClr>
        </a:solidFill>
        <a:round/>
      </a:ln>
    </cs:spPr>
  </cs:dropLine>
  <cs:errorBar>
    <cs:lnRef idx="0"/>
    <cs:fillRef idx="0"/>
    <cs:effectRef idx="0"/>
    <cs:fontRef idx="minor">
      <a:schemeClr val="dk1"/>
    </cs:fontRef>
    <cs:spPr>
      <a:ln w="9525" cap="rnd">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rnd">
        <a:solidFill>
          <a:schemeClr val="dk1">
            <a:lumMod val="35000"/>
            <a:lumOff val="65000"/>
          </a:schemeClr>
        </a:solidFill>
        <a:round/>
      </a:ln>
    </cs:spPr>
  </cs:hiLoLine>
  <cs:leaderLine>
    <cs:lnRef idx="0"/>
    <cs:fillRef idx="0"/>
    <cs:effectRef idx="0"/>
    <cs:fontRef idx="minor">
      <a:schemeClr val="dk1"/>
    </cs:fontRef>
    <cs:spPr>
      <a:ln w="9525" cap="rnd">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spc="0" baseline="0"/>
  </cs:legend>
  <cs:plotArea>
    <cs:lnRef idx="0"/>
    <cs:fillRef idx="0"/>
    <cs:effectRef idx="0"/>
    <cs:fontRef idx="minor">
      <a:schemeClr val="dk1"/>
    </cs:fontRef>
    <cs:spPr>
      <a:gradFill>
        <a:gsLst>
          <a:gs pos="100000">
            <a:schemeClr val="lt1">
              <a:lumMod val="95000"/>
            </a:schemeClr>
          </a:gs>
          <a:gs pos="0">
            <a:schemeClr val="lt1">
              <a:alpha val="0"/>
            </a:schemeClr>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seriesAxis>
  <cs:seriesLine>
    <cs:lnRef idx="0"/>
    <cs:fillRef idx="0"/>
    <cs:effectRef idx="0"/>
    <cs:fontRef idx="minor">
      <a:schemeClr val="dk1"/>
    </cs:fontRef>
    <cs:spPr>
      <a:ln w="9525" cap="rnd">
        <a:solidFill>
          <a:schemeClr val="dk1">
            <a:lumMod val="35000"/>
            <a:lumOff val="65000"/>
          </a:schemeClr>
        </a:solidFill>
        <a:round/>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cs:spPr>
  </cs:upBar>
  <cs:valueAxis>
    <cs:lnRef idx="0"/>
    <cs:fillRef idx="0"/>
    <cs:effectRef idx="0"/>
    <cs:fontRef idx="minor">
      <a:schemeClr val="dk1">
        <a:lumMod val="65000"/>
        <a:lumOff val="35000"/>
      </a:schemeClr>
    </cs:fontRef>
    <cs:spPr>
      <a:ln w="9525" cap="rnd">
        <a:solidFill>
          <a:schemeClr val="dk1">
            <a:lumMod val="25000"/>
            <a:lumOff val="75000"/>
          </a:schemeClr>
        </a:solidFill>
        <a:round/>
      </a:ln>
    </cs:spPr>
    <cs:defRPr sz="900" kern="1200" spc="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0945B-D23D-410F-B9BA-CCD43D00A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13</Pages>
  <Words>4260</Words>
  <Characters>24284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28488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30</cp:revision>
  <cp:lastPrinted>1999-07-06T11:00:00Z</cp:lastPrinted>
  <dcterms:created xsi:type="dcterms:W3CDTF">2025-11-02T20:42:00Z</dcterms:created>
  <dcterms:modified xsi:type="dcterms:W3CDTF">2025-11-05T11:35:00Z</dcterms:modified>
</cp:coreProperties>
</file>