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F3F09" w14:textId="77777777" w:rsidR="00643747" w:rsidRDefault="00643747" w:rsidP="00A0059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3747">
        <w:rPr>
          <w:rFonts w:ascii="Times New Roman" w:hAnsi="Times New Roman" w:cs="Times New Roman"/>
          <w:b/>
          <w:bCs/>
          <w:sz w:val="28"/>
          <w:szCs w:val="28"/>
          <w:u w:val="single"/>
        </w:rPr>
        <w:t>Short Research Article</w:t>
      </w:r>
    </w:p>
    <w:p w14:paraId="2E6C9490" w14:textId="2869F601" w:rsidR="00C2496E" w:rsidRDefault="00643747" w:rsidP="00A162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747">
        <w:rPr>
          <w:rFonts w:ascii="Times New Roman" w:hAnsi="Times New Roman" w:cs="Times New Roman"/>
          <w:b/>
          <w:bCs/>
          <w:sz w:val="28"/>
          <w:szCs w:val="28"/>
        </w:rPr>
        <w:t xml:space="preserve">Efficacy of fungicides against Alternaria blight disease of Rapeseed (Brassica rapa var. </w:t>
      </w:r>
      <w:proofErr w:type="spellStart"/>
      <w:r w:rsidRPr="00643747">
        <w:rPr>
          <w:rFonts w:ascii="Times New Roman" w:hAnsi="Times New Roman" w:cs="Times New Roman"/>
          <w:b/>
          <w:bCs/>
          <w:sz w:val="28"/>
          <w:szCs w:val="28"/>
        </w:rPr>
        <w:t>toria</w:t>
      </w:r>
      <w:proofErr w:type="spellEnd"/>
      <w:r w:rsidRPr="00643747">
        <w:rPr>
          <w:rFonts w:ascii="Times New Roman" w:hAnsi="Times New Roman" w:cs="Times New Roman"/>
          <w:b/>
          <w:bCs/>
          <w:sz w:val="28"/>
          <w:szCs w:val="28"/>
        </w:rPr>
        <w:t>) under field condition</w:t>
      </w:r>
    </w:p>
    <w:p w14:paraId="7F4E3978" w14:textId="77777777" w:rsidR="00C738CB" w:rsidRPr="00DF6A15" w:rsidRDefault="00C738CB" w:rsidP="00F11F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76FD6" w14:textId="4BD329F3" w:rsidR="00B30A95" w:rsidRPr="00DF6A15" w:rsidRDefault="00651431" w:rsidP="00A162F1">
      <w:pPr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caps/>
          <w:sz w:val="24"/>
          <w:szCs w:val="24"/>
        </w:rPr>
        <w:t>Abstract</w:t>
      </w:r>
    </w:p>
    <w:p w14:paraId="753A3609" w14:textId="15D1ABBF" w:rsidR="00B30A95" w:rsidRPr="00DF6A15" w:rsidRDefault="00330E67" w:rsidP="00A162F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 caused by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 brassica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and,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A. </w:t>
      </w:r>
      <w:proofErr w:type="spellStart"/>
      <w:r w:rsidRPr="00DF6A15">
        <w:rPr>
          <w:rFonts w:ascii="Times New Roman" w:hAnsi="Times New Roman" w:cs="Times New Roman"/>
          <w:bCs/>
          <w:i/>
          <w:sz w:val="24"/>
          <w:szCs w:val="24"/>
        </w:rPr>
        <w:t>brassicicola</w:t>
      </w:r>
      <w:proofErr w:type="spellEnd"/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singly or by mixed </w:t>
      </w:r>
      <w:bookmarkStart w:id="0" w:name="_GoBack"/>
      <w:bookmarkEnd w:id="0"/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infection is one of the most widespread and destructive disease of oilseed brassicas globally. </w:t>
      </w:r>
      <w:r w:rsidR="005B467D" w:rsidRPr="00DF6A15">
        <w:rPr>
          <w:rFonts w:ascii="Times New Roman" w:hAnsi="Times New Roman" w:cs="Times New Roman"/>
          <w:bCs/>
          <w:iCs/>
          <w:sz w:val="24"/>
          <w:szCs w:val="24"/>
        </w:rPr>
        <w:t>In order to identify the effective and economic molecules of fungicides</w:t>
      </w:r>
      <w:r w:rsidR="00CB70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against Alternaria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blight,</w:t>
      </w:r>
      <w:r w:rsidR="00CB70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field trial was conducted during Rabi 2021-22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and 2022-23 at Nagaon, Assam </w:t>
      </w:r>
      <w:r w:rsidR="00382A7B" w:rsidRPr="00DF6A15">
        <w:rPr>
          <w:rFonts w:ascii="Times New Roman" w:hAnsi="Times New Roman" w:cs="Times New Roman"/>
          <w:bCs/>
          <w:iCs/>
          <w:sz w:val="24"/>
          <w:szCs w:val="24"/>
        </w:rPr>
        <w:t>in rapeseed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2A35CE" w:rsidRPr="00DF6A15">
        <w:rPr>
          <w:rFonts w:ascii="Times New Roman" w:hAnsi="Times New Roman" w:cs="Times New Roman"/>
          <w:bCs/>
          <w:i/>
          <w:sz w:val="24"/>
          <w:szCs w:val="24"/>
        </w:rPr>
        <w:t>Brassica rapa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75A7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L. </w:t>
      </w:r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var. </w:t>
      </w:r>
      <w:proofErr w:type="spellStart"/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>toria</w:t>
      </w:r>
      <w:proofErr w:type="spellEnd"/>
      <w:r w:rsidR="002A35CE" w:rsidRPr="00DF6A15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A4A3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Among the different fungicides tested,</w:t>
      </w:r>
      <w:r w:rsidR="00BE7AD6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t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he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ready-mix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formulation of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ebuconazole 50% + </w:t>
      </w:r>
      <w:proofErr w:type="spellStart"/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trifloxystrobin</w:t>
      </w:r>
      <w:proofErr w:type="spellEnd"/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25%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WG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resulted in maximum reduction in disease severity both on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leaves </w:t>
      </w:r>
      <w:r w:rsidR="00D706D2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(54.1 </w:t>
      </w:r>
      <w:r w:rsidR="003B61B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%)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and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pods (55.7 </w:t>
      </w:r>
      <w:r w:rsidR="00BF3C2C" w:rsidRPr="00DF6A15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). Thus, 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>th</w:t>
      </w:r>
      <w:r w:rsidR="00E12137" w:rsidRPr="00DF6A15">
        <w:rPr>
          <w:rFonts w:ascii="Times New Roman" w:hAnsi="Times New Roman" w:cs="Times New Roman"/>
          <w:bCs/>
          <w:iCs/>
          <w:sz w:val="24"/>
          <w:szCs w:val="24"/>
        </w:rPr>
        <w:t>is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combo-formulation led to realization of the highest seed yie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ld (1187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>kg/ha) with yield advantage of 78.5 % over check. Th</w:t>
      </w:r>
      <w:r w:rsidR="009D135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highest </w:t>
      </w:r>
      <w:r w:rsidR="00447E7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net monetary return (NR) of Rs. </w:t>
      </w:r>
      <w:r w:rsidR="00447E7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39001/ha </w:t>
      </w:r>
      <w:r w:rsidR="00CA5FE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>with</w:t>
      </w:r>
      <w:r w:rsidR="00447E7D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benefit-cost ratio (B:C) of 2.02</w:t>
      </w:r>
      <w:r w:rsidR="009C5E23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was</w:t>
      </w:r>
      <w:r w:rsidR="009316E3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</w:t>
      </w:r>
      <w:r w:rsidR="000C70E4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>received in the treatment</w:t>
      </w:r>
      <w:r w:rsidR="009316E3" w:rsidRPr="00DF6A15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, followed by 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>Azoxystrobin 23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%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SC @ 1 ml/l with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46.1 % and 45.8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% reduction in disease </w:t>
      </w:r>
      <w:r w:rsidR="00E640F2" w:rsidRPr="00DF6A15">
        <w:rPr>
          <w:rFonts w:ascii="Times New Roman" w:hAnsi="Times New Roman" w:cs="Times New Roman"/>
          <w:bCs/>
          <w:iCs/>
          <w:sz w:val="24"/>
          <w:szCs w:val="24"/>
        </w:rPr>
        <w:t>incidence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respectively on leaves and pods and </w:t>
      </w:r>
      <w:r w:rsidR="001A0903" w:rsidRPr="00DF6A15">
        <w:rPr>
          <w:rFonts w:ascii="Times New Roman" w:hAnsi="Times New Roman" w:cs="Times New Roman"/>
          <w:bCs/>
          <w:iCs/>
          <w:sz w:val="24"/>
          <w:szCs w:val="24"/>
        </w:rPr>
        <w:t>yield</w:t>
      </w:r>
      <w:r w:rsidR="000701E0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increase </w:t>
      </w:r>
      <w:r w:rsidR="001A090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4.8 %. </w:t>
      </w:r>
      <w:r w:rsidR="00CE2E59" w:rsidRPr="00DF6A15">
        <w:rPr>
          <w:rFonts w:ascii="Times New Roman" w:hAnsi="Times New Roman" w:cs="Times New Roman"/>
          <w:bCs/>
          <w:iCs/>
          <w:sz w:val="24"/>
          <w:szCs w:val="24"/>
        </w:rPr>
        <w:t>Interestingly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705F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when B:C ratio was </w:t>
      </w:r>
      <w:r w:rsidR="007E1A96" w:rsidRPr="00DF6A15">
        <w:rPr>
          <w:rFonts w:ascii="Times New Roman" w:hAnsi="Times New Roman" w:cs="Times New Roman"/>
          <w:bCs/>
          <w:iCs/>
          <w:sz w:val="24"/>
          <w:szCs w:val="24"/>
        </w:rPr>
        <w:t>calculated, azoxystrobin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23</w:t>
      </w:r>
      <w:r w:rsidR="00CA5FED" w:rsidRPr="00DF6A15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SC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recorded</w:t>
      </w:r>
      <w:r w:rsidR="00E1271D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the highest </w:t>
      </w:r>
      <w:r w:rsidR="00885029" w:rsidRPr="00DF6A15">
        <w:rPr>
          <w:rFonts w:ascii="Times New Roman" w:hAnsi="Times New Roman" w:cs="Times New Roman"/>
          <w:bCs/>
          <w:iCs/>
          <w:sz w:val="24"/>
          <w:szCs w:val="24"/>
        </w:rPr>
        <w:t>B:C (2.31) with NR of Rs. 37959/ha.</w:t>
      </w:r>
    </w:p>
    <w:p w14:paraId="5537FA8B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938953" w14:textId="77777777" w:rsidR="00E1271D" w:rsidRPr="00DF6A15" w:rsidRDefault="00E1271D" w:rsidP="00A162F1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F6A15">
        <w:rPr>
          <w:rFonts w:ascii="Times New Roman" w:hAnsi="Times New Roman" w:cs="Times New Roman"/>
          <w:iCs/>
          <w:sz w:val="24"/>
          <w:szCs w:val="24"/>
        </w:rPr>
        <w:t>Key words</w:t>
      </w:r>
      <w:r w:rsidR="00C2496E" w:rsidRPr="00DF6A15">
        <w:rPr>
          <w:rFonts w:ascii="Times New Roman" w:hAnsi="Times New Roman" w:cs="Times New Roman"/>
          <w:iCs/>
          <w:sz w:val="24"/>
          <w:szCs w:val="24"/>
        </w:rPr>
        <w:t>:</w:t>
      </w:r>
      <w:r w:rsidR="001B3271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</w:t>
      </w:r>
      <w:r w:rsidR="001B3271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B3271" w:rsidRPr="00DF6A15">
        <w:rPr>
          <w:rFonts w:ascii="Times New Roman" w:hAnsi="Times New Roman" w:cs="Times New Roman"/>
          <w:bCs/>
          <w:kern w:val="24"/>
          <w:sz w:val="24"/>
          <w:szCs w:val="24"/>
        </w:rPr>
        <w:t>b</w:t>
      </w:r>
      <w:r w:rsidRPr="00DF6A15">
        <w:rPr>
          <w:rFonts w:ascii="Times New Roman" w:hAnsi="Times New Roman" w:cs="Times New Roman"/>
          <w:bCs/>
          <w:kern w:val="24"/>
          <w:sz w:val="24"/>
          <w:szCs w:val="24"/>
        </w:rPr>
        <w:t>enefit-cost ratio</w:t>
      </w:r>
      <w:r w:rsidR="001B3271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B3271" w:rsidRPr="00DF6A15">
        <w:rPr>
          <w:rFonts w:ascii="Times New Roman" w:hAnsi="Times New Roman" w:cs="Times New Roman"/>
          <w:bCs/>
          <w:sz w:val="24"/>
          <w:szCs w:val="24"/>
        </w:rPr>
        <w:t>d</w:t>
      </w:r>
      <w:r w:rsidR="00651431" w:rsidRPr="00DF6A15">
        <w:rPr>
          <w:rFonts w:ascii="Times New Roman" w:hAnsi="Times New Roman" w:cs="Times New Roman"/>
          <w:bCs/>
          <w:sz w:val="24"/>
          <w:szCs w:val="24"/>
        </w:rPr>
        <w:t>isease severity</w:t>
      </w:r>
      <w:r w:rsidR="001B3271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B3271" w:rsidRPr="00DF6A15">
        <w:rPr>
          <w:rFonts w:ascii="Times New Roman" w:hAnsi="Times New Roman" w:cs="Times New Roman"/>
          <w:bCs/>
          <w:sz w:val="24"/>
          <w:szCs w:val="24"/>
        </w:rPr>
        <w:t>f</w:t>
      </w:r>
      <w:r w:rsidR="00651431" w:rsidRPr="00DF6A15">
        <w:rPr>
          <w:rFonts w:ascii="Times New Roman" w:hAnsi="Times New Roman" w:cs="Times New Roman"/>
          <w:bCs/>
          <w:sz w:val="24"/>
          <w:szCs w:val="24"/>
        </w:rPr>
        <w:t>ungicides</w:t>
      </w:r>
      <w:r w:rsidR="001B3271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B3271" w:rsidRPr="00DF6A15">
        <w:rPr>
          <w:rFonts w:ascii="Times New Roman" w:hAnsi="Times New Roman" w:cs="Times New Roman"/>
          <w:bCs/>
          <w:sz w:val="24"/>
          <w:szCs w:val="24"/>
        </w:rPr>
        <w:t>n</w:t>
      </w:r>
      <w:r w:rsidR="00651431" w:rsidRPr="00DF6A15">
        <w:rPr>
          <w:rFonts w:ascii="Times New Roman" w:hAnsi="Times New Roman" w:cs="Times New Roman"/>
          <w:bCs/>
          <w:sz w:val="24"/>
          <w:szCs w:val="24"/>
        </w:rPr>
        <w:t>et return</w:t>
      </w:r>
      <w:r w:rsidR="001B3271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B3271" w:rsidRPr="00DF6A15">
        <w:rPr>
          <w:rFonts w:ascii="Times New Roman" w:hAnsi="Times New Roman" w:cs="Times New Roman"/>
          <w:bCs/>
          <w:sz w:val="24"/>
          <w:szCs w:val="24"/>
        </w:rPr>
        <w:t>r</w:t>
      </w:r>
      <w:r w:rsidR="00651431" w:rsidRPr="00DF6A15">
        <w:rPr>
          <w:rFonts w:ascii="Times New Roman" w:hAnsi="Times New Roman" w:cs="Times New Roman"/>
          <w:bCs/>
          <w:sz w:val="24"/>
          <w:szCs w:val="24"/>
        </w:rPr>
        <w:t>apeseed</w:t>
      </w:r>
      <w:r w:rsidR="001B3271" w:rsidRPr="00DF6A15">
        <w:rPr>
          <w:rFonts w:ascii="Times New Roman" w:hAnsi="Times New Roman" w:cs="Times New Roman"/>
          <w:bCs/>
          <w:sz w:val="24"/>
          <w:szCs w:val="24"/>
        </w:rPr>
        <w:t>, y</w:t>
      </w:r>
      <w:r w:rsidRPr="00DF6A15">
        <w:rPr>
          <w:rFonts w:ascii="Times New Roman" w:hAnsi="Times New Roman" w:cs="Times New Roman"/>
          <w:bCs/>
          <w:sz w:val="24"/>
          <w:szCs w:val="24"/>
        </w:rPr>
        <w:t>ield advantage</w:t>
      </w:r>
    </w:p>
    <w:p w14:paraId="3A082565" w14:textId="77777777" w:rsidR="00651431" w:rsidRPr="00DF6A15" w:rsidRDefault="00651431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BD276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60268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DD643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73F84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2AEC6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04D89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4A52D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B6185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663E1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68AAD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5B16B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C8D83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FFE40" w14:textId="77777777" w:rsidR="007F0F91" w:rsidRPr="00DF6A15" w:rsidRDefault="007F0F91" w:rsidP="00A162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074AD" w14:textId="2E55AFDE" w:rsidR="007F0F91" w:rsidRPr="00DF6A15" w:rsidRDefault="00671165" w:rsidP="00A162F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F6A15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58F7146" w14:textId="7650B751" w:rsidR="009040BE" w:rsidRPr="00DF6A15" w:rsidRDefault="00B76664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1271D" w:rsidRPr="00DF6A15">
        <w:rPr>
          <w:rFonts w:ascii="Times New Roman" w:hAnsi="Times New Roman" w:cs="Times New Roman"/>
          <w:bCs/>
          <w:sz w:val="24"/>
          <w:szCs w:val="24"/>
        </w:rPr>
        <w:t>The oilseeds, particularly the Brassica</w:t>
      </w:r>
      <w:r w:rsidR="00904769" w:rsidRPr="00DF6A15">
        <w:rPr>
          <w:rFonts w:ascii="Times New Roman" w:hAnsi="Times New Roman" w:cs="Times New Roman"/>
          <w:bCs/>
          <w:sz w:val="24"/>
          <w:szCs w:val="24"/>
        </w:rPr>
        <w:t>s</w:t>
      </w:r>
      <w:r w:rsidR="00E1271D" w:rsidRPr="00DF6A15">
        <w:rPr>
          <w:rFonts w:ascii="Times New Roman" w:hAnsi="Times New Roman" w:cs="Times New Roman"/>
          <w:bCs/>
          <w:sz w:val="24"/>
          <w:szCs w:val="24"/>
        </w:rPr>
        <w:t xml:space="preserve"> play a significant role in edible oil production and hence, in 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>Indian economy</w:t>
      </w:r>
      <w:r w:rsidR="00904769" w:rsidRPr="00DF6A15">
        <w:rPr>
          <w:rFonts w:ascii="Times New Roman" w:hAnsi="Times New Roman" w:cs="Times New Roman"/>
          <w:bCs/>
          <w:sz w:val="24"/>
          <w:szCs w:val="24"/>
        </w:rPr>
        <w:t>. India’s</w:t>
      </w:r>
      <w:r w:rsidR="00E1271D" w:rsidRPr="00DF6A15">
        <w:rPr>
          <w:rFonts w:ascii="Times New Roman" w:hAnsi="Times New Roman" w:cs="Times New Roman"/>
          <w:bCs/>
          <w:sz w:val="24"/>
          <w:szCs w:val="24"/>
        </w:rPr>
        <w:t xml:space="preserve"> domestic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 xml:space="preserve"> production of </w:t>
      </w:r>
      <w:r w:rsidR="00103067" w:rsidRPr="00DF6A15">
        <w:rPr>
          <w:rFonts w:ascii="Times New Roman" w:hAnsi="Times New Roman" w:cs="Times New Roman"/>
          <w:bCs/>
          <w:sz w:val="24"/>
          <w:szCs w:val="24"/>
        </w:rPr>
        <w:t>edible oil is not enough to meet the demand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>. I</w:t>
      </w:r>
      <w:r w:rsidR="00103067" w:rsidRPr="00DF6A15">
        <w:rPr>
          <w:rFonts w:ascii="Times New Roman" w:hAnsi="Times New Roman" w:cs="Times New Roman"/>
          <w:bCs/>
          <w:sz w:val="24"/>
          <w:szCs w:val="24"/>
        </w:rPr>
        <w:t>n 2022-23, the country produced 41.35 million tons (mt) of edible oil from nine cultivated species. Mustard oil was the highest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 produced 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 xml:space="preserve">edible 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>oil, followe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>d by groundnut oil and soya oil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5029" w:rsidRPr="00DF6A15">
        <w:rPr>
          <w:rFonts w:ascii="Times New Roman" w:hAnsi="Times New Roman" w:cs="Times New Roman"/>
          <w:bCs/>
          <w:sz w:val="24"/>
          <w:szCs w:val="24"/>
        </w:rPr>
        <w:t xml:space="preserve">In the same year, India imported 16.5 mt of edible oils. 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This meant that the domestic production could meet only 40-45 % of the country’s requirement (PIB, 2024). In Assam, total oilseed crops </w:t>
      </w:r>
      <w:r w:rsidR="00BA52F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occupied 3.42 </w:t>
      </w:r>
      <w:r w:rsidR="00206DDC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lakh ha of area with a production of   </w:t>
      </w:r>
      <w:r w:rsidR="00B0231F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2.66 lakh</w:t>
      </w:r>
      <w:r w:rsidR="008744F2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06DDC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tons and productivi</w:t>
      </w:r>
      <w:r w:rsidR="00BA52F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ty </w:t>
      </w:r>
      <w:r w:rsidR="00B0231F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776</w:t>
      </w:r>
      <w:r w:rsidR="00560F75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kg/ha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 (2022-23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; Directorate of Agriculture, Govt. of Assam, </w:t>
      </w:r>
      <w:proofErr w:type="spellStart"/>
      <w:r w:rsidR="00206DDC" w:rsidRPr="00DF6A15">
        <w:rPr>
          <w:rFonts w:ascii="Times New Roman" w:hAnsi="Times New Roman" w:cs="Times New Roman"/>
          <w:bCs/>
          <w:sz w:val="24"/>
          <w:szCs w:val="24"/>
        </w:rPr>
        <w:t>Khanapara</w:t>
      </w:r>
      <w:proofErr w:type="spellEnd"/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, Guwahati). Out of </w:t>
      </w:r>
      <w:r w:rsidR="008744F2" w:rsidRPr="00DF6A15">
        <w:rPr>
          <w:rFonts w:ascii="Times New Roman" w:hAnsi="Times New Roman" w:cs="Times New Roman"/>
          <w:bCs/>
          <w:sz w:val="24"/>
          <w:szCs w:val="24"/>
        </w:rPr>
        <w:t>this, rapeseed-mustard covered 3.19 lakh ha and produced 2.51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 lakh t with a productivity</w:t>
      </w:r>
      <w:r w:rsidR="008744F2" w:rsidRPr="00DF6A15">
        <w:rPr>
          <w:rFonts w:ascii="Times New Roman" w:hAnsi="Times New Roman" w:cs="Times New Roman"/>
          <w:bCs/>
          <w:sz w:val="24"/>
          <w:szCs w:val="24"/>
        </w:rPr>
        <w:t xml:space="preserve"> 785 </w:t>
      </w:r>
      <w:r w:rsidR="00206DDC" w:rsidRPr="00DF6A15">
        <w:rPr>
          <w:rFonts w:ascii="Times New Roman" w:hAnsi="Times New Roman" w:cs="Times New Roman"/>
          <w:bCs/>
          <w:sz w:val="24"/>
          <w:szCs w:val="24"/>
        </w:rPr>
        <w:t xml:space="preserve">kg/ha. 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The oilseed requirement of the state is around 6.2 lakh t and the state domestic production can meet only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43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 % of it. Low production might be attributed to low level of productivity. Low productivity is a function of lack of quality seeds and irrigation networks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,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 xml:space="preserve"> imbalanced/under use of fertilizers, insect-pe</w:t>
      </w:r>
      <w:r w:rsidR="0033009F" w:rsidRPr="00DF6A15">
        <w:rPr>
          <w:rFonts w:ascii="Times New Roman" w:hAnsi="Times New Roman" w:cs="Times New Roman"/>
          <w:bCs/>
          <w:sz w:val="24"/>
          <w:szCs w:val="24"/>
        </w:rPr>
        <w:t>st and disease inf</w:t>
      </w:r>
      <w:r w:rsidR="005E15A8" w:rsidRPr="00DF6A15">
        <w:rPr>
          <w:rFonts w:ascii="Times New Roman" w:hAnsi="Times New Roman" w:cs="Times New Roman"/>
          <w:bCs/>
          <w:sz w:val="24"/>
          <w:szCs w:val="24"/>
        </w:rPr>
        <w:t>estatio</w:t>
      </w:r>
      <w:r w:rsidR="0033009F" w:rsidRPr="00DF6A15">
        <w:rPr>
          <w:rFonts w:ascii="Times New Roman" w:hAnsi="Times New Roman" w:cs="Times New Roman"/>
          <w:bCs/>
          <w:sz w:val="24"/>
          <w:szCs w:val="24"/>
        </w:rPr>
        <w:t>n, etc. B</w:t>
      </w:r>
      <w:r w:rsidR="00560F75" w:rsidRPr="00DF6A15">
        <w:rPr>
          <w:rFonts w:ascii="Times New Roman" w:hAnsi="Times New Roman" w:cs="Times New Roman"/>
          <w:bCs/>
          <w:sz w:val="24"/>
          <w:szCs w:val="24"/>
        </w:rPr>
        <w:t>esides the aforementioned reasons, poor disease management weighs as one of the major factors respo</w:t>
      </w:r>
      <w:r w:rsidR="003648FF" w:rsidRPr="00DF6A15">
        <w:rPr>
          <w:rFonts w:ascii="Times New Roman" w:hAnsi="Times New Roman" w:cs="Times New Roman"/>
          <w:bCs/>
          <w:sz w:val="24"/>
          <w:szCs w:val="24"/>
        </w:rPr>
        <w:t xml:space="preserve">nsible for low yield. </w:t>
      </w:r>
      <w:r w:rsidR="0033009F"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="0033009F" w:rsidRPr="00DF6A15">
        <w:rPr>
          <w:rFonts w:ascii="Times New Roman" w:hAnsi="Times New Roman" w:cs="Times New Roman"/>
          <w:bCs/>
          <w:sz w:val="24"/>
          <w:szCs w:val="24"/>
        </w:rPr>
        <w:t xml:space="preserve"> blight caused by </w:t>
      </w:r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Alternaria </w:t>
      </w:r>
      <w:proofErr w:type="spellStart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brassicae</w:t>
      </w:r>
      <w:proofErr w:type="spellEnd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(Berk) </w:t>
      </w:r>
      <w:proofErr w:type="spellStart"/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>Sacc</w:t>
      </w:r>
      <w:proofErr w:type="spellEnd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., A.</w:t>
      </w:r>
      <w:r w:rsidR="00F05A79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brassicicola</w:t>
      </w:r>
      <w:proofErr w:type="spellEnd"/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>Schw</w:t>
      </w:r>
      <w:proofErr w:type="spellEnd"/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) Wiltshire is an important limiting factor, resulting in 42.4 % </w:t>
      </w:r>
      <w:r w:rsidR="003B12F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yield loss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in rapeseed (Chakrabarty </w:t>
      </w:r>
      <w:r w:rsidR="0033009F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., 2022).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Symptoms of the disease are characterized by formation of spots on leaves, stem and siliquae. </w:t>
      </w:r>
      <w:proofErr w:type="spellStart"/>
      <w:proofErr w:type="gramStart"/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A.</w:t>
      </w:r>
      <w:r w:rsidR="0058051A" w:rsidRPr="00DF6A15">
        <w:rPr>
          <w:rFonts w:ascii="Times New Roman" w:hAnsi="Times New Roman" w:cs="Times New Roman"/>
          <w:bCs/>
          <w:i/>
          <w:sz w:val="24"/>
          <w:szCs w:val="24"/>
        </w:rPr>
        <w:t>brassicae</w:t>
      </w:r>
      <w:proofErr w:type="spellEnd"/>
      <w:proofErr w:type="gramEnd"/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and A. </w:t>
      </w:r>
      <w:proofErr w:type="spellStart"/>
      <w:r w:rsidR="0058051A" w:rsidRPr="00DF6A15">
        <w:rPr>
          <w:rFonts w:ascii="Times New Roman" w:hAnsi="Times New Roman" w:cs="Times New Roman"/>
          <w:bCs/>
          <w:i/>
          <w:sz w:val="24"/>
          <w:szCs w:val="24"/>
        </w:rPr>
        <w:t>brassicicola</w:t>
      </w:r>
      <w:proofErr w:type="spellEnd"/>
      <w:r w:rsidR="0058051A" w:rsidRPr="00DF6A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can affect host species</w:t>
      </w:r>
      <w:r w:rsidR="00A856C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at all stages of growth, including seed. On seedlings,</w:t>
      </w:r>
      <w:r w:rsidR="00585F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symptoms include dark stem lesions immediately</w:t>
      </w:r>
      <w:r w:rsidR="00585F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after germination that can result in damping-off, or</w:t>
      </w:r>
      <w:r w:rsidR="00E84EFB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51A" w:rsidRPr="00DF6A15">
        <w:rPr>
          <w:rFonts w:ascii="Times New Roman" w:hAnsi="Times New Roman" w:cs="Times New Roman"/>
          <w:bCs/>
          <w:iCs/>
          <w:sz w:val="24"/>
          <w:szCs w:val="24"/>
        </w:rPr>
        <w:t>stunted seedlings.</w:t>
      </w:r>
      <w:r w:rsidR="0091095E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009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 disease 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diminishes the seed oil conte</w:t>
      </w:r>
      <w:r w:rsidR="001C0019" w:rsidRPr="00DF6A15">
        <w:rPr>
          <w:rFonts w:ascii="Times New Roman" w:hAnsi="Times New Roman" w:cs="Times New Roman"/>
          <w:bCs/>
          <w:iCs/>
          <w:sz w:val="24"/>
          <w:szCs w:val="24"/>
        </w:rPr>
        <w:t>nt both in qua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litative and quantitative terms (Meena </w:t>
      </w:r>
      <w:r w:rsidR="00D35D4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., 2010). To minimize the yield loss due to </w:t>
      </w:r>
      <w:r w:rsidR="00D35D4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blight, search for effective and economically viable control measures is of utmost significance. </w:t>
      </w:r>
      <w:r w:rsidR="00D41FA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There </w:t>
      </w:r>
      <w:r w:rsidR="005A4066" w:rsidRPr="00DF6A15">
        <w:rPr>
          <w:rFonts w:ascii="Times New Roman" w:hAnsi="Times New Roman" w:cs="Times New Roman"/>
          <w:bCs/>
          <w:iCs/>
          <w:sz w:val="24"/>
          <w:szCs w:val="24"/>
        </w:rPr>
        <w:t>are</w:t>
      </w:r>
      <w:r w:rsidR="00F730A9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many</w:t>
      </w:r>
      <w:r w:rsidR="00D41FA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745F0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effective fungicides </w:t>
      </w:r>
      <w:r w:rsidR="00E2229C" w:rsidRPr="00DF6A15">
        <w:rPr>
          <w:rFonts w:ascii="Times New Roman" w:hAnsi="Times New Roman" w:cs="Times New Roman"/>
          <w:bCs/>
          <w:i/>
          <w:sz w:val="24"/>
          <w:szCs w:val="24"/>
        </w:rPr>
        <w:t>viz.,</w:t>
      </w:r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>dithane</w:t>
      </w:r>
      <w:proofErr w:type="spellEnd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M 45, </w:t>
      </w:r>
      <w:proofErr w:type="spellStart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blitox</w:t>
      </w:r>
      <w:proofErr w:type="spellEnd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50, </w:t>
      </w:r>
      <w:proofErr w:type="spellStart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ridomil</w:t>
      </w:r>
      <w:proofErr w:type="spellEnd"/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MZ 72, etc. against this disease</w:t>
      </w:r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(Khan </w:t>
      </w:r>
      <w:r w:rsidR="00E2229C" w:rsidRPr="00DF6A15">
        <w:rPr>
          <w:rFonts w:ascii="Times New Roman" w:hAnsi="Times New Roman" w:cs="Times New Roman"/>
          <w:bCs/>
          <w:i/>
          <w:sz w:val="24"/>
          <w:szCs w:val="24"/>
        </w:rPr>
        <w:t>et al.,</w:t>
      </w:r>
      <w:r w:rsidR="00E2229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2007)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 But residual toxicity of these chemicals affecting oil quality in Brassicas is a matter of great concern (Mc Cartney </w:t>
      </w:r>
      <w:r w:rsidR="00D35D4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D35D43" w:rsidRPr="00DF6A15">
        <w:rPr>
          <w:rFonts w:ascii="Times New Roman" w:hAnsi="Times New Roman" w:cs="Times New Roman"/>
          <w:bCs/>
          <w:iCs/>
          <w:sz w:val="24"/>
          <w:szCs w:val="24"/>
        </w:rPr>
        <w:t>., 1999).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Development of resistance against fungicides being under repeated use is also reported 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(Rai </w:t>
      </w:r>
      <w:r w:rsidR="00987345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et.al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., 2014). Thus, an experiment was planned to study the efficacy of a number of fungicides for management of </w:t>
      </w:r>
      <w:r w:rsidR="00987345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Alternaria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 to give the farmers effective and economically viable options and thereby maximizing the yield of rapeseed and farm income.</w:t>
      </w:r>
    </w:p>
    <w:p w14:paraId="2E4C7073" w14:textId="77777777" w:rsidR="007F0F91" w:rsidRPr="00DF6A15" w:rsidRDefault="007F0F91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F9859D" w14:textId="3B339D61" w:rsidR="00987345" w:rsidRPr="00DF6A15" w:rsidRDefault="00671165" w:rsidP="00A162F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Materials &amp; Methods</w:t>
      </w:r>
    </w:p>
    <w:p w14:paraId="6ECEABF9" w14:textId="424CC19A" w:rsidR="00C27E91" w:rsidRPr="00DF6A15" w:rsidRDefault="00B76664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925A53" w:rsidRPr="00DF6A15">
        <w:rPr>
          <w:rFonts w:ascii="Times New Roman" w:hAnsi="Times New Roman" w:cs="Times New Roman"/>
          <w:bCs/>
          <w:iCs/>
          <w:sz w:val="24"/>
          <w:szCs w:val="24"/>
        </w:rPr>
        <w:t>Two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field trial</w:t>
      </w:r>
      <w:r w:rsidR="00925A53" w:rsidRPr="00DF6A1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2FE1" w:rsidRPr="00DF6A15">
        <w:rPr>
          <w:rFonts w:ascii="Times New Roman" w:hAnsi="Times New Roman" w:cs="Times New Roman"/>
          <w:bCs/>
          <w:iCs/>
          <w:sz w:val="24"/>
          <w:szCs w:val="24"/>
        </w:rPr>
        <w:t>were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carried out at Assam Agricultural University-Zonal Research Station, </w:t>
      </w:r>
      <w:proofErr w:type="spellStart"/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>Shillongani</w:t>
      </w:r>
      <w:proofErr w:type="spellEnd"/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, Assam </w:t>
      </w:r>
      <w:r w:rsidR="00AC6F8F" w:rsidRPr="00DF6A15">
        <w:rPr>
          <w:rFonts w:ascii="Times New Roman" w:hAnsi="Times New Roman" w:cs="Times New Roman"/>
          <w:bCs/>
          <w:iCs/>
          <w:sz w:val="24"/>
          <w:szCs w:val="24"/>
        </w:rPr>
        <w:t>(Latitude</w:t>
      </w:r>
      <w:r w:rsidR="00687A54" w:rsidRPr="00DF6A15">
        <w:rPr>
          <w:rFonts w:ascii="Times New Roman" w:hAnsi="Times New Roman" w:cs="Times New Roman"/>
          <w:bCs/>
          <w:iCs/>
          <w:sz w:val="24"/>
          <w:szCs w:val="24"/>
        </w:rPr>
        <w:t>: 26.359999ᵒ</w:t>
      </w:r>
      <w:r w:rsidR="00520C76" w:rsidRPr="00DF6A15">
        <w:rPr>
          <w:rFonts w:ascii="Times New Roman" w:hAnsi="Times New Roman" w:cs="Times New Roman"/>
          <w:bCs/>
          <w:iCs/>
          <w:sz w:val="24"/>
          <w:szCs w:val="24"/>
        </w:rPr>
        <w:t>, Longitude: 92.630372ᵒ)</w:t>
      </w:r>
      <w:r w:rsidR="00400E1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. The locations are areas, where </w:t>
      </w:r>
      <w:r w:rsidR="004C1A51" w:rsidRPr="00DF6A15">
        <w:rPr>
          <w:rFonts w:ascii="Times New Roman" w:hAnsi="Times New Roman" w:cs="Times New Roman"/>
          <w:bCs/>
          <w:iCs/>
          <w:sz w:val="24"/>
          <w:szCs w:val="24"/>
        </w:rPr>
        <w:t>rapeseed</w:t>
      </w:r>
      <w:r w:rsidR="00400E1C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is grown extensively </w:t>
      </w:r>
      <w:r w:rsidR="00FF28E3" w:rsidRPr="00DF6A15">
        <w:rPr>
          <w:rFonts w:ascii="Times New Roman" w:hAnsi="Times New Roman" w:cs="Times New Roman"/>
          <w:bCs/>
          <w:iCs/>
          <w:sz w:val="24"/>
          <w:szCs w:val="24"/>
        </w:rPr>
        <w:t>in the entire district</w:t>
      </w:r>
      <w:r w:rsidR="00672FE1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008C3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with heavy </w:t>
      </w:r>
      <w:r w:rsidR="009F0ECC" w:rsidRPr="00DF6A15">
        <w:rPr>
          <w:rFonts w:ascii="Times New Roman" w:hAnsi="Times New Roman" w:cs="Times New Roman"/>
          <w:bCs/>
          <w:iCs/>
          <w:sz w:val="24"/>
          <w:szCs w:val="24"/>
        </w:rPr>
        <w:t>incidence of diseas</w:t>
      </w:r>
      <w:r w:rsidR="007F4130" w:rsidRPr="00DF6A15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F20753" w:rsidRPr="00DF6A15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681157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, including damage by </w:t>
      </w:r>
      <w:r w:rsidR="00681157"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="00681157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blight.</w:t>
      </w:r>
      <w:r w:rsidR="004A22B0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The study was carried out over two years</w:t>
      </w:r>
      <w:r w:rsidR="00B008C3" w:rsidRPr="00DF6A1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during </w:t>
      </w:r>
      <w:r w:rsidR="00987345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rabi</w:t>
      </w:r>
      <w:r w:rsidR="0098734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season of 2021-22 and 2022-23</w:t>
      </w:r>
      <w:r w:rsidR="00C27E91" w:rsidRPr="00DF6A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9533532" w14:textId="3964CF6C" w:rsidR="00390A2A" w:rsidRPr="00DF6A15" w:rsidRDefault="00987345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6664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E1701F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 experiment was conducted in a </w:t>
      </w:r>
      <w:r w:rsidR="00003214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randomized block design 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to test </w:t>
      </w:r>
      <w:r w:rsidR="00A116D5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the efficacy of </w:t>
      </w:r>
      <w:r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different fungicides </w:t>
      </w:r>
      <w:r w:rsidR="00684496" w:rsidRPr="00DF6A15">
        <w:rPr>
          <w:rFonts w:ascii="Times New Roman" w:hAnsi="Times New Roman" w:cs="Times New Roman"/>
          <w:bCs/>
          <w:iCs/>
          <w:sz w:val="24"/>
          <w:szCs w:val="24"/>
        </w:rPr>
        <w:t xml:space="preserve">against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 disease in rapeseed. The trial consist</w:t>
      </w:r>
      <w:r w:rsidR="000B636D" w:rsidRPr="00DF6A15">
        <w:rPr>
          <w:rFonts w:ascii="Times New Roman" w:hAnsi="Times New Roman" w:cs="Times New Roman"/>
          <w:bCs/>
          <w:sz w:val="24"/>
          <w:szCs w:val="24"/>
        </w:rPr>
        <w:t>ed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>of eight treatments (Table 1</w:t>
      </w:r>
      <w:r w:rsidR="00B46DFB" w:rsidRPr="00DF6A15">
        <w:rPr>
          <w:rFonts w:ascii="Times New Roman" w:hAnsi="Times New Roman" w:cs="Times New Roman"/>
          <w:bCs/>
          <w:sz w:val="24"/>
          <w:szCs w:val="24"/>
        </w:rPr>
        <w:t xml:space="preserve">): </w:t>
      </w:r>
    </w:p>
    <w:p w14:paraId="4FBE0AC0" w14:textId="77777777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Tebuconazole 50% + </w:t>
      </w: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25% WG (ready mix) @ 1 g/l,</w:t>
      </w:r>
    </w:p>
    <w:p w14:paraId="08067D6D" w14:textId="77777777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Propiconazole 25% EC @ 1 ml/l, </w:t>
      </w:r>
    </w:p>
    <w:p w14:paraId="1E0857F0" w14:textId="77777777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Metalaxyl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4% + mancozeb 64% (ready mix) @ 0.5 g/l, </w:t>
      </w:r>
    </w:p>
    <w:p w14:paraId="5F5528B3" w14:textId="77777777" w:rsidR="00390A2A" w:rsidRPr="00DF6A15" w:rsidRDefault="00B46DFB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Hexaconazole 5% SC @ 2 ml/l, </w:t>
      </w:r>
    </w:p>
    <w:p w14:paraId="75AEFFD5" w14:textId="77777777" w:rsidR="00390A2A" w:rsidRPr="00DF6A15" w:rsidRDefault="00390A2A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Tebuconazole 25.9% @ 1 ml/l </w:t>
      </w:r>
    </w:p>
    <w:p w14:paraId="123D64A3" w14:textId="77777777" w:rsidR="00390A2A" w:rsidRPr="00DF6A15" w:rsidRDefault="005C07E8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>Azoxystrobin 23 SC @ 1 ml/l,</w:t>
      </w:r>
    </w:p>
    <w:p w14:paraId="6B201A26" w14:textId="16DA5E53" w:rsidR="00390A2A" w:rsidRPr="00DF6A15" w:rsidRDefault="00390A2A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Trifloxytrobin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50% WG @ 1 g/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l and</w:t>
      </w:r>
      <w:r w:rsidR="00F347B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7944CA" w14:textId="77777777" w:rsidR="00BF2532" w:rsidRPr="00DF6A15" w:rsidRDefault="00390A2A" w:rsidP="00A162F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>An untrea</w:t>
      </w:r>
      <w:r w:rsidR="00BF2532" w:rsidRPr="00DF6A15">
        <w:rPr>
          <w:rFonts w:ascii="Times New Roman" w:hAnsi="Times New Roman" w:cs="Times New Roman"/>
          <w:bCs/>
          <w:sz w:val="24"/>
          <w:szCs w:val="24"/>
        </w:rPr>
        <w:t>ted control.</w:t>
      </w:r>
    </w:p>
    <w:p w14:paraId="5E67B8DB" w14:textId="3B5F5074" w:rsidR="00BF2532" w:rsidRPr="00DF6A15" w:rsidRDefault="00B76664" w:rsidP="00A162F1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532" w:rsidRPr="00DF6A15">
        <w:rPr>
          <w:rFonts w:ascii="Times New Roman" w:hAnsi="Times New Roman" w:cs="Times New Roman"/>
          <w:bCs/>
          <w:sz w:val="24"/>
          <w:szCs w:val="24"/>
        </w:rPr>
        <w:t>E</w:t>
      </w:r>
      <w:r w:rsidR="00F347B7" w:rsidRPr="00DF6A15">
        <w:rPr>
          <w:rFonts w:ascii="Times New Roman" w:hAnsi="Times New Roman" w:cs="Times New Roman"/>
          <w:bCs/>
          <w:sz w:val="24"/>
          <w:szCs w:val="24"/>
        </w:rPr>
        <w:t xml:space="preserve">ach treatment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was laid out with three replications. </w:t>
      </w:r>
      <w:r w:rsidR="00A1456C" w:rsidRPr="00DF6A15">
        <w:rPr>
          <w:rFonts w:ascii="Times New Roman" w:hAnsi="Times New Roman" w:cs="Times New Roman"/>
          <w:bCs/>
          <w:sz w:val="24"/>
          <w:szCs w:val="24"/>
        </w:rPr>
        <w:t xml:space="preserve">The individual plot size was 4m </w:t>
      </w:r>
      <w:r w:rsidR="00011CFB" w:rsidRPr="00DF6A15">
        <w:rPr>
          <w:rFonts w:ascii="Times New Roman" w:hAnsi="Times New Roman" w:cs="Times New Roman"/>
          <w:bCs/>
          <w:sz w:val="24"/>
          <w:szCs w:val="24"/>
        </w:rPr>
        <w:t>x</w:t>
      </w:r>
      <w:r w:rsidR="00A1456C" w:rsidRPr="00DF6A15">
        <w:rPr>
          <w:rFonts w:ascii="Times New Roman" w:hAnsi="Times New Roman" w:cs="Times New Roman"/>
          <w:bCs/>
          <w:sz w:val="24"/>
          <w:szCs w:val="24"/>
        </w:rPr>
        <w:t xml:space="preserve"> 3m</w:t>
      </w:r>
      <w:r w:rsidR="00CA1BB4" w:rsidRPr="00DF6A15">
        <w:rPr>
          <w:rFonts w:ascii="Times New Roman" w:hAnsi="Times New Roman" w:cs="Times New Roman"/>
          <w:bCs/>
          <w:sz w:val="24"/>
          <w:szCs w:val="24"/>
        </w:rPr>
        <w:t xml:space="preserve"> with a spacing of</w:t>
      </w:r>
      <w:r w:rsidR="00BF2532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BB4" w:rsidRPr="00DF6A15">
        <w:rPr>
          <w:rFonts w:ascii="Times New Roman" w:hAnsi="Times New Roman" w:cs="Times New Roman"/>
          <w:bCs/>
          <w:sz w:val="24"/>
          <w:szCs w:val="24"/>
        </w:rPr>
        <w:t xml:space="preserve">30 cm </w:t>
      </w:r>
      <w:r w:rsidR="00011CFB" w:rsidRPr="00DF6A15">
        <w:rPr>
          <w:rFonts w:ascii="Times New Roman" w:hAnsi="Times New Roman" w:cs="Times New Roman"/>
          <w:bCs/>
          <w:sz w:val="24"/>
          <w:szCs w:val="24"/>
        </w:rPr>
        <w:t>x</w:t>
      </w:r>
      <w:r w:rsidR="00CA1BB4" w:rsidRPr="00DF6A15">
        <w:rPr>
          <w:rFonts w:ascii="Times New Roman" w:hAnsi="Times New Roman" w:cs="Times New Roman"/>
          <w:bCs/>
          <w:sz w:val="24"/>
          <w:szCs w:val="24"/>
        </w:rPr>
        <w:t xml:space="preserve"> 10 cm.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The rapeseed variety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‘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>TS 38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’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 was sown on 29 October and 2 November in respective year of experimentation using a seed ra</w:t>
      </w:r>
      <w:r w:rsidR="00326697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>e of 7.5</w:t>
      </w:r>
      <w:r w:rsidR="0032669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kg/ha under rainfed conditions. The crop was </w:t>
      </w:r>
      <w:r w:rsidR="008C691A" w:rsidRPr="00DF6A15">
        <w:rPr>
          <w:rFonts w:ascii="Times New Roman" w:hAnsi="Times New Roman" w:cs="Times New Roman"/>
          <w:bCs/>
          <w:sz w:val="24"/>
          <w:szCs w:val="24"/>
        </w:rPr>
        <w:t xml:space="preserve">cultivated </w:t>
      </w:r>
      <w:r w:rsidR="007E47E9" w:rsidRPr="00DF6A15">
        <w:rPr>
          <w:rFonts w:ascii="Times New Roman" w:hAnsi="Times New Roman" w:cs="Times New Roman"/>
          <w:bCs/>
          <w:sz w:val="24"/>
          <w:szCs w:val="24"/>
        </w:rPr>
        <w:t>using customary cultural practices, such as nutrient and water management</w:t>
      </w:r>
      <w:r w:rsidR="005126FE" w:rsidRPr="00DF6A15">
        <w:rPr>
          <w:rFonts w:ascii="Times New Roman" w:hAnsi="Times New Roman" w:cs="Times New Roman"/>
          <w:bCs/>
          <w:sz w:val="24"/>
          <w:szCs w:val="24"/>
        </w:rPr>
        <w:t xml:space="preserve">, weeding and destruction of crop residue in the </w:t>
      </w:r>
      <w:r w:rsidR="003544D3" w:rsidRPr="00DF6A15">
        <w:rPr>
          <w:rFonts w:ascii="Times New Roman" w:hAnsi="Times New Roman" w:cs="Times New Roman"/>
          <w:bCs/>
          <w:sz w:val="24"/>
          <w:szCs w:val="24"/>
        </w:rPr>
        <w:t>field</w:t>
      </w:r>
      <w:r w:rsidR="009F548E" w:rsidRPr="00DF6A15">
        <w:rPr>
          <w:rFonts w:ascii="Times New Roman" w:hAnsi="Times New Roman" w:cs="Times New Roman"/>
          <w:bCs/>
          <w:sz w:val="24"/>
          <w:szCs w:val="24"/>
        </w:rPr>
        <w:t xml:space="preserve"> etc</w:t>
      </w:r>
      <w:r w:rsidR="003544D3" w:rsidRPr="00DF6A15">
        <w:rPr>
          <w:rFonts w:ascii="Times New Roman" w:hAnsi="Times New Roman" w:cs="Times New Roman"/>
          <w:bCs/>
          <w:sz w:val="24"/>
          <w:szCs w:val="24"/>
        </w:rPr>
        <w:t>.</w:t>
      </w:r>
      <w:r w:rsidR="00D82A9A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94488420"/>
      <w:r w:rsidR="00D82A9A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he duration of the crop was </w:t>
      </w:r>
      <w:r w:rsidR="00A3326D" w:rsidRPr="00DF6A15">
        <w:rPr>
          <w:rFonts w:ascii="Times New Roman" w:hAnsi="Times New Roman" w:cs="Times New Roman"/>
          <w:bCs/>
          <w:sz w:val="24"/>
          <w:szCs w:val="24"/>
        </w:rPr>
        <w:t>recorded during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 the first and second year of study. </w:t>
      </w:r>
    </w:p>
    <w:bookmarkEnd w:id="1"/>
    <w:p w14:paraId="6187A330" w14:textId="1919A26E" w:rsidR="00987345" w:rsidRPr="00DF6A15" w:rsidRDefault="00BF2532" w:rsidP="00A162F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During the crop season, </w:t>
      </w:r>
      <w:r w:rsidR="001B2EC1" w:rsidRPr="00DF6A15">
        <w:rPr>
          <w:rFonts w:ascii="Times New Roman" w:hAnsi="Times New Roman" w:cs="Times New Roman"/>
          <w:bCs/>
          <w:sz w:val="24"/>
          <w:szCs w:val="24"/>
        </w:rPr>
        <w:t xml:space="preserve">the meteorological parameters </w:t>
      </w:r>
      <w:r w:rsidR="00D95F1B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viz</w:t>
      </w:r>
      <w:r w:rsidR="00D95F1B" w:rsidRPr="00DF6A15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4D1C17" w:rsidRPr="00DF6A15">
        <w:rPr>
          <w:rFonts w:ascii="Times New Roman" w:hAnsi="Times New Roman" w:cs="Times New Roman"/>
          <w:bCs/>
          <w:sz w:val="24"/>
          <w:szCs w:val="24"/>
        </w:rPr>
        <w:t xml:space="preserve">mean </w:t>
      </w:r>
      <w:r w:rsidR="00073B3E" w:rsidRPr="00DF6A15">
        <w:rPr>
          <w:rFonts w:ascii="Times New Roman" w:hAnsi="Times New Roman" w:cs="Times New Roman"/>
          <w:bCs/>
          <w:sz w:val="24"/>
          <w:szCs w:val="24"/>
        </w:rPr>
        <w:t>temperature</w:t>
      </w:r>
      <w:r w:rsidR="00D95F1B" w:rsidRPr="00DF6A15">
        <w:rPr>
          <w:rFonts w:ascii="Times New Roman" w:hAnsi="Times New Roman" w:cs="Times New Roman"/>
          <w:bCs/>
          <w:sz w:val="24"/>
          <w:szCs w:val="24"/>
        </w:rPr>
        <w:t xml:space="preserve"> (maximum and minimum), mean relative humidity (morning and evening) </w:t>
      </w:r>
      <w:r w:rsidR="00237CCA" w:rsidRPr="00DF6A15">
        <w:rPr>
          <w:rFonts w:ascii="Times New Roman" w:hAnsi="Times New Roman" w:cs="Times New Roman"/>
          <w:bCs/>
          <w:sz w:val="24"/>
          <w:szCs w:val="24"/>
        </w:rPr>
        <w:t xml:space="preserve">and rainfall </w:t>
      </w:r>
      <w:r w:rsidR="00073B3E" w:rsidRPr="00DF6A15">
        <w:rPr>
          <w:rFonts w:ascii="Times New Roman" w:hAnsi="Times New Roman" w:cs="Times New Roman"/>
          <w:bCs/>
          <w:sz w:val="24"/>
          <w:szCs w:val="24"/>
        </w:rPr>
        <w:t>w</w:t>
      </w:r>
      <w:r w:rsidR="00237CCA" w:rsidRPr="00DF6A15">
        <w:rPr>
          <w:rFonts w:ascii="Times New Roman" w:hAnsi="Times New Roman" w:cs="Times New Roman"/>
          <w:bCs/>
          <w:sz w:val="24"/>
          <w:szCs w:val="24"/>
        </w:rPr>
        <w:t>as</w:t>
      </w:r>
      <w:r w:rsidR="00073B3E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F1B" w:rsidRPr="00DF6A15">
        <w:rPr>
          <w:rFonts w:ascii="Times New Roman" w:hAnsi="Times New Roman" w:cs="Times New Roman"/>
          <w:bCs/>
          <w:sz w:val="24"/>
          <w:szCs w:val="24"/>
        </w:rPr>
        <w:t xml:space="preserve">recorded </w:t>
      </w:r>
      <w:r w:rsidR="009C7A61" w:rsidRPr="00DF6A15">
        <w:rPr>
          <w:rFonts w:ascii="Times New Roman" w:hAnsi="Times New Roman" w:cs="Times New Roman"/>
          <w:bCs/>
          <w:sz w:val="24"/>
          <w:szCs w:val="24"/>
        </w:rPr>
        <w:t xml:space="preserve">from AAU-Zonal Research Station meteorological </w:t>
      </w:r>
      <w:r w:rsidR="00237CCA" w:rsidRPr="00DF6A15">
        <w:rPr>
          <w:rFonts w:ascii="Times New Roman" w:hAnsi="Times New Roman" w:cs="Times New Roman"/>
          <w:bCs/>
          <w:sz w:val="24"/>
          <w:szCs w:val="24"/>
        </w:rPr>
        <w:t>department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. The fungicides were sprayed twice, first at appearance of 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the disease and the second at 20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days after </w:t>
      </w:r>
      <w:r w:rsidR="00E74A99" w:rsidRPr="00DF6A1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first spray.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lastRenderedPageBreak/>
        <w:t>For all the treatments, the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797" w:rsidRPr="00DF6A15">
        <w:rPr>
          <w:rFonts w:ascii="Times New Roman" w:hAnsi="Times New Roman" w:cs="Times New Roman"/>
          <w:bCs/>
          <w:sz w:val="24"/>
          <w:szCs w:val="24"/>
        </w:rPr>
        <w:t>per cent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>disease</w:t>
      </w:r>
      <w:r w:rsidR="00315D23" w:rsidRPr="00DF6A15">
        <w:rPr>
          <w:rFonts w:ascii="Times New Roman" w:hAnsi="Times New Roman" w:cs="Times New Roman"/>
          <w:bCs/>
          <w:sz w:val="24"/>
          <w:szCs w:val="24"/>
        </w:rPr>
        <w:t xml:space="preserve"> severity on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leaves and 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>pods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 were counted from</w:t>
      </w:r>
      <w:r w:rsidR="00315D23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>10 randomly selected plants</w:t>
      </w:r>
      <w:r w:rsidR="004D603D" w:rsidRPr="00DF6A15">
        <w:rPr>
          <w:sz w:val="24"/>
          <w:szCs w:val="24"/>
        </w:rPr>
        <w:t xml:space="preserve"> </w:t>
      </w:r>
      <w:r w:rsidR="004D603D" w:rsidRPr="00DF6A15">
        <w:rPr>
          <w:rFonts w:ascii="Times New Roman" w:hAnsi="Times New Roman" w:cs="Times New Roman"/>
          <w:bCs/>
          <w:sz w:val="24"/>
          <w:szCs w:val="24"/>
        </w:rPr>
        <w:t>using revised rating scale 0-9 (Conn et.al., 1990).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046" w:rsidRPr="00DF6A15">
        <w:rPr>
          <w:rFonts w:ascii="Times New Roman" w:hAnsi="Times New Roman" w:cs="Times New Roman"/>
          <w:bCs/>
          <w:sz w:val="24"/>
          <w:szCs w:val="24"/>
        </w:rPr>
        <w:t xml:space="preserve">On leaves, the disease severity of Alternaria blight was recorded at 70 DAS and on pods at 75 DAS. </w:t>
      </w:r>
      <w:r w:rsidR="00EF155D" w:rsidRPr="00DF6A15">
        <w:rPr>
          <w:rFonts w:ascii="Times New Roman" w:hAnsi="Times New Roman" w:cs="Times New Roman"/>
          <w:bCs/>
          <w:sz w:val="24"/>
          <w:szCs w:val="24"/>
        </w:rPr>
        <w:t>Yield was recorded at harvest</w:t>
      </w:r>
      <w:r w:rsidR="00D57B36" w:rsidRPr="00DF6A15">
        <w:rPr>
          <w:rFonts w:ascii="Times New Roman" w:hAnsi="Times New Roman" w:cs="Times New Roman"/>
          <w:bCs/>
          <w:sz w:val="24"/>
          <w:szCs w:val="24"/>
        </w:rPr>
        <w:t>. T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he per cent data were angular transformed using </w:t>
      </w:r>
      <w:proofErr w:type="spellStart"/>
      <w:r w:rsidR="00022D18" w:rsidRPr="00DF6A15">
        <w:rPr>
          <w:rFonts w:ascii="Times New Roman" w:hAnsi="Times New Roman" w:cs="Times New Roman"/>
          <w:bCs/>
          <w:sz w:val="24"/>
          <w:szCs w:val="24"/>
        </w:rPr>
        <w:t>Mstat</w:t>
      </w:r>
      <w:proofErr w:type="spellEnd"/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software. The year</w:t>
      </w:r>
      <w:r w:rsidR="00940DFC" w:rsidRPr="00DF6A15">
        <w:rPr>
          <w:rFonts w:ascii="Times New Roman" w:hAnsi="Times New Roman" w:cs="Times New Roman"/>
          <w:bCs/>
          <w:sz w:val="24"/>
          <w:szCs w:val="24"/>
        </w:rPr>
        <w:t>-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>wise data generated were pooled, and reduction in disease severity and yield increase were calculated from pooled data over th</w:t>
      </w:r>
      <w:r w:rsidR="00722F10" w:rsidRPr="00DF6A15">
        <w:rPr>
          <w:rFonts w:ascii="Times New Roman" w:hAnsi="Times New Roman" w:cs="Times New Roman"/>
          <w:bCs/>
          <w:sz w:val="24"/>
          <w:szCs w:val="24"/>
        </w:rPr>
        <w:t>e untreated control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27D6" w:rsidRPr="00DF6A15">
        <w:rPr>
          <w:rFonts w:ascii="Times New Roman" w:hAnsi="Times New Roman" w:cs="Times New Roman"/>
          <w:bCs/>
          <w:sz w:val="24"/>
          <w:szCs w:val="24"/>
        </w:rPr>
        <w:t>The preventable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yield loss was </w:t>
      </w:r>
      <w:r w:rsidR="007627D6" w:rsidRPr="00DF6A15">
        <w:rPr>
          <w:rFonts w:ascii="Times New Roman" w:hAnsi="Times New Roman" w:cs="Times New Roman"/>
          <w:bCs/>
          <w:sz w:val="24"/>
          <w:szCs w:val="24"/>
        </w:rPr>
        <w:t>calculated</w:t>
      </w:r>
      <w:r w:rsidR="00022D18" w:rsidRPr="00DF6A15">
        <w:rPr>
          <w:rFonts w:ascii="Times New Roman" w:hAnsi="Times New Roman" w:cs="Times New Roman"/>
          <w:bCs/>
          <w:sz w:val="24"/>
          <w:szCs w:val="24"/>
        </w:rPr>
        <w:t xml:space="preserve"> against the treatment with the highest seed yield. For</w:t>
      </w:r>
      <w:r w:rsidR="0028074A" w:rsidRPr="00DF6A15">
        <w:rPr>
          <w:rFonts w:ascii="Times New Roman" w:hAnsi="Times New Roman" w:cs="Times New Roman"/>
          <w:bCs/>
          <w:sz w:val="24"/>
          <w:szCs w:val="24"/>
        </w:rPr>
        <w:t xml:space="preserve"> drawing economic inference, the market price of Rs. 65/kg seed was taken into account.</w:t>
      </w:r>
      <w:r w:rsidR="00940DFC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9393B1" w14:textId="77777777" w:rsidR="007F0F91" w:rsidRPr="00DF6A15" w:rsidRDefault="007F0F91" w:rsidP="00A162F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F9571" w14:textId="72B13437" w:rsidR="00E87284" w:rsidRPr="00DF6A15" w:rsidRDefault="00671165" w:rsidP="00A162F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14:paraId="53CB01DF" w14:textId="7B417881" w:rsidR="002A4104" w:rsidRPr="00DF6A15" w:rsidRDefault="00A1278C" w:rsidP="00A162F1">
      <w:pPr>
        <w:pStyle w:val="ListParagraph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Meteorological record</w:t>
      </w:r>
    </w:p>
    <w:p w14:paraId="608866FE" w14:textId="7B8CD7A0" w:rsidR="006909F5" w:rsidRPr="00DF6A15" w:rsidRDefault="00B76664" w:rsidP="00A162F1">
      <w:p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3EF2" w:rsidRPr="00DF6A15">
        <w:rPr>
          <w:rFonts w:ascii="Times New Roman" w:hAnsi="Times New Roman" w:cs="Times New Roman"/>
          <w:sz w:val="24"/>
          <w:szCs w:val="24"/>
        </w:rPr>
        <w:t>During</w:t>
      </w:r>
      <w:r w:rsidR="00E210F0" w:rsidRPr="00DF6A15">
        <w:rPr>
          <w:rFonts w:ascii="Times New Roman" w:hAnsi="Times New Roman" w:cs="Times New Roman"/>
          <w:sz w:val="24"/>
          <w:szCs w:val="24"/>
        </w:rPr>
        <w:t xml:space="preserve"> the experiment</w:t>
      </w:r>
      <w:r w:rsidR="006C1556" w:rsidRPr="00DF6A15">
        <w:rPr>
          <w:rFonts w:ascii="Times New Roman" w:hAnsi="Times New Roman" w:cs="Times New Roman"/>
          <w:sz w:val="24"/>
          <w:szCs w:val="24"/>
        </w:rPr>
        <w:t>al</w:t>
      </w:r>
      <w:r w:rsidR="00E210F0" w:rsidRPr="00DF6A15">
        <w:rPr>
          <w:rFonts w:ascii="Times New Roman" w:hAnsi="Times New Roman" w:cs="Times New Roman"/>
          <w:sz w:val="24"/>
          <w:szCs w:val="24"/>
        </w:rPr>
        <w:t xml:space="preserve"> period</w:t>
      </w:r>
      <w:r w:rsidR="006C1556" w:rsidRPr="00DF6A15">
        <w:rPr>
          <w:rFonts w:ascii="Times New Roman" w:hAnsi="Times New Roman" w:cs="Times New Roman"/>
          <w:sz w:val="24"/>
          <w:szCs w:val="24"/>
        </w:rPr>
        <w:t xml:space="preserve"> 2021-22</w:t>
      </w:r>
      <w:r w:rsidR="00E210F0" w:rsidRPr="00DF6A15">
        <w:rPr>
          <w:rFonts w:ascii="Times New Roman" w:hAnsi="Times New Roman" w:cs="Times New Roman"/>
          <w:sz w:val="24"/>
          <w:szCs w:val="24"/>
        </w:rPr>
        <w:t>, the maximum and minimum mean temperature</w:t>
      </w:r>
      <w:r w:rsidR="00A104B5" w:rsidRPr="00DF6A15">
        <w:rPr>
          <w:rFonts w:ascii="Times New Roman" w:hAnsi="Times New Roman" w:cs="Times New Roman"/>
          <w:sz w:val="24"/>
          <w:szCs w:val="24"/>
        </w:rPr>
        <w:t xml:space="preserve"> was 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27.8 ℃ </w:t>
      </w:r>
      <w:r w:rsidR="00E16992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nd 13.2 ℃, </w:t>
      </w:r>
      <w:r w:rsidR="00A104B5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>espectively</w:t>
      </w:r>
      <w:r w:rsidR="006C1556" w:rsidRPr="00DF6A15">
        <w:rPr>
          <w:rFonts w:ascii="Times New Roman" w:hAnsi="Times New Roman" w:cs="Times New Roman"/>
          <w:sz w:val="24"/>
          <w:szCs w:val="24"/>
        </w:rPr>
        <w:t xml:space="preserve">, while in </w:t>
      </w:r>
      <w:r w:rsidR="00A1278C" w:rsidRPr="00DF6A15">
        <w:rPr>
          <w:rFonts w:ascii="Times New Roman" w:hAnsi="Times New Roman" w:cs="Times New Roman"/>
          <w:sz w:val="24"/>
          <w:szCs w:val="24"/>
        </w:rPr>
        <w:t>202</w:t>
      </w:r>
      <w:r w:rsidR="007E0AC2" w:rsidRPr="00DF6A15">
        <w:rPr>
          <w:rFonts w:ascii="Times New Roman" w:hAnsi="Times New Roman" w:cs="Times New Roman"/>
          <w:sz w:val="24"/>
          <w:szCs w:val="24"/>
        </w:rPr>
        <w:t>2</w:t>
      </w:r>
      <w:r w:rsidR="00A1278C" w:rsidRPr="00DF6A15">
        <w:rPr>
          <w:rFonts w:ascii="Times New Roman" w:hAnsi="Times New Roman" w:cs="Times New Roman"/>
          <w:sz w:val="24"/>
          <w:szCs w:val="24"/>
        </w:rPr>
        <w:t>-2</w:t>
      </w:r>
      <w:r w:rsidR="007E0AC2" w:rsidRPr="00DF6A15">
        <w:rPr>
          <w:rFonts w:ascii="Times New Roman" w:hAnsi="Times New Roman" w:cs="Times New Roman"/>
          <w:sz w:val="24"/>
          <w:szCs w:val="24"/>
        </w:rPr>
        <w:t xml:space="preserve">3, it was </w:t>
      </w:r>
      <w:r w:rsidR="00B45FFE" w:rsidRPr="00DF6A15">
        <w:rPr>
          <w:rFonts w:ascii="Times New Roman" w:hAnsi="Times New Roman" w:cs="Times New Roman"/>
          <w:sz w:val="24"/>
          <w:szCs w:val="24"/>
        </w:rPr>
        <w:t>found to be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27.7 ℃ </w:t>
      </w:r>
      <w:r w:rsidR="00E16992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>nd 16.0 ℃</w:t>
      </w:r>
      <w:r w:rsidR="00B45FFE" w:rsidRPr="00DF6A15">
        <w:rPr>
          <w:rFonts w:ascii="Times New Roman" w:hAnsi="Times New Roman" w:cs="Times New Roman"/>
          <w:sz w:val="24"/>
          <w:szCs w:val="24"/>
        </w:rPr>
        <w:t xml:space="preserve">. 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During 2022-23</w:t>
      </w:r>
      <w:r w:rsidR="00B707E6" w:rsidRPr="00DF6A15">
        <w:rPr>
          <w:rFonts w:ascii="Times New Roman" w:hAnsi="Times New Roman" w:cs="Times New Roman"/>
          <w:sz w:val="24"/>
          <w:szCs w:val="24"/>
        </w:rPr>
        <w:t>,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B707E6" w:rsidRPr="00DF6A15">
        <w:rPr>
          <w:rFonts w:ascii="Times New Roman" w:hAnsi="Times New Roman" w:cs="Times New Roman"/>
          <w:sz w:val="24"/>
          <w:szCs w:val="24"/>
        </w:rPr>
        <w:t>t</w:t>
      </w:r>
      <w:r w:rsidR="00B45FFE" w:rsidRPr="00DF6A15">
        <w:rPr>
          <w:rFonts w:ascii="Times New Roman" w:hAnsi="Times New Roman" w:cs="Times New Roman"/>
          <w:sz w:val="24"/>
          <w:szCs w:val="24"/>
        </w:rPr>
        <w:t>he 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ean </w:t>
      </w:r>
      <w:r w:rsidR="00B45FFE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elative </w:t>
      </w:r>
      <w:r w:rsidR="00B45FFE" w:rsidRPr="00DF6A15">
        <w:rPr>
          <w:rFonts w:ascii="Times New Roman" w:hAnsi="Times New Roman" w:cs="Times New Roman"/>
          <w:sz w:val="24"/>
          <w:szCs w:val="24"/>
        </w:rPr>
        <w:t>h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umidity </w:t>
      </w:r>
      <w:r w:rsidR="00B45FFE" w:rsidRPr="00DF6A15">
        <w:rPr>
          <w:rFonts w:ascii="Times New Roman" w:hAnsi="Times New Roman" w:cs="Times New Roman"/>
          <w:sz w:val="24"/>
          <w:szCs w:val="24"/>
        </w:rPr>
        <w:t>w</w:t>
      </w:r>
      <w:r w:rsidR="00A1278C" w:rsidRPr="00DF6A15">
        <w:rPr>
          <w:rFonts w:ascii="Times New Roman" w:hAnsi="Times New Roman" w:cs="Times New Roman"/>
          <w:sz w:val="24"/>
          <w:szCs w:val="24"/>
        </w:rPr>
        <w:t>as 90.0 % (</w:t>
      </w:r>
      <w:r w:rsidR="00E16992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orning) </w:t>
      </w:r>
      <w:r w:rsidR="00636A50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>nd 62.0 % (</w:t>
      </w:r>
      <w:r w:rsidR="00E16992" w:rsidRPr="00DF6A15">
        <w:rPr>
          <w:rFonts w:ascii="Times New Roman" w:hAnsi="Times New Roman" w:cs="Times New Roman"/>
          <w:sz w:val="24"/>
          <w:szCs w:val="24"/>
        </w:rPr>
        <w:t>e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vening) </w:t>
      </w:r>
      <w:r w:rsidR="00B45FFE" w:rsidRPr="00DF6A15">
        <w:rPr>
          <w:rFonts w:ascii="Times New Roman" w:hAnsi="Times New Roman" w:cs="Times New Roman"/>
          <w:sz w:val="24"/>
          <w:szCs w:val="24"/>
        </w:rPr>
        <w:t>i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 </w:t>
      </w:r>
      <w:r w:rsidR="00B45FFE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B45FFE" w:rsidRPr="00DF6A15">
        <w:rPr>
          <w:rFonts w:ascii="Times New Roman" w:hAnsi="Times New Roman" w:cs="Times New Roman"/>
          <w:sz w:val="24"/>
          <w:szCs w:val="24"/>
        </w:rPr>
        <w:t>f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irst </w:t>
      </w:r>
      <w:r w:rsidR="00B45FFE" w:rsidRPr="00DF6A15">
        <w:rPr>
          <w:rFonts w:ascii="Times New Roman" w:hAnsi="Times New Roman" w:cs="Times New Roman"/>
          <w:sz w:val="24"/>
          <w:szCs w:val="24"/>
        </w:rPr>
        <w:t>y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ear </w:t>
      </w:r>
      <w:r w:rsidR="00B45FFE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>nd 90.3 % (</w:t>
      </w:r>
      <w:r w:rsidR="00E16992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>orning) And 66.1 % (</w:t>
      </w:r>
      <w:r w:rsidR="00E16992" w:rsidRPr="00DF6A15">
        <w:rPr>
          <w:rFonts w:ascii="Times New Roman" w:hAnsi="Times New Roman" w:cs="Times New Roman"/>
          <w:sz w:val="24"/>
          <w:szCs w:val="24"/>
        </w:rPr>
        <w:t>e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vening) </w:t>
      </w:r>
      <w:r w:rsidR="00B45FFE" w:rsidRPr="00DF6A15">
        <w:rPr>
          <w:rFonts w:ascii="Times New Roman" w:hAnsi="Times New Roman" w:cs="Times New Roman"/>
          <w:sz w:val="24"/>
          <w:szCs w:val="24"/>
        </w:rPr>
        <w:t>i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 </w:t>
      </w:r>
      <w:r w:rsidR="00B45FFE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B45FFE" w:rsidRPr="00DF6A15">
        <w:rPr>
          <w:rFonts w:ascii="Times New Roman" w:hAnsi="Times New Roman" w:cs="Times New Roman"/>
          <w:sz w:val="24"/>
          <w:szCs w:val="24"/>
        </w:rPr>
        <w:t>s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econd </w:t>
      </w:r>
      <w:r w:rsidR="00B45FFE" w:rsidRPr="00DF6A15">
        <w:rPr>
          <w:rFonts w:ascii="Times New Roman" w:hAnsi="Times New Roman" w:cs="Times New Roman"/>
          <w:sz w:val="24"/>
          <w:szCs w:val="24"/>
        </w:rPr>
        <w:t>y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ear </w:t>
      </w:r>
      <w:r w:rsidR="00B45FFE" w:rsidRPr="00DF6A15">
        <w:rPr>
          <w:rFonts w:ascii="Times New Roman" w:hAnsi="Times New Roman" w:cs="Times New Roman"/>
          <w:sz w:val="24"/>
          <w:szCs w:val="24"/>
        </w:rPr>
        <w:t>of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E15B1A" w:rsidRPr="00DF6A15">
        <w:rPr>
          <w:rFonts w:ascii="Times New Roman" w:hAnsi="Times New Roman" w:cs="Times New Roman"/>
          <w:sz w:val="24"/>
          <w:szCs w:val="24"/>
        </w:rPr>
        <w:t>experimentation. The</w:t>
      </w:r>
      <w:r w:rsidR="00B45FFE" w:rsidRPr="00DF6A15">
        <w:rPr>
          <w:rFonts w:ascii="Times New Roman" w:hAnsi="Times New Roman" w:cs="Times New Roman"/>
          <w:sz w:val="24"/>
          <w:szCs w:val="24"/>
        </w:rPr>
        <w:t xml:space="preserve"> r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ainfall </w:t>
      </w:r>
      <w:r w:rsidR="00B45FFE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eceived </w:t>
      </w:r>
      <w:r w:rsidR="00B45FFE" w:rsidRPr="00DF6A15">
        <w:rPr>
          <w:rFonts w:ascii="Times New Roman" w:hAnsi="Times New Roman" w:cs="Times New Roman"/>
          <w:sz w:val="24"/>
          <w:szCs w:val="24"/>
        </w:rPr>
        <w:t>w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as 173.2 </w:t>
      </w:r>
      <w:r w:rsidR="00B45FFE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m </w:t>
      </w:r>
      <w:r w:rsidR="00B45FFE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nd 171.3 </w:t>
      </w:r>
      <w:r w:rsidR="00B45FFE" w:rsidRPr="00DF6A15">
        <w:rPr>
          <w:rFonts w:ascii="Times New Roman" w:hAnsi="Times New Roman" w:cs="Times New Roman"/>
          <w:sz w:val="24"/>
          <w:szCs w:val="24"/>
        </w:rPr>
        <w:t>m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m, </w:t>
      </w:r>
      <w:r w:rsidR="00B45FFE" w:rsidRPr="00DF6A15">
        <w:rPr>
          <w:rFonts w:ascii="Times New Roman" w:hAnsi="Times New Roman" w:cs="Times New Roman"/>
          <w:sz w:val="24"/>
          <w:szCs w:val="24"/>
        </w:rPr>
        <w:t>r</w:t>
      </w:r>
      <w:r w:rsidR="00A1278C" w:rsidRPr="00DF6A15">
        <w:rPr>
          <w:rFonts w:ascii="Times New Roman" w:hAnsi="Times New Roman" w:cs="Times New Roman"/>
          <w:sz w:val="24"/>
          <w:szCs w:val="24"/>
        </w:rPr>
        <w:t>espectively</w:t>
      </w:r>
      <w:r w:rsidR="00B45FFE" w:rsidRPr="00DF6A15">
        <w:rPr>
          <w:rFonts w:ascii="Times New Roman" w:hAnsi="Times New Roman" w:cs="Times New Roman"/>
          <w:sz w:val="24"/>
          <w:szCs w:val="24"/>
        </w:rPr>
        <w:t xml:space="preserve"> during 2021-22 </w:t>
      </w:r>
      <w:r w:rsidR="00E15B1A" w:rsidRPr="00DF6A15">
        <w:rPr>
          <w:rFonts w:ascii="Times New Roman" w:hAnsi="Times New Roman" w:cs="Times New Roman"/>
          <w:sz w:val="24"/>
          <w:szCs w:val="24"/>
        </w:rPr>
        <w:t>a</w:t>
      </w:r>
      <w:r w:rsidR="00B45FFE" w:rsidRPr="00DF6A15">
        <w:rPr>
          <w:rFonts w:ascii="Times New Roman" w:hAnsi="Times New Roman" w:cs="Times New Roman"/>
          <w:sz w:val="24"/>
          <w:szCs w:val="24"/>
        </w:rPr>
        <w:t>nd 2022-</w:t>
      </w:r>
      <w:r w:rsidR="00707271" w:rsidRPr="00DF6A15">
        <w:rPr>
          <w:rFonts w:ascii="Times New Roman" w:hAnsi="Times New Roman" w:cs="Times New Roman"/>
          <w:sz w:val="24"/>
          <w:szCs w:val="24"/>
        </w:rPr>
        <w:t>23.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 The </w:t>
      </w:r>
      <w:r w:rsidR="00E15B1A" w:rsidRPr="00DF6A15">
        <w:rPr>
          <w:rFonts w:ascii="Times New Roman" w:hAnsi="Times New Roman" w:cs="Times New Roman"/>
          <w:sz w:val="24"/>
          <w:szCs w:val="24"/>
        </w:rPr>
        <w:t>d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uration </w:t>
      </w:r>
      <w:r w:rsidR="002A7603" w:rsidRPr="00DF6A15">
        <w:rPr>
          <w:rFonts w:ascii="Times New Roman" w:hAnsi="Times New Roman" w:cs="Times New Roman"/>
          <w:sz w:val="24"/>
          <w:szCs w:val="24"/>
        </w:rPr>
        <w:t>o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f </w:t>
      </w:r>
      <w:r w:rsidR="00E15B1A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707271" w:rsidRPr="00DF6A15">
        <w:rPr>
          <w:rFonts w:ascii="Times New Roman" w:hAnsi="Times New Roman" w:cs="Times New Roman"/>
          <w:sz w:val="24"/>
          <w:szCs w:val="24"/>
        </w:rPr>
        <w:t>c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rop </w:t>
      </w:r>
      <w:r w:rsidR="00707271" w:rsidRPr="00DF6A15">
        <w:rPr>
          <w:rFonts w:ascii="Times New Roman" w:hAnsi="Times New Roman" w:cs="Times New Roman"/>
          <w:sz w:val="24"/>
          <w:szCs w:val="24"/>
        </w:rPr>
        <w:t>w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as 91 And 94 </w:t>
      </w:r>
      <w:r w:rsidR="00707271" w:rsidRPr="00DF6A15">
        <w:rPr>
          <w:rFonts w:ascii="Times New Roman" w:hAnsi="Times New Roman" w:cs="Times New Roman"/>
          <w:sz w:val="24"/>
          <w:szCs w:val="24"/>
        </w:rPr>
        <w:t>d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ays </w:t>
      </w:r>
      <w:r w:rsidR="00707271" w:rsidRPr="00DF6A15">
        <w:rPr>
          <w:rFonts w:ascii="Times New Roman" w:hAnsi="Times New Roman" w:cs="Times New Roman"/>
          <w:sz w:val="24"/>
          <w:szCs w:val="24"/>
        </w:rPr>
        <w:t>i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 </w:t>
      </w:r>
      <w:r w:rsidR="00707271" w:rsidRPr="00DF6A15">
        <w:rPr>
          <w:rFonts w:ascii="Times New Roman" w:hAnsi="Times New Roman" w:cs="Times New Roman"/>
          <w:sz w:val="24"/>
          <w:szCs w:val="24"/>
        </w:rPr>
        <w:t>t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he </w:t>
      </w:r>
      <w:r w:rsidR="00707271" w:rsidRPr="00DF6A15">
        <w:rPr>
          <w:rFonts w:ascii="Times New Roman" w:hAnsi="Times New Roman" w:cs="Times New Roman"/>
          <w:sz w:val="24"/>
          <w:szCs w:val="24"/>
        </w:rPr>
        <w:t>f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irst </w:t>
      </w:r>
      <w:r w:rsidR="00707271" w:rsidRPr="00DF6A15">
        <w:rPr>
          <w:rFonts w:ascii="Times New Roman" w:hAnsi="Times New Roman" w:cs="Times New Roman"/>
          <w:sz w:val="24"/>
          <w:szCs w:val="24"/>
        </w:rPr>
        <w:t>a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nd </w:t>
      </w:r>
      <w:r w:rsidR="00707271" w:rsidRPr="00DF6A15">
        <w:rPr>
          <w:rFonts w:ascii="Times New Roman" w:hAnsi="Times New Roman" w:cs="Times New Roman"/>
          <w:sz w:val="24"/>
          <w:szCs w:val="24"/>
        </w:rPr>
        <w:t>s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econd </w:t>
      </w:r>
      <w:r w:rsidR="00707271" w:rsidRPr="00DF6A15">
        <w:rPr>
          <w:rFonts w:ascii="Times New Roman" w:hAnsi="Times New Roman" w:cs="Times New Roman"/>
          <w:sz w:val="24"/>
          <w:szCs w:val="24"/>
        </w:rPr>
        <w:t>y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ear </w:t>
      </w:r>
      <w:r w:rsidR="00707271" w:rsidRPr="00DF6A15">
        <w:rPr>
          <w:rFonts w:ascii="Times New Roman" w:hAnsi="Times New Roman" w:cs="Times New Roman"/>
          <w:sz w:val="24"/>
          <w:szCs w:val="24"/>
        </w:rPr>
        <w:t>o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f </w:t>
      </w:r>
      <w:r w:rsidR="00707271" w:rsidRPr="00DF6A15">
        <w:rPr>
          <w:rFonts w:ascii="Times New Roman" w:hAnsi="Times New Roman" w:cs="Times New Roman"/>
          <w:sz w:val="24"/>
          <w:szCs w:val="24"/>
        </w:rPr>
        <w:t>s</w:t>
      </w:r>
      <w:r w:rsidR="00A1278C" w:rsidRPr="00DF6A15">
        <w:rPr>
          <w:rFonts w:ascii="Times New Roman" w:hAnsi="Times New Roman" w:cs="Times New Roman"/>
          <w:sz w:val="24"/>
          <w:szCs w:val="24"/>
        </w:rPr>
        <w:t xml:space="preserve">tudy, </w:t>
      </w:r>
      <w:r w:rsidR="00707271" w:rsidRPr="00DF6A15">
        <w:rPr>
          <w:rFonts w:ascii="Times New Roman" w:hAnsi="Times New Roman" w:cs="Times New Roman"/>
          <w:sz w:val="24"/>
          <w:szCs w:val="24"/>
        </w:rPr>
        <w:t>respectively</w:t>
      </w:r>
      <w:r w:rsidR="00A1278C" w:rsidRPr="00DF6A15">
        <w:rPr>
          <w:rFonts w:ascii="Times New Roman" w:hAnsi="Times New Roman" w:cs="Times New Roman"/>
          <w:sz w:val="24"/>
          <w:szCs w:val="24"/>
        </w:rPr>
        <w:t>.</w:t>
      </w:r>
    </w:p>
    <w:p w14:paraId="3FE8832E" w14:textId="6542B6B6" w:rsidR="00940DFC" w:rsidRPr="00DF6A15" w:rsidRDefault="006909F5" w:rsidP="00A162F1">
      <w:pPr>
        <w:pStyle w:val="ListParagraph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caps/>
          <w:sz w:val="24"/>
          <w:szCs w:val="24"/>
        </w:rPr>
        <w:t>D</w:t>
      </w:r>
      <w:r w:rsidR="00940DFC" w:rsidRPr="00DF6A15">
        <w:rPr>
          <w:rFonts w:ascii="Times New Roman" w:hAnsi="Times New Roman" w:cs="Times New Roman"/>
          <w:b/>
          <w:bCs/>
          <w:sz w:val="24"/>
          <w:szCs w:val="24"/>
        </w:rPr>
        <w:t>isease severity</w:t>
      </w:r>
    </w:p>
    <w:p w14:paraId="55FD4D3B" w14:textId="57368158" w:rsidR="00E1271D" w:rsidRPr="00DF6A15" w:rsidRDefault="00940DFC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ab/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>disease</w:t>
      </w:r>
      <w:r w:rsidR="001E33A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EC4" w:rsidRPr="00DF6A15">
        <w:rPr>
          <w:rFonts w:ascii="Times New Roman" w:hAnsi="Times New Roman" w:cs="Times New Roman"/>
          <w:bCs/>
          <w:sz w:val="24"/>
          <w:szCs w:val="24"/>
        </w:rPr>
        <w:t>was significantly reduced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on leaves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as well as on pods </w:t>
      </w:r>
      <w:r w:rsidR="00491D84" w:rsidRPr="00DF6A15">
        <w:rPr>
          <w:rFonts w:ascii="Times New Roman" w:hAnsi="Times New Roman" w:cs="Times New Roman"/>
          <w:bCs/>
          <w:sz w:val="24"/>
          <w:szCs w:val="24"/>
        </w:rPr>
        <w:t xml:space="preserve">by all the seven fungicides </w:t>
      </w:r>
      <w:r w:rsidRPr="00DF6A15">
        <w:rPr>
          <w:rFonts w:ascii="Times New Roman" w:hAnsi="Times New Roman" w:cs="Times New Roman"/>
          <w:bCs/>
          <w:sz w:val="24"/>
          <w:szCs w:val="24"/>
        </w:rPr>
        <w:t>as compared to check (Table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The pooled analysis showed that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ebuconazole 50% + </w:t>
      </w: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Pr="00DF6A15">
        <w:rPr>
          <w:rFonts w:ascii="Times New Roman" w:hAnsi="Times New Roman" w:cs="Times New Roman"/>
          <w:bCs/>
          <w:sz w:val="24"/>
          <w:szCs w:val="24"/>
        </w:rPr>
        <w:t xml:space="preserve"> 25%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WG (</w:t>
      </w:r>
      <w:r w:rsidRPr="00DF6A15">
        <w:rPr>
          <w:rFonts w:ascii="Times New Roman" w:hAnsi="Times New Roman" w:cs="Times New Roman"/>
          <w:bCs/>
          <w:sz w:val="24"/>
          <w:szCs w:val="24"/>
        </w:rPr>
        <w:t>ready mix)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>@ 1 g/</w:t>
      </w:r>
      <w:r w:rsidR="00982467" w:rsidRPr="00DF6A15">
        <w:rPr>
          <w:rFonts w:ascii="Times New Roman" w:hAnsi="Times New Roman" w:cs="Times New Roman"/>
          <w:bCs/>
          <w:sz w:val="24"/>
          <w:szCs w:val="24"/>
        </w:rPr>
        <w:t>l of water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proved to be significantly superior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to all other fungicides except a</w:t>
      </w:r>
      <w:r w:rsidRPr="00DF6A15">
        <w:rPr>
          <w:rFonts w:ascii="Times New Roman" w:hAnsi="Times New Roman" w:cs="Times New Roman"/>
          <w:bCs/>
          <w:sz w:val="24"/>
          <w:szCs w:val="24"/>
        </w:rPr>
        <w:t>zoxystrobi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n 23 %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SC @ 1 ml/l in controlling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leaf </w:t>
      </w:r>
      <w:r w:rsidRPr="00DF6A15">
        <w:rPr>
          <w:rFonts w:ascii="Times New Roman" w:hAnsi="Times New Roman" w:cs="Times New Roman"/>
          <w:bCs/>
          <w:sz w:val="24"/>
          <w:szCs w:val="24"/>
        </w:rPr>
        <w:t>blight (Table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The combination of </w:t>
      </w:r>
      <w:proofErr w:type="spellStart"/>
      <w:r w:rsidR="00157BDF"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 and tebuconazole acts as synergist as the individual components have different modes of action. Tebuconazole, a triazole acts as demethylation inhibitor (DMI) that hinders the fungal cell wall synthesis and thereby, acting as an obstacle for 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fungal growth and reproduction. On the other hand, the </w:t>
      </w:r>
      <w:proofErr w:type="spellStart"/>
      <w:r w:rsidR="00157BDF" w:rsidRPr="00DF6A15">
        <w:rPr>
          <w:rFonts w:ascii="Times New Roman" w:hAnsi="Times New Roman" w:cs="Times New Roman"/>
          <w:bCs/>
          <w:sz w:val="24"/>
          <w:szCs w:val="24"/>
        </w:rPr>
        <w:t>Trifloxystrobin</w:t>
      </w:r>
      <w:proofErr w:type="spellEnd"/>
      <w:r w:rsidR="00157BDF" w:rsidRPr="00DF6A15">
        <w:rPr>
          <w:rFonts w:ascii="Times New Roman" w:hAnsi="Times New Roman" w:cs="Times New Roman"/>
          <w:bCs/>
          <w:sz w:val="24"/>
          <w:szCs w:val="24"/>
        </w:rPr>
        <w:t>, a Quinone outside Inhibitor (</w:t>
      </w:r>
      <w:proofErr w:type="spellStart"/>
      <w:r w:rsidR="00157BDF" w:rsidRPr="00DF6A15">
        <w:rPr>
          <w:rFonts w:ascii="Times New Roman" w:hAnsi="Times New Roman" w:cs="Times New Roman"/>
          <w:bCs/>
          <w:sz w:val="24"/>
          <w:szCs w:val="24"/>
        </w:rPr>
        <w:t>QoI</w:t>
      </w:r>
      <w:proofErr w:type="spellEnd"/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) interferes in the fungal respiration. The combination of the two fungicides with two different 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>modes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 of action, 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>therefore, helps</w:t>
      </w:r>
      <w:r w:rsidR="00157BDF" w:rsidRPr="00DF6A15">
        <w:rPr>
          <w:rFonts w:ascii="Times New Roman" w:hAnsi="Times New Roman" w:cs="Times New Roman"/>
          <w:bCs/>
          <w:sz w:val="24"/>
          <w:szCs w:val="24"/>
        </w:rPr>
        <w:t xml:space="preserve"> in regulating the risk of cross resistance (Hegde and Nagaraj, 2020).</w:t>
      </w:r>
      <w:r w:rsidR="00217738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i/>
          <w:color w:val="000000"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leaf </w:t>
      </w:r>
      <w:r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blight </w:t>
      </w:r>
      <w:r w:rsidR="00CD5B44" w:rsidRPr="00DF6A15">
        <w:rPr>
          <w:rFonts w:ascii="Times New Roman" w:hAnsi="Times New Roman" w:cs="Times New Roman"/>
          <w:color w:val="000000"/>
          <w:sz w:val="24"/>
          <w:szCs w:val="24"/>
        </w:rPr>
        <w:t>severity (%) under the</w:t>
      </w:r>
      <w:r w:rsidR="001C0019" w:rsidRPr="00DF6A15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CD5B44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two fungicides was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16.18 and 19.0, respectively. Higher</w:t>
      </w:r>
      <w:r w:rsidR="00A717D6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efficacy of these fungicides </w:t>
      </w:r>
      <w:r w:rsidR="00D558F4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was reported by </w:t>
      </w:r>
      <w:r w:rsidR="00D558F4" w:rsidRPr="00DF6A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Loona </w:t>
      </w:r>
      <w:r w:rsidR="00D558F4" w:rsidRPr="00DF6A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et.al.,</w:t>
      </w:r>
      <w:r w:rsidR="00D558F4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in controlling </w:t>
      </w:r>
      <w:r w:rsidR="003D2490" w:rsidRPr="00DF6A15">
        <w:rPr>
          <w:rFonts w:ascii="Times New Roman" w:hAnsi="Times New Roman" w:cs="Times New Roman"/>
          <w:i/>
          <w:color w:val="000000"/>
          <w:sz w:val="24"/>
          <w:szCs w:val="24"/>
        </w:rPr>
        <w:t>Alternaria</w:t>
      </w:r>
      <w:r w:rsidR="003D2490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 leaf blight of radish</w:t>
      </w:r>
      <w:r w:rsidR="000B7784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The disease severity </w:t>
      </w:r>
      <w:r w:rsidR="004F0A04" w:rsidRPr="00DF6A15">
        <w:rPr>
          <w:rFonts w:ascii="Times New Roman" w:hAnsi="Times New Roman" w:cs="Times New Roman"/>
          <w:color w:val="000000"/>
          <w:sz w:val="24"/>
          <w:szCs w:val="24"/>
        </w:rPr>
        <w:t>reduction percent</w:t>
      </w:r>
      <w:r w:rsidR="002644E1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age </w:t>
      </w:r>
      <w:r w:rsidR="00477839" w:rsidRPr="00DF6A15">
        <w:rPr>
          <w:rFonts w:ascii="Times New Roman" w:hAnsi="Times New Roman" w:cs="Times New Roman"/>
          <w:color w:val="000000"/>
          <w:sz w:val="24"/>
          <w:szCs w:val="24"/>
        </w:rPr>
        <w:t xml:space="preserve">on leaves was the highest (54.1 %) under the former fungicide closely followed by the latter one (46.1 %). The lowest disease severity on pods (9.82 %) was achieved with spraying of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t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ebuconazole 50% + </w:t>
      </w:r>
      <w:proofErr w:type="spellStart"/>
      <w:r w:rsidR="00477839"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(ready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mix) @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1 g/l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>at appearance of symptoms and 20 days after first spray.</w:t>
      </w:r>
      <w:r w:rsidR="00C34C07" w:rsidRPr="00DF6A15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he other fungicides barring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a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>zoxystrobin 23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477839" w:rsidRPr="00DF6A15">
        <w:rPr>
          <w:rFonts w:ascii="Times New Roman" w:hAnsi="Times New Roman" w:cs="Times New Roman"/>
          <w:bCs/>
          <w:sz w:val="24"/>
          <w:szCs w:val="24"/>
        </w:rPr>
        <w:t xml:space="preserve"> SC @ 1 ml/l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were significantly inferior to the best performing above mentioned ready-mix formulation. Per cent disease reduction on pods under tebuconazole 50% + </w:t>
      </w:r>
      <w:proofErr w:type="spellStart"/>
      <w:r w:rsidR="007A7FF7"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 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(ready 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mix) @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1 g/</w:t>
      </w:r>
      <w:r w:rsidR="00B76664" w:rsidRPr="00DF6A15">
        <w:rPr>
          <w:rFonts w:ascii="Times New Roman" w:hAnsi="Times New Roman" w:cs="Times New Roman"/>
          <w:bCs/>
          <w:sz w:val="24"/>
          <w:szCs w:val="24"/>
        </w:rPr>
        <w:t>l and</w:t>
      </w:r>
      <w:r w:rsidR="007A7FF7" w:rsidRPr="00DF6A15">
        <w:rPr>
          <w:rFonts w:ascii="Times New Roman" w:hAnsi="Times New Roman" w:cs="Times New Roman"/>
          <w:bCs/>
          <w:sz w:val="24"/>
          <w:szCs w:val="24"/>
        </w:rPr>
        <w:t xml:space="preserve"> Azoxystrobin 23 SC @ 1 ml/l were 55.7 % and 45.8 %, respectively.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H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exaconazole 5% SC @ 2 ml/l</w:t>
      </w:r>
      <w:r w:rsidR="005C07E8" w:rsidRPr="00DF6A15">
        <w:rPr>
          <w:rFonts w:ascii="Times New Roman" w:hAnsi="Times New Roman" w:cs="Times New Roman"/>
          <w:bCs/>
          <w:sz w:val="24"/>
          <w:szCs w:val="24"/>
        </w:rPr>
        <w:t>,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7E8" w:rsidRPr="00DF6A15">
        <w:rPr>
          <w:rFonts w:ascii="Times New Roman" w:hAnsi="Times New Roman" w:cs="Times New Roman"/>
          <w:bCs/>
          <w:sz w:val="24"/>
          <w:szCs w:val="24"/>
        </w:rPr>
        <w:t xml:space="preserve">Tebuconazole 25.9% @ 1 ml/l,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and p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ropiconazole 25% EC @ 1 ml/l reduced the disease severity on leaves by 41.1 and 42.5 % and on pods, by 34.9 and 33.9 %,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respectively. </w:t>
      </w:r>
      <w:proofErr w:type="spellStart"/>
      <w:r w:rsidR="003752DE" w:rsidRPr="00DF6A15">
        <w:rPr>
          <w:rFonts w:ascii="Times New Roman" w:hAnsi="Times New Roman" w:cs="Times New Roman"/>
          <w:bCs/>
          <w:sz w:val="24"/>
          <w:szCs w:val="24"/>
        </w:rPr>
        <w:t>Rakeash</w:t>
      </w:r>
      <w:proofErr w:type="spellEnd"/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(2018) reported that 0.05 % propiconazole spray at 60 DAS was effective in managing diseases of mustard with 62.8 % reduction on leaves and 35.4 % on pods. </w:t>
      </w:r>
      <w:proofErr w:type="spellStart"/>
      <w:r w:rsidR="003752DE" w:rsidRPr="00DF6A15">
        <w:rPr>
          <w:rFonts w:ascii="Times New Roman" w:hAnsi="Times New Roman" w:cs="Times New Roman"/>
          <w:bCs/>
          <w:sz w:val="24"/>
          <w:szCs w:val="24"/>
        </w:rPr>
        <w:t>Metalaxyl</w:t>
      </w:r>
      <w:proofErr w:type="spellEnd"/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4% + mancozeb 64% (ready mix) @ 0.5 g/l also controlled the disease on leaves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>registering 38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.2 % disease reduction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Jha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(2013) and Meena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(2014) reported that mancozeb was found to be the best fungicides </w:t>
      </w:r>
      <w:r w:rsidR="00AB18F1" w:rsidRPr="00DF6A15">
        <w:rPr>
          <w:rFonts w:ascii="Times New Roman" w:hAnsi="Times New Roman" w:cs="Times New Roman"/>
          <w:bCs/>
          <w:sz w:val="24"/>
          <w:szCs w:val="24"/>
        </w:rPr>
        <w:t>against the disease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. The combo formulation of </w:t>
      </w:r>
      <w:proofErr w:type="spellStart"/>
      <w:r w:rsidR="003752DE" w:rsidRPr="00DF6A15">
        <w:rPr>
          <w:rFonts w:ascii="Times New Roman" w:hAnsi="Times New Roman" w:cs="Times New Roman"/>
          <w:bCs/>
          <w:sz w:val="24"/>
          <w:szCs w:val="24"/>
        </w:rPr>
        <w:t>metalaxyl</w:t>
      </w:r>
      <w:proofErr w:type="spellEnd"/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4% + mancozeb 64% showed higher efficiency for </w:t>
      </w:r>
      <w:r w:rsidR="003752DE"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="003752DE" w:rsidRPr="00DF6A15">
        <w:rPr>
          <w:rFonts w:ascii="Times New Roman" w:hAnsi="Times New Roman" w:cs="Times New Roman"/>
          <w:bCs/>
          <w:sz w:val="24"/>
          <w:szCs w:val="24"/>
        </w:rPr>
        <w:t xml:space="preserve"> blight management in mustard</w:t>
      </w:r>
      <w:r w:rsidR="00C666A7" w:rsidRPr="00DF6A1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17058" w:rsidRPr="00DF6A15">
        <w:rPr>
          <w:rFonts w:ascii="Times New Roman" w:hAnsi="Times New Roman" w:cs="Times New Roman"/>
          <w:bCs/>
          <w:sz w:val="24"/>
          <w:szCs w:val="24"/>
        </w:rPr>
        <w:t xml:space="preserve">Tu </w:t>
      </w:r>
      <w:r w:rsidR="00617058" w:rsidRPr="00DF6A15">
        <w:rPr>
          <w:rFonts w:ascii="Times New Roman" w:hAnsi="Times New Roman" w:cs="Times New Roman"/>
          <w:bCs/>
          <w:i/>
          <w:sz w:val="24"/>
          <w:szCs w:val="24"/>
        </w:rPr>
        <w:t>et.a</w:t>
      </w:r>
      <w:r w:rsidR="001C0019" w:rsidRPr="00DF6A15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="00617058" w:rsidRPr="00DF6A15">
        <w:rPr>
          <w:rFonts w:ascii="Times New Roman" w:hAnsi="Times New Roman" w:cs="Times New Roman"/>
          <w:bCs/>
          <w:sz w:val="24"/>
          <w:szCs w:val="24"/>
        </w:rPr>
        <w:t>., 2015</w:t>
      </w:r>
      <w:r w:rsidR="00C666A7" w:rsidRPr="00DF6A1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188C23F" w14:textId="2336C387" w:rsidR="00C666A7" w:rsidRPr="00DF6A15" w:rsidRDefault="00671165" w:rsidP="00A162F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3.3. </w:t>
      </w:r>
      <w:r w:rsidR="000E589A"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666A7"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eed yield</w:t>
      </w:r>
    </w:p>
    <w:p w14:paraId="2690E7B8" w14:textId="0FAEF01C" w:rsidR="00B30A95" w:rsidRPr="00DF6A15" w:rsidRDefault="00C666A7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tab/>
      </w:r>
      <w:r w:rsidR="0053605D" w:rsidRPr="00DF6A15">
        <w:rPr>
          <w:rFonts w:ascii="Times New Roman" w:hAnsi="Times New Roman" w:cs="Times New Roman"/>
          <w:bCs/>
          <w:sz w:val="24"/>
          <w:szCs w:val="24"/>
        </w:rPr>
        <w:t xml:space="preserve">Significant </w:t>
      </w:r>
      <w:r w:rsidR="00912577" w:rsidRPr="00DF6A15">
        <w:rPr>
          <w:rFonts w:ascii="Times New Roman" w:hAnsi="Times New Roman" w:cs="Times New Roman"/>
          <w:bCs/>
          <w:sz w:val="24"/>
          <w:szCs w:val="24"/>
        </w:rPr>
        <w:t xml:space="preserve">effect </w:t>
      </w:r>
      <w:r w:rsidR="00EE0203" w:rsidRPr="00DF6A15">
        <w:rPr>
          <w:rFonts w:ascii="Times New Roman" w:hAnsi="Times New Roman" w:cs="Times New Roman"/>
          <w:bCs/>
          <w:sz w:val="24"/>
          <w:szCs w:val="24"/>
        </w:rPr>
        <w:t>on</w:t>
      </w:r>
      <w:r w:rsidR="007E3DC9" w:rsidRPr="00DF6A15">
        <w:rPr>
          <w:rFonts w:ascii="Times New Roman" w:hAnsi="Times New Roman" w:cs="Times New Roman"/>
          <w:bCs/>
          <w:sz w:val="24"/>
          <w:szCs w:val="24"/>
        </w:rPr>
        <w:t xml:space="preserve"> yield </w:t>
      </w:r>
      <w:r w:rsidR="00912577" w:rsidRPr="00DF6A15">
        <w:rPr>
          <w:rFonts w:ascii="Times New Roman" w:hAnsi="Times New Roman" w:cs="Times New Roman"/>
          <w:bCs/>
          <w:sz w:val="24"/>
          <w:szCs w:val="24"/>
        </w:rPr>
        <w:t xml:space="preserve">was recorded </w:t>
      </w:r>
      <w:r w:rsidRPr="00DF6A15">
        <w:rPr>
          <w:rFonts w:ascii="Times New Roman" w:hAnsi="Times New Roman" w:cs="Times New Roman"/>
          <w:bCs/>
          <w:sz w:val="24"/>
          <w:szCs w:val="24"/>
        </w:rPr>
        <w:t>by different treatments during both the years of study (Table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). The maximum seed yield was the resultant of the highest reduction in disease severity both on leaves and pods under two sprays of tebuconazole 50% + </w:t>
      </w:r>
      <w:proofErr w:type="spellStart"/>
      <w:r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 </w:t>
      </w:r>
      <w:r w:rsidRPr="00DF6A15">
        <w:rPr>
          <w:rFonts w:ascii="Times New Roman" w:hAnsi="Times New Roman" w:cs="Times New Roman"/>
          <w:bCs/>
          <w:sz w:val="24"/>
          <w:szCs w:val="24"/>
        </w:rPr>
        <w:t>(ready mix)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@ 1 g/l </w:t>
      </w:r>
      <w:r w:rsidRPr="00DF6A15">
        <w:rPr>
          <w:rFonts w:ascii="Times New Roman" w:hAnsi="Times New Roman" w:cs="Times New Roman"/>
          <w:bCs/>
          <w:sz w:val="24"/>
          <w:szCs w:val="24"/>
        </w:rPr>
        <w:t>(1272.14 kg/ha) in 2021-22, 1101.86 kg/ha in 2022-23</w:t>
      </w:r>
      <w:r w:rsidR="00CA14C5" w:rsidRPr="00DF6A15">
        <w:rPr>
          <w:rFonts w:ascii="Times New Roman" w:hAnsi="Times New Roman" w:cs="Times New Roman"/>
          <w:bCs/>
          <w:sz w:val="24"/>
          <w:szCs w:val="24"/>
        </w:rPr>
        <w:t>. This was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pooled at 1187 kg/ha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>with a</w:t>
      </w:r>
      <w:r w:rsidR="00105FA1" w:rsidRPr="00DF6A15">
        <w:rPr>
          <w:rFonts w:ascii="Times New Roman" w:hAnsi="Times New Roman" w:cs="Times New Roman"/>
          <w:bCs/>
          <w:sz w:val="24"/>
          <w:szCs w:val="24"/>
        </w:rPr>
        <w:t xml:space="preserve">n increase </w:t>
      </w:r>
      <w:r w:rsidR="00104263" w:rsidRPr="00DF6A15">
        <w:rPr>
          <w:rFonts w:ascii="Times New Roman" w:hAnsi="Times New Roman" w:cs="Times New Roman"/>
          <w:bCs/>
          <w:sz w:val="24"/>
          <w:szCs w:val="24"/>
        </w:rPr>
        <w:t>in yield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of 78.5 %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over check (665 kg/ha).  </w:t>
      </w:r>
      <w:r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Similar were the findings of </w:t>
      </w:r>
      <w:r w:rsidR="007C5D2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Tu </w:t>
      </w:r>
      <w:r w:rsidR="007C5D28" w:rsidRPr="00DF6A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et.al</w:t>
      </w:r>
      <w:r w:rsidR="007C5D28" w:rsidRPr="00DF6A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., 2015.T</w:t>
      </w:r>
      <w:r w:rsidRPr="00DF6A15">
        <w:rPr>
          <w:rFonts w:ascii="Times New Roman" w:hAnsi="Times New Roman" w:cs="Times New Roman"/>
          <w:bCs/>
          <w:sz w:val="24"/>
          <w:szCs w:val="24"/>
        </w:rPr>
        <w:t>his fungicide was found to be significantly superior to all other fungicides in enhancing crop yield. Azoxystrobin 23</w:t>
      </w:r>
      <w:r w:rsidR="001C0019" w:rsidRPr="00DF6A15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SC @ 1 ml/l controlled the disease effectively and consequently out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yielded the remaining fungicides (1013.33 kg/ha in 2021-22, 1046 kg/ha in 2022-23 and 1029.92 kg/ha </w:t>
      </w:r>
      <w:r w:rsidR="00B44CAF" w:rsidRPr="00DF6A15">
        <w:rPr>
          <w:rFonts w:ascii="Times New Roman" w:hAnsi="Times New Roman" w:cs="Times New Roman"/>
          <w:bCs/>
          <w:sz w:val="24"/>
          <w:szCs w:val="24"/>
        </w:rPr>
        <w:t>of pooled seed yield) showing 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yield increase of 54.8 %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>. This fungicide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 xml:space="preserve"> recorded the least avoidable yield loss of 13.2 %. Tebuconazole 25.9 % @ 1 ml/l and propiconazole 25 % EC @ 1 ml/l led to yield advantage of 49.4 and 44.1 %, respectively over check. Rakesh </w:t>
      </w:r>
      <w:r w:rsidR="004C4AF8" w:rsidRPr="00DF6A15">
        <w:rPr>
          <w:rFonts w:ascii="Times New Roman" w:hAnsi="Times New Roman" w:cs="Times New Roman"/>
          <w:bCs/>
          <w:i/>
          <w:sz w:val="24"/>
          <w:szCs w:val="24"/>
        </w:rPr>
        <w:t>et.al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>. (2018) also reported likewise in support of propiconazole</w:t>
      </w:r>
      <w:r w:rsidR="009040BE" w:rsidRPr="00DF6A15">
        <w:rPr>
          <w:rFonts w:ascii="Times New Roman" w:hAnsi="Times New Roman" w:cs="Times New Roman"/>
          <w:bCs/>
          <w:sz w:val="24"/>
          <w:szCs w:val="24"/>
        </w:rPr>
        <w:t>.</w:t>
      </w:r>
      <w:r w:rsidR="004C4AF8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164900" w14:textId="45A3C331" w:rsidR="00CB36B4" w:rsidRPr="00DF6A15" w:rsidRDefault="00CB36B4" w:rsidP="00A162F1">
      <w:pPr>
        <w:pStyle w:val="ListParagraph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iCs/>
          <w:sz w:val="24"/>
          <w:szCs w:val="24"/>
        </w:rPr>
        <w:t>Economics</w:t>
      </w:r>
    </w:p>
    <w:p w14:paraId="11FB3F99" w14:textId="77777777" w:rsidR="00CB36B4" w:rsidRPr="00DF6A15" w:rsidRDefault="00E228A8" w:rsidP="00A162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lastRenderedPageBreak/>
        <w:t>T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 xml:space="preserve">ebuconazole 50% + </w:t>
      </w:r>
      <w:proofErr w:type="spellStart"/>
      <w:r w:rsidR="00CB36B4" w:rsidRPr="00DF6A15">
        <w:rPr>
          <w:rFonts w:ascii="Times New Roman" w:hAnsi="Times New Roman" w:cs="Times New Roman"/>
          <w:bCs/>
          <w:sz w:val="24"/>
          <w:szCs w:val="24"/>
        </w:rPr>
        <w:t>trifloxystr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obin</w:t>
      </w:r>
      <w:proofErr w:type="spellEnd"/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25% WG (ready mix)</w:t>
      </w:r>
      <w:r w:rsidR="00EA02A7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@ 1 g/l 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>though accrued in the highest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6B4" w:rsidRPr="00DF6A15">
        <w:rPr>
          <w:rFonts w:ascii="Times New Roman" w:hAnsi="Times New Roman" w:cs="Times New Roman"/>
          <w:bCs/>
          <w:sz w:val="24"/>
          <w:szCs w:val="24"/>
        </w:rPr>
        <w:t>seed yield and NR (Rs. 39001/ha) yet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emerged to be the fourth with respect to benefit-cost ratio (2.02) (</w:t>
      </w:r>
      <w:r w:rsidR="00A717D6" w:rsidRPr="00DF6A15">
        <w:rPr>
          <w:rFonts w:ascii="Times New Roman" w:hAnsi="Times New Roman" w:cs="Times New Roman"/>
          <w:bCs/>
          <w:sz w:val="24"/>
          <w:szCs w:val="24"/>
        </w:rPr>
        <w:t>Table 2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). This could be attributed to the maximum cost of cultivation (Rs. 38154/ha) under this treatment. Azoxystrobin 23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 SC @ 1 ml/l recorded the second highest 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 xml:space="preserve">NR (Rs. 37959/ha) and the highest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benefit-cost ratio (2.31)</w:t>
      </w:r>
      <w:r w:rsidR="00C94C6F" w:rsidRPr="00DF6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owing to much lower cost of cultivation (Rs. 28986/ha) as compared the former fungicide.</w:t>
      </w:r>
      <w:r w:rsidR="00C94C6F" w:rsidRPr="00DF6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 xml:space="preserve">Tebuconazole 25.9 % @ 1 ml/l and propiconazole 25 % EC @ 1 ml/l gave </w:t>
      </w:r>
      <w:r w:rsidR="00DB643A" w:rsidRPr="00DF6A15">
        <w:rPr>
          <w:rFonts w:ascii="Times New Roman" w:hAnsi="Times New Roman" w:cs="Times New Roman"/>
          <w:bCs/>
          <w:sz w:val="24"/>
          <w:szCs w:val="24"/>
        </w:rPr>
        <w:t xml:space="preserve">NR of </w:t>
      </w:r>
      <w:r w:rsidR="00C94C6F" w:rsidRPr="00DF6A15">
        <w:rPr>
          <w:rFonts w:ascii="Times New Roman" w:hAnsi="Times New Roman" w:cs="Times New Roman"/>
          <w:bCs/>
          <w:sz w:val="24"/>
          <w:szCs w:val="24"/>
        </w:rPr>
        <w:t>Rs. 35567/ha and Rs. 32577/ha and B:C of 2.23 and 2.10, respectively.</w:t>
      </w:r>
    </w:p>
    <w:p w14:paraId="48FFC202" w14:textId="77777777" w:rsidR="007F0F91" w:rsidRPr="00DF6A15" w:rsidRDefault="007F0F91" w:rsidP="00A162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C385B4" w14:textId="42C26281" w:rsidR="00C94C6F" w:rsidRPr="00DF6A15" w:rsidRDefault="00671165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DED4246" w14:textId="3D80AE58" w:rsidR="00C94C6F" w:rsidRPr="00DF6A15" w:rsidRDefault="00C94C6F" w:rsidP="00A162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5338" w:rsidRPr="00DF6A15">
        <w:rPr>
          <w:rFonts w:ascii="Times New Roman" w:hAnsi="Times New Roman" w:cs="Times New Roman"/>
          <w:sz w:val="24"/>
          <w:szCs w:val="24"/>
        </w:rPr>
        <w:t xml:space="preserve">Tebuconazole 50% + </w:t>
      </w:r>
      <w:proofErr w:type="spellStart"/>
      <w:r w:rsidR="00E65338" w:rsidRPr="00DF6A15">
        <w:rPr>
          <w:rFonts w:ascii="Times New Roman" w:hAnsi="Times New Roman" w:cs="Times New Roman"/>
          <w:sz w:val="24"/>
          <w:szCs w:val="24"/>
        </w:rPr>
        <w:t>trifloxystrobin</w:t>
      </w:r>
      <w:proofErr w:type="spellEnd"/>
      <w:r w:rsidR="00E65338" w:rsidRPr="00DF6A15">
        <w:rPr>
          <w:rFonts w:ascii="Times New Roman" w:hAnsi="Times New Roman" w:cs="Times New Roman"/>
          <w:sz w:val="24"/>
          <w:szCs w:val="24"/>
        </w:rPr>
        <w:t xml:space="preserve"> 25% WG (ready mix) @ 1 g/l of water</w:t>
      </w:r>
      <w:r w:rsidR="00E65338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806" w:rsidRPr="00DF6A15">
        <w:rPr>
          <w:rFonts w:ascii="Times New Roman" w:hAnsi="Times New Roman" w:cs="Times New Roman"/>
          <w:bCs/>
          <w:sz w:val="24"/>
          <w:szCs w:val="24"/>
        </w:rPr>
        <w:t>is one</w:t>
      </w:r>
      <w:r w:rsidR="00DD422B" w:rsidRPr="00DF6A15">
        <w:rPr>
          <w:rFonts w:ascii="Times New Roman" w:hAnsi="Times New Roman" w:cs="Times New Roman"/>
          <w:bCs/>
          <w:sz w:val="24"/>
          <w:szCs w:val="24"/>
        </w:rPr>
        <w:t xml:space="preserve"> of the most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effective </w:t>
      </w:r>
      <w:r w:rsidR="00AA5806" w:rsidRPr="00DF6A15">
        <w:rPr>
          <w:rFonts w:ascii="Times New Roman" w:hAnsi="Times New Roman" w:cs="Times New Roman"/>
          <w:bCs/>
          <w:sz w:val="24"/>
          <w:szCs w:val="24"/>
        </w:rPr>
        <w:t>treatments</w:t>
      </w:r>
      <w:r w:rsidR="00DD422B" w:rsidRPr="00DF6A15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management of </w:t>
      </w:r>
      <w:r w:rsidRPr="00DF6A15">
        <w:rPr>
          <w:rFonts w:ascii="Times New Roman" w:hAnsi="Times New Roman" w:cs="Times New Roman"/>
          <w:bCs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 blight disease</w:t>
      </w:r>
      <w:r w:rsidR="007E6A7D" w:rsidRPr="00DF6A15">
        <w:rPr>
          <w:sz w:val="24"/>
          <w:szCs w:val="24"/>
        </w:rPr>
        <w:t xml:space="preserve"> </w:t>
      </w:r>
      <w:r w:rsidR="007E6A7D" w:rsidRPr="00DF6A15">
        <w:rPr>
          <w:rFonts w:ascii="Times New Roman" w:hAnsi="Times New Roman" w:cs="Times New Roman"/>
          <w:bCs/>
          <w:sz w:val="24"/>
          <w:szCs w:val="24"/>
        </w:rPr>
        <w:t>at appearance of disease symptoms and 20 days after first spray</w:t>
      </w:r>
      <w:r w:rsidR="00E61842" w:rsidRPr="00DF6A15">
        <w:rPr>
          <w:rFonts w:ascii="Times New Roman" w:hAnsi="Times New Roman" w:cs="Times New Roman"/>
          <w:bCs/>
          <w:sz w:val="24"/>
          <w:szCs w:val="24"/>
        </w:rPr>
        <w:t xml:space="preserve">, without any compromise in the 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yield </w:t>
      </w:r>
      <w:r w:rsidR="001A1598" w:rsidRPr="00DF6A15">
        <w:rPr>
          <w:rFonts w:ascii="Times New Roman" w:hAnsi="Times New Roman" w:cs="Times New Roman"/>
          <w:bCs/>
          <w:sz w:val="24"/>
          <w:szCs w:val="24"/>
        </w:rPr>
        <w:t xml:space="preserve">may be recommended </w:t>
      </w:r>
      <w:r w:rsidRPr="00DF6A15">
        <w:rPr>
          <w:rFonts w:ascii="Times New Roman" w:hAnsi="Times New Roman" w:cs="Times New Roman"/>
          <w:bCs/>
          <w:sz w:val="24"/>
          <w:szCs w:val="24"/>
        </w:rPr>
        <w:t>in Assam. However, for small and marginal farmers’ friendly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 xml:space="preserve">, economically viable rapeseed production system </w:t>
      </w:r>
      <w:r w:rsidR="006311C3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viz.,</w:t>
      </w:r>
      <w:r w:rsidR="006311C3" w:rsidRPr="00DF6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523" w:rsidRPr="00DF6A15">
        <w:rPr>
          <w:rFonts w:ascii="Times New Roman" w:hAnsi="Times New Roman" w:cs="Times New Roman"/>
          <w:bCs/>
          <w:sz w:val="24"/>
          <w:szCs w:val="24"/>
        </w:rPr>
        <w:t>a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 xml:space="preserve">zoxystrobin 23 </w:t>
      </w:r>
      <w:r w:rsidR="004F3523" w:rsidRPr="00DF6A15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E228A8" w:rsidRPr="00DF6A15">
        <w:rPr>
          <w:rFonts w:ascii="Times New Roman" w:hAnsi="Times New Roman" w:cs="Times New Roman"/>
          <w:bCs/>
          <w:sz w:val="24"/>
          <w:szCs w:val="24"/>
        </w:rPr>
        <w:t>SC @ 1 ml/l at appearance of disease and 20 days later is the better option.</w:t>
      </w:r>
    </w:p>
    <w:p w14:paraId="476C02E2" w14:textId="77777777" w:rsidR="006311C3" w:rsidRPr="00DF6A15" w:rsidRDefault="006311C3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693E" w14:textId="3FC57AF3" w:rsidR="00121398" w:rsidRPr="00DF6A15" w:rsidRDefault="002837CD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4166C5B" w14:textId="174DA420" w:rsidR="00346917" w:rsidRPr="00DF6A15" w:rsidRDefault="00346917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Conn, K. L., Tewari, J. P. and Awasthi, R. P.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 (</w:t>
      </w:r>
      <w:r w:rsidRPr="00DF6A15">
        <w:rPr>
          <w:rFonts w:ascii="Times New Roman" w:hAnsi="Times New Roman" w:cs="Times New Roman"/>
          <w:sz w:val="24"/>
          <w:szCs w:val="24"/>
        </w:rPr>
        <w:t>1990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Disease assessment key for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black spot in rapeseed and mustard. </w:t>
      </w:r>
      <w:r w:rsidRPr="00DF6A15">
        <w:rPr>
          <w:rFonts w:ascii="Times New Roman" w:hAnsi="Times New Roman" w:cs="Times New Roman"/>
          <w:i/>
          <w:sz w:val="24"/>
          <w:szCs w:val="24"/>
        </w:rPr>
        <w:t>Canad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ian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Plant Dis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ease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Sur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vey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70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19-22.</w:t>
      </w:r>
    </w:p>
    <w:p w14:paraId="3B47AA36" w14:textId="285BF2DC" w:rsidR="005D19B3" w:rsidRPr="00DF6A15" w:rsidRDefault="005D19B3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Chakrabarty, R., Kalita, H., </w:t>
      </w:r>
      <w:proofErr w:type="spellStart"/>
      <w:proofErr w:type="gramStart"/>
      <w:r w:rsidRPr="00DF6A15">
        <w:rPr>
          <w:rFonts w:ascii="Times New Roman" w:hAnsi="Times New Roman" w:cs="Times New Roman"/>
          <w:sz w:val="24"/>
          <w:szCs w:val="24"/>
        </w:rPr>
        <w:t>Chakravarty,M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6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Basumutary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, M., Bhattacharyya, B. and Medhi, B.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2022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Integrated management of Alternaria blight caused by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spp. in rapeseed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 rapa</w:t>
      </w:r>
      <w:r w:rsidRPr="00DF6A15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toria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) under field conditions. 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Journal of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Crop and </w:t>
      </w:r>
      <w:r w:rsidRPr="00DF6A15">
        <w:rPr>
          <w:rFonts w:ascii="Times New Roman" w:hAnsi="Times New Roman" w:cs="Times New Roman"/>
          <w:i/>
          <w:sz w:val="24"/>
          <w:szCs w:val="24"/>
        </w:rPr>
        <w:t>Weed</w:t>
      </w:r>
      <w:r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18</w:t>
      </w:r>
      <w:r w:rsidRPr="00DF6A15">
        <w:rPr>
          <w:rFonts w:ascii="Times New Roman" w:hAnsi="Times New Roman" w:cs="Times New Roman"/>
          <w:sz w:val="24"/>
          <w:szCs w:val="24"/>
        </w:rPr>
        <w:t>(3)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128-135.</w:t>
      </w:r>
    </w:p>
    <w:p w14:paraId="4759BA93" w14:textId="189E1DD1" w:rsidR="000B7784" w:rsidRPr="00DF6A15" w:rsidRDefault="0074796F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Ginoya, </w:t>
      </w:r>
      <w:r w:rsidR="000B7784" w:rsidRPr="00DF6A15">
        <w:rPr>
          <w:rFonts w:ascii="Times New Roman" w:hAnsi="Times New Roman" w:cs="Times New Roman"/>
          <w:sz w:val="24"/>
          <w:szCs w:val="24"/>
        </w:rPr>
        <w:t xml:space="preserve">C.M. </w:t>
      </w:r>
      <w:r w:rsidRPr="00DF6A15">
        <w:rPr>
          <w:rFonts w:ascii="Times New Roman" w:hAnsi="Times New Roman" w:cs="Times New Roman"/>
          <w:sz w:val="24"/>
          <w:szCs w:val="24"/>
        </w:rPr>
        <w:t xml:space="preserve">and Gohel, N.M.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="000B7784" w:rsidRPr="00DF6A15">
        <w:rPr>
          <w:rFonts w:ascii="Times New Roman" w:hAnsi="Times New Roman" w:cs="Times New Roman"/>
          <w:sz w:val="24"/>
          <w:szCs w:val="24"/>
        </w:rPr>
        <w:t>2015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="000B7784" w:rsidRPr="00DF6A15">
        <w:rPr>
          <w:rFonts w:ascii="Times New Roman" w:hAnsi="Times New Roman" w:cs="Times New Roman"/>
          <w:sz w:val="24"/>
          <w:szCs w:val="24"/>
        </w:rPr>
        <w:t xml:space="preserve">. Evaluation of newer fungicides against </w:t>
      </w:r>
      <w:r w:rsidR="000B7784" w:rsidRPr="00DF6A15">
        <w:rPr>
          <w:rFonts w:ascii="Times New Roman" w:hAnsi="Times New Roman" w:cs="Times New Roman"/>
          <w:i/>
          <w:sz w:val="24"/>
          <w:szCs w:val="24"/>
        </w:rPr>
        <w:t xml:space="preserve">Alternaria </w:t>
      </w:r>
      <w:r w:rsidR="004F3523" w:rsidRPr="00DF6A15">
        <w:rPr>
          <w:rFonts w:ascii="Times New Roman" w:hAnsi="Times New Roman" w:cs="Times New Roman"/>
          <w:i/>
          <w:sz w:val="24"/>
          <w:szCs w:val="24"/>
        </w:rPr>
        <w:t>alternate</w:t>
      </w:r>
      <w:r w:rsidR="004F3523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0B7784" w:rsidRPr="00DF6A15">
        <w:rPr>
          <w:rFonts w:ascii="Times New Roman" w:hAnsi="Times New Roman" w:cs="Times New Roman"/>
          <w:sz w:val="24"/>
          <w:szCs w:val="24"/>
        </w:rPr>
        <w:t xml:space="preserve">(Fr.) </w:t>
      </w:r>
      <w:proofErr w:type="spellStart"/>
      <w:r w:rsidR="000B7784" w:rsidRPr="00DF6A15">
        <w:rPr>
          <w:rFonts w:ascii="Times New Roman" w:hAnsi="Times New Roman" w:cs="Times New Roman"/>
          <w:sz w:val="24"/>
          <w:szCs w:val="24"/>
        </w:rPr>
        <w:t>Keissler</w:t>
      </w:r>
      <w:proofErr w:type="spellEnd"/>
      <w:r w:rsidR="000B7784" w:rsidRPr="00DF6A15">
        <w:rPr>
          <w:rFonts w:ascii="Times New Roman" w:hAnsi="Times New Roman" w:cs="Times New Roman"/>
          <w:sz w:val="24"/>
          <w:szCs w:val="24"/>
        </w:rPr>
        <w:t xml:space="preserve"> causing fruit rot disease of </w:t>
      </w:r>
      <w:proofErr w:type="spellStart"/>
      <w:r w:rsidR="000B7784" w:rsidRPr="00DF6A15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="000B7784" w:rsidRPr="00DF6A15">
        <w:rPr>
          <w:rFonts w:ascii="Times New Roman" w:hAnsi="Times New Roman" w:cs="Times New Roman"/>
          <w:sz w:val="24"/>
          <w:szCs w:val="24"/>
        </w:rPr>
        <w:t xml:space="preserve">. 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>Inter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national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i/>
          <w:sz w:val="24"/>
          <w:szCs w:val="24"/>
        </w:rPr>
        <w:t>Plant Prot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 xml:space="preserve">ection,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Pr="00DF6A15">
        <w:rPr>
          <w:rFonts w:ascii="Times New Roman" w:hAnsi="Times New Roman" w:cs="Times New Roman"/>
          <w:sz w:val="24"/>
          <w:szCs w:val="24"/>
        </w:rPr>
        <w:t>(1)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169-173</w:t>
      </w:r>
      <w:r w:rsidR="001B3271" w:rsidRPr="00DF6A15">
        <w:rPr>
          <w:rFonts w:ascii="Times New Roman" w:hAnsi="Times New Roman" w:cs="Times New Roman"/>
          <w:sz w:val="24"/>
          <w:szCs w:val="24"/>
        </w:rPr>
        <w:t>.</w:t>
      </w:r>
    </w:p>
    <w:p w14:paraId="1234DF72" w14:textId="6A92C211" w:rsidR="00FD59CE" w:rsidRPr="00DF6A15" w:rsidRDefault="0085178C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Hegde, G. M. and Nagaraj, B. T.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2020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</w:t>
      </w:r>
      <w:r w:rsidR="00905003" w:rsidRPr="00DF6A15">
        <w:rPr>
          <w:rFonts w:ascii="Times New Roman" w:hAnsi="Times New Roman" w:cs="Times New Roman"/>
          <w:sz w:val="24"/>
          <w:szCs w:val="24"/>
        </w:rPr>
        <w:t xml:space="preserve">Combi fungicide </w:t>
      </w:r>
      <w:proofErr w:type="spellStart"/>
      <w:r w:rsidR="00905003" w:rsidRPr="00DF6A15">
        <w:rPr>
          <w:rFonts w:ascii="Times New Roman" w:hAnsi="Times New Roman" w:cs="Times New Roman"/>
          <w:sz w:val="24"/>
          <w:szCs w:val="24"/>
        </w:rPr>
        <w:t>Trifloxystrobin</w:t>
      </w:r>
      <w:proofErr w:type="spellEnd"/>
      <w:r w:rsidR="00905003" w:rsidRPr="00DF6A15">
        <w:rPr>
          <w:rFonts w:ascii="Times New Roman" w:hAnsi="Times New Roman" w:cs="Times New Roman"/>
          <w:sz w:val="24"/>
          <w:szCs w:val="24"/>
        </w:rPr>
        <w:t xml:space="preserve"> 25%+Tebuconazole 50% WG against Early Blight Disease of Tomato. </w:t>
      </w:r>
      <w:r w:rsidR="00905003" w:rsidRPr="00DF6A15">
        <w:rPr>
          <w:rFonts w:ascii="Times New Roman" w:hAnsi="Times New Roman" w:cs="Times New Roman"/>
          <w:i/>
          <w:iCs/>
          <w:sz w:val="24"/>
          <w:szCs w:val="24"/>
        </w:rPr>
        <w:t>Int</w:t>
      </w:r>
      <w:r w:rsidR="002837CD" w:rsidRPr="00DF6A15">
        <w:rPr>
          <w:rFonts w:ascii="Times New Roman" w:hAnsi="Times New Roman" w:cs="Times New Roman"/>
          <w:i/>
          <w:iCs/>
          <w:sz w:val="24"/>
          <w:szCs w:val="24"/>
        </w:rPr>
        <w:t xml:space="preserve">ernational </w:t>
      </w:r>
      <w:r w:rsidR="00905003" w:rsidRPr="00DF6A1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2837CD" w:rsidRPr="00DF6A15">
        <w:rPr>
          <w:rFonts w:ascii="Times New Roman" w:hAnsi="Times New Roman" w:cs="Times New Roman"/>
          <w:i/>
          <w:iCs/>
          <w:sz w:val="24"/>
          <w:szCs w:val="24"/>
        </w:rPr>
        <w:t xml:space="preserve">ournal of </w:t>
      </w:r>
      <w:r w:rsidR="00905003" w:rsidRPr="00DF6A15">
        <w:rPr>
          <w:rFonts w:ascii="Times New Roman" w:hAnsi="Times New Roman" w:cs="Times New Roman"/>
          <w:i/>
          <w:iCs/>
          <w:sz w:val="24"/>
          <w:szCs w:val="24"/>
        </w:rPr>
        <w:t>Curr</w:t>
      </w:r>
      <w:r w:rsidR="002837CD" w:rsidRPr="00DF6A15">
        <w:rPr>
          <w:rFonts w:ascii="Times New Roman" w:hAnsi="Times New Roman" w:cs="Times New Roman"/>
          <w:i/>
          <w:iCs/>
          <w:sz w:val="24"/>
          <w:szCs w:val="24"/>
        </w:rPr>
        <w:t xml:space="preserve">ent </w:t>
      </w:r>
      <w:r w:rsidR="00905003" w:rsidRPr="00DF6A15">
        <w:rPr>
          <w:rFonts w:ascii="Times New Roman" w:hAnsi="Times New Roman" w:cs="Times New Roman"/>
          <w:i/>
          <w:iCs/>
          <w:sz w:val="24"/>
          <w:szCs w:val="24"/>
        </w:rPr>
        <w:t>Microbiol</w:t>
      </w:r>
      <w:r w:rsidR="002837CD" w:rsidRPr="00DF6A15">
        <w:rPr>
          <w:rFonts w:ascii="Times New Roman" w:hAnsi="Times New Roman" w:cs="Times New Roman"/>
          <w:i/>
          <w:iCs/>
          <w:sz w:val="24"/>
          <w:szCs w:val="24"/>
        </w:rPr>
        <w:t xml:space="preserve">ogy and </w:t>
      </w:r>
      <w:r w:rsidR="00905003" w:rsidRPr="00DF6A15">
        <w:rPr>
          <w:rFonts w:ascii="Times New Roman" w:hAnsi="Times New Roman" w:cs="Times New Roman"/>
          <w:i/>
          <w:iCs/>
          <w:sz w:val="24"/>
          <w:szCs w:val="24"/>
        </w:rPr>
        <w:t>App</w:t>
      </w:r>
      <w:r w:rsidR="002837CD" w:rsidRPr="00DF6A15">
        <w:rPr>
          <w:rFonts w:ascii="Times New Roman" w:hAnsi="Times New Roman" w:cs="Times New Roman"/>
          <w:i/>
          <w:iCs/>
          <w:sz w:val="24"/>
          <w:szCs w:val="24"/>
        </w:rPr>
        <w:t xml:space="preserve">lied </w:t>
      </w:r>
      <w:r w:rsidR="00905003" w:rsidRPr="00DF6A15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2837CD" w:rsidRPr="00DF6A15">
        <w:rPr>
          <w:rFonts w:ascii="Times New Roman" w:hAnsi="Times New Roman" w:cs="Times New Roman"/>
          <w:i/>
          <w:iCs/>
          <w:sz w:val="24"/>
          <w:szCs w:val="24"/>
        </w:rPr>
        <w:t>ences,</w:t>
      </w:r>
      <w:r w:rsidR="00905003" w:rsidRPr="00DF6A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223E8" w:rsidRPr="00DF6A1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3223E8" w:rsidRPr="00DF6A15">
        <w:rPr>
          <w:rFonts w:ascii="Times New Roman" w:hAnsi="Times New Roman" w:cs="Times New Roman"/>
          <w:sz w:val="24"/>
          <w:szCs w:val="24"/>
        </w:rPr>
        <w:t>(5)</w:t>
      </w:r>
      <w:r w:rsidR="002837CD" w:rsidRPr="00DF6A15">
        <w:rPr>
          <w:rFonts w:ascii="Times New Roman" w:hAnsi="Times New Roman" w:cs="Times New Roman"/>
          <w:sz w:val="24"/>
          <w:szCs w:val="24"/>
        </w:rPr>
        <w:t>,</w:t>
      </w:r>
      <w:r w:rsidR="003223E8" w:rsidRPr="00DF6A15">
        <w:rPr>
          <w:rFonts w:ascii="Times New Roman" w:hAnsi="Times New Roman" w:cs="Times New Roman"/>
          <w:sz w:val="24"/>
          <w:szCs w:val="24"/>
        </w:rPr>
        <w:t xml:space="preserve"> 1402-1408. </w:t>
      </w:r>
    </w:p>
    <w:p w14:paraId="585774E3" w14:textId="00BEBFAE" w:rsidR="009A5930" w:rsidRPr="00DF6A15" w:rsidRDefault="009A5930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lastRenderedPageBreak/>
        <w:t xml:space="preserve">Jha, Priyanka., Kumar, Manoj., Meena,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P.D.and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Lal, H.C.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</w:t>
      </w:r>
      <w:r w:rsidR="00926FBA" w:rsidRPr="00DF6A15">
        <w:rPr>
          <w:rFonts w:ascii="Times New Roman" w:hAnsi="Times New Roman" w:cs="Times New Roman"/>
          <w:sz w:val="24"/>
          <w:szCs w:val="24"/>
        </w:rPr>
        <w:t>13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. Dynamics and management of 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 blight disease of Indian mustard (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>Brassica juncea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) in relation to weather parameters. 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>J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926FBA" w:rsidRPr="00DF6A15">
        <w:rPr>
          <w:rFonts w:ascii="Times New Roman" w:hAnsi="Times New Roman" w:cs="Times New Roman"/>
          <w:i/>
          <w:sz w:val="24"/>
          <w:szCs w:val="24"/>
        </w:rPr>
        <w:t xml:space="preserve"> Oilseed Brassica</w:t>
      </w:r>
      <w:r w:rsidR="002837CD" w:rsidRPr="00DF6A15">
        <w:rPr>
          <w:rFonts w:ascii="Times New Roman" w:hAnsi="Times New Roman" w:cs="Times New Roman"/>
          <w:sz w:val="24"/>
          <w:szCs w:val="24"/>
        </w:rPr>
        <w:t>,</w:t>
      </w:r>
      <w:r w:rsidR="00926FBA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926FBA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926FBA" w:rsidRPr="00DF6A15">
        <w:rPr>
          <w:rFonts w:ascii="Times New Roman" w:hAnsi="Times New Roman" w:cs="Times New Roman"/>
          <w:sz w:val="24"/>
          <w:szCs w:val="24"/>
        </w:rPr>
        <w:t>(2)</w:t>
      </w:r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="00926FBA" w:rsidRPr="00DF6A15">
        <w:rPr>
          <w:rFonts w:ascii="Times New Roman" w:hAnsi="Times New Roman" w:cs="Times New Roman"/>
          <w:sz w:val="24"/>
          <w:szCs w:val="24"/>
        </w:rPr>
        <w:t>66-74.</w:t>
      </w:r>
    </w:p>
    <w:p w14:paraId="2E2C205A" w14:textId="52177991" w:rsidR="00FD24A2" w:rsidRPr="00DF6A15" w:rsidRDefault="00FD24A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Khan, M.M., Khan, R.U. and Mohiddin, F.A.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2007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Studies on the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costeffective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of rapeseed mustard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</w:t>
      </w:r>
      <w:r w:rsidRPr="00DF6A15">
        <w:rPr>
          <w:rFonts w:ascii="Times New Roman" w:hAnsi="Times New Roman" w:cs="Times New Roman"/>
          <w:sz w:val="24"/>
          <w:szCs w:val="24"/>
        </w:rPr>
        <w:t xml:space="preserve"> spp.) </w:t>
      </w:r>
      <w:proofErr w:type="spellStart"/>
      <w:r w:rsidR="001B3271" w:rsidRPr="00DF6A15">
        <w:rPr>
          <w:rFonts w:ascii="Times New Roman" w:hAnsi="Times New Roman" w:cs="Times New Roman"/>
          <w:i/>
          <w:sz w:val="24"/>
          <w:szCs w:val="24"/>
        </w:rPr>
        <w:t>Phytopathol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ogia</w:t>
      </w:r>
      <w:proofErr w:type="spellEnd"/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F6A15">
        <w:rPr>
          <w:rFonts w:ascii="Times New Roman" w:hAnsi="Times New Roman" w:cs="Times New Roman"/>
          <w:i/>
          <w:sz w:val="24"/>
          <w:szCs w:val="24"/>
        </w:rPr>
        <w:t>Mediterr</w:t>
      </w:r>
      <w:r w:rsidR="002837CD" w:rsidRPr="00DF6A15">
        <w:rPr>
          <w:rFonts w:ascii="Times New Roman" w:hAnsi="Times New Roman" w:cs="Times New Roman"/>
          <w:i/>
          <w:sz w:val="24"/>
          <w:szCs w:val="24"/>
        </w:rPr>
        <w:t>anea</w:t>
      </w:r>
      <w:proofErr w:type="spellEnd"/>
      <w:r w:rsidR="002837CD" w:rsidRPr="00DF6A15">
        <w:rPr>
          <w:rFonts w:ascii="Times New Roman" w:hAnsi="Times New Roman" w:cs="Times New Roman"/>
          <w:i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46</w:t>
      </w:r>
      <w:proofErr w:type="gramEnd"/>
      <w:r w:rsidR="002837CD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 xml:space="preserve">201-206. </w:t>
      </w:r>
    </w:p>
    <w:p w14:paraId="6DE1E825" w14:textId="478DF45E" w:rsidR="0082761C" w:rsidRPr="00DF6A15" w:rsidRDefault="0082761C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Kumar, S., Singh, R.B. and Singh, R.N. </w:t>
      </w:r>
      <w:r w:rsidR="002837CD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2009</w:t>
      </w:r>
      <w:r w:rsidR="002837CD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Fungicides and genotypes for the management of foliar diseases of rapeseed-mustard. </w:t>
      </w:r>
      <w:r w:rsidRPr="00DF6A15">
        <w:rPr>
          <w:rFonts w:ascii="Times New Roman" w:hAnsi="Times New Roman" w:cs="Times New Roman"/>
          <w:i/>
          <w:sz w:val="24"/>
          <w:szCs w:val="24"/>
        </w:rPr>
        <w:t>Proc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eedings of the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Nat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ional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Acad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emy of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Sci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ences,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India</w:t>
      </w:r>
      <w:r w:rsidRPr="00DF6A1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F6A15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DF6A15">
        <w:rPr>
          <w:rFonts w:ascii="Times New Roman" w:hAnsi="Times New Roman" w:cs="Times New Roman"/>
          <w:sz w:val="24"/>
          <w:szCs w:val="24"/>
        </w:rPr>
        <w:t xml:space="preserve"> part</w:t>
      </w:r>
      <w:proofErr w:type="gramEnd"/>
      <w:r w:rsidRPr="00DF6A15">
        <w:rPr>
          <w:rFonts w:ascii="Times New Roman" w:hAnsi="Times New Roman" w:cs="Times New Roman"/>
          <w:sz w:val="24"/>
          <w:szCs w:val="24"/>
        </w:rPr>
        <w:t xml:space="preserve"> B (2)</w:t>
      </w:r>
      <w:r w:rsidR="00452D18" w:rsidRPr="00DF6A15">
        <w:rPr>
          <w:rFonts w:ascii="Times New Roman" w:hAnsi="Times New Roman" w:cs="Times New Roman"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189-193.</w:t>
      </w:r>
    </w:p>
    <w:p w14:paraId="0E93D046" w14:textId="0A63FE0C" w:rsidR="003D2490" w:rsidRPr="00DF6A15" w:rsidRDefault="003D2490" w:rsidP="00A162F1">
      <w:pPr>
        <w:spacing w:after="0" w:line="360" w:lineRule="auto"/>
        <w:ind w:left="1134" w:hanging="1134"/>
        <w:jc w:val="both"/>
        <w:textAlignment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Loona, Diksha., Singh, Ranbir,</w:t>
      </w:r>
      <w:r w:rsidR="00452D18"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Chittaragi, Amoghavarsha., Patil, </w:t>
      </w:r>
      <w:proofErr w:type="spellStart"/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Balanagouda</w:t>
      </w:r>
      <w:proofErr w:type="spellEnd"/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2D18"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  <w:r w:rsidR="00452D18"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F6A15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In-vitro</w:t>
      </w:r>
      <w:r w:rsidRPr="00DF6A1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 and field evaluation of foliar fungicides for the management of </w:t>
      </w:r>
      <w:r w:rsidRPr="00DF6A15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</w:rPr>
        <w:t>Alternaria</w:t>
      </w:r>
      <w:r w:rsidRPr="00DF6A1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leaf blight in Radish (</w:t>
      </w:r>
      <w:r w:rsidRPr="00DF6A15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Raphanus sativus</w:t>
      </w:r>
      <w:r w:rsidRPr="00DF6A1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 L.)</w:t>
      </w:r>
      <w:r w:rsidRPr="00DF6A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8" w:tooltip="Go to Crop Protection on ScienceDirect" w:history="1">
        <w:r w:rsidRPr="00DF6A15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</w:rPr>
          <w:t>Crop Protection</w:t>
        </w:r>
      </w:hyperlink>
      <w:r w:rsidR="00452D18" w:rsidRPr="00DF6A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9" w:tooltip="Go to table of contents for this volume/issue" w:history="1">
        <w:r w:rsidRPr="00DF6A15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187</w:t>
        </w:r>
      </w:hyperlink>
      <w:r w:rsidR="00452D18"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F6A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106967</w:t>
      </w:r>
    </w:p>
    <w:p w14:paraId="57A9D895" w14:textId="77777777" w:rsidR="003D2490" w:rsidRPr="00DF6A15" w:rsidRDefault="003D2490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29E6AD16" w14:textId="112B8D3F" w:rsidR="0082761C" w:rsidRPr="00DF6A15" w:rsidRDefault="0082761C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McCartney, H.A., Doughty, K.S., Mortan, G., Booth, F.J.,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Kightey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, S.P.J. and London, G.W.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1999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A study of the effect of disease on seed quality parameters of oilseed rape. In: </w:t>
      </w:r>
      <w:r w:rsidRPr="00DF6A15">
        <w:rPr>
          <w:rFonts w:ascii="Times New Roman" w:hAnsi="Times New Roman" w:cs="Times New Roman"/>
          <w:i/>
          <w:sz w:val="24"/>
          <w:szCs w:val="24"/>
        </w:rPr>
        <w:t>Proceedings of 10th International Rapeseed Congress</w:t>
      </w:r>
      <w:r w:rsidRPr="00DF6A15">
        <w:rPr>
          <w:rFonts w:ascii="Times New Roman" w:hAnsi="Times New Roman" w:cs="Times New Roman"/>
          <w:sz w:val="24"/>
          <w:szCs w:val="24"/>
        </w:rPr>
        <w:t>, Canberra, Australia, 26-29 September 1999.</w:t>
      </w:r>
    </w:p>
    <w:p w14:paraId="118B007C" w14:textId="43E0957F" w:rsidR="00926FBA" w:rsidRPr="00DF6A15" w:rsidRDefault="00926FBA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Meena, P.D., Chattopadhyay, C., Meena, P.S., Goyal, P. and Kumar, V. R.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2014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Shelf life and efficacy of talc-based bio-formulations of 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Trichoderma </w:t>
      </w:r>
      <w:proofErr w:type="spellStart"/>
      <w:r w:rsidRPr="00DF6A15">
        <w:rPr>
          <w:rFonts w:ascii="Times New Roman" w:hAnsi="Times New Roman" w:cs="Times New Roman"/>
          <w:i/>
          <w:sz w:val="24"/>
          <w:szCs w:val="24"/>
        </w:rPr>
        <w:t>harzianum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isolates in 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Sclerotinia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rot of Indian mustard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 juncea</w:t>
      </w:r>
      <w:r w:rsidRPr="00DF6A15">
        <w:rPr>
          <w:rFonts w:ascii="Times New Roman" w:hAnsi="Times New Roman" w:cs="Times New Roman"/>
          <w:sz w:val="24"/>
          <w:szCs w:val="24"/>
        </w:rPr>
        <w:t xml:space="preserve">). </w:t>
      </w:r>
      <w:r w:rsidRPr="00DF6A15">
        <w:rPr>
          <w:rFonts w:ascii="Times New Roman" w:hAnsi="Times New Roman" w:cs="Times New Roman"/>
          <w:i/>
          <w:sz w:val="24"/>
          <w:szCs w:val="24"/>
        </w:rPr>
        <w:t>Annal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s of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Plant Prot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ection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Sci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ences</w:t>
      </w:r>
      <w:r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22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127-135.</w:t>
      </w:r>
    </w:p>
    <w:p w14:paraId="1C9E4035" w14:textId="35D29A91" w:rsidR="00FD24A2" w:rsidRPr="00DF6A15" w:rsidRDefault="0082761C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 Meena, P.D., Awasthi, R</w:t>
      </w:r>
      <w:r w:rsidR="00FD24A2" w:rsidRPr="00DF6A15">
        <w:rPr>
          <w:rFonts w:ascii="Times New Roman" w:hAnsi="Times New Roman" w:cs="Times New Roman"/>
          <w:sz w:val="24"/>
          <w:szCs w:val="24"/>
        </w:rPr>
        <w:t xml:space="preserve"> Meena, P.D., Awasthi, R.P., Chattopadhyay, C., Kolte, S.J., Kumar, A.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="00FD24A2" w:rsidRPr="00DF6A15">
        <w:rPr>
          <w:rFonts w:ascii="Times New Roman" w:hAnsi="Times New Roman" w:cs="Times New Roman"/>
          <w:sz w:val="24"/>
          <w:szCs w:val="24"/>
        </w:rPr>
        <w:t>2010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="00FD24A2" w:rsidRPr="00DF6A15">
        <w:rPr>
          <w:rFonts w:ascii="Times New Roman" w:hAnsi="Times New Roman" w:cs="Times New Roman"/>
          <w:sz w:val="24"/>
          <w:szCs w:val="24"/>
        </w:rPr>
        <w:t xml:space="preserve">. </w:t>
      </w:r>
      <w:r w:rsidR="00FD24A2"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="00FD24A2" w:rsidRPr="00DF6A15">
        <w:rPr>
          <w:rFonts w:ascii="Times New Roman" w:hAnsi="Times New Roman" w:cs="Times New Roman"/>
          <w:sz w:val="24"/>
          <w:szCs w:val="24"/>
        </w:rPr>
        <w:t xml:space="preserve"> blight: A chronic disease in rapeseed mustard. 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>J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4A2" w:rsidRPr="00DF6A15">
        <w:rPr>
          <w:rFonts w:ascii="Times New Roman" w:hAnsi="Times New Roman" w:cs="Times New Roman"/>
          <w:i/>
          <w:sz w:val="24"/>
          <w:szCs w:val="24"/>
        </w:rPr>
        <w:t>Oilseed Brassica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="00FD24A2"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="00FD24A2" w:rsidRPr="00DF6A15">
        <w:rPr>
          <w:rFonts w:ascii="Times New Roman" w:hAnsi="Times New Roman" w:cs="Times New Roman"/>
          <w:sz w:val="24"/>
          <w:szCs w:val="24"/>
        </w:rPr>
        <w:t xml:space="preserve">1- 11. </w:t>
      </w:r>
    </w:p>
    <w:p w14:paraId="7E11FCB4" w14:textId="2CE4C60D" w:rsidR="005C38F9" w:rsidRPr="00DF6A15" w:rsidRDefault="005C38F9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>PIB,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sz w:val="24"/>
          <w:szCs w:val="24"/>
        </w:rPr>
        <w:t>Delhi.</w:t>
      </w:r>
      <w:r w:rsidR="002666FB"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2024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: NITI Aayog unveils Report on ‘Pathways and strategies for Accelerating Growth in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Adible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Oils towards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Almanirbharta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F6A15">
          <w:rPr>
            <w:rStyle w:val="Hyperlink"/>
            <w:rFonts w:ascii="Times New Roman" w:hAnsi="Times New Roman" w:cs="Times New Roman"/>
            <w:sz w:val="24"/>
            <w:szCs w:val="24"/>
          </w:rPr>
          <w:t>https://www.niti.gov.in/sites/default/files/2024-08</w:t>
        </w:r>
      </w:hyperlink>
      <w:r w:rsidRPr="00DF6A15">
        <w:rPr>
          <w:rFonts w:ascii="Times New Roman" w:hAnsi="Times New Roman" w:cs="Times New Roman"/>
          <w:sz w:val="24"/>
          <w:szCs w:val="24"/>
        </w:rPr>
        <w:t>, posted on 29 August 2024 at 3.36 pm.</w:t>
      </w:r>
    </w:p>
    <w:p w14:paraId="13188239" w14:textId="46F06E40" w:rsidR="00211D32" w:rsidRPr="00DF6A15" w:rsidRDefault="00211D3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Rai, Dinesh., Mishra, A.K. and Pandey, Anil.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2014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Integrated 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in Indian mustard. </w:t>
      </w:r>
      <w:r w:rsidRPr="00DF6A15">
        <w:rPr>
          <w:rFonts w:ascii="Times New Roman" w:hAnsi="Times New Roman" w:cs="Times New Roman"/>
          <w:i/>
          <w:sz w:val="24"/>
          <w:szCs w:val="24"/>
        </w:rPr>
        <w:t>The Bioscan</w:t>
      </w:r>
      <w:r w:rsidR="00452D18" w:rsidRPr="00DF6A15">
        <w:rPr>
          <w:rFonts w:ascii="Times New Roman" w:hAnsi="Times New Roman" w:cs="Times New Roman"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DF6A15">
        <w:rPr>
          <w:rFonts w:ascii="Times New Roman" w:hAnsi="Times New Roman" w:cs="Times New Roman"/>
          <w:sz w:val="24"/>
          <w:szCs w:val="24"/>
        </w:rPr>
        <w:t>(3)</w:t>
      </w:r>
      <w:r w:rsidR="00452D18" w:rsidRPr="00DF6A15">
        <w:rPr>
          <w:rFonts w:ascii="Times New Roman" w:hAnsi="Times New Roman" w:cs="Times New Roman"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smallCaps/>
          <w:sz w:val="24"/>
          <w:szCs w:val="24"/>
        </w:rPr>
        <w:t>1247-1249.</w:t>
      </w:r>
    </w:p>
    <w:p w14:paraId="2E488FDD" w14:textId="4C141886" w:rsidR="00FD24A2" w:rsidRPr="00DF6A15" w:rsidRDefault="00FD24A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Rakesh., Kumar, Anil and Rathi, A.S. </w:t>
      </w:r>
      <w:r w:rsidR="00452D18" w:rsidRPr="00DF6A15">
        <w:rPr>
          <w:rFonts w:ascii="Times New Roman" w:hAnsi="Times New Roman" w:cs="Times New Roman"/>
          <w:bCs/>
          <w:sz w:val="24"/>
          <w:szCs w:val="24"/>
        </w:rPr>
        <w:t>(</w:t>
      </w:r>
      <w:r w:rsidRPr="00DF6A15">
        <w:rPr>
          <w:rFonts w:ascii="Times New Roman" w:hAnsi="Times New Roman" w:cs="Times New Roman"/>
          <w:bCs/>
          <w:sz w:val="24"/>
          <w:szCs w:val="24"/>
        </w:rPr>
        <w:t>2018</w:t>
      </w:r>
      <w:r w:rsidR="00452D18" w:rsidRPr="00DF6A15">
        <w:rPr>
          <w:rFonts w:ascii="Times New Roman" w:hAnsi="Times New Roman" w:cs="Times New Roman"/>
          <w:bCs/>
          <w:sz w:val="24"/>
          <w:szCs w:val="24"/>
        </w:rPr>
        <w:t>)</w:t>
      </w:r>
      <w:r w:rsidRPr="00DF6A1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F6A15">
        <w:rPr>
          <w:rFonts w:ascii="Times New Roman" w:hAnsi="Times New Roman" w:cs="Times New Roman"/>
          <w:sz w:val="24"/>
          <w:szCs w:val="24"/>
        </w:rPr>
        <w:t xml:space="preserve">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in Indian mustard through fungicides under field conditions. 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>Inter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national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1B3271" w:rsidRPr="00DF6A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i/>
          <w:sz w:val="24"/>
          <w:szCs w:val="24"/>
        </w:rPr>
        <w:t>Chemical Studies</w:t>
      </w:r>
      <w:r w:rsidR="00452D18" w:rsidRPr="00DF6A15">
        <w:rPr>
          <w:rFonts w:ascii="Times New Roman" w:hAnsi="Times New Roman" w:cs="Times New Roman"/>
          <w:sz w:val="24"/>
          <w:szCs w:val="24"/>
        </w:rPr>
        <w:t>,</w:t>
      </w:r>
      <w:r w:rsidRPr="00DF6A15">
        <w:rPr>
          <w:rFonts w:ascii="Times New Roman" w:hAnsi="Times New Roman" w:cs="Times New Roman"/>
          <w:sz w:val="24"/>
          <w:szCs w:val="24"/>
        </w:rPr>
        <w:t xml:space="preserve">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DF6A15">
        <w:rPr>
          <w:rFonts w:ascii="Times New Roman" w:hAnsi="Times New Roman" w:cs="Times New Roman"/>
          <w:sz w:val="24"/>
          <w:szCs w:val="24"/>
        </w:rPr>
        <w:t>(2)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2042-2044.</w:t>
      </w:r>
    </w:p>
    <w:p w14:paraId="30C3CBE1" w14:textId="52F58D78" w:rsidR="00FD24A2" w:rsidRPr="00DF6A15" w:rsidRDefault="00FD24A2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Rathi, A.S. and Singh, D.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2009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 xml:space="preserve">. Integrated management of </w:t>
      </w:r>
      <w:r w:rsidRPr="00DF6A15">
        <w:rPr>
          <w:rFonts w:ascii="Times New Roman" w:hAnsi="Times New Roman" w:cs="Times New Roman"/>
          <w:i/>
          <w:sz w:val="24"/>
          <w:szCs w:val="24"/>
        </w:rPr>
        <w:t>Alternaria</w:t>
      </w:r>
      <w:r w:rsidRPr="00DF6A15">
        <w:rPr>
          <w:rFonts w:ascii="Times New Roman" w:hAnsi="Times New Roman" w:cs="Times New Roman"/>
          <w:sz w:val="24"/>
          <w:szCs w:val="24"/>
        </w:rPr>
        <w:t xml:space="preserve"> blight and white rust in Indian mustard. Paper presented in 16th Australian Research Assembly on 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</w:t>
      </w:r>
      <w:r w:rsidRPr="00DF6A15">
        <w:rPr>
          <w:rFonts w:ascii="Times New Roman" w:hAnsi="Times New Roman" w:cs="Times New Roman"/>
          <w:sz w:val="24"/>
          <w:szCs w:val="24"/>
        </w:rPr>
        <w:t xml:space="preserve"> held at Ballart Mercure Hotel, Ballart, Victoria, Australia from </w:t>
      </w:r>
      <w:proofErr w:type="gramStart"/>
      <w:r w:rsidRPr="00DF6A1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F6A15">
        <w:rPr>
          <w:rFonts w:ascii="Times New Roman" w:hAnsi="Times New Roman" w:cs="Times New Roman"/>
          <w:sz w:val="24"/>
          <w:szCs w:val="24"/>
        </w:rPr>
        <w:t xml:space="preserve">: </w:t>
      </w:r>
      <w:r w:rsidRPr="00DF6A15">
        <w:rPr>
          <w:rFonts w:ascii="Times New Roman" w:hAnsi="Times New Roman" w:cs="Times New Roman"/>
          <w:i/>
          <w:sz w:val="24"/>
          <w:szCs w:val="24"/>
        </w:rPr>
        <w:t>Conference proceedings</w:t>
      </w:r>
      <w:r w:rsidRPr="00DF6A15">
        <w:rPr>
          <w:rFonts w:ascii="Times New Roman" w:hAnsi="Times New Roman" w:cs="Times New Roman"/>
          <w:sz w:val="24"/>
          <w:szCs w:val="24"/>
        </w:rPr>
        <w:t>, 51-54.</w:t>
      </w:r>
    </w:p>
    <w:p w14:paraId="62715239" w14:textId="29D1C72D" w:rsidR="00617058" w:rsidRPr="00DF6A15" w:rsidRDefault="00C34C07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sz w:val="24"/>
          <w:szCs w:val="24"/>
        </w:rPr>
        <w:t xml:space="preserve">Tu, Viet. Dinh. And 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Somasekhara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, M. and Govindaraju, C. </w:t>
      </w:r>
      <w:r w:rsidR="00452D18" w:rsidRPr="00DF6A15">
        <w:rPr>
          <w:rFonts w:ascii="Times New Roman" w:hAnsi="Times New Roman" w:cs="Times New Roman"/>
          <w:sz w:val="24"/>
          <w:szCs w:val="24"/>
        </w:rPr>
        <w:t>(</w:t>
      </w:r>
      <w:r w:rsidRPr="00DF6A15">
        <w:rPr>
          <w:rFonts w:ascii="Times New Roman" w:hAnsi="Times New Roman" w:cs="Times New Roman"/>
          <w:sz w:val="24"/>
          <w:szCs w:val="24"/>
        </w:rPr>
        <w:t>2015</w:t>
      </w:r>
      <w:r w:rsidR="00452D18" w:rsidRPr="00DF6A15">
        <w:rPr>
          <w:rFonts w:ascii="Times New Roman" w:hAnsi="Times New Roman" w:cs="Times New Roman"/>
          <w:sz w:val="24"/>
          <w:szCs w:val="24"/>
        </w:rPr>
        <w:t>)</w:t>
      </w:r>
      <w:r w:rsidRPr="00DF6A15">
        <w:rPr>
          <w:rFonts w:ascii="Times New Roman" w:hAnsi="Times New Roman" w:cs="Times New Roman"/>
          <w:sz w:val="24"/>
          <w:szCs w:val="24"/>
        </w:rPr>
        <w:t>. Evaluation of new molecules of fungicides against leaf spot (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Alternaria </w:t>
      </w:r>
      <w:proofErr w:type="spellStart"/>
      <w:r w:rsidRPr="00DF6A15">
        <w:rPr>
          <w:rFonts w:ascii="Times New Roman" w:hAnsi="Times New Roman" w:cs="Times New Roman"/>
          <w:i/>
          <w:sz w:val="24"/>
          <w:szCs w:val="24"/>
        </w:rPr>
        <w:t>brassicicola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A15">
        <w:rPr>
          <w:rFonts w:ascii="Times New Roman" w:hAnsi="Times New Roman" w:cs="Times New Roman"/>
          <w:sz w:val="24"/>
          <w:szCs w:val="24"/>
        </w:rPr>
        <w:t>Schw</w:t>
      </w:r>
      <w:proofErr w:type="spellEnd"/>
      <w:r w:rsidRPr="00DF6A15">
        <w:rPr>
          <w:rFonts w:ascii="Times New Roman" w:hAnsi="Times New Roman" w:cs="Times New Roman"/>
          <w:sz w:val="24"/>
          <w:szCs w:val="24"/>
        </w:rPr>
        <w:t>.) Wiltshire) of cabbage (</w:t>
      </w:r>
      <w:r w:rsidRPr="00DF6A15">
        <w:rPr>
          <w:rFonts w:ascii="Times New Roman" w:hAnsi="Times New Roman" w:cs="Times New Roman"/>
          <w:i/>
          <w:sz w:val="24"/>
          <w:szCs w:val="24"/>
        </w:rPr>
        <w:t>Brassica oleracea</w:t>
      </w:r>
      <w:r w:rsidRPr="00DF6A15">
        <w:rPr>
          <w:rFonts w:ascii="Times New Roman" w:hAnsi="Times New Roman" w:cs="Times New Roman"/>
          <w:sz w:val="24"/>
          <w:szCs w:val="24"/>
        </w:rPr>
        <w:t xml:space="preserve"> var. </w:t>
      </w:r>
      <w:r w:rsidRPr="00DF6A15">
        <w:rPr>
          <w:rFonts w:ascii="Times New Roman" w:hAnsi="Times New Roman" w:cs="Times New Roman"/>
          <w:i/>
          <w:sz w:val="24"/>
          <w:szCs w:val="24"/>
        </w:rPr>
        <w:t>capitata</w:t>
      </w:r>
      <w:r w:rsidRPr="00DF6A15">
        <w:rPr>
          <w:rFonts w:ascii="Times New Roman" w:hAnsi="Times New Roman" w:cs="Times New Roman"/>
          <w:sz w:val="24"/>
          <w:szCs w:val="24"/>
        </w:rPr>
        <w:t xml:space="preserve"> L.). </w:t>
      </w:r>
      <w:r w:rsidRPr="00DF6A15">
        <w:rPr>
          <w:rFonts w:ascii="Times New Roman" w:hAnsi="Times New Roman" w:cs="Times New Roman"/>
          <w:i/>
          <w:sz w:val="24"/>
          <w:szCs w:val="24"/>
        </w:rPr>
        <w:t>Inter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national</w:t>
      </w:r>
      <w:r w:rsidR="00217BC0" w:rsidRPr="00DF6A15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ournal of</w:t>
      </w:r>
      <w:r w:rsidR="00217BC0" w:rsidRPr="00DF6A15">
        <w:rPr>
          <w:rFonts w:ascii="Times New Roman" w:hAnsi="Times New Roman" w:cs="Times New Roman"/>
          <w:i/>
          <w:sz w:val="24"/>
          <w:szCs w:val="24"/>
        </w:rPr>
        <w:t xml:space="preserve"> Agricul</w:t>
      </w:r>
      <w:r w:rsidR="00452D18" w:rsidRPr="00DF6A15">
        <w:rPr>
          <w:rFonts w:ascii="Times New Roman" w:hAnsi="Times New Roman" w:cs="Times New Roman"/>
          <w:i/>
          <w:sz w:val="24"/>
          <w:szCs w:val="24"/>
        </w:rPr>
        <w:t>tural</w:t>
      </w:r>
      <w:r w:rsidRPr="00DF6A15">
        <w:rPr>
          <w:rFonts w:ascii="Times New Roman" w:hAnsi="Times New Roman" w:cs="Times New Roman"/>
          <w:i/>
          <w:sz w:val="24"/>
          <w:szCs w:val="24"/>
        </w:rPr>
        <w:t xml:space="preserve"> Science and Research</w:t>
      </w:r>
      <w:r w:rsidRPr="00DF6A15">
        <w:rPr>
          <w:rFonts w:ascii="Times New Roman" w:hAnsi="Times New Roman" w:cs="Times New Roman"/>
          <w:sz w:val="24"/>
          <w:szCs w:val="24"/>
        </w:rPr>
        <w:t xml:space="preserve"> (IJASR). </w:t>
      </w:r>
      <w:r w:rsidRPr="00DF6A15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DF6A15">
        <w:rPr>
          <w:rFonts w:ascii="Times New Roman" w:hAnsi="Times New Roman" w:cs="Times New Roman"/>
          <w:sz w:val="24"/>
          <w:szCs w:val="24"/>
        </w:rPr>
        <w:t>(3)</w:t>
      </w:r>
      <w:r w:rsidR="00452D18" w:rsidRPr="00DF6A15">
        <w:rPr>
          <w:rFonts w:ascii="Times New Roman" w:hAnsi="Times New Roman" w:cs="Times New Roman"/>
          <w:sz w:val="24"/>
          <w:szCs w:val="24"/>
        </w:rPr>
        <w:t xml:space="preserve">, </w:t>
      </w:r>
      <w:r w:rsidRPr="00DF6A15">
        <w:rPr>
          <w:rFonts w:ascii="Times New Roman" w:hAnsi="Times New Roman" w:cs="Times New Roman"/>
          <w:sz w:val="24"/>
          <w:szCs w:val="24"/>
        </w:rPr>
        <w:t>349-354.</w:t>
      </w:r>
    </w:p>
    <w:p w14:paraId="306C4C98" w14:textId="77777777" w:rsidR="00262318" w:rsidRPr="00DF6A15" w:rsidRDefault="00262318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45C32EAC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87D7C" w:rsidRPr="00DF6A15" w:rsidSect="001F46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E252F3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F6A15">
        <w:rPr>
          <w:rFonts w:ascii="Times New Roman" w:hAnsi="Times New Roman" w:cs="Times New Roman"/>
          <w:b/>
          <w:bCs/>
        </w:rPr>
        <w:lastRenderedPageBreak/>
        <w:t>Table 1: Disease severity (%) and seed yield (kg/ha)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866"/>
        <w:gridCol w:w="865"/>
        <w:gridCol w:w="864"/>
        <w:gridCol w:w="1117"/>
        <w:gridCol w:w="865"/>
        <w:gridCol w:w="864"/>
        <w:gridCol w:w="1283"/>
        <w:gridCol w:w="1117"/>
        <w:gridCol w:w="986"/>
        <w:gridCol w:w="931"/>
        <w:gridCol w:w="931"/>
        <w:gridCol w:w="998"/>
      </w:tblGrid>
      <w:tr w:rsidR="00087D7C" w:rsidRPr="00DF6A15" w14:paraId="7C2AF6C4" w14:textId="77777777" w:rsidTr="00211E46">
        <w:tc>
          <w:tcPr>
            <w:tcW w:w="14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9525A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Treatments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D1FE0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color w:val="000000"/>
              </w:rPr>
              <w:t>Alternaria blight severity (%) at 70 DAS on leaves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0B89F8" w14:textId="77777777" w:rsidR="004A2FD3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color w:val="000000"/>
              </w:rPr>
              <w:t xml:space="preserve">Alternaria blight severity (%) at 75 DAS </w:t>
            </w:r>
          </w:p>
          <w:p w14:paraId="44B8BBB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color w:val="000000"/>
              </w:rPr>
              <w:t>on pods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07614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yield increase</w:t>
            </w:r>
          </w:p>
        </w:tc>
      </w:tr>
      <w:tr w:rsidR="00087D7C" w:rsidRPr="00DF6A15" w14:paraId="4AF5A0D4" w14:textId="77777777" w:rsidTr="00211E46">
        <w:tc>
          <w:tcPr>
            <w:tcW w:w="1447" w:type="dxa"/>
            <w:vMerge/>
            <w:tcBorders>
              <w:top w:val="single" w:sz="4" w:space="0" w:color="auto"/>
            </w:tcBorders>
          </w:tcPr>
          <w:p w14:paraId="1749BCA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2D751D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2020-21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96AC87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2021-22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09A767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Pooled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30C0C61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disease reduction over control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E7D60E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2020-21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FAC53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2021-22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616BFC2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Pooled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06B67BE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disease reduction over control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1BD1FA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2020-21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F74C48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2021-22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6DA44DF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Pooled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53504F0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Per cent yield increase</w:t>
            </w:r>
          </w:p>
        </w:tc>
      </w:tr>
      <w:tr w:rsidR="00087D7C" w:rsidRPr="00DF6A15" w14:paraId="6C7EAE5E" w14:textId="77777777" w:rsidTr="00211E46">
        <w:tc>
          <w:tcPr>
            <w:tcW w:w="1447" w:type="dxa"/>
          </w:tcPr>
          <w:p w14:paraId="4C27CF90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1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Tebuconazole 50% + </w:t>
            </w:r>
            <w:proofErr w:type="spellStart"/>
            <w:r w:rsidRPr="00DF6A15">
              <w:rPr>
                <w:rFonts w:ascii="Times New Roman" w:hAnsi="Times New Roman" w:cs="Times New Roman"/>
                <w:bCs/>
              </w:rPr>
              <w:t>trifloxystrobin</w:t>
            </w:r>
            <w:proofErr w:type="spellEnd"/>
            <w:r w:rsidRPr="00DF6A15">
              <w:rPr>
                <w:rFonts w:ascii="Times New Roman" w:hAnsi="Times New Roman" w:cs="Times New Roman"/>
                <w:bCs/>
              </w:rPr>
              <w:t xml:space="preserve"> 25% </w:t>
            </w:r>
            <w:proofErr w:type="gramStart"/>
            <w:r w:rsidRPr="00DF6A15">
              <w:rPr>
                <w:rFonts w:ascii="Times New Roman" w:hAnsi="Times New Roman" w:cs="Times New Roman"/>
                <w:bCs/>
              </w:rPr>
              <w:t>WG  (</w:t>
            </w:r>
            <w:proofErr w:type="gramEnd"/>
            <w:r w:rsidRPr="00DF6A15">
              <w:rPr>
                <w:rFonts w:ascii="Times New Roman" w:hAnsi="Times New Roman" w:cs="Times New Roman"/>
                <w:bCs/>
              </w:rPr>
              <w:t xml:space="preserve">ready mix)@ 1 g/l  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2E52AC6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16.83 (24.20)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34AC537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15.53 (23.19)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5209EB1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16.18 (23.71)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618CD7C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54.1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733EC1E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10.40 (18.79)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49A0FE1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9.23 (17.67)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40400C39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   </w:t>
            </w:r>
            <w:r w:rsidR="00087D7C" w:rsidRPr="00DF6A15">
              <w:rPr>
                <w:rFonts w:ascii="Times New Roman" w:hAnsi="Times New Roman" w:cs="Times New Roman"/>
                <w:bCs/>
              </w:rPr>
              <w:t xml:space="preserve">9.82 </w:t>
            </w:r>
          </w:p>
          <w:p w14:paraId="7421C111" w14:textId="77777777" w:rsidR="00087D7C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 </w:t>
            </w:r>
            <w:r w:rsidR="00087D7C" w:rsidRPr="00DF6A15">
              <w:rPr>
                <w:rFonts w:ascii="Times New Roman" w:hAnsi="Times New Roman" w:cs="Times New Roman"/>
                <w:bCs/>
              </w:rPr>
              <w:t>(18.24)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4DF8ABA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55.7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57DCFC1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1,272.14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53C06FA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1101.86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14:paraId="1887227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1187.00</w:t>
            </w: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3422B2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78.5</w:t>
            </w:r>
          </w:p>
        </w:tc>
      </w:tr>
      <w:tr w:rsidR="00087D7C" w:rsidRPr="00DF6A15" w14:paraId="7CA9D05D" w14:textId="77777777" w:rsidTr="00211E46">
        <w:tc>
          <w:tcPr>
            <w:tcW w:w="1447" w:type="dxa"/>
          </w:tcPr>
          <w:p w14:paraId="52F42A42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Propiconazole 25% EC @ 1 ml/l </w:t>
            </w:r>
          </w:p>
        </w:tc>
        <w:tc>
          <w:tcPr>
            <w:tcW w:w="866" w:type="dxa"/>
          </w:tcPr>
          <w:p w14:paraId="7C06053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23.70 (29.12)</w:t>
            </w:r>
          </w:p>
        </w:tc>
        <w:tc>
          <w:tcPr>
            <w:tcW w:w="865" w:type="dxa"/>
          </w:tcPr>
          <w:p w14:paraId="0E02BD4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16.80 (24.07)</w:t>
            </w:r>
          </w:p>
        </w:tc>
        <w:tc>
          <w:tcPr>
            <w:tcW w:w="865" w:type="dxa"/>
          </w:tcPr>
          <w:p w14:paraId="1A247D4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20.25 (26.65)</w:t>
            </w:r>
          </w:p>
        </w:tc>
        <w:tc>
          <w:tcPr>
            <w:tcW w:w="1123" w:type="dxa"/>
          </w:tcPr>
          <w:p w14:paraId="04E5D107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42.5</w:t>
            </w:r>
          </w:p>
        </w:tc>
        <w:tc>
          <w:tcPr>
            <w:tcW w:w="866" w:type="dxa"/>
          </w:tcPr>
          <w:p w14:paraId="7F90A5A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13.90 (21.87)</w:t>
            </w:r>
          </w:p>
        </w:tc>
        <w:tc>
          <w:tcPr>
            <w:tcW w:w="865" w:type="dxa"/>
          </w:tcPr>
          <w:p w14:paraId="6B30B72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15.40 (23.08)</w:t>
            </w:r>
          </w:p>
        </w:tc>
        <w:tc>
          <w:tcPr>
            <w:tcW w:w="1316" w:type="dxa"/>
          </w:tcPr>
          <w:p w14:paraId="46EF8D84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 </w:t>
            </w:r>
            <w:r w:rsidR="00087D7C" w:rsidRPr="00DF6A15">
              <w:rPr>
                <w:rFonts w:ascii="Times New Roman" w:hAnsi="Times New Roman" w:cs="Times New Roman"/>
                <w:bCs/>
              </w:rPr>
              <w:t>14.65</w:t>
            </w:r>
          </w:p>
          <w:p w14:paraId="6F14D0E6" w14:textId="77777777" w:rsidR="00087D7C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  <w:r w:rsidR="00087D7C" w:rsidRPr="00DF6A15">
              <w:rPr>
                <w:rFonts w:ascii="Times New Roman" w:hAnsi="Times New Roman" w:cs="Times New Roman"/>
                <w:bCs/>
              </w:rPr>
              <w:t>(22.49)</w:t>
            </w:r>
          </w:p>
        </w:tc>
        <w:tc>
          <w:tcPr>
            <w:tcW w:w="1123" w:type="dxa"/>
          </w:tcPr>
          <w:p w14:paraId="0C9F007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33.9</w:t>
            </w:r>
          </w:p>
        </w:tc>
        <w:tc>
          <w:tcPr>
            <w:tcW w:w="979" w:type="dxa"/>
          </w:tcPr>
          <w:p w14:paraId="4AE29BD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951.11</w:t>
            </w:r>
          </w:p>
        </w:tc>
        <w:tc>
          <w:tcPr>
            <w:tcW w:w="929" w:type="dxa"/>
          </w:tcPr>
          <w:p w14:paraId="72817E8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965.67</w:t>
            </w:r>
          </w:p>
        </w:tc>
        <w:tc>
          <w:tcPr>
            <w:tcW w:w="929" w:type="dxa"/>
          </w:tcPr>
          <w:p w14:paraId="6CE0628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958.39</w:t>
            </w:r>
          </w:p>
        </w:tc>
        <w:tc>
          <w:tcPr>
            <w:tcW w:w="1003" w:type="dxa"/>
          </w:tcPr>
          <w:p w14:paraId="772FB7C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44.1</w:t>
            </w:r>
          </w:p>
        </w:tc>
      </w:tr>
      <w:tr w:rsidR="00087D7C" w:rsidRPr="00DF6A15" w14:paraId="78FBEF92" w14:textId="77777777" w:rsidTr="00211E46">
        <w:tc>
          <w:tcPr>
            <w:tcW w:w="1447" w:type="dxa"/>
          </w:tcPr>
          <w:p w14:paraId="19AB6ADC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F6A15">
              <w:rPr>
                <w:rFonts w:ascii="Times New Roman" w:hAnsi="Times New Roman" w:cs="Times New Roman"/>
                <w:bCs/>
              </w:rPr>
              <w:t>Metalaxyl</w:t>
            </w:r>
            <w:proofErr w:type="spellEnd"/>
            <w:r w:rsidRPr="00DF6A15">
              <w:rPr>
                <w:rFonts w:ascii="Times New Roman" w:hAnsi="Times New Roman" w:cs="Times New Roman"/>
                <w:bCs/>
              </w:rPr>
              <w:t xml:space="preserve"> 4% + mancozeb 64% (ready mix) @ 0.5 </w:t>
            </w:r>
            <w:r w:rsidRPr="00DF6A15">
              <w:rPr>
                <w:rFonts w:ascii="Times New Roman" w:hAnsi="Times New Roman" w:cs="Times New Roman"/>
                <w:bCs/>
              </w:rPr>
              <w:lastRenderedPageBreak/>
              <w:t>g/l</w:t>
            </w:r>
          </w:p>
        </w:tc>
        <w:tc>
          <w:tcPr>
            <w:tcW w:w="866" w:type="dxa"/>
          </w:tcPr>
          <w:p w14:paraId="602F432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lastRenderedPageBreak/>
              <w:t>23.77 (29.14)</w:t>
            </w:r>
          </w:p>
        </w:tc>
        <w:tc>
          <w:tcPr>
            <w:tcW w:w="865" w:type="dxa"/>
          </w:tcPr>
          <w:p w14:paraId="102F0E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19.73 (26.29)</w:t>
            </w:r>
          </w:p>
        </w:tc>
        <w:tc>
          <w:tcPr>
            <w:tcW w:w="865" w:type="dxa"/>
          </w:tcPr>
          <w:p w14:paraId="7841744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21.75 (27.76)</w:t>
            </w:r>
          </w:p>
        </w:tc>
        <w:tc>
          <w:tcPr>
            <w:tcW w:w="1123" w:type="dxa"/>
          </w:tcPr>
          <w:p w14:paraId="0215A96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38.24</w:t>
            </w:r>
          </w:p>
        </w:tc>
        <w:tc>
          <w:tcPr>
            <w:tcW w:w="866" w:type="dxa"/>
          </w:tcPr>
          <w:p w14:paraId="1410622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16.27 (23.77)</w:t>
            </w:r>
          </w:p>
        </w:tc>
        <w:tc>
          <w:tcPr>
            <w:tcW w:w="865" w:type="dxa"/>
          </w:tcPr>
          <w:p w14:paraId="53916F0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15.33 (23.02)</w:t>
            </w:r>
          </w:p>
        </w:tc>
        <w:tc>
          <w:tcPr>
            <w:tcW w:w="1316" w:type="dxa"/>
          </w:tcPr>
          <w:p w14:paraId="0D5DEEC9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  <w:r w:rsidR="00087D7C" w:rsidRPr="00DF6A15">
              <w:rPr>
                <w:rFonts w:ascii="Times New Roman" w:hAnsi="Times New Roman" w:cs="Times New Roman"/>
                <w:bCs/>
              </w:rPr>
              <w:t>15.80</w:t>
            </w:r>
          </w:p>
          <w:p w14:paraId="679E5D2C" w14:textId="77777777" w:rsidR="00087D7C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 </w:t>
            </w:r>
            <w:r w:rsidR="00087D7C" w:rsidRPr="00DF6A15">
              <w:rPr>
                <w:rFonts w:ascii="Times New Roman" w:hAnsi="Times New Roman" w:cs="Times New Roman"/>
                <w:bCs/>
              </w:rPr>
              <w:t>(23.41)</w:t>
            </w:r>
          </w:p>
        </w:tc>
        <w:tc>
          <w:tcPr>
            <w:tcW w:w="1123" w:type="dxa"/>
          </w:tcPr>
          <w:p w14:paraId="41695E1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28.8</w:t>
            </w:r>
          </w:p>
        </w:tc>
        <w:tc>
          <w:tcPr>
            <w:tcW w:w="979" w:type="dxa"/>
          </w:tcPr>
          <w:p w14:paraId="024C656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844.45</w:t>
            </w:r>
          </w:p>
        </w:tc>
        <w:tc>
          <w:tcPr>
            <w:tcW w:w="929" w:type="dxa"/>
          </w:tcPr>
          <w:p w14:paraId="47DB560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848.50</w:t>
            </w:r>
          </w:p>
        </w:tc>
        <w:tc>
          <w:tcPr>
            <w:tcW w:w="929" w:type="dxa"/>
          </w:tcPr>
          <w:p w14:paraId="4480C9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846.47</w:t>
            </w:r>
          </w:p>
        </w:tc>
        <w:tc>
          <w:tcPr>
            <w:tcW w:w="1003" w:type="dxa"/>
          </w:tcPr>
          <w:p w14:paraId="1BB48FC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27.3</w:t>
            </w:r>
          </w:p>
        </w:tc>
      </w:tr>
      <w:tr w:rsidR="00087D7C" w:rsidRPr="00DF6A15" w14:paraId="3E0511E9" w14:textId="77777777" w:rsidTr="00211E46">
        <w:tc>
          <w:tcPr>
            <w:tcW w:w="1447" w:type="dxa"/>
          </w:tcPr>
          <w:p w14:paraId="7422BC08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4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Hexaconazole 5% SC @ 2 ml/l </w:t>
            </w:r>
          </w:p>
        </w:tc>
        <w:tc>
          <w:tcPr>
            <w:tcW w:w="866" w:type="dxa"/>
          </w:tcPr>
          <w:p w14:paraId="739472D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22.63 (28.40)</w:t>
            </w:r>
          </w:p>
        </w:tc>
        <w:tc>
          <w:tcPr>
            <w:tcW w:w="865" w:type="dxa"/>
          </w:tcPr>
          <w:p w14:paraId="2105BC2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18.87 (25.43)</w:t>
            </w:r>
          </w:p>
        </w:tc>
        <w:tc>
          <w:tcPr>
            <w:tcW w:w="865" w:type="dxa"/>
          </w:tcPr>
          <w:p w14:paraId="740F0FB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20.75 (27.07)</w:t>
            </w:r>
          </w:p>
        </w:tc>
        <w:tc>
          <w:tcPr>
            <w:tcW w:w="1123" w:type="dxa"/>
          </w:tcPr>
          <w:p w14:paraId="00DB7FA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41.1</w:t>
            </w:r>
          </w:p>
        </w:tc>
        <w:tc>
          <w:tcPr>
            <w:tcW w:w="866" w:type="dxa"/>
          </w:tcPr>
          <w:p w14:paraId="7FBD1A4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15.20 (22.92)</w:t>
            </w:r>
          </w:p>
        </w:tc>
        <w:tc>
          <w:tcPr>
            <w:tcW w:w="865" w:type="dxa"/>
          </w:tcPr>
          <w:p w14:paraId="14A63C9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13.67 (21.66)</w:t>
            </w:r>
          </w:p>
        </w:tc>
        <w:tc>
          <w:tcPr>
            <w:tcW w:w="1316" w:type="dxa"/>
          </w:tcPr>
          <w:p w14:paraId="486F123F" w14:textId="77777777" w:rsidR="00E0423D" w:rsidRPr="00DF6A15" w:rsidRDefault="00E0423D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 </w:t>
            </w:r>
            <w:r w:rsidR="00087D7C" w:rsidRPr="00DF6A15">
              <w:rPr>
                <w:rFonts w:ascii="Times New Roman" w:hAnsi="Times New Roman" w:cs="Times New Roman"/>
                <w:bCs/>
              </w:rPr>
              <w:t>14.43</w:t>
            </w:r>
          </w:p>
          <w:p w14:paraId="681BC6DD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(22.31)</w:t>
            </w:r>
          </w:p>
        </w:tc>
        <w:tc>
          <w:tcPr>
            <w:tcW w:w="1123" w:type="dxa"/>
          </w:tcPr>
          <w:p w14:paraId="0CA8ED2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34.9</w:t>
            </w:r>
          </w:p>
        </w:tc>
        <w:tc>
          <w:tcPr>
            <w:tcW w:w="979" w:type="dxa"/>
          </w:tcPr>
          <w:p w14:paraId="479F5F2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922.22</w:t>
            </w:r>
          </w:p>
        </w:tc>
        <w:tc>
          <w:tcPr>
            <w:tcW w:w="929" w:type="dxa"/>
          </w:tcPr>
          <w:p w14:paraId="4811BDB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911.83</w:t>
            </w:r>
          </w:p>
        </w:tc>
        <w:tc>
          <w:tcPr>
            <w:tcW w:w="929" w:type="dxa"/>
          </w:tcPr>
          <w:p w14:paraId="6BA82D4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917.03</w:t>
            </w:r>
          </w:p>
        </w:tc>
        <w:tc>
          <w:tcPr>
            <w:tcW w:w="1003" w:type="dxa"/>
          </w:tcPr>
          <w:p w14:paraId="2DDE238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37.9</w:t>
            </w:r>
          </w:p>
        </w:tc>
      </w:tr>
      <w:tr w:rsidR="00087D7C" w:rsidRPr="00DF6A15" w14:paraId="19CCA566" w14:textId="77777777" w:rsidTr="00211E46">
        <w:tc>
          <w:tcPr>
            <w:tcW w:w="1447" w:type="dxa"/>
          </w:tcPr>
          <w:p w14:paraId="638CEFC2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5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Tebuconazole 25.9% @ 1 ml/l </w:t>
            </w:r>
          </w:p>
        </w:tc>
        <w:tc>
          <w:tcPr>
            <w:tcW w:w="866" w:type="dxa"/>
          </w:tcPr>
          <w:p w14:paraId="30D6D6B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23.37 (28.89)</w:t>
            </w:r>
          </w:p>
        </w:tc>
        <w:tc>
          <w:tcPr>
            <w:tcW w:w="865" w:type="dxa"/>
          </w:tcPr>
          <w:p w14:paraId="3CF72FC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24.03 (29.34)</w:t>
            </w:r>
          </w:p>
        </w:tc>
        <w:tc>
          <w:tcPr>
            <w:tcW w:w="865" w:type="dxa"/>
          </w:tcPr>
          <w:p w14:paraId="71EF9E5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23.70 (29.12)</w:t>
            </w:r>
          </w:p>
        </w:tc>
        <w:tc>
          <w:tcPr>
            <w:tcW w:w="1123" w:type="dxa"/>
          </w:tcPr>
          <w:p w14:paraId="109AFF7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32.7</w:t>
            </w:r>
          </w:p>
        </w:tc>
        <w:tc>
          <w:tcPr>
            <w:tcW w:w="866" w:type="dxa"/>
          </w:tcPr>
          <w:p w14:paraId="254691F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13.63 (21.65)</w:t>
            </w:r>
          </w:p>
        </w:tc>
        <w:tc>
          <w:tcPr>
            <w:tcW w:w="865" w:type="dxa"/>
          </w:tcPr>
          <w:p w14:paraId="1F5A19C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14.87 (22.65)</w:t>
            </w:r>
          </w:p>
        </w:tc>
        <w:tc>
          <w:tcPr>
            <w:tcW w:w="1316" w:type="dxa"/>
          </w:tcPr>
          <w:p w14:paraId="5E9CB758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14.25</w:t>
            </w:r>
          </w:p>
          <w:p w14:paraId="3D329E0F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(22.17)</w:t>
            </w:r>
          </w:p>
        </w:tc>
        <w:tc>
          <w:tcPr>
            <w:tcW w:w="1123" w:type="dxa"/>
          </w:tcPr>
          <w:p w14:paraId="59E67F4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35.8</w:t>
            </w:r>
          </w:p>
        </w:tc>
        <w:tc>
          <w:tcPr>
            <w:tcW w:w="979" w:type="dxa"/>
          </w:tcPr>
          <w:p w14:paraId="7AAE0B8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993.33</w:t>
            </w:r>
          </w:p>
        </w:tc>
        <w:tc>
          <w:tcPr>
            <w:tcW w:w="929" w:type="dxa"/>
          </w:tcPr>
          <w:p w14:paraId="01FE1FF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993.33</w:t>
            </w:r>
          </w:p>
        </w:tc>
        <w:tc>
          <w:tcPr>
            <w:tcW w:w="929" w:type="dxa"/>
          </w:tcPr>
          <w:p w14:paraId="0D1D882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993.33</w:t>
            </w:r>
          </w:p>
        </w:tc>
        <w:tc>
          <w:tcPr>
            <w:tcW w:w="1003" w:type="dxa"/>
          </w:tcPr>
          <w:p w14:paraId="40FBDFF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49.4</w:t>
            </w:r>
          </w:p>
        </w:tc>
      </w:tr>
      <w:tr w:rsidR="00087D7C" w:rsidRPr="00DF6A15" w14:paraId="19F22DCF" w14:textId="77777777" w:rsidTr="00211E46">
        <w:tc>
          <w:tcPr>
            <w:tcW w:w="1447" w:type="dxa"/>
          </w:tcPr>
          <w:p w14:paraId="5AF202F5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6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</w:t>
            </w:r>
            <w:bookmarkStart w:id="2" w:name="_Hlk194487140"/>
            <w:r w:rsidRPr="00DF6A15">
              <w:rPr>
                <w:rFonts w:ascii="Times New Roman" w:hAnsi="Times New Roman" w:cs="Times New Roman"/>
                <w:bCs/>
              </w:rPr>
              <w:t xml:space="preserve">Azoxystrobin 23 SC @ 1 ml/l </w:t>
            </w:r>
            <w:bookmarkEnd w:id="2"/>
          </w:p>
        </w:tc>
        <w:tc>
          <w:tcPr>
            <w:tcW w:w="866" w:type="dxa"/>
          </w:tcPr>
          <w:p w14:paraId="1168671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19.60 (26.25)</w:t>
            </w:r>
          </w:p>
        </w:tc>
        <w:tc>
          <w:tcPr>
            <w:tcW w:w="865" w:type="dxa"/>
          </w:tcPr>
          <w:p w14:paraId="6D47C16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18.40 (25.36)</w:t>
            </w:r>
          </w:p>
        </w:tc>
        <w:tc>
          <w:tcPr>
            <w:tcW w:w="865" w:type="dxa"/>
          </w:tcPr>
          <w:p w14:paraId="74D2B93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19.00 (25.83)</w:t>
            </w:r>
          </w:p>
        </w:tc>
        <w:tc>
          <w:tcPr>
            <w:tcW w:w="1123" w:type="dxa"/>
          </w:tcPr>
          <w:p w14:paraId="53198E6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46.1</w:t>
            </w:r>
          </w:p>
        </w:tc>
        <w:tc>
          <w:tcPr>
            <w:tcW w:w="866" w:type="dxa"/>
          </w:tcPr>
          <w:p w14:paraId="16793AF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12.90 (21.03)</w:t>
            </w:r>
          </w:p>
        </w:tc>
        <w:tc>
          <w:tcPr>
            <w:tcW w:w="865" w:type="dxa"/>
          </w:tcPr>
          <w:p w14:paraId="43D81A5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11.13 (19.48)</w:t>
            </w:r>
          </w:p>
        </w:tc>
        <w:tc>
          <w:tcPr>
            <w:tcW w:w="1316" w:type="dxa"/>
          </w:tcPr>
          <w:p w14:paraId="5477DBDD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12.02</w:t>
            </w:r>
          </w:p>
          <w:p w14:paraId="153AA014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(20.26)</w:t>
            </w:r>
          </w:p>
        </w:tc>
        <w:tc>
          <w:tcPr>
            <w:tcW w:w="1123" w:type="dxa"/>
          </w:tcPr>
          <w:p w14:paraId="051BDD3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45.8</w:t>
            </w:r>
          </w:p>
        </w:tc>
        <w:tc>
          <w:tcPr>
            <w:tcW w:w="979" w:type="dxa"/>
          </w:tcPr>
          <w:p w14:paraId="1903029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1,013.33</w:t>
            </w:r>
          </w:p>
        </w:tc>
        <w:tc>
          <w:tcPr>
            <w:tcW w:w="929" w:type="dxa"/>
          </w:tcPr>
          <w:p w14:paraId="238732C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1046.50</w:t>
            </w:r>
          </w:p>
        </w:tc>
        <w:tc>
          <w:tcPr>
            <w:tcW w:w="929" w:type="dxa"/>
          </w:tcPr>
          <w:p w14:paraId="14B2A5B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1029.92</w:t>
            </w:r>
          </w:p>
        </w:tc>
        <w:tc>
          <w:tcPr>
            <w:tcW w:w="1003" w:type="dxa"/>
          </w:tcPr>
          <w:p w14:paraId="248B957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54.8</w:t>
            </w:r>
          </w:p>
        </w:tc>
      </w:tr>
      <w:tr w:rsidR="00087D7C" w:rsidRPr="00DF6A15" w14:paraId="07580EDA" w14:textId="77777777" w:rsidTr="00211E46">
        <w:tc>
          <w:tcPr>
            <w:tcW w:w="1447" w:type="dxa"/>
          </w:tcPr>
          <w:p w14:paraId="7AD4126C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7</w:t>
            </w:r>
            <w:r w:rsidRPr="00DF6A15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DF6A15">
              <w:rPr>
                <w:rFonts w:ascii="Times New Roman" w:hAnsi="Times New Roman" w:cs="Times New Roman"/>
                <w:bCs/>
              </w:rPr>
              <w:t>Trifloxytrobin</w:t>
            </w:r>
            <w:proofErr w:type="spellEnd"/>
            <w:r w:rsidRPr="00DF6A15">
              <w:rPr>
                <w:rFonts w:ascii="Times New Roman" w:hAnsi="Times New Roman" w:cs="Times New Roman"/>
                <w:bCs/>
              </w:rPr>
              <w:t xml:space="preserve"> 50% WG @ 1 g/l </w:t>
            </w:r>
          </w:p>
        </w:tc>
        <w:tc>
          <w:tcPr>
            <w:tcW w:w="866" w:type="dxa"/>
          </w:tcPr>
          <w:p w14:paraId="34D3AA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23.53 (29.00)</w:t>
            </w:r>
          </w:p>
        </w:tc>
        <w:tc>
          <w:tcPr>
            <w:tcW w:w="865" w:type="dxa"/>
          </w:tcPr>
          <w:p w14:paraId="3736499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23.10 (28.71)</w:t>
            </w:r>
          </w:p>
        </w:tc>
        <w:tc>
          <w:tcPr>
            <w:tcW w:w="865" w:type="dxa"/>
          </w:tcPr>
          <w:p w14:paraId="38B2DE0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23.32 (28.86)</w:t>
            </w:r>
          </w:p>
        </w:tc>
        <w:tc>
          <w:tcPr>
            <w:tcW w:w="1123" w:type="dxa"/>
          </w:tcPr>
          <w:p w14:paraId="40FBC1A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33.8</w:t>
            </w:r>
          </w:p>
        </w:tc>
        <w:tc>
          <w:tcPr>
            <w:tcW w:w="866" w:type="dxa"/>
          </w:tcPr>
          <w:p w14:paraId="153FFB3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15.87 (23.45)</w:t>
            </w:r>
          </w:p>
        </w:tc>
        <w:tc>
          <w:tcPr>
            <w:tcW w:w="865" w:type="dxa"/>
          </w:tcPr>
          <w:p w14:paraId="5295D3A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15.67 (23.30)</w:t>
            </w:r>
          </w:p>
        </w:tc>
        <w:tc>
          <w:tcPr>
            <w:tcW w:w="1316" w:type="dxa"/>
          </w:tcPr>
          <w:p w14:paraId="58E6C4D4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15.77 </w:t>
            </w:r>
          </w:p>
          <w:p w14:paraId="2819D435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(23.39)</w:t>
            </w:r>
          </w:p>
        </w:tc>
        <w:tc>
          <w:tcPr>
            <w:tcW w:w="1123" w:type="dxa"/>
          </w:tcPr>
          <w:p w14:paraId="01EEAAE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28.9</w:t>
            </w:r>
          </w:p>
        </w:tc>
        <w:tc>
          <w:tcPr>
            <w:tcW w:w="979" w:type="dxa"/>
          </w:tcPr>
          <w:p w14:paraId="3C1F3BD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891.11</w:t>
            </w:r>
          </w:p>
        </w:tc>
        <w:tc>
          <w:tcPr>
            <w:tcW w:w="929" w:type="dxa"/>
          </w:tcPr>
          <w:p w14:paraId="1548158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893.50</w:t>
            </w:r>
          </w:p>
        </w:tc>
        <w:tc>
          <w:tcPr>
            <w:tcW w:w="929" w:type="dxa"/>
          </w:tcPr>
          <w:p w14:paraId="096ECC2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892.31</w:t>
            </w:r>
          </w:p>
        </w:tc>
        <w:tc>
          <w:tcPr>
            <w:tcW w:w="1003" w:type="dxa"/>
          </w:tcPr>
          <w:p w14:paraId="7A9A2A5C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34.2</w:t>
            </w:r>
          </w:p>
        </w:tc>
      </w:tr>
      <w:tr w:rsidR="00087D7C" w:rsidRPr="00DF6A15" w14:paraId="07391E71" w14:textId="77777777" w:rsidTr="00211E46">
        <w:tc>
          <w:tcPr>
            <w:tcW w:w="1447" w:type="dxa"/>
          </w:tcPr>
          <w:p w14:paraId="583E6562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T</w:t>
            </w:r>
            <w:r w:rsidRPr="00DF6A15">
              <w:rPr>
                <w:rFonts w:ascii="Times New Roman" w:hAnsi="Times New Roman" w:cs="Times New Roman"/>
                <w:bCs/>
                <w:vertAlign w:val="subscript"/>
              </w:rPr>
              <w:t>8</w:t>
            </w:r>
            <w:r w:rsidRPr="00DF6A15">
              <w:rPr>
                <w:rFonts w:ascii="Times New Roman" w:hAnsi="Times New Roman" w:cs="Times New Roman"/>
                <w:bCs/>
              </w:rPr>
              <w:t>: Check</w:t>
            </w:r>
          </w:p>
        </w:tc>
        <w:tc>
          <w:tcPr>
            <w:tcW w:w="866" w:type="dxa"/>
          </w:tcPr>
          <w:p w14:paraId="6CC4568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36.60 (37.21)</w:t>
            </w:r>
          </w:p>
        </w:tc>
        <w:tc>
          <w:tcPr>
            <w:tcW w:w="865" w:type="dxa"/>
          </w:tcPr>
          <w:p w14:paraId="4338C23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33.83 (35.55)</w:t>
            </w:r>
          </w:p>
        </w:tc>
        <w:tc>
          <w:tcPr>
            <w:tcW w:w="865" w:type="dxa"/>
          </w:tcPr>
          <w:p w14:paraId="737FF9A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35.22 (36.38)</w:t>
            </w:r>
          </w:p>
        </w:tc>
        <w:tc>
          <w:tcPr>
            <w:tcW w:w="1123" w:type="dxa"/>
          </w:tcPr>
          <w:p w14:paraId="0F9A03B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66" w:type="dxa"/>
          </w:tcPr>
          <w:p w14:paraId="228D613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23.43 (28.92)</w:t>
            </w:r>
          </w:p>
        </w:tc>
        <w:tc>
          <w:tcPr>
            <w:tcW w:w="865" w:type="dxa"/>
          </w:tcPr>
          <w:p w14:paraId="24D75DB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20.93 (27.20)</w:t>
            </w:r>
          </w:p>
        </w:tc>
        <w:tc>
          <w:tcPr>
            <w:tcW w:w="1316" w:type="dxa"/>
          </w:tcPr>
          <w:p w14:paraId="7533DE91" w14:textId="77777777" w:rsidR="00E0423D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22.18</w:t>
            </w:r>
          </w:p>
          <w:p w14:paraId="61EE68BE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(28.08)</w:t>
            </w:r>
          </w:p>
        </w:tc>
        <w:tc>
          <w:tcPr>
            <w:tcW w:w="1123" w:type="dxa"/>
          </w:tcPr>
          <w:p w14:paraId="12353BD6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79" w:type="dxa"/>
          </w:tcPr>
          <w:p w14:paraId="1F45290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660.00</w:t>
            </w:r>
          </w:p>
        </w:tc>
        <w:tc>
          <w:tcPr>
            <w:tcW w:w="929" w:type="dxa"/>
          </w:tcPr>
          <w:p w14:paraId="3B44CD4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670.00</w:t>
            </w:r>
          </w:p>
        </w:tc>
        <w:tc>
          <w:tcPr>
            <w:tcW w:w="929" w:type="dxa"/>
          </w:tcPr>
          <w:p w14:paraId="5984432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665.00</w:t>
            </w:r>
          </w:p>
        </w:tc>
        <w:tc>
          <w:tcPr>
            <w:tcW w:w="1003" w:type="dxa"/>
          </w:tcPr>
          <w:p w14:paraId="4210527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87D7C" w:rsidRPr="00DF6A15" w14:paraId="13D6136B" w14:textId="77777777" w:rsidTr="00211E46">
        <w:tc>
          <w:tcPr>
            <w:tcW w:w="1447" w:type="dxa"/>
          </w:tcPr>
          <w:p w14:paraId="35517BCA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DF6A15">
              <w:rPr>
                <w:rFonts w:ascii="Times New Roman" w:hAnsi="Times New Roman" w:cs="Times New Roman"/>
                <w:bCs/>
              </w:rPr>
              <w:t>CD  (</w:t>
            </w:r>
            <w:proofErr w:type="gramEnd"/>
            <w:r w:rsidRPr="00DF6A15">
              <w:rPr>
                <w:rFonts w:ascii="Times New Roman" w:hAnsi="Times New Roman" w:cs="Times New Roman"/>
                <w:bCs/>
              </w:rPr>
              <w:t xml:space="preserve">%) </w:t>
            </w:r>
          </w:p>
        </w:tc>
        <w:tc>
          <w:tcPr>
            <w:tcW w:w="866" w:type="dxa"/>
          </w:tcPr>
          <w:p w14:paraId="1206CAB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2.07</w:t>
            </w:r>
          </w:p>
        </w:tc>
        <w:tc>
          <w:tcPr>
            <w:tcW w:w="865" w:type="dxa"/>
          </w:tcPr>
          <w:p w14:paraId="299B187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4.43</w:t>
            </w:r>
          </w:p>
        </w:tc>
        <w:tc>
          <w:tcPr>
            <w:tcW w:w="865" w:type="dxa"/>
          </w:tcPr>
          <w:p w14:paraId="3E061BC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2.90</w:t>
            </w:r>
          </w:p>
        </w:tc>
        <w:tc>
          <w:tcPr>
            <w:tcW w:w="1123" w:type="dxa"/>
          </w:tcPr>
          <w:p w14:paraId="0B641130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6" w:type="dxa"/>
          </w:tcPr>
          <w:p w14:paraId="18F40FE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2.09</w:t>
            </w:r>
          </w:p>
        </w:tc>
        <w:tc>
          <w:tcPr>
            <w:tcW w:w="865" w:type="dxa"/>
          </w:tcPr>
          <w:p w14:paraId="6612732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2.20</w:t>
            </w:r>
          </w:p>
        </w:tc>
        <w:tc>
          <w:tcPr>
            <w:tcW w:w="1316" w:type="dxa"/>
          </w:tcPr>
          <w:p w14:paraId="6CD9348D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1.92</w:t>
            </w:r>
          </w:p>
        </w:tc>
        <w:tc>
          <w:tcPr>
            <w:tcW w:w="1123" w:type="dxa"/>
          </w:tcPr>
          <w:p w14:paraId="63C1EFB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9" w:type="dxa"/>
          </w:tcPr>
          <w:p w14:paraId="22155DD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150.78</w:t>
            </w:r>
          </w:p>
        </w:tc>
        <w:tc>
          <w:tcPr>
            <w:tcW w:w="929" w:type="dxa"/>
          </w:tcPr>
          <w:p w14:paraId="28BE3409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152.41</w:t>
            </w:r>
          </w:p>
        </w:tc>
        <w:tc>
          <w:tcPr>
            <w:tcW w:w="929" w:type="dxa"/>
          </w:tcPr>
          <w:p w14:paraId="23DF0DD2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24.98</w:t>
            </w:r>
          </w:p>
        </w:tc>
        <w:tc>
          <w:tcPr>
            <w:tcW w:w="1003" w:type="dxa"/>
          </w:tcPr>
          <w:p w14:paraId="3F21EEE1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87D7C" w:rsidRPr="00DF6A15" w14:paraId="6B58D8CE" w14:textId="77777777" w:rsidTr="00211E46">
        <w:tc>
          <w:tcPr>
            <w:tcW w:w="1447" w:type="dxa"/>
            <w:tcBorders>
              <w:bottom w:val="single" w:sz="4" w:space="0" w:color="auto"/>
            </w:tcBorders>
          </w:tcPr>
          <w:p w14:paraId="16B3B602" w14:textId="77777777" w:rsidR="00087D7C" w:rsidRPr="00DF6A15" w:rsidRDefault="00087D7C" w:rsidP="00A162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 xml:space="preserve">CV % 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75A1EC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4.03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275C8188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9.20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22E1F6D4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4.28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1C6F43D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8949E1A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5.17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58823265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5.59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5D43C90" w14:textId="77777777" w:rsidR="00087D7C" w:rsidRPr="00DF6A15" w:rsidRDefault="00087D7C" w:rsidP="00A162F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3.55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0A241B0F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62ED183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9.28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6D2857DE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9.28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FBFD237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F6A15">
              <w:rPr>
                <w:rFonts w:ascii="Times New Roman" w:hAnsi="Times New Roman" w:cs="Times New Roman"/>
                <w:bCs/>
              </w:rPr>
              <w:t>1.12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3CF0577B" w14:textId="77777777" w:rsidR="00087D7C" w:rsidRPr="00DF6A15" w:rsidRDefault="00087D7C" w:rsidP="00A162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A824FD8" w14:textId="77777777" w:rsidR="00087D7C" w:rsidRPr="00DF6A15" w:rsidRDefault="00087D7C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3DF8CD" w14:textId="77777777" w:rsidR="00087D7C" w:rsidRPr="00DF6A15" w:rsidRDefault="00087D7C" w:rsidP="00A162F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</w:rPr>
      </w:pPr>
    </w:p>
    <w:p w14:paraId="587E7017" w14:textId="77777777" w:rsidR="00262318" w:rsidRPr="00DF6A15" w:rsidRDefault="00262318" w:rsidP="00A162F1">
      <w:pPr>
        <w:spacing w:after="0" w:line="360" w:lineRule="auto"/>
        <w:ind w:left="1134" w:hanging="1134"/>
        <w:jc w:val="both"/>
      </w:pPr>
    </w:p>
    <w:p w14:paraId="584EFCB7" w14:textId="6F8821F2" w:rsidR="00087D7C" w:rsidRPr="00DF6A15" w:rsidRDefault="00087D7C" w:rsidP="00A162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087D7C" w:rsidRPr="00DF6A15" w:rsidSect="00087D7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941E7D2" w14:textId="77777777" w:rsidR="00C34C07" w:rsidRPr="00DF6A15" w:rsidRDefault="00C34C07" w:rsidP="00A162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76059" w14:textId="77777777" w:rsidR="00850373" w:rsidRPr="00DF6A15" w:rsidRDefault="00121398" w:rsidP="00A162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850373" w:rsidRPr="00DF6A15">
        <w:rPr>
          <w:rFonts w:ascii="Times New Roman" w:hAnsi="Times New Roman" w:cs="Times New Roman"/>
          <w:b/>
          <w:bCs/>
          <w:sz w:val="24"/>
          <w:szCs w:val="24"/>
        </w:rPr>
        <w:t>: Economics of different treatments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800"/>
        <w:gridCol w:w="1350"/>
        <w:gridCol w:w="1260"/>
        <w:gridCol w:w="1368"/>
      </w:tblGrid>
      <w:tr w:rsidR="00850373" w:rsidRPr="00DF6A15" w14:paraId="3DD09910" w14:textId="77777777" w:rsidTr="009211F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8E7EFE1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 xml:space="preserve">Treatments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EA516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 xml:space="preserve">CoC (Rs/ha)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41748C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 xml:space="preserve">GR (Rs/ha)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620E51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NR (ha)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7009E9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 xml:space="preserve">B:C </w:t>
            </w:r>
          </w:p>
        </w:tc>
      </w:tr>
      <w:tr w:rsidR="00850373" w:rsidRPr="00DF6A15" w14:paraId="5EC8E5D6" w14:textId="77777777" w:rsidTr="009211F4">
        <w:tc>
          <w:tcPr>
            <w:tcW w:w="3798" w:type="dxa"/>
            <w:tcBorders>
              <w:top w:val="single" w:sz="4" w:space="0" w:color="auto"/>
            </w:tcBorders>
          </w:tcPr>
          <w:p w14:paraId="068CD9FA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1</w:t>
            </w:r>
            <w:r w:rsidRPr="00DF6A15">
              <w:rPr>
                <w:bCs/>
                <w:kern w:val="24"/>
              </w:rPr>
              <w:t xml:space="preserve">: Tebuconazole 50% + </w:t>
            </w:r>
            <w:proofErr w:type="spellStart"/>
            <w:r w:rsidRPr="00DF6A15">
              <w:rPr>
                <w:bCs/>
                <w:kern w:val="24"/>
              </w:rPr>
              <w:t>trifloxystrobin</w:t>
            </w:r>
            <w:proofErr w:type="spellEnd"/>
            <w:r w:rsidRPr="00DF6A15">
              <w:rPr>
                <w:bCs/>
                <w:kern w:val="24"/>
              </w:rPr>
              <w:t xml:space="preserve"> 25% WG (ready mix) @ 1 g/l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492F32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38154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4872D3B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77155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0DF1943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39001 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9D8D751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2.02 </w:t>
            </w:r>
          </w:p>
        </w:tc>
      </w:tr>
      <w:tr w:rsidR="00850373" w:rsidRPr="00DF6A15" w14:paraId="779BC893" w14:textId="77777777" w:rsidTr="009211F4">
        <w:tc>
          <w:tcPr>
            <w:tcW w:w="3798" w:type="dxa"/>
          </w:tcPr>
          <w:p w14:paraId="5C263CE9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2</w:t>
            </w:r>
            <w:r w:rsidRPr="00DF6A15">
              <w:rPr>
                <w:bCs/>
                <w:kern w:val="24"/>
              </w:rPr>
              <w:t xml:space="preserve">: Propiconazole 25% EC @ 1 ml/l </w:t>
            </w:r>
          </w:p>
        </w:tc>
        <w:tc>
          <w:tcPr>
            <w:tcW w:w="1800" w:type="dxa"/>
          </w:tcPr>
          <w:p w14:paraId="41FBAA09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29718</w:t>
            </w:r>
          </w:p>
        </w:tc>
        <w:tc>
          <w:tcPr>
            <w:tcW w:w="1350" w:type="dxa"/>
          </w:tcPr>
          <w:p w14:paraId="6EB6EA9E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62295 </w:t>
            </w:r>
          </w:p>
        </w:tc>
        <w:tc>
          <w:tcPr>
            <w:tcW w:w="1260" w:type="dxa"/>
          </w:tcPr>
          <w:p w14:paraId="7A5396F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32577 </w:t>
            </w:r>
          </w:p>
        </w:tc>
        <w:tc>
          <w:tcPr>
            <w:tcW w:w="1368" w:type="dxa"/>
          </w:tcPr>
          <w:p w14:paraId="73D2C350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2.10 </w:t>
            </w:r>
          </w:p>
        </w:tc>
      </w:tr>
      <w:tr w:rsidR="00850373" w:rsidRPr="00DF6A15" w14:paraId="3C3AE503" w14:textId="77777777" w:rsidTr="009211F4">
        <w:tc>
          <w:tcPr>
            <w:tcW w:w="3798" w:type="dxa"/>
          </w:tcPr>
          <w:p w14:paraId="2E6A9AA0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3</w:t>
            </w:r>
            <w:r w:rsidRPr="00DF6A15">
              <w:rPr>
                <w:bCs/>
                <w:kern w:val="24"/>
              </w:rPr>
              <w:t xml:space="preserve">: </w:t>
            </w:r>
            <w:proofErr w:type="spellStart"/>
            <w:r w:rsidRPr="00DF6A15">
              <w:rPr>
                <w:bCs/>
                <w:kern w:val="24"/>
              </w:rPr>
              <w:t>Metalaxyl</w:t>
            </w:r>
            <w:proofErr w:type="spellEnd"/>
            <w:r w:rsidRPr="00DF6A15">
              <w:rPr>
                <w:bCs/>
                <w:kern w:val="24"/>
              </w:rPr>
              <w:t xml:space="preserve"> 4% + mancozeb 64% (</w:t>
            </w:r>
            <w:proofErr w:type="spellStart"/>
            <w:r w:rsidRPr="00DF6A15">
              <w:rPr>
                <w:bCs/>
                <w:kern w:val="24"/>
              </w:rPr>
              <w:t>redy</w:t>
            </w:r>
            <w:proofErr w:type="spellEnd"/>
            <w:r w:rsidRPr="00DF6A15">
              <w:rPr>
                <w:bCs/>
                <w:kern w:val="24"/>
              </w:rPr>
              <w:t xml:space="preserve"> mix) @ 0.5 g/l</w:t>
            </w:r>
          </w:p>
        </w:tc>
        <w:tc>
          <w:tcPr>
            <w:tcW w:w="1800" w:type="dxa"/>
          </w:tcPr>
          <w:p w14:paraId="4ABAC34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30042</w:t>
            </w:r>
          </w:p>
        </w:tc>
        <w:tc>
          <w:tcPr>
            <w:tcW w:w="1350" w:type="dxa"/>
          </w:tcPr>
          <w:p w14:paraId="79E1EB0E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55021 </w:t>
            </w:r>
          </w:p>
        </w:tc>
        <w:tc>
          <w:tcPr>
            <w:tcW w:w="1260" w:type="dxa"/>
          </w:tcPr>
          <w:p w14:paraId="6B0372BE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24979 </w:t>
            </w:r>
          </w:p>
        </w:tc>
        <w:tc>
          <w:tcPr>
            <w:tcW w:w="1368" w:type="dxa"/>
          </w:tcPr>
          <w:p w14:paraId="7E55CA3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1.83 </w:t>
            </w:r>
          </w:p>
        </w:tc>
      </w:tr>
      <w:tr w:rsidR="00850373" w:rsidRPr="00DF6A15" w14:paraId="74221DE8" w14:textId="77777777" w:rsidTr="009211F4">
        <w:tc>
          <w:tcPr>
            <w:tcW w:w="3798" w:type="dxa"/>
          </w:tcPr>
          <w:p w14:paraId="3A707FE1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4</w:t>
            </w:r>
            <w:r w:rsidRPr="00DF6A15">
              <w:rPr>
                <w:bCs/>
                <w:kern w:val="24"/>
              </w:rPr>
              <w:t xml:space="preserve">: Hexaconazole 5% SC @ 2 ml/l </w:t>
            </w:r>
          </w:p>
        </w:tc>
        <w:tc>
          <w:tcPr>
            <w:tcW w:w="1800" w:type="dxa"/>
          </w:tcPr>
          <w:p w14:paraId="08E6A1C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32046</w:t>
            </w:r>
          </w:p>
        </w:tc>
        <w:tc>
          <w:tcPr>
            <w:tcW w:w="1350" w:type="dxa"/>
          </w:tcPr>
          <w:p w14:paraId="12D8E3E7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59607 </w:t>
            </w:r>
          </w:p>
        </w:tc>
        <w:tc>
          <w:tcPr>
            <w:tcW w:w="1260" w:type="dxa"/>
          </w:tcPr>
          <w:p w14:paraId="25ABC68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27561 </w:t>
            </w:r>
          </w:p>
        </w:tc>
        <w:tc>
          <w:tcPr>
            <w:tcW w:w="1368" w:type="dxa"/>
          </w:tcPr>
          <w:p w14:paraId="49EBBF99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1.86 </w:t>
            </w:r>
          </w:p>
        </w:tc>
      </w:tr>
      <w:tr w:rsidR="00850373" w:rsidRPr="00DF6A15" w14:paraId="1BD46A5F" w14:textId="77777777" w:rsidTr="009211F4">
        <w:tc>
          <w:tcPr>
            <w:tcW w:w="3798" w:type="dxa"/>
          </w:tcPr>
          <w:p w14:paraId="5BE23881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5</w:t>
            </w:r>
            <w:r w:rsidRPr="00DF6A15">
              <w:rPr>
                <w:bCs/>
                <w:kern w:val="24"/>
              </w:rPr>
              <w:t xml:space="preserve">: Tebuconazole 25.9% @ 1 ml/l </w:t>
            </w:r>
          </w:p>
        </w:tc>
        <w:tc>
          <w:tcPr>
            <w:tcW w:w="1800" w:type="dxa"/>
          </w:tcPr>
          <w:p w14:paraId="109E840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28999</w:t>
            </w:r>
          </w:p>
        </w:tc>
        <w:tc>
          <w:tcPr>
            <w:tcW w:w="1350" w:type="dxa"/>
          </w:tcPr>
          <w:p w14:paraId="2C3AFDB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64566 </w:t>
            </w:r>
          </w:p>
        </w:tc>
        <w:tc>
          <w:tcPr>
            <w:tcW w:w="1260" w:type="dxa"/>
          </w:tcPr>
          <w:p w14:paraId="6E245023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35567 </w:t>
            </w:r>
          </w:p>
        </w:tc>
        <w:tc>
          <w:tcPr>
            <w:tcW w:w="1368" w:type="dxa"/>
          </w:tcPr>
          <w:p w14:paraId="022335D2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2.23 </w:t>
            </w:r>
          </w:p>
        </w:tc>
      </w:tr>
      <w:tr w:rsidR="00850373" w:rsidRPr="00DF6A15" w14:paraId="3E0F28BA" w14:textId="77777777" w:rsidTr="009211F4">
        <w:tc>
          <w:tcPr>
            <w:tcW w:w="3798" w:type="dxa"/>
          </w:tcPr>
          <w:p w14:paraId="3F01710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6</w:t>
            </w:r>
            <w:r w:rsidRPr="00DF6A15">
              <w:rPr>
                <w:bCs/>
                <w:kern w:val="24"/>
              </w:rPr>
              <w:t xml:space="preserve">: Azoxystrobin 23 SC @ 1 ml/l </w:t>
            </w:r>
          </w:p>
        </w:tc>
        <w:tc>
          <w:tcPr>
            <w:tcW w:w="1800" w:type="dxa"/>
          </w:tcPr>
          <w:p w14:paraId="3559814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28986</w:t>
            </w:r>
          </w:p>
        </w:tc>
        <w:tc>
          <w:tcPr>
            <w:tcW w:w="1350" w:type="dxa"/>
          </w:tcPr>
          <w:p w14:paraId="45C0ED3D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66945 </w:t>
            </w:r>
          </w:p>
        </w:tc>
        <w:tc>
          <w:tcPr>
            <w:tcW w:w="1260" w:type="dxa"/>
          </w:tcPr>
          <w:p w14:paraId="155A075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37959 </w:t>
            </w:r>
          </w:p>
        </w:tc>
        <w:tc>
          <w:tcPr>
            <w:tcW w:w="1368" w:type="dxa"/>
          </w:tcPr>
          <w:p w14:paraId="39D867B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2.31 </w:t>
            </w:r>
          </w:p>
        </w:tc>
      </w:tr>
      <w:tr w:rsidR="00850373" w:rsidRPr="00DF6A15" w14:paraId="7A439FC0" w14:textId="77777777" w:rsidTr="009211F4">
        <w:tc>
          <w:tcPr>
            <w:tcW w:w="3798" w:type="dxa"/>
          </w:tcPr>
          <w:p w14:paraId="669A343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textAlignment w:val="bottom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7</w:t>
            </w:r>
            <w:r w:rsidRPr="00DF6A15">
              <w:rPr>
                <w:bCs/>
                <w:kern w:val="24"/>
              </w:rPr>
              <w:t xml:space="preserve">: </w:t>
            </w:r>
            <w:proofErr w:type="spellStart"/>
            <w:r w:rsidRPr="00DF6A15">
              <w:rPr>
                <w:bCs/>
                <w:kern w:val="24"/>
              </w:rPr>
              <w:t>Trifloxytrobin</w:t>
            </w:r>
            <w:proofErr w:type="spellEnd"/>
            <w:r w:rsidRPr="00DF6A15">
              <w:rPr>
                <w:bCs/>
                <w:kern w:val="24"/>
              </w:rPr>
              <w:t xml:space="preserve"> 50% WG @ 1 g/l </w:t>
            </w:r>
          </w:p>
        </w:tc>
        <w:tc>
          <w:tcPr>
            <w:tcW w:w="1800" w:type="dxa"/>
          </w:tcPr>
          <w:p w14:paraId="44D24194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33894 </w:t>
            </w:r>
          </w:p>
        </w:tc>
        <w:tc>
          <w:tcPr>
            <w:tcW w:w="1350" w:type="dxa"/>
          </w:tcPr>
          <w:p w14:paraId="512AA08F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58000 </w:t>
            </w:r>
          </w:p>
        </w:tc>
        <w:tc>
          <w:tcPr>
            <w:tcW w:w="1260" w:type="dxa"/>
          </w:tcPr>
          <w:p w14:paraId="6B5E66F6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24106 </w:t>
            </w:r>
          </w:p>
        </w:tc>
        <w:tc>
          <w:tcPr>
            <w:tcW w:w="1368" w:type="dxa"/>
          </w:tcPr>
          <w:p w14:paraId="1FA0E37B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1.71 </w:t>
            </w:r>
          </w:p>
        </w:tc>
      </w:tr>
      <w:tr w:rsidR="00850373" w:rsidRPr="00DF6A15" w14:paraId="238F0995" w14:textId="77777777" w:rsidTr="009211F4">
        <w:tc>
          <w:tcPr>
            <w:tcW w:w="3798" w:type="dxa"/>
            <w:tcBorders>
              <w:bottom w:val="single" w:sz="4" w:space="0" w:color="auto"/>
            </w:tcBorders>
          </w:tcPr>
          <w:p w14:paraId="0F548030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</w:pPr>
            <w:r w:rsidRPr="00DF6A15">
              <w:rPr>
                <w:bCs/>
                <w:kern w:val="24"/>
              </w:rPr>
              <w:t>T</w:t>
            </w:r>
            <w:r w:rsidRPr="00DF6A15">
              <w:rPr>
                <w:bCs/>
                <w:kern w:val="24"/>
                <w:position w:val="-8"/>
                <w:vertAlign w:val="subscript"/>
              </w:rPr>
              <w:t>8</w:t>
            </w:r>
            <w:r w:rsidRPr="00DF6A15">
              <w:rPr>
                <w:bCs/>
                <w:kern w:val="24"/>
              </w:rPr>
              <w:t>: Check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C67998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</w:pPr>
            <w:r w:rsidRPr="00DF6A15">
              <w:rPr>
                <w:bCs/>
                <w:kern w:val="24"/>
              </w:rPr>
              <w:t>25629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3392FC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43225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99AB46C" w14:textId="77777777" w:rsidR="00850373" w:rsidRPr="00DF6A15" w:rsidRDefault="00850373" w:rsidP="00A162F1">
            <w:pPr>
              <w:pStyle w:val="NormalWeb"/>
              <w:spacing w:before="0" w:beforeAutospacing="0" w:after="0" w:afterAutospacing="0" w:line="360" w:lineRule="auto"/>
              <w:jc w:val="center"/>
              <w:textAlignment w:val="bottom"/>
            </w:pPr>
            <w:r w:rsidRPr="00DF6A15">
              <w:rPr>
                <w:bCs/>
                <w:kern w:val="24"/>
              </w:rPr>
              <w:t xml:space="preserve">17596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087C23" w14:textId="77777777" w:rsidR="00850373" w:rsidRPr="00DF6A15" w:rsidRDefault="00850373" w:rsidP="00A162F1">
            <w:pPr>
              <w:pStyle w:val="NormalWeb"/>
              <w:numPr>
                <w:ilvl w:val="1"/>
                <w:numId w:val="8"/>
              </w:numPr>
              <w:spacing w:before="0" w:beforeAutospacing="0" w:after="0" w:afterAutospacing="0" w:line="360" w:lineRule="auto"/>
              <w:jc w:val="center"/>
              <w:textAlignment w:val="bottom"/>
            </w:pPr>
          </w:p>
        </w:tc>
      </w:tr>
    </w:tbl>
    <w:p w14:paraId="416F5BD1" w14:textId="77777777" w:rsidR="001F4676" w:rsidRPr="00DF6A15" w:rsidRDefault="001A1598" w:rsidP="00A16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6A15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F6A15">
        <w:rPr>
          <w:rFonts w:ascii="Times New Roman" w:hAnsi="Times New Roman" w:cs="Times New Roman"/>
          <w:sz w:val="24"/>
          <w:szCs w:val="24"/>
        </w:rPr>
        <w:t>Rate of rapeseed - Rs. 65/kg</w:t>
      </w:r>
    </w:p>
    <w:p w14:paraId="68222DBA" w14:textId="77777777" w:rsidR="00063728" w:rsidRPr="00DF6A15" w:rsidRDefault="00063728" w:rsidP="00A16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411962" w14:textId="77777777" w:rsidR="00850373" w:rsidRPr="00DF6A15" w:rsidRDefault="00850373" w:rsidP="00A16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50373" w:rsidRPr="00DF6A15" w:rsidSect="0008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D3B8B" w14:textId="77777777" w:rsidR="00BA586C" w:rsidRDefault="00BA586C" w:rsidP="00172F01">
      <w:pPr>
        <w:spacing w:after="0" w:line="240" w:lineRule="auto"/>
      </w:pPr>
      <w:r>
        <w:separator/>
      </w:r>
    </w:p>
  </w:endnote>
  <w:endnote w:type="continuationSeparator" w:id="0">
    <w:p w14:paraId="604077F7" w14:textId="77777777" w:rsidR="00BA586C" w:rsidRDefault="00BA586C" w:rsidP="0017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DCC3C" w14:textId="77777777" w:rsidR="00172F01" w:rsidRDefault="00172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62555" w14:textId="77777777" w:rsidR="00172F01" w:rsidRDefault="00172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44F9" w14:textId="77777777" w:rsidR="00172F01" w:rsidRDefault="0017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143B" w14:textId="77777777" w:rsidR="00BA586C" w:rsidRDefault="00BA586C" w:rsidP="00172F01">
      <w:pPr>
        <w:spacing w:after="0" w:line="240" w:lineRule="auto"/>
      </w:pPr>
      <w:r>
        <w:separator/>
      </w:r>
    </w:p>
  </w:footnote>
  <w:footnote w:type="continuationSeparator" w:id="0">
    <w:p w14:paraId="45E745D5" w14:textId="77777777" w:rsidR="00BA586C" w:rsidRDefault="00BA586C" w:rsidP="0017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BD92" w14:textId="3D476EDE" w:rsidR="00172F01" w:rsidRDefault="00172F01">
    <w:pPr>
      <w:pStyle w:val="Header"/>
    </w:pPr>
    <w:r>
      <w:rPr>
        <w:noProof/>
      </w:rPr>
      <w:pict w14:anchorId="30FB8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231876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89A39" w14:textId="3CDAA395" w:rsidR="00172F01" w:rsidRDefault="00172F01">
    <w:pPr>
      <w:pStyle w:val="Header"/>
    </w:pPr>
    <w:r>
      <w:rPr>
        <w:noProof/>
      </w:rPr>
      <w:pict w14:anchorId="0B8D0A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231877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AEC5B" w14:textId="04008333" w:rsidR="00172F01" w:rsidRDefault="00172F01">
    <w:pPr>
      <w:pStyle w:val="Header"/>
    </w:pPr>
    <w:r>
      <w:rPr>
        <w:noProof/>
      </w:rPr>
      <w:pict w14:anchorId="6F0A94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231875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ABA"/>
    <w:multiLevelType w:val="hybridMultilevel"/>
    <w:tmpl w:val="53ECEBCA"/>
    <w:lvl w:ilvl="0" w:tplc="6714E2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A33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69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848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86A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EC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BB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EA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384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3D1"/>
    <w:multiLevelType w:val="multilevel"/>
    <w:tmpl w:val="67E2D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811EC1"/>
    <w:multiLevelType w:val="hybridMultilevel"/>
    <w:tmpl w:val="7D5217C4"/>
    <w:lvl w:ilvl="0" w:tplc="766EBA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E72"/>
    <w:multiLevelType w:val="multilevel"/>
    <w:tmpl w:val="0C7A1D32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F3873"/>
    <w:multiLevelType w:val="hybridMultilevel"/>
    <w:tmpl w:val="695C6F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7139"/>
    <w:multiLevelType w:val="hybridMultilevel"/>
    <w:tmpl w:val="9706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583D"/>
    <w:multiLevelType w:val="hybridMultilevel"/>
    <w:tmpl w:val="9DAE9C3C"/>
    <w:lvl w:ilvl="0" w:tplc="BF84D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17B8"/>
    <w:multiLevelType w:val="hybridMultilevel"/>
    <w:tmpl w:val="497229BA"/>
    <w:lvl w:ilvl="0" w:tplc="3378D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AA1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01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A94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FEFB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8F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26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00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40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8714C"/>
    <w:multiLevelType w:val="multilevel"/>
    <w:tmpl w:val="A2E836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5738D5"/>
    <w:multiLevelType w:val="hybridMultilevel"/>
    <w:tmpl w:val="09041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70AA"/>
    <w:multiLevelType w:val="multilevel"/>
    <w:tmpl w:val="FFF26FB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F71B9C"/>
    <w:multiLevelType w:val="multilevel"/>
    <w:tmpl w:val="97C02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04658C"/>
    <w:multiLevelType w:val="hybridMultilevel"/>
    <w:tmpl w:val="25EAF790"/>
    <w:lvl w:ilvl="0" w:tplc="1B7CDC1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6A0A58"/>
    <w:multiLevelType w:val="hybridMultilevel"/>
    <w:tmpl w:val="E9E24594"/>
    <w:lvl w:ilvl="0" w:tplc="B8E0DA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C20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05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A5D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EB6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60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2FE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5E2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4F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010BB"/>
    <w:multiLevelType w:val="hybridMultilevel"/>
    <w:tmpl w:val="EC26EAD8"/>
    <w:lvl w:ilvl="0" w:tplc="16B202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0CB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C5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A55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EC6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E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20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24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2B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3648D"/>
    <w:multiLevelType w:val="hybridMultilevel"/>
    <w:tmpl w:val="49D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768A4"/>
    <w:multiLevelType w:val="hybridMultilevel"/>
    <w:tmpl w:val="38441996"/>
    <w:lvl w:ilvl="0" w:tplc="022C9F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848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E5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EC4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86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0025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2C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441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DC1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16"/>
  </w:num>
  <w:num w:numId="6">
    <w:abstractNumId w:val="2"/>
  </w:num>
  <w:num w:numId="7">
    <w:abstractNumId w:val="12"/>
  </w:num>
  <w:num w:numId="8">
    <w:abstractNumId w:val="8"/>
  </w:num>
  <w:num w:numId="9">
    <w:abstractNumId w:val="15"/>
  </w:num>
  <w:num w:numId="10">
    <w:abstractNumId w:val="5"/>
  </w:num>
  <w:num w:numId="11">
    <w:abstractNumId w:val="1"/>
  </w:num>
  <w:num w:numId="12">
    <w:abstractNumId w:val="4"/>
  </w:num>
  <w:num w:numId="13">
    <w:abstractNumId w:val="9"/>
  </w:num>
  <w:num w:numId="14">
    <w:abstractNumId w:val="6"/>
  </w:num>
  <w:num w:numId="15">
    <w:abstractNumId w:val="1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73"/>
    <w:rsid w:val="00003214"/>
    <w:rsid w:val="00010529"/>
    <w:rsid w:val="0001175E"/>
    <w:rsid w:val="00011CFB"/>
    <w:rsid w:val="00011F79"/>
    <w:rsid w:val="000222A3"/>
    <w:rsid w:val="00022D18"/>
    <w:rsid w:val="0003022D"/>
    <w:rsid w:val="00037D0A"/>
    <w:rsid w:val="00050358"/>
    <w:rsid w:val="00063728"/>
    <w:rsid w:val="000644C2"/>
    <w:rsid w:val="00064A18"/>
    <w:rsid w:val="000701E0"/>
    <w:rsid w:val="0007058A"/>
    <w:rsid w:val="00073B3E"/>
    <w:rsid w:val="00074E18"/>
    <w:rsid w:val="00087D7C"/>
    <w:rsid w:val="00090E0F"/>
    <w:rsid w:val="000B636D"/>
    <w:rsid w:val="000B7784"/>
    <w:rsid w:val="000C70E4"/>
    <w:rsid w:val="000E589A"/>
    <w:rsid w:val="000F185C"/>
    <w:rsid w:val="00103067"/>
    <w:rsid w:val="00104263"/>
    <w:rsid w:val="00105FA1"/>
    <w:rsid w:val="00121398"/>
    <w:rsid w:val="0012446E"/>
    <w:rsid w:val="00143AC8"/>
    <w:rsid w:val="00157BDF"/>
    <w:rsid w:val="00160279"/>
    <w:rsid w:val="00172F01"/>
    <w:rsid w:val="00173353"/>
    <w:rsid w:val="00175DCB"/>
    <w:rsid w:val="00187E0D"/>
    <w:rsid w:val="00193D00"/>
    <w:rsid w:val="001A0903"/>
    <w:rsid w:val="001A1598"/>
    <w:rsid w:val="001A1EB3"/>
    <w:rsid w:val="001B2EC1"/>
    <w:rsid w:val="001B3271"/>
    <w:rsid w:val="001C0019"/>
    <w:rsid w:val="001C1C05"/>
    <w:rsid w:val="001E33A9"/>
    <w:rsid w:val="001F4396"/>
    <w:rsid w:val="001F4676"/>
    <w:rsid w:val="00206DDC"/>
    <w:rsid w:val="002077CB"/>
    <w:rsid w:val="00211D32"/>
    <w:rsid w:val="00217738"/>
    <w:rsid w:val="00217BC0"/>
    <w:rsid w:val="00230F31"/>
    <w:rsid w:val="00237CCA"/>
    <w:rsid w:val="00262318"/>
    <w:rsid w:val="002644E1"/>
    <w:rsid w:val="002666FB"/>
    <w:rsid w:val="002705FC"/>
    <w:rsid w:val="0028074A"/>
    <w:rsid w:val="002837CD"/>
    <w:rsid w:val="0028398E"/>
    <w:rsid w:val="002A35CE"/>
    <w:rsid w:val="002A4104"/>
    <w:rsid w:val="002A4265"/>
    <w:rsid w:val="002A7603"/>
    <w:rsid w:val="002D7E2C"/>
    <w:rsid w:val="002E4FCF"/>
    <w:rsid w:val="002E777E"/>
    <w:rsid w:val="002F2DE8"/>
    <w:rsid w:val="00311DFB"/>
    <w:rsid w:val="00315D23"/>
    <w:rsid w:val="003223E8"/>
    <w:rsid w:val="00326697"/>
    <w:rsid w:val="0033009F"/>
    <w:rsid w:val="00330E67"/>
    <w:rsid w:val="0033487D"/>
    <w:rsid w:val="00346917"/>
    <w:rsid w:val="003513C5"/>
    <w:rsid w:val="003544D3"/>
    <w:rsid w:val="003567DE"/>
    <w:rsid w:val="003612EE"/>
    <w:rsid w:val="003648FF"/>
    <w:rsid w:val="00367CDF"/>
    <w:rsid w:val="0037218D"/>
    <w:rsid w:val="003752DE"/>
    <w:rsid w:val="00382A7B"/>
    <w:rsid w:val="00390A2A"/>
    <w:rsid w:val="00393EB6"/>
    <w:rsid w:val="003974A8"/>
    <w:rsid w:val="003A3EF2"/>
    <w:rsid w:val="003B12FB"/>
    <w:rsid w:val="003B1E4B"/>
    <w:rsid w:val="003B61B9"/>
    <w:rsid w:val="003D2490"/>
    <w:rsid w:val="003D3387"/>
    <w:rsid w:val="003E4588"/>
    <w:rsid w:val="00400E1C"/>
    <w:rsid w:val="00410DD0"/>
    <w:rsid w:val="00425456"/>
    <w:rsid w:val="0044634C"/>
    <w:rsid w:val="00447E7D"/>
    <w:rsid w:val="004513AF"/>
    <w:rsid w:val="00452D18"/>
    <w:rsid w:val="00465387"/>
    <w:rsid w:val="00467556"/>
    <w:rsid w:val="0046791C"/>
    <w:rsid w:val="00477839"/>
    <w:rsid w:val="00480412"/>
    <w:rsid w:val="00491D84"/>
    <w:rsid w:val="004A22B0"/>
    <w:rsid w:val="004A2FD3"/>
    <w:rsid w:val="004B4409"/>
    <w:rsid w:val="004C1A51"/>
    <w:rsid w:val="004C4AF8"/>
    <w:rsid w:val="004D1C17"/>
    <w:rsid w:val="004D603D"/>
    <w:rsid w:val="004F0A04"/>
    <w:rsid w:val="004F3523"/>
    <w:rsid w:val="004F4EA0"/>
    <w:rsid w:val="005126FE"/>
    <w:rsid w:val="00520C76"/>
    <w:rsid w:val="00527B20"/>
    <w:rsid w:val="0053605D"/>
    <w:rsid w:val="00560F75"/>
    <w:rsid w:val="0057523D"/>
    <w:rsid w:val="0058051A"/>
    <w:rsid w:val="00585F9C"/>
    <w:rsid w:val="00591500"/>
    <w:rsid w:val="00595EC4"/>
    <w:rsid w:val="005961FD"/>
    <w:rsid w:val="005A4066"/>
    <w:rsid w:val="005B467D"/>
    <w:rsid w:val="005C07E8"/>
    <w:rsid w:val="005C38F9"/>
    <w:rsid w:val="005D19B3"/>
    <w:rsid w:val="005E0F38"/>
    <w:rsid w:val="005E15A8"/>
    <w:rsid w:val="005E75A7"/>
    <w:rsid w:val="00606F0F"/>
    <w:rsid w:val="006078D1"/>
    <w:rsid w:val="006167FF"/>
    <w:rsid w:val="00617058"/>
    <w:rsid w:val="00625797"/>
    <w:rsid w:val="00626619"/>
    <w:rsid w:val="006311C3"/>
    <w:rsid w:val="00634112"/>
    <w:rsid w:val="00636A50"/>
    <w:rsid w:val="00643747"/>
    <w:rsid w:val="00651431"/>
    <w:rsid w:val="00660D00"/>
    <w:rsid w:val="00671165"/>
    <w:rsid w:val="00672FE1"/>
    <w:rsid w:val="00681157"/>
    <w:rsid w:val="00684496"/>
    <w:rsid w:val="00687A54"/>
    <w:rsid w:val="006909F5"/>
    <w:rsid w:val="006C1556"/>
    <w:rsid w:val="006C6BAE"/>
    <w:rsid w:val="006D57F2"/>
    <w:rsid w:val="006D7F1F"/>
    <w:rsid w:val="006F606B"/>
    <w:rsid w:val="00704557"/>
    <w:rsid w:val="00707271"/>
    <w:rsid w:val="0071336A"/>
    <w:rsid w:val="00722F10"/>
    <w:rsid w:val="00724D41"/>
    <w:rsid w:val="00725046"/>
    <w:rsid w:val="00725F17"/>
    <w:rsid w:val="00726262"/>
    <w:rsid w:val="0074796F"/>
    <w:rsid w:val="007627D6"/>
    <w:rsid w:val="0077312F"/>
    <w:rsid w:val="00783C21"/>
    <w:rsid w:val="007A7FF7"/>
    <w:rsid w:val="007B610B"/>
    <w:rsid w:val="007C5D28"/>
    <w:rsid w:val="007E0AC2"/>
    <w:rsid w:val="007E1A96"/>
    <w:rsid w:val="007E3DC9"/>
    <w:rsid w:val="007E47E9"/>
    <w:rsid w:val="007E6A7D"/>
    <w:rsid w:val="007F0197"/>
    <w:rsid w:val="007F0F91"/>
    <w:rsid w:val="007F4130"/>
    <w:rsid w:val="008219E8"/>
    <w:rsid w:val="00824D13"/>
    <w:rsid w:val="0082761C"/>
    <w:rsid w:val="00850373"/>
    <w:rsid w:val="0085178C"/>
    <w:rsid w:val="00860549"/>
    <w:rsid w:val="00861EEE"/>
    <w:rsid w:val="008744F2"/>
    <w:rsid w:val="008745F0"/>
    <w:rsid w:val="00885029"/>
    <w:rsid w:val="008875F9"/>
    <w:rsid w:val="00895BD6"/>
    <w:rsid w:val="00897E33"/>
    <w:rsid w:val="008B4244"/>
    <w:rsid w:val="008C5791"/>
    <w:rsid w:val="008C691A"/>
    <w:rsid w:val="008D1552"/>
    <w:rsid w:val="009040BE"/>
    <w:rsid w:val="00904769"/>
    <w:rsid w:val="00905003"/>
    <w:rsid w:val="0091095E"/>
    <w:rsid w:val="00912577"/>
    <w:rsid w:val="009211F4"/>
    <w:rsid w:val="0092138D"/>
    <w:rsid w:val="00925A53"/>
    <w:rsid w:val="00926FBA"/>
    <w:rsid w:val="009316E3"/>
    <w:rsid w:val="0093523D"/>
    <w:rsid w:val="00940DFC"/>
    <w:rsid w:val="00955F10"/>
    <w:rsid w:val="009614EB"/>
    <w:rsid w:val="00982467"/>
    <w:rsid w:val="00987345"/>
    <w:rsid w:val="009A02D9"/>
    <w:rsid w:val="009A5930"/>
    <w:rsid w:val="009B521F"/>
    <w:rsid w:val="009C57B7"/>
    <w:rsid w:val="009C5E23"/>
    <w:rsid w:val="009C7A61"/>
    <w:rsid w:val="009D135B"/>
    <w:rsid w:val="009D5EC0"/>
    <w:rsid w:val="009F0ECC"/>
    <w:rsid w:val="009F548E"/>
    <w:rsid w:val="00A0059C"/>
    <w:rsid w:val="00A03063"/>
    <w:rsid w:val="00A100E8"/>
    <w:rsid w:val="00A104B5"/>
    <w:rsid w:val="00A116D5"/>
    <w:rsid w:val="00A1278C"/>
    <w:rsid w:val="00A13EDF"/>
    <w:rsid w:val="00A1456C"/>
    <w:rsid w:val="00A162F1"/>
    <w:rsid w:val="00A3326D"/>
    <w:rsid w:val="00A36C37"/>
    <w:rsid w:val="00A47B98"/>
    <w:rsid w:val="00A717D6"/>
    <w:rsid w:val="00A851F0"/>
    <w:rsid w:val="00A856CB"/>
    <w:rsid w:val="00AA4A35"/>
    <w:rsid w:val="00AA5806"/>
    <w:rsid w:val="00AB18F1"/>
    <w:rsid w:val="00AC1470"/>
    <w:rsid w:val="00AC6F8F"/>
    <w:rsid w:val="00AE20F7"/>
    <w:rsid w:val="00B008C3"/>
    <w:rsid w:val="00B0231F"/>
    <w:rsid w:val="00B22CEA"/>
    <w:rsid w:val="00B259DB"/>
    <w:rsid w:val="00B26B0F"/>
    <w:rsid w:val="00B30A95"/>
    <w:rsid w:val="00B349FC"/>
    <w:rsid w:val="00B35F5D"/>
    <w:rsid w:val="00B44CAF"/>
    <w:rsid w:val="00B45FFE"/>
    <w:rsid w:val="00B46DFB"/>
    <w:rsid w:val="00B5775C"/>
    <w:rsid w:val="00B707E6"/>
    <w:rsid w:val="00B76664"/>
    <w:rsid w:val="00BA52F8"/>
    <w:rsid w:val="00BA586C"/>
    <w:rsid w:val="00BE5D20"/>
    <w:rsid w:val="00BE5E0E"/>
    <w:rsid w:val="00BE7AD6"/>
    <w:rsid w:val="00BF2532"/>
    <w:rsid w:val="00BF3C2C"/>
    <w:rsid w:val="00C2496E"/>
    <w:rsid w:val="00C27E91"/>
    <w:rsid w:val="00C34C07"/>
    <w:rsid w:val="00C42FE9"/>
    <w:rsid w:val="00C551D3"/>
    <w:rsid w:val="00C666A7"/>
    <w:rsid w:val="00C738CB"/>
    <w:rsid w:val="00C9023B"/>
    <w:rsid w:val="00C94C6F"/>
    <w:rsid w:val="00CA14C5"/>
    <w:rsid w:val="00CA1BB4"/>
    <w:rsid w:val="00CA5FED"/>
    <w:rsid w:val="00CB1603"/>
    <w:rsid w:val="00CB36B4"/>
    <w:rsid w:val="00CB70B9"/>
    <w:rsid w:val="00CD5B44"/>
    <w:rsid w:val="00CD7504"/>
    <w:rsid w:val="00CE2E59"/>
    <w:rsid w:val="00D10F4B"/>
    <w:rsid w:val="00D35D43"/>
    <w:rsid w:val="00D41FA3"/>
    <w:rsid w:val="00D46DE8"/>
    <w:rsid w:val="00D558F4"/>
    <w:rsid w:val="00D5614E"/>
    <w:rsid w:val="00D57B36"/>
    <w:rsid w:val="00D62F0A"/>
    <w:rsid w:val="00D706D2"/>
    <w:rsid w:val="00D77269"/>
    <w:rsid w:val="00D82A9A"/>
    <w:rsid w:val="00D906EC"/>
    <w:rsid w:val="00D95F1B"/>
    <w:rsid w:val="00DA3F13"/>
    <w:rsid w:val="00DB5AAE"/>
    <w:rsid w:val="00DB643A"/>
    <w:rsid w:val="00DD0C51"/>
    <w:rsid w:val="00DD422B"/>
    <w:rsid w:val="00DE08C5"/>
    <w:rsid w:val="00DF5574"/>
    <w:rsid w:val="00DF6A15"/>
    <w:rsid w:val="00E0423D"/>
    <w:rsid w:val="00E12137"/>
    <w:rsid w:val="00E1271D"/>
    <w:rsid w:val="00E14A72"/>
    <w:rsid w:val="00E15B1A"/>
    <w:rsid w:val="00E16992"/>
    <w:rsid w:val="00E1701F"/>
    <w:rsid w:val="00E210F0"/>
    <w:rsid w:val="00E2229C"/>
    <w:rsid w:val="00E228A8"/>
    <w:rsid w:val="00E24B9E"/>
    <w:rsid w:val="00E2705C"/>
    <w:rsid w:val="00E30CF7"/>
    <w:rsid w:val="00E33782"/>
    <w:rsid w:val="00E36975"/>
    <w:rsid w:val="00E47ABD"/>
    <w:rsid w:val="00E56FF1"/>
    <w:rsid w:val="00E61842"/>
    <w:rsid w:val="00E640F2"/>
    <w:rsid w:val="00E65338"/>
    <w:rsid w:val="00E74A99"/>
    <w:rsid w:val="00E84EFB"/>
    <w:rsid w:val="00E87284"/>
    <w:rsid w:val="00E9274C"/>
    <w:rsid w:val="00EA02A7"/>
    <w:rsid w:val="00EB1201"/>
    <w:rsid w:val="00EC006F"/>
    <w:rsid w:val="00EE0203"/>
    <w:rsid w:val="00EE297B"/>
    <w:rsid w:val="00EF155D"/>
    <w:rsid w:val="00EF31CA"/>
    <w:rsid w:val="00F047B4"/>
    <w:rsid w:val="00F05A79"/>
    <w:rsid w:val="00F11F4A"/>
    <w:rsid w:val="00F20753"/>
    <w:rsid w:val="00F26206"/>
    <w:rsid w:val="00F347B7"/>
    <w:rsid w:val="00F61C28"/>
    <w:rsid w:val="00F715CA"/>
    <w:rsid w:val="00F730A9"/>
    <w:rsid w:val="00F817DD"/>
    <w:rsid w:val="00F82863"/>
    <w:rsid w:val="00F91350"/>
    <w:rsid w:val="00FB2682"/>
    <w:rsid w:val="00FD24A2"/>
    <w:rsid w:val="00FD59CE"/>
    <w:rsid w:val="00FD7792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5D4B08"/>
  <w15:docId w15:val="{43B17203-B159-4B99-9A92-D00377B8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0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1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7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9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F01"/>
  </w:style>
  <w:style w:type="paragraph" w:styleId="Footer">
    <w:name w:val="footer"/>
    <w:basedOn w:val="Normal"/>
    <w:link w:val="FooterChar"/>
    <w:uiPriority w:val="99"/>
    <w:unhideWhenUsed/>
    <w:rsid w:val="0017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crop-protec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iti.gov.in/sites/default/files/2024-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crop-protection/vol/187/suppl/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2CEC-2705-4375-88D5-1C4DE46F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11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1180</cp:lastModifiedBy>
  <cp:revision>279</cp:revision>
  <dcterms:created xsi:type="dcterms:W3CDTF">2023-07-12T05:07:00Z</dcterms:created>
  <dcterms:modified xsi:type="dcterms:W3CDTF">2025-11-03T07:40:00Z</dcterms:modified>
</cp:coreProperties>
</file>