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19230" w14:textId="4FBFBAEB" w:rsidR="008B026A" w:rsidRDefault="00587BF7" w:rsidP="006E3261">
      <w:pPr>
        <w:pStyle w:val="Heading3"/>
        <w:spacing w:line="240" w:lineRule="auto"/>
        <w:jc w:val="both"/>
        <w:rPr>
          <w:rFonts w:ascii="Times New Roman" w:hAnsi="Times New Roman" w:cs="Times New Roman"/>
          <w:b/>
          <w:color w:val="auto"/>
        </w:rPr>
      </w:pPr>
      <w:r w:rsidRPr="00550A66">
        <w:rPr>
          <w:rFonts w:ascii="Times New Roman" w:hAnsi="Times New Roman" w:cs="Times New Roman"/>
          <w:b/>
          <w:color w:val="auto"/>
        </w:rPr>
        <w:t>Uses</w:t>
      </w:r>
      <w:r w:rsidR="00711A48" w:rsidRPr="00550A66">
        <w:rPr>
          <w:rFonts w:ascii="Times New Roman" w:hAnsi="Times New Roman" w:cs="Times New Roman"/>
          <w:b/>
          <w:color w:val="auto"/>
        </w:rPr>
        <w:t xml:space="preserve"> of plant species and its impact in Agadez </w:t>
      </w:r>
      <w:r w:rsidR="006D3D65" w:rsidRPr="00550A66">
        <w:rPr>
          <w:rFonts w:ascii="Times New Roman" w:hAnsi="Times New Roman" w:cs="Times New Roman"/>
          <w:b/>
          <w:color w:val="auto"/>
        </w:rPr>
        <w:t xml:space="preserve">locality </w:t>
      </w:r>
      <w:r w:rsidR="00711A48" w:rsidRPr="00550A66">
        <w:rPr>
          <w:rFonts w:ascii="Times New Roman" w:hAnsi="Times New Roman" w:cs="Times New Roman"/>
          <w:b/>
          <w:color w:val="auto"/>
        </w:rPr>
        <w:t>(</w:t>
      </w:r>
      <w:r w:rsidR="008B026A" w:rsidRPr="00550A66">
        <w:rPr>
          <w:rFonts w:ascii="Times New Roman" w:hAnsi="Times New Roman" w:cs="Times New Roman"/>
          <w:b/>
          <w:color w:val="auto"/>
        </w:rPr>
        <w:t>Niger</w:t>
      </w:r>
      <w:r w:rsidR="00711A48" w:rsidRPr="00550A66">
        <w:rPr>
          <w:rFonts w:ascii="Times New Roman" w:hAnsi="Times New Roman" w:cs="Times New Roman"/>
          <w:b/>
          <w:color w:val="auto"/>
        </w:rPr>
        <w:t>)</w:t>
      </w:r>
    </w:p>
    <w:p w14:paraId="5BAB9891" w14:textId="77777777" w:rsidR="00587BF7" w:rsidRPr="00587BF7" w:rsidRDefault="00587BF7" w:rsidP="00587BF7"/>
    <w:p w14:paraId="6C880C24" w14:textId="77777777" w:rsidR="00587BF7" w:rsidRPr="00550A66" w:rsidRDefault="00587BF7" w:rsidP="006E3261">
      <w:pPr>
        <w:spacing w:before="40" w:after="0"/>
        <w:jc w:val="both"/>
        <w:rPr>
          <w:rFonts w:ascii="Times New Roman" w:hAnsi="Times New Roman" w:cs="Times New Roman"/>
          <w:sz w:val="24"/>
          <w:szCs w:val="24"/>
        </w:rPr>
      </w:pPr>
      <w:bookmarkStart w:id="0" w:name="_GoBack"/>
      <w:bookmarkEnd w:id="0"/>
    </w:p>
    <w:p w14:paraId="116AFD90" w14:textId="77777777" w:rsidR="00A7703F" w:rsidRPr="00550A66" w:rsidRDefault="005D491A" w:rsidP="006E3261">
      <w:pPr>
        <w:spacing w:before="40" w:after="0"/>
        <w:jc w:val="both"/>
        <w:rPr>
          <w:rFonts w:ascii="Times New Roman" w:hAnsi="Times New Roman" w:cs="Times New Roman"/>
          <w:b/>
          <w:sz w:val="24"/>
          <w:szCs w:val="24"/>
        </w:rPr>
      </w:pPr>
      <w:r w:rsidRPr="00550A66">
        <w:rPr>
          <w:rFonts w:ascii="Times New Roman" w:hAnsi="Times New Roman" w:cs="Times New Roman"/>
          <w:b/>
          <w:sz w:val="24"/>
          <w:szCs w:val="24"/>
        </w:rPr>
        <w:t xml:space="preserve">Abstract </w:t>
      </w:r>
    </w:p>
    <w:p w14:paraId="508E40F9" w14:textId="77777777" w:rsidR="00ED68BE" w:rsidRPr="00550A66" w:rsidRDefault="002D57AB" w:rsidP="00ED68BE">
      <w:pPr>
        <w:jc w:val="both"/>
        <w:rPr>
          <w:rFonts w:ascii="Times New Roman" w:hAnsi="Times New Roman" w:cs="Times New Roman"/>
          <w:sz w:val="24"/>
          <w:szCs w:val="24"/>
        </w:rPr>
      </w:pPr>
      <w:r w:rsidRPr="00550A66">
        <w:rPr>
          <w:rFonts w:ascii="Times New Roman" w:hAnsi="Times New Roman" w:cs="Times New Roman"/>
          <w:sz w:val="24"/>
          <w:szCs w:val="24"/>
        </w:rPr>
        <w:t>Climate change combined with</w:t>
      </w:r>
      <w:r w:rsidR="00ED68BE" w:rsidRPr="00550A66">
        <w:rPr>
          <w:rFonts w:ascii="Times New Roman" w:hAnsi="Times New Roman" w:cs="Times New Roman"/>
          <w:sz w:val="24"/>
          <w:szCs w:val="24"/>
        </w:rPr>
        <w:t xml:space="preserve"> </w:t>
      </w:r>
      <w:r w:rsidRPr="00550A66">
        <w:rPr>
          <w:rFonts w:ascii="Times New Roman" w:hAnsi="Times New Roman" w:cs="Times New Roman"/>
          <w:sz w:val="24"/>
          <w:szCs w:val="24"/>
        </w:rPr>
        <w:t xml:space="preserve">under </w:t>
      </w:r>
      <w:r w:rsidR="00ED68BE" w:rsidRPr="00550A66">
        <w:rPr>
          <w:rFonts w:ascii="Times New Roman" w:hAnsi="Times New Roman" w:cs="Times New Roman"/>
          <w:sz w:val="24"/>
          <w:szCs w:val="24"/>
        </w:rPr>
        <w:t>exploitation of plant resources impacts plant density and diversity in arid environments. To collect data, an individual ethnobotanical survey was conducted among 90 people in the area, including 30 people per village of both sexes, in order to identify the various activities that impact vegetation, the different management methods, the species most important to the local population, and the contribution of income from plant resources to the promotion of socio-economic activities. This study shows that wood cutting is the activity that has the greatest impact on vegetation.</w:t>
      </w:r>
      <w:r w:rsidR="00D22568" w:rsidRPr="00550A66">
        <w:rPr>
          <w:rFonts w:ascii="Times New Roman" w:hAnsi="Times New Roman" w:cs="Times New Roman"/>
          <w:sz w:val="24"/>
          <w:szCs w:val="24"/>
        </w:rPr>
        <w:t xml:space="preserve"> People surveyed, 98% confirmed that the vegetation cover has decreased and 18 species have been recorded as extinct. The five species extinct species with high frequencies are</w:t>
      </w:r>
      <w:r w:rsidR="00D22568" w:rsidRPr="00550A66">
        <w:rPr>
          <w:rFonts w:ascii="Times New Roman" w:hAnsi="Times New Roman" w:cs="Times New Roman"/>
          <w:i/>
          <w:sz w:val="24"/>
          <w:szCs w:val="24"/>
        </w:rPr>
        <w:t xml:space="preserve"> Guiera senegalensis</w:t>
      </w:r>
      <w:r w:rsidR="00D22568" w:rsidRPr="00550A66">
        <w:rPr>
          <w:rFonts w:ascii="Times New Roman" w:hAnsi="Times New Roman" w:cs="Times New Roman"/>
          <w:sz w:val="24"/>
          <w:szCs w:val="24"/>
        </w:rPr>
        <w:t xml:space="preserve"> J. F. Gmel., </w:t>
      </w:r>
      <w:r w:rsidR="00D22568" w:rsidRPr="00550A66">
        <w:rPr>
          <w:rFonts w:ascii="Times New Roman" w:hAnsi="Times New Roman" w:cs="Times New Roman"/>
          <w:i/>
          <w:sz w:val="24"/>
          <w:szCs w:val="24"/>
        </w:rPr>
        <w:t>Leptadenia pyrotechnica</w:t>
      </w:r>
      <w:r w:rsidR="00D22568" w:rsidRPr="00550A66">
        <w:rPr>
          <w:rFonts w:ascii="Times New Roman" w:hAnsi="Times New Roman" w:cs="Times New Roman"/>
          <w:sz w:val="24"/>
          <w:szCs w:val="24"/>
        </w:rPr>
        <w:t xml:space="preserve"> (Forsk.) Decne., </w:t>
      </w:r>
      <w:r w:rsidR="00D22568" w:rsidRPr="00550A66">
        <w:rPr>
          <w:rFonts w:ascii="Times New Roman" w:hAnsi="Times New Roman" w:cs="Times New Roman"/>
          <w:i/>
          <w:sz w:val="24"/>
          <w:szCs w:val="24"/>
        </w:rPr>
        <w:t>Piliostigma reticulatum</w:t>
      </w:r>
      <w:r w:rsidR="00D22568" w:rsidRPr="00550A66">
        <w:rPr>
          <w:rFonts w:ascii="Times New Roman" w:hAnsi="Times New Roman" w:cs="Times New Roman"/>
          <w:sz w:val="24"/>
          <w:szCs w:val="24"/>
        </w:rPr>
        <w:t xml:space="preserve"> (DC.) Hochst.</w:t>
      </w:r>
      <w:r w:rsidR="00ED68BE" w:rsidRPr="00550A66">
        <w:rPr>
          <w:rFonts w:ascii="Times New Roman" w:hAnsi="Times New Roman" w:cs="Times New Roman"/>
          <w:sz w:val="24"/>
          <w:szCs w:val="24"/>
        </w:rPr>
        <w:t>Among the practices learned by the population for vegetation conservation, assisted natural regeneration (ANR) is the most widely taught and also the most widely practiced for conservation and improvement of tree density. Fifteen plant species are used for human consumption, 15 plant species are also used as fodder, and 32 species are used in pharmacopoeia. Income from plant resources contributes to impr</w:t>
      </w:r>
      <w:r w:rsidR="005D491A" w:rsidRPr="00550A66">
        <w:rPr>
          <w:rFonts w:ascii="Times New Roman" w:hAnsi="Times New Roman" w:cs="Times New Roman"/>
          <w:sz w:val="24"/>
          <w:szCs w:val="24"/>
        </w:rPr>
        <w:t xml:space="preserve">oving the population's quality </w:t>
      </w:r>
    </w:p>
    <w:p w14:paraId="7C5F6B1E" w14:textId="77777777" w:rsidR="00357BCF" w:rsidRPr="00550A66" w:rsidRDefault="00357BCF" w:rsidP="00ED68BE">
      <w:pPr>
        <w:jc w:val="both"/>
        <w:rPr>
          <w:rFonts w:ascii="Times New Roman" w:hAnsi="Times New Roman" w:cs="Times New Roman"/>
          <w:sz w:val="24"/>
          <w:szCs w:val="24"/>
        </w:rPr>
      </w:pPr>
      <w:r w:rsidRPr="00550A66">
        <w:rPr>
          <w:rFonts w:ascii="Times New Roman" w:hAnsi="Times New Roman" w:cs="Times New Roman"/>
          <w:b/>
          <w:sz w:val="24"/>
          <w:szCs w:val="24"/>
        </w:rPr>
        <w:t>Keywords :</w:t>
      </w:r>
      <w:r w:rsidRPr="00550A66">
        <w:rPr>
          <w:rFonts w:ascii="Times New Roman" w:hAnsi="Times New Roman" w:cs="Times New Roman"/>
          <w:sz w:val="24"/>
          <w:szCs w:val="24"/>
        </w:rPr>
        <w:t xml:space="preserve"> Species, Use value, </w:t>
      </w:r>
      <w:r w:rsidR="001F08B5" w:rsidRPr="00550A66">
        <w:rPr>
          <w:rFonts w:ascii="Times New Roman" w:hAnsi="Times New Roman" w:cs="Times New Roman"/>
          <w:sz w:val="24"/>
          <w:szCs w:val="24"/>
        </w:rPr>
        <w:t xml:space="preserve">ecosystem service, </w:t>
      </w:r>
      <w:r w:rsidRPr="00550A66">
        <w:rPr>
          <w:rFonts w:ascii="Times New Roman" w:hAnsi="Times New Roman" w:cs="Times New Roman"/>
          <w:sz w:val="24"/>
          <w:szCs w:val="24"/>
        </w:rPr>
        <w:t xml:space="preserve">Agadez,  </w:t>
      </w:r>
    </w:p>
    <w:p w14:paraId="739D55DB" w14:textId="77777777" w:rsidR="00ED68BE" w:rsidRPr="00550A66" w:rsidRDefault="00ED68BE" w:rsidP="00ED68BE">
      <w:pPr>
        <w:jc w:val="both"/>
        <w:rPr>
          <w:rFonts w:ascii="Times New Roman" w:hAnsi="Times New Roman" w:cs="Times New Roman"/>
          <w:b/>
          <w:sz w:val="24"/>
          <w:szCs w:val="24"/>
        </w:rPr>
      </w:pPr>
      <w:r w:rsidRPr="00550A66">
        <w:rPr>
          <w:rFonts w:ascii="Times New Roman" w:hAnsi="Times New Roman" w:cs="Times New Roman"/>
          <w:b/>
          <w:sz w:val="24"/>
          <w:szCs w:val="24"/>
        </w:rPr>
        <w:t xml:space="preserve">Introduction </w:t>
      </w:r>
    </w:p>
    <w:p w14:paraId="75F3AB6A" w14:textId="77777777" w:rsidR="00ED68BE" w:rsidRPr="00550A66" w:rsidRDefault="00ED68BE" w:rsidP="00ED68BE">
      <w:pPr>
        <w:jc w:val="both"/>
        <w:rPr>
          <w:rFonts w:ascii="Times New Roman" w:hAnsi="Times New Roman" w:cs="Times New Roman"/>
          <w:sz w:val="24"/>
          <w:szCs w:val="24"/>
        </w:rPr>
      </w:pPr>
      <w:r w:rsidRPr="00550A66">
        <w:rPr>
          <w:rFonts w:ascii="Times New Roman" w:hAnsi="Times New Roman" w:cs="Times New Roman"/>
          <w:sz w:val="24"/>
          <w:szCs w:val="24"/>
        </w:rPr>
        <w:t>According to a recent study, more than 80% of the Earth's surface is directly affected by human activities that profoundly alter ecological conditions within habitats, the distribution of habitats across the landscape, and the functioning of populations and their interactions (Pascal., 2010). These disturbances result in the overexploitation of plant resources and lead to the disappearance of vegetation cover and biodiversity. In the Sahelian zone of West Africa, and in Niger in particular, plant species play a central role in the lives of rural communities. They provide many products and services that are used by the population. They have not only an ecological, fodder, and energy function, but also a food, health, social, and economic function (Larwanou et al., 2010).</w:t>
      </w:r>
    </w:p>
    <w:p w14:paraId="20040143" w14:textId="77777777" w:rsidR="00ED68BE" w:rsidRPr="00550A66" w:rsidRDefault="00ED68BE" w:rsidP="00ED68BE">
      <w:pPr>
        <w:jc w:val="both"/>
        <w:rPr>
          <w:rFonts w:ascii="Times New Roman" w:hAnsi="Times New Roman" w:cs="Times New Roman"/>
          <w:sz w:val="24"/>
          <w:szCs w:val="24"/>
        </w:rPr>
      </w:pPr>
      <w:r w:rsidRPr="00550A66">
        <w:rPr>
          <w:rFonts w:ascii="Times New Roman" w:hAnsi="Times New Roman" w:cs="Times New Roman"/>
          <w:sz w:val="24"/>
          <w:szCs w:val="24"/>
        </w:rPr>
        <w:t>In Niger, local populations are extremely dependent on products derived from natural vegetation, such as wood and non-wood forest products (NWFPs), which are the main source of income, medicinal products, and food supplements, especially in rural areas. However, irregular rainfall, repeated droughts, desertification, and demographic pressure on natural resources have led to profound changes in farming practices, which in turn have had an impact on natural resources.</w:t>
      </w:r>
    </w:p>
    <w:p w14:paraId="54B135A4" w14:textId="77777777" w:rsidR="00ED68BE" w:rsidRPr="00550A66" w:rsidRDefault="001C52DC" w:rsidP="00ED68BE">
      <w:pPr>
        <w:jc w:val="both"/>
        <w:rPr>
          <w:rFonts w:ascii="Times New Roman" w:hAnsi="Times New Roman" w:cs="Times New Roman"/>
          <w:sz w:val="24"/>
          <w:szCs w:val="24"/>
        </w:rPr>
      </w:pPr>
      <w:r w:rsidRPr="00550A66">
        <w:rPr>
          <w:rFonts w:ascii="Times New Roman" w:hAnsi="Times New Roman" w:cs="Times New Roman"/>
          <w:sz w:val="24"/>
          <w:szCs w:val="24"/>
        </w:rPr>
        <w:t>According to (Habou</w:t>
      </w:r>
      <w:r w:rsidR="00ED68BE" w:rsidRPr="00550A66">
        <w:rPr>
          <w:rFonts w:ascii="Times New Roman" w:hAnsi="Times New Roman" w:cs="Times New Roman"/>
          <w:sz w:val="24"/>
          <w:szCs w:val="24"/>
        </w:rPr>
        <w:t>.,2016), the excessive cutting of certain plant species, which is linked to socio-economic values, is one of the factors contributing to the degradation of vegetation, especially in the Sahelian and Sudanian zones of West Africa. In arid and semi-arid areas, the physical appearance of vegetation and the characteristics of the land surface affect the spatial change in infiltration and runoff of rainwater (Albergel., 1988). Vegetation associations in this zone are often linked to habitat degradation because they establish themselves in areas with the highest runoff (Ichaou et al., 1997; Ludwig et al., 2005).</w:t>
      </w:r>
    </w:p>
    <w:p w14:paraId="2D63A74D" w14:textId="77777777" w:rsidR="00ED68BE" w:rsidRPr="00550A66" w:rsidRDefault="00ED68BE" w:rsidP="00ED68BE">
      <w:pPr>
        <w:jc w:val="both"/>
        <w:rPr>
          <w:rFonts w:ascii="Times New Roman" w:hAnsi="Times New Roman" w:cs="Times New Roman"/>
          <w:sz w:val="24"/>
          <w:szCs w:val="24"/>
        </w:rPr>
      </w:pPr>
      <w:r w:rsidRPr="00550A66">
        <w:rPr>
          <w:rFonts w:ascii="Times New Roman" w:hAnsi="Times New Roman" w:cs="Times New Roman"/>
          <w:sz w:val="24"/>
          <w:szCs w:val="24"/>
        </w:rPr>
        <w:lastRenderedPageBreak/>
        <w:t>The decline in vegetation cover following tree felling exposes the soil to the combined and multiple effects of wind and water erosion (Moussa et al., 2011). The idea of conserving species diversity, taking into account the needs and concerns of local populations, has become an undisputed reality since 1992 at the Earth Summit (Inoussa et al., 2013). Despite this awareness, the atmosphere of biodiversity poses a threat to humans (Sinsin and Kampmann, 2010). This is why studying the state of flora and vegetation in relation to environmental parameters not only allows us to study environmental conditions but also to analyze the consequences of vegetation on environmental variability. It also allows local communities to be informed about environmental changes through the scientific development of sustainable management (Abdourahamane., 2016; Alhassane., 2019). Indeed, according to (Melom et al., 2015), knowledge of the state of flora and vegetation in a given area is an effective means of supporting sustainable development policies. A necessary solution to this accelerated degradation and its management methods in the urban commune of Agadez</w:t>
      </w:r>
    </w:p>
    <w:p w14:paraId="6315FCD4" w14:textId="77777777" w:rsidR="00D7328A" w:rsidRPr="00550A66" w:rsidRDefault="00D7328A" w:rsidP="00D7328A">
      <w:pPr>
        <w:jc w:val="both"/>
        <w:rPr>
          <w:rFonts w:ascii="Times New Roman" w:hAnsi="Times New Roman" w:cs="Times New Roman"/>
          <w:b/>
          <w:sz w:val="24"/>
          <w:szCs w:val="24"/>
        </w:rPr>
      </w:pPr>
      <w:r w:rsidRPr="00550A66">
        <w:rPr>
          <w:rFonts w:ascii="Times New Roman" w:hAnsi="Times New Roman" w:cs="Times New Roman"/>
          <w:b/>
          <w:sz w:val="24"/>
          <w:szCs w:val="24"/>
        </w:rPr>
        <w:t>MATERIALS AND METHODS</w:t>
      </w:r>
    </w:p>
    <w:p w14:paraId="5D913245" w14:textId="77777777" w:rsidR="00D7328A" w:rsidRPr="00550A66" w:rsidRDefault="00D7328A" w:rsidP="00D7328A">
      <w:pPr>
        <w:jc w:val="both"/>
        <w:rPr>
          <w:rFonts w:ascii="Times New Roman" w:hAnsi="Times New Roman" w:cs="Times New Roman"/>
          <w:b/>
          <w:sz w:val="24"/>
          <w:szCs w:val="24"/>
        </w:rPr>
      </w:pPr>
      <w:r w:rsidRPr="00550A66">
        <w:rPr>
          <w:rFonts w:ascii="Times New Roman" w:hAnsi="Times New Roman" w:cs="Times New Roman"/>
          <w:b/>
          <w:sz w:val="24"/>
          <w:szCs w:val="24"/>
        </w:rPr>
        <w:t>The study area and its characteristics</w:t>
      </w:r>
    </w:p>
    <w:p w14:paraId="2642786E" w14:textId="77777777" w:rsidR="00D7328A" w:rsidRPr="00550A66" w:rsidRDefault="00D7328A" w:rsidP="00D7328A">
      <w:pPr>
        <w:jc w:val="both"/>
        <w:rPr>
          <w:rFonts w:ascii="Times New Roman" w:hAnsi="Times New Roman" w:cs="Times New Roman"/>
          <w:sz w:val="24"/>
          <w:szCs w:val="24"/>
        </w:rPr>
      </w:pPr>
      <w:r w:rsidRPr="00550A66">
        <w:rPr>
          <w:rFonts w:ascii="Times New Roman" w:hAnsi="Times New Roman" w:cs="Times New Roman"/>
          <w:sz w:val="24"/>
          <w:szCs w:val="24"/>
        </w:rPr>
        <w:t>The study was conducted in the Agadez region, specifically in the urban commune located in the northern part of the country between latitude 16°56'44'‘ North and longitude 7°57'42’'. It has an arid tropical climate, with a relatively rainy period between June and September. It is part of the Sahelian zone, which receives some rain from the African monsoon. The hottest season begins in April and lasts until June, before the rains arrive. However, rainfall is often scarce, even in the wettest month. The city is located in the middle of Niger at an altitude of 500 meters. On average, the temperature is 69.6°F in the coldest month (January) and 95.6°F in the hottest month (June). In 2023, rainfall was 110 millimeters: this is a desert area. Rainfall can be as low as 0 mm in the months with the least rainfall (January, February, March, October, November, December), and can reach up to 50 mm in the rainiest month (August).</w:t>
      </w:r>
    </w:p>
    <w:p w14:paraId="5F12D4FF" w14:textId="77777777" w:rsidR="00D7328A" w:rsidRPr="00550A66" w:rsidRDefault="00D7328A" w:rsidP="00D7328A">
      <w:pPr>
        <w:jc w:val="both"/>
        <w:rPr>
          <w:rFonts w:ascii="Times New Roman" w:hAnsi="Times New Roman" w:cs="Times New Roman"/>
          <w:sz w:val="24"/>
          <w:szCs w:val="24"/>
        </w:rPr>
      </w:pPr>
      <w:r w:rsidRPr="00550A66">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062"/>
      </w:tblGrid>
      <w:tr w:rsidR="00550A66" w:rsidRPr="00550A66" w14:paraId="4D29B205" w14:textId="77777777" w:rsidTr="00D7328A">
        <w:tc>
          <w:tcPr>
            <w:tcW w:w="9062" w:type="dxa"/>
          </w:tcPr>
          <w:p w14:paraId="70822DF3" w14:textId="77777777" w:rsidR="00D7328A" w:rsidRPr="00550A66" w:rsidRDefault="00E35AD1" w:rsidP="00D7328A">
            <w:pPr>
              <w:jc w:val="both"/>
              <w:rPr>
                <w:rFonts w:ascii="Times New Roman" w:hAnsi="Times New Roman" w:cs="Times New Roman"/>
                <w:sz w:val="24"/>
                <w:szCs w:val="24"/>
              </w:rPr>
            </w:pPr>
            <w:r w:rsidRPr="00550A66">
              <w:rPr>
                <w:rFonts w:ascii="Times New Roman" w:hAnsi="Times New Roman" w:cs="Times New Roman"/>
              </w:rPr>
              <w:object w:dxaOrig="9075" w:dyaOrig="5730" w14:anchorId="39F1C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86.75pt" o:ole="">
                  <v:imagedata r:id="rId6" o:title=""/>
                </v:shape>
                <o:OLEObject Type="Embed" ProgID="PBrush" ShapeID="_x0000_i1025" DrawAspect="Content" ObjectID="_1823180202" r:id="rId7"/>
              </w:object>
            </w:r>
          </w:p>
        </w:tc>
      </w:tr>
    </w:tbl>
    <w:p w14:paraId="539F55A3" w14:textId="77777777" w:rsidR="00ED68BE" w:rsidRPr="00550A66" w:rsidRDefault="00D7328A" w:rsidP="00ED68BE">
      <w:pPr>
        <w:jc w:val="both"/>
        <w:rPr>
          <w:rFonts w:ascii="Times New Roman" w:hAnsi="Times New Roman" w:cs="Times New Roman"/>
          <w:sz w:val="24"/>
          <w:szCs w:val="24"/>
        </w:rPr>
      </w:pPr>
      <w:r w:rsidRPr="00550A66">
        <w:rPr>
          <w:rFonts w:ascii="Times New Roman" w:hAnsi="Times New Roman" w:cs="Times New Roman"/>
          <w:sz w:val="24"/>
          <w:szCs w:val="24"/>
        </w:rPr>
        <w:t>Figure 1 study area</w:t>
      </w:r>
    </w:p>
    <w:p w14:paraId="22A536AB" w14:textId="77777777" w:rsidR="0065575F" w:rsidRPr="00550A66" w:rsidRDefault="0065575F" w:rsidP="0065575F">
      <w:pPr>
        <w:jc w:val="both"/>
        <w:rPr>
          <w:rFonts w:ascii="Times New Roman" w:hAnsi="Times New Roman" w:cs="Times New Roman"/>
          <w:b/>
          <w:sz w:val="24"/>
          <w:szCs w:val="24"/>
        </w:rPr>
      </w:pPr>
      <w:r w:rsidRPr="00550A66">
        <w:rPr>
          <w:rFonts w:ascii="Times New Roman" w:hAnsi="Times New Roman" w:cs="Times New Roman"/>
          <w:b/>
          <w:sz w:val="24"/>
          <w:szCs w:val="24"/>
        </w:rPr>
        <w:t>Sampling</w:t>
      </w:r>
    </w:p>
    <w:p w14:paraId="372EF98A"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Random sampling was carried out in three (3) villages in the municipality. Thirty people in each village were surveyed. A total of 90 people were questioned. These surveys were conducted using a questionnaire provided in the appendix. Each form contains the respondent's personal information, such as their first and last names, occupation, age, gender, and the name of the village where they live.</w:t>
      </w:r>
    </w:p>
    <w:p w14:paraId="2027FE8C" w14:textId="77777777" w:rsidR="0065575F" w:rsidRPr="00550A66" w:rsidRDefault="0065575F" w:rsidP="0065575F">
      <w:pPr>
        <w:jc w:val="both"/>
        <w:rPr>
          <w:rFonts w:ascii="Times New Roman" w:hAnsi="Times New Roman" w:cs="Times New Roman"/>
          <w:b/>
          <w:sz w:val="24"/>
          <w:szCs w:val="24"/>
        </w:rPr>
      </w:pPr>
      <w:r w:rsidRPr="00550A66">
        <w:rPr>
          <w:rFonts w:ascii="Times New Roman" w:hAnsi="Times New Roman" w:cs="Times New Roman"/>
          <w:b/>
          <w:sz w:val="24"/>
          <w:szCs w:val="24"/>
        </w:rPr>
        <w:t xml:space="preserve">Data collection </w:t>
      </w:r>
    </w:p>
    <w:p w14:paraId="395D0B6A" w14:textId="77777777" w:rsidR="00275558"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Ethnobotanical data was collected through surveys conducted in the villages. The survey was conducted using a pre-established questionnaire. This questionnaire included closed and open-ended questions to achieve the objective of this study. Ethnobotany is the discipline that studies natural sciences with the aim of studying the use of riparian flora by various human groups (Ramade., 2008). For this work, the individual survey method was used. A questionnaire in Appendix 7 was presented to all social groups of the riparian populations. A total of 90 people (men and women) between the ages of 20 and 80 were interviewed. The data is based on information about the locality, the date on which the survey took place, the age, occupation, and identity of the respondent, local perceptions of vegetation, ecosystem services, and local management of plant resources.</w:t>
      </w:r>
    </w:p>
    <w:p w14:paraId="418BB115" w14:textId="77777777" w:rsidR="0065575F" w:rsidRPr="00550A66" w:rsidRDefault="0065575F" w:rsidP="0065575F">
      <w:pPr>
        <w:jc w:val="both"/>
        <w:rPr>
          <w:rFonts w:ascii="Times New Roman" w:hAnsi="Times New Roman" w:cs="Times New Roman"/>
          <w:b/>
          <w:sz w:val="24"/>
          <w:szCs w:val="24"/>
        </w:rPr>
      </w:pPr>
      <w:r w:rsidRPr="00550A66">
        <w:rPr>
          <w:rFonts w:ascii="Times New Roman" w:hAnsi="Times New Roman" w:cs="Times New Roman"/>
          <w:b/>
          <w:sz w:val="24"/>
          <w:szCs w:val="24"/>
        </w:rPr>
        <w:t>Data processing</w:t>
      </w:r>
    </w:p>
    <w:p w14:paraId="271548B9" w14:textId="77777777" w:rsidR="00EE1E08"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The data collected during the survey were encoded, entered into Excel</w:t>
      </w:r>
      <w:r w:rsidR="00894668" w:rsidRPr="00550A66">
        <w:rPr>
          <w:rFonts w:ascii="Times New Roman" w:hAnsi="Times New Roman" w:cs="Times New Roman"/>
          <w:sz w:val="24"/>
          <w:szCs w:val="24"/>
        </w:rPr>
        <w:t>,</w:t>
      </w:r>
      <w:r w:rsidRPr="00550A66">
        <w:rPr>
          <w:rFonts w:ascii="Times New Roman" w:hAnsi="Times New Roman" w:cs="Times New Roman"/>
          <w:sz w:val="24"/>
          <w:szCs w:val="24"/>
        </w:rPr>
        <w:t xml:space="preserve"> then processed and analyzed using the same software. This made it possible to determine the importance of species using values determined by informants, such as use value </w:t>
      </w:r>
    </w:p>
    <w:p w14:paraId="7693AFBB" w14:textId="77777777" w:rsidR="00894668" w:rsidRPr="00550A66" w:rsidRDefault="00894668" w:rsidP="00894668">
      <w:pPr>
        <w:jc w:val="both"/>
        <w:rPr>
          <w:rFonts w:ascii="Times New Roman" w:hAnsi="Times New Roman" w:cs="Times New Roman"/>
          <w:b/>
          <w:sz w:val="24"/>
          <w:szCs w:val="24"/>
        </w:rPr>
      </w:pPr>
      <w:r w:rsidRPr="00550A66">
        <w:rPr>
          <w:rFonts w:ascii="Times New Roman" w:hAnsi="Times New Roman" w:cs="Times New Roman"/>
          <w:b/>
          <w:sz w:val="24"/>
          <w:szCs w:val="24"/>
        </w:rPr>
        <w:t xml:space="preserve">Citation frequency </w:t>
      </w:r>
    </w:p>
    <w:p w14:paraId="1AC98090" w14:textId="77777777" w:rsidR="00894668" w:rsidRPr="00550A66" w:rsidRDefault="00894668" w:rsidP="00894668">
      <w:pPr>
        <w:jc w:val="both"/>
        <w:rPr>
          <w:rFonts w:ascii="Times New Roman" w:hAnsi="Times New Roman" w:cs="Times New Roman"/>
          <w:sz w:val="24"/>
          <w:szCs w:val="24"/>
        </w:rPr>
      </w:pPr>
      <w:r w:rsidRPr="00550A66">
        <w:rPr>
          <w:rFonts w:ascii="Times New Roman" w:hAnsi="Times New Roman" w:cs="Times New Roman"/>
          <w:sz w:val="24"/>
          <w:szCs w:val="24"/>
        </w:rPr>
        <w:lastRenderedPageBreak/>
        <w:t>For each category of use, we analyzed the citation frequency (CF).</w:t>
      </w:r>
    </w:p>
    <w:p w14:paraId="3F55CFE2" w14:textId="77777777" w:rsidR="00EE1E08" w:rsidRPr="00550A66" w:rsidRDefault="00EE1E08" w:rsidP="00EE1E08">
      <w:pPr>
        <w:jc w:val="both"/>
        <w:rPr>
          <w:rFonts w:ascii="Times New Roman" w:hAnsi="Times New Roman" w:cs="Times New Roman"/>
          <w:sz w:val="24"/>
          <w:szCs w:val="24"/>
        </w:rPr>
      </w:pPr>
    </w:p>
    <w:p w14:paraId="5A14D416" w14:textId="77777777" w:rsidR="00EE1E08" w:rsidRPr="00550A66" w:rsidRDefault="00EE1E08" w:rsidP="003523C7">
      <w:pPr>
        <w:jc w:val="center"/>
        <w:rPr>
          <w:rFonts w:ascii="Times New Roman" w:hAnsi="Times New Roman" w:cs="Times New Roman"/>
          <w:b/>
          <w:sz w:val="24"/>
          <w:szCs w:val="24"/>
        </w:rPr>
      </w:pPr>
      <m:oMathPara>
        <m:oMath>
          <m:r>
            <m:rPr>
              <m:sty m:val="bi"/>
            </m:rPr>
            <w:rPr>
              <w:rFonts w:ascii="Cambria Math" w:hAnsi="Cambria Math" w:cs="Times New Roman"/>
              <w:sz w:val="24"/>
              <w:szCs w:val="24"/>
            </w:rPr>
            <m:t>CF</m:t>
          </m:r>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 xml:space="preserve">Number of citations of the species    </m:t>
              </m:r>
            </m:num>
            <m:den>
              <m:r>
                <m:rPr>
                  <m:sty m:val="b"/>
                </m:rPr>
                <w:rPr>
                  <w:rFonts w:ascii="Cambria Math" w:hAnsi="Cambria Math" w:cs="Times New Roman"/>
                  <w:sz w:val="24"/>
                  <w:szCs w:val="24"/>
                </w:rPr>
                <m:t>Total number of respondents</m:t>
              </m:r>
            </m:den>
          </m:f>
          <m:r>
            <m:rPr>
              <m:sty m:val="bi"/>
            </m:rPr>
            <w:rPr>
              <w:rFonts w:ascii="Cambria Math" w:hAnsi="Cambria Math" w:cs="Times New Roman"/>
              <w:sz w:val="24"/>
              <w:szCs w:val="24"/>
            </w:rPr>
            <m:t>×100</m:t>
          </m:r>
        </m:oMath>
      </m:oMathPara>
    </w:p>
    <w:p w14:paraId="6C1938AA" w14:textId="77777777" w:rsidR="006F6F22" w:rsidRPr="00550A66" w:rsidRDefault="006F6F22" w:rsidP="006F6F22">
      <w:pPr>
        <w:jc w:val="both"/>
        <w:rPr>
          <w:rFonts w:ascii="Times New Roman" w:hAnsi="Times New Roman" w:cs="Times New Roman"/>
          <w:b/>
          <w:sz w:val="24"/>
          <w:szCs w:val="24"/>
        </w:rPr>
      </w:pPr>
      <w:r w:rsidRPr="00550A66">
        <w:rPr>
          <w:rFonts w:ascii="Times New Roman" w:hAnsi="Times New Roman" w:cs="Times New Roman"/>
          <w:b/>
          <w:sz w:val="24"/>
          <w:szCs w:val="24"/>
        </w:rPr>
        <w:t>Use value</w:t>
      </w:r>
    </w:p>
    <w:p w14:paraId="1E9FC872"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The use value</w:t>
      </w:r>
      <w:r w:rsidR="006F6F22" w:rsidRPr="00550A66">
        <w:rPr>
          <w:rFonts w:ascii="Times New Roman" w:hAnsi="Times New Roman" w:cs="Times New Roman"/>
          <w:sz w:val="24"/>
          <w:szCs w:val="24"/>
        </w:rPr>
        <w:t xml:space="preserve"> (UV)</w:t>
      </w:r>
      <w:r w:rsidRPr="00550A66">
        <w:rPr>
          <w:rFonts w:ascii="Times New Roman" w:hAnsi="Times New Roman" w:cs="Times New Roman"/>
          <w:sz w:val="24"/>
          <w:szCs w:val="24"/>
        </w:rPr>
        <w:t xml:space="preserve"> is the quotient between the number of citations of a given species in a presumed use category and the total number of informants questioned. The use value shows the species generally exploited in a given category. It also reveals a significant idea of the degree of pressure exerted on the species. The use value is defined by the formula below:  </w:t>
      </w:r>
    </w:p>
    <w:p w14:paraId="72D98C76" w14:textId="77777777" w:rsidR="00CB01D3" w:rsidRPr="00550A66" w:rsidRDefault="00CB01D3" w:rsidP="00E35AD1">
      <w:pPr>
        <w:jc w:val="center"/>
        <w:rPr>
          <w:rFonts w:ascii="Times New Roman" w:hAnsi="Times New Roman" w:cs="Times New Roman"/>
          <w:sz w:val="24"/>
          <w:szCs w:val="24"/>
        </w:rPr>
      </w:pPr>
      <w:r w:rsidRPr="00550A66">
        <w:rPr>
          <w:rFonts w:ascii="Times New Roman" w:hAnsi="Times New Roman" w:cs="Times New Roman"/>
          <w:b/>
          <w:bCs/>
          <w:sz w:val="32"/>
          <w:szCs w:val="32"/>
        </w:rPr>
        <w:t>U</w:t>
      </w:r>
      <w:r w:rsidR="006F6F22" w:rsidRPr="00550A66">
        <w:rPr>
          <w:rFonts w:ascii="Times New Roman" w:hAnsi="Times New Roman" w:cs="Times New Roman"/>
          <w:b/>
          <w:bCs/>
          <w:sz w:val="32"/>
          <w:szCs w:val="32"/>
        </w:rPr>
        <w:t>V</w:t>
      </w:r>
      <w:r w:rsidRPr="00550A66">
        <w:rPr>
          <w:rFonts w:ascii="Times New Roman" w:hAnsi="Times New Roman" w:cs="Times New Roman"/>
          <w:b/>
          <w:bCs/>
          <w:sz w:val="32"/>
          <w:szCs w:val="32"/>
        </w:rPr>
        <w:t xml:space="preserve"> = (∑U) / (N)</w:t>
      </w:r>
    </w:p>
    <w:p w14:paraId="1EEE7CE9"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 xml:space="preserve">U: frequency of citations mentioning the use of the species for a given purpose;   </w:t>
      </w:r>
    </w:p>
    <w:p w14:paraId="3E3ABBCE"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N: total number of pieces of information received.</w:t>
      </w:r>
    </w:p>
    <w:p w14:paraId="6E439A69" w14:textId="77777777" w:rsidR="00CB01D3" w:rsidRPr="00550A66" w:rsidRDefault="00CB01D3" w:rsidP="00CB01D3">
      <w:pPr>
        <w:jc w:val="both"/>
        <w:rPr>
          <w:rFonts w:ascii="Times New Roman" w:hAnsi="Times New Roman" w:cs="Times New Roman"/>
          <w:b/>
          <w:sz w:val="24"/>
          <w:szCs w:val="24"/>
        </w:rPr>
      </w:pPr>
      <w:r w:rsidRPr="00550A66">
        <w:rPr>
          <w:rFonts w:ascii="Times New Roman" w:hAnsi="Times New Roman" w:cs="Times New Roman"/>
          <w:b/>
          <w:sz w:val="24"/>
          <w:szCs w:val="24"/>
        </w:rPr>
        <w:t>The total use value of the species</w:t>
      </w:r>
    </w:p>
    <w:p w14:paraId="3287A069"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 xml:space="preserve">This consists of identifying the species that have the greatest value in a given environment based on the cumulative use values in all areas where they are used. The total use value of each species is determined by measuring the sum of all the use values of the assumed species within the different areas of use. The total use value of a species is calculated using the following equation: </w:t>
      </w:r>
    </w:p>
    <w:p w14:paraId="1821B623" w14:textId="77777777" w:rsidR="0065575F" w:rsidRPr="00550A66" w:rsidRDefault="006F6F22" w:rsidP="003523C7">
      <w:pPr>
        <w:jc w:val="center"/>
        <w:rPr>
          <w:rFonts w:ascii="Times New Roman" w:hAnsi="Times New Roman" w:cs="Times New Roman"/>
          <w:sz w:val="24"/>
          <w:szCs w:val="24"/>
        </w:rPr>
      </w:pPr>
      <w:r w:rsidRPr="00550A66">
        <w:rPr>
          <w:rFonts w:ascii="Times New Roman" w:hAnsi="Times New Roman" w:cs="Times New Roman"/>
          <w:b/>
          <w:bCs/>
          <w:sz w:val="32"/>
          <w:szCs w:val="32"/>
        </w:rPr>
        <w:t>TUV = ∑p1 UV</w:t>
      </w:r>
    </w:p>
    <w:p w14:paraId="605515F5"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T</w:t>
      </w:r>
      <w:r w:rsidR="006F6F22" w:rsidRPr="00550A66">
        <w:rPr>
          <w:rFonts w:ascii="Times New Roman" w:hAnsi="Times New Roman" w:cs="Times New Roman"/>
          <w:sz w:val="24"/>
          <w:szCs w:val="24"/>
        </w:rPr>
        <w:t>UV</w:t>
      </w:r>
      <w:r w:rsidRPr="00550A66">
        <w:rPr>
          <w:rFonts w:ascii="Times New Roman" w:hAnsi="Times New Roman" w:cs="Times New Roman"/>
          <w:sz w:val="24"/>
          <w:szCs w:val="24"/>
        </w:rPr>
        <w:t xml:space="preserve">: corresponds to the total use value of the assumed species k;   </w:t>
      </w:r>
    </w:p>
    <w:p w14:paraId="3B384F84"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 xml:space="preserve">VU: indicates the use value of species k for a given category of use;  </w:t>
      </w:r>
    </w:p>
    <w:p w14:paraId="7A4F49ED"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P: corresponds to the frequency of areas of use or categories of use covered by the species.</w:t>
      </w:r>
    </w:p>
    <w:p w14:paraId="4ED3F42B" w14:textId="77777777" w:rsidR="00CB01D3" w:rsidRPr="00550A66" w:rsidRDefault="006F6F22" w:rsidP="00CB01D3">
      <w:pPr>
        <w:jc w:val="both"/>
        <w:rPr>
          <w:rFonts w:ascii="Times New Roman" w:hAnsi="Times New Roman" w:cs="Times New Roman"/>
          <w:b/>
          <w:sz w:val="24"/>
          <w:szCs w:val="24"/>
        </w:rPr>
      </w:pPr>
      <w:r w:rsidRPr="00550A66">
        <w:rPr>
          <w:rFonts w:ascii="Times New Roman" w:hAnsi="Times New Roman" w:cs="Times New Roman"/>
          <w:sz w:val="24"/>
          <w:szCs w:val="24"/>
        </w:rPr>
        <w:t xml:space="preserve"> </w:t>
      </w:r>
      <w:r w:rsidR="00CB01D3" w:rsidRPr="00550A66">
        <w:rPr>
          <w:rFonts w:ascii="Times New Roman" w:hAnsi="Times New Roman" w:cs="Times New Roman"/>
          <w:b/>
          <w:sz w:val="24"/>
          <w:szCs w:val="24"/>
        </w:rPr>
        <w:t>Frequency of citation of organs used</w:t>
      </w:r>
    </w:p>
    <w:p w14:paraId="344B0531" w14:textId="77777777" w:rsidR="00CB01D3" w:rsidRPr="00550A66" w:rsidRDefault="00CB01D3" w:rsidP="00CB01D3">
      <w:pPr>
        <w:jc w:val="both"/>
        <w:rPr>
          <w:rFonts w:ascii="Times New Roman" w:hAnsi="Times New Roman" w:cs="Times New Roman"/>
          <w:sz w:val="24"/>
          <w:szCs w:val="24"/>
        </w:rPr>
      </w:pPr>
      <w:r w:rsidRPr="00550A66">
        <w:rPr>
          <w:rFonts w:ascii="Times New Roman" w:hAnsi="Times New Roman" w:cs="Times New Roman"/>
          <w:sz w:val="24"/>
          <w:szCs w:val="24"/>
        </w:rPr>
        <w:t>For each species considered, this frequency shows the organs or parts of the plant most commonly used in a given category of use. This frequency of citation of organs used by type of area of use varies from 0 to 100. The number 0 shows that the organ is not used and the number 100 indicates that the organ is used by all respondents. The frequency of citation of parts used by the plant (organs) and by type of category of use is given by the following equation:</w:t>
      </w:r>
    </w:p>
    <w:p w14:paraId="3D12EE09" w14:textId="77777777" w:rsidR="00CB01D3" w:rsidRPr="00550A66" w:rsidRDefault="00CB01D3" w:rsidP="003523C7">
      <w:pPr>
        <w:jc w:val="center"/>
        <w:rPr>
          <w:rFonts w:ascii="Times New Roman" w:hAnsi="Times New Roman" w:cs="Times New Roman"/>
          <w:sz w:val="24"/>
          <w:szCs w:val="24"/>
        </w:rPr>
      </w:pPr>
      <w:r w:rsidRPr="00550A66">
        <w:rPr>
          <w:rFonts w:ascii="Times New Roman" w:hAnsi="Times New Roman" w:cs="Times New Roman"/>
          <w:b/>
          <w:bCs/>
          <w:sz w:val="24"/>
          <w:szCs w:val="24"/>
        </w:rPr>
        <w:t>F = S / (N) X 100</w:t>
      </w:r>
    </w:p>
    <w:p w14:paraId="1A42A2D1" w14:textId="77777777" w:rsidR="0065575F" w:rsidRPr="00550A66" w:rsidRDefault="0065575F" w:rsidP="00CB01D3">
      <w:pPr>
        <w:jc w:val="both"/>
        <w:rPr>
          <w:rFonts w:ascii="Times New Roman" w:hAnsi="Times New Roman" w:cs="Times New Roman"/>
          <w:sz w:val="24"/>
          <w:szCs w:val="24"/>
        </w:rPr>
      </w:pPr>
      <w:r w:rsidRPr="00550A66">
        <w:rPr>
          <w:rFonts w:ascii="Times New Roman" w:hAnsi="Times New Roman" w:cs="Times New Roman"/>
          <w:sz w:val="24"/>
          <w:szCs w:val="24"/>
        </w:rPr>
        <w:t xml:space="preserve">F: is the calculated response frequency; S: is the frequency of citations of use of the part in question; N: is the total number of informants.  </w:t>
      </w:r>
    </w:p>
    <w:p w14:paraId="096CF3B6"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The overall rate of use of an organ or part of a species in a given category is determined by first finding the cumulative frequency of use of that same part or organ of the species for all species exploited for the same selected domain. This cumulative rate is then divided by the total cumulative frequency of all parts used in the assumed domain.</w:t>
      </w:r>
    </w:p>
    <w:p w14:paraId="33CE410B" w14:textId="77777777" w:rsidR="0065575F" w:rsidRPr="00550A66" w:rsidRDefault="0065575F" w:rsidP="003523C7">
      <w:pPr>
        <w:jc w:val="center"/>
        <w:rPr>
          <w:rFonts w:ascii="Times New Roman" w:hAnsi="Times New Roman" w:cs="Times New Roman"/>
          <w:sz w:val="24"/>
          <w:szCs w:val="24"/>
        </w:rPr>
      </w:pPr>
      <w:r w:rsidRPr="00550A66">
        <w:rPr>
          <w:rFonts w:ascii="Times New Roman" w:hAnsi="Times New Roman" w:cs="Times New Roman"/>
          <w:sz w:val="24"/>
          <w:szCs w:val="24"/>
        </w:rPr>
        <w:t>FT = CF / (TCF) X 100</w:t>
      </w:r>
    </w:p>
    <w:p w14:paraId="0AA2181E"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lastRenderedPageBreak/>
        <w:t>FT: the general value of use of the part (organ) in a given category of use;</w:t>
      </w:r>
    </w:p>
    <w:p w14:paraId="0783F791"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 xml:space="preserve">CF: the cumulative frequency of use of the organ in question for all species exploited in the same category;  </w:t>
      </w:r>
    </w:p>
    <w:p w14:paraId="6CBD1FC8" w14:textId="77777777" w:rsidR="0065575F" w:rsidRPr="00550A66" w:rsidRDefault="0065575F" w:rsidP="0065575F">
      <w:pPr>
        <w:jc w:val="both"/>
        <w:rPr>
          <w:rFonts w:ascii="Times New Roman" w:hAnsi="Times New Roman" w:cs="Times New Roman"/>
          <w:sz w:val="24"/>
          <w:szCs w:val="24"/>
        </w:rPr>
      </w:pPr>
      <w:r w:rsidRPr="00550A66">
        <w:rPr>
          <w:rFonts w:ascii="Times New Roman" w:hAnsi="Times New Roman" w:cs="Times New Roman"/>
          <w:sz w:val="24"/>
          <w:szCs w:val="24"/>
        </w:rPr>
        <w:t>TCF: the sum of the cumulative rates of all parts or organs of the species exploited in the area in question.</w:t>
      </w:r>
    </w:p>
    <w:p w14:paraId="2E793F02" w14:textId="77777777" w:rsidR="00A4786B" w:rsidRPr="00550A66" w:rsidRDefault="00A4786B" w:rsidP="00A4786B">
      <w:pPr>
        <w:jc w:val="both"/>
        <w:rPr>
          <w:rFonts w:ascii="Times New Roman" w:hAnsi="Times New Roman" w:cs="Times New Roman"/>
          <w:b/>
          <w:sz w:val="24"/>
          <w:szCs w:val="24"/>
        </w:rPr>
      </w:pPr>
      <w:r w:rsidRPr="00550A66">
        <w:rPr>
          <w:rFonts w:ascii="Times New Roman" w:hAnsi="Times New Roman" w:cs="Times New Roman"/>
          <w:b/>
          <w:sz w:val="24"/>
          <w:szCs w:val="24"/>
        </w:rPr>
        <w:t>Results</w:t>
      </w:r>
    </w:p>
    <w:p w14:paraId="7C72F33C" w14:textId="77777777" w:rsidR="00A4786B" w:rsidRPr="00550A66" w:rsidRDefault="00A4786B" w:rsidP="00A4786B">
      <w:pPr>
        <w:jc w:val="both"/>
        <w:rPr>
          <w:rFonts w:ascii="Times New Roman" w:hAnsi="Times New Roman" w:cs="Times New Roman"/>
          <w:b/>
          <w:sz w:val="24"/>
          <w:szCs w:val="24"/>
        </w:rPr>
      </w:pPr>
      <w:r w:rsidRPr="00550A66">
        <w:rPr>
          <w:rFonts w:ascii="Times New Roman" w:hAnsi="Times New Roman" w:cs="Times New Roman"/>
          <w:b/>
          <w:sz w:val="24"/>
          <w:szCs w:val="24"/>
        </w:rPr>
        <w:t>Perception of vegetation</w:t>
      </w:r>
    </w:p>
    <w:p w14:paraId="60EA37E3" w14:textId="77777777"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sz w:val="24"/>
          <w:szCs w:val="24"/>
        </w:rPr>
        <w:t>The figure illustrates the views of respondents on the state of vegetation cover in the past and present in this municipality. Of the 90 people surveyed, 98% confirmed that the vegetation in the municipality of Agadez has declined compared to previous years</w:t>
      </w:r>
      <w:r w:rsidR="00945DFD" w:rsidRPr="00550A66">
        <w:rPr>
          <w:rFonts w:ascii="Times New Roman" w:hAnsi="Times New Roman" w:cs="Times New Roman"/>
          <w:sz w:val="24"/>
          <w:szCs w:val="24"/>
        </w:rPr>
        <w:t xml:space="preserve"> (figure</w:t>
      </w:r>
      <w:r w:rsidR="00032BD2" w:rsidRPr="00550A66">
        <w:rPr>
          <w:rFonts w:ascii="Times New Roman" w:hAnsi="Times New Roman" w:cs="Times New Roman"/>
          <w:sz w:val="24"/>
          <w:szCs w:val="24"/>
        </w:rPr>
        <w:t xml:space="preserve"> 2</w:t>
      </w:r>
      <w:r w:rsidR="00945DFD" w:rsidRPr="00550A66">
        <w:rPr>
          <w:rFonts w:ascii="Times New Roman" w:hAnsi="Times New Roman" w:cs="Times New Roman"/>
          <w:sz w:val="24"/>
          <w:szCs w:val="24"/>
        </w:rPr>
        <w:t>).</w:t>
      </w:r>
    </w:p>
    <w:p w14:paraId="146ED94F" w14:textId="77777777" w:rsidR="00A4786B" w:rsidRPr="00550A66" w:rsidRDefault="00945DFD" w:rsidP="00A4786B">
      <w:pPr>
        <w:jc w:val="both"/>
        <w:rPr>
          <w:rFonts w:ascii="Times New Roman" w:hAnsi="Times New Roman" w:cs="Times New Roman"/>
          <w:sz w:val="24"/>
          <w:szCs w:val="24"/>
        </w:rPr>
      </w:pPr>
      <w:r w:rsidRPr="00550A66">
        <w:rPr>
          <w:rFonts w:ascii="Times New Roman" w:hAnsi="Times New Roman" w:cs="Times New Roman"/>
          <w:noProof/>
          <w:lang w:eastAsia="fr-FR"/>
        </w:rPr>
        <w:drawing>
          <wp:inline distT="0" distB="0" distL="0" distR="0" wp14:anchorId="0BB29E60" wp14:editId="5E727A2D">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50A66">
        <w:rPr>
          <w:rFonts w:ascii="Times New Roman" w:hAnsi="Times New Roman" w:cs="Times New Roman"/>
          <w:noProof/>
          <w:lang w:eastAsia="fr-FR"/>
        </w:rPr>
        <w:t xml:space="preserve"> </w:t>
      </w:r>
    </w:p>
    <w:p w14:paraId="7B935701" w14:textId="77777777" w:rsidR="00A4786B" w:rsidRPr="00550A66" w:rsidRDefault="00945DFD" w:rsidP="00A4786B">
      <w:pPr>
        <w:jc w:val="both"/>
        <w:rPr>
          <w:rFonts w:ascii="Times New Roman" w:hAnsi="Times New Roman" w:cs="Times New Roman"/>
          <w:sz w:val="24"/>
          <w:szCs w:val="24"/>
        </w:rPr>
      </w:pPr>
      <w:r w:rsidRPr="00550A66">
        <w:rPr>
          <w:rFonts w:ascii="Times New Roman" w:hAnsi="Times New Roman" w:cs="Times New Roman"/>
          <w:sz w:val="24"/>
          <w:szCs w:val="24"/>
        </w:rPr>
        <w:t xml:space="preserve">Figure 2: </w:t>
      </w:r>
      <w:r w:rsidR="00A4786B" w:rsidRPr="00550A66">
        <w:rPr>
          <w:rFonts w:ascii="Times New Roman" w:hAnsi="Times New Roman" w:cs="Times New Roman"/>
          <w:sz w:val="24"/>
          <w:szCs w:val="24"/>
        </w:rPr>
        <w:t>vegetation cover</w:t>
      </w:r>
    </w:p>
    <w:p w14:paraId="5E7DC11D" w14:textId="77777777" w:rsidR="00A4786B" w:rsidRPr="00550A66" w:rsidRDefault="00A4786B" w:rsidP="00A4786B">
      <w:pPr>
        <w:jc w:val="both"/>
        <w:rPr>
          <w:rFonts w:ascii="Times New Roman" w:hAnsi="Times New Roman" w:cs="Times New Roman"/>
          <w:b/>
          <w:sz w:val="24"/>
          <w:szCs w:val="24"/>
        </w:rPr>
      </w:pPr>
      <w:r w:rsidRPr="00550A66">
        <w:rPr>
          <w:rFonts w:ascii="Times New Roman" w:hAnsi="Times New Roman" w:cs="Times New Roman"/>
          <w:b/>
          <w:sz w:val="24"/>
          <w:szCs w:val="24"/>
        </w:rPr>
        <w:t>Extinct species</w:t>
      </w:r>
    </w:p>
    <w:p w14:paraId="19666A34" w14:textId="0213ECBE"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sz w:val="24"/>
          <w:szCs w:val="24"/>
        </w:rPr>
        <w:t>Extinct species in the municipality of Agadez. These species are classified acco</w:t>
      </w:r>
      <w:r w:rsidR="00945DFD" w:rsidRPr="00550A66">
        <w:rPr>
          <w:rFonts w:ascii="Times New Roman" w:hAnsi="Times New Roman" w:cs="Times New Roman"/>
          <w:sz w:val="24"/>
          <w:szCs w:val="24"/>
        </w:rPr>
        <w:t xml:space="preserve">rding to their frequency (table </w:t>
      </w:r>
      <w:r w:rsidR="0036668C">
        <w:rPr>
          <w:rFonts w:ascii="Times New Roman" w:hAnsi="Times New Roman" w:cs="Times New Roman"/>
          <w:sz w:val="24"/>
          <w:szCs w:val="24"/>
        </w:rPr>
        <w:t>1</w:t>
      </w:r>
      <w:r w:rsidR="00945DFD" w:rsidRPr="00550A66">
        <w:rPr>
          <w:rFonts w:ascii="Times New Roman" w:hAnsi="Times New Roman" w:cs="Times New Roman"/>
          <w:sz w:val="24"/>
          <w:szCs w:val="24"/>
        </w:rPr>
        <w:t xml:space="preserve">) </w:t>
      </w:r>
      <w:r w:rsidRPr="00550A66">
        <w:rPr>
          <w:rFonts w:ascii="Times New Roman" w:hAnsi="Times New Roman" w:cs="Times New Roman"/>
          <w:sz w:val="24"/>
          <w:szCs w:val="24"/>
        </w:rPr>
        <w:t>from highest to lowest frequency.</w:t>
      </w:r>
      <w:r w:rsidR="003523C7" w:rsidRPr="00550A66">
        <w:rPr>
          <w:rFonts w:ascii="Times New Roman" w:hAnsi="Times New Roman" w:cs="Times New Roman"/>
          <w:sz w:val="24"/>
          <w:szCs w:val="24"/>
        </w:rPr>
        <w:t xml:space="preserve"> </w:t>
      </w:r>
      <w:r w:rsidRPr="00550A66">
        <w:rPr>
          <w:rFonts w:ascii="Times New Roman" w:hAnsi="Times New Roman" w:cs="Times New Roman"/>
          <w:sz w:val="24"/>
          <w:szCs w:val="24"/>
        </w:rPr>
        <w:t xml:space="preserve">These species are as follows: </w:t>
      </w:r>
      <w:r w:rsidRPr="00550A66">
        <w:rPr>
          <w:rFonts w:ascii="Times New Roman" w:hAnsi="Times New Roman" w:cs="Times New Roman"/>
          <w:i/>
          <w:sz w:val="24"/>
          <w:szCs w:val="24"/>
        </w:rPr>
        <w:t>Guiera senegalensis</w:t>
      </w:r>
      <w:r w:rsidRPr="00550A66">
        <w:rPr>
          <w:rFonts w:ascii="Times New Roman" w:hAnsi="Times New Roman" w:cs="Times New Roman"/>
          <w:sz w:val="24"/>
          <w:szCs w:val="24"/>
        </w:rPr>
        <w:t xml:space="preserve"> J. F. Gmel., </w:t>
      </w:r>
      <w:r w:rsidRPr="00550A66">
        <w:rPr>
          <w:rFonts w:ascii="Times New Roman" w:hAnsi="Times New Roman" w:cs="Times New Roman"/>
          <w:i/>
          <w:sz w:val="24"/>
          <w:szCs w:val="24"/>
        </w:rPr>
        <w:t>Leptadenia pyrotechnica</w:t>
      </w:r>
      <w:r w:rsidRPr="00550A66">
        <w:rPr>
          <w:rFonts w:ascii="Times New Roman" w:hAnsi="Times New Roman" w:cs="Times New Roman"/>
          <w:sz w:val="24"/>
          <w:szCs w:val="24"/>
        </w:rPr>
        <w:t xml:space="preserve"> (Forsk.) Decne., </w:t>
      </w:r>
      <w:r w:rsidRPr="00550A66">
        <w:rPr>
          <w:rFonts w:ascii="Times New Roman" w:hAnsi="Times New Roman" w:cs="Times New Roman"/>
          <w:i/>
          <w:sz w:val="24"/>
          <w:szCs w:val="24"/>
        </w:rPr>
        <w:t>Piliostigma reticulatum</w:t>
      </w:r>
      <w:r w:rsidRPr="00550A66">
        <w:rPr>
          <w:rFonts w:ascii="Times New Roman" w:hAnsi="Times New Roman" w:cs="Times New Roman"/>
          <w:sz w:val="24"/>
          <w:szCs w:val="24"/>
        </w:rPr>
        <w:t xml:space="preserve"> (DC.) Hochst., </w:t>
      </w:r>
      <w:r w:rsidRPr="00550A66">
        <w:rPr>
          <w:rFonts w:ascii="Times New Roman" w:hAnsi="Times New Roman" w:cs="Times New Roman"/>
          <w:i/>
          <w:sz w:val="24"/>
          <w:szCs w:val="24"/>
        </w:rPr>
        <w:t>Acacia senegal</w:t>
      </w:r>
      <w:r w:rsidRPr="00550A66">
        <w:rPr>
          <w:rFonts w:ascii="Times New Roman" w:hAnsi="Times New Roman" w:cs="Times New Roman"/>
          <w:sz w:val="24"/>
          <w:szCs w:val="24"/>
        </w:rPr>
        <w:t xml:space="preserve"> (L.) Willd., </w:t>
      </w:r>
      <w:r w:rsidRPr="00550A66">
        <w:rPr>
          <w:rFonts w:ascii="Times New Roman" w:hAnsi="Times New Roman" w:cs="Times New Roman"/>
          <w:i/>
          <w:sz w:val="24"/>
          <w:szCs w:val="24"/>
        </w:rPr>
        <w:t>Faidherbia albida</w:t>
      </w:r>
      <w:r w:rsidRPr="00550A66">
        <w:rPr>
          <w:rFonts w:ascii="Times New Roman" w:hAnsi="Times New Roman" w:cs="Times New Roman"/>
          <w:sz w:val="24"/>
          <w:szCs w:val="24"/>
        </w:rPr>
        <w:t xml:space="preserve"> (Del.) A. Chev., </w:t>
      </w:r>
      <w:r w:rsidRPr="00550A66">
        <w:rPr>
          <w:rFonts w:ascii="Times New Roman" w:hAnsi="Times New Roman" w:cs="Times New Roman"/>
          <w:i/>
          <w:sz w:val="24"/>
          <w:szCs w:val="24"/>
        </w:rPr>
        <w:t>Acacia chrembergiana</w:t>
      </w:r>
      <w:r w:rsidRPr="00550A66">
        <w:rPr>
          <w:rFonts w:ascii="Times New Roman" w:hAnsi="Times New Roman" w:cs="Times New Roman"/>
          <w:sz w:val="24"/>
          <w:szCs w:val="24"/>
        </w:rPr>
        <w:t xml:space="preserve"> Hayne., </w:t>
      </w:r>
      <w:r w:rsidRPr="00550A66">
        <w:rPr>
          <w:rFonts w:ascii="Times New Roman" w:hAnsi="Times New Roman" w:cs="Times New Roman"/>
          <w:i/>
          <w:sz w:val="24"/>
          <w:szCs w:val="24"/>
        </w:rPr>
        <w:t>Euphorbia balsamifera</w:t>
      </w:r>
      <w:r w:rsidRPr="00550A66">
        <w:rPr>
          <w:rFonts w:ascii="Times New Roman" w:hAnsi="Times New Roman" w:cs="Times New Roman"/>
          <w:sz w:val="24"/>
          <w:szCs w:val="24"/>
        </w:rPr>
        <w:t xml:space="preserve"> Ait., </w:t>
      </w:r>
      <w:r w:rsidRPr="00550A66">
        <w:rPr>
          <w:rFonts w:ascii="Times New Roman" w:hAnsi="Times New Roman" w:cs="Times New Roman"/>
          <w:i/>
          <w:sz w:val="24"/>
          <w:szCs w:val="24"/>
        </w:rPr>
        <w:t>Commiphora africana</w:t>
      </w:r>
      <w:r w:rsidRPr="00550A66">
        <w:rPr>
          <w:rFonts w:ascii="Times New Roman" w:hAnsi="Times New Roman" w:cs="Times New Roman"/>
          <w:sz w:val="24"/>
          <w:szCs w:val="24"/>
        </w:rPr>
        <w:t xml:space="preserve"> (A. Rich.) Engl., are extinct species with high frequencies. A total of 18 species have been recorded as extinct.</w:t>
      </w:r>
    </w:p>
    <w:p w14:paraId="0904F940" w14:textId="49B950F8"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b/>
          <w:sz w:val="24"/>
          <w:szCs w:val="24"/>
        </w:rPr>
        <w:t xml:space="preserve">Table </w:t>
      </w:r>
      <w:r w:rsidR="0036668C">
        <w:rPr>
          <w:rFonts w:ascii="Times New Roman" w:hAnsi="Times New Roman" w:cs="Times New Roman"/>
          <w:b/>
          <w:sz w:val="24"/>
          <w:szCs w:val="24"/>
        </w:rPr>
        <w:t>1.</w:t>
      </w:r>
      <w:r w:rsidRPr="00550A66">
        <w:rPr>
          <w:rFonts w:ascii="Times New Roman" w:hAnsi="Times New Roman" w:cs="Times New Roman"/>
          <w:sz w:val="24"/>
          <w:szCs w:val="24"/>
        </w:rPr>
        <w:t xml:space="preserve"> Extinct species recorded</w:t>
      </w:r>
    </w:p>
    <w:tbl>
      <w:tblPr>
        <w:tblW w:w="8161" w:type="dxa"/>
        <w:tblCellMar>
          <w:left w:w="70" w:type="dxa"/>
          <w:right w:w="70" w:type="dxa"/>
        </w:tblCellMar>
        <w:tblLook w:val="04A0" w:firstRow="1" w:lastRow="0" w:firstColumn="1" w:lastColumn="0" w:noHBand="0" w:noVBand="1"/>
      </w:tblPr>
      <w:tblGrid>
        <w:gridCol w:w="4213"/>
        <w:gridCol w:w="3948"/>
      </w:tblGrid>
      <w:tr w:rsidR="00550A66" w:rsidRPr="00550A66" w14:paraId="67B7EA2C" w14:textId="77777777" w:rsidTr="00725DD4">
        <w:trPr>
          <w:trHeight w:val="300"/>
        </w:trPr>
        <w:tc>
          <w:tcPr>
            <w:tcW w:w="4213" w:type="dxa"/>
            <w:tcBorders>
              <w:top w:val="single" w:sz="4" w:space="0" w:color="auto"/>
              <w:bottom w:val="single" w:sz="4" w:space="0" w:color="auto"/>
            </w:tcBorders>
            <w:noWrap/>
            <w:vAlign w:val="bottom"/>
            <w:hideMark/>
          </w:tcPr>
          <w:p w14:paraId="1EDAD41C" w14:textId="1889036C" w:rsidR="00A4786B" w:rsidRPr="00550A66" w:rsidRDefault="00522609" w:rsidP="006240AC">
            <w:pPr>
              <w:spacing w:after="0" w:line="240" w:lineRule="auto"/>
              <w:rPr>
                <w:rFonts w:ascii="Times New Roman" w:eastAsia="Times New Roman" w:hAnsi="Times New Roman" w:cs="Times New Roman"/>
                <w:b/>
                <w:bCs/>
                <w:lang w:eastAsia="fr-FR"/>
              </w:rPr>
            </w:pPr>
            <w:r w:rsidRPr="00522609">
              <w:rPr>
                <w:rFonts w:ascii="Times New Roman" w:eastAsia="Times New Roman" w:hAnsi="Times New Roman" w:cs="Times New Roman"/>
                <w:b/>
                <w:bCs/>
                <w:lang w:eastAsia="fr-FR"/>
              </w:rPr>
              <w:t>Extinct species</w:t>
            </w:r>
          </w:p>
        </w:tc>
        <w:tc>
          <w:tcPr>
            <w:tcW w:w="3948" w:type="dxa"/>
            <w:tcBorders>
              <w:top w:val="single" w:sz="4" w:space="0" w:color="auto"/>
              <w:bottom w:val="single" w:sz="4" w:space="0" w:color="auto"/>
            </w:tcBorders>
            <w:noWrap/>
            <w:vAlign w:val="bottom"/>
            <w:hideMark/>
          </w:tcPr>
          <w:p w14:paraId="4C07F111" w14:textId="77777777" w:rsidR="00A4786B" w:rsidRPr="00550A66" w:rsidRDefault="00A4786B" w:rsidP="00B2567E">
            <w:pPr>
              <w:spacing w:after="0" w:line="240" w:lineRule="auto"/>
              <w:jc w:val="right"/>
              <w:rPr>
                <w:rFonts w:ascii="Times New Roman" w:eastAsia="Times New Roman" w:hAnsi="Times New Roman" w:cs="Times New Roman"/>
                <w:b/>
                <w:bCs/>
                <w:lang w:eastAsia="fr-FR"/>
              </w:rPr>
            </w:pPr>
            <w:r w:rsidRPr="00550A66">
              <w:rPr>
                <w:rFonts w:ascii="Times New Roman" w:eastAsia="Times New Roman" w:hAnsi="Times New Roman" w:cs="Times New Roman"/>
                <w:b/>
                <w:bCs/>
                <w:lang w:eastAsia="fr-FR"/>
              </w:rPr>
              <w:t xml:space="preserve">                                                               </w:t>
            </w:r>
            <w:r w:rsidR="00B2567E" w:rsidRPr="00550A66">
              <w:rPr>
                <w:rFonts w:ascii="Times New Roman" w:hAnsi="Times New Roman" w:cs="Times New Roman"/>
                <w:b/>
                <w:sz w:val="24"/>
                <w:szCs w:val="24"/>
              </w:rPr>
              <w:t>Frequency of citation</w:t>
            </w:r>
          </w:p>
        </w:tc>
      </w:tr>
      <w:tr w:rsidR="00550A66" w:rsidRPr="00550A66" w14:paraId="09BF22C1" w14:textId="77777777" w:rsidTr="00725DD4">
        <w:trPr>
          <w:trHeight w:val="300"/>
        </w:trPr>
        <w:tc>
          <w:tcPr>
            <w:tcW w:w="4213" w:type="dxa"/>
            <w:tcBorders>
              <w:top w:val="single" w:sz="4" w:space="0" w:color="auto"/>
              <w:bottom w:val="nil"/>
              <w:right w:val="nil"/>
            </w:tcBorders>
            <w:noWrap/>
            <w:vAlign w:val="bottom"/>
            <w:hideMark/>
          </w:tcPr>
          <w:p w14:paraId="159F8163"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Guiera senegalensis</w:t>
            </w:r>
            <w:r w:rsidRPr="00550A66">
              <w:rPr>
                <w:rFonts w:ascii="Times New Roman" w:eastAsia="Times New Roman" w:hAnsi="Times New Roman" w:cs="Times New Roman"/>
                <w:sz w:val="24"/>
                <w:szCs w:val="24"/>
                <w:lang w:eastAsia="fr-FR"/>
              </w:rPr>
              <w:t xml:space="preserve"> J. F. Gmel</w:t>
            </w:r>
          </w:p>
        </w:tc>
        <w:tc>
          <w:tcPr>
            <w:tcW w:w="3948" w:type="dxa"/>
            <w:tcBorders>
              <w:top w:val="single" w:sz="4" w:space="0" w:color="auto"/>
              <w:left w:val="nil"/>
              <w:bottom w:val="nil"/>
            </w:tcBorders>
            <w:noWrap/>
            <w:vAlign w:val="bottom"/>
            <w:hideMark/>
          </w:tcPr>
          <w:p w14:paraId="23337FEB"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10,78</w:t>
            </w:r>
          </w:p>
        </w:tc>
      </w:tr>
      <w:tr w:rsidR="00550A66" w:rsidRPr="00550A66" w14:paraId="77C07168" w14:textId="77777777" w:rsidTr="00725DD4">
        <w:trPr>
          <w:trHeight w:val="300"/>
        </w:trPr>
        <w:tc>
          <w:tcPr>
            <w:tcW w:w="4213" w:type="dxa"/>
            <w:tcBorders>
              <w:top w:val="nil"/>
              <w:bottom w:val="nil"/>
              <w:right w:val="nil"/>
            </w:tcBorders>
            <w:noWrap/>
            <w:vAlign w:val="bottom"/>
            <w:hideMark/>
          </w:tcPr>
          <w:p w14:paraId="04A50B6D"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Leptadenia pyrotechnica</w:t>
            </w:r>
            <w:r w:rsidRPr="00550A66">
              <w:rPr>
                <w:rFonts w:ascii="Times New Roman" w:eastAsia="Times New Roman" w:hAnsi="Times New Roman" w:cs="Times New Roman"/>
                <w:sz w:val="24"/>
                <w:szCs w:val="24"/>
                <w:lang w:eastAsia="fr-FR"/>
              </w:rPr>
              <w:t xml:space="preserve"> (Forsk.) Decne.</w:t>
            </w:r>
          </w:p>
        </w:tc>
        <w:tc>
          <w:tcPr>
            <w:tcW w:w="3948" w:type="dxa"/>
            <w:tcBorders>
              <w:top w:val="nil"/>
              <w:left w:val="nil"/>
              <w:bottom w:val="nil"/>
            </w:tcBorders>
            <w:noWrap/>
            <w:vAlign w:val="bottom"/>
            <w:hideMark/>
          </w:tcPr>
          <w:p w14:paraId="4AB408B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8,77</w:t>
            </w:r>
          </w:p>
        </w:tc>
      </w:tr>
      <w:tr w:rsidR="00550A66" w:rsidRPr="00550A66" w14:paraId="1C1BDD46" w14:textId="77777777" w:rsidTr="00725DD4">
        <w:trPr>
          <w:trHeight w:val="300"/>
        </w:trPr>
        <w:tc>
          <w:tcPr>
            <w:tcW w:w="4213" w:type="dxa"/>
            <w:tcBorders>
              <w:top w:val="nil"/>
              <w:bottom w:val="nil"/>
              <w:right w:val="nil"/>
            </w:tcBorders>
            <w:noWrap/>
            <w:vAlign w:val="bottom"/>
            <w:hideMark/>
          </w:tcPr>
          <w:p w14:paraId="2CCBA3CF"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Piliostigma reticulatum</w:t>
            </w:r>
            <w:r w:rsidRPr="00550A66">
              <w:rPr>
                <w:rFonts w:ascii="Times New Roman" w:eastAsia="Times New Roman" w:hAnsi="Times New Roman" w:cs="Times New Roman"/>
                <w:sz w:val="24"/>
                <w:szCs w:val="24"/>
                <w:lang w:eastAsia="fr-FR"/>
              </w:rPr>
              <w:t xml:space="preserve"> (DC.) Hochst.</w:t>
            </w:r>
          </w:p>
        </w:tc>
        <w:tc>
          <w:tcPr>
            <w:tcW w:w="3948" w:type="dxa"/>
            <w:tcBorders>
              <w:top w:val="nil"/>
              <w:left w:val="nil"/>
              <w:bottom w:val="nil"/>
            </w:tcBorders>
            <w:noWrap/>
            <w:vAlign w:val="bottom"/>
            <w:hideMark/>
          </w:tcPr>
          <w:p w14:paraId="1B580DF3"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8,77</w:t>
            </w:r>
          </w:p>
        </w:tc>
      </w:tr>
      <w:tr w:rsidR="00550A66" w:rsidRPr="00550A66" w14:paraId="4E817703" w14:textId="77777777" w:rsidTr="00725DD4">
        <w:trPr>
          <w:trHeight w:val="300"/>
        </w:trPr>
        <w:tc>
          <w:tcPr>
            <w:tcW w:w="4213" w:type="dxa"/>
            <w:tcBorders>
              <w:top w:val="nil"/>
              <w:bottom w:val="nil"/>
              <w:right w:val="nil"/>
            </w:tcBorders>
            <w:noWrap/>
            <w:vAlign w:val="bottom"/>
            <w:hideMark/>
          </w:tcPr>
          <w:p w14:paraId="74049088"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Acacia senegal</w:t>
            </w:r>
            <w:r w:rsidRPr="00550A66">
              <w:rPr>
                <w:rFonts w:ascii="Times New Roman" w:eastAsia="Times New Roman" w:hAnsi="Times New Roman" w:cs="Times New Roman"/>
                <w:sz w:val="24"/>
                <w:szCs w:val="24"/>
                <w:lang w:eastAsia="fr-FR"/>
              </w:rPr>
              <w:t xml:space="preserve"> (L.) Willd.</w:t>
            </w:r>
          </w:p>
        </w:tc>
        <w:tc>
          <w:tcPr>
            <w:tcW w:w="3948" w:type="dxa"/>
            <w:tcBorders>
              <w:top w:val="nil"/>
              <w:left w:val="nil"/>
              <w:bottom w:val="nil"/>
            </w:tcBorders>
            <w:noWrap/>
            <w:vAlign w:val="bottom"/>
            <w:hideMark/>
          </w:tcPr>
          <w:p w14:paraId="6E29A3E5"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8,27</w:t>
            </w:r>
          </w:p>
        </w:tc>
      </w:tr>
      <w:tr w:rsidR="00550A66" w:rsidRPr="00550A66" w14:paraId="29A0886C" w14:textId="77777777" w:rsidTr="00725DD4">
        <w:trPr>
          <w:trHeight w:val="300"/>
        </w:trPr>
        <w:tc>
          <w:tcPr>
            <w:tcW w:w="4213" w:type="dxa"/>
            <w:tcBorders>
              <w:top w:val="nil"/>
              <w:bottom w:val="nil"/>
              <w:right w:val="nil"/>
            </w:tcBorders>
            <w:noWrap/>
            <w:vAlign w:val="bottom"/>
            <w:hideMark/>
          </w:tcPr>
          <w:p w14:paraId="57BF7A7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Faidherbia albida</w:t>
            </w:r>
            <w:r w:rsidRPr="00550A66">
              <w:rPr>
                <w:rFonts w:ascii="Times New Roman" w:eastAsia="Times New Roman" w:hAnsi="Times New Roman" w:cs="Times New Roman"/>
                <w:sz w:val="24"/>
                <w:szCs w:val="24"/>
                <w:lang w:eastAsia="fr-FR"/>
              </w:rPr>
              <w:t xml:space="preserve"> (Del.) A. Chev.</w:t>
            </w:r>
          </w:p>
        </w:tc>
        <w:tc>
          <w:tcPr>
            <w:tcW w:w="3948" w:type="dxa"/>
            <w:tcBorders>
              <w:top w:val="nil"/>
              <w:left w:val="nil"/>
              <w:bottom w:val="nil"/>
            </w:tcBorders>
            <w:noWrap/>
            <w:vAlign w:val="bottom"/>
            <w:hideMark/>
          </w:tcPr>
          <w:p w14:paraId="67C91E6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8,27</w:t>
            </w:r>
          </w:p>
        </w:tc>
      </w:tr>
      <w:tr w:rsidR="00550A66" w:rsidRPr="00550A66" w14:paraId="2B5C892F" w14:textId="77777777" w:rsidTr="00725DD4">
        <w:trPr>
          <w:trHeight w:val="300"/>
        </w:trPr>
        <w:tc>
          <w:tcPr>
            <w:tcW w:w="4213" w:type="dxa"/>
            <w:tcBorders>
              <w:top w:val="nil"/>
              <w:bottom w:val="nil"/>
              <w:right w:val="nil"/>
            </w:tcBorders>
            <w:noWrap/>
            <w:vAlign w:val="bottom"/>
            <w:hideMark/>
          </w:tcPr>
          <w:p w14:paraId="0E9E6EC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lastRenderedPageBreak/>
              <w:t>Acacia chrembergiana</w:t>
            </w:r>
            <w:r w:rsidRPr="00550A66">
              <w:rPr>
                <w:rFonts w:ascii="Times New Roman" w:eastAsia="Times New Roman" w:hAnsi="Times New Roman" w:cs="Times New Roman"/>
                <w:sz w:val="24"/>
                <w:szCs w:val="24"/>
                <w:lang w:eastAsia="fr-FR"/>
              </w:rPr>
              <w:t xml:space="preserve"> Hayne.</w:t>
            </w:r>
          </w:p>
        </w:tc>
        <w:tc>
          <w:tcPr>
            <w:tcW w:w="3948" w:type="dxa"/>
            <w:tcBorders>
              <w:top w:val="nil"/>
              <w:left w:val="nil"/>
              <w:bottom w:val="nil"/>
            </w:tcBorders>
            <w:noWrap/>
            <w:vAlign w:val="bottom"/>
            <w:hideMark/>
          </w:tcPr>
          <w:p w14:paraId="6F0B9B95"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7,77</w:t>
            </w:r>
          </w:p>
        </w:tc>
      </w:tr>
      <w:tr w:rsidR="00550A66" w:rsidRPr="00550A66" w14:paraId="07295148" w14:textId="77777777" w:rsidTr="00725DD4">
        <w:trPr>
          <w:trHeight w:val="300"/>
        </w:trPr>
        <w:tc>
          <w:tcPr>
            <w:tcW w:w="4213" w:type="dxa"/>
            <w:tcBorders>
              <w:top w:val="nil"/>
              <w:bottom w:val="nil"/>
              <w:right w:val="nil"/>
            </w:tcBorders>
            <w:noWrap/>
            <w:vAlign w:val="bottom"/>
            <w:hideMark/>
          </w:tcPr>
          <w:p w14:paraId="180792D7"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Euphorbia balsamifera</w:t>
            </w:r>
            <w:r w:rsidRPr="00550A66">
              <w:rPr>
                <w:rFonts w:ascii="Times New Roman" w:eastAsia="Times New Roman" w:hAnsi="Times New Roman" w:cs="Times New Roman"/>
                <w:sz w:val="24"/>
                <w:szCs w:val="24"/>
                <w:lang w:eastAsia="fr-FR"/>
              </w:rPr>
              <w:t xml:space="preserve"> Ait.</w:t>
            </w:r>
          </w:p>
        </w:tc>
        <w:tc>
          <w:tcPr>
            <w:tcW w:w="3948" w:type="dxa"/>
            <w:tcBorders>
              <w:top w:val="nil"/>
              <w:left w:val="nil"/>
              <w:bottom w:val="nil"/>
            </w:tcBorders>
            <w:noWrap/>
            <w:vAlign w:val="bottom"/>
            <w:hideMark/>
          </w:tcPr>
          <w:p w14:paraId="7598EF82"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6,27</w:t>
            </w:r>
          </w:p>
        </w:tc>
      </w:tr>
      <w:tr w:rsidR="00550A66" w:rsidRPr="00550A66" w14:paraId="77860557" w14:textId="77777777" w:rsidTr="00725DD4">
        <w:trPr>
          <w:trHeight w:val="300"/>
        </w:trPr>
        <w:tc>
          <w:tcPr>
            <w:tcW w:w="4213" w:type="dxa"/>
            <w:tcBorders>
              <w:top w:val="nil"/>
              <w:bottom w:val="nil"/>
              <w:right w:val="nil"/>
            </w:tcBorders>
            <w:noWrap/>
            <w:vAlign w:val="bottom"/>
            <w:hideMark/>
          </w:tcPr>
          <w:p w14:paraId="571FDECB"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Commiphora africana</w:t>
            </w:r>
            <w:r w:rsidRPr="00550A66">
              <w:rPr>
                <w:rFonts w:ascii="Times New Roman" w:eastAsia="Times New Roman" w:hAnsi="Times New Roman" w:cs="Times New Roman"/>
                <w:sz w:val="24"/>
                <w:szCs w:val="24"/>
                <w:lang w:eastAsia="fr-FR"/>
              </w:rPr>
              <w:t xml:space="preserve"> (A. Rich.) Engl.</w:t>
            </w:r>
          </w:p>
        </w:tc>
        <w:tc>
          <w:tcPr>
            <w:tcW w:w="3948" w:type="dxa"/>
            <w:tcBorders>
              <w:top w:val="nil"/>
              <w:left w:val="nil"/>
              <w:bottom w:val="nil"/>
            </w:tcBorders>
            <w:noWrap/>
            <w:vAlign w:val="bottom"/>
            <w:hideMark/>
          </w:tcPr>
          <w:p w14:paraId="7CB2EEF4"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6,02</w:t>
            </w:r>
          </w:p>
        </w:tc>
      </w:tr>
      <w:tr w:rsidR="00550A66" w:rsidRPr="00550A66" w14:paraId="517F2399" w14:textId="77777777" w:rsidTr="00725DD4">
        <w:trPr>
          <w:trHeight w:val="300"/>
        </w:trPr>
        <w:tc>
          <w:tcPr>
            <w:tcW w:w="4213" w:type="dxa"/>
            <w:tcBorders>
              <w:top w:val="nil"/>
              <w:bottom w:val="nil"/>
              <w:right w:val="nil"/>
            </w:tcBorders>
            <w:noWrap/>
            <w:vAlign w:val="bottom"/>
            <w:hideMark/>
          </w:tcPr>
          <w:p w14:paraId="6B87E0CD"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Balanites aegyptiaca</w:t>
            </w:r>
            <w:r w:rsidRPr="00550A66">
              <w:rPr>
                <w:rFonts w:ascii="Times New Roman" w:eastAsia="Times New Roman" w:hAnsi="Times New Roman" w:cs="Times New Roman"/>
                <w:sz w:val="24"/>
                <w:szCs w:val="24"/>
                <w:lang w:eastAsia="fr-FR"/>
              </w:rPr>
              <w:t xml:space="preserve"> (L.) Del.</w:t>
            </w:r>
          </w:p>
        </w:tc>
        <w:tc>
          <w:tcPr>
            <w:tcW w:w="3948" w:type="dxa"/>
            <w:tcBorders>
              <w:top w:val="nil"/>
              <w:left w:val="nil"/>
              <w:bottom w:val="nil"/>
            </w:tcBorders>
            <w:noWrap/>
            <w:vAlign w:val="bottom"/>
            <w:hideMark/>
          </w:tcPr>
          <w:p w14:paraId="56C7FE9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4,51</w:t>
            </w:r>
          </w:p>
        </w:tc>
      </w:tr>
      <w:tr w:rsidR="00550A66" w:rsidRPr="00550A66" w14:paraId="20659ABB" w14:textId="77777777" w:rsidTr="00725DD4">
        <w:trPr>
          <w:trHeight w:val="300"/>
        </w:trPr>
        <w:tc>
          <w:tcPr>
            <w:tcW w:w="4213" w:type="dxa"/>
            <w:tcBorders>
              <w:top w:val="nil"/>
              <w:bottom w:val="nil"/>
              <w:right w:val="nil"/>
            </w:tcBorders>
            <w:noWrap/>
            <w:vAlign w:val="bottom"/>
            <w:hideMark/>
          </w:tcPr>
          <w:p w14:paraId="158593A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Bauhinia rufescens</w:t>
            </w:r>
            <w:r w:rsidRPr="00550A66">
              <w:rPr>
                <w:rFonts w:ascii="Times New Roman" w:eastAsia="Times New Roman" w:hAnsi="Times New Roman" w:cs="Times New Roman"/>
                <w:sz w:val="24"/>
                <w:szCs w:val="24"/>
                <w:lang w:eastAsia="fr-FR"/>
              </w:rPr>
              <w:t xml:space="preserve"> Lam.</w:t>
            </w:r>
          </w:p>
        </w:tc>
        <w:tc>
          <w:tcPr>
            <w:tcW w:w="3948" w:type="dxa"/>
            <w:tcBorders>
              <w:top w:val="nil"/>
              <w:left w:val="nil"/>
              <w:bottom w:val="nil"/>
            </w:tcBorders>
            <w:noWrap/>
            <w:vAlign w:val="bottom"/>
            <w:hideMark/>
          </w:tcPr>
          <w:p w14:paraId="407D424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4,26</w:t>
            </w:r>
          </w:p>
        </w:tc>
      </w:tr>
      <w:tr w:rsidR="00550A66" w:rsidRPr="00550A66" w14:paraId="353D45AA" w14:textId="77777777" w:rsidTr="00725DD4">
        <w:trPr>
          <w:trHeight w:val="300"/>
        </w:trPr>
        <w:tc>
          <w:tcPr>
            <w:tcW w:w="4213" w:type="dxa"/>
            <w:tcBorders>
              <w:top w:val="nil"/>
              <w:bottom w:val="nil"/>
              <w:right w:val="nil"/>
            </w:tcBorders>
            <w:noWrap/>
            <w:vAlign w:val="bottom"/>
            <w:hideMark/>
          </w:tcPr>
          <w:p w14:paraId="74EDBD17"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Annona senegalensis</w:t>
            </w:r>
            <w:r w:rsidRPr="00550A66">
              <w:rPr>
                <w:rFonts w:ascii="Times New Roman" w:eastAsia="Times New Roman" w:hAnsi="Times New Roman" w:cs="Times New Roman"/>
                <w:sz w:val="24"/>
                <w:szCs w:val="24"/>
                <w:lang w:eastAsia="fr-FR"/>
              </w:rPr>
              <w:t xml:space="preserve"> Pers. </w:t>
            </w:r>
          </w:p>
        </w:tc>
        <w:tc>
          <w:tcPr>
            <w:tcW w:w="3948" w:type="dxa"/>
            <w:tcBorders>
              <w:top w:val="nil"/>
              <w:left w:val="nil"/>
              <w:bottom w:val="nil"/>
            </w:tcBorders>
            <w:noWrap/>
            <w:vAlign w:val="bottom"/>
            <w:hideMark/>
          </w:tcPr>
          <w:p w14:paraId="5F7C0E4B"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4,01</w:t>
            </w:r>
          </w:p>
        </w:tc>
      </w:tr>
      <w:tr w:rsidR="00550A66" w:rsidRPr="00550A66" w14:paraId="16810F8A" w14:textId="77777777" w:rsidTr="00725DD4">
        <w:trPr>
          <w:trHeight w:val="300"/>
        </w:trPr>
        <w:tc>
          <w:tcPr>
            <w:tcW w:w="4213" w:type="dxa"/>
            <w:tcBorders>
              <w:top w:val="nil"/>
              <w:bottom w:val="nil"/>
              <w:right w:val="nil"/>
            </w:tcBorders>
            <w:noWrap/>
            <w:vAlign w:val="bottom"/>
            <w:hideMark/>
          </w:tcPr>
          <w:p w14:paraId="0AA64C40"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Tamarindus indica</w:t>
            </w:r>
            <w:r w:rsidRPr="00550A66">
              <w:rPr>
                <w:rFonts w:ascii="Times New Roman" w:eastAsia="Times New Roman" w:hAnsi="Times New Roman" w:cs="Times New Roman"/>
                <w:sz w:val="24"/>
                <w:szCs w:val="24"/>
                <w:lang w:eastAsia="fr-FR"/>
              </w:rPr>
              <w:t xml:space="preserve"> L.</w:t>
            </w:r>
          </w:p>
        </w:tc>
        <w:tc>
          <w:tcPr>
            <w:tcW w:w="3948" w:type="dxa"/>
            <w:tcBorders>
              <w:top w:val="nil"/>
              <w:left w:val="nil"/>
              <w:bottom w:val="nil"/>
            </w:tcBorders>
            <w:noWrap/>
            <w:vAlign w:val="bottom"/>
            <w:hideMark/>
          </w:tcPr>
          <w:p w14:paraId="28C7DD4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3,76</w:t>
            </w:r>
          </w:p>
        </w:tc>
      </w:tr>
      <w:tr w:rsidR="00550A66" w:rsidRPr="00550A66" w14:paraId="3A728235" w14:textId="77777777" w:rsidTr="00725DD4">
        <w:trPr>
          <w:trHeight w:val="300"/>
        </w:trPr>
        <w:tc>
          <w:tcPr>
            <w:tcW w:w="4213" w:type="dxa"/>
            <w:tcBorders>
              <w:top w:val="nil"/>
              <w:bottom w:val="nil"/>
              <w:right w:val="nil"/>
            </w:tcBorders>
            <w:noWrap/>
            <w:vAlign w:val="bottom"/>
            <w:hideMark/>
          </w:tcPr>
          <w:p w14:paraId="703DE8B0"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Zizyphus mauritiana</w:t>
            </w:r>
            <w:r w:rsidRPr="00550A66">
              <w:rPr>
                <w:rFonts w:ascii="Times New Roman" w:eastAsia="Times New Roman" w:hAnsi="Times New Roman" w:cs="Times New Roman"/>
                <w:sz w:val="24"/>
                <w:szCs w:val="24"/>
                <w:lang w:eastAsia="fr-FR"/>
              </w:rPr>
              <w:t xml:space="preserve"> Lam.</w:t>
            </w:r>
          </w:p>
        </w:tc>
        <w:tc>
          <w:tcPr>
            <w:tcW w:w="3948" w:type="dxa"/>
            <w:tcBorders>
              <w:top w:val="nil"/>
              <w:left w:val="nil"/>
              <w:bottom w:val="nil"/>
            </w:tcBorders>
            <w:noWrap/>
            <w:vAlign w:val="bottom"/>
            <w:hideMark/>
          </w:tcPr>
          <w:p w14:paraId="121493B0"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3,76</w:t>
            </w:r>
          </w:p>
        </w:tc>
      </w:tr>
      <w:tr w:rsidR="00550A66" w:rsidRPr="00550A66" w14:paraId="1E6B04C3" w14:textId="77777777" w:rsidTr="00725DD4">
        <w:trPr>
          <w:trHeight w:val="300"/>
        </w:trPr>
        <w:tc>
          <w:tcPr>
            <w:tcW w:w="4213" w:type="dxa"/>
            <w:tcBorders>
              <w:top w:val="nil"/>
              <w:bottom w:val="nil"/>
              <w:right w:val="nil"/>
            </w:tcBorders>
            <w:noWrap/>
            <w:vAlign w:val="bottom"/>
            <w:hideMark/>
          </w:tcPr>
          <w:p w14:paraId="55F9F8BB"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Combretum glutinosum</w:t>
            </w:r>
            <w:r w:rsidRPr="00550A66">
              <w:rPr>
                <w:rFonts w:ascii="Times New Roman" w:eastAsia="Times New Roman" w:hAnsi="Times New Roman" w:cs="Times New Roman"/>
                <w:sz w:val="24"/>
                <w:szCs w:val="24"/>
                <w:lang w:eastAsia="fr-FR"/>
              </w:rPr>
              <w:t xml:space="preserve"> Perr.</w:t>
            </w:r>
          </w:p>
        </w:tc>
        <w:tc>
          <w:tcPr>
            <w:tcW w:w="3948" w:type="dxa"/>
            <w:tcBorders>
              <w:top w:val="nil"/>
              <w:left w:val="nil"/>
              <w:bottom w:val="nil"/>
            </w:tcBorders>
            <w:noWrap/>
            <w:vAlign w:val="bottom"/>
            <w:hideMark/>
          </w:tcPr>
          <w:p w14:paraId="71C7F0BA"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3,51</w:t>
            </w:r>
          </w:p>
        </w:tc>
      </w:tr>
      <w:tr w:rsidR="00550A66" w:rsidRPr="00550A66" w14:paraId="75F72CA8" w14:textId="77777777" w:rsidTr="00725DD4">
        <w:trPr>
          <w:trHeight w:val="300"/>
        </w:trPr>
        <w:tc>
          <w:tcPr>
            <w:tcW w:w="4213" w:type="dxa"/>
            <w:tcBorders>
              <w:top w:val="nil"/>
              <w:bottom w:val="nil"/>
              <w:right w:val="nil"/>
            </w:tcBorders>
            <w:noWrap/>
            <w:vAlign w:val="bottom"/>
            <w:hideMark/>
          </w:tcPr>
          <w:p w14:paraId="0AA2639E"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Acacia nilotica</w:t>
            </w:r>
            <w:r w:rsidRPr="00550A66">
              <w:rPr>
                <w:rFonts w:ascii="Times New Roman" w:eastAsia="Times New Roman" w:hAnsi="Times New Roman" w:cs="Times New Roman"/>
                <w:sz w:val="24"/>
                <w:szCs w:val="24"/>
                <w:lang w:eastAsia="fr-FR"/>
              </w:rPr>
              <w:t xml:space="preserve"> (L.) Willd. ex Delile</w:t>
            </w:r>
          </w:p>
        </w:tc>
        <w:tc>
          <w:tcPr>
            <w:tcW w:w="3948" w:type="dxa"/>
            <w:tcBorders>
              <w:top w:val="nil"/>
              <w:left w:val="nil"/>
              <w:bottom w:val="nil"/>
            </w:tcBorders>
            <w:noWrap/>
            <w:vAlign w:val="bottom"/>
            <w:hideMark/>
          </w:tcPr>
          <w:p w14:paraId="12D44F6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3,01</w:t>
            </w:r>
          </w:p>
        </w:tc>
      </w:tr>
      <w:tr w:rsidR="00550A66" w:rsidRPr="00550A66" w14:paraId="6E0C1BE0" w14:textId="77777777" w:rsidTr="00725DD4">
        <w:trPr>
          <w:trHeight w:val="300"/>
        </w:trPr>
        <w:tc>
          <w:tcPr>
            <w:tcW w:w="4213" w:type="dxa"/>
            <w:tcBorders>
              <w:top w:val="nil"/>
              <w:bottom w:val="nil"/>
              <w:right w:val="nil"/>
            </w:tcBorders>
            <w:noWrap/>
            <w:vAlign w:val="bottom"/>
            <w:hideMark/>
          </w:tcPr>
          <w:p w14:paraId="26792E1B"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Sclerocarya birrea</w:t>
            </w:r>
            <w:r w:rsidRPr="00550A66">
              <w:rPr>
                <w:rFonts w:ascii="Times New Roman" w:eastAsia="Times New Roman" w:hAnsi="Times New Roman" w:cs="Times New Roman"/>
                <w:sz w:val="24"/>
                <w:szCs w:val="24"/>
                <w:lang w:eastAsia="fr-FR"/>
              </w:rPr>
              <w:t xml:space="preserve"> (A. Rich.) Hochst.</w:t>
            </w:r>
          </w:p>
        </w:tc>
        <w:tc>
          <w:tcPr>
            <w:tcW w:w="3948" w:type="dxa"/>
            <w:tcBorders>
              <w:top w:val="nil"/>
              <w:left w:val="nil"/>
              <w:bottom w:val="nil"/>
            </w:tcBorders>
            <w:noWrap/>
            <w:vAlign w:val="bottom"/>
            <w:hideMark/>
          </w:tcPr>
          <w:p w14:paraId="11EA8C11"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3,01</w:t>
            </w:r>
          </w:p>
        </w:tc>
      </w:tr>
      <w:tr w:rsidR="00550A66" w:rsidRPr="00550A66" w14:paraId="1A910E58" w14:textId="77777777" w:rsidTr="00725DD4">
        <w:trPr>
          <w:trHeight w:val="300"/>
        </w:trPr>
        <w:tc>
          <w:tcPr>
            <w:tcW w:w="4213" w:type="dxa"/>
            <w:tcBorders>
              <w:top w:val="nil"/>
              <w:bottom w:val="nil"/>
              <w:right w:val="nil"/>
            </w:tcBorders>
            <w:noWrap/>
            <w:vAlign w:val="bottom"/>
            <w:hideMark/>
          </w:tcPr>
          <w:p w14:paraId="619646F3"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Zizyphus spina-christi</w:t>
            </w:r>
            <w:r w:rsidRPr="00550A66">
              <w:rPr>
                <w:rFonts w:ascii="Times New Roman" w:eastAsia="Times New Roman" w:hAnsi="Times New Roman" w:cs="Times New Roman"/>
                <w:sz w:val="24"/>
                <w:szCs w:val="24"/>
                <w:lang w:eastAsia="fr-FR"/>
              </w:rPr>
              <w:t xml:space="preserve"> (L.) Desf. </w:t>
            </w:r>
          </w:p>
        </w:tc>
        <w:tc>
          <w:tcPr>
            <w:tcW w:w="3948" w:type="dxa"/>
            <w:tcBorders>
              <w:top w:val="nil"/>
              <w:left w:val="nil"/>
              <w:bottom w:val="nil"/>
            </w:tcBorders>
            <w:noWrap/>
            <w:vAlign w:val="bottom"/>
            <w:hideMark/>
          </w:tcPr>
          <w:p w14:paraId="5D2CCBBE"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2,76</w:t>
            </w:r>
          </w:p>
        </w:tc>
      </w:tr>
      <w:tr w:rsidR="00550A66" w:rsidRPr="00550A66" w14:paraId="2B1B8363" w14:textId="77777777" w:rsidTr="00725DD4">
        <w:trPr>
          <w:trHeight w:val="300"/>
        </w:trPr>
        <w:tc>
          <w:tcPr>
            <w:tcW w:w="4213" w:type="dxa"/>
            <w:tcBorders>
              <w:top w:val="nil"/>
              <w:bottom w:val="single" w:sz="4" w:space="0" w:color="auto"/>
              <w:right w:val="nil"/>
            </w:tcBorders>
            <w:noWrap/>
            <w:vAlign w:val="bottom"/>
            <w:hideMark/>
          </w:tcPr>
          <w:p w14:paraId="49E00309"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Adansonia digitata</w:t>
            </w:r>
            <w:r w:rsidRPr="00550A66">
              <w:rPr>
                <w:rFonts w:ascii="Times New Roman" w:eastAsia="Times New Roman" w:hAnsi="Times New Roman" w:cs="Times New Roman"/>
                <w:sz w:val="24"/>
                <w:szCs w:val="24"/>
                <w:lang w:eastAsia="fr-FR"/>
              </w:rPr>
              <w:t xml:space="preserve"> L.</w:t>
            </w:r>
          </w:p>
        </w:tc>
        <w:tc>
          <w:tcPr>
            <w:tcW w:w="3948" w:type="dxa"/>
            <w:tcBorders>
              <w:top w:val="nil"/>
              <w:left w:val="nil"/>
              <w:bottom w:val="single" w:sz="4" w:space="0" w:color="auto"/>
            </w:tcBorders>
            <w:noWrap/>
            <w:vAlign w:val="bottom"/>
            <w:hideMark/>
          </w:tcPr>
          <w:p w14:paraId="31E14B8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2,51</w:t>
            </w:r>
          </w:p>
        </w:tc>
      </w:tr>
      <w:tr w:rsidR="00550A66" w:rsidRPr="00550A66" w14:paraId="6D830F91" w14:textId="77777777" w:rsidTr="00725DD4">
        <w:trPr>
          <w:trHeight w:val="300"/>
        </w:trPr>
        <w:tc>
          <w:tcPr>
            <w:tcW w:w="4213" w:type="dxa"/>
            <w:tcBorders>
              <w:top w:val="single" w:sz="4" w:space="0" w:color="auto"/>
              <w:bottom w:val="single" w:sz="4" w:space="0" w:color="auto"/>
            </w:tcBorders>
            <w:noWrap/>
            <w:vAlign w:val="bottom"/>
            <w:hideMark/>
          </w:tcPr>
          <w:p w14:paraId="598C44C8"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sz w:val="24"/>
                <w:szCs w:val="24"/>
                <w:lang w:eastAsia="fr-FR"/>
              </w:rPr>
              <w:t xml:space="preserve"> Total : 18 </w:t>
            </w:r>
            <w:r w:rsidR="000F786E" w:rsidRPr="00550A66">
              <w:rPr>
                <w:rFonts w:ascii="Times New Roman" w:hAnsi="Times New Roman" w:cs="Times New Roman"/>
                <w:sz w:val="24"/>
                <w:szCs w:val="24"/>
              </w:rPr>
              <w:t>species</w:t>
            </w:r>
          </w:p>
        </w:tc>
        <w:tc>
          <w:tcPr>
            <w:tcW w:w="3948" w:type="dxa"/>
            <w:tcBorders>
              <w:top w:val="single" w:sz="4" w:space="0" w:color="auto"/>
              <w:bottom w:val="single" w:sz="4" w:space="0" w:color="auto"/>
            </w:tcBorders>
            <w:noWrap/>
            <w:vAlign w:val="bottom"/>
            <w:hideMark/>
          </w:tcPr>
          <w:p w14:paraId="753781F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100</w:t>
            </w:r>
          </w:p>
        </w:tc>
      </w:tr>
    </w:tbl>
    <w:p w14:paraId="57F9184C" w14:textId="77777777" w:rsidR="00A4786B" w:rsidRPr="00550A66" w:rsidRDefault="00A4786B" w:rsidP="00A4786B">
      <w:pPr>
        <w:jc w:val="both"/>
        <w:rPr>
          <w:rFonts w:ascii="Times New Roman" w:hAnsi="Times New Roman" w:cs="Times New Roman"/>
          <w:b/>
          <w:sz w:val="24"/>
          <w:szCs w:val="24"/>
        </w:rPr>
      </w:pPr>
      <w:r w:rsidRPr="00550A66">
        <w:rPr>
          <w:rFonts w:ascii="Times New Roman" w:hAnsi="Times New Roman" w:cs="Times New Roman"/>
          <w:b/>
          <w:sz w:val="24"/>
          <w:szCs w:val="24"/>
        </w:rPr>
        <w:t>Activities impacting vegetation</w:t>
      </w:r>
    </w:p>
    <w:p w14:paraId="0A2607BC" w14:textId="77777777"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sz w:val="24"/>
          <w:szCs w:val="24"/>
        </w:rPr>
        <w:t>The majority of respondents believe that plant biodiversity in the municipality is deteriorating and is currently undergoing a sharp decline. This degradation of species is largely the result of multiple and complex combined factors, including human activities and natural factors. Plants have many uses, including human and animal food, human and animal health, wood for energy and construction. Excessive tree cutting (for firewood, service wood, and timber) is the activity that has the greatest impact on vegetation</w:t>
      </w:r>
      <w:r w:rsidR="000F786E" w:rsidRPr="00550A66">
        <w:rPr>
          <w:rFonts w:ascii="Times New Roman" w:hAnsi="Times New Roman" w:cs="Times New Roman"/>
          <w:sz w:val="24"/>
          <w:szCs w:val="24"/>
        </w:rPr>
        <w:t xml:space="preserve"> (figure 3)</w:t>
      </w:r>
      <w:r w:rsidRPr="00550A66">
        <w:rPr>
          <w:rFonts w:ascii="Times New Roman" w:hAnsi="Times New Roman" w:cs="Times New Roman"/>
          <w:sz w:val="24"/>
          <w:szCs w:val="24"/>
        </w:rPr>
        <w:t>.</w:t>
      </w:r>
    </w:p>
    <w:p w14:paraId="70036EE4" w14:textId="77777777" w:rsidR="00A4786B" w:rsidRPr="00550A66" w:rsidRDefault="002F407E" w:rsidP="00A4786B">
      <w:pPr>
        <w:jc w:val="both"/>
        <w:rPr>
          <w:rFonts w:ascii="Times New Roman" w:hAnsi="Times New Roman" w:cs="Times New Roman"/>
          <w:sz w:val="24"/>
          <w:szCs w:val="24"/>
        </w:rPr>
      </w:pPr>
      <w:r w:rsidRPr="00550A66">
        <w:rPr>
          <w:rFonts w:ascii="Times New Roman" w:hAnsi="Times New Roman" w:cs="Times New Roman"/>
          <w:noProof/>
          <w:lang w:eastAsia="fr-FR"/>
        </w:rPr>
        <w:drawing>
          <wp:inline distT="0" distB="0" distL="0" distR="0" wp14:anchorId="68C5FE1E" wp14:editId="0EB2A2B6">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C2187D" w14:textId="77777777" w:rsidR="0024192F"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sz w:val="24"/>
          <w:szCs w:val="24"/>
        </w:rPr>
        <w:t>Figure 3</w:t>
      </w:r>
      <w:r w:rsidR="0024192F" w:rsidRPr="00550A66">
        <w:rPr>
          <w:rFonts w:ascii="Times New Roman" w:hAnsi="Times New Roman" w:cs="Times New Roman"/>
          <w:sz w:val="24"/>
          <w:szCs w:val="24"/>
        </w:rPr>
        <w:t xml:space="preserve"> Activities impacting vegetation.</w:t>
      </w:r>
    </w:p>
    <w:p w14:paraId="07325066"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Species that have appeared</w:t>
      </w:r>
    </w:p>
    <w:p w14:paraId="30431C7E"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According to the municipality's population, no species have appeared or been introduced in the 10 years since Prosopis juliflora was introduced to counteract desertification. This species is used because it is resistant to the most extreme ecological conditions and has a rapid regeneration capacity.</w:t>
      </w:r>
    </w:p>
    <w:p w14:paraId="19A8D389"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Ecosystem service</w:t>
      </w:r>
    </w:p>
    <w:p w14:paraId="7CC7E65D"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lastRenderedPageBreak/>
        <w:t>Species used in human food</w:t>
      </w:r>
    </w:p>
    <w:p w14:paraId="1BDD7573"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 xml:space="preserve">The figure </w:t>
      </w:r>
      <w:r w:rsidR="000F786E" w:rsidRPr="00550A66">
        <w:rPr>
          <w:rFonts w:ascii="Times New Roman" w:hAnsi="Times New Roman" w:cs="Times New Roman"/>
          <w:sz w:val="24"/>
          <w:szCs w:val="24"/>
        </w:rPr>
        <w:t xml:space="preserve">4 </w:t>
      </w:r>
      <w:r w:rsidRPr="00550A66">
        <w:rPr>
          <w:rFonts w:ascii="Times New Roman" w:hAnsi="Times New Roman" w:cs="Times New Roman"/>
          <w:sz w:val="24"/>
          <w:szCs w:val="24"/>
        </w:rPr>
        <w:t>below shows the plant species used in human food. It consists of many plant species, the most commonly consumed of which are: Phoenix dactylifera L., Moringa oleifera Lam., Leptadenia hastata (Pers.) Decne., Hyphaene thebaica (L.) Mart., Zizyphus mauritiana Lam., Zizyphus spina-christi (L.) Desf., and Maerua crassifolia Forsk.</w:t>
      </w:r>
    </w:p>
    <w:p w14:paraId="19EF7367"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eastAsia="fr-FR"/>
        </w:rPr>
        <w:drawing>
          <wp:inline distT="0" distB="0" distL="0" distR="0" wp14:anchorId="7618E37A" wp14:editId="33DBA479">
            <wp:extent cx="5760720" cy="4293235"/>
            <wp:effectExtent l="0" t="0" r="11430" b="12065"/>
            <wp:docPr id="1460269932" name="Graphique 1">
              <a:extLst xmlns:a="http://schemas.openxmlformats.org/drawingml/2006/main">
                <a:ext uri="{FF2B5EF4-FFF2-40B4-BE49-F238E27FC236}">
                  <a16:creationId xmlns:a16="http://schemas.microsoft.com/office/drawing/2014/main" id="{FFBA6866-199F-382D-D7F5-58A49EAC54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2AF9DB" w14:textId="77777777" w:rsidR="0024192F"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b/>
          <w:sz w:val="24"/>
          <w:szCs w:val="24"/>
        </w:rPr>
        <w:t>Figure 4</w:t>
      </w:r>
      <w:r w:rsidR="00C83CF6" w:rsidRPr="00550A66">
        <w:rPr>
          <w:rFonts w:ascii="Times New Roman" w:hAnsi="Times New Roman" w:cs="Times New Roman"/>
          <w:b/>
          <w:sz w:val="24"/>
          <w:szCs w:val="24"/>
        </w:rPr>
        <w:t> :</w:t>
      </w:r>
      <w:r w:rsidR="0024192F" w:rsidRPr="00550A66">
        <w:rPr>
          <w:rFonts w:ascii="Times New Roman" w:hAnsi="Times New Roman" w:cs="Times New Roman"/>
          <w:sz w:val="24"/>
          <w:szCs w:val="24"/>
        </w:rPr>
        <w:t xml:space="preserve"> Species consumed in human food</w:t>
      </w:r>
    </w:p>
    <w:p w14:paraId="15C00C52"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Species used in animal feed</w:t>
      </w:r>
    </w:p>
    <w:p w14:paraId="03A55D64"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According to the population, the plant species most appetizing to animals are the following: Acacia tortilis (Subsp.) Savi., Boscia senegalensis Lam., Boerhavia repens L., Prosopis juliflora (Sw.) DC., Maerua crassifolia Forsk., Panicum turgidum Forsk., Tribulus terrestris L., Faidherbia albida (Del.) A. Chev., with their respective frequencies of 17.57%; 11.94%; 11.04%; 10.81%; 10.59%; 9.91%; 7.21%; 5.18%. The figure</w:t>
      </w:r>
      <w:r w:rsidR="000F786E" w:rsidRPr="00550A66">
        <w:rPr>
          <w:rFonts w:ascii="Times New Roman" w:hAnsi="Times New Roman" w:cs="Times New Roman"/>
          <w:sz w:val="24"/>
          <w:szCs w:val="24"/>
        </w:rPr>
        <w:t xml:space="preserve"> 5</w:t>
      </w:r>
      <w:r w:rsidRPr="00550A66">
        <w:rPr>
          <w:rFonts w:ascii="Times New Roman" w:hAnsi="Times New Roman" w:cs="Times New Roman"/>
          <w:sz w:val="24"/>
          <w:szCs w:val="24"/>
        </w:rPr>
        <w:t xml:space="preserve"> below illustrates the plants most consumed by animals</w:t>
      </w:r>
      <w:r w:rsidR="000F786E" w:rsidRPr="00550A66">
        <w:rPr>
          <w:rFonts w:ascii="Times New Roman" w:hAnsi="Times New Roman" w:cs="Times New Roman"/>
          <w:sz w:val="24"/>
          <w:szCs w:val="24"/>
        </w:rPr>
        <w:t xml:space="preserve"> </w:t>
      </w:r>
      <w:r w:rsidRPr="00550A66">
        <w:rPr>
          <w:rFonts w:ascii="Times New Roman" w:hAnsi="Times New Roman" w:cs="Times New Roman"/>
          <w:sz w:val="24"/>
          <w:szCs w:val="24"/>
        </w:rPr>
        <w:t>.</w:t>
      </w:r>
    </w:p>
    <w:p w14:paraId="79FC7042"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0C419831" wp14:editId="4B78484C">
            <wp:extent cx="5760720" cy="4304666"/>
            <wp:effectExtent l="0" t="0" r="11430" b="635"/>
            <wp:docPr id="2051043345" name="Graphique 1">
              <a:extLst xmlns:a="http://schemas.openxmlformats.org/drawingml/2006/main">
                <a:ext uri="{FF2B5EF4-FFF2-40B4-BE49-F238E27FC236}">
                  <a16:creationId xmlns:a16="http://schemas.microsoft.com/office/drawing/2014/main" id="{9F3C4F36-7CBA-55BC-2CA0-C59DA7A88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6B9740"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b/>
          <w:sz w:val="24"/>
          <w:szCs w:val="24"/>
        </w:rPr>
        <w:t>Figure</w:t>
      </w:r>
      <w:r w:rsidR="000F786E" w:rsidRPr="00550A66">
        <w:rPr>
          <w:rFonts w:ascii="Times New Roman" w:hAnsi="Times New Roman" w:cs="Times New Roman"/>
          <w:b/>
          <w:sz w:val="24"/>
          <w:szCs w:val="24"/>
        </w:rPr>
        <w:t xml:space="preserve"> 5</w:t>
      </w:r>
      <w:r w:rsidR="00B25C92" w:rsidRPr="00550A66">
        <w:rPr>
          <w:rFonts w:ascii="Times New Roman" w:hAnsi="Times New Roman" w:cs="Times New Roman"/>
          <w:b/>
          <w:sz w:val="24"/>
          <w:szCs w:val="24"/>
        </w:rPr>
        <w:t> :</w:t>
      </w:r>
      <w:r w:rsidRPr="00550A66">
        <w:rPr>
          <w:rFonts w:ascii="Times New Roman" w:hAnsi="Times New Roman" w:cs="Times New Roman"/>
          <w:sz w:val="24"/>
          <w:szCs w:val="24"/>
        </w:rPr>
        <w:t xml:space="preserve"> Species used in animal feed.</w:t>
      </w:r>
    </w:p>
    <w:p w14:paraId="0E965515"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Species used in human health</w:t>
      </w:r>
    </w:p>
    <w:p w14:paraId="384AD082"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 xml:space="preserve">The figure </w:t>
      </w:r>
      <w:r w:rsidR="000F786E" w:rsidRPr="00550A66">
        <w:rPr>
          <w:rFonts w:ascii="Times New Roman" w:hAnsi="Times New Roman" w:cs="Times New Roman"/>
          <w:sz w:val="24"/>
          <w:szCs w:val="24"/>
        </w:rPr>
        <w:t xml:space="preserve">6 </w:t>
      </w:r>
      <w:r w:rsidRPr="00550A66">
        <w:rPr>
          <w:rFonts w:ascii="Times New Roman" w:hAnsi="Times New Roman" w:cs="Times New Roman"/>
          <w:sz w:val="24"/>
          <w:szCs w:val="24"/>
        </w:rPr>
        <w:t>below shows the species used in human health. Only the species with the highest citation frequencies are shown. The most commonly used species are: Acacia nilotica (L.) Willd. ex Delile., Balanites aegyptiaca (L.) Del., Acacia chrembergiana Hayne., Maerua crassifolia Forsk., Salvadora persica L., Zizyphus mauritiana Lam., Acacia senegal (L.) Willd., with their respective frequencies of: 18.18%; 15.34%; 10.23%; 7.95%; 7.95%; 5.56%; 5.11%.</w:t>
      </w:r>
    </w:p>
    <w:p w14:paraId="292DE8D0"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607A63CC" wp14:editId="5253814B">
            <wp:extent cx="5760720" cy="4648200"/>
            <wp:effectExtent l="0" t="0" r="11430" b="0"/>
            <wp:docPr id="1740142176" name="Graphique 1">
              <a:extLst xmlns:a="http://schemas.openxmlformats.org/drawingml/2006/main">
                <a:ext uri="{FF2B5EF4-FFF2-40B4-BE49-F238E27FC236}">
                  <a16:creationId xmlns:a16="http://schemas.microsoft.com/office/drawing/2014/main" id="{E07B960D-8428-A4B1-26D4-86DC00398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494861" w14:textId="77777777" w:rsidR="0024192F"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sz w:val="24"/>
          <w:szCs w:val="24"/>
        </w:rPr>
        <w:t>Figure 6</w:t>
      </w:r>
      <w:r w:rsidR="0024192F" w:rsidRPr="00550A66">
        <w:rPr>
          <w:rFonts w:ascii="Times New Roman" w:hAnsi="Times New Roman" w:cs="Times New Roman"/>
          <w:sz w:val="24"/>
          <w:szCs w:val="24"/>
        </w:rPr>
        <w:t xml:space="preserve"> Species used in human health </w:t>
      </w:r>
    </w:p>
    <w:p w14:paraId="536AA2C1"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The most frequently treated diseases in human health are hemorrhoids, wound healing, stomach ache, gastric ulcer, and fever, with respective frequencies of 26.78%, 10.88%, 10.04%, 8.37%, and 7.95%</w:t>
      </w:r>
      <w:r w:rsidR="000F786E" w:rsidRPr="00550A66">
        <w:rPr>
          <w:rFonts w:ascii="Times New Roman" w:hAnsi="Times New Roman" w:cs="Times New Roman"/>
          <w:sz w:val="24"/>
          <w:szCs w:val="24"/>
        </w:rPr>
        <w:t xml:space="preserve"> figure 7</w:t>
      </w:r>
      <w:r w:rsidRPr="00550A66">
        <w:rPr>
          <w:rFonts w:ascii="Times New Roman" w:hAnsi="Times New Roman" w:cs="Times New Roman"/>
          <w:sz w:val="24"/>
          <w:szCs w:val="24"/>
        </w:rPr>
        <w:t>.</w:t>
      </w:r>
    </w:p>
    <w:p w14:paraId="3CF2A712" w14:textId="77777777" w:rsidR="00DF0B3F" w:rsidRPr="00550A66" w:rsidRDefault="00DF0B3F" w:rsidP="0024192F">
      <w:pPr>
        <w:jc w:val="both"/>
        <w:rPr>
          <w:rFonts w:ascii="Times New Roman" w:hAnsi="Times New Roman" w:cs="Times New Roman"/>
          <w:sz w:val="24"/>
          <w:szCs w:val="24"/>
          <w14:textOutline w14:w="9525" w14:cap="rnd" w14:cmpd="sng" w14:algn="ctr">
            <w14:noFill/>
            <w14:prstDash w14:val="solid"/>
            <w14:bevel/>
          </w14:textOutline>
        </w:rPr>
      </w:pPr>
      <w:r w:rsidRPr="00550A66">
        <w:rPr>
          <w:rFonts w:ascii="Times New Roman" w:hAnsi="Times New Roman" w:cs="Times New Roman"/>
          <w:noProof/>
          <w:lang w:eastAsia="fr-FR"/>
        </w:rPr>
        <w:drawing>
          <wp:inline distT="0" distB="0" distL="0" distR="0" wp14:anchorId="68940192" wp14:editId="110D2A63">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003907" w14:textId="77777777" w:rsidR="0024192F"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sz w:val="24"/>
          <w:szCs w:val="24"/>
        </w:rPr>
        <w:t>Figure 7</w:t>
      </w:r>
      <w:r w:rsidR="0024192F" w:rsidRPr="00550A66">
        <w:rPr>
          <w:rFonts w:ascii="Times New Roman" w:hAnsi="Times New Roman" w:cs="Times New Roman"/>
          <w:sz w:val="24"/>
          <w:szCs w:val="24"/>
        </w:rPr>
        <w:t xml:space="preserve"> Diseases treated in human health.</w:t>
      </w:r>
    </w:p>
    <w:p w14:paraId="57989310"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lastRenderedPageBreak/>
        <w:t>Species used in animal health</w:t>
      </w:r>
    </w:p>
    <w:p w14:paraId="134EBEA2"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The species most commonly used for animal care are: Boscia senegalensis Lam., Hibiscus sabdariffa L., Tamarix orientalis Forsk., Maerua crassifolia Forsk., with respective frequencies of 22.99%; 20.69%; 9.20%; 8.05%</w:t>
      </w:r>
      <w:r w:rsidR="000F786E" w:rsidRPr="00550A66">
        <w:rPr>
          <w:rFonts w:ascii="Times New Roman" w:hAnsi="Times New Roman" w:cs="Times New Roman"/>
          <w:sz w:val="24"/>
          <w:szCs w:val="24"/>
        </w:rPr>
        <w:t xml:space="preserve"> figure 8</w:t>
      </w:r>
      <w:r w:rsidRPr="00550A66">
        <w:rPr>
          <w:rFonts w:ascii="Times New Roman" w:hAnsi="Times New Roman" w:cs="Times New Roman"/>
          <w:sz w:val="24"/>
          <w:szCs w:val="24"/>
        </w:rPr>
        <w:t>.</w:t>
      </w:r>
    </w:p>
    <w:p w14:paraId="4EF3FCF4" w14:textId="77777777" w:rsidR="00E07FD1" w:rsidRPr="00550A66" w:rsidRDefault="008A7737" w:rsidP="0024192F">
      <w:pPr>
        <w:jc w:val="both"/>
        <w:rPr>
          <w:rFonts w:ascii="Times New Roman" w:hAnsi="Times New Roman" w:cs="Times New Roman"/>
          <w:sz w:val="24"/>
          <w:szCs w:val="24"/>
        </w:rPr>
      </w:pPr>
      <w:r w:rsidRPr="00550A66">
        <w:rPr>
          <w:rFonts w:ascii="Times New Roman" w:hAnsi="Times New Roman" w:cs="Times New Roman"/>
          <w:noProof/>
          <w:sz w:val="24"/>
          <w:szCs w:val="24"/>
          <w:lang w:eastAsia="fr-FR"/>
        </w:rPr>
        <w:drawing>
          <wp:inline distT="0" distB="0" distL="0" distR="0" wp14:anchorId="411FE478" wp14:editId="7F8C9486">
            <wp:extent cx="5760720" cy="4547235"/>
            <wp:effectExtent l="0" t="0" r="11430" b="5715"/>
            <wp:docPr id="1025576635" name="Graphique 1">
              <a:extLst xmlns:a="http://schemas.openxmlformats.org/drawingml/2006/main">
                <a:ext uri="{FF2B5EF4-FFF2-40B4-BE49-F238E27FC236}">
                  <a16:creationId xmlns:a16="http://schemas.microsoft.com/office/drawing/2014/main" id="{72B849DD-4BF9-6A0F-673F-19EFE33B1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3C0E03" w14:textId="77777777" w:rsidR="00E07FD1" w:rsidRPr="00550A66" w:rsidRDefault="00E07FD1" w:rsidP="0024192F">
      <w:pPr>
        <w:jc w:val="both"/>
        <w:rPr>
          <w:rFonts w:ascii="Times New Roman" w:hAnsi="Times New Roman" w:cs="Times New Roman"/>
          <w:sz w:val="24"/>
          <w:szCs w:val="24"/>
        </w:rPr>
      </w:pPr>
      <w:r w:rsidRPr="00550A66">
        <w:rPr>
          <w:rFonts w:ascii="Times New Roman" w:hAnsi="Times New Roman" w:cs="Times New Roman"/>
          <w:sz w:val="24"/>
          <w:szCs w:val="24"/>
        </w:rPr>
        <w:t xml:space="preserve">Figure 8 Species used in </w:t>
      </w:r>
      <w:r w:rsidR="008A7737" w:rsidRPr="00550A66">
        <w:rPr>
          <w:rFonts w:ascii="Times New Roman" w:hAnsi="Times New Roman" w:cs="Times New Roman"/>
          <w:sz w:val="24"/>
          <w:szCs w:val="24"/>
        </w:rPr>
        <w:t xml:space="preserve">animals </w:t>
      </w:r>
      <w:r w:rsidRPr="00550A66">
        <w:rPr>
          <w:rFonts w:ascii="Times New Roman" w:hAnsi="Times New Roman" w:cs="Times New Roman"/>
          <w:sz w:val="24"/>
          <w:szCs w:val="24"/>
        </w:rPr>
        <w:t xml:space="preserve">health </w:t>
      </w:r>
    </w:p>
    <w:p w14:paraId="77F235BE"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The most commonly treated diseases in animal health are: constipation, hypertension, cough, wounds, diarrhea, lice, and appetite, with respective frequencies of 22.73%; 20.45%; 13.64%; 10.23%; 9.09%; 6.82%; and 5.68%</w:t>
      </w:r>
      <w:r w:rsidR="000F786E" w:rsidRPr="00550A66">
        <w:rPr>
          <w:rFonts w:ascii="Times New Roman" w:hAnsi="Times New Roman" w:cs="Times New Roman"/>
          <w:sz w:val="24"/>
          <w:szCs w:val="24"/>
        </w:rPr>
        <w:t xml:space="preserve"> figure 3</w:t>
      </w:r>
      <w:r w:rsidRPr="00550A66">
        <w:rPr>
          <w:rFonts w:ascii="Times New Roman" w:hAnsi="Times New Roman" w:cs="Times New Roman"/>
          <w:sz w:val="24"/>
          <w:szCs w:val="24"/>
        </w:rPr>
        <w:t>.</w:t>
      </w:r>
    </w:p>
    <w:p w14:paraId="2204C41F" w14:textId="77777777" w:rsidR="008A7737" w:rsidRPr="00550A66" w:rsidRDefault="008A7737" w:rsidP="008A7737">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4F2ADD14" wp14:editId="3A70209B">
            <wp:extent cx="4572000" cy="27432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E48F49" w14:textId="77777777" w:rsidR="008A7737" w:rsidRPr="00550A66" w:rsidRDefault="000F786E" w:rsidP="0024192F">
      <w:pPr>
        <w:jc w:val="both"/>
        <w:rPr>
          <w:rFonts w:ascii="Times New Roman" w:hAnsi="Times New Roman" w:cs="Times New Roman"/>
          <w:sz w:val="24"/>
          <w:szCs w:val="24"/>
        </w:rPr>
      </w:pPr>
      <w:r w:rsidRPr="00550A66">
        <w:rPr>
          <w:rFonts w:ascii="Times New Roman" w:hAnsi="Times New Roman" w:cs="Times New Roman"/>
          <w:sz w:val="24"/>
          <w:szCs w:val="24"/>
        </w:rPr>
        <w:t>Figure 9</w:t>
      </w:r>
      <w:r w:rsidR="008A7737" w:rsidRPr="00550A66">
        <w:rPr>
          <w:rFonts w:ascii="Times New Roman" w:hAnsi="Times New Roman" w:cs="Times New Roman"/>
          <w:sz w:val="24"/>
          <w:szCs w:val="24"/>
        </w:rPr>
        <w:t xml:space="preserve"> Species used in animals health </w:t>
      </w:r>
    </w:p>
    <w:p w14:paraId="7A59BBEF" w14:textId="77777777" w:rsidR="0024192F" w:rsidRPr="00550A66" w:rsidRDefault="0024192F" w:rsidP="0024192F">
      <w:pPr>
        <w:jc w:val="both"/>
        <w:rPr>
          <w:rFonts w:ascii="Times New Roman" w:hAnsi="Times New Roman" w:cs="Times New Roman"/>
          <w:b/>
          <w:sz w:val="24"/>
          <w:szCs w:val="24"/>
        </w:rPr>
      </w:pPr>
      <w:r w:rsidRPr="00550A66">
        <w:rPr>
          <w:rFonts w:ascii="Times New Roman" w:hAnsi="Times New Roman" w:cs="Times New Roman"/>
          <w:b/>
          <w:sz w:val="24"/>
          <w:szCs w:val="24"/>
        </w:rPr>
        <w:t>Species used in construction</w:t>
      </w:r>
    </w:p>
    <w:p w14:paraId="5F8BA68D"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sz w:val="24"/>
          <w:szCs w:val="24"/>
        </w:rPr>
        <w:t>The species most commonly used in construction are: Prosopis juliflora (Sw.) DC., Calotropis procera Ait., Acacia tortilis (Subsp.) Savi., Hyphaene thebaica (L.) Mart., Phoenix dactylifera L., with r</w:t>
      </w:r>
      <w:r w:rsidR="000F786E" w:rsidRPr="00550A66">
        <w:rPr>
          <w:rFonts w:ascii="Times New Roman" w:hAnsi="Times New Roman" w:cs="Times New Roman"/>
          <w:sz w:val="24"/>
          <w:szCs w:val="24"/>
        </w:rPr>
        <w:t>espective frequencies of 26.71% figure 10.</w:t>
      </w:r>
    </w:p>
    <w:p w14:paraId="0B814A44" w14:textId="77777777" w:rsidR="00335FE9" w:rsidRPr="00550A66" w:rsidRDefault="001C0E1E" w:rsidP="0024192F">
      <w:pPr>
        <w:jc w:val="both"/>
        <w:rPr>
          <w:rFonts w:ascii="Times New Roman" w:hAnsi="Times New Roman" w:cs="Times New Roman"/>
          <w:sz w:val="24"/>
          <w:szCs w:val="24"/>
        </w:rPr>
      </w:pPr>
      <w:r w:rsidRPr="00550A66">
        <w:rPr>
          <w:rFonts w:ascii="Times New Roman" w:hAnsi="Times New Roman" w:cs="Times New Roman"/>
          <w:noProof/>
          <w:sz w:val="24"/>
          <w:szCs w:val="24"/>
          <w:lang w:eastAsia="fr-FR"/>
        </w:rPr>
        <w:drawing>
          <wp:inline distT="0" distB="0" distL="0" distR="0" wp14:anchorId="7A9FBA10" wp14:editId="5CB1FD42">
            <wp:extent cx="5662084" cy="4201584"/>
            <wp:effectExtent l="0" t="0" r="15240" b="8890"/>
            <wp:docPr id="520312625" name="Graphique 1">
              <a:extLst xmlns:a="http://schemas.openxmlformats.org/drawingml/2006/main">
                <a:ext uri="{FF2B5EF4-FFF2-40B4-BE49-F238E27FC236}">
                  <a16:creationId xmlns:a16="http://schemas.microsoft.com/office/drawing/2014/main" id="{9EAD1A9D-CA08-659E-F800-86443BDE55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0ABA69"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10</w:t>
      </w:r>
      <w:r w:rsidRPr="00550A66">
        <w:rPr>
          <w:rFonts w:ascii="Times New Roman" w:hAnsi="Times New Roman" w:cs="Times New Roman"/>
          <w:sz w:val="24"/>
          <w:szCs w:val="24"/>
        </w:rPr>
        <w:t xml:space="preserve"> Species used in construction.</w:t>
      </w:r>
    </w:p>
    <w:p w14:paraId="089E58B1"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lastRenderedPageBreak/>
        <w:t>Species used in crafts</w:t>
      </w:r>
    </w:p>
    <w:p w14:paraId="3DBD2C3B"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The species most commonly used in crafts are: Hyphaene thebaica (L.) Mart., Panicum turgidum Forsk., with respective frequencies of 57.24% and 40.69%</w:t>
      </w:r>
      <w:r w:rsidR="000F786E" w:rsidRPr="00550A66">
        <w:rPr>
          <w:rFonts w:ascii="Times New Roman" w:hAnsi="Times New Roman" w:cs="Times New Roman"/>
          <w:sz w:val="24"/>
          <w:szCs w:val="24"/>
        </w:rPr>
        <w:t xml:space="preserve"> figure 11</w:t>
      </w:r>
      <w:r w:rsidRPr="00550A66">
        <w:rPr>
          <w:rFonts w:ascii="Times New Roman" w:hAnsi="Times New Roman" w:cs="Times New Roman"/>
          <w:sz w:val="24"/>
          <w:szCs w:val="24"/>
        </w:rPr>
        <w:t>.</w:t>
      </w:r>
    </w:p>
    <w:p w14:paraId="1D56BA8A"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 xml:space="preserve"> </w:t>
      </w:r>
      <w:r w:rsidR="001C0E1E" w:rsidRPr="00550A66">
        <w:rPr>
          <w:rFonts w:ascii="Times New Roman" w:hAnsi="Times New Roman" w:cs="Times New Roman"/>
          <w:noProof/>
          <w:lang w:eastAsia="fr-FR"/>
        </w:rPr>
        <w:drawing>
          <wp:inline distT="0" distB="0" distL="0" distR="0" wp14:anchorId="334DBA26" wp14:editId="47EB103B">
            <wp:extent cx="5254831" cy="2826327"/>
            <wp:effectExtent l="0" t="0" r="3175" b="12700"/>
            <wp:docPr id="1126726045" name="Graphique 1">
              <a:extLst xmlns:a="http://schemas.openxmlformats.org/drawingml/2006/main">
                <a:ext uri="{FF2B5EF4-FFF2-40B4-BE49-F238E27FC236}">
                  <a16:creationId xmlns:a16="http://schemas.microsoft.com/office/drawing/2014/main" id="{C5F6C005-CF00-F0A1-4EBC-206005152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3EF137"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11</w:t>
      </w:r>
      <w:r w:rsidRPr="00550A66">
        <w:rPr>
          <w:rFonts w:ascii="Times New Roman" w:hAnsi="Times New Roman" w:cs="Times New Roman"/>
          <w:sz w:val="24"/>
          <w:szCs w:val="24"/>
        </w:rPr>
        <w:t xml:space="preserve"> Species used in crafts.</w:t>
      </w:r>
    </w:p>
    <w:p w14:paraId="40B87D7C"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Species used in rituals</w:t>
      </w:r>
    </w:p>
    <w:p w14:paraId="00B2C1DC"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The species used in rituals are: Acacia nilotica (L.) Willd. ex Delile., Commiphora africana (A. Rich.) Engl., Zizyphus mauritiana Lam., with respective frequencies of 50%, 25% and 25%</w:t>
      </w:r>
      <w:r w:rsidR="000F786E" w:rsidRPr="00550A66">
        <w:rPr>
          <w:rFonts w:ascii="Times New Roman" w:hAnsi="Times New Roman" w:cs="Times New Roman"/>
          <w:sz w:val="24"/>
          <w:szCs w:val="24"/>
        </w:rPr>
        <w:t xml:space="preserve"> figure 12</w:t>
      </w:r>
      <w:r w:rsidRPr="00550A66">
        <w:rPr>
          <w:rFonts w:ascii="Times New Roman" w:hAnsi="Times New Roman" w:cs="Times New Roman"/>
          <w:sz w:val="24"/>
          <w:szCs w:val="24"/>
        </w:rPr>
        <w:t>.</w:t>
      </w:r>
    </w:p>
    <w:p w14:paraId="64C3D728" w14:textId="77777777" w:rsidR="00335FE9" w:rsidRPr="00550A66" w:rsidRDefault="001C0E1E" w:rsidP="00335FE9">
      <w:pPr>
        <w:jc w:val="both"/>
        <w:rPr>
          <w:rFonts w:ascii="Times New Roman" w:hAnsi="Times New Roman" w:cs="Times New Roman"/>
          <w:sz w:val="24"/>
          <w:szCs w:val="24"/>
        </w:rPr>
      </w:pPr>
      <w:r w:rsidRPr="00550A66">
        <w:rPr>
          <w:rFonts w:ascii="Times New Roman" w:hAnsi="Times New Roman" w:cs="Times New Roman"/>
          <w:noProof/>
          <w:lang w:eastAsia="fr-FR"/>
        </w:rPr>
        <w:drawing>
          <wp:inline distT="0" distB="0" distL="0" distR="0" wp14:anchorId="1FDA8BC4" wp14:editId="1E309A00">
            <wp:extent cx="4572000" cy="2747435"/>
            <wp:effectExtent l="0" t="0" r="0" b="15240"/>
            <wp:docPr id="1353935859" name="Graphique 1">
              <a:extLst xmlns:a="http://schemas.openxmlformats.org/drawingml/2006/main">
                <a:ext uri="{FF2B5EF4-FFF2-40B4-BE49-F238E27FC236}">
                  <a16:creationId xmlns:a16="http://schemas.microsoft.com/office/drawing/2014/main" id="{8449F6E8-E7B0-0F55-C985-2B7CC109C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335FE9" w:rsidRPr="00550A66">
        <w:rPr>
          <w:rFonts w:ascii="Times New Roman" w:hAnsi="Times New Roman" w:cs="Times New Roman"/>
          <w:sz w:val="24"/>
          <w:szCs w:val="24"/>
        </w:rPr>
        <w:t xml:space="preserve"> </w:t>
      </w:r>
    </w:p>
    <w:p w14:paraId="48220940"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12</w:t>
      </w:r>
      <w:r w:rsidRPr="00550A66">
        <w:rPr>
          <w:rFonts w:ascii="Times New Roman" w:hAnsi="Times New Roman" w:cs="Times New Roman"/>
          <w:sz w:val="24"/>
          <w:szCs w:val="24"/>
        </w:rPr>
        <w:t xml:space="preserve"> Species used in rituals.</w:t>
      </w:r>
    </w:p>
    <w:p w14:paraId="5CC9BAE2"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 xml:space="preserve">Plant resource management </w:t>
      </w:r>
    </w:p>
    <w:p w14:paraId="421359C0" w14:textId="77777777" w:rsidR="00335FE9" w:rsidRPr="00415E07" w:rsidRDefault="00335FE9" w:rsidP="00335FE9">
      <w:pPr>
        <w:jc w:val="both"/>
        <w:rPr>
          <w:rFonts w:ascii="Times New Roman" w:hAnsi="Times New Roman" w:cs="Times New Roman"/>
          <w:b/>
          <w:sz w:val="24"/>
          <w:szCs w:val="24"/>
        </w:rPr>
      </w:pPr>
      <w:r w:rsidRPr="00415E07">
        <w:rPr>
          <w:rFonts w:ascii="Times New Roman" w:hAnsi="Times New Roman" w:cs="Times New Roman"/>
          <w:b/>
          <w:sz w:val="24"/>
          <w:szCs w:val="24"/>
        </w:rPr>
        <w:t>Local practices for conserving plant species</w:t>
      </w:r>
    </w:p>
    <w:p w14:paraId="7B66F8EE" w14:textId="77777777" w:rsidR="00335FE9" w:rsidRPr="00550A66" w:rsidRDefault="00415E07" w:rsidP="00335FE9">
      <w:pPr>
        <w:jc w:val="both"/>
        <w:rPr>
          <w:rFonts w:ascii="Times New Roman" w:hAnsi="Times New Roman" w:cs="Times New Roman"/>
          <w:sz w:val="24"/>
          <w:szCs w:val="24"/>
        </w:rPr>
      </w:pPr>
      <w:r w:rsidRPr="00415E07">
        <w:rPr>
          <w:rFonts w:ascii="Times New Roman" w:hAnsi="Times New Roman" w:cs="Times New Roman"/>
          <w:sz w:val="24"/>
          <w:szCs w:val="24"/>
        </w:rPr>
        <w:lastRenderedPageBreak/>
        <w:t>assisted natural regeneration</w:t>
      </w:r>
      <w:r>
        <w:rPr>
          <w:rFonts w:ascii="Times New Roman" w:hAnsi="Times New Roman" w:cs="Times New Roman"/>
          <w:sz w:val="24"/>
          <w:szCs w:val="24"/>
        </w:rPr>
        <w:t xml:space="preserve"> (</w:t>
      </w:r>
      <w:r w:rsidR="00335FE9" w:rsidRPr="00550A66">
        <w:rPr>
          <w:rFonts w:ascii="Times New Roman" w:hAnsi="Times New Roman" w:cs="Times New Roman"/>
          <w:sz w:val="24"/>
          <w:szCs w:val="24"/>
        </w:rPr>
        <w:t>RNA</w:t>
      </w:r>
      <w:r>
        <w:rPr>
          <w:rFonts w:ascii="Times New Roman" w:hAnsi="Times New Roman" w:cs="Times New Roman"/>
          <w:sz w:val="24"/>
          <w:szCs w:val="24"/>
        </w:rPr>
        <w:t>)</w:t>
      </w:r>
      <w:r w:rsidR="00335FE9" w:rsidRPr="00550A66">
        <w:rPr>
          <w:rFonts w:ascii="Times New Roman" w:hAnsi="Times New Roman" w:cs="Times New Roman"/>
          <w:sz w:val="24"/>
          <w:szCs w:val="24"/>
        </w:rPr>
        <w:t xml:space="preserve"> is the most common practice in the municipality for conserving vegetation. Tree planting is also a practice carried out by many people with the aim of improving vegetation</w:t>
      </w:r>
      <w:r>
        <w:rPr>
          <w:rFonts w:ascii="Times New Roman" w:hAnsi="Times New Roman" w:cs="Times New Roman"/>
          <w:sz w:val="24"/>
          <w:szCs w:val="24"/>
        </w:rPr>
        <w:t xml:space="preserve"> (51,14%)</w:t>
      </w:r>
      <w:r w:rsidR="00335FE9" w:rsidRPr="00550A66">
        <w:rPr>
          <w:rFonts w:ascii="Times New Roman" w:hAnsi="Times New Roman" w:cs="Times New Roman"/>
          <w:sz w:val="24"/>
          <w:szCs w:val="24"/>
        </w:rPr>
        <w:t>, while pruning and monitoring are the least common practices among the population</w:t>
      </w:r>
      <w:r w:rsidR="000F786E" w:rsidRPr="00550A66">
        <w:rPr>
          <w:rFonts w:ascii="Times New Roman" w:hAnsi="Times New Roman" w:cs="Times New Roman"/>
          <w:sz w:val="24"/>
          <w:szCs w:val="24"/>
        </w:rPr>
        <w:t xml:space="preserve"> (figure 13)</w:t>
      </w:r>
      <w:r w:rsidR="00335FE9" w:rsidRPr="00550A66">
        <w:rPr>
          <w:rFonts w:ascii="Times New Roman" w:hAnsi="Times New Roman" w:cs="Times New Roman"/>
          <w:sz w:val="24"/>
          <w:szCs w:val="24"/>
        </w:rPr>
        <w:t>.</w:t>
      </w:r>
    </w:p>
    <w:p w14:paraId="3868CF07" w14:textId="77777777" w:rsidR="00335FE9"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 xml:space="preserve"> </w:t>
      </w:r>
      <w:r w:rsidR="001C0E1E" w:rsidRPr="00550A66">
        <w:rPr>
          <w:rFonts w:ascii="Times New Roman" w:hAnsi="Times New Roman" w:cs="Times New Roman"/>
          <w:noProof/>
          <w:lang w:eastAsia="fr-FR"/>
        </w:rPr>
        <w:drawing>
          <wp:inline distT="0" distB="0" distL="0" distR="0" wp14:anchorId="4990A387" wp14:editId="4CDE4E5B">
            <wp:extent cx="4572000" cy="2743200"/>
            <wp:effectExtent l="0" t="0" r="0" b="0"/>
            <wp:docPr id="573930029" name="Graphique 1">
              <a:extLst xmlns:a="http://schemas.openxmlformats.org/drawingml/2006/main">
                <a:ext uri="{FF2B5EF4-FFF2-40B4-BE49-F238E27FC236}">
                  <a16:creationId xmlns:a16="http://schemas.microsoft.com/office/drawing/2014/main" id="{1BDF8791-B049-D7AD-CA67-8B6E7244B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DB1018" w14:textId="77777777" w:rsidR="00415E07" w:rsidRPr="00550A66" w:rsidRDefault="00415E07" w:rsidP="00335FE9">
      <w:pPr>
        <w:jc w:val="both"/>
        <w:rPr>
          <w:rFonts w:ascii="Times New Roman" w:hAnsi="Times New Roman" w:cs="Times New Roman"/>
          <w:sz w:val="24"/>
          <w:szCs w:val="24"/>
        </w:rPr>
      </w:pPr>
      <w:r>
        <w:rPr>
          <w:noProof/>
          <w:lang w:eastAsia="fr-FR"/>
        </w:rPr>
        <w:drawing>
          <wp:inline distT="0" distB="0" distL="0" distR="0" wp14:anchorId="0770CA82" wp14:editId="0D15A1B7">
            <wp:extent cx="4572000" cy="27432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052650"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Figure 13 Local practices for the conservation of plant species.</w:t>
      </w:r>
    </w:p>
    <w:p w14:paraId="529B8A60"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Learned practices for conserving plant species</w:t>
      </w:r>
    </w:p>
    <w:p w14:paraId="3418715F" w14:textId="280BDC6F" w:rsidR="00335FE9" w:rsidRPr="00550A66" w:rsidRDefault="00335FE9" w:rsidP="000F786E">
      <w:pPr>
        <w:jc w:val="both"/>
        <w:rPr>
          <w:rFonts w:ascii="Times New Roman" w:hAnsi="Times New Roman" w:cs="Times New Roman"/>
          <w:sz w:val="24"/>
          <w:szCs w:val="24"/>
        </w:rPr>
      </w:pPr>
      <w:r w:rsidRPr="00550A66">
        <w:rPr>
          <w:rFonts w:ascii="Times New Roman" w:hAnsi="Times New Roman" w:cs="Times New Roman"/>
          <w:sz w:val="24"/>
          <w:szCs w:val="24"/>
        </w:rPr>
        <w:t>RNA is the practice learned by the municipality's population with a frequency of 49.40%. Dune fixation, half-moons, and benches are also the least known learned practices by the population with frequencies of 26.51%, 15.66%, and 8.43%, respectively</w:t>
      </w:r>
      <w:r w:rsidR="000F786E" w:rsidRPr="00550A66">
        <w:rPr>
          <w:rFonts w:ascii="Times New Roman" w:hAnsi="Times New Roman" w:cs="Times New Roman"/>
          <w:sz w:val="24"/>
          <w:szCs w:val="24"/>
        </w:rPr>
        <w:t xml:space="preserve"> (figure</w:t>
      </w:r>
      <w:r w:rsidR="0036668C">
        <w:rPr>
          <w:rFonts w:ascii="Times New Roman" w:hAnsi="Times New Roman" w:cs="Times New Roman"/>
          <w:sz w:val="24"/>
          <w:szCs w:val="24"/>
        </w:rPr>
        <w:t xml:space="preserve"> </w:t>
      </w:r>
      <w:r w:rsidR="000F786E" w:rsidRPr="00550A66">
        <w:rPr>
          <w:rFonts w:ascii="Times New Roman" w:hAnsi="Times New Roman" w:cs="Times New Roman"/>
          <w:sz w:val="24"/>
          <w:szCs w:val="24"/>
        </w:rPr>
        <w:t>14)</w:t>
      </w:r>
      <w:r w:rsidRPr="00550A66">
        <w:rPr>
          <w:rFonts w:ascii="Times New Roman" w:hAnsi="Times New Roman" w:cs="Times New Roman"/>
          <w:sz w:val="24"/>
          <w:szCs w:val="24"/>
        </w:rPr>
        <w:t>.</w:t>
      </w:r>
    </w:p>
    <w:p w14:paraId="28C223F4" w14:textId="77777777" w:rsidR="00335FE9" w:rsidRPr="00550A66" w:rsidRDefault="0015130A" w:rsidP="00335FE9">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11E99DB5" wp14:editId="4A53F362">
            <wp:extent cx="4572000" cy="27432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EA0455"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14</w:t>
      </w:r>
      <w:r w:rsidRPr="00550A66">
        <w:rPr>
          <w:rFonts w:ascii="Times New Roman" w:hAnsi="Times New Roman" w:cs="Times New Roman"/>
          <w:sz w:val="24"/>
          <w:szCs w:val="24"/>
        </w:rPr>
        <w:t xml:space="preserve"> Practices learned to conserve plant species.</w:t>
      </w:r>
    </w:p>
    <w:p w14:paraId="3EB50FAA"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Reasons for conserving plant species</w:t>
      </w:r>
    </w:p>
    <w:p w14:paraId="4326BDFB" w14:textId="291E4543" w:rsidR="001C0E1E"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sz w:val="24"/>
          <w:szCs w:val="24"/>
        </w:rPr>
        <w:t>The reasons for conserving plant species are as follows: food, medicine, shade, fuel wood, construction, crafts, rituals, and also to combat desertification. This is evidenced by the fact that Prosopis juliflora (Sw.) DC is the most widely planted species in the municipality for construction, animal feed, shade, fencing, timber, and fuel wood. The presence of certain trees in fields (gardens) also contributes to better agricultural productivity</w:t>
      </w:r>
      <w:r w:rsidR="003305E7" w:rsidRPr="00550A66">
        <w:rPr>
          <w:rFonts w:ascii="Times New Roman" w:hAnsi="Times New Roman" w:cs="Times New Roman"/>
          <w:sz w:val="24"/>
          <w:szCs w:val="24"/>
        </w:rPr>
        <w:t xml:space="preserve"> (figure</w:t>
      </w:r>
      <w:r w:rsidR="0036668C">
        <w:rPr>
          <w:rFonts w:ascii="Times New Roman" w:hAnsi="Times New Roman" w:cs="Times New Roman"/>
          <w:sz w:val="24"/>
          <w:szCs w:val="24"/>
        </w:rPr>
        <w:t xml:space="preserve"> </w:t>
      </w:r>
      <w:r w:rsidR="003305E7" w:rsidRPr="00550A66">
        <w:rPr>
          <w:rFonts w:ascii="Times New Roman" w:hAnsi="Times New Roman" w:cs="Times New Roman"/>
          <w:sz w:val="24"/>
          <w:szCs w:val="24"/>
        </w:rPr>
        <w:t>15)</w:t>
      </w:r>
      <w:r w:rsidRPr="00550A66">
        <w:rPr>
          <w:rFonts w:ascii="Times New Roman" w:hAnsi="Times New Roman" w:cs="Times New Roman"/>
          <w:sz w:val="24"/>
          <w:szCs w:val="24"/>
        </w:rPr>
        <w:t>.</w:t>
      </w:r>
    </w:p>
    <w:p w14:paraId="40531C20" w14:textId="77777777" w:rsidR="00335FE9" w:rsidRPr="00550A66" w:rsidRDefault="00245EE3" w:rsidP="00335FE9">
      <w:pPr>
        <w:jc w:val="both"/>
        <w:rPr>
          <w:rFonts w:ascii="Times New Roman" w:hAnsi="Times New Roman" w:cs="Times New Roman"/>
          <w:sz w:val="24"/>
          <w:szCs w:val="24"/>
        </w:rPr>
      </w:pPr>
      <w:r>
        <w:rPr>
          <w:noProof/>
          <w:lang w:eastAsia="fr-FR"/>
        </w:rPr>
        <w:drawing>
          <wp:inline distT="0" distB="0" distL="0" distR="0" wp14:anchorId="11ACCD26" wp14:editId="2D46D66A">
            <wp:extent cx="4572000" cy="27432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6ADE93" w14:textId="77777777" w:rsidR="00335FE9" w:rsidRPr="00550A66" w:rsidRDefault="00335FE9" w:rsidP="00335FE9">
      <w:pPr>
        <w:jc w:val="both"/>
        <w:rPr>
          <w:rFonts w:ascii="Times New Roman" w:hAnsi="Times New Roman" w:cs="Times New Roman"/>
          <w:sz w:val="24"/>
          <w:szCs w:val="24"/>
        </w:rPr>
      </w:pPr>
      <w:r w:rsidRPr="00550A66">
        <w:rPr>
          <w:rFonts w:ascii="Times New Roman" w:hAnsi="Times New Roman" w:cs="Times New Roman"/>
          <w:b/>
          <w:sz w:val="24"/>
          <w:szCs w:val="24"/>
        </w:rPr>
        <w:t>Figure 15</w:t>
      </w:r>
      <w:r w:rsidRPr="00550A66">
        <w:rPr>
          <w:rFonts w:ascii="Times New Roman" w:hAnsi="Times New Roman" w:cs="Times New Roman"/>
          <w:sz w:val="24"/>
          <w:szCs w:val="24"/>
        </w:rPr>
        <w:t xml:space="preserve"> Reasons for conserving plant species.</w:t>
      </w:r>
    </w:p>
    <w:p w14:paraId="51E99D45" w14:textId="77777777" w:rsidR="00335FE9" w:rsidRPr="00550A66" w:rsidRDefault="00335FE9" w:rsidP="00335FE9">
      <w:pPr>
        <w:jc w:val="both"/>
        <w:rPr>
          <w:rFonts w:ascii="Times New Roman" w:hAnsi="Times New Roman" w:cs="Times New Roman"/>
          <w:b/>
          <w:sz w:val="24"/>
          <w:szCs w:val="24"/>
        </w:rPr>
      </w:pPr>
      <w:r w:rsidRPr="00550A66">
        <w:rPr>
          <w:rFonts w:ascii="Times New Roman" w:hAnsi="Times New Roman" w:cs="Times New Roman"/>
          <w:b/>
          <w:sz w:val="24"/>
          <w:szCs w:val="24"/>
        </w:rPr>
        <w:t>Discussion</w:t>
      </w:r>
    </w:p>
    <w:p w14:paraId="0A43412D" w14:textId="77777777" w:rsidR="00720885" w:rsidRPr="00550A66" w:rsidRDefault="00335FE9" w:rsidP="00720885">
      <w:pPr>
        <w:jc w:val="both"/>
        <w:rPr>
          <w:rFonts w:ascii="Times New Roman" w:hAnsi="Times New Roman" w:cs="Times New Roman"/>
          <w:sz w:val="24"/>
          <w:szCs w:val="24"/>
        </w:rPr>
      </w:pPr>
      <w:r w:rsidRPr="00550A66">
        <w:rPr>
          <w:rFonts w:ascii="Times New Roman" w:hAnsi="Times New Roman" w:cs="Times New Roman"/>
          <w:sz w:val="24"/>
          <w:szCs w:val="24"/>
        </w:rPr>
        <w:t xml:space="preserve">The ethnobotanical study reveals that almost half of the species recorded in the study area have disappeared or are in the process of disappearing (31 species), including 18 extinct species and 13 species threatened with extinction. Similar results were reported by (Danjimo et al., 2003) in their study conducted around the village of Gouré and in Dallol Bosso, where 30 plant species out of the 250 species assessed have disappeared, and 27.2% (68 species) are threatened with </w:t>
      </w:r>
      <w:r w:rsidRPr="00550A66">
        <w:rPr>
          <w:rFonts w:ascii="Times New Roman" w:hAnsi="Times New Roman" w:cs="Times New Roman"/>
          <w:sz w:val="24"/>
          <w:szCs w:val="24"/>
        </w:rPr>
        <w:lastRenderedPageBreak/>
        <w:t>extinction. This percentage of extinction is significantly higher than the regional threat level in West Africa, where it is 1.5% (Juffe-Bignoli et al., 2012). The cutting of wood from certain plant species, such as those of socio-economic importance, is one of the factors disrupting the plant community, especially in the Sahelian and Sudanian zones of West Africa (Rabiou., 2016). It should be noted that the Sahelian zone has experienced similar droughts in recent decades (1913, 1914, 1972, 1983, 1984) (Borton et al., 1994). This rainfall deficit has led to deficiencies in the soil water balance. This has resulted in poor water absorption by vegetation. In the urban commune of Agadez, excessive logging and scarce rainfall have led to the extinction of certain plant species, fragmented certain ecological habitats, weakened the resistance of species, and also promoted the development of certain plant species. Indeed, since the 1990s, the decline or even disappearance of certain forest species has been reported (Saadou., 1990). This loss of plant biodiversity was much more closely linked to rainfall, as for several decades, countries in the Sahel region have been facing a rainfall deficit (Sene., 2000). The destruction of land in the Sahel is mainly linked to poor management, overexploitation, and failure to restore soil constituents (Avadogo et al., 2015). The consequence has been a lack of regeneration of certain species (Delwaulle., 1973), as well as poor resource management. This effect is felt by the entire population surveyed who have lived through these periods and confirms the regressive trend in vegetation development and their exploitation of these resources. Throughout history, civilization has been a constant search for natural resources (Fisher et al., 2009).</w:t>
      </w:r>
      <w:r w:rsidRPr="00550A66">
        <w:rPr>
          <w:rFonts w:ascii="Times New Roman" w:hAnsi="Times New Roman" w:cs="Times New Roman"/>
        </w:rPr>
        <w:t xml:space="preserve"> </w:t>
      </w:r>
      <w:r w:rsidRPr="00550A66">
        <w:rPr>
          <w:rFonts w:ascii="Times New Roman" w:hAnsi="Times New Roman" w:cs="Times New Roman"/>
          <w:sz w:val="24"/>
          <w:szCs w:val="24"/>
        </w:rPr>
        <w:t>In food, health, construction, crafts, and rituals are the most affected by species, and the way they are exploited is not conducive to preserving the integrity of the plant being exploited, thereby causing the plant to become disabled or even die. This is why, today, the history of rapid population growth has become an undisputed reality in terms of the use of plant species, with uncontrolled exploitation of these species to meet daily needs, without realizing that this can cause short- or long-term damage to the environment in which they live. In the study area, the data obtained and analyzed clearly show that plant species play a vital role in meeting the needs of local populations. Of remarkable importance, the species of its flora have significant socio-economic value for the population. It has been proven that the local populations in this area are more interested in the seven categories of services identified, namely human and animal food, human and animal health, construction, crafts, and rituals.</w:t>
      </w:r>
      <w:r w:rsidR="00720885" w:rsidRPr="00550A66">
        <w:rPr>
          <w:rFonts w:ascii="Times New Roman" w:hAnsi="Times New Roman" w:cs="Times New Roman"/>
          <w:sz w:val="24"/>
          <w:szCs w:val="24"/>
        </w:rPr>
        <w:t xml:space="preserve"> These results corroborate those of (Cheikh Youssef et al., 2011), according to whom the consensus factor for the different categories of tree use is high on average in the arid and semi-arid zones of Africa. In addition, it should be noted that the frequency of use of species depends on these categories of identified services and the type of plant preferred by the population, as well as the parts of the plant that are used.</w:t>
      </w:r>
    </w:p>
    <w:p w14:paraId="51281E68" w14:textId="77777777" w:rsidR="00720885" w:rsidRPr="00550A66" w:rsidRDefault="00720885" w:rsidP="00720885">
      <w:pPr>
        <w:jc w:val="both"/>
        <w:rPr>
          <w:rFonts w:ascii="Times New Roman" w:hAnsi="Times New Roman" w:cs="Times New Roman"/>
          <w:b/>
          <w:sz w:val="24"/>
          <w:szCs w:val="24"/>
        </w:rPr>
      </w:pPr>
      <w:r w:rsidRPr="00550A66">
        <w:rPr>
          <w:rFonts w:ascii="Times New Roman" w:hAnsi="Times New Roman" w:cs="Times New Roman"/>
          <w:b/>
          <w:sz w:val="24"/>
          <w:szCs w:val="24"/>
        </w:rPr>
        <w:t>Conclusion</w:t>
      </w:r>
    </w:p>
    <w:p w14:paraId="0B236B6E" w14:textId="77777777" w:rsidR="00335FE9" w:rsidRDefault="00720885" w:rsidP="00720885">
      <w:pPr>
        <w:jc w:val="both"/>
        <w:rPr>
          <w:rFonts w:ascii="Times New Roman" w:hAnsi="Times New Roman" w:cs="Times New Roman"/>
          <w:sz w:val="24"/>
          <w:szCs w:val="24"/>
        </w:rPr>
      </w:pPr>
      <w:r w:rsidRPr="00550A66">
        <w:rPr>
          <w:rFonts w:ascii="Times New Roman" w:hAnsi="Times New Roman" w:cs="Times New Roman"/>
          <w:sz w:val="24"/>
          <w:szCs w:val="24"/>
        </w:rPr>
        <w:t>This study is part of a broader study of the vegetation and management of plant resources in the landscape ecosystem of the urban commune of Agadez, with the aim of providing information on the current state of flora and vegetation, ecosystem services, and the threats to the latter. It has contributed to a better understanding of the floristic composition. This study has also provided insight into the different categories of plant species use by the population, as well as the different ways in which these resources are managed by the population.</w:t>
      </w:r>
    </w:p>
    <w:p w14:paraId="13F4333D" w14:textId="77777777" w:rsidR="0095166E" w:rsidRDefault="0095166E" w:rsidP="00720885">
      <w:pPr>
        <w:jc w:val="both"/>
        <w:rPr>
          <w:rFonts w:ascii="Times New Roman" w:hAnsi="Times New Roman" w:cs="Times New Roman"/>
          <w:sz w:val="24"/>
          <w:szCs w:val="24"/>
        </w:rPr>
      </w:pPr>
    </w:p>
    <w:p w14:paraId="31846336" w14:textId="77777777" w:rsidR="0095166E" w:rsidRDefault="0095166E" w:rsidP="0095166E">
      <w:pPr>
        <w:spacing w:after="200" w:line="276" w:lineRule="auto"/>
        <w:jc w:val="both"/>
        <w:outlineLvl w:val="0"/>
        <w:rPr>
          <w:rFonts w:ascii="Arial" w:eastAsia="Times New Roman" w:hAnsi="Arial" w:cs="Arial"/>
          <w:b/>
          <w:bCs/>
          <w:lang w:val="en-GB" w:eastAsia="en-GB"/>
        </w:rPr>
      </w:pPr>
    </w:p>
    <w:p w14:paraId="6ECF43B1" w14:textId="1458E636" w:rsidR="0095166E" w:rsidRPr="0095166E" w:rsidRDefault="0095166E" w:rsidP="0095166E">
      <w:pPr>
        <w:spacing w:after="200" w:line="276" w:lineRule="auto"/>
        <w:jc w:val="both"/>
        <w:outlineLvl w:val="0"/>
        <w:rPr>
          <w:rFonts w:ascii="Arial" w:eastAsia="Times New Roman" w:hAnsi="Arial" w:cs="Arial"/>
          <w:lang w:val="en-GB" w:eastAsia="en-GB"/>
        </w:rPr>
      </w:pPr>
      <w:r w:rsidRPr="0095166E">
        <w:rPr>
          <w:rFonts w:ascii="Arial" w:eastAsia="Times New Roman" w:hAnsi="Arial" w:cs="Arial"/>
          <w:b/>
          <w:bCs/>
          <w:lang w:val="en-GB" w:eastAsia="en-GB"/>
        </w:rPr>
        <w:lastRenderedPageBreak/>
        <w:t>COMPETING INTERESTS DISCLAIMER:</w:t>
      </w:r>
    </w:p>
    <w:p w14:paraId="2064C7C7" w14:textId="77777777" w:rsidR="0095166E" w:rsidRPr="0095166E" w:rsidRDefault="0095166E" w:rsidP="0095166E">
      <w:pPr>
        <w:spacing w:after="200" w:line="276" w:lineRule="auto"/>
        <w:rPr>
          <w:rFonts w:ascii="Calibri" w:eastAsia="Times New Roman" w:hAnsi="Calibri" w:cs="Times New Roman"/>
          <w:lang w:val="en-GB" w:eastAsia="en-GB"/>
        </w:rPr>
      </w:pPr>
      <w:r w:rsidRPr="0095166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1056907" w14:textId="77777777" w:rsidR="0095166E" w:rsidRPr="00550A66" w:rsidRDefault="0095166E" w:rsidP="00720885">
      <w:pPr>
        <w:jc w:val="both"/>
        <w:rPr>
          <w:rFonts w:ascii="Times New Roman" w:hAnsi="Times New Roman" w:cs="Times New Roman"/>
          <w:sz w:val="24"/>
          <w:szCs w:val="24"/>
        </w:rPr>
      </w:pPr>
    </w:p>
    <w:p w14:paraId="6E8E4AB5" w14:textId="048F0FF6" w:rsidR="00494C42" w:rsidRPr="00550A66" w:rsidRDefault="00494C42" w:rsidP="0095166E">
      <w:pPr>
        <w:rPr>
          <w:rFonts w:ascii="Times New Roman" w:eastAsia="Times New Roman" w:hAnsi="Times New Roman" w:cs="Times New Roman"/>
          <w:b/>
          <w:sz w:val="24"/>
          <w:szCs w:val="24"/>
          <w:lang w:eastAsia="fr-FR"/>
        </w:rPr>
      </w:pPr>
      <w:r w:rsidRPr="00550A66">
        <w:rPr>
          <w:rFonts w:ascii="Times New Roman" w:eastAsia="Times New Roman" w:hAnsi="Times New Roman" w:cs="Times New Roman"/>
          <w:b/>
          <w:sz w:val="24"/>
          <w:szCs w:val="24"/>
          <w:lang w:eastAsia="fr-FR"/>
        </w:rPr>
        <w:t xml:space="preserve">References </w:t>
      </w:r>
    </w:p>
    <w:p w14:paraId="4462219B"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ABDOURHAMANE H., (2016). Floristic, ecological, phytosociological and ethnobotanical study of the classified forests of Dan Kada Dodo and Dan Gado in Niger. Doctoral thesis, Dan Dicko Dankoulodo University of Maradi, 174p.</w:t>
      </w:r>
    </w:p>
    <w:p w14:paraId="03B0029E"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Albergel Jean. (1988). Genesis and Predetermination of Floods in Burkina Faso: From Square Meter to Square Kilometer: Study of Hydrological Parameters and Their Evolution. Doctoral thesis presented on June 18, 1987, at the University of Paris 6.</w:t>
      </w:r>
    </w:p>
    <w:p w14:paraId="12610992"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Alhassane A., Chaïbou I., Karim K., Soumana I., Mahamane A., and Saadou M. (2018). Flora and Structure of Woody Stands in Natural Pastures in the Maradi Region, Niger. Afrique Science, 14(5): 171-189.</w:t>
      </w:r>
    </w:p>
    <w:p w14:paraId="2FB8D2EC"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Danjimo B., Ahmed I., and Tougiani A. (2003). Inventories of Endemic Plant Species That Have Extinct or Are Endangered. In Gandah M. and Danjimo B., 2003. Semiannual Report, July to December, to DMP/INRAN Niamey, pp. 27-34.</w:t>
      </w:r>
    </w:p>
    <w:p w14:paraId="60807A01"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Cheikhyoussef, A., Mapaure, I., and Shapi, M., (2011). The use of some indigenous plants for medicinal and other purposes by local communities in Namibia with emphasis on the Oshikoto region: a review. Research Journal of Medicinal Plant, 5(4), 406–419.</w:t>
      </w:r>
    </w:p>
    <w:p w14:paraId="3BD56323"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Delwaulle J.C. (1973). Results of six years of observations on erosion in Niger. Revue Bois et Forêts des Tropiques, No. 150, July-August. https://doi.org/10.19182/bft1973.150.a19182</w:t>
      </w:r>
    </w:p>
    <w:p w14:paraId="04490957"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Fisher B., Turner RK., Morling P. (2009); Defining and classifying ecosystem services for decision making. Ecological Economics; 68; 643–653.</w:t>
      </w:r>
    </w:p>
    <w:p w14:paraId="00F7F6FF"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Habou R.; (2016). Characterization of natural stands of Pterocarpus erinaceus Poir. and Development of sustainable management standards in Niger and Burkina Faso (West Africa);</w:t>
      </w:r>
    </w:p>
    <w:p w14:paraId="43CB4471"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Ichaou A, JM d'Herbès, JM K. Ambouta, R. Peltier. Jhon Lobbey Eurotext (1997). - Comparative productivity of structured forests in the Nigerien Sahel. Implications for forest management. : 119-130.</w:t>
      </w:r>
    </w:p>
    <w:p w14:paraId="680D788B"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lastRenderedPageBreak/>
        <w:t>Inoussa TM, I morou IT, Gbègbo MC and Sinsin B: (2013). Structure and floristic composition of dense dry forests in the Kouffé Mountains region of Benin. Journal of Applied Biosciences, 64:4787-4796</w:t>
      </w:r>
    </w:p>
    <w:p w14:paraId="67D65B76"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Juffe-Bignoli, Diego B., Neil H., Jonathan S., Robert T., Christine T., Jessica B. (2021). Mitigating the Impacts of Development Corridors on Biodiversity: A Global Review. Frontiers in Ecology and Evolution. 9. 683949. 10.3389/fevo.2021.683949.</w:t>
      </w:r>
    </w:p>
    <w:p w14:paraId="257FBE72"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Larwanou 1 M., I. Oumarou, Laura Snook, I. Danguimbo O. Eyog-Matig. (2010). Silvicultural and cultural practices in agroforestry parklands following a north-south rainfall gradient in the Maradi region of Niger. Ropicultura, 28, 2, 115-122</w:t>
      </w:r>
    </w:p>
    <w:p w14:paraId="30B9E991"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Ludwig, M. D., &amp; Gilmore, G. (2005). The Pragmatic Gravity of the Semantic Compositionality of News Headlines: Violating Grice’s Principle as a Linguistic Model to Calibrate the Communicative Weight of That Gravity. Modern News Editing. Wiley-Blackwell.</w:t>
      </w:r>
    </w:p>
    <w:p w14:paraId="67422475"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Saadou. M; (1990). The vegetation of drained environments in Niger east of the Niger River. Doctoral Thesis in Natural Sciences. University of Niamey.</w:t>
      </w:r>
    </w:p>
    <w:p w14:paraId="6F7D92F7"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Ramade F., (2008). Encyclopedic Dictionary of Natural Sciences and Biodiversity. Dunod, 708 pages.</w:t>
      </w:r>
    </w:p>
    <w:p w14:paraId="3F7BEE3D"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Sene E.; Trees, Food Production and the Fight Against Desertification. Unasylva; (2000); 150.</w:t>
      </w:r>
    </w:p>
    <w:p w14:paraId="106F7234"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71672F">
        <w:rPr>
          <w:rFonts w:ascii="Times New Roman" w:eastAsia="Times New Roman" w:hAnsi="Times New Roman" w:cs="Times New Roman"/>
          <w:sz w:val="24"/>
          <w:szCs w:val="24"/>
          <w:lang w:eastAsia="fr-FR"/>
        </w:rPr>
        <w:t>Sinsin B. &amp; Kampmann D. (2010). Biodiversity Atlas of West Africa</w:t>
      </w:r>
    </w:p>
    <w:p w14:paraId="2EFCF939" w14:textId="1E7CF8C7" w:rsidR="00335FE9" w:rsidRPr="00550A66" w:rsidRDefault="0071672F" w:rsidP="0071672F">
      <w:pPr>
        <w:spacing w:after="0" w:line="360" w:lineRule="auto"/>
        <w:ind w:left="567" w:hanging="567"/>
        <w:jc w:val="both"/>
        <w:rPr>
          <w:rFonts w:ascii="Times New Roman" w:hAnsi="Times New Roman" w:cs="Times New Roman"/>
          <w:sz w:val="24"/>
          <w:szCs w:val="24"/>
        </w:rPr>
      </w:pPr>
      <w:r w:rsidRPr="0071672F">
        <w:rPr>
          <w:rFonts w:ascii="Times New Roman" w:eastAsia="Times New Roman" w:hAnsi="Times New Roman" w:cs="Times New Roman"/>
          <w:sz w:val="24"/>
          <w:szCs w:val="24"/>
          <w:lang w:eastAsia="fr-FR"/>
        </w:rPr>
        <w:t>Biodiversity Atlas of West Africa, Volume 1(1) Benin; (eds) Cotonou &amp; Frankfurt/Main 978-3-9813933-0-9, hardcover</w:t>
      </w:r>
    </w:p>
    <w:sectPr w:rsidR="00335FE9" w:rsidRPr="00550A66">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AADB8" w14:textId="77777777" w:rsidR="00FE7E7E" w:rsidRDefault="00FE7E7E" w:rsidP="004D1D85">
      <w:pPr>
        <w:spacing w:after="0" w:line="240" w:lineRule="auto"/>
      </w:pPr>
      <w:r>
        <w:separator/>
      </w:r>
    </w:p>
  </w:endnote>
  <w:endnote w:type="continuationSeparator" w:id="0">
    <w:p w14:paraId="6D758401" w14:textId="77777777" w:rsidR="00FE7E7E" w:rsidRDefault="00FE7E7E" w:rsidP="004D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C51E" w14:textId="77777777" w:rsidR="004D1D85" w:rsidRDefault="004D1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8913" w14:textId="77777777" w:rsidR="004D1D85" w:rsidRDefault="004D1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AACA" w14:textId="77777777" w:rsidR="004D1D85" w:rsidRDefault="004D1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AF9C" w14:textId="77777777" w:rsidR="00FE7E7E" w:rsidRDefault="00FE7E7E" w:rsidP="004D1D85">
      <w:pPr>
        <w:spacing w:after="0" w:line="240" w:lineRule="auto"/>
      </w:pPr>
      <w:r>
        <w:separator/>
      </w:r>
    </w:p>
  </w:footnote>
  <w:footnote w:type="continuationSeparator" w:id="0">
    <w:p w14:paraId="1C8F2F83" w14:textId="77777777" w:rsidR="00FE7E7E" w:rsidRDefault="00FE7E7E" w:rsidP="004D1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BE74" w14:textId="4E15BC6A" w:rsidR="004D1D85" w:rsidRDefault="004D1D85">
    <w:pPr>
      <w:pStyle w:val="Header"/>
    </w:pPr>
    <w:r>
      <w:rPr>
        <w:noProof/>
      </w:rPr>
      <w:pict w14:anchorId="2A530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DA07" w14:textId="64A90762" w:rsidR="004D1D85" w:rsidRDefault="004D1D85">
    <w:pPr>
      <w:pStyle w:val="Header"/>
    </w:pPr>
    <w:r>
      <w:rPr>
        <w:noProof/>
      </w:rPr>
      <w:pict w14:anchorId="6787E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14B2" w14:textId="415B8302" w:rsidR="004D1D85" w:rsidRDefault="004D1D85">
    <w:pPr>
      <w:pStyle w:val="Header"/>
    </w:pPr>
    <w:r>
      <w:rPr>
        <w:noProof/>
      </w:rPr>
      <w:pict w14:anchorId="40636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38"/>
    <w:rsid w:val="00032BD2"/>
    <w:rsid w:val="0006666B"/>
    <w:rsid w:val="000D12BD"/>
    <w:rsid w:val="000F786E"/>
    <w:rsid w:val="001010E7"/>
    <w:rsid w:val="0015130A"/>
    <w:rsid w:val="001B6D5F"/>
    <w:rsid w:val="001C0E1E"/>
    <w:rsid w:val="001C52DC"/>
    <w:rsid w:val="001F08B5"/>
    <w:rsid w:val="002031F7"/>
    <w:rsid w:val="0024192F"/>
    <w:rsid w:val="00245EE3"/>
    <w:rsid w:val="00275558"/>
    <w:rsid w:val="002B003C"/>
    <w:rsid w:val="002B44F7"/>
    <w:rsid w:val="002D57AB"/>
    <w:rsid w:val="002F407E"/>
    <w:rsid w:val="00312620"/>
    <w:rsid w:val="003305E7"/>
    <w:rsid w:val="00335FE9"/>
    <w:rsid w:val="003523C7"/>
    <w:rsid w:val="00357BCF"/>
    <w:rsid w:val="0036668C"/>
    <w:rsid w:val="00415E07"/>
    <w:rsid w:val="00483D8B"/>
    <w:rsid w:val="00494C42"/>
    <w:rsid w:val="004D1D85"/>
    <w:rsid w:val="00522609"/>
    <w:rsid w:val="00523631"/>
    <w:rsid w:val="00530340"/>
    <w:rsid w:val="00550A66"/>
    <w:rsid w:val="00553F50"/>
    <w:rsid w:val="00587BF7"/>
    <w:rsid w:val="005D491A"/>
    <w:rsid w:val="006215B8"/>
    <w:rsid w:val="0065575F"/>
    <w:rsid w:val="006839D5"/>
    <w:rsid w:val="00692365"/>
    <w:rsid w:val="006D3D65"/>
    <w:rsid w:val="006E3261"/>
    <w:rsid w:val="006F6F22"/>
    <w:rsid w:val="00711A48"/>
    <w:rsid w:val="0071672F"/>
    <w:rsid w:val="00720885"/>
    <w:rsid w:val="007227B0"/>
    <w:rsid w:val="00725DD4"/>
    <w:rsid w:val="00747D27"/>
    <w:rsid w:val="00783A38"/>
    <w:rsid w:val="007A38DD"/>
    <w:rsid w:val="007B3998"/>
    <w:rsid w:val="008668CA"/>
    <w:rsid w:val="00894668"/>
    <w:rsid w:val="008A7737"/>
    <w:rsid w:val="008B026A"/>
    <w:rsid w:val="00931C81"/>
    <w:rsid w:val="00945DFD"/>
    <w:rsid w:val="0095166E"/>
    <w:rsid w:val="009A4B9E"/>
    <w:rsid w:val="00A4786B"/>
    <w:rsid w:val="00A66F23"/>
    <w:rsid w:val="00A7703F"/>
    <w:rsid w:val="00AE2440"/>
    <w:rsid w:val="00B2567E"/>
    <w:rsid w:val="00B25C92"/>
    <w:rsid w:val="00C02FAA"/>
    <w:rsid w:val="00C1493E"/>
    <w:rsid w:val="00C83CF6"/>
    <w:rsid w:val="00C918E0"/>
    <w:rsid w:val="00CB01D3"/>
    <w:rsid w:val="00D00B1F"/>
    <w:rsid w:val="00D22568"/>
    <w:rsid w:val="00D7328A"/>
    <w:rsid w:val="00D8168C"/>
    <w:rsid w:val="00DC2FAC"/>
    <w:rsid w:val="00DF0B3F"/>
    <w:rsid w:val="00DF7D12"/>
    <w:rsid w:val="00E07FD1"/>
    <w:rsid w:val="00E2042B"/>
    <w:rsid w:val="00E35AD1"/>
    <w:rsid w:val="00ED68BE"/>
    <w:rsid w:val="00EE1E08"/>
    <w:rsid w:val="00F33D2D"/>
    <w:rsid w:val="00F42D1D"/>
    <w:rsid w:val="00FE7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3924D"/>
  <w15:chartTrackingRefBased/>
  <w15:docId w15:val="{F9F20D57-24ED-41A7-92A8-C17EAC60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493E"/>
    <w:pPr>
      <w:keepNext/>
      <w:keepLines/>
      <w:spacing w:before="40" w:after="0"/>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8B02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493E"/>
    <w:rPr>
      <w:rFonts w:asciiTheme="majorHAnsi" w:eastAsiaTheme="majorEastAsia" w:hAnsiTheme="majorHAnsi" w:cstheme="majorBidi"/>
      <w:color w:val="2E74B5" w:themeColor="accent1" w:themeShade="BF"/>
      <w:kern w:val="2"/>
      <w:sz w:val="26"/>
      <w:szCs w:val="26"/>
      <w14:ligatures w14:val="standardContextual"/>
    </w:rPr>
  </w:style>
  <w:style w:type="character" w:styleId="Hyperlink">
    <w:name w:val="Hyperlink"/>
    <w:basedOn w:val="DefaultParagraphFont"/>
    <w:uiPriority w:val="99"/>
    <w:unhideWhenUsed/>
    <w:rsid w:val="00C1493E"/>
    <w:rPr>
      <w:color w:val="0000FF"/>
      <w:u w:val="single"/>
    </w:rPr>
  </w:style>
  <w:style w:type="character" w:customStyle="1" w:styleId="Heading3Char">
    <w:name w:val="Heading 3 Char"/>
    <w:basedOn w:val="DefaultParagraphFont"/>
    <w:link w:val="Heading3"/>
    <w:uiPriority w:val="9"/>
    <w:rsid w:val="008B026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587BF7"/>
    <w:rPr>
      <w:color w:val="605E5C"/>
      <w:shd w:val="clear" w:color="auto" w:fill="E1DFDD"/>
    </w:rPr>
  </w:style>
  <w:style w:type="paragraph" w:styleId="ListParagraph">
    <w:name w:val="List Paragraph"/>
    <w:basedOn w:val="Normal"/>
    <w:uiPriority w:val="34"/>
    <w:qFormat/>
    <w:rsid w:val="008668CA"/>
    <w:pPr>
      <w:ind w:left="720"/>
      <w:contextualSpacing/>
    </w:pPr>
  </w:style>
  <w:style w:type="paragraph" w:styleId="Header">
    <w:name w:val="header"/>
    <w:basedOn w:val="Normal"/>
    <w:link w:val="HeaderChar"/>
    <w:uiPriority w:val="99"/>
    <w:unhideWhenUsed/>
    <w:rsid w:val="004D1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D85"/>
  </w:style>
  <w:style w:type="paragraph" w:styleId="Footer">
    <w:name w:val="footer"/>
    <w:basedOn w:val="Normal"/>
    <w:link w:val="FooterChar"/>
    <w:uiPriority w:val="99"/>
    <w:unhideWhenUsed/>
    <w:rsid w:val="004D1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chart" Target="charts/chart14.xml"/><Relationship Id="rId7" Type="http://schemas.openxmlformats.org/officeDocument/2006/relationships/oleObject" Target="embeddings/oleObject1.bin"/><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trend in vegetation cover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17-4A7D-8671-831E3A8785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17-4A7D-8671-831E3A8785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17-4A7D-8671-831E3A87852B}"/>
              </c:ext>
            </c:extLst>
          </c:dPt>
          <c:cat>
            <c:strRef>
              <c:f>Feuil1!$C$6:$C$8</c:f>
              <c:strCache>
                <c:ptCount val="3"/>
                <c:pt idx="0">
                  <c:v>No change</c:v>
                </c:pt>
                <c:pt idx="1">
                  <c:v>Increase</c:v>
                </c:pt>
                <c:pt idx="2">
                  <c:v>Decrease</c:v>
                </c:pt>
              </c:strCache>
            </c:strRef>
          </c:cat>
          <c:val>
            <c:numRef>
              <c:f>Feuil1!$D$6:$D$8</c:f>
              <c:numCache>
                <c:formatCode>General</c:formatCode>
                <c:ptCount val="3"/>
                <c:pt idx="0">
                  <c:v>0</c:v>
                </c:pt>
                <c:pt idx="1">
                  <c:v>2</c:v>
                </c:pt>
                <c:pt idx="2">
                  <c:v>98</c:v>
                </c:pt>
              </c:numCache>
            </c:numRef>
          </c:val>
          <c:extLst>
            <c:ext xmlns:c16="http://schemas.microsoft.com/office/drawing/2014/chart" uri="{C3380CC4-5D6E-409C-BE32-E72D297353CC}">
              <c16:uniqueId val="{00000006-D017-4A7D-8671-831E3A8785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crafts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Figure!$C$408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Figure!$A$409:$A$411</c:f>
              <c:strCache>
                <c:ptCount val="3"/>
                <c:pt idx="0">
                  <c:v>Hyphaene thebaica (L.) Mart.</c:v>
                </c:pt>
                <c:pt idx="1">
                  <c:v>Panicum turgidum Forsk.</c:v>
                </c:pt>
                <c:pt idx="2">
                  <c:v>Phoenix dactylifera L.</c:v>
                </c:pt>
              </c:strCache>
            </c:strRef>
          </c:cat>
          <c:val>
            <c:numRef>
              <c:f>Figure!$C$409:$C$411</c:f>
              <c:numCache>
                <c:formatCode>0.00</c:formatCode>
                <c:ptCount val="3"/>
                <c:pt idx="0">
                  <c:v>57.241379310344833</c:v>
                </c:pt>
                <c:pt idx="1">
                  <c:v>40.689655172413794</c:v>
                </c:pt>
                <c:pt idx="2">
                  <c:v>2.0689655172413794</c:v>
                </c:pt>
              </c:numCache>
            </c:numRef>
          </c:val>
          <c:extLst>
            <c:ext xmlns:c16="http://schemas.microsoft.com/office/drawing/2014/chart" uri="{C3380CC4-5D6E-409C-BE32-E72D297353CC}">
              <c16:uniqueId val="{00000000-E1B3-456C-B87E-92530357D0FA}"/>
            </c:ext>
          </c:extLst>
        </c:ser>
        <c:dLbls>
          <c:dLblPos val="outEnd"/>
          <c:showLegendKey val="0"/>
          <c:showVal val="1"/>
          <c:showCatName val="0"/>
          <c:showSerName val="0"/>
          <c:showPercent val="0"/>
          <c:showBubbleSize val="0"/>
        </c:dLbls>
        <c:gapWidth val="182"/>
        <c:axId val="485690400"/>
        <c:axId val="485688224"/>
      </c:barChart>
      <c:catAx>
        <c:axId val="4856904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Species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8224"/>
        <c:crosses val="autoZero"/>
        <c:auto val="1"/>
        <c:lblAlgn val="ctr"/>
        <c:lblOffset val="100"/>
        <c:noMultiLvlLbl val="0"/>
      </c:catAx>
      <c:valAx>
        <c:axId val="48568822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9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Species used in rituals</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41713823272090983"/>
          <c:y val="0.12551283031368651"/>
          <c:w val="0.55075065616797902"/>
          <c:h val="0.72088764946048411"/>
        </c:manualLayout>
      </c:layout>
      <c:barChart>
        <c:barDir val="bar"/>
        <c:grouping val="clustered"/>
        <c:varyColors val="0"/>
        <c:ser>
          <c:idx val="0"/>
          <c:order val="0"/>
          <c:tx>
            <c:strRef>
              <c:f>Figure!$C$478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Figure!$A$479:$A$481</c:f>
              <c:strCache>
                <c:ptCount val="3"/>
                <c:pt idx="0">
                  <c:v>Acacia nilotica (L.) Willd. ex Delile</c:v>
                </c:pt>
                <c:pt idx="1">
                  <c:v>Commiphora africana (A. Rich.) Engl</c:v>
                </c:pt>
                <c:pt idx="2">
                  <c:v>Zizyphus mauritiana Lam.</c:v>
                </c:pt>
              </c:strCache>
            </c:strRef>
          </c:cat>
          <c:val>
            <c:numRef>
              <c:f>Figure!$C$479:$C$481</c:f>
              <c:numCache>
                <c:formatCode>General</c:formatCode>
                <c:ptCount val="3"/>
                <c:pt idx="0">
                  <c:v>50</c:v>
                </c:pt>
                <c:pt idx="1">
                  <c:v>25</c:v>
                </c:pt>
                <c:pt idx="2">
                  <c:v>25</c:v>
                </c:pt>
              </c:numCache>
            </c:numRef>
          </c:val>
          <c:extLst>
            <c:ext xmlns:c16="http://schemas.microsoft.com/office/drawing/2014/chart" uri="{C3380CC4-5D6E-409C-BE32-E72D297353CC}">
              <c16:uniqueId val="{00000000-3128-4C96-A092-72D032D1A360}"/>
            </c:ext>
          </c:extLst>
        </c:ser>
        <c:dLbls>
          <c:dLblPos val="outEnd"/>
          <c:showLegendKey val="0"/>
          <c:showVal val="1"/>
          <c:showCatName val="0"/>
          <c:showSerName val="0"/>
          <c:showPercent val="0"/>
          <c:showBubbleSize val="0"/>
        </c:dLbls>
        <c:gapWidth val="182"/>
        <c:axId val="485684416"/>
        <c:axId val="485690944"/>
      </c:barChart>
      <c:catAx>
        <c:axId val="485684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90944"/>
        <c:crosses val="autoZero"/>
        <c:auto val="1"/>
        <c:lblAlgn val="ctr"/>
        <c:lblOffset val="100"/>
        <c:noMultiLvlLbl val="0"/>
      </c:catAx>
      <c:valAx>
        <c:axId val="485690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u="none" strike="noStrike" baseline="0">
                    <a:effectLst/>
                  </a:rPr>
                  <a:t>Frequency of citation </a:t>
                </a:r>
                <a:endParaRPr lang="fr-FR"/>
              </a:p>
            </c:rich>
          </c:tx>
          <c:layout>
            <c:manualLayout>
              <c:xMode val="edge"/>
              <c:yMode val="edge"/>
              <c:x val="0.56474956255468067"/>
              <c:y val="0.929703932639487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684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Local practices for species conservation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Figure!$C$518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Figure!$A$519:$A$522</c:f>
              <c:strCache>
                <c:ptCount val="4"/>
                <c:pt idx="0">
                  <c:v>RNA</c:v>
                </c:pt>
                <c:pt idx="1">
                  <c:v>Plantations</c:v>
                </c:pt>
                <c:pt idx="2">
                  <c:v>Elagaes</c:v>
                </c:pt>
                <c:pt idx="3">
                  <c:v>Controles</c:v>
                </c:pt>
              </c:strCache>
            </c:strRef>
          </c:cat>
          <c:val>
            <c:numRef>
              <c:f>Figure!$C$519:$C$522</c:f>
              <c:numCache>
                <c:formatCode>0.00</c:formatCode>
                <c:ptCount val="4"/>
                <c:pt idx="0">
                  <c:v>51.136363636363633</c:v>
                </c:pt>
                <c:pt idx="1">
                  <c:v>28.40909090909091</c:v>
                </c:pt>
                <c:pt idx="2">
                  <c:v>14.772727272727273</c:v>
                </c:pt>
                <c:pt idx="3">
                  <c:v>5.6818181818181817</c:v>
                </c:pt>
              </c:numCache>
            </c:numRef>
          </c:val>
          <c:extLst>
            <c:ext xmlns:c16="http://schemas.microsoft.com/office/drawing/2014/chart" uri="{C3380CC4-5D6E-409C-BE32-E72D297353CC}">
              <c16:uniqueId val="{00000000-4DB4-4094-A019-2DBE9D650291}"/>
            </c:ext>
          </c:extLst>
        </c:ser>
        <c:dLbls>
          <c:dLblPos val="outEnd"/>
          <c:showLegendKey val="0"/>
          <c:showVal val="1"/>
          <c:showCatName val="0"/>
          <c:showSerName val="0"/>
          <c:showPercent val="0"/>
          <c:showBubbleSize val="0"/>
        </c:dLbls>
        <c:gapWidth val="219"/>
        <c:overlap val="-27"/>
        <c:axId val="485683328"/>
        <c:axId val="485677888"/>
      </c:barChart>
      <c:catAx>
        <c:axId val="485683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Pratiques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77888"/>
        <c:crosses val="autoZero"/>
        <c:auto val="1"/>
        <c:lblAlgn val="ctr"/>
        <c:lblOffset val="100"/>
        <c:noMultiLvlLbl val="0"/>
      </c:catAx>
      <c:valAx>
        <c:axId val="485677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68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Feuil1!$B$3:$B$6</c:f>
              <c:strCache>
                <c:ptCount val="4"/>
                <c:pt idx="0">
                  <c:v>ANR</c:v>
                </c:pt>
                <c:pt idx="1">
                  <c:v>Planting</c:v>
                </c:pt>
                <c:pt idx="2">
                  <c:v>Pruning</c:v>
                </c:pt>
                <c:pt idx="3">
                  <c:v>Monitoring</c:v>
                </c:pt>
              </c:strCache>
            </c:strRef>
          </c:cat>
          <c:val>
            <c:numRef>
              <c:f>Feuil1!$C$3:$C$6</c:f>
              <c:numCache>
                <c:formatCode>General</c:formatCode>
                <c:ptCount val="4"/>
                <c:pt idx="0">
                  <c:v>51.14</c:v>
                </c:pt>
                <c:pt idx="1">
                  <c:v>28.41</c:v>
                </c:pt>
                <c:pt idx="2">
                  <c:v>14.77</c:v>
                </c:pt>
                <c:pt idx="3">
                  <c:v>5.68</c:v>
                </c:pt>
              </c:numCache>
            </c:numRef>
          </c:val>
          <c:extLst>
            <c:ext xmlns:c16="http://schemas.microsoft.com/office/drawing/2014/chart" uri="{C3380CC4-5D6E-409C-BE32-E72D297353CC}">
              <c16:uniqueId val="{00000000-8068-47FB-B6C9-5F4417816600}"/>
            </c:ext>
          </c:extLst>
        </c:ser>
        <c:dLbls>
          <c:showLegendKey val="0"/>
          <c:showVal val="0"/>
          <c:showCatName val="0"/>
          <c:showSerName val="0"/>
          <c:showPercent val="0"/>
          <c:showBubbleSize val="0"/>
        </c:dLbls>
        <c:gapWidth val="300"/>
        <c:axId val="1411858928"/>
        <c:axId val="1411859344"/>
      </c:barChart>
      <c:catAx>
        <c:axId val="141185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Practices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1859344"/>
        <c:crosses val="autoZero"/>
        <c:auto val="1"/>
        <c:lblAlgn val="ctr"/>
        <c:lblOffset val="100"/>
        <c:noMultiLvlLbl val="0"/>
      </c:catAx>
      <c:valAx>
        <c:axId val="1411859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Frequency of citation </a:t>
                </a:r>
                <a:endParaRPr lang="fr-FR" sz="7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858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Feuil1!$C$103:$C$106</c:f>
              <c:strCache>
                <c:ptCount val="4"/>
                <c:pt idx="0">
                  <c:v>Assisted natural regeneration RNA </c:v>
                </c:pt>
                <c:pt idx="1">
                  <c:v>   Dune stabilization </c:v>
                </c:pt>
                <c:pt idx="2">
                  <c:v>   Half-moons </c:v>
                </c:pt>
                <c:pt idx="3">
                  <c:v>   Silvicultural benches </c:v>
                </c:pt>
              </c:strCache>
            </c:strRef>
          </c:cat>
          <c:val>
            <c:numRef>
              <c:f>Feuil1!$D$103:$D$106</c:f>
              <c:numCache>
                <c:formatCode>General</c:formatCode>
                <c:ptCount val="4"/>
                <c:pt idx="0">
                  <c:v>49.4</c:v>
                </c:pt>
                <c:pt idx="1">
                  <c:v>26.51</c:v>
                </c:pt>
                <c:pt idx="2">
                  <c:v>15.66</c:v>
                </c:pt>
                <c:pt idx="3">
                  <c:v>8.43</c:v>
                </c:pt>
              </c:numCache>
            </c:numRef>
          </c:val>
          <c:extLst>
            <c:ext xmlns:c16="http://schemas.microsoft.com/office/drawing/2014/chart" uri="{C3380CC4-5D6E-409C-BE32-E72D297353CC}">
              <c16:uniqueId val="{00000000-B71C-4A76-AF14-EF518C07FBD6}"/>
            </c:ext>
          </c:extLst>
        </c:ser>
        <c:dLbls>
          <c:showLegendKey val="0"/>
          <c:showVal val="0"/>
          <c:showCatName val="0"/>
          <c:showSerName val="0"/>
          <c:showPercent val="0"/>
          <c:showBubbleSize val="0"/>
        </c:dLbls>
        <c:gapWidth val="150"/>
        <c:overlap val="100"/>
        <c:axId val="393436480"/>
        <c:axId val="393429824"/>
      </c:barChart>
      <c:catAx>
        <c:axId val="393436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429824"/>
        <c:crosses val="autoZero"/>
        <c:auto val="1"/>
        <c:lblAlgn val="ctr"/>
        <c:lblOffset val="100"/>
        <c:noMultiLvlLbl val="0"/>
      </c:catAx>
      <c:valAx>
        <c:axId val="3934298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436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Feuil1!$B$30:$B$38</c:f>
              <c:strCache>
                <c:ptCount val="9"/>
                <c:pt idx="0">
                  <c:v>Wood energy</c:v>
                </c:pt>
                <c:pt idx="1">
                  <c:v>Food</c:v>
                </c:pt>
                <c:pt idx="2">
                  <c:v>Pharmacopoeia</c:v>
                </c:pt>
                <c:pt idx="3">
                  <c:v>Shade</c:v>
                </c:pt>
                <c:pt idx="4">
                  <c:v>Construction</c:v>
                </c:pt>
                <c:pt idx="5">
                  <c:v>Craftsmanship</c:v>
                </c:pt>
                <c:pt idx="6">
                  <c:v>Fertilization</c:v>
                </c:pt>
                <c:pt idx="7">
                  <c:v>Reforestation</c:v>
                </c:pt>
                <c:pt idx="8">
                  <c:v>Rituals</c:v>
                </c:pt>
              </c:strCache>
            </c:strRef>
          </c:cat>
          <c:val>
            <c:numRef>
              <c:f>Feuil1!$C$30:$C$38</c:f>
              <c:numCache>
                <c:formatCode>General</c:formatCode>
                <c:ptCount val="9"/>
                <c:pt idx="0">
                  <c:v>22.97</c:v>
                </c:pt>
                <c:pt idx="1">
                  <c:v>18.239999999999998</c:v>
                </c:pt>
                <c:pt idx="2">
                  <c:v>14.86</c:v>
                </c:pt>
                <c:pt idx="3">
                  <c:v>12.16</c:v>
                </c:pt>
                <c:pt idx="4">
                  <c:v>10.14</c:v>
                </c:pt>
                <c:pt idx="5">
                  <c:v>9.4600000000000009</c:v>
                </c:pt>
                <c:pt idx="6">
                  <c:v>6.76</c:v>
                </c:pt>
                <c:pt idx="7">
                  <c:v>3.38</c:v>
                </c:pt>
                <c:pt idx="8">
                  <c:v>2.02</c:v>
                </c:pt>
              </c:numCache>
            </c:numRef>
          </c:val>
          <c:extLst>
            <c:ext xmlns:c16="http://schemas.microsoft.com/office/drawing/2014/chart" uri="{C3380CC4-5D6E-409C-BE32-E72D297353CC}">
              <c16:uniqueId val="{00000000-BAFC-4EF0-B76F-096365E31BE2}"/>
            </c:ext>
          </c:extLst>
        </c:ser>
        <c:dLbls>
          <c:showLegendKey val="0"/>
          <c:showVal val="0"/>
          <c:showCatName val="0"/>
          <c:showSerName val="0"/>
          <c:showPercent val="0"/>
          <c:showBubbleSize val="0"/>
        </c:dLbls>
        <c:gapWidth val="300"/>
        <c:axId val="1411864752"/>
        <c:axId val="1411869744"/>
      </c:barChart>
      <c:catAx>
        <c:axId val="1411864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Use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1869744"/>
        <c:crosses val="autoZero"/>
        <c:auto val="1"/>
        <c:lblAlgn val="ctr"/>
        <c:lblOffset val="100"/>
        <c:noMultiLvlLbl val="0"/>
      </c:catAx>
      <c:valAx>
        <c:axId val="1411869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Frequency of citation </a:t>
                </a:r>
                <a:endParaRPr lang="fr-FR" sz="7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864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E29E-4F70-BDE5-46B06D181016}"/>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E29E-4F70-BDE5-46B06D181016}"/>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E29E-4F70-BDE5-46B06D181016}"/>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E29E-4F70-BDE5-46B06D181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Feuil1!$C$18:$C$21</c:f>
              <c:strCache>
                <c:ptCount val="4"/>
                <c:pt idx="0">
                  <c:v>deforestation </c:v>
                </c:pt>
                <c:pt idx="1">
                  <c:v> drought </c:v>
                </c:pt>
                <c:pt idx="2">
                  <c:v>wind</c:v>
                </c:pt>
                <c:pt idx="3">
                  <c:v>livestock farming</c:v>
                </c:pt>
              </c:strCache>
            </c:strRef>
          </c:cat>
          <c:val>
            <c:numRef>
              <c:f>Feuil1!$D$18:$D$21</c:f>
              <c:numCache>
                <c:formatCode>General</c:formatCode>
                <c:ptCount val="4"/>
                <c:pt idx="0">
                  <c:v>40.24</c:v>
                </c:pt>
                <c:pt idx="1">
                  <c:v>31.25</c:v>
                </c:pt>
                <c:pt idx="2">
                  <c:v>20.29</c:v>
                </c:pt>
                <c:pt idx="3">
                  <c:v>8.2200000000000006</c:v>
                </c:pt>
              </c:numCache>
            </c:numRef>
          </c:val>
          <c:extLst>
            <c:ext xmlns:c16="http://schemas.microsoft.com/office/drawing/2014/chart" uri="{C3380CC4-5D6E-409C-BE32-E72D297353CC}">
              <c16:uniqueId val="{00000008-E29E-4F70-BDE5-46B06D181016}"/>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Use</a:t>
            </a:r>
            <a:r>
              <a:rPr lang="en-US" sz="1200" baseline="0">
                <a:latin typeface="Times New Roman" panose="02020603050405020304" pitchFamily="18" charset="0"/>
                <a:cs typeface="Times New Roman" panose="02020603050405020304" pitchFamily="18" charset="0"/>
              </a:rPr>
              <a:t> species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9884129067199936"/>
          <c:y val="0.16790419161676648"/>
          <c:w val="0.51258644752739246"/>
          <c:h val="0.73784430621664099"/>
        </c:manualLayout>
      </c:layout>
      <c:barChart>
        <c:barDir val="bar"/>
        <c:grouping val="clustered"/>
        <c:varyColors val="0"/>
        <c:ser>
          <c:idx val="0"/>
          <c:order val="0"/>
          <c:tx>
            <c:strRef>
              <c:f>Figure!$C$96</c:f>
              <c:strCache>
                <c:ptCount val="1"/>
                <c:pt idx="0">
                  <c:v>Frequences de citation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Figure!$A$97:$A$111</c:f>
              <c:strCache>
                <c:ptCount val="15"/>
                <c:pt idx="0">
                  <c:v>Phoenix dactylifera L.</c:v>
                </c:pt>
                <c:pt idx="1">
                  <c:v>Moringa oleifera Lam.</c:v>
                </c:pt>
                <c:pt idx="2">
                  <c:v>Leptadenia hastata (Pers.) Decne.</c:v>
                </c:pt>
                <c:pt idx="3">
                  <c:v>Hyphaene thebaica (L.) Mart.</c:v>
                </c:pt>
                <c:pt idx="4">
                  <c:v>Zizyphus mauritiana Lam.</c:v>
                </c:pt>
                <c:pt idx="5">
                  <c:v>Zizyphus spina-christi (L.) Desf. </c:v>
                </c:pt>
                <c:pt idx="6">
                  <c:v>Maerua crassifolia Forsk.</c:v>
                </c:pt>
                <c:pt idx="7">
                  <c:v>Mangifera indica L. </c:v>
                </c:pt>
                <c:pt idx="8">
                  <c:v>Balanites aegyptiaca (L.) Del.</c:v>
                </c:pt>
                <c:pt idx="9">
                  <c:v>Boscia senegalensis Lam.</c:v>
                </c:pt>
                <c:pt idx="10">
                  <c:v>Cassia tora L.</c:v>
                </c:pt>
                <c:pt idx="11">
                  <c:v>Tamarindus indica L</c:v>
                </c:pt>
                <c:pt idx="12">
                  <c:v>Tapinanthus globiferus (A. Rich.) Van. Tiegh.</c:v>
                </c:pt>
                <c:pt idx="13">
                  <c:v>Citrus limon L. </c:v>
                </c:pt>
                <c:pt idx="14">
                  <c:v>Lannea microcarpa Engl. Et K. Krause</c:v>
                </c:pt>
              </c:strCache>
            </c:strRef>
          </c:cat>
          <c:val>
            <c:numRef>
              <c:f>Figure!$C$97:$C$111</c:f>
              <c:numCache>
                <c:formatCode>0.00</c:formatCode>
                <c:ptCount val="15"/>
                <c:pt idx="0">
                  <c:v>17.067833698030636</c:v>
                </c:pt>
                <c:pt idx="1">
                  <c:v>14.00437636761488</c:v>
                </c:pt>
                <c:pt idx="2">
                  <c:v>12.910284463894966</c:v>
                </c:pt>
                <c:pt idx="3">
                  <c:v>11.816192560175056</c:v>
                </c:pt>
                <c:pt idx="4">
                  <c:v>10.284463894967178</c:v>
                </c:pt>
                <c:pt idx="5">
                  <c:v>8.9715536105032836</c:v>
                </c:pt>
                <c:pt idx="6">
                  <c:v>8.3150984682713336</c:v>
                </c:pt>
                <c:pt idx="7">
                  <c:v>3.7199124726477026</c:v>
                </c:pt>
                <c:pt idx="8">
                  <c:v>3.2822757111597372</c:v>
                </c:pt>
                <c:pt idx="9">
                  <c:v>2.8446389496717726</c:v>
                </c:pt>
                <c:pt idx="10">
                  <c:v>2.4070021881838075</c:v>
                </c:pt>
                <c:pt idx="11">
                  <c:v>1.5317286652078774</c:v>
                </c:pt>
                <c:pt idx="12">
                  <c:v>1.0940919037199124</c:v>
                </c:pt>
                <c:pt idx="13">
                  <c:v>0.87527352297592997</c:v>
                </c:pt>
                <c:pt idx="14">
                  <c:v>0.87527352297592997</c:v>
                </c:pt>
              </c:numCache>
            </c:numRef>
          </c:val>
          <c:extLst>
            <c:ext xmlns:c16="http://schemas.microsoft.com/office/drawing/2014/chart" uri="{C3380CC4-5D6E-409C-BE32-E72D297353CC}">
              <c16:uniqueId val="{00000000-6D68-4284-A2D2-D13D569291C0}"/>
            </c:ext>
          </c:extLst>
        </c:ser>
        <c:dLbls>
          <c:dLblPos val="outEnd"/>
          <c:showLegendKey val="0"/>
          <c:showVal val="1"/>
          <c:showCatName val="0"/>
          <c:showSerName val="0"/>
          <c:showPercent val="0"/>
          <c:showBubbleSize val="0"/>
        </c:dLbls>
        <c:gapWidth val="182"/>
        <c:axId val="395881360"/>
        <c:axId val="395877008"/>
      </c:barChart>
      <c:catAx>
        <c:axId val="395881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5877008"/>
        <c:crossesAt val="0"/>
        <c:auto val="1"/>
        <c:lblAlgn val="ctr"/>
        <c:lblOffset val="100"/>
        <c:noMultiLvlLbl val="0"/>
      </c:catAx>
      <c:valAx>
        <c:axId val="3958770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1" i="0" u="none" strike="noStrike" baseline="0">
                    <a:effectLst/>
                  </a:rPr>
                  <a:t>Frequency of citation </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39588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for animal feed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Figure!$C$137</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Figure!$A$138:$A$152</c:f>
              <c:strCache>
                <c:ptCount val="15"/>
                <c:pt idx="0">
                  <c:v>Acacia tortilis ( Subsp.) Savi.</c:v>
                </c:pt>
                <c:pt idx="1">
                  <c:v>Boscia senegalensis Lam.</c:v>
                </c:pt>
                <c:pt idx="2">
                  <c:v>Boerhavia repens L.</c:v>
                </c:pt>
                <c:pt idx="3">
                  <c:v>Prosopis juliflora (Sw.) DC</c:v>
                </c:pt>
                <c:pt idx="4">
                  <c:v>Maerua crassifolia Forsk.</c:v>
                </c:pt>
                <c:pt idx="5">
                  <c:v>Panicum turgidum Forsk.</c:v>
                </c:pt>
                <c:pt idx="6">
                  <c:v>Tribulus terrestris L.</c:v>
                </c:pt>
                <c:pt idx="7">
                  <c:v>Faidherbia albida (Del.) A. Chev</c:v>
                </c:pt>
                <c:pt idx="8">
                  <c:v>Ctenium elegans Kunth.</c:v>
                </c:pt>
                <c:pt idx="9">
                  <c:v>Zizyphus mauritiana Lam.</c:v>
                </c:pt>
                <c:pt idx="10">
                  <c:v>Zizyphus spina-christi (L.) Desf. </c:v>
                </c:pt>
                <c:pt idx="11">
                  <c:v>Calotropis procera Ait.</c:v>
                </c:pt>
                <c:pt idx="12">
                  <c:v>Acacia chrembergiana Hayne.</c:v>
                </c:pt>
                <c:pt idx="13">
                  <c:v>Cynodon dactylon (L.) Pers. </c:v>
                </c:pt>
                <c:pt idx="14">
                  <c:v>Leptadenia hastata (Pers.) Decne.</c:v>
                </c:pt>
              </c:strCache>
            </c:strRef>
          </c:cat>
          <c:val>
            <c:numRef>
              <c:f>Figure!$C$138:$C$152</c:f>
              <c:numCache>
                <c:formatCode>0.00</c:formatCode>
                <c:ptCount val="15"/>
                <c:pt idx="0">
                  <c:v>17.567567567567568</c:v>
                </c:pt>
                <c:pt idx="1">
                  <c:v>11.936936936936938</c:v>
                </c:pt>
                <c:pt idx="2">
                  <c:v>11.036036036036036</c:v>
                </c:pt>
                <c:pt idx="3">
                  <c:v>10.810810810810811</c:v>
                </c:pt>
                <c:pt idx="4">
                  <c:v>10.585585585585585</c:v>
                </c:pt>
                <c:pt idx="5">
                  <c:v>9.9099099099099099</c:v>
                </c:pt>
                <c:pt idx="6">
                  <c:v>7.2072072072072073</c:v>
                </c:pt>
                <c:pt idx="7">
                  <c:v>5.1801801801801801</c:v>
                </c:pt>
                <c:pt idx="8">
                  <c:v>3.6036036036036037</c:v>
                </c:pt>
                <c:pt idx="9">
                  <c:v>2.9279279279279278</c:v>
                </c:pt>
                <c:pt idx="10">
                  <c:v>2.9279279279279278</c:v>
                </c:pt>
                <c:pt idx="11">
                  <c:v>2.0270270270270272</c:v>
                </c:pt>
                <c:pt idx="12">
                  <c:v>1.5765765765765765</c:v>
                </c:pt>
                <c:pt idx="13">
                  <c:v>1.3513513513513513</c:v>
                </c:pt>
                <c:pt idx="14">
                  <c:v>1.3513513513513513</c:v>
                </c:pt>
              </c:numCache>
            </c:numRef>
          </c:val>
          <c:extLst>
            <c:ext xmlns:c16="http://schemas.microsoft.com/office/drawing/2014/chart" uri="{C3380CC4-5D6E-409C-BE32-E72D297353CC}">
              <c16:uniqueId val="{00000000-7EAB-43C3-8868-C64A2AC6C0DA}"/>
            </c:ext>
          </c:extLst>
        </c:ser>
        <c:dLbls>
          <c:dLblPos val="outEnd"/>
          <c:showLegendKey val="0"/>
          <c:showVal val="1"/>
          <c:showCatName val="0"/>
          <c:showSerName val="0"/>
          <c:showPercent val="0"/>
          <c:showBubbleSize val="0"/>
        </c:dLbls>
        <c:gapWidth val="182"/>
        <c:axId val="485679520"/>
        <c:axId val="485687680"/>
      </c:barChart>
      <c:catAx>
        <c:axId val="4856795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u="none" strike="noStrike" baseline="0">
                    <a:effectLst/>
                  </a:rPr>
                  <a:t>Species</a:t>
                </a:r>
                <a:endParaRPr lang="fr-FR" sz="1200"/>
              </a:p>
            </c:rich>
          </c:tx>
          <c:layout>
            <c:manualLayout>
              <c:xMode val="edge"/>
              <c:yMode val="edge"/>
              <c:x val="3.0864197530864196E-2"/>
              <c:y val="0.4408809977083002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7680"/>
        <c:crosses val="autoZero"/>
        <c:auto val="1"/>
        <c:lblAlgn val="ctr"/>
        <c:lblOffset val="100"/>
        <c:noMultiLvlLbl val="0"/>
      </c:catAx>
      <c:valAx>
        <c:axId val="48568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7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human health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Figure!$C$176</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Figure!$A$177:$A$195</c:f>
              <c:strCache>
                <c:ptCount val="19"/>
                <c:pt idx="0">
                  <c:v>Acacia nilotica (L.) Willd. ex Delile</c:v>
                </c:pt>
                <c:pt idx="1">
                  <c:v>Balanites aegyptiaca (L.) Del.</c:v>
                </c:pt>
                <c:pt idx="2">
                  <c:v>Acacia chrembergiana Hayne.</c:v>
                </c:pt>
                <c:pt idx="3">
                  <c:v>Maerua crassifolia Forsk.</c:v>
                </c:pt>
                <c:pt idx="4">
                  <c:v>Salvadora persica L. </c:v>
                </c:pt>
                <c:pt idx="5">
                  <c:v>Zizyphus mauritiana Lam.</c:v>
                </c:pt>
                <c:pt idx="6">
                  <c:v>Acacia senegal (L.) Willd.</c:v>
                </c:pt>
                <c:pt idx="7">
                  <c:v>Commiphora africana (A. Rich.) Engl.</c:v>
                </c:pt>
                <c:pt idx="8">
                  <c:v>Moringa oleifera Lam.</c:v>
                </c:pt>
                <c:pt idx="9">
                  <c:v>Tamarix orientalis Forsk.</c:v>
                </c:pt>
                <c:pt idx="10">
                  <c:v>Boscia senegalensis Lam.</c:v>
                </c:pt>
                <c:pt idx="11">
                  <c:v>Prosopis juliflora (Sw.) DC</c:v>
                </c:pt>
                <c:pt idx="12">
                  <c:v>Adansonia digitata L</c:v>
                </c:pt>
                <c:pt idx="13">
                  <c:v>Cassia occidentalis L.</c:v>
                </c:pt>
                <c:pt idx="14">
                  <c:v>Piliostigma reticulatum (DC.) Hochst.</c:v>
                </c:pt>
                <c:pt idx="15">
                  <c:v>Acacia tortilis ( Subsp.) Savi.</c:v>
                </c:pt>
                <c:pt idx="16">
                  <c:v>Guiera senegalensis J. F. Gmel</c:v>
                </c:pt>
                <c:pt idx="17">
                  <c:v>Khaya senegalensis (Desr). A. Juss. </c:v>
                </c:pt>
                <c:pt idx="18">
                  <c:v>Tamarindus indica L</c:v>
                </c:pt>
              </c:strCache>
            </c:strRef>
          </c:cat>
          <c:val>
            <c:numRef>
              <c:f>Figure!$C$177:$C$195</c:f>
              <c:numCache>
                <c:formatCode>0.00</c:formatCode>
                <c:ptCount val="19"/>
                <c:pt idx="0">
                  <c:v>18.181818181818183</c:v>
                </c:pt>
                <c:pt idx="1">
                  <c:v>15.340909090909092</c:v>
                </c:pt>
                <c:pt idx="2">
                  <c:v>10.227272727272728</c:v>
                </c:pt>
                <c:pt idx="3">
                  <c:v>7.9545454545454541</c:v>
                </c:pt>
                <c:pt idx="4">
                  <c:v>7.9545454545454541</c:v>
                </c:pt>
                <c:pt idx="5">
                  <c:v>5.6818181818181817</c:v>
                </c:pt>
                <c:pt idx="6">
                  <c:v>5.1136363636363642</c:v>
                </c:pt>
                <c:pt idx="7">
                  <c:v>3.4090909090909087</c:v>
                </c:pt>
                <c:pt idx="8">
                  <c:v>3.4090909090909087</c:v>
                </c:pt>
                <c:pt idx="9">
                  <c:v>3.4090909090909087</c:v>
                </c:pt>
                <c:pt idx="10">
                  <c:v>2.8409090909090908</c:v>
                </c:pt>
                <c:pt idx="11">
                  <c:v>2.8409090909090908</c:v>
                </c:pt>
                <c:pt idx="12">
                  <c:v>2.2727272727272729</c:v>
                </c:pt>
                <c:pt idx="13">
                  <c:v>2.2727272727272729</c:v>
                </c:pt>
                <c:pt idx="14">
                  <c:v>2.2727272727272729</c:v>
                </c:pt>
                <c:pt idx="15">
                  <c:v>1.7045454545454544</c:v>
                </c:pt>
                <c:pt idx="16">
                  <c:v>1.7045454545454544</c:v>
                </c:pt>
                <c:pt idx="17">
                  <c:v>1.7045454545454544</c:v>
                </c:pt>
                <c:pt idx="18">
                  <c:v>1.7045454545454544</c:v>
                </c:pt>
              </c:numCache>
            </c:numRef>
          </c:val>
          <c:extLst>
            <c:ext xmlns:c16="http://schemas.microsoft.com/office/drawing/2014/chart" uri="{C3380CC4-5D6E-409C-BE32-E72D297353CC}">
              <c16:uniqueId val="{00000000-C747-4D19-A827-9E64899BBF39}"/>
            </c:ext>
          </c:extLst>
        </c:ser>
        <c:dLbls>
          <c:dLblPos val="outEnd"/>
          <c:showLegendKey val="0"/>
          <c:showVal val="1"/>
          <c:showCatName val="0"/>
          <c:showSerName val="0"/>
          <c:showPercent val="0"/>
          <c:showBubbleSize val="0"/>
        </c:dLbls>
        <c:gapWidth val="182"/>
        <c:axId val="485688768"/>
        <c:axId val="485689312"/>
      </c:barChart>
      <c:catAx>
        <c:axId val="485688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Species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9312"/>
        <c:crosses val="autoZero"/>
        <c:auto val="1"/>
        <c:lblAlgn val="ctr"/>
        <c:lblOffset val="100"/>
        <c:noMultiLvlLbl val="0"/>
      </c:catAx>
      <c:valAx>
        <c:axId val="485689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8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Diseases treated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530402449693789"/>
          <c:y val="0.17171296296296296"/>
          <c:w val="0.72536264216972879"/>
          <c:h val="0.74403579760863225"/>
        </c:manualLayout>
      </c:layout>
      <c:barChart>
        <c:barDir val="bar"/>
        <c:grouping val="clustered"/>
        <c:varyColors val="0"/>
        <c:ser>
          <c:idx val="0"/>
          <c:order val="0"/>
          <c:spPr>
            <a:solidFill>
              <a:schemeClr val="accent1"/>
            </a:solidFill>
            <a:ln>
              <a:noFill/>
            </a:ln>
            <a:effectLst/>
          </c:spPr>
          <c:invertIfNegative val="0"/>
          <c:cat>
            <c:strRef>
              <c:f>Feuil1!$B$45:$B$67</c:f>
              <c:strCache>
                <c:ptCount val="23"/>
                <c:pt idx="0">
                  <c:v>yellow fever  </c:v>
                </c:pt>
                <c:pt idx="1">
                  <c:v>Hip pain</c:v>
                </c:pt>
                <c:pt idx="2">
                  <c:v>Fatigue</c:v>
                </c:pt>
                <c:pt idx="3">
                  <c:v>Diabetes</c:v>
                </c:pt>
                <c:pt idx="4">
                  <c:v>Vomiting</c:v>
                </c:pt>
                <c:pt idx="5">
                  <c:v>Cardiovascular disease</c:v>
                </c:pt>
                <c:pt idx="6">
                  <c:v>Headaches</c:v>
                </c:pt>
                <c:pt idx="7">
                  <c:v>Tooth decay</c:v>
                </c:pt>
                <c:pt idx="8">
                  <c:v>Helminthiasis</c:v>
                </c:pt>
                <c:pt idx="9">
                  <c:v>Facilitating childbirth</c:v>
                </c:pt>
                <c:pt idx="10">
                  <c:v>Diarrhea</c:v>
                </c:pt>
                <c:pt idx="11">
                  <c:v>Avitaminosis</c:v>
                </c:pt>
                <c:pt idx="12">
                  <c:v>Antivenom</c:v>
                </c:pt>
                <c:pt idx="13">
                  <c:v>Pain relief</c:v>
                </c:pt>
                <c:pt idx="14">
                  <c:v>High blood pressure</c:v>
                </c:pt>
                <c:pt idx="15">
                  <c:v>Cough</c:v>
                </c:pt>
                <c:pt idx="16">
                  <c:v>Cold</c:v>
                </c:pt>
                <c:pt idx="17">
                  <c:v>Boosting milk production in women</c:v>
                </c:pt>
                <c:pt idx="18">
                  <c:v>Fever</c:v>
                </c:pt>
                <c:pt idx="19">
                  <c:v>Gastric ulcer</c:v>
                </c:pt>
                <c:pt idx="20">
                  <c:v>Stomach ache</c:v>
                </c:pt>
                <c:pt idx="21">
                  <c:v>Wound healing</c:v>
                </c:pt>
                <c:pt idx="22">
                  <c:v>Hemorrhoids</c:v>
                </c:pt>
              </c:strCache>
            </c:strRef>
          </c:cat>
          <c:val>
            <c:numRef>
              <c:f>Feuil1!$C$45:$C$67</c:f>
              <c:numCache>
                <c:formatCode>General</c:formatCode>
                <c:ptCount val="23"/>
                <c:pt idx="0">
                  <c:v>0.42</c:v>
                </c:pt>
                <c:pt idx="1">
                  <c:v>0.42</c:v>
                </c:pt>
                <c:pt idx="2">
                  <c:v>0.84</c:v>
                </c:pt>
                <c:pt idx="3">
                  <c:v>0.84</c:v>
                </c:pt>
                <c:pt idx="4">
                  <c:v>1.26</c:v>
                </c:pt>
                <c:pt idx="5">
                  <c:v>1.26</c:v>
                </c:pt>
                <c:pt idx="6">
                  <c:v>1.26</c:v>
                </c:pt>
                <c:pt idx="7">
                  <c:v>1.67</c:v>
                </c:pt>
                <c:pt idx="8">
                  <c:v>1.67</c:v>
                </c:pt>
                <c:pt idx="9">
                  <c:v>2.09</c:v>
                </c:pt>
                <c:pt idx="10">
                  <c:v>2.09</c:v>
                </c:pt>
                <c:pt idx="11">
                  <c:v>2.09</c:v>
                </c:pt>
                <c:pt idx="12">
                  <c:v>2.5099999999999998</c:v>
                </c:pt>
                <c:pt idx="13">
                  <c:v>2.93</c:v>
                </c:pt>
                <c:pt idx="14">
                  <c:v>3.35</c:v>
                </c:pt>
                <c:pt idx="15">
                  <c:v>3.35</c:v>
                </c:pt>
                <c:pt idx="16">
                  <c:v>3.77</c:v>
                </c:pt>
                <c:pt idx="17">
                  <c:v>4.18</c:v>
                </c:pt>
                <c:pt idx="18">
                  <c:v>7.95</c:v>
                </c:pt>
                <c:pt idx="19">
                  <c:v>8.3699999999999992</c:v>
                </c:pt>
                <c:pt idx="20">
                  <c:v>10.039999999999999</c:v>
                </c:pt>
                <c:pt idx="21">
                  <c:v>10.88</c:v>
                </c:pt>
                <c:pt idx="22">
                  <c:v>26.78</c:v>
                </c:pt>
              </c:numCache>
            </c:numRef>
          </c:val>
          <c:extLst>
            <c:ext xmlns:c16="http://schemas.microsoft.com/office/drawing/2014/chart" uri="{C3380CC4-5D6E-409C-BE32-E72D297353CC}">
              <c16:uniqueId val="{00000000-3046-4604-8FBF-D67724893814}"/>
            </c:ext>
          </c:extLst>
        </c:ser>
        <c:dLbls>
          <c:showLegendKey val="0"/>
          <c:showVal val="0"/>
          <c:showCatName val="0"/>
          <c:showSerName val="0"/>
          <c:showPercent val="0"/>
          <c:showBubbleSize val="0"/>
        </c:dLbls>
        <c:gapWidth val="182"/>
        <c:overlap val="4"/>
        <c:axId val="431941904"/>
        <c:axId val="431946896"/>
      </c:barChart>
      <c:catAx>
        <c:axId val="431941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946896"/>
        <c:crosses val="autoZero"/>
        <c:auto val="1"/>
        <c:lblAlgn val="ctr"/>
        <c:lblOffset val="100"/>
        <c:noMultiLvlLbl val="0"/>
      </c:catAx>
      <c:valAx>
        <c:axId val="431946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94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Figure!$C$278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Figure!$A$279:$A$296</c:f>
              <c:strCache>
                <c:ptCount val="18"/>
                <c:pt idx="0">
                  <c:v>Boscia senegalensis Lam.</c:v>
                </c:pt>
                <c:pt idx="1">
                  <c:v>Hibiscus sabdariffa L. </c:v>
                </c:pt>
                <c:pt idx="2">
                  <c:v>Tamarix orientalis Forsk.</c:v>
                </c:pt>
                <c:pt idx="3">
                  <c:v>Maerua crassifolia Forsk.</c:v>
                </c:pt>
                <c:pt idx="4">
                  <c:v>Acacia nilotica (L.) Willd. ex Delile</c:v>
                </c:pt>
                <c:pt idx="5">
                  <c:v>Balanites aegyptiaca (L.) Del.</c:v>
                </c:pt>
                <c:pt idx="6">
                  <c:v>Ceratotheca sesamoides Endl.</c:v>
                </c:pt>
                <c:pt idx="7">
                  <c:v>Combretum glutinosum Perr.</c:v>
                </c:pt>
                <c:pt idx="8">
                  <c:v>Faidherbia albida (Del.) A. Chev</c:v>
                </c:pt>
                <c:pt idx="9">
                  <c:v>Acacia tortilis ( Subsp.) Savi.</c:v>
                </c:pt>
                <c:pt idx="10">
                  <c:v>Mitragyna inermis (Will.) Kuntze.</c:v>
                </c:pt>
                <c:pt idx="11">
                  <c:v>Prosopis juliflora (Sw.) DC</c:v>
                </c:pt>
                <c:pt idx="12">
                  <c:v>Salvadora persica L. </c:v>
                </c:pt>
                <c:pt idx="13">
                  <c:v>Securidaca longepedunculata Fres.</c:v>
                </c:pt>
                <c:pt idx="14">
                  <c:v>Zizyphus mauritiana Lam.</c:v>
                </c:pt>
                <c:pt idx="15">
                  <c:v>Calotropis procera Ait.</c:v>
                </c:pt>
                <c:pt idx="16">
                  <c:v>Hyphaene thebaica (L.) Mart.</c:v>
                </c:pt>
                <c:pt idx="17">
                  <c:v>Leptadenia pyrotechnica (Forsk.) Decne.</c:v>
                </c:pt>
              </c:strCache>
            </c:strRef>
          </c:cat>
          <c:val>
            <c:numRef>
              <c:f>Figure!$C$279:$C$296</c:f>
              <c:numCache>
                <c:formatCode>0.00</c:formatCode>
                <c:ptCount val="18"/>
                <c:pt idx="0">
                  <c:v>22.988505747126435</c:v>
                </c:pt>
                <c:pt idx="1">
                  <c:v>20.689655172413794</c:v>
                </c:pt>
                <c:pt idx="2">
                  <c:v>9.1954022988505741</c:v>
                </c:pt>
                <c:pt idx="3">
                  <c:v>8.0459770114942533</c:v>
                </c:pt>
                <c:pt idx="4">
                  <c:v>4.5977011494252871</c:v>
                </c:pt>
                <c:pt idx="5">
                  <c:v>4.5977011494252871</c:v>
                </c:pt>
                <c:pt idx="6">
                  <c:v>4.5977011494252871</c:v>
                </c:pt>
                <c:pt idx="7">
                  <c:v>4.5977011494252871</c:v>
                </c:pt>
                <c:pt idx="8">
                  <c:v>3.4482758620689653</c:v>
                </c:pt>
                <c:pt idx="9">
                  <c:v>2.2988505747126435</c:v>
                </c:pt>
                <c:pt idx="10">
                  <c:v>2.2988505747126435</c:v>
                </c:pt>
                <c:pt idx="11">
                  <c:v>2.2988505747126435</c:v>
                </c:pt>
                <c:pt idx="12">
                  <c:v>2.2988505747126435</c:v>
                </c:pt>
                <c:pt idx="13">
                  <c:v>2.2988505747126435</c:v>
                </c:pt>
                <c:pt idx="14">
                  <c:v>2.2988505747126435</c:v>
                </c:pt>
                <c:pt idx="15">
                  <c:v>1.1494252873563218</c:v>
                </c:pt>
                <c:pt idx="16">
                  <c:v>1.1494252873563218</c:v>
                </c:pt>
                <c:pt idx="17">
                  <c:v>1.1494252873563218</c:v>
                </c:pt>
              </c:numCache>
            </c:numRef>
          </c:val>
          <c:extLst>
            <c:ext xmlns:c16="http://schemas.microsoft.com/office/drawing/2014/chart" uri="{C3380CC4-5D6E-409C-BE32-E72D297353CC}">
              <c16:uniqueId val="{00000000-4E2A-4690-A955-E75EA7838653}"/>
            </c:ext>
          </c:extLst>
        </c:ser>
        <c:dLbls>
          <c:dLblPos val="outEnd"/>
          <c:showLegendKey val="0"/>
          <c:showVal val="1"/>
          <c:showCatName val="0"/>
          <c:showSerName val="0"/>
          <c:showPercent val="0"/>
          <c:showBubbleSize val="0"/>
        </c:dLbls>
        <c:gapWidth val="182"/>
        <c:axId val="485681696"/>
        <c:axId val="485684960"/>
      </c:barChart>
      <c:catAx>
        <c:axId val="4856816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0" i="0" u="none" strike="noStrike" baseline="0">
                    <a:effectLst/>
                  </a:rPr>
                  <a:t>species</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4960"/>
        <c:crosses val="autoZero"/>
        <c:auto val="1"/>
        <c:lblAlgn val="ctr"/>
        <c:lblOffset val="100"/>
        <c:noMultiLvlLbl val="0"/>
      </c:catAx>
      <c:valAx>
        <c:axId val="485684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681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008267716535433"/>
          <c:y val="0.19486111111111112"/>
          <c:w val="0.64058398950131235"/>
          <c:h val="0.72088764946048411"/>
        </c:manualLayout>
      </c:layout>
      <c:barChart>
        <c:barDir val="bar"/>
        <c:grouping val="stacked"/>
        <c:varyColors val="0"/>
        <c:ser>
          <c:idx val="0"/>
          <c:order val="0"/>
          <c:spPr>
            <a:solidFill>
              <a:schemeClr val="accent1"/>
            </a:solidFill>
            <a:ln>
              <a:noFill/>
            </a:ln>
            <a:effectLst/>
          </c:spPr>
          <c:invertIfNegative val="0"/>
          <c:cat>
            <c:strRef>
              <c:f>[Classeur1]Feuil1!$A$143:$A$153</c:f>
              <c:strCache>
                <c:ptCount val="11"/>
                <c:pt idx="0">
                  <c:v>Facilitants l' accouchement</c:v>
                </c:pt>
                <c:pt idx="1">
                  <c:v>Fievre</c:v>
                </c:pt>
                <c:pt idx="2">
                  <c:v>Hémorroïde</c:v>
                </c:pt>
                <c:pt idx="3">
                  <c:v>Antivenimeux</c:v>
                </c:pt>
                <c:pt idx="4">
                  <c:v>Appétissants</c:v>
                </c:pt>
                <c:pt idx="5">
                  <c:v>Poue</c:v>
                </c:pt>
                <c:pt idx="6">
                  <c:v>Diarrhée</c:v>
                </c:pt>
                <c:pt idx="7">
                  <c:v>Blessure</c:v>
                </c:pt>
                <c:pt idx="8">
                  <c:v>Toux</c:v>
                </c:pt>
                <c:pt idx="9">
                  <c:v>Hypertensions</c:v>
                </c:pt>
                <c:pt idx="10">
                  <c:v>Constipation</c:v>
                </c:pt>
              </c:strCache>
            </c:strRef>
          </c:cat>
          <c:val>
            <c:numRef>
              <c:f>[Classeur1]Feuil1!$B$143:$B$153</c:f>
              <c:numCache>
                <c:formatCode>General</c:formatCode>
                <c:ptCount val="11"/>
                <c:pt idx="0">
                  <c:v>1.1399999999999999</c:v>
                </c:pt>
                <c:pt idx="1">
                  <c:v>2.27</c:v>
                </c:pt>
                <c:pt idx="2">
                  <c:v>3.41</c:v>
                </c:pt>
                <c:pt idx="3">
                  <c:v>4.55</c:v>
                </c:pt>
                <c:pt idx="4">
                  <c:v>5.68</c:v>
                </c:pt>
                <c:pt idx="5">
                  <c:v>9.82</c:v>
                </c:pt>
                <c:pt idx="6">
                  <c:v>9.09</c:v>
                </c:pt>
                <c:pt idx="7">
                  <c:v>10.23</c:v>
                </c:pt>
                <c:pt idx="8">
                  <c:v>13.64</c:v>
                </c:pt>
                <c:pt idx="9">
                  <c:v>20.45</c:v>
                </c:pt>
                <c:pt idx="10">
                  <c:v>22.73</c:v>
                </c:pt>
              </c:numCache>
            </c:numRef>
          </c:val>
          <c:extLst>
            <c:ext xmlns:c16="http://schemas.microsoft.com/office/drawing/2014/chart" uri="{C3380CC4-5D6E-409C-BE32-E72D297353CC}">
              <c16:uniqueId val="{00000000-E3EB-4411-8929-3810C2BB03DD}"/>
            </c:ext>
          </c:extLst>
        </c:ser>
        <c:dLbls>
          <c:showLegendKey val="0"/>
          <c:showVal val="0"/>
          <c:showCatName val="0"/>
          <c:showSerName val="0"/>
          <c:showPercent val="0"/>
          <c:showBubbleSize val="0"/>
        </c:dLbls>
        <c:gapWidth val="150"/>
        <c:overlap val="100"/>
        <c:axId val="270565904"/>
        <c:axId val="270566320"/>
      </c:barChart>
      <c:catAx>
        <c:axId val="270565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566320"/>
        <c:crosses val="autoZero"/>
        <c:auto val="1"/>
        <c:lblAlgn val="ctr"/>
        <c:lblOffset val="100"/>
        <c:noMultiLvlLbl val="0"/>
      </c:catAx>
      <c:valAx>
        <c:axId val="270566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56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construction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640823767361982"/>
          <c:y val="0.12502246084911434"/>
          <c:w val="0.59724281730896256"/>
          <c:h val="0.72530348356157803"/>
        </c:manualLayout>
      </c:layout>
      <c:barChart>
        <c:barDir val="bar"/>
        <c:grouping val="clustered"/>
        <c:varyColors val="0"/>
        <c:ser>
          <c:idx val="0"/>
          <c:order val="0"/>
          <c:tx>
            <c:strRef>
              <c:f>Figure!$C$356</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Figure!$A$357:$A$367</c:f>
              <c:strCache>
                <c:ptCount val="11"/>
                <c:pt idx="0">
                  <c:v>Prosopis juliflora (Sw.) DC</c:v>
                </c:pt>
                <c:pt idx="1">
                  <c:v>Calotropis procera Ait.</c:v>
                </c:pt>
                <c:pt idx="2">
                  <c:v>Acacia tortilis ( Subsp.) Savi.</c:v>
                </c:pt>
                <c:pt idx="3">
                  <c:v>Hyphaene thebaica (L.) Mart.</c:v>
                </c:pt>
                <c:pt idx="4">
                  <c:v>Phoenix dactylifera L.</c:v>
                </c:pt>
                <c:pt idx="5">
                  <c:v>Panicum turgidum Forsk.</c:v>
                </c:pt>
                <c:pt idx="6">
                  <c:v>Acacia chrembergiana Hayne.</c:v>
                </c:pt>
                <c:pt idx="7">
                  <c:v>Acacia nilotica (L.) Willd. ex Delile</c:v>
                </c:pt>
                <c:pt idx="8">
                  <c:v>Balanites aegyptiaca (L.) Del.</c:v>
                </c:pt>
                <c:pt idx="9">
                  <c:v>Faidherbia albida (Del.) A. Chev</c:v>
                </c:pt>
                <c:pt idx="10">
                  <c:v>Tamarix orientalis Forsk.</c:v>
                </c:pt>
              </c:strCache>
            </c:strRef>
          </c:cat>
          <c:val>
            <c:numRef>
              <c:f>Figure!$C$357:$C$367</c:f>
              <c:numCache>
                <c:formatCode>0.00</c:formatCode>
                <c:ptCount val="11"/>
                <c:pt idx="0">
                  <c:v>26.70807453416149</c:v>
                </c:pt>
                <c:pt idx="1">
                  <c:v>24.534161490683228</c:v>
                </c:pt>
                <c:pt idx="2">
                  <c:v>18.012422360248447</c:v>
                </c:pt>
                <c:pt idx="3">
                  <c:v>17.391304347826086</c:v>
                </c:pt>
                <c:pt idx="4">
                  <c:v>6.8322981366459627</c:v>
                </c:pt>
                <c:pt idx="5">
                  <c:v>3.1055900621118013</c:v>
                </c:pt>
                <c:pt idx="6">
                  <c:v>1.2422360248447204</c:v>
                </c:pt>
                <c:pt idx="7">
                  <c:v>0.6211180124223602</c:v>
                </c:pt>
                <c:pt idx="8">
                  <c:v>0.6211180124223602</c:v>
                </c:pt>
                <c:pt idx="9">
                  <c:v>0.6211180124223602</c:v>
                </c:pt>
                <c:pt idx="10">
                  <c:v>0.3105590062111801</c:v>
                </c:pt>
              </c:numCache>
            </c:numRef>
          </c:val>
          <c:extLst>
            <c:ext xmlns:c16="http://schemas.microsoft.com/office/drawing/2014/chart" uri="{C3380CC4-5D6E-409C-BE32-E72D297353CC}">
              <c16:uniqueId val="{00000000-7E4E-46B7-9334-32B9828F222A}"/>
            </c:ext>
          </c:extLst>
        </c:ser>
        <c:dLbls>
          <c:dLblPos val="outEnd"/>
          <c:showLegendKey val="0"/>
          <c:showVal val="1"/>
          <c:showCatName val="0"/>
          <c:showSerName val="0"/>
          <c:showPercent val="0"/>
          <c:showBubbleSize val="0"/>
        </c:dLbls>
        <c:gapWidth val="182"/>
        <c:axId val="485676800"/>
        <c:axId val="485680064"/>
      </c:barChart>
      <c:catAx>
        <c:axId val="485676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Species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0064"/>
        <c:crosses val="autoZero"/>
        <c:auto val="1"/>
        <c:lblAlgn val="ctr"/>
        <c:lblOffset val="100"/>
        <c:noMultiLvlLbl val="0"/>
      </c:catAx>
      <c:valAx>
        <c:axId val="485680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7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17</Pages>
  <Words>3712</Words>
  <Characters>21165</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DOYEN</dc:creator>
  <cp:keywords/>
  <dc:description/>
  <cp:lastModifiedBy>SDI 1084</cp:lastModifiedBy>
  <cp:revision>26</cp:revision>
  <dcterms:created xsi:type="dcterms:W3CDTF">2025-10-27T16:12:00Z</dcterms:created>
  <dcterms:modified xsi:type="dcterms:W3CDTF">2025-10-28T12:40:00Z</dcterms:modified>
</cp:coreProperties>
</file>