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83E11C" w14:textId="77777777" w:rsidR="00F860FB" w:rsidRDefault="00F860FB">
      <w:pPr>
        <w:pStyle w:val="Heading2"/>
        <w:keepNext w:val="0"/>
        <w:keepLines w:val="0"/>
        <w:shd w:val="clear" w:color="auto" w:fill="FFFFFF"/>
        <w:spacing w:before="0" w:after="0"/>
        <w:jc w:val="center"/>
        <w:rPr>
          <w:rFonts w:ascii="Times New Roman" w:eastAsia="Times New Roman" w:hAnsi="Times New Roman" w:cs="Times New Roman"/>
          <w:b/>
          <w:sz w:val="24"/>
          <w:szCs w:val="24"/>
          <w:highlight w:val="white"/>
        </w:rPr>
      </w:pPr>
      <w:bookmarkStart w:id="0" w:name="_umleirwcjfzn" w:colFirst="0" w:colLast="0"/>
      <w:bookmarkStart w:id="1" w:name="_GoBack"/>
      <w:bookmarkEnd w:id="0"/>
      <w:bookmarkEnd w:id="1"/>
    </w:p>
    <w:p w14:paraId="26699ED4" w14:textId="77777777" w:rsidR="00F860FB" w:rsidRDefault="00F860FB">
      <w:pPr>
        <w:pStyle w:val="Heading2"/>
        <w:keepNext w:val="0"/>
        <w:keepLines w:val="0"/>
        <w:shd w:val="clear" w:color="auto" w:fill="FFFFFF"/>
        <w:spacing w:before="0" w:after="0"/>
        <w:jc w:val="center"/>
        <w:rPr>
          <w:rFonts w:ascii="Times New Roman" w:eastAsia="Times New Roman" w:hAnsi="Times New Roman" w:cs="Times New Roman"/>
          <w:b/>
          <w:sz w:val="24"/>
          <w:szCs w:val="24"/>
          <w:highlight w:val="white"/>
        </w:rPr>
      </w:pPr>
    </w:p>
    <w:p w14:paraId="4B04B424" w14:textId="115FE1E4" w:rsidR="000A335C" w:rsidRDefault="0073578C">
      <w:pPr>
        <w:pStyle w:val="Heading2"/>
        <w:keepNext w:val="0"/>
        <w:keepLines w:val="0"/>
        <w:shd w:val="clear" w:color="auto" w:fill="FFFFFF"/>
        <w:spacing w:before="0" w:after="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Dry Matter Allocation and Yield Response of Carrot (</w:t>
      </w:r>
      <w:r>
        <w:rPr>
          <w:rFonts w:ascii="Times New Roman" w:eastAsia="Times New Roman" w:hAnsi="Times New Roman" w:cs="Times New Roman"/>
          <w:b/>
          <w:i/>
          <w:sz w:val="24"/>
          <w:szCs w:val="24"/>
          <w:highlight w:val="white"/>
        </w:rPr>
        <w:t>Daucus carota L.)</w:t>
      </w:r>
      <w:r>
        <w:rPr>
          <w:rFonts w:ascii="Times New Roman" w:eastAsia="Times New Roman" w:hAnsi="Times New Roman" w:cs="Times New Roman"/>
          <w:b/>
          <w:sz w:val="24"/>
          <w:szCs w:val="24"/>
          <w:highlight w:val="white"/>
        </w:rPr>
        <w:t xml:space="preserve"> to Fertilization with </w:t>
      </w:r>
      <w:r>
        <w:rPr>
          <w:rFonts w:ascii="Times New Roman" w:eastAsia="Times New Roman" w:hAnsi="Times New Roman" w:cs="Times New Roman"/>
          <w:b/>
          <w:i/>
          <w:sz w:val="24"/>
          <w:szCs w:val="24"/>
          <w:highlight w:val="white"/>
        </w:rPr>
        <w:t xml:space="preserve">Moringa </w:t>
      </w:r>
      <w:r>
        <w:rPr>
          <w:rFonts w:ascii="Times New Roman" w:eastAsia="Times New Roman" w:hAnsi="Times New Roman" w:cs="Times New Roman"/>
          <w:b/>
          <w:i/>
          <w:sz w:val="24"/>
          <w:szCs w:val="24"/>
        </w:rPr>
        <w:t xml:space="preserve">oleifera </w:t>
      </w:r>
      <w:r>
        <w:rPr>
          <w:rFonts w:ascii="Times New Roman" w:eastAsia="Times New Roman" w:hAnsi="Times New Roman" w:cs="Times New Roman"/>
          <w:b/>
          <w:sz w:val="24"/>
          <w:szCs w:val="24"/>
          <w:highlight w:val="white"/>
        </w:rPr>
        <w:t xml:space="preserve">and </w:t>
      </w:r>
      <w:proofErr w:type="spellStart"/>
      <w:r>
        <w:rPr>
          <w:rFonts w:ascii="Times New Roman" w:eastAsia="Times New Roman" w:hAnsi="Times New Roman" w:cs="Times New Roman"/>
          <w:b/>
          <w:i/>
          <w:sz w:val="24"/>
          <w:szCs w:val="24"/>
          <w:highlight w:val="white"/>
        </w:rPr>
        <w:t>Tithonia</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rPr>
        <w:t>diversifolia</w:t>
      </w:r>
      <w:proofErr w:type="spellEnd"/>
      <w:r>
        <w:rPr>
          <w:rFonts w:ascii="Times New Roman" w:eastAsia="Times New Roman" w:hAnsi="Times New Roman" w:cs="Times New Roman"/>
          <w:b/>
          <w:sz w:val="24"/>
          <w:szCs w:val="24"/>
          <w:highlight w:val="white"/>
        </w:rPr>
        <w:t xml:space="preserve"> Leaf Extracts</w:t>
      </w:r>
    </w:p>
    <w:p w14:paraId="2CC108FD" w14:textId="77777777" w:rsidR="00F860FB" w:rsidRDefault="00F860FB" w:rsidP="00F860FB">
      <w:pPr>
        <w:rPr>
          <w:highlight w:val="white"/>
        </w:rPr>
      </w:pPr>
    </w:p>
    <w:p w14:paraId="1EF9107E" w14:textId="77777777" w:rsidR="00F860FB" w:rsidRPr="00F860FB" w:rsidRDefault="00F860FB" w:rsidP="00F860FB">
      <w:pPr>
        <w:rPr>
          <w:highlight w:val="white"/>
        </w:rPr>
      </w:pPr>
    </w:p>
    <w:p w14:paraId="602494A8" w14:textId="7F7788F2" w:rsidR="002F7B4E" w:rsidRDefault="002F7B4E">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A24F529" w14:textId="77777777" w:rsidR="000A335C" w:rsidRDefault="0073578C">
      <w:pPr>
        <w:pStyle w:val="Heading2"/>
        <w:keepNext w:val="0"/>
        <w:keepLines w:val="0"/>
        <w:spacing w:after="80"/>
        <w:jc w:val="center"/>
        <w:rPr>
          <w:rFonts w:ascii="Times New Roman" w:eastAsia="Times New Roman" w:hAnsi="Times New Roman" w:cs="Times New Roman"/>
          <w:b/>
          <w:sz w:val="24"/>
          <w:szCs w:val="24"/>
        </w:rPr>
      </w:pPr>
      <w:bookmarkStart w:id="2" w:name="_fdq7q4ev4dv7" w:colFirst="0" w:colLast="0"/>
      <w:bookmarkEnd w:id="2"/>
      <w:r>
        <w:rPr>
          <w:rFonts w:ascii="Times New Roman" w:eastAsia="Times New Roman" w:hAnsi="Times New Roman" w:cs="Times New Roman"/>
          <w:b/>
          <w:sz w:val="24"/>
          <w:szCs w:val="24"/>
        </w:rPr>
        <w:t>Abstract</w:t>
      </w:r>
    </w:p>
    <w:p w14:paraId="56DE04AE"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investigated the effects of different fertilizers (organic options like Moringa leaf extract, Tithonia leaf extract, and a mixture of both (Mix), compared to a standard inorganic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fertilizer) on carrot growth, root development, and overa</w:t>
      </w:r>
      <w:r>
        <w:rPr>
          <w:rFonts w:ascii="Times New Roman" w:eastAsia="Times New Roman" w:hAnsi="Times New Roman" w:cs="Times New Roman"/>
          <w:sz w:val="24"/>
          <w:szCs w:val="24"/>
        </w:rPr>
        <w:t>ll yield.</w:t>
      </w:r>
    </w:p>
    <w:p w14:paraId="1E665870"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Initial observations showed that early carrot growth, including leaf area index, plant height, and leaf count, did not differ significantly across the fertilizer treatments. However, as the carrots matured, clear and significant variations emerge</w:t>
      </w:r>
      <w:r>
        <w:rPr>
          <w:rFonts w:ascii="Times New Roman" w:eastAsia="Times New Roman" w:hAnsi="Times New Roman" w:cs="Times New Roman"/>
          <w:sz w:val="24"/>
          <w:szCs w:val="24"/>
        </w:rPr>
        <w:t>d in how they accumulated biomass and developed their roots.</w:t>
      </w:r>
    </w:p>
    <w:p w14:paraId="575B7044"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instance, fresh shoot weight was significantly affected by the treatments, with Moringa (0.430 g) leading to heavier tops, outperforming Mix (0.290 g) and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(0.390 g). Fresh root weigh</w:t>
      </w:r>
      <w:r>
        <w:rPr>
          <w:rFonts w:ascii="Times New Roman" w:eastAsia="Times New Roman" w:hAnsi="Times New Roman" w:cs="Times New Roman"/>
          <w:sz w:val="24"/>
          <w:szCs w:val="24"/>
        </w:rPr>
        <w:t xml:space="preserve">t showed a highly significant difference, with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(2.39 g) resulting in the heaviest roots, followed by Moringa (2.08 g), Tithonia (1.88 g), and the mixed organic fertilizer (1.66 g). Interestingly, in terms of root dry weight (the actual solid mater</w:t>
      </w:r>
      <w:r>
        <w:rPr>
          <w:rFonts w:ascii="Times New Roman" w:eastAsia="Times New Roman" w:hAnsi="Times New Roman" w:cs="Times New Roman"/>
          <w:sz w:val="24"/>
          <w:szCs w:val="24"/>
        </w:rPr>
        <w:t xml:space="preserve">ial), Moringa (0.0539 g) significantly outperformed Mix (0.0422 g) and Tithonia (0.0426 g). Both Moringa and Tithonia (both 0.0734 g/plot) also significantly increased leaf dry weight compared to Mix (0.0448 g/plot) and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(0.0544 g/plot).</w:t>
      </w:r>
    </w:p>
    <w:p w14:paraId="69EEC7A7"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root m</w:t>
      </w:r>
      <w:r>
        <w:rPr>
          <w:rFonts w:ascii="Times New Roman" w:eastAsia="Times New Roman" w:hAnsi="Times New Roman" w:cs="Times New Roman"/>
          <w:sz w:val="24"/>
          <w:szCs w:val="24"/>
        </w:rPr>
        <w:t xml:space="preserve">orphology, root length was highest with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(16.8 cm) and Moringa (16.7 cm), both outperforming Mix (15.4 cm) and Tithonia (15.6 cm). Root diameter also varied significantly, with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(36.3 mm) producing the thickest roots, followed by Moringa (3</w:t>
      </w:r>
      <w:r>
        <w:rPr>
          <w:rFonts w:ascii="Times New Roman" w:eastAsia="Times New Roman" w:hAnsi="Times New Roman" w:cs="Times New Roman"/>
          <w:sz w:val="24"/>
          <w:szCs w:val="24"/>
        </w:rPr>
        <w:t xml:space="preserve">4.3 mm), Mix (32.3 mm), and Tithonia (31.5 mm). Total yield was significantly affected, with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(8.08 t/ha) leading, but Moringa (6.39 t/ha) and Tithonia (6.49 t/ha) yielding similarly and proving to be strong organic alternatives to Mix (5.42 t/ha).</w:t>
      </w:r>
      <w:r>
        <w:rPr>
          <w:rFonts w:ascii="Times New Roman" w:eastAsia="Times New Roman" w:hAnsi="Times New Roman" w:cs="Times New Roman"/>
          <w:sz w:val="24"/>
          <w:szCs w:val="24"/>
        </w:rPr>
        <w:t xml:space="preserve"> The study also found significant differences in how carrots allocated their resources between roots and shoots depending on the fertilizer.</w:t>
      </w:r>
    </w:p>
    <w:p w14:paraId="086E418A"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while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fertilizer remains optimal for maximizing carrot yield, Moringa leaf extract demonstr</w:t>
      </w:r>
      <w:r>
        <w:rPr>
          <w:rFonts w:ascii="Times New Roman" w:eastAsia="Times New Roman" w:hAnsi="Times New Roman" w:cs="Times New Roman"/>
          <w:sz w:val="24"/>
          <w:szCs w:val="24"/>
        </w:rPr>
        <w:t xml:space="preserve">ated strong potential as a competitive organic alternative. It significantly boosted fresh shoot weight and achieved root dry weight and root length comparable to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suggesting its viability for sustainable carrot production systems.</w:t>
      </w:r>
    </w:p>
    <w:p w14:paraId="08D505E1" w14:textId="77777777" w:rsidR="000A335C" w:rsidRDefault="000A335C">
      <w:pPr>
        <w:jc w:val="both"/>
        <w:rPr>
          <w:rFonts w:ascii="Times New Roman" w:eastAsia="Times New Roman" w:hAnsi="Times New Roman" w:cs="Times New Roman"/>
          <w:sz w:val="24"/>
          <w:szCs w:val="24"/>
        </w:rPr>
      </w:pPr>
    </w:p>
    <w:p w14:paraId="6F4F4BCC" w14:textId="77777777" w:rsidR="000A335C" w:rsidRDefault="0073578C">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(Keywords: Mor</w:t>
      </w:r>
      <w:r>
        <w:rPr>
          <w:rFonts w:ascii="Times New Roman" w:eastAsia="Times New Roman" w:hAnsi="Times New Roman" w:cs="Times New Roman"/>
          <w:i/>
          <w:sz w:val="24"/>
          <w:szCs w:val="24"/>
        </w:rPr>
        <w:t xml:space="preserve">inga oleifera, </w:t>
      </w:r>
      <w:proofErr w:type="spellStart"/>
      <w:r>
        <w:rPr>
          <w:rFonts w:ascii="Times New Roman" w:eastAsia="Times New Roman" w:hAnsi="Times New Roman" w:cs="Times New Roman"/>
          <w:i/>
          <w:sz w:val="24"/>
          <w:szCs w:val="24"/>
        </w:rPr>
        <w:t>Tithonia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diversifolia</w:t>
      </w:r>
      <w:proofErr w:type="spellEnd"/>
      <w:r>
        <w:rPr>
          <w:rFonts w:ascii="Times New Roman" w:eastAsia="Times New Roman" w:hAnsi="Times New Roman" w:cs="Times New Roman"/>
          <w:i/>
          <w:sz w:val="24"/>
          <w:szCs w:val="24"/>
        </w:rPr>
        <w:t>, Leaf extracts, Organic fertilizer)</w:t>
      </w:r>
    </w:p>
    <w:p w14:paraId="501BC0C0" w14:textId="77777777" w:rsidR="000A335C" w:rsidRDefault="000A335C">
      <w:pPr>
        <w:jc w:val="both"/>
        <w:rPr>
          <w:rFonts w:ascii="Times New Roman" w:eastAsia="Times New Roman" w:hAnsi="Times New Roman" w:cs="Times New Roman"/>
          <w:sz w:val="24"/>
          <w:szCs w:val="24"/>
        </w:rPr>
      </w:pPr>
    </w:p>
    <w:p w14:paraId="53BE7877" w14:textId="77777777" w:rsidR="000A335C" w:rsidRDefault="0073578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4D204A97"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Carrot (</w:t>
      </w:r>
      <w:r>
        <w:rPr>
          <w:rFonts w:ascii="Times New Roman" w:eastAsia="Times New Roman" w:hAnsi="Times New Roman" w:cs="Times New Roman"/>
          <w:i/>
          <w:sz w:val="24"/>
          <w:szCs w:val="24"/>
        </w:rPr>
        <w:t>Daucus carota L.</w:t>
      </w:r>
      <w:r>
        <w:rPr>
          <w:rFonts w:ascii="Times New Roman" w:eastAsia="Times New Roman" w:hAnsi="Times New Roman" w:cs="Times New Roman"/>
          <w:sz w:val="24"/>
          <w:szCs w:val="24"/>
        </w:rPr>
        <w:t>) is one of the world's most economically important root vegetables, valued both for its nutritional composition and global market significance (</w:t>
      </w:r>
      <w:r>
        <w:rPr>
          <w:rFonts w:ascii="Times New Roman" w:eastAsia="Times New Roman" w:hAnsi="Times New Roman" w:cs="Times New Roman"/>
          <w:sz w:val="24"/>
          <w:szCs w:val="24"/>
        </w:rPr>
        <w:t>FAO, 2022). As demand continues to grow in both developed and developing nations, production systems face increasing pressure to optimize yield while addressing sustainability concerns (Smith et al 2024). This dual challenge has brought renewed attention t</w:t>
      </w:r>
      <w:r>
        <w:rPr>
          <w:rFonts w:ascii="Times New Roman" w:eastAsia="Times New Roman" w:hAnsi="Times New Roman" w:cs="Times New Roman"/>
          <w:sz w:val="24"/>
          <w:szCs w:val="24"/>
        </w:rPr>
        <w:t xml:space="preserve">o fertilization strategies, particularly the comparative efficacy of organic versus inorganic nutrient sources in carrot cultivation (Sah, et al. 2024: </w:t>
      </w:r>
      <w:proofErr w:type="spellStart"/>
      <w:r>
        <w:rPr>
          <w:rFonts w:ascii="Times New Roman" w:eastAsia="Times New Roman" w:hAnsi="Times New Roman" w:cs="Times New Roman"/>
          <w:sz w:val="24"/>
          <w:szCs w:val="24"/>
        </w:rPr>
        <w:t>Mugwe</w:t>
      </w:r>
      <w:proofErr w:type="spellEnd"/>
      <w:r>
        <w:rPr>
          <w:rFonts w:ascii="Times New Roman" w:eastAsia="Times New Roman" w:hAnsi="Times New Roman" w:cs="Times New Roman"/>
          <w:sz w:val="24"/>
          <w:szCs w:val="24"/>
        </w:rPr>
        <w:t xml:space="preserve"> et al. 2019)</w:t>
      </w:r>
    </w:p>
    <w:p w14:paraId="6ADA6921"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physiological response of carrots to nutrient availability presents unique consid</w:t>
      </w:r>
      <w:r>
        <w:rPr>
          <w:rFonts w:ascii="Times New Roman" w:eastAsia="Times New Roman" w:hAnsi="Times New Roman" w:cs="Times New Roman"/>
          <w:sz w:val="24"/>
          <w:szCs w:val="24"/>
        </w:rPr>
        <w:t xml:space="preserve">erations among vegetable crops. As a root vegetable, carrot exhibits distinct patterns of biomass partitioning and morphological development that differ fundamentally from fruit or leaf crops (Mazed, et al. 2015). The crop's sensitivity to nutrient timing </w:t>
      </w:r>
      <w:r>
        <w:rPr>
          <w:rFonts w:ascii="Times New Roman" w:eastAsia="Times New Roman" w:hAnsi="Times New Roman" w:cs="Times New Roman"/>
          <w:sz w:val="24"/>
          <w:szCs w:val="24"/>
        </w:rPr>
        <w:t>and form is well-documented, with particular responsiveness to nitrogen availability during critical growth stages (Babu et al, 2025). However, the broader implications of fertilizer selection extend beyond yield alone, encompassing root morphology, nutrit</w:t>
      </w:r>
      <w:r>
        <w:rPr>
          <w:rFonts w:ascii="Times New Roman" w:eastAsia="Times New Roman" w:hAnsi="Times New Roman" w:cs="Times New Roman"/>
          <w:sz w:val="24"/>
          <w:szCs w:val="24"/>
        </w:rPr>
        <w:t>ional quality, and postharvest characteristics (Mbuyisa et al, 2023).</w:t>
      </w:r>
    </w:p>
    <w:p w14:paraId="580014DE"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Conventional production systems have traditionally relied on synthetic inorganic fertilizers to meet crop demands, offering predictable nutrient release and high yield potential (</w:t>
      </w:r>
      <w:proofErr w:type="spellStart"/>
      <w:r>
        <w:rPr>
          <w:rFonts w:ascii="Times New Roman" w:eastAsia="Times New Roman" w:hAnsi="Times New Roman" w:cs="Times New Roman"/>
          <w:sz w:val="24"/>
          <w:szCs w:val="24"/>
        </w:rPr>
        <w:t>Agbede</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et al. 2017). Yet growing environmental concerns, including soil degradation and nutrient runoff, have prompted examination of alternative approaches to carrot nutrition (Akpan et al, 2021). Organic alternatives such as</w:t>
      </w:r>
      <w:r>
        <w:rPr>
          <w:rFonts w:ascii="Times New Roman" w:eastAsia="Times New Roman" w:hAnsi="Times New Roman" w:cs="Times New Roman"/>
          <w:i/>
          <w:sz w:val="24"/>
          <w:szCs w:val="24"/>
        </w:rPr>
        <w:t xml:space="preserve"> Moringa oleifera and </w:t>
      </w:r>
      <w:proofErr w:type="spellStart"/>
      <w:r>
        <w:rPr>
          <w:rFonts w:ascii="Times New Roman" w:eastAsia="Times New Roman" w:hAnsi="Times New Roman" w:cs="Times New Roman"/>
          <w:i/>
          <w:sz w:val="24"/>
          <w:szCs w:val="24"/>
        </w:rPr>
        <w:t>Tithonia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diver</w:t>
      </w:r>
      <w:r>
        <w:rPr>
          <w:rFonts w:ascii="Times New Roman" w:eastAsia="Times New Roman" w:hAnsi="Times New Roman" w:cs="Times New Roman"/>
          <w:i/>
          <w:sz w:val="24"/>
          <w:szCs w:val="24"/>
        </w:rPr>
        <w:t>sifolia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leaf extracts present potentially sustainable alternatives, although their variable nutrient composition and mineralization rates introduce new management considerations (</w:t>
      </w:r>
      <w:proofErr w:type="spellStart"/>
      <w:r>
        <w:rPr>
          <w:rFonts w:ascii="Times New Roman" w:eastAsia="Times New Roman" w:hAnsi="Times New Roman" w:cs="Times New Roman"/>
          <w:sz w:val="24"/>
          <w:szCs w:val="24"/>
        </w:rPr>
        <w:t>Aboyeji</w:t>
      </w:r>
      <w:proofErr w:type="spellEnd"/>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Okonji</w:t>
      </w:r>
      <w:proofErr w:type="spellEnd"/>
      <w:r>
        <w:rPr>
          <w:rFonts w:ascii="Times New Roman" w:eastAsia="Times New Roman" w:hAnsi="Times New Roman" w:cs="Times New Roman"/>
          <w:sz w:val="24"/>
          <w:szCs w:val="24"/>
        </w:rPr>
        <w:t>, 2023). Some studies suggest these organic sources of c</w:t>
      </w:r>
      <w:r>
        <w:rPr>
          <w:rFonts w:ascii="Times New Roman" w:eastAsia="Times New Roman" w:hAnsi="Times New Roman" w:cs="Times New Roman"/>
          <w:sz w:val="24"/>
          <w:szCs w:val="24"/>
        </w:rPr>
        <w:t>rop nutrition may influence not only yield but also root architecture and phytochemical content (</w:t>
      </w:r>
      <w:proofErr w:type="spellStart"/>
      <w:r>
        <w:rPr>
          <w:rFonts w:ascii="Times New Roman" w:eastAsia="Times New Roman" w:hAnsi="Times New Roman" w:cs="Times New Roman"/>
          <w:sz w:val="24"/>
          <w:szCs w:val="24"/>
        </w:rPr>
        <w:t>Ahkter</w:t>
      </w:r>
      <w:proofErr w:type="spellEnd"/>
      <w:r>
        <w:rPr>
          <w:rFonts w:ascii="Times New Roman" w:eastAsia="Times New Roman" w:hAnsi="Times New Roman" w:cs="Times New Roman"/>
          <w:sz w:val="24"/>
          <w:szCs w:val="24"/>
        </w:rPr>
        <w:t xml:space="preserve"> et al. (2023).</w:t>
      </w:r>
    </w:p>
    <w:p w14:paraId="162D687C"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growing body of research, significant knowledge gaps persist regarding the growth, yield and dry matter dynamics associated </w:t>
      </w:r>
      <w:r>
        <w:rPr>
          <w:rFonts w:ascii="Times New Roman" w:eastAsia="Times New Roman" w:hAnsi="Times New Roman" w:cs="Times New Roman"/>
          <w:sz w:val="24"/>
          <w:szCs w:val="24"/>
        </w:rPr>
        <w:t xml:space="preserve">with carrot responses to different nutrient sources (Sah et al, 2024). Most existing studies have focused narrowly on yield outcomes or nutrient uptake efficiency, with limited examination of how fertilizers influence developmental patterns and dry matter </w:t>
      </w:r>
      <w:r>
        <w:rPr>
          <w:rFonts w:ascii="Times New Roman" w:eastAsia="Times New Roman" w:hAnsi="Times New Roman" w:cs="Times New Roman"/>
          <w:sz w:val="24"/>
          <w:szCs w:val="24"/>
        </w:rPr>
        <w:t>dynamics.</w:t>
      </w:r>
    </w:p>
    <w:p w14:paraId="670E1CBC" w14:textId="77777777" w:rsidR="000A335C" w:rsidRDefault="0073578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study evaluates how organic (</w:t>
      </w:r>
      <w:r>
        <w:rPr>
          <w:rFonts w:ascii="Times New Roman" w:eastAsia="Times New Roman" w:hAnsi="Times New Roman" w:cs="Times New Roman"/>
          <w:i/>
          <w:sz w:val="24"/>
          <w:szCs w:val="24"/>
          <w:highlight w:val="white"/>
        </w:rPr>
        <w:t xml:space="preserve">Moringa oleifera leaf </w:t>
      </w:r>
      <w:r>
        <w:rPr>
          <w:rFonts w:ascii="Times New Roman" w:eastAsia="Times New Roman" w:hAnsi="Times New Roman" w:cs="Times New Roman"/>
          <w:sz w:val="24"/>
          <w:szCs w:val="24"/>
          <w:highlight w:val="white"/>
        </w:rPr>
        <w:t xml:space="preserve">extract, </w:t>
      </w:r>
      <w:proofErr w:type="spellStart"/>
      <w:r>
        <w:rPr>
          <w:rFonts w:ascii="Times New Roman" w:eastAsia="Times New Roman" w:hAnsi="Times New Roman" w:cs="Times New Roman"/>
          <w:i/>
          <w:sz w:val="24"/>
          <w:szCs w:val="24"/>
          <w:highlight w:val="white"/>
        </w:rPr>
        <w:t>Tithonia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diversifolia</w:t>
      </w:r>
      <w:proofErr w:type="spellEnd"/>
      <w:r>
        <w:rPr>
          <w:rFonts w:ascii="Times New Roman" w:eastAsia="Times New Roman" w:hAnsi="Times New Roman" w:cs="Times New Roman"/>
          <w:sz w:val="24"/>
          <w:szCs w:val="24"/>
          <w:highlight w:val="white"/>
        </w:rPr>
        <w:t xml:space="preserve"> leaf extract</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inorganic (</w:t>
      </w:r>
      <w:proofErr w:type="spellStart"/>
      <w:r>
        <w:rPr>
          <w:rFonts w:ascii="Times New Roman" w:eastAsia="Times New Roman" w:hAnsi="Times New Roman" w:cs="Times New Roman"/>
          <w:sz w:val="24"/>
          <w:szCs w:val="24"/>
          <w:highlight w:val="white"/>
        </w:rPr>
        <w:t>NPK+Urea</w:t>
      </w:r>
      <w:proofErr w:type="spellEnd"/>
      <w:proofErr w:type="gramStart"/>
      <w:r>
        <w:rPr>
          <w:rFonts w:ascii="Times New Roman" w:eastAsia="Times New Roman" w:hAnsi="Times New Roman" w:cs="Times New Roman"/>
          <w:sz w:val="24"/>
          <w:szCs w:val="24"/>
          <w:highlight w:val="white"/>
        </w:rPr>
        <w:t>),  mixture</w:t>
      </w:r>
      <w:proofErr w:type="gramEnd"/>
      <w:r>
        <w:rPr>
          <w:rFonts w:ascii="Times New Roman" w:eastAsia="Times New Roman" w:hAnsi="Times New Roman" w:cs="Times New Roman"/>
          <w:sz w:val="24"/>
          <w:szCs w:val="24"/>
          <w:highlight w:val="white"/>
        </w:rPr>
        <w:t xml:space="preserve"> of</w:t>
      </w:r>
      <w:r>
        <w:rPr>
          <w:rFonts w:ascii="Times New Roman" w:eastAsia="Times New Roman" w:hAnsi="Times New Roman" w:cs="Times New Roman"/>
          <w:i/>
          <w:sz w:val="24"/>
          <w:szCs w:val="24"/>
          <w:highlight w:val="white"/>
        </w:rPr>
        <w:t xml:space="preserve"> Moringa oleifera, </w:t>
      </w:r>
      <w:r>
        <w:rPr>
          <w:rFonts w:ascii="Times New Roman" w:eastAsia="Times New Roman" w:hAnsi="Times New Roman" w:cs="Times New Roman"/>
          <w:sz w:val="24"/>
          <w:szCs w:val="24"/>
          <w:highlight w:val="white"/>
        </w:rPr>
        <w:t xml:space="preserve">and </w:t>
      </w:r>
      <w:proofErr w:type="spellStart"/>
      <w:r>
        <w:rPr>
          <w:rFonts w:ascii="Times New Roman" w:eastAsia="Times New Roman" w:hAnsi="Times New Roman" w:cs="Times New Roman"/>
          <w:i/>
          <w:sz w:val="24"/>
          <w:szCs w:val="24"/>
          <w:highlight w:val="white"/>
        </w:rPr>
        <w:t>Tithonia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diversifolia</w:t>
      </w:r>
      <w:proofErr w:type="spellEnd"/>
      <w:r>
        <w:rPr>
          <w:rFonts w:ascii="Times New Roman" w:eastAsia="Times New Roman" w:hAnsi="Times New Roman" w:cs="Times New Roman"/>
          <w:sz w:val="24"/>
          <w:szCs w:val="24"/>
          <w:highlight w:val="white"/>
        </w:rPr>
        <w:t xml:space="preserve"> leaf extracts  fertilization affect</w:t>
      </w:r>
      <w:r>
        <w:rPr>
          <w:rFonts w:ascii="Times New Roman" w:eastAsia="Times New Roman" w:hAnsi="Times New Roman" w:cs="Times New Roman"/>
          <w:sz w:val="24"/>
          <w:szCs w:val="24"/>
          <w:highlight w:val="white"/>
        </w:rPr>
        <w:t xml:space="preserve"> carrot growth, yield, and dry matter partitioning. </w:t>
      </w:r>
    </w:p>
    <w:p w14:paraId="772C81CB" w14:textId="77777777" w:rsidR="004E1FD6" w:rsidRDefault="004E1FD6">
      <w:pPr>
        <w:shd w:val="clear" w:color="auto" w:fill="FFFFFF"/>
        <w:jc w:val="both"/>
        <w:rPr>
          <w:rFonts w:ascii="Times New Roman" w:eastAsia="Times New Roman" w:hAnsi="Times New Roman" w:cs="Times New Roman"/>
          <w:sz w:val="24"/>
          <w:szCs w:val="24"/>
          <w:highlight w:val="white"/>
        </w:rPr>
      </w:pPr>
    </w:p>
    <w:p w14:paraId="23714146" w14:textId="77777777" w:rsidR="000A335C" w:rsidRDefault="0073578C">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4AE1E043" w14:textId="77777777" w:rsidR="000A335C" w:rsidRDefault="0073578C">
      <w:pPr>
        <w:pStyle w:val="Heading3"/>
        <w:keepNext w:val="0"/>
        <w:keepLines w:val="0"/>
        <w:spacing w:before="0" w:after="0"/>
        <w:jc w:val="both"/>
        <w:rPr>
          <w:rFonts w:ascii="Times New Roman" w:eastAsia="Times New Roman" w:hAnsi="Times New Roman" w:cs="Times New Roman"/>
          <w:b/>
          <w:color w:val="000000"/>
          <w:sz w:val="24"/>
          <w:szCs w:val="24"/>
        </w:rPr>
      </w:pPr>
      <w:bookmarkStart w:id="3" w:name="_ddeq048h7dkz" w:colFirst="0" w:colLast="0"/>
      <w:bookmarkEnd w:id="3"/>
      <w:r>
        <w:rPr>
          <w:rFonts w:ascii="Times New Roman" w:eastAsia="Times New Roman" w:hAnsi="Times New Roman" w:cs="Times New Roman"/>
          <w:b/>
          <w:color w:val="000000"/>
          <w:sz w:val="24"/>
          <w:szCs w:val="24"/>
        </w:rPr>
        <w:t>Study Area and Duration</w:t>
      </w:r>
    </w:p>
    <w:p w14:paraId="56654F44"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 was conducted at the Mulungushi University main campus greenhouse in Kabwe, Central Province, Zambia (Latitude 646395 m E, Longitude 8431002 </w:t>
      </w:r>
      <w:r>
        <w:rPr>
          <w:rFonts w:ascii="Times New Roman" w:eastAsia="Times New Roman" w:hAnsi="Times New Roman" w:cs="Times New Roman"/>
          <w:sz w:val="24"/>
          <w:szCs w:val="24"/>
        </w:rPr>
        <w:t xml:space="preserve">m N, UTM zone 35S). The study spanned from December 26, 2024, to April 1, 2025, allowing carrots to reach maturity. Loam soils were used, prepared into 0.6 m 0.12 m beds. Agricultural lime was applied to the soil prior to planting to achieve an optimal pH </w:t>
      </w:r>
      <w:r>
        <w:rPr>
          <w:rFonts w:ascii="Times New Roman" w:eastAsia="Times New Roman" w:hAnsi="Times New Roman" w:cs="Times New Roman"/>
          <w:sz w:val="24"/>
          <w:szCs w:val="24"/>
        </w:rPr>
        <w:t>for carrot growth. Each bed was planted with 25 carrot seeds.</w:t>
      </w:r>
    </w:p>
    <w:p w14:paraId="079ED73F" w14:textId="77777777" w:rsidR="000A335C" w:rsidRDefault="000A335C">
      <w:pPr>
        <w:jc w:val="both"/>
        <w:rPr>
          <w:rFonts w:ascii="Times New Roman" w:eastAsia="Times New Roman" w:hAnsi="Times New Roman" w:cs="Times New Roman"/>
          <w:b/>
          <w:sz w:val="24"/>
          <w:szCs w:val="24"/>
        </w:rPr>
      </w:pPr>
    </w:p>
    <w:p w14:paraId="73B442CE" w14:textId="77777777" w:rsidR="000A335C" w:rsidRDefault="0073578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Soil Characteristics of the Study Site</w:t>
      </w:r>
    </w:p>
    <w:p w14:paraId="6573DE82" w14:textId="77777777" w:rsidR="000A335C" w:rsidRDefault="000A335C">
      <w:pPr>
        <w:jc w:val="both"/>
        <w:rPr>
          <w:rFonts w:ascii="Times New Roman" w:eastAsia="Times New Roman" w:hAnsi="Times New Roman" w:cs="Times New Roman"/>
          <w:sz w:val="24"/>
          <w:szCs w:val="24"/>
        </w:rPr>
      </w:pPr>
    </w:p>
    <w:tbl>
      <w:tblPr>
        <w:tblStyle w:val="a"/>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0A335C" w14:paraId="1F01279A" w14:textId="77777777">
        <w:tc>
          <w:tcPr>
            <w:tcW w:w="5040" w:type="dxa"/>
            <w:shd w:val="clear" w:color="auto" w:fill="auto"/>
            <w:tcMar>
              <w:top w:w="100" w:type="dxa"/>
              <w:left w:w="100" w:type="dxa"/>
              <w:bottom w:w="100" w:type="dxa"/>
              <w:right w:w="100" w:type="dxa"/>
            </w:tcMar>
          </w:tcPr>
          <w:p w14:paraId="292BFCDE"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Soil Characteristic</w:t>
            </w:r>
          </w:p>
        </w:tc>
        <w:tc>
          <w:tcPr>
            <w:tcW w:w="5040" w:type="dxa"/>
            <w:shd w:val="clear" w:color="auto" w:fill="auto"/>
            <w:tcMar>
              <w:top w:w="100" w:type="dxa"/>
              <w:left w:w="100" w:type="dxa"/>
              <w:bottom w:w="100" w:type="dxa"/>
              <w:right w:w="100" w:type="dxa"/>
            </w:tcMar>
          </w:tcPr>
          <w:p w14:paraId="179089B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r>
      <w:tr w:rsidR="000A335C" w14:paraId="07982580" w14:textId="77777777">
        <w:tc>
          <w:tcPr>
            <w:tcW w:w="5040" w:type="dxa"/>
            <w:shd w:val="clear" w:color="auto" w:fill="auto"/>
            <w:tcMar>
              <w:top w:w="100" w:type="dxa"/>
              <w:left w:w="100" w:type="dxa"/>
              <w:bottom w:w="100" w:type="dxa"/>
              <w:right w:w="100" w:type="dxa"/>
            </w:tcMar>
          </w:tcPr>
          <w:p w14:paraId="0A58EFC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Soil Texture</w:t>
            </w:r>
          </w:p>
        </w:tc>
        <w:tc>
          <w:tcPr>
            <w:tcW w:w="5040" w:type="dxa"/>
            <w:shd w:val="clear" w:color="auto" w:fill="auto"/>
            <w:tcMar>
              <w:top w:w="100" w:type="dxa"/>
              <w:left w:w="100" w:type="dxa"/>
              <w:bottom w:w="100" w:type="dxa"/>
              <w:right w:w="100" w:type="dxa"/>
            </w:tcMar>
          </w:tcPr>
          <w:p w14:paraId="10F44F7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Sandy Loam</w:t>
            </w:r>
          </w:p>
        </w:tc>
      </w:tr>
      <w:tr w:rsidR="000A335C" w14:paraId="0F288D44" w14:textId="77777777">
        <w:tc>
          <w:tcPr>
            <w:tcW w:w="5040" w:type="dxa"/>
            <w:shd w:val="clear" w:color="auto" w:fill="auto"/>
            <w:tcMar>
              <w:top w:w="100" w:type="dxa"/>
              <w:left w:w="100" w:type="dxa"/>
              <w:bottom w:w="100" w:type="dxa"/>
              <w:right w:w="100" w:type="dxa"/>
            </w:tcMar>
          </w:tcPr>
          <w:p w14:paraId="72E3609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5040" w:type="dxa"/>
            <w:shd w:val="clear" w:color="auto" w:fill="auto"/>
            <w:tcMar>
              <w:top w:w="100" w:type="dxa"/>
              <w:left w:w="100" w:type="dxa"/>
              <w:bottom w:w="100" w:type="dxa"/>
              <w:right w:w="100" w:type="dxa"/>
            </w:tcMar>
          </w:tcPr>
          <w:p w14:paraId="17FE3AF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0A335C" w14:paraId="035EEF6D" w14:textId="77777777">
        <w:tc>
          <w:tcPr>
            <w:tcW w:w="5040" w:type="dxa"/>
            <w:shd w:val="clear" w:color="auto" w:fill="auto"/>
            <w:tcMar>
              <w:top w:w="100" w:type="dxa"/>
              <w:left w:w="100" w:type="dxa"/>
              <w:bottom w:w="100" w:type="dxa"/>
              <w:right w:w="100" w:type="dxa"/>
            </w:tcMar>
          </w:tcPr>
          <w:p w14:paraId="21C02F6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Olsen P</w:t>
            </w:r>
          </w:p>
        </w:tc>
        <w:tc>
          <w:tcPr>
            <w:tcW w:w="5040" w:type="dxa"/>
            <w:shd w:val="clear" w:color="auto" w:fill="auto"/>
            <w:tcMar>
              <w:top w:w="100" w:type="dxa"/>
              <w:left w:w="100" w:type="dxa"/>
              <w:bottom w:w="100" w:type="dxa"/>
              <w:right w:w="100" w:type="dxa"/>
            </w:tcMar>
          </w:tcPr>
          <w:p w14:paraId="64E6BFF4"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12.8g/ka</w:t>
            </w:r>
          </w:p>
        </w:tc>
      </w:tr>
      <w:tr w:rsidR="000A335C" w14:paraId="6DFA4301" w14:textId="77777777">
        <w:tc>
          <w:tcPr>
            <w:tcW w:w="5040" w:type="dxa"/>
            <w:shd w:val="clear" w:color="auto" w:fill="auto"/>
            <w:tcMar>
              <w:top w:w="100" w:type="dxa"/>
              <w:left w:w="100" w:type="dxa"/>
              <w:bottom w:w="100" w:type="dxa"/>
              <w:right w:w="100" w:type="dxa"/>
            </w:tcMar>
          </w:tcPr>
          <w:p w14:paraId="6C13DEC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Kex</w:t>
            </w:r>
          </w:p>
        </w:tc>
        <w:tc>
          <w:tcPr>
            <w:tcW w:w="5040" w:type="dxa"/>
            <w:shd w:val="clear" w:color="auto" w:fill="auto"/>
            <w:tcMar>
              <w:top w:w="100" w:type="dxa"/>
              <w:left w:w="100" w:type="dxa"/>
              <w:bottom w:w="100" w:type="dxa"/>
              <w:right w:w="100" w:type="dxa"/>
            </w:tcMar>
          </w:tcPr>
          <w:p w14:paraId="515611EB"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2.7mmol/kg</w:t>
            </w:r>
          </w:p>
        </w:tc>
      </w:tr>
      <w:tr w:rsidR="000A335C" w14:paraId="1E466F60" w14:textId="77777777">
        <w:tc>
          <w:tcPr>
            <w:tcW w:w="5040" w:type="dxa"/>
            <w:shd w:val="clear" w:color="auto" w:fill="auto"/>
            <w:tcMar>
              <w:top w:w="100" w:type="dxa"/>
              <w:left w:w="100" w:type="dxa"/>
              <w:bottom w:w="100" w:type="dxa"/>
              <w:right w:w="100" w:type="dxa"/>
            </w:tcMar>
          </w:tcPr>
          <w:p w14:paraId="34E9670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5040" w:type="dxa"/>
            <w:shd w:val="clear" w:color="auto" w:fill="auto"/>
            <w:tcMar>
              <w:top w:w="100" w:type="dxa"/>
              <w:left w:w="100" w:type="dxa"/>
              <w:bottom w:w="100" w:type="dxa"/>
              <w:right w:w="100" w:type="dxa"/>
            </w:tcMar>
          </w:tcPr>
          <w:p w14:paraId="7921BC6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750mg/kg</w:t>
            </w:r>
          </w:p>
        </w:tc>
      </w:tr>
      <w:tr w:rsidR="000A335C" w14:paraId="44DB87EC" w14:textId="77777777">
        <w:tc>
          <w:tcPr>
            <w:tcW w:w="5040" w:type="dxa"/>
            <w:shd w:val="clear" w:color="auto" w:fill="auto"/>
            <w:tcMar>
              <w:top w:w="100" w:type="dxa"/>
              <w:left w:w="100" w:type="dxa"/>
              <w:bottom w:w="100" w:type="dxa"/>
              <w:right w:w="100" w:type="dxa"/>
            </w:tcMar>
          </w:tcPr>
          <w:p w14:paraId="0F2B7E5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Organic matter</w:t>
            </w:r>
          </w:p>
        </w:tc>
        <w:tc>
          <w:tcPr>
            <w:tcW w:w="5040" w:type="dxa"/>
            <w:shd w:val="clear" w:color="auto" w:fill="auto"/>
            <w:tcMar>
              <w:top w:w="100" w:type="dxa"/>
              <w:left w:w="100" w:type="dxa"/>
              <w:bottom w:w="100" w:type="dxa"/>
              <w:right w:w="100" w:type="dxa"/>
            </w:tcMar>
          </w:tcPr>
          <w:p w14:paraId="129A4F29"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bl>
    <w:p w14:paraId="34FA5322" w14:textId="77777777" w:rsidR="000A335C" w:rsidRDefault="000A335C">
      <w:pPr>
        <w:jc w:val="both"/>
        <w:rPr>
          <w:rFonts w:ascii="Times New Roman" w:eastAsia="Times New Roman" w:hAnsi="Times New Roman" w:cs="Times New Roman"/>
          <w:sz w:val="24"/>
          <w:szCs w:val="24"/>
        </w:rPr>
      </w:pPr>
    </w:p>
    <w:p w14:paraId="0254167F" w14:textId="77777777" w:rsidR="000A335C" w:rsidRDefault="000A335C">
      <w:pPr>
        <w:jc w:val="both"/>
        <w:rPr>
          <w:rFonts w:ascii="Times New Roman" w:eastAsia="Times New Roman" w:hAnsi="Times New Roman" w:cs="Times New Roman"/>
          <w:sz w:val="24"/>
          <w:szCs w:val="24"/>
        </w:rPr>
      </w:pPr>
    </w:p>
    <w:p w14:paraId="6EEFC320" w14:textId="77777777" w:rsidR="000A335C" w:rsidRDefault="0073578C">
      <w:pPr>
        <w:pStyle w:val="Heading3"/>
        <w:keepNext w:val="0"/>
        <w:keepLines w:val="0"/>
        <w:spacing w:before="0" w:after="0"/>
        <w:jc w:val="both"/>
        <w:rPr>
          <w:rFonts w:ascii="Times New Roman" w:eastAsia="Times New Roman" w:hAnsi="Times New Roman" w:cs="Times New Roman"/>
          <w:b/>
          <w:color w:val="000000"/>
          <w:sz w:val="24"/>
          <w:szCs w:val="24"/>
        </w:rPr>
      </w:pPr>
      <w:bookmarkStart w:id="4" w:name="_i6tf3eir63m1" w:colFirst="0" w:colLast="0"/>
      <w:bookmarkEnd w:id="4"/>
      <w:r>
        <w:rPr>
          <w:rFonts w:ascii="Times New Roman" w:eastAsia="Times New Roman" w:hAnsi="Times New Roman" w:cs="Times New Roman"/>
          <w:b/>
          <w:color w:val="000000"/>
          <w:sz w:val="24"/>
          <w:szCs w:val="24"/>
        </w:rPr>
        <w:t>Experimental Design and Treatments</w:t>
      </w:r>
    </w:p>
    <w:p w14:paraId="7F1D9D48"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Randomized Complete Block Design (RCBD) was employed, consisting of four treatments replicated three times, totaling 16 experimental units. The treatments included: M (Moringa leaf extract), T (Tithonia leaf extract), M</w:t>
      </w:r>
      <w:r>
        <w:rPr>
          <w:rFonts w:ascii="Times New Roman" w:eastAsia="Times New Roman" w:hAnsi="Times New Roman" w:cs="Times New Roman"/>
          <w:sz w:val="24"/>
          <w:szCs w:val="24"/>
        </w:rPr>
        <w:t xml:space="preserve">ix (a mixture of Moringa and Tithonia leaf extracts), and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(Urea (46%N) and D-compound (NPK 10:20:10) as a reference control. Materials used included 500g each of Urea, Compound D, fresh Moringa leaves, and fresh Tithonia leaves per application, al</w:t>
      </w:r>
      <w:r>
        <w:rPr>
          <w:rFonts w:ascii="Times New Roman" w:eastAsia="Times New Roman" w:hAnsi="Times New Roman" w:cs="Times New Roman"/>
          <w:sz w:val="24"/>
          <w:szCs w:val="24"/>
        </w:rPr>
        <w:t>ong with 5L buckets and a 1.5L spray bottle. Treatments were randomly assigned to plots within four blocks.</w:t>
      </w:r>
    </w:p>
    <w:p w14:paraId="2E27D143" w14:textId="77777777" w:rsidR="000A335C" w:rsidRDefault="000A335C">
      <w:pPr>
        <w:pStyle w:val="Heading3"/>
        <w:keepNext w:val="0"/>
        <w:keepLines w:val="0"/>
        <w:spacing w:before="0" w:after="0"/>
        <w:jc w:val="both"/>
        <w:rPr>
          <w:rFonts w:ascii="Times New Roman" w:eastAsia="Times New Roman" w:hAnsi="Times New Roman" w:cs="Times New Roman"/>
          <w:color w:val="000000"/>
          <w:sz w:val="24"/>
          <w:szCs w:val="24"/>
        </w:rPr>
      </w:pPr>
      <w:bookmarkStart w:id="5" w:name="_nbyy4o3zwjki" w:colFirst="0" w:colLast="0"/>
      <w:bookmarkEnd w:id="5"/>
    </w:p>
    <w:p w14:paraId="4893C5CA" w14:textId="77777777" w:rsidR="000A335C" w:rsidRDefault="0073578C">
      <w:pPr>
        <w:pStyle w:val="Heading3"/>
        <w:keepNext w:val="0"/>
        <w:keepLines w:val="0"/>
        <w:spacing w:before="0" w:after="0"/>
        <w:jc w:val="both"/>
        <w:rPr>
          <w:rFonts w:ascii="Times New Roman" w:eastAsia="Times New Roman" w:hAnsi="Times New Roman" w:cs="Times New Roman"/>
          <w:b/>
          <w:color w:val="000000"/>
          <w:sz w:val="24"/>
          <w:szCs w:val="24"/>
        </w:rPr>
      </w:pPr>
      <w:bookmarkStart w:id="6" w:name="_wnf1y3f2ig32" w:colFirst="0" w:colLast="0"/>
      <w:bookmarkEnd w:id="6"/>
      <w:r>
        <w:rPr>
          <w:rFonts w:ascii="Times New Roman" w:eastAsia="Times New Roman" w:hAnsi="Times New Roman" w:cs="Times New Roman"/>
          <w:b/>
          <w:color w:val="000000"/>
          <w:sz w:val="24"/>
          <w:szCs w:val="24"/>
        </w:rPr>
        <w:t>Preparation of Leaf Extracts</w:t>
      </w:r>
    </w:p>
    <w:p w14:paraId="6817B70A"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 moringa and tithonia leaves (500g each) were separately pounded using a pestle and mortar. Each pounded leaf mat</w:t>
      </w:r>
      <w:r>
        <w:rPr>
          <w:rFonts w:ascii="Times New Roman" w:eastAsia="Times New Roman" w:hAnsi="Times New Roman" w:cs="Times New Roman"/>
          <w:sz w:val="24"/>
          <w:szCs w:val="24"/>
        </w:rPr>
        <w:t>erial was then transferred to a 5L bucket and mixed with 1.5L of warm water (500g leaves to 1.5L water ratio). The solutions were left to soak for 24 hours. For application, the soaked leaf extracts were diluted at a ratio of 500ml extract to 1.5L water.</w:t>
      </w:r>
    </w:p>
    <w:p w14:paraId="70D5E09C" w14:textId="77777777" w:rsidR="000A335C" w:rsidRDefault="000A335C">
      <w:pPr>
        <w:pStyle w:val="Heading3"/>
        <w:keepNext w:val="0"/>
        <w:keepLines w:val="0"/>
        <w:spacing w:before="0" w:after="0"/>
        <w:jc w:val="both"/>
        <w:rPr>
          <w:rFonts w:ascii="Times New Roman" w:eastAsia="Times New Roman" w:hAnsi="Times New Roman" w:cs="Times New Roman"/>
          <w:color w:val="000000"/>
          <w:sz w:val="24"/>
          <w:szCs w:val="24"/>
        </w:rPr>
      </w:pPr>
      <w:bookmarkStart w:id="7" w:name="_m0drwlthlb4y" w:colFirst="0" w:colLast="0"/>
      <w:bookmarkEnd w:id="7"/>
    </w:p>
    <w:p w14:paraId="5816A2AD" w14:textId="77777777" w:rsidR="000A335C" w:rsidRDefault="0073578C">
      <w:pPr>
        <w:pStyle w:val="Heading3"/>
        <w:keepNext w:val="0"/>
        <w:keepLines w:val="0"/>
        <w:spacing w:before="0" w:after="0"/>
        <w:jc w:val="both"/>
        <w:rPr>
          <w:rFonts w:ascii="Times New Roman" w:eastAsia="Times New Roman" w:hAnsi="Times New Roman" w:cs="Times New Roman"/>
          <w:b/>
          <w:color w:val="000000"/>
          <w:sz w:val="24"/>
          <w:szCs w:val="24"/>
        </w:rPr>
      </w:pPr>
      <w:bookmarkStart w:id="8" w:name="_gs83nvom0myv" w:colFirst="0" w:colLast="0"/>
      <w:bookmarkEnd w:id="8"/>
      <w:r>
        <w:rPr>
          <w:rFonts w:ascii="Times New Roman" w:eastAsia="Times New Roman" w:hAnsi="Times New Roman" w:cs="Times New Roman"/>
          <w:b/>
          <w:color w:val="000000"/>
          <w:sz w:val="24"/>
          <w:szCs w:val="24"/>
        </w:rPr>
        <w:t>Crop Establishment</w:t>
      </w:r>
    </w:p>
    <w:p w14:paraId="776BB729"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 preparation commenced on November 19, 2024, involving loosening the soil to a depth of approximately 20 cm, removing stones, and leveling the seedbed. Lime was applied to adjust soil pH to 6.0–6.8 and thoroughly incorporated. On Dec</w:t>
      </w:r>
      <w:r>
        <w:rPr>
          <w:rFonts w:ascii="Times New Roman" w:eastAsia="Times New Roman" w:hAnsi="Times New Roman" w:cs="Times New Roman"/>
          <w:sz w:val="24"/>
          <w:szCs w:val="24"/>
        </w:rPr>
        <w:t>ember 26, 2024, Nantes carrot seeds (</w:t>
      </w:r>
      <w:proofErr w:type="spellStart"/>
      <w:r>
        <w:rPr>
          <w:rFonts w:ascii="Times New Roman" w:eastAsia="Times New Roman" w:hAnsi="Times New Roman" w:cs="Times New Roman"/>
          <w:sz w:val="24"/>
          <w:szCs w:val="24"/>
        </w:rPr>
        <w:t>Zamseed</w:t>
      </w:r>
      <w:proofErr w:type="spellEnd"/>
      <w:r>
        <w:rPr>
          <w:rFonts w:ascii="Times New Roman" w:eastAsia="Times New Roman" w:hAnsi="Times New Roman" w:cs="Times New Roman"/>
          <w:sz w:val="24"/>
          <w:szCs w:val="24"/>
        </w:rPr>
        <w:t xml:space="preserve"> variety) were sown at a depth of approximately 1 cm, maintaining 25 cm spacing between rows. Beds were gently watered and mulched to retain moisture. Weeding and soil aeration were performed regularly.</w:t>
      </w:r>
    </w:p>
    <w:p w14:paraId="7A5EAACF" w14:textId="77777777" w:rsidR="000A335C" w:rsidRDefault="0073578C">
      <w:pPr>
        <w:pStyle w:val="Heading3"/>
        <w:keepNext w:val="0"/>
        <w:keepLines w:val="0"/>
        <w:spacing w:before="0" w:after="0"/>
        <w:jc w:val="both"/>
        <w:rPr>
          <w:rFonts w:ascii="Times New Roman" w:eastAsia="Times New Roman" w:hAnsi="Times New Roman" w:cs="Times New Roman"/>
          <w:b/>
          <w:color w:val="000000"/>
          <w:sz w:val="24"/>
          <w:szCs w:val="24"/>
        </w:rPr>
      </w:pPr>
      <w:bookmarkStart w:id="9" w:name="_xgnpscj40umw" w:colFirst="0" w:colLast="0"/>
      <w:bookmarkEnd w:id="9"/>
      <w:r>
        <w:rPr>
          <w:rFonts w:ascii="Times New Roman" w:eastAsia="Times New Roman" w:hAnsi="Times New Roman" w:cs="Times New Roman"/>
          <w:b/>
          <w:color w:val="000000"/>
          <w:sz w:val="24"/>
          <w:szCs w:val="24"/>
        </w:rPr>
        <w:t>Pest Cont</w:t>
      </w:r>
      <w:r>
        <w:rPr>
          <w:rFonts w:ascii="Times New Roman" w:eastAsia="Times New Roman" w:hAnsi="Times New Roman" w:cs="Times New Roman"/>
          <w:b/>
          <w:color w:val="000000"/>
          <w:sz w:val="24"/>
          <w:szCs w:val="24"/>
        </w:rPr>
        <w:t>rol</w:t>
      </w:r>
    </w:p>
    <w:p w14:paraId="1CCBBE6A"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January 23, 2025, an insecticide (</w:t>
      </w:r>
      <w:proofErr w:type="spellStart"/>
      <w:r>
        <w:rPr>
          <w:rFonts w:ascii="Times New Roman" w:eastAsia="Times New Roman" w:hAnsi="Times New Roman" w:cs="Times New Roman"/>
          <w:sz w:val="24"/>
          <w:szCs w:val="24"/>
        </w:rPr>
        <w:t>PestGuard</w:t>
      </w:r>
      <w:proofErr w:type="spellEnd"/>
      <w:r>
        <w:rPr>
          <w:rFonts w:ascii="Times New Roman" w:eastAsia="Times New Roman" w:hAnsi="Times New Roman" w:cs="Times New Roman"/>
          <w:sz w:val="24"/>
          <w:szCs w:val="24"/>
        </w:rPr>
        <w:t xml:space="preserve">, containing Acetamiprid, </w:t>
      </w:r>
      <w:proofErr w:type="spellStart"/>
      <w:r>
        <w:rPr>
          <w:rFonts w:ascii="Times New Roman" w:eastAsia="Times New Roman" w:hAnsi="Times New Roman" w:cs="Times New Roman"/>
          <w:sz w:val="24"/>
          <w:szCs w:val="24"/>
        </w:rPr>
        <w:t>Emamectin</w:t>
      </w:r>
      <w:proofErr w:type="spellEnd"/>
      <w:r>
        <w:rPr>
          <w:rFonts w:ascii="Times New Roman" w:eastAsia="Times New Roman" w:hAnsi="Times New Roman" w:cs="Times New Roman"/>
          <w:sz w:val="24"/>
          <w:szCs w:val="24"/>
        </w:rPr>
        <w:t xml:space="preserve"> Benzoate, and Abamectin) was sprayed at 5 PM to control white grubs (Phyllophaga) and other insects. The concentration used was 0.0625 mL per liter, applied every two wee</w:t>
      </w:r>
      <w:r>
        <w:rPr>
          <w:rFonts w:ascii="Times New Roman" w:eastAsia="Times New Roman" w:hAnsi="Times New Roman" w:cs="Times New Roman"/>
          <w:sz w:val="24"/>
          <w:szCs w:val="24"/>
        </w:rPr>
        <w:t>ks due to high infestation levels. Pest populations were regularly monitored to adjust application frequency.</w:t>
      </w:r>
    </w:p>
    <w:p w14:paraId="4F549BAF" w14:textId="77777777" w:rsidR="000A335C" w:rsidRDefault="0073578C">
      <w:pPr>
        <w:pStyle w:val="Heading3"/>
        <w:keepNext w:val="0"/>
        <w:keepLines w:val="0"/>
        <w:spacing w:before="0" w:after="0"/>
        <w:jc w:val="both"/>
        <w:rPr>
          <w:rFonts w:ascii="Times New Roman" w:eastAsia="Times New Roman" w:hAnsi="Times New Roman" w:cs="Times New Roman"/>
          <w:b/>
          <w:color w:val="000000"/>
          <w:sz w:val="24"/>
          <w:szCs w:val="24"/>
        </w:rPr>
      </w:pPr>
      <w:bookmarkStart w:id="10" w:name="_us0ssxva2pnl" w:colFirst="0" w:colLast="0"/>
      <w:bookmarkEnd w:id="10"/>
      <w:r>
        <w:rPr>
          <w:rFonts w:ascii="Times New Roman" w:eastAsia="Times New Roman" w:hAnsi="Times New Roman" w:cs="Times New Roman"/>
          <w:b/>
          <w:color w:val="000000"/>
          <w:sz w:val="24"/>
          <w:szCs w:val="24"/>
        </w:rPr>
        <w:t>Treatment Application</w:t>
      </w:r>
    </w:p>
    <w:p w14:paraId="7BE564BC"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application of bio-fertilizer treatments (Moringa, Tithonia, and Mix leaf extracts) was conducted on January 10, 2</w:t>
      </w:r>
      <w:r>
        <w:rPr>
          <w:rFonts w:ascii="Times New Roman" w:eastAsia="Times New Roman" w:hAnsi="Times New Roman" w:cs="Times New Roman"/>
          <w:sz w:val="24"/>
          <w:szCs w:val="24"/>
        </w:rPr>
        <w:t xml:space="preserve">025, 14 days after planting and 7 days after emergence. Subsequent foliar applications were performed every two weeks. For the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treatment, Compound D (basal dressing) was applied on January 10, 2025. Urea (top dressing) was applied four weeks after</w:t>
      </w:r>
      <w:r>
        <w:rPr>
          <w:rFonts w:ascii="Times New Roman" w:eastAsia="Times New Roman" w:hAnsi="Times New Roman" w:cs="Times New Roman"/>
          <w:sz w:val="24"/>
          <w:szCs w:val="24"/>
        </w:rPr>
        <w:t xml:space="preserve"> the Compound D application. Both inorganic fertilizers were applied using the broadcasting method into narrow lines and covered with soil to prevent wash-off during the rainy season.</w:t>
      </w:r>
    </w:p>
    <w:p w14:paraId="2A566A2C" w14:textId="77777777" w:rsidR="000A335C" w:rsidRDefault="0073578C">
      <w:pPr>
        <w:pStyle w:val="Heading3"/>
        <w:keepNext w:val="0"/>
        <w:keepLines w:val="0"/>
        <w:spacing w:before="0" w:after="0"/>
        <w:jc w:val="both"/>
        <w:rPr>
          <w:rFonts w:ascii="Times New Roman" w:eastAsia="Times New Roman" w:hAnsi="Times New Roman" w:cs="Times New Roman"/>
          <w:b/>
          <w:color w:val="000000"/>
          <w:sz w:val="24"/>
          <w:szCs w:val="24"/>
        </w:rPr>
      </w:pPr>
      <w:bookmarkStart w:id="11" w:name="_4pr2axc2ar0n" w:colFirst="0" w:colLast="0"/>
      <w:bookmarkEnd w:id="11"/>
      <w:r>
        <w:rPr>
          <w:rFonts w:ascii="Times New Roman" w:eastAsia="Times New Roman" w:hAnsi="Times New Roman" w:cs="Times New Roman"/>
          <w:b/>
          <w:color w:val="000000"/>
          <w:sz w:val="24"/>
          <w:szCs w:val="24"/>
        </w:rPr>
        <w:t>Data Collection</w:t>
      </w:r>
    </w:p>
    <w:p w14:paraId="5033E6C9"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various growth and yield paramete</w:t>
      </w:r>
      <w:r>
        <w:rPr>
          <w:rFonts w:ascii="Times New Roman" w:eastAsia="Times New Roman" w:hAnsi="Times New Roman" w:cs="Times New Roman"/>
          <w:sz w:val="24"/>
          <w:szCs w:val="24"/>
        </w:rPr>
        <w:t xml:space="preserve">rs as follows: Root Length was </w:t>
      </w:r>
      <w:proofErr w:type="gramStart"/>
      <w:r>
        <w:rPr>
          <w:rFonts w:ascii="Times New Roman" w:eastAsia="Times New Roman" w:hAnsi="Times New Roman" w:cs="Times New Roman"/>
          <w:sz w:val="24"/>
          <w:szCs w:val="24"/>
        </w:rPr>
        <w:t>determined  by</w:t>
      </w:r>
      <w:proofErr w:type="gramEnd"/>
      <w:r>
        <w:rPr>
          <w:rFonts w:ascii="Times New Roman" w:eastAsia="Times New Roman" w:hAnsi="Times New Roman" w:cs="Times New Roman"/>
          <w:sz w:val="24"/>
          <w:szCs w:val="24"/>
        </w:rPr>
        <w:t xml:space="preserve"> measuring the length of harvested carrot roots using a 30cm ruler. Four carrots per plot were measured, and averages recorded. Root Diameter was measured using a Vernier caliper at the middle of freshly harvest</w:t>
      </w:r>
      <w:r>
        <w:rPr>
          <w:rFonts w:ascii="Times New Roman" w:eastAsia="Times New Roman" w:hAnsi="Times New Roman" w:cs="Times New Roman"/>
          <w:sz w:val="24"/>
          <w:szCs w:val="24"/>
        </w:rPr>
        <w:t xml:space="preserve">ed roots. Four carrots per plot were measured, and averages recorded. Leaf Area Index (LAI) was estimated by measuring the length (L) and maximum width (W) of leaves from four representative plants (Area = L × W). Total leaf area was summed, multiplied by </w:t>
      </w:r>
      <w:r>
        <w:rPr>
          <w:rFonts w:ascii="Times New Roman" w:eastAsia="Times New Roman" w:hAnsi="Times New Roman" w:cs="Times New Roman"/>
          <w:sz w:val="24"/>
          <w:szCs w:val="24"/>
        </w:rPr>
        <w:t xml:space="preserve">the total number of plants per bed, and divided </w:t>
      </w:r>
      <w:r>
        <w:rPr>
          <w:rFonts w:ascii="Times New Roman" w:eastAsia="Times New Roman" w:hAnsi="Times New Roman" w:cs="Times New Roman"/>
          <w:sz w:val="24"/>
          <w:szCs w:val="24"/>
        </w:rPr>
        <w:lastRenderedPageBreak/>
        <w:t xml:space="preserve">by the ground area of the bed. Plant Height was measured by placing a ruler vertically from the base to the tip of the longest leaf of four randomly selected plants per bed. </w:t>
      </w:r>
    </w:p>
    <w:p w14:paraId="72298DD3"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Harvesting: The crop was harveste</w:t>
      </w:r>
      <w:r>
        <w:rPr>
          <w:rFonts w:ascii="Times New Roman" w:eastAsia="Times New Roman" w:hAnsi="Times New Roman" w:cs="Times New Roman"/>
          <w:sz w:val="24"/>
          <w:szCs w:val="24"/>
        </w:rPr>
        <w:t>d manually by hand pulling on April 1, 2025 (96 days after planting). Total yield, fresh root weight, and fresh leaf weight were recorded.</w:t>
      </w:r>
    </w:p>
    <w:p w14:paraId="3F32CB91" w14:textId="77777777" w:rsidR="000A335C" w:rsidRDefault="0073578C">
      <w:pPr>
        <w:pStyle w:val="Heading3"/>
        <w:keepNext w:val="0"/>
        <w:keepLines w:val="0"/>
        <w:spacing w:before="0" w:after="0"/>
        <w:jc w:val="both"/>
        <w:rPr>
          <w:rFonts w:ascii="Times New Roman" w:eastAsia="Times New Roman" w:hAnsi="Times New Roman" w:cs="Times New Roman"/>
          <w:b/>
          <w:color w:val="000000"/>
          <w:sz w:val="24"/>
          <w:szCs w:val="24"/>
        </w:rPr>
      </w:pPr>
      <w:bookmarkStart w:id="12" w:name="_5b457fktgcvw" w:colFirst="0" w:colLast="0"/>
      <w:bookmarkEnd w:id="12"/>
      <w:r>
        <w:rPr>
          <w:rFonts w:ascii="Times New Roman" w:eastAsia="Times New Roman" w:hAnsi="Times New Roman" w:cs="Times New Roman"/>
          <w:b/>
          <w:color w:val="000000"/>
          <w:sz w:val="24"/>
          <w:szCs w:val="24"/>
        </w:rPr>
        <w:t>Yield and Biomass Determination</w:t>
      </w:r>
    </w:p>
    <w:p w14:paraId="1AB85384" w14:textId="77777777" w:rsidR="000A335C" w:rsidRDefault="0073578C">
      <w:pPr>
        <w:jc w:val="both"/>
        <w:rPr>
          <w:rFonts w:ascii="Times New Roman" w:eastAsia="Times New Roman" w:hAnsi="Times New Roman" w:cs="Times New Roman"/>
          <w:sz w:val="24"/>
          <w:szCs w:val="24"/>
        </w:rPr>
      </w:pPr>
      <w:r>
        <w:rPr>
          <w:rFonts w:ascii="Gungsuh" w:eastAsia="Gungsuh" w:hAnsi="Gungsuh" w:cs="Gungsuh"/>
          <w:sz w:val="24"/>
          <w:szCs w:val="24"/>
        </w:rPr>
        <w:t>Total Yield: Estimated by randomly selecting 20 carrots from each plot, weighing them</w:t>
      </w:r>
      <w:r>
        <w:rPr>
          <w:rFonts w:ascii="Gungsuh" w:eastAsia="Gungsuh" w:hAnsi="Gungsuh" w:cs="Gungsuh"/>
          <w:sz w:val="24"/>
          <w:szCs w:val="24"/>
        </w:rPr>
        <w:t xml:space="preserve">, and multiplying the weight by the total area (in hectares) for the respective </w:t>
      </w:r>
      <w:proofErr w:type="spellStart"/>
      <w:proofErr w:type="gramStart"/>
      <w:r>
        <w:rPr>
          <w:rFonts w:ascii="Gungsuh" w:eastAsia="Gungsuh" w:hAnsi="Gungsuh" w:cs="Gungsuh"/>
          <w:sz w:val="24"/>
          <w:szCs w:val="24"/>
        </w:rPr>
        <w:t>treatment.Fresh</w:t>
      </w:r>
      <w:proofErr w:type="spellEnd"/>
      <w:proofErr w:type="gramEnd"/>
      <w:r>
        <w:rPr>
          <w:rFonts w:ascii="Gungsuh" w:eastAsia="Gungsuh" w:hAnsi="Gungsuh" w:cs="Gungsuh"/>
          <w:sz w:val="24"/>
          <w:szCs w:val="24"/>
        </w:rPr>
        <w:t xml:space="preserve"> Root and Leaves Weight: Five fresh carrot roots and five fresh carrot leaves were randomly selected from each treatment, packed separately, and weighed using a </w:t>
      </w:r>
      <w:r>
        <w:rPr>
          <w:rFonts w:ascii="Gungsuh" w:eastAsia="Gungsuh" w:hAnsi="Gungsuh" w:cs="Gungsuh"/>
          <w:sz w:val="24"/>
          <w:szCs w:val="24"/>
        </w:rPr>
        <w:t>beam balance scale. Dry Root and Leaves Weight: Five fresh roots and five fresh leaves from each treatment were cut into smaller pieces, packed into A2 envelopes (separately), and dried in a natural science lab oven at 80∘C for 48 hours.</w:t>
      </w:r>
    </w:p>
    <w:p w14:paraId="2C68C0A0" w14:textId="77777777" w:rsidR="000A335C" w:rsidRDefault="0073578C">
      <w:pPr>
        <w:pStyle w:val="Heading3"/>
        <w:keepNext w:val="0"/>
        <w:keepLines w:val="0"/>
        <w:spacing w:before="0" w:after="0"/>
        <w:jc w:val="both"/>
        <w:rPr>
          <w:rFonts w:ascii="Times New Roman" w:eastAsia="Times New Roman" w:hAnsi="Times New Roman" w:cs="Times New Roman"/>
          <w:b/>
          <w:color w:val="000000"/>
          <w:sz w:val="24"/>
          <w:szCs w:val="24"/>
        </w:rPr>
      </w:pPr>
      <w:bookmarkStart w:id="13" w:name="_4mmaftxdjzec" w:colFirst="0" w:colLast="0"/>
      <w:bookmarkEnd w:id="13"/>
      <w:r>
        <w:rPr>
          <w:rFonts w:ascii="Times New Roman" w:eastAsia="Times New Roman" w:hAnsi="Times New Roman" w:cs="Times New Roman"/>
          <w:b/>
          <w:color w:val="000000"/>
          <w:sz w:val="24"/>
          <w:szCs w:val="24"/>
        </w:rPr>
        <w:t>Data Analysis</w:t>
      </w:r>
    </w:p>
    <w:p w14:paraId="49B29384" w14:textId="77777777" w:rsidR="000A335C" w:rsidRDefault="007357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collected data were subjected to Analysis of Variance (ANOVA) at a 5% level of significance to determine treatment effects. Where significant differences were observed, Tukey's Honestly Significant Difference (HSD) post-hoc test was performed for mean sepa</w:t>
      </w:r>
      <w:r>
        <w:rPr>
          <w:rFonts w:ascii="Times New Roman" w:eastAsia="Times New Roman" w:hAnsi="Times New Roman" w:cs="Times New Roman"/>
          <w:sz w:val="24"/>
          <w:szCs w:val="24"/>
        </w:rPr>
        <w:t>ration.</w:t>
      </w:r>
    </w:p>
    <w:p w14:paraId="62D1FD2D" w14:textId="77777777" w:rsidR="000A335C" w:rsidRDefault="0073578C">
      <w:pPr>
        <w:pStyle w:val="Heading2"/>
        <w:keepNext w:val="0"/>
        <w:keepLines w:val="0"/>
        <w:shd w:val="clear" w:color="auto" w:fill="FFFFFF"/>
        <w:spacing w:before="0" w:after="0"/>
        <w:jc w:val="both"/>
        <w:rPr>
          <w:rFonts w:ascii="Times New Roman" w:eastAsia="Times New Roman" w:hAnsi="Times New Roman" w:cs="Times New Roman"/>
          <w:sz w:val="24"/>
          <w:szCs w:val="24"/>
        </w:rPr>
      </w:pPr>
      <w:bookmarkStart w:id="14" w:name="_fy6f1n7cjmep" w:colFirst="0" w:colLast="0"/>
      <w:bookmarkEnd w:id="14"/>
      <w:r>
        <w:rPr>
          <w:rFonts w:ascii="Times New Roman" w:eastAsia="Times New Roman" w:hAnsi="Times New Roman" w:cs="Times New Roman"/>
          <w:sz w:val="24"/>
          <w:szCs w:val="24"/>
        </w:rPr>
        <w:t>Results</w:t>
      </w:r>
    </w:p>
    <w:p w14:paraId="2CEA9977" w14:textId="77777777" w:rsidR="000A335C" w:rsidRDefault="007357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different treatments (MIX: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alone,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fertilizer, and </w:t>
      </w:r>
      <w:proofErr w:type="spellStart"/>
      <w:r>
        <w:rPr>
          <w:rFonts w:ascii="Times New Roman" w:eastAsia="Times New Roman" w:hAnsi="Times New Roman" w:cs="Times New Roman"/>
          <w:i/>
          <w:sz w:val="24"/>
          <w:szCs w:val="24"/>
        </w:rPr>
        <w:t>Tithonia</w:t>
      </w:r>
      <w:proofErr w:type="spellEnd"/>
      <w:r>
        <w:rPr>
          <w:rFonts w:ascii="Times New Roman" w:eastAsia="Times New Roman" w:hAnsi="Times New Roman" w:cs="Times New Roman"/>
          <w:sz w:val="24"/>
          <w:szCs w:val="24"/>
        </w:rPr>
        <w:t xml:space="preserve"> alone) on carrot growth and yield components revealed significant variations across multiple parameters.</w:t>
      </w:r>
    </w:p>
    <w:p w14:paraId="3F0E3635" w14:textId="77777777" w:rsidR="000A335C" w:rsidRDefault="0073578C">
      <w:pPr>
        <w:pStyle w:val="Heading3"/>
        <w:keepNext w:val="0"/>
        <w:keepLines w:val="0"/>
        <w:shd w:val="clear" w:color="auto" w:fill="FFFFFF"/>
        <w:spacing w:before="0" w:after="0"/>
        <w:jc w:val="both"/>
        <w:rPr>
          <w:rFonts w:ascii="Times New Roman" w:eastAsia="Times New Roman" w:hAnsi="Times New Roman" w:cs="Times New Roman"/>
          <w:b/>
          <w:color w:val="000000"/>
          <w:sz w:val="24"/>
          <w:szCs w:val="24"/>
        </w:rPr>
      </w:pPr>
      <w:bookmarkStart w:id="15" w:name="_youel57l7gs" w:colFirst="0" w:colLast="0"/>
      <w:bookmarkEnd w:id="15"/>
      <w:r>
        <w:rPr>
          <w:rFonts w:ascii="Times New Roman" w:eastAsia="Times New Roman" w:hAnsi="Times New Roman" w:cs="Times New Roman"/>
          <w:b/>
          <w:color w:val="000000"/>
          <w:sz w:val="24"/>
          <w:szCs w:val="24"/>
        </w:rPr>
        <w:t>Vegetative Growth Parame</w:t>
      </w:r>
      <w:r>
        <w:rPr>
          <w:rFonts w:ascii="Times New Roman" w:eastAsia="Times New Roman" w:hAnsi="Times New Roman" w:cs="Times New Roman"/>
          <w:b/>
          <w:color w:val="000000"/>
          <w:sz w:val="24"/>
          <w:szCs w:val="24"/>
        </w:rPr>
        <w:t>ters</w:t>
      </w:r>
    </w:p>
    <w:p w14:paraId="1F427023" w14:textId="77777777" w:rsidR="000A335C" w:rsidRDefault="007357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Leaf Area Index (LAI) did not differ significantly among treatments though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(2.38) and MIX (2.34) had numerically higher values than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(1.66). Plant height and number of leaves were also unaffected by treatments, with means ranging betw</w:t>
      </w:r>
      <w:r>
        <w:rPr>
          <w:rFonts w:ascii="Times New Roman" w:eastAsia="Times New Roman" w:hAnsi="Times New Roman" w:cs="Times New Roman"/>
          <w:sz w:val="24"/>
          <w:szCs w:val="24"/>
        </w:rPr>
        <w:t>een 33.6–37.3 cm and 7.40–8.40, respectively.</w:t>
      </w:r>
    </w:p>
    <w:p w14:paraId="52D4C33C" w14:textId="77777777" w:rsidR="000A335C" w:rsidRDefault="0073578C">
      <w:pPr>
        <w:pStyle w:val="Heading3"/>
        <w:keepNext w:val="0"/>
        <w:keepLines w:val="0"/>
        <w:shd w:val="clear" w:color="auto" w:fill="FFFFFF"/>
        <w:spacing w:before="0" w:after="0"/>
        <w:jc w:val="both"/>
        <w:rPr>
          <w:rFonts w:ascii="Times New Roman" w:eastAsia="Times New Roman" w:hAnsi="Times New Roman" w:cs="Times New Roman"/>
          <w:color w:val="000000"/>
          <w:sz w:val="24"/>
          <w:szCs w:val="24"/>
        </w:rPr>
      </w:pPr>
      <w:bookmarkStart w:id="16" w:name="_uhcathpyzctt" w:colFirst="0" w:colLast="0"/>
      <w:bookmarkEnd w:id="16"/>
      <w:r>
        <w:rPr>
          <w:rFonts w:ascii="Times New Roman" w:eastAsia="Times New Roman" w:hAnsi="Times New Roman" w:cs="Times New Roman"/>
          <w:color w:val="000000"/>
          <w:sz w:val="24"/>
          <w:szCs w:val="24"/>
        </w:rPr>
        <w:t>Fresh and Dry Biomass</w:t>
      </w:r>
    </w:p>
    <w:p w14:paraId="4752AA71" w14:textId="77777777" w:rsidR="000A335C" w:rsidRDefault="007357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 Shoot weight (F.S.W) varied significantly with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(0.430 g) outperforming MIX (0.290 g, p=0.003) and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(0.390 g, p=0.027).</w:t>
      </w:r>
    </w:p>
    <w:p w14:paraId="49617C21" w14:textId="77777777" w:rsidR="000A335C" w:rsidRDefault="000A335C">
      <w:pPr>
        <w:shd w:val="clear" w:color="auto" w:fill="FFFFFF"/>
        <w:jc w:val="both"/>
        <w:rPr>
          <w:rFonts w:ascii="Times New Roman" w:eastAsia="Times New Roman" w:hAnsi="Times New Roman" w:cs="Times New Roman"/>
          <w:sz w:val="24"/>
          <w:szCs w:val="24"/>
        </w:rPr>
      </w:pPr>
    </w:p>
    <w:p w14:paraId="3BE3D7FA" w14:textId="77777777" w:rsidR="000A335C" w:rsidRDefault="0073578C">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Analysis of Variance for Carrot Yield</w:t>
      </w:r>
      <w:r>
        <w:rPr>
          <w:rFonts w:ascii="Times New Roman" w:eastAsia="Times New Roman" w:hAnsi="Times New Roman" w:cs="Times New Roman"/>
          <w:b/>
          <w:sz w:val="24"/>
          <w:szCs w:val="24"/>
        </w:rPr>
        <w:t xml:space="preserve"> and Physiological Parameters</w:t>
      </w:r>
    </w:p>
    <w:tbl>
      <w:tblPr>
        <w:tblStyle w:val="a0"/>
        <w:tblW w:w="10965" w:type="dxa"/>
        <w:tblInd w:w="-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1560"/>
        <w:gridCol w:w="1560"/>
        <w:gridCol w:w="1560"/>
        <w:gridCol w:w="1560"/>
        <w:gridCol w:w="2340"/>
      </w:tblGrid>
      <w:tr w:rsidR="000A335C" w14:paraId="075ABEA6" w14:textId="77777777">
        <w:tc>
          <w:tcPr>
            <w:tcW w:w="2385" w:type="dxa"/>
            <w:shd w:val="clear" w:color="auto" w:fill="auto"/>
            <w:tcMar>
              <w:top w:w="100" w:type="dxa"/>
              <w:left w:w="100" w:type="dxa"/>
              <w:bottom w:w="100" w:type="dxa"/>
              <w:right w:w="100" w:type="dxa"/>
            </w:tcMar>
          </w:tcPr>
          <w:p w14:paraId="2EE1716E"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Trait</w:t>
            </w:r>
          </w:p>
        </w:tc>
        <w:tc>
          <w:tcPr>
            <w:tcW w:w="1560" w:type="dxa"/>
            <w:shd w:val="clear" w:color="auto" w:fill="auto"/>
            <w:tcMar>
              <w:top w:w="100" w:type="dxa"/>
              <w:left w:w="100" w:type="dxa"/>
              <w:bottom w:w="100" w:type="dxa"/>
              <w:right w:w="100" w:type="dxa"/>
            </w:tcMar>
          </w:tcPr>
          <w:p w14:paraId="19C95A1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60" w:type="dxa"/>
            <w:shd w:val="clear" w:color="auto" w:fill="auto"/>
            <w:tcMar>
              <w:top w:w="100" w:type="dxa"/>
              <w:left w:w="100" w:type="dxa"/>
              <w:bottom w:w="100" w:type="dxa"/>
              <w:right w:w="100" w:type="dxa"/>
            </w:tcMar>
          </w:tcPr>
          <w:p w14:paraId="5C92B32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p>
        </w:tc>
        <w:tc>
          <w:tcPr>
            <w:tcW w:w="1560" w:type="dxa"/>
            <w:shd w:val="clear" w:color="auto" w:fill="auto"/>
            <w:tcMar>
              <w:top w:w="100" w:type="dxa"/>
              <w:left w:w="100" w:type="dxa"/>
              <w:bottom w:w="100" w:type="dxa"/>
              <w:right w:w="100" w:type="dxa"/>
            </w:tcMar>
          </w:tcPr>
          <w:p w14:paraId="02EF7D8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F-Value</w:t>
            </w:r>
          </w:p>
        </w:tc>
        <w:tc>
          <w:tcPr>
            <w:tcW w:w="1560" w:type="dxa"/>
            <w:shd w:val="clear" w:color="auto" w:fill="auto"/>
            <w:tcMar>
              <w:top w:w="100" w:type="dxa"/>
              <w:left w:w="100" w:type="dxa"/>
              <w:bottom w:w="100" w:type="dxa"/>
              <w:right w:w="100" w:type="dxa"/>
            </w:tcMar>
          </w:tcPr>
          <w:p w14:paraId="38AEFA15"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2340" w:type="dxa"/>
            <w:shd w:val="clear" w:color="auto" w:fill="auto"/>
            <w:tcMar>
              <w:top w:w="100" w:type="dxa"/>
              <w:left w:w="100" w:type="dxa"/>
              <w:bottom w:w="100" w:type="dxa"/>
              <w:right w:w="100" w:type="dxa"/>
            </w:tcMar>
          </w:tcPr>
          <w:p w14:paraId="2BBCDC4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effect (</w:t>
            </w:r>
            <w:r>
              <w:rPr>
                <w:rFonts w:ascii="Times New Roman" w:eastAsia="Times New Roman" w:hAnsi="Times New Roman" w:cs="Times New Roman"/>
                <w:color w:val="404040"/>
                <w:sz w:val="24"/>
                <w:szCs w:val="24"/>
                <w:highlight w:val="white"/>
              </w:rPr>
              <w:t>η²)</w:t>
            </w:r>
          </w:p>
        </w:tc>
      </w:tr>
      <w:tr w:rsidR="000A335C" w14:paraId="534D632C" w14:textId="77777777">
        <w:tc>
          <w:tcPr>
            <w:tcW w:w="2385" w:type="dxa"/>
            <w:shd w:val="clear" w:color="auto" w:fill="auto"/>
            <w:tcMar>
              <w:top w:w="100" w:type="dxa"/>
              <w:left w:w="100" w:type="dxa"/>
              <w:bottom w:w="100" w:type="dxa"/>
              <w:right w:w="100" w:type="dxa"/>
            </w:tcMar>
          </w:tcPr>
          <w:p w14:paraId="3F50A4A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Leaf Area Index</w:t>
            </w:r>
          </w:p>
        </w:tc>
        <w:tc>
          <w:tcPr>
            <w:tcW w:w="1560" w:type="dxa"/>
            <w:shd w:val="clear" w:color="auto" w:fill="auto"/>
            <w:tcMar>
              <w:top w:w="100" w:type="dxa"/>
              <w:left w:w="100" w:type="dxa"/>
              <w:bottom w:w="100" w:type="dxa"/>
              <w:right w:w="100" w:type="dxa"/>
            </w:tcMar>
          </w:tcPr>
          <w:p w14:paraId="13C92C94"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27BFED0E"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0.624</w:t>
            </w:r>
          </w:p>
        </w:tc>
        <w:tc>
          <w:tcPr>
            <w:tcW w:w="1560" w:type="dxa"/>
            <w:shd w:val="clear" w:color="auto" w:fill="auto"/>
            <w:tcMar>
              <w:top w:w="100" w:type="dxa"/>
              <w:left w:w="100" w:type="dxa"/>
              <w:bottom w:w="100" w:type="dxa"/>
              <w:right w:w="100" w:type="dxa"/>
            </w:tcMar>
          </w:tcPr>
          <w:p w14:paraId="08F5E9E9"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1560" w:type="dxa"/>
            <w:shd w:val="clear" w:color="auto" w:fill="auto"/>
            <w:tcMar>
              <w:top w:w="100" w:type="dxa"/>
              <w:left w:w="100" w:type="dxa"/>
              <w:bottom w:w="100" w:type="dxa"/>
              <w:right w:w="100" w:type="dxa"/>
            </w:tcMar>
          </w:tcPr>
          <w:p w14:paraId="5D1B4F7B"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0.121</w:t>
            </w:r>
          </w:p>
        </w:tc>
        <w:tc>
          <w:tcPr>
            <w:tcW w:w="2340" w:type="dxa"/>
            <w:shd w:val="clear" w:color="auto" w:fill="auto"/>
            <w:tcMar>
              <w:top w:w="100" w:type="dxa"/>
              <w:left w:w="100" w:type="dxa"/>
              <w:bottom w:w="100" w:type="dxa"/>
              <w:right w:w="100" w:type="dxa"/>
            </w:tcMar>
          </w:tcPr>
          <w:p w14:paraId="7BC51897"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0.059</w:t>
            </w:r>
          </w:p>
        </w:tc>
      </w:tr>
      <w:tr w:rsidR="000A335C" w14:paraId="07B1CD91" w14:textId="77777777">
        <w:tc>
          <w:tcPr>
            <w:tcW w:w="2385" w:type="dxa"/>
            <w:shd w:val="clear" w:color="auto" w:fill="auto"/>
            <w:tcMar>
              <w:top w:w="100" w:type="dxa"/>
              <w:left w:w="100" w:type="dxa"/>
              <w:bottom w:w="100" w:type="dxa"/>
              <w:right w:w="100" w:type="dxa"/>
            </w:tcMar>
          </w:tcPr>
          <w:p w14:paraId="5AE274D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Plant Height</w:t>
            </w:r>
          </w:p>
        </w:tc>
        <w:tc>
          <w:tcPr>
            <w:tcW w:w="1560" w:type="dxa"/>
            <w:shd w:val="clear" w:color="auto" w:fill="auto"/>
            <w:tcMar>
              <w:top w:w="100" w:type="dxa"/>
              <w:left w:w="100" w:type="dxa"/>
              <w:bottom w:w="100" w:type="dxa"/>
              <w:right w:w="100" w:type="dxa"/>
            </w:tcMar>
          </w:tcPr>
          <w:p w14:paraId="3CA823A2"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196BD00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15.08</w:t>
            </w:r>
          </w:p>
        </w:tc>
        <w:tc>
          <w:tcPr>
            <w:tcW w:w="1560" w:type="dxa"/>
            <w:shd w:val="clear" w:color="auto" w:fill="auto"/>
            <w:tcMar>
              <w:top w:w="100" w:type="dxa"/>
              <w:left w:w="100" w:type="dxa"/>
              <w:bottom w:w="100" w:type="dxa"/>
              <w:right w:w="100" w:type="dxa"/>
            </w:tcMar>
          </w:tcPr>
          <w:p w14:paraId="5819402A"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1560" w:type="dxa"/>
            <w:shd w:val="clear" w:color="auto" w:fill="auto"/>
            <w:tcMar>
              <w:top w:w="100" w:type="dxa"/>
              <w:left w:w="100" w:type="dxa"/>
              <w:bottom w:w="100" w:type="dxa"/>
              <w:right w:w="100" w:type="dxa"/>
            </w:tcMar>
          </w:tcPr>
          <w:p w14:paraId="5BBF62FF"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0.121</w:t>
            </w:r>
          </w:p>
        </w:tc>
        <w:tc>
          <w:tcPr>
            <w:tcW w:w="2340" w:type="dxa"/>
            <w:shd w:val="clear" w:color="auto" w:fill="auto"/>
            <w:tcMar>
              <w:top w:w="100" w:type="dxa"/>
              <w:left w:w="100" w:type="dxa"/>
              <w:bottom w:w="100" w:type="dxa"/>
              <w:right w:w="100" w:type="dxa"/>
            </w:tcMar>
          </w:tcPr>
          <w:p w14:paraId="5845C56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0.031</w:t>
            </w:r>
          </w:p>
        </w:tc>
      </w:tr>
      <w:tr w:rsidR="000A335C" w14:paraId="701B68C1" w14:textId="77777777">
        <w:tc>
          <w:tcPr>
            <w:tcW w:w="2385" w:type="dxa"/>
            <w:shd w:val="clear" w:color="auto" w:fill="auto"/>
            <w:tcMar>
              <w:top w:w="100" w:type="dxa"/>
              <w:left w:w="100" w:type="dxa"/>
              <w:bottom w:w="100" w:type="dxa"/>
              <w:right w:w="100" w:type="dxa"/>
            </w:tcMar>
          </w:tcPr>
          <w:p w14:paraId="4B27F769"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Leaves</w:t>
            </w:r>
          </w:p>
        </w:tc>
        <w:tc>
          <w:tcPr>
            <w:tcW w:w="1560" w:type="dxa"/>
            <w:shd w:val="clear" w:color="auto" w:fill="auto"/>
            <w:tcMar>
              <w:top w:w="100" w:type="dxa"/>
              <w:left w:w="100" w:type="dxa"/>
              <w:bottom w:w="100" w:type="dxa"/>
              <w:right w:w="100" w:type="dxa"/>
            </w:tcMar>
          </w:tcPr>
          <w:p w14:paraId="574B58C6"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009997C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1.133</w:t>
            </w:r>
          </w:p>
        </w:tc>
        <w:tc>
          <w:tcPr>
            <w:tcW w:w="1560" w:type="dxa"/>
            <w:shd w:val="clear" w:color="auto" w:fill="auto"/>
            <w:tcMar>
              <w:top w:w="100" w:type="dxa"/>
              <w:left w:w="100" w:type="dxa"/>
              <w:bottom w:w="100" w:type="dxa"/>
              <w:right w:w="100" w:type="dxa"/>
            </w:tcMar>
          </w:tcPr>
          <w:p w14:paraId="1F60335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560" w:type="dxa"/>
            <w:shd w:val="clear" w:color="auto" w:fill="auto"/>
            <w:tcMar>
              <w:top w:w="100" w:type="dxa"/>
              <w:left w:w="100" w:type="dxa"/>
              <w:bottom w:w="100" w:type="dxa"/>
              <w:right w:w="100" w:type="dxa"/>
            </w:tcMar>
          </w:tcPr>
          <w:p w14:paraId="489F459C"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0.224</w:t>
            </w:r>
          </w:p>
        </w:tc>
        <w:tc>
          <w:tcPr>
            <w:tcW w:w="2340" w:type="dxa"/>
            <w:shd w:val="clear" w:color="auto" w:fill="auto"/>
            <w:tcMar>
              <w:top w:w="100" w:type="dxa"/>
              <w:left w:w="100" w:type="dxa"/>
              <w:bottom w:w="100" w:type="dxa"/>
              <w:right w:w="100" w:type="dxa"/>
            </w:tcMar>
          </w:tcPr>
          <w:p w14:paraId="213E5A5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0.018</w:t>
            </w:r>
          </w:p>
        </w:tc>
      </w:tr>
      <w:tr w:rsidR="000A335C" w14:paraId="7D132C3F" w14:textId="77777777">
        <w:tc>
          <w:tcPr>
            <w:tcW w:w="2385" w:type="dxa"/>
            <w:shd w:val="clear" w:color="auto" w:fill="auto"/>
            <w:tcMar>
              <w:top w:w="100" w:type="dxa"/>
              <w:left w:w="100" w:type="dxa"/>
              <w:bottom w:w="100" w:type="dxa"/>
              <w:right w:w="100" w:type="dxa"/>
            </w:tcMar>
          </w:tcPr>
          <w:p w14:paraId="668EAF12"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Fresh biomass</w:t>
            </w:r>
          </w:p>
        </w:tc>
        <w:tc>
          <w:tcPr>
            <w:tcW w:w="1560" w:type="dxa"/>
            <w:shd w:val="clear" w:color="auto" w:fill="auto"/>
            <w:tcMar>
              <w:top w:w="100" w:type="dxa"/>
              <w:left w:w="100" w:type="dxa"/>
              <w:bottom w:w="100" w:type="dxa"/>
              <w:right w:w="100" w:type="dxa"/>
            </w:tcMar>
          </w:tcPr>
          <w:p w14:paraId="0ADF223B"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2D30D8F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0.2046</w:t>
            </w:r>
          </w:p>
        </w:tc>
        <w:tc>
          <w:tcPr>
            <w:tcW w:w="1560" w:type="dxa"/>
            <w:shd w:val="clear" w:color="auto" w:fill="auto"/>
            <w:tcMar>
              <w:top w:w="100" w:type="dxa"/>
              <w:left w:w="100" w:type="dxa"/>
              <w:bottom w:w="100" w:type="dxa"/>
              <w:right w:w="100" w:type="dxa"/>
            </w:tcMar>
          </w:tcPr>
          <w:p w14:paraId="460184E1"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10.04</w:t>
            </w:r>
          </w:p>
        </w:tc>
        <w:tc>
          <w:tcPr>
            <w:tcW w:w="1560" w:type="dxa"/>
            <w:shd w:val="clear" w:color="auto" w:fill="auto"/>
            <w:tcMar>
              <w:top w:w="100" w:type="dxa"/>
              <w:left w:w="100" w:type="dxa"/>
              <w:bottom w:w="100" w:type="dxa"/>
              <w:right w:w="100" w:type="dxa"/>
            </w:tcMar>
          </w:tcPr>
          <w:p w14:paraId="43538833"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2340" w:type="dxa"/>
            <w:shd w:val="clear" w:color="auto" w:fill="auto"/>
            <w:tcMar>
              <w:top w:w="100" w:type="dxa"/>
              <w:left w:w="100" w:type="dxa"/>
              <w:bottom w:w="100" w:type="dxa"/>
              <w:right w:w="100" w:type="dxa"/>
            </w:tcMar>
          </w:tcPr>
          <w:p w14:paraId="769CEBE8"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0.656</w:t>
            </w:r>
          </w:p>
        </w:tc>
      </w:tr>
      <w:tr w:rsidR="000A335C" w14:paraId="3B9E45E5" w14:textId="77777777">
        <w:tc>
          <w:tcPr>
            <w:tcW w:w="2385" w:type="dxa"/>
            <w:shd w:val="clear" w:color="auto" w:fill="auto"/>
            <w:tcMar>
              <w:top w:w="100" w:type="dxa"/>
              <w:left w:w="100" w:type="dxa"/>
              <w:bottom w:w="100" w:type="dxa"/>
              <w:right w:w="100" w:type="dxa"/>
            </w:tcMar>
          </w:tcPr>
          <w:p w14:paraId="63956E9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 </w:t>
            </w:r>
            <w:r>
              <w:rPr>
                <w:rFonts w:ascii="Times New Roman" w:eastAsia="Times New Roman" w:hAnsi="Times New Roman" w:cs="Times New Roman"/>
                <w:sz w:val="24"/>
                <w:szCs w:val="24"/>
              </w:rPr>
              <w:t>biomass</w:t>
            </w:r>
          </w:p>
        </w:tc>
        <w:tc>
          <w:tcPr>
            <w:tcW w:w="1560" w:type="dxa"/>
            <w:shd w:val="clear" w:color="auto" w:fill="auto"/>
            <w:tcMar>
              <w:top w:w="100" w:type="dxa"/>
              <w:left w:w="100" w:type="dxa"/>
              <w:bottom w:w="100" w:type="dxa"/>
              <w:right w:w="100" w:type="dxa"/>
            </w:tcMar>
          </w:tcPr>
          <w:p w14:paraId="76C05A83"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4C5D549E"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0.00104</w:t>
            </w:r>
          </w:p>
        </w:tc>
        <w:tc>
          <w:tcPr>
            <w:tcW w:w="1560" w:type="dxa"/>
            <w:shd w:val="clear" w:color="auto" w:fill="auto"/>
            <w:tcMar>
              <w:top w:w="100" w:type="dxa"/>
              <w:left w:w="100" w:type="dxa"/>
              <w:bottom w:w="100" w:type="dxa"/>
              <w:right w:w="100" w:type="dxa"/>
            </w:tcMar>
          </w:tcPr>
          <w:p w14:paraId="3384032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168.8</w:t>
            </w:r>
          </w:p>
        </w:tc>
        <w:tc>
          <w:tcPr>
            <w:tcW w:w="1560" w:type="dxa"/>
            <w:shd w:val="clear" w:color="auto" w:fill="auto"/>
            <w:tcMar>
              <w:top w:w="100" w:type="dxa"/>
              <w:left w:w="100" w:type="dxa"/>
              <w:bottom w:w="100" w:type="dxa"/>
              <w:right w:w="100" w:type="dxa"/>
            </w:tcMar>
          </w:tcPr>
          <w:p w14:paraId="6A7982CC"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shd w:val="clear" w:color="auto" w:fill="auto"/>
            <w:tcMar>
              <w:top w:w="100" w:type="dxa"/>
              <w:left w:w="100" w:type="dxa"/>
              <w:bottom w:w="100" w:type="dxa"/>
              <w:right w:w="100" w:type="dxa"/>
            </w:tcMar>
          </w:tcPr>
          <w:p w14:paraId="529BBC9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0.969</w:t>
            </w:r>
          </w:p>
        </w:tc>
      </w:tr>
      <w:tr w:rsidR="000A335C" w14:paraId="15775D7B" w14:textId="77777777">
        <w:tc>
          <w:tcPr>
            <w:tcW w:w="2385" w:type="dxa"/>
            <w:shd w:val="clear" w:color="auto" w:fill="auto"/>
            <w:tcMar>
              <w:top w:w="100" w:type="dxa"/>
              <w:left w:w="100" w:type="dxa"/>
              <w:bottom w:w="100" w:type="dxa"/>
              <w:right w:w="100" w:type="dxa"/>
            </w:tcMar>
          </w:tcPr>
          <w:p w14:paraId="41EC2AA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Fresh Root Weight</w:t>
            </w:r>
          </w:p>
        </w:tc>
        <w:tc>
          <w:tcPr>
            <w:tcW w:w="1560" w:type="dxa"/>
            <w:shd w:val="clear" w:color="auto" w:fill="auto"/>
            <w:tcMar>
              <w:top w:w="100" w:type="dxa"/>
              <w:left w:w="100" w:type="dxa"/>
              <w:bottom w:w="100" w:type="dxa"/>
              <w:right w:w="100" w:type="dxa"/>
            </w:tcMar>
          </w:tcPr>
          <w:p w14:paraId="1C2CEE96"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02C9A08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0.476</w:t>
            </w:r>
          </w:p>
        </w:tc>
        <w:tc>
          <w:tcPr>
            <w:tcW w:w="1560" w:type="dxa"/>
            <w:shd w:val="clear" w:color="auto" w:fill="auto"/>
            <w:tcMar>
              <w:top w:w="100" w:type="dxa"/>
              <w:left w:w="100" w:type="dxa"/>
              <w:bottom w:w="100" w:type="dxa"/>
              <w:right w:w="100" w:type="dxa"/>
            </w:tcMar>
          </w:tcPr>
          <w:p w14:paraId="0C1FF8B8"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130.7</w:t>
            </w:r>
          </w:p>
        </w:tc>
        <w:tc>
          <w:tcPr>
            <w:tcW w:w="1560" w:type="dxa"/>
            <w:shd w:val="clear" w:color="auto" w:fill="auto"/>
            <w:tcMar>
              <w:top w:w="100" w:type="dxa"/>
              <w:left w:w="100" w:type="dxa"/>
              <w:bottom w:w="100" w:type="dxa"/>
              <w:right w:w="100" w:type="dxa"/>
            </w:tcMar>
          </w:tcPr>
          <w:p w14:paraId="41955BA0"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shd w:val="clear" w:color="auto" w:fill="auto"/>
            <w:tcMar>
              <w:top w:w="100" w:type="dxa"/>
              <w:left w:w="100" w:type="dxa"/>
              <w:bottom w:w="100" w:type="dxa"/>
              <w:right w:w="100" w:type="dxa"/>
            </w:tcMar>
          </w:tcPr>
          <w:p w14:paraId="19E8DD1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0.970</w:t>
            </w:r>
          </w:p>
        </w:tc>
      </w:tr>
      <w:tr w:rsidR="000A335C" w14:paraId="11ADC3A2" w14:textId="77777777">
        <w:tc>
          <w:tcPr>
            <w:tcW w:w="2385" w:type="dxa"/>
            <w:shd w:val="clear" w:color="auto" w:fill="auto"/>
            <w:tcMar>
              <w:top w:w="100" w:type="dxa"/>
              <w:left w:w="100" w:type="dxa"/>
              <w:bottom w:w="100" w:type="dxa"/>
              <w:right w:w="100" w:type="dxa"/>
            </w:tcMar>
          </w:tcPr>
          <w:p w14:paraId="1F49F72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Root Dry Weight</w:t>
            </w:r>
          </w:p>
        </w:tc>
        <w:tc>
          <w:tcPr>
            <w:tcW w:w="1560" w:type="dxa"/>
            <w:shd w:val="clear" w:color="auto" w:fill="auto"/>
            <w:tcMar>
              <w:top w:w="100" w:type="dxa"/>
              <w:left w:w="100" w:type="dxa"/>
              <w:bottom w:w="100" w:type="dxa"/>
              <w:right w:w="100" w:type="dxa"/>
            </w:tcMar>
          </w:tcPr>
          <w:p w14:paraId="739B40DF"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2614A39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0.000164</w:t>
            </w:r>
          </w:p>
        </w:tc>
        <w:tc>
          <w:tcPr>
            <w:tcW w:w="1560" w:type="dxa"/>
            <w:shd w:val="clear" w:color="auto" w:fill="auto"/>
            <w:tcMar>
              <w:top w:w="100" w:type="dxa"/>
              <w:left w:w="100" w:type="dxa"/>
              <w:bottom w:w="100" w:type="dxa"/>
              <w:right w:w="100" w:type="dxa"/>
            </w:tcMar>
          </w:tcPr>
          <w:p w14:paraId="00D3FBE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21.37</w:t>
            </w:r>
          </w:p>
        </w:tc>
        <w:tc>
          <w:tcPr>
            <w:tcW w:w="1560" w:type="dxa"/>
            <w:shd w:val="clear" w:color="auto" w:fill="auto"/>
            <w:tcMar>
              <w:top w:w="100" w:type="dxa"/>
              <w:left w:w="100" w:type="dxa"/>
              <w:bottom w:w="100" w:type="dxa"/>
              <w:right w:w="100" w:type="dxa"/>
            </w:tcMar>
          </w:tcPr>
          <w:p w14:paraId="5F744514"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shd w:val="clear" w:color="auto" w:fill="auto"/>
            <w:tcMar>
              <w:top w:w="100" w:type="dxa"/>
              <w:left w:w="100" w:type="dxa"/>
              <w:bottom w:w="100" w:type="dxa"/>
              <w:right w:w="100" w:type="dxa"/>
            </w:tcMar>
          </w:tcPr>
          <w:p w14:paraId="0A8B00E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0.799</w:t>
            </w:r>
          </w:p>
        </w:tc>
      </w:tr>
      <w:tr w:rsidR="000A335C" w14:paraId="3801032E" w14:textId="77777777">
        <w:tc>
          <w:tcPr>
            <w:tcW w:w="2385" w:type="dxa"/>
            <w:shd w:val="clear" w:color="auto" w:fill="auto"/>
            <w:tcMar>
              <w:top w:w="100" w:type="dxa"/>
              <w:left w:w="100" w:type="dxa"/>
              <w:bottom w:w="100" w:type="dxa"/>
              <w:right w:w="100" w:type="dxa"/>
            </w:tcMar>
          </w:tcPr>
          <w:p w14:paraId="5236D60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Root length</w:t>
            </w:r>
          </w:p>
        </w:tc>
        <w:tc>
          <w:tcPr>
            <w:tcW w:w="1560" w:type="dxa"/>
            <w:shd w:val="clear" w:color="auto" w:fill="auto"/>
            <w:tcMar>
              <w:top w:w="100" w:type="dxa"/>
              <w:left w:w="100" w:type="dxa"/>
              <w:bottom w:w="100" w:type="dxa"/>
              <w:right w:w="100" w:type="dxa"/>
            </w:tcMar>
          </w:tcPr>
          <w:p w14:paraId="1CBE6D0B"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5069FAF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1560" w:type="dxa"/>
            <w:shd w:val="clear" w:color="auto" w:fill="auto"/>
            <w:tcMar>
              <w:top w:w="100" w:type="dxa"/>
              <w:left w:w="100" w:type="dxa"/>
              <w:bottom w:w="100" w:type="dxa"/>
              <w:right w:w="100" w:type="dxa"/>
            </w:tcMar>
          </w:tcPr>
          <w:p w14:paraId="0CCCAF0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113.7</w:t>
            </w:r>
          </w:p>
        </w:tc>
        <w:tc>
          <w:tcPr>
            <w:tcW w:w="1560" w:type="dxa"/>
            <w:shd w:val="clear" w:color="auto" w:fill="auto"/>
            <w:tcMar>
              <w:top w:w="100" w:type="dxa"/>
              <w:left w:w="100" w:type="dxa"/>
              <w:bottom w:w="100" w:type="dxa"/>
              <w:right w:w="100" w:type="dxa"/>
            </w:tcMar>
          </w:tcPr>
          <w:p w14:paraId="23630086"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shd w:val="clear" w:color="auto" w:fill="auto"/>
            <w:tcMar>
              <w:top w:w="100" w:type="dxa"/>
              <w:left w:w="100" w:type="dxa"/>
              <w:bottom w:w="100" w:type="dxa"/>
              <w:right w:w="100" w:type="dxa"/>
            </w:tcMar>
          </w:tcPr>
          <w:p w14:paraId="2817E6E1"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0.943</w:t>
            </w:r>
          </w:p>
        </w:tc>
      </w:tr>
      <w:tr w:rsidR="000A335C" w14:paraId="28916EB1" w14:textId="77777777">
        <w:tc>
          <w:tcPr>
            <w:tcW w:w="2385" w:type="dxa"/>
            <w:shd w:val="clear" w:color="auto" w:fill="auto"/>
            <w:tcMar>
              <w:top w:w="100" w:type="dxa"/>
              <w:left w:w="100" w:type="dxa"/>
              <w:bottom w:w="100" w:type="dxa"/>
              <w:right w:w="100" w:type="dxa"/>
            </w:tcMar>
          </w:tcPr>
          <w:p w14:paraId="19E3D374"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Root Diameter</w:t>
            </w:r>
          </w:p>
        </w:tc>
        <w:tc>
          <w:tcPr>
            <w:tcW w:w="1560" w:type="dxa"/>
            <w:shd w:val="clear" w:color="auto" w:fill="auto"/>
            <w:tcMar>
              <w:top w:w="100" w:type="dxa"/>
              <w:left w:w="100" w:type="dxa"/>
              <w:bottom w:w="100" w:type="dxa"/>
              <w:right w:w="100" w:type="dxa"/>
            </w:tcMar>
          </w:tcPr>
          <w:p w14:paraId="5433D784"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63DFBCA4"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23.09</w:t>
            </w:r>
          </w:p>
        </w:tc>
        <w:tc>
          <w:tcPr>
            <w:tcW w:w="1560" w:type="dxa"/>
            <w:shd w:val="clear" w:color="auto" w:fill="auto"/>
            <w:tcMar>
              <w:top w:w="100" w:type="dxa"/>
              <w:left w:w="100" w:type="dxa"/>
              <w:bottom w:w="100" w:type="dxa"/>
              <w:right w:w="100" w:type="dxa"/>
            </w:tcMar>
          </w:tcPr>
          <w:p w14:paraId="1954C9AE"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300.8</w:t>
            </w:r>
          </w:p>
        </w:tc>
        <w:tc>
          <w:tcPr>
            <w:tcW w:w="1560" w:type="dxa"/>
            <w:shd w:val="clear" w:color="auto" w:fill="auto"/>
            <w:tcMar>
              <w:top w:w="100" w:type="dxa"/>
              <w:left w:w="100" w:type="dxa"/>
              <w:bottom w:w="100" w:type="dxa"/>
              <w:right w:w="100" w:type="dxa"/>
            </w:tcMar>
          </w:tcPr>
          <w:p w14:paraId="64C9D37A"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shd w:val="clear" w:color="auto" w:fill="auto"/>
            <w:tcMar>
              <w:top w:w="100" w:type="dxa"/>
              <w:left w:w="100" w:type="dxa"/>
              <w:bottom w:w="100" w:type="dxa"/>
              <w:right w:w="100" w:type="dxa"/>
            </w:tcMar>
          </w:tcPr>
          <w:p w14:paraId="2DC2E329"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0.985</w:t>
            </w:r>
          </w:p>
        </w:tc>
      </w:tr>
      <w:tr w:rsidR="000A335C" w14:paraId="0213326E" w14:textId="77777777">
        <w:tc>
          <w:tcPr>
            <w:tcW w:w="2385" w:type="dxa"/>
            <w:shd w:val="clear" w:color="auto" w:fill="auto"/>
            <w:tcMar>
              <w:top w:w="100" w:type="dxa"/>
              <w:left w:w="100" w:type="dxa"/>
              <w:bottom w:w="100" w:type="dxa"/>
              <w:right w:w="100" w:type="dxa"/>
            </w:tcMar>
          </w:tcPr>
          <w:p w14:paraId="6E504B1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Yield</w:t>
            </w:r>
          </w:p>
        </w:tc>
        <w:tc>
          <w:tcPr>
            <w:tcW w:w="1560" w:type="dxa"/>
            <w:shd w:val="clear" w:color="auto" w:fill="auto"/>
            <w:tcMar>
              <w:top w:w="100" w:type="dxa"/>
              <w:left w:w="100" w:type="dxa"/>
              <w:bottom w:w="100" w:type="dxa"/>
              <w:right w:w="100" w:type="dxa"/>
            </w:tcMar>
          </w:tcPr>
          <w:p w14:paraId="195EE7C3"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68EDF549"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6.0582</w:t>
            </w:r>
          </w:p>
        </w:tc>
        <w:tc>
          <w:tcPr>
            <w:tcW w:w="1560" w:type="dxa"/>
            <w:shd w:val="clear" w:color="auto" w:fill="auto"/>
            <w:tcMar>
              <w:top w:w="100" w:type="dxa"/>
              <w:left w:w="100" w:type="dxa"/>
              <w:bottom w:w="100" w:type="dxa"/>
              <w:right w:w="100" w:type="dxa"/>
            </w:tcMar>
          </w:tcPr>
          <w:p w14:paraId="0BE7DC5F"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193.1</w:t>
            </w:r>
          </w:p>
        </w:tc>
        <w:tc>
          <w:tcPr>
            <w:tcW w:w="1560" w:type="dxa"/>
            <w:shd w:val="clear" w:color="auto" w:fill="auto"/>
            <w:tcMar>
              <w:top w:w="100" w:type="dxa"/>
              <w:left w:w="100" w:type="dxa"/>
              <w:bottom w:w="100" w:type="dxa"/>
              <w:right w:w="100" w:type="dxa"/>
            </w:tcMar>
          </w:tcPr>
          <w:p w14:paraId="58FDDCBC"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shd w:val="clear" w:color="auto" w:fill="auto"/>
            <w:tcMar>
              <w:top w:w="100" w:type="dxa"/>
              <w:left w:w="100" w:type="dxa"/>
              <w:bottom w:w="100" w:type="dxa"/>
              <w:right w:w="100" w:type="dxa"/>
            </w:tcMar>
          </w:tcPr>
          <w:p w14:paraId="1E0A094B"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0.974</w:t>
            </w:r>
          </w:p>
        </w:tc>
      </w:tr>
      <w:tr w:rsidR="000A335C" w14:paraId="7CC83A3E" w14:textId="77777777">
        <w:tc>
          <w:tcPr>
            <w:tcW w:w="2385" w:type="dxa"/>
            <w:shd w:val="clear" w:color="auto" w:fill="auto"/>
            <w:tcMar>
              <w:top w:w="100" w:type="dxa"/>
              <w:left w:w="100" w:type="dxa"/>
              <w:bottom w:w="100" w:type="dxa"/>
              <w:right w:w="100" w:type="dxa"/>
            </w:tcMar>
          </w:tcPr>
          <w:p w14:paraId="35825192"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Plant </w:t>
            </w:r>
            <w:proofErr w:type="spellStart"/>
            <w:proofErr w:type="gramStart"/>
            <w:r>
              <w:rPr>
                <w:rFonts w:ascii="Times New Roman" w:eastAsia="Times New Roman" w:hAnsi="Times New Roman" w:cs="Times New Roman"/>
                <w:sz w:val="24"/>
                <w:szCs w:val="24"/>
              </w:rPr>
              <w:t>height:Root</w:t>
            </w:r>
            <w:proofErr w:type="spellEnd"/>
            <w:proofErr w:type="gramEnd"/>
            <w:r>
              <w:rPr>
                <w:rFonts w:ascii="Times New Roman" w:eastAsia="Times New Roman" w:hAnsi="Times New Roman" w:cs="Times New Roman"/>
                <w:sz w:val="24"/>
                <w:szCs w:val="24"/>
              </w:rPr>
              <w:t xml:space="preserve"> Length</w:t>
            </w:r>
          </w:p>
        </w:tc>
        <w:tc>
          <w:tcPr>
            <w:tcW w:w="1560" w:type="dxa"/>
            <w:shd w:val="clear" w:color="auto" w:fill="auto"/>
            <w:tcMar>
              <w:top w:w="100" w:type="dxa"/>
              <w:left w:w="100" w:type="dxa"/>
              <w:bottom w:w="100" w:type="dxa"/>
              <w:right w:w="100" w:type="dxa"/>
            </w:tcMar>
          </w:tcPr>
          <w:p w14:paraId="63801CF0"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44E31E4B"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0.0871</w:t>
            </w:r>
          </w:p>
        </w:tc>
        <w:tc>
          <w:tcPr>
            <w:tcW w:w="1560" w:type="dxa"/>
            <w:shd w:val="clear" w:color="auto" w:fill="auto"/>
            <w:tcMar>
              <w:top w:w="100" w:type="dxa"/>
              <w:left w:w="100" w:type="dxa"/>
              <w:bottom w:w="100" w:type="dxa"/>
              <w:right w:w="100" w:type="dxa"/>
            </w:tcMar>
          </w:tcPr>
          <w:p w14:paraId="580E0DCB"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1560" w:type="dxa"/>
            <w:shd w:val="clear" w:color="auto" w:fill="auto"/>
            <w:tcMar>
              <w:top w:w="100" w:type="dxa"/>
              <w:left w:w="100" w:type="dxa"/>
              <w:bottom w:w="100" w:type="dxa"/>
              <w:right w:w="100" w:type="dxa"/>
            </w:tcMar>
          </w:tcPr>
          <w:p w14:paraId="2E3409D3"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2340" w:type="dxa"/>
            <w:shd w:val="clear" w:color="auto" w:fill="auto"/>
            <w:tcMar>
              <w:top w:w="100" w:type="dxa"/>
              <w:left w:w="100" w:type="dxa"/>
              <w:bottom w:w="100" w:type="dxa"/>
              <w:right w:w="100" w:type="dxa"/>
            </w:tcMar>
          </w:tcPr>
          <w:p w14:paraId="1D69BEC5"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0.044</w:t>
            </w:r>
          </w:p>
        </w:tc>
      </w:tr>
      <w:tr w:rsidR="000A335C" w14:paraId="7733090B" w14:textId="77777777">
        <w:tc>
          <w:tcPr>
            <w:tcW w:w="2385" w:type="dxa"/>
            <w:shd w:val="clear" w:color="auto" w:fill="auto"/>
            <w:tcMar>
              <w:top w:w="100" w:type="dxa"/>
              <w:left w:w="100" w:type="dxa"/>
              <w:bottom w:w="100" w:type="dxa"/>
              <w:right w:w="100" w:type="dxa"/>
            </w:tcMar>
          </w:tcPr>
          <w:p w14:paraId="286F62F2"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Root </w:t>
            </w:r>
            <w:proofErr w:type="spellStart"/>
            <w:proofErr w:type="gramStart"/>
            <w:r>
              <w:rPr>
                <w:rFonts w:ascii="Times New Roman" w:eastAsia="Times New Roman" w:hAnsi="Times New Roman" w:cs="Times New Roman"/>
                <w:sz w:val="24"/>
                <w:szCs w:val="24"/>
              </w:rPr>
              <w:t>Diameter:Root</w:t>
            </w:r>
            <w:proofErr w:type="spellEnd"/>
            <w:proofErr w:type="gramEnd"/>
            <w:r>
              <w:rPr>
                <w:rFonts w:ascii="Times New Roman" w:eastAsia="Times New Roman" w:hAnsi="Times New Roman" w:cs="Times New Roman"/>
                <w:sz w:val="24"/>
                <w:szCs w:val="24"/>
              </w:rPr>
              <w:t xml:space="preserve"> Length</w:t>
            </w:r>
          </w:p>
        </w:tc>
        <w:tc>
          <w:tcPr>
            <w:tcW w:w="1560" w:type="dxa"/>
            <w:shd w:val="clear" w:color="auto" w:fill="auto"/>
            <w:tcMar>
              <w:top w:w="100" w:type="dxa"/>
              <w:left w:w="100" w:type="dxa"/>
              <w:bottom w:w="100" w:type="dxa"/>
              <w:right w:w="100" w:type="dxa"/>
            </w:tcMar>
          </w:tcPr>
          <w:p w14:paraId="5433B2A8"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5E59C194"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0.01902</w:t>
            </w:r>
          </w:p>
        </w:tc>
        <w:tc>
          <w:tcPr>
            <w:tcW w:w="1560" w:type="dxa"/>
            <w:shd w:val="clear" w:color="auto" w:fill="auto"/>
            <w:tcMar>
              <w:top w:w="100" w:type="dxa"/>
              <w:left w:w="100" w:type="dxa"/>
              <w:bottom w:w="100" w:type="dxa"/>
              <w:right w:w="100" w:type="dxa"/>
            </w:tcMar>
          </w:tcPr>
          <w:p w14:paraId="34642FD8"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560" w:type="dxa"/>
            <w:shd w:val="clear" w:color="auto" w:fill="auto"/>
            <w:tcMar>
              <w:top w:w="100" w:type="dxa"/>
              <w:left w:w="100" w:type="dxa"/>
              <w:bottom w:w="100" w:type="dxa"/>
              <w:right w:w="100" w:type="dxa"/>
            </w:tcMar>
          </w:tcPr>
          <w:p w14:paraId="028C4C96"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shd w:val="clear" w:color="auto" w:fill="auto"/>
            <w:tcMar>
              <w:top w:w="100" w:type="dxa"/>
              <w:left w:w="100" w:type="dxa"/>
              <w:bottom w:w="100" w:type="dxa"/>
              <w:right w:w="100" w:type="dxa"/>
            </w:tcMar>
          </w:tcPr>
          <w:p w14:paraId="5B62C52C"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0.863</w:t>
            </w:r>
          </w:p>
        </w:tc>
      </w:tr>
      <w:tr w:rsidR="000A335C" w14:paraId="0A16DD1F" w14:textId="77777777">
        <w:tc>
          <w:tcPr>
            <w:tcW w:w="2385" w:type="dxa"/>
            <w:shd w:val="clear" w:color="auto" w:fill="auto"/>
            <w:tcMar>
              <w:top w:w="100" w:type="dxa"/>
              <w:left w:w="100" w:type="dxa"/>
              <w:bottom w:w="100" w:type="dxa"/>
              <w:right w:w="100" w:type="dxa"/>
            </w:tcMar>
          </w:tcPr>
          <w:p w14:paraId="7BEED697"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Root </w:t>
            </w:r>
            <w:proofErr w:type="spellStart"/>
            <w:proofErr w:type="gramStart"/>
            <w:r>
              <w:rPr>
                <w:rFonts w:ascii="Times New Roman" w:eastAsia="Times New Roman" w:hAnsi="Times New Roman" w:cs="Times New Roman"/>
                <w:sz w:val="24"/>
                <w:szCs w:val="24"/>
              </w:rPr>
              <w:t>DryWeight:Shoot</w:t>
            </w:r>
            <w:proofErr w:type="spellEnd"/>
            <w:proofErr w:type="gramEnd"/>
            <w:r>
              <w:rPr>
                <w:rFonts w:ascii="Times New Roman" w:eastAsia="Times New Roman" w:hAnsi="Times New Roman" w:cs="Times New Roman"/>
                <w:sz w:val="24"/>
                <w:szCs w:val="24"/>
              </w:rPr>
              <w:t xml:space="preserve"> Dry weight</w:t>
            </w:r>
          </w:p>
        </w:tc>
        <w:tc>
          <w:tcPr>
            <w:tcW w:w="1560" w:type="dxa"/>
            <w:shd w:val="clear" w:color="auto" w:fill="auto"/>
            <w:tcMar>
              <w:top w:w="100" w:type="dxa"/>
              <w:left w:w="100" w:type="dxa"/>
              <w:bottom w:w="100" w:type="dxa"/>
              <w:right w:w="100" w:type="dxa"/>
            </w:tcMar>
          </w:tcPr>
          <w:p w14:paraId="14AB58C4"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0C791F10"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0.1158</w:t>
            </w:r>
          </w:p>
        </w:tc>
        <w:tc>
          <w:tcPr>
            <w:tcW w:w="1560" w:type="dxa"/>
            <w:shd w:val="clear" w:color="auto" w:fill="auto"/>
            <w:tcMar>
              <w:top w:w="100" w:type="dxa"/>
              <w:left w:w="100" w:type="dxa"/>
              <w:bottom w:w="100" w:type="dxa"/>
              <w:right w:w="100" w:type="dxa"/>
            </w:tcMar>
          </w:tcPr>
          <w:p w14:paraId="1DA963B5"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34.93</w:t>
            </w:r>
          </w:p>
        </w:tc>
        <w:tc>
          <w:tcPr>
            <w:tcW w:w="1560" w:type="dxa"/>
            <w:shd w:val="clear" w:color="auto" w:fill="auto"/>
            <w:tcMar>
              <w:top w:w="100" w:type="dxa"/>
              <w:left w:w="100" w:type="dxa"/>
              <w:bottom w:w="100" w:type="dxa"/>
              <w:right w:w="100" w:type="dxa"/>
            </w:tcMar>
          </w:tcPr>
          <w:p w14:paraId="0662E7C1"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shd w:val="clear" w:color="auto" w:fill="auto"/>
            <w:tcMar>
              <w:top w:w="100" w:type="dxa"/>
              <w:left w:w="100" w:type="dxa"/>
              <w:bottom w:w="100" w:type="dxa"/>
              <w:right w:w="100" w:type="dxa"/>
            </w:tcMar>
          </w:tcPr>
          <w:p w14:paraId="1B619827" w14:textId="77777777" w:rsidR="000A335C" w:rsidRDefault="0073578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0.854</w:t>
            </w:r>
          </w:p>
        </w:tc>
      </w:tr>
    </w:tbl>
    <w:p w14:paraId="2A2DB6A5" w14:textId="77777777" w:rsidR="000A335C" w:rsidRDefault="000A335C">
      <w:pPr>
        <w:shd w:val="clear" w:color="auto" w:fill="FFFFFF"/>
        <w:jc w:val="both"/>
        <w:rPr>
          <w:rFonts w:ascii="Times New Roman" w:eastAsia="Times New Roman" w:hAnsi="Times New Roman" w:cs="Times New Roman"/>
          <w:sz w:val="24"/>
          <w:szCs w:val="24"/>
        </w:rPr>
      </w:pPr>
    </w:p>
    <w:p w14:paraId="36C49D40" w14:textId="77777777" w:rsidR="000A335C" w:rsidRDefault="000A335C">
      <w:pPr>
        <w:shd w:val="clear" w:color="auto" w:fill="FFFFFF"/>
        <w:jc w:val="both"/>
        <w:rPr>
          <w:rFonts w:ascii="Times New Roman" w:eastAsia="Times New Roman" w:hAnsi="Times New Roman" w:cs="Times New Roman"/>
          <w:sz w:val="24"/>
          <w:szCs w:val="24"/>
        </w:rPr>
      </w:pPr>
    </w:p>
    <w:tbl>
      <w:tblPr>
        <w:tblStyle w:val="a1"/>
        <w:tblW w:w="4350" w:type="dxa"/>
        <w:tblInd w:w="825" w:type="dxa"/>
        <w:tblBorders>
          <w:top w:val="nil"/>
          <w:left w:val="nil"/>
          <w:bottom w:val="nil"/>
          <w:right w:val="nil"/>
          <w:insideH w:val="nil"/>
          <w:insideV w:val="nil"/>
        </w:tblBorders>
        <w:tblLayout w:type="fixed"/>
        <w:tblLook w:val="0600" w:firstRow="0" w:lastRow="0" w:firstColumn="0" w:lastColumn="0" w:noHBand="1" w:noVBand="1"/>
      </w:tblPr>
      <w:tblGrid>
        <w:gridCol w:w="4350"/>
      </w:tblGrid>
      <w:tr w:rsidR="000A335C" w14:paraId="125F74DE" w14:textId="77777777">
        <w:trPr>
          <w:trHeight w:val="120"/>
        </w:trPr>
        <w:tc>
          <w:tcPr>
            <w:tcW w:w="4350" w:type="dxa"/>
            <w:tcBorders>
              <w:top w:val="nil"/>
              <w:left w:val="nil"/>
              <w:bottom w:val="nil"/>
              <w:right w:val="nil"/>
            </w:tcBorders>
            <w:shd w:val="clear" w:color="auto" w:fill="auto"/>
            <w:tcMar>
              <w:top w:w="100" w:type="dxa"/>
              <w:left w:w="120" w:type="dxa"/>
              <w:bottom w:w="40" w:type="dxa"/>
              <w:right w:w="120" w:type="dxa"/>
            </w:tcMar>
          </w:tcPr>
          <w:p w14:paraId="2FD17AC4" w14:textId="77777777" w:rsidR="000A335C" w:rsidRDefault="000A335C">
            <w:pPr>
              <w:shd w:val="clear" w:color="auto" w:fill="FFFFFF"/>
              <w:jc w:val="both"/>
              <w:rPr>
                <w:rFonts w:ascii="Times New Roman" w:eastAsia="Times New Roman" w:hAnsi="Times New Roman" w:cs="Times New Roman"/>
                <w:sz w:val="24"/>
                <w:szCs w:val="24"/>
              </w:rPr>
            </w:pPr>
          </w:p>
        </w:tc>
      </w:tr>
    </w:tbl>
    <w:p w14:paraId="73131CF2" w14:textId="77777777" w:rsidR="000A335C" w:rsidRDefault="007357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 root weight (F.R.W) showed highly significant treatment effects where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(2.39 g) &gt;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(2.08 g) &gt;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(1.88 g) &gt; MIX (1.66 g) (all p&lt;0.001 except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vs.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p=0.001).</w:t>
      </w:r>
    </w:p>
    <w:p w14:paraId="3F4A67E0" w14:textId="77777777" w:rsidR="000A335C" w:rsidRDefault="007357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Root dry weight (R.D.W) differed significantly with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(0.0539 g) surpassing MIX (0.0422 g, p&lt;0.001) and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(0.0426 g, p&lt;0.001), </w:t>
      </w:r>
      <w:r>
        <w:rPr>
          <w:rFonts w:ascii="Times New Roman" w:eastAsia="Times New Roman" w:hAnsi="Times New Roman" w:cs="Times New Roman"/>
          <w:sz w:val="24"/>
          <w:szCs w:val="24"/>
        </w:rPr>
        <w:t xml:space="preserve">but not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(0.0436 g, p=0.854).</w:t>
      </w:r>
    </w:p>
    <w:p w14:paraId="247FCEE0" w14:textId="77777777" w:rsidR="000A335C" w:rsidRDefault="007357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Shoot dry weight (S.D.W) also varied </w:t>
      </w:r>
      <w:proofErr w:type="gramStart"/>
      <w:r>
        <w:rPr>
          <w:rFonts w:ascii="Times New Roman" w:eastAsia="Times New Roman" w:hAnsi="Times New Roman" w:cs="Times New Roman"/>
          <w:sz w:val="24"/>
          <w:szCs w:val="24"/>
        </w:rPr>
        <w:t>significantly  with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(both 0.0734 g) exceeding MIX (0.0448 g, p&lt;0.001) and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(0.0544 g, p&lt;0.001).</w:t>
      </w:r>
    </w:p>
    <w:p w14:paraId="56301A53" w14:textId="77777777" w:rsidR="000A335C" w:rsidRDefault="0073578C">
      <w:pPr>
        <w:pStyle w:val="Heading3"/>
        <w:keepNext w:val="0"/>
        <w:keepLines w:val="0"/>
        <w:shd w:val="clear" w:color="auto" w:fill="FFFFFF"/>
        <w:spacing w:before="0" w:after="0"/>
        <w:jc w:val="both"/>
        <w:rPr>
          <w:rFonts w:ascii="Times New Roman" w:eastAsia="Times New Roman" w:hAnsi="Times New Roman" w:cs="Times New Roman"/>
          <w:color w:val="000000"/>
          <w:sz w:val="24"/>
          <w:szCs w:val="24"/>
        </w:rPr>
      </w:pPr>
      <w:bookmarkStart w:id="17" w:name="_gqoef1xsfx7a" w:colFirst="0" w:colLast="0"/>
      <w:bookmarkEnd w:id="17"/>
      <w:r>
        <w:rPr>
          <w:rFonts w:ascii="Times New Roman" w:eastAsia="Times New Roman" w:hAnsi="Times New Roman" w:cs="Times New Roman"/>
          <w:color w:val="000000"/>
          <w:sz w:val="24"/>
          <w:szCs w:val="24"/>
        </w:rPr>
        <w:t>Root Morphology and Yield</w:t>
      </w:r>
    </w:p>
    <w:p w14:paraId="0E6ECFC7" w14:textId="77777777" w:rsidR="000A335C" w:rsidRDefault="007357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Root length (R.L) was highest </w:t>
      </w:r>
      <w:r>
        <w:rPr>
          <w:rFonts w:ascii="Times New Roman" w:eastAsia="Times New Roman" w:hAnsi="Times New Roman" w:cs="Times New Roman"/>
          <w:sz w:val="24"/>
          <w:szCs w:val="24"/>
        </w:rPr>
        <w:t xml:space="preserve">under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(16.8 cm) and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(16.7 cm), both surpassing MIX (15.4 cm, p&lt;0.001) and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(15.6 cm, p&lt;0.001 for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only). Root diameter (R.D) varied significantly (F=295.780, p&lt;0.001), with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(36.3 mm) &gt;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(34.3 mm) &gt; MIX (32.3</w:t>
      </w:r>
      <w:r>
        <w:rPr>
          <w:rFonts w:ascii="Times New Roman" w:eastAsia="Times New Roman" w:hAnsi="Times New Roman" w:cs="Times New Roman"/>
          <w:sz w:val="24"/>
          <w:szCs w:val="24"/>
        </w:rPr>
        <w:t xml:space="preserve"> mm) &gt; </w:t>
      </w:r>
      <w:r>
        <w:rPr>
          <w:rFonts w:ascii="Times New Roman" w:eastAsia="Times New Roman" w:hAnsi="Times New Roman" w:cs="Times New Roman"/>
          <w:i/>
          <w:sz w:val="24"/>
          <w:szCs w:val="24"/>
        </w:rPr>
        <w:t>Tithonia</w:t>
      </w:r>
      <w:r>
        <w:rPr>
          <w:rFonts w:ascii="Gungsuh" w:eastAsia="Gungsuh" w:hAnsi="Gungsuh" w:cs="Gungsuh"/>
          <w:sz w:val="24"/>
          <w:szCs w:val="24"/>
        </w:rPr>
        <w:t xml:space="preserve"> (31.5 mm) (all p≤0.003)</w:t>
      </w:r>
    </w:p>
    <w:p w14:paraId="4C25AECE" w14:textId="77777777" w:rsidR="000A335C" w:rsidRDefault="007357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yield was significantly affected by treatment effects, ranking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(8.08 t/ha) &gt; </w:t>
      </w:r>
      <w:r>
        <w:rPr>
          <w:rFonts w:ascii="Times New Roman" w:eastAsia="Times New Roman" w:hAnsi="Times New Roman" w:cs="Times New Roman"/>
          <w:i/>
          <w:sz w:val="24"/>
          <w:szCs w:val="24"/>
        </w:rPr>
        <w:t>Moringa</w:t>
      </w:r>
      <w:r>
        <w:rPr>
          <w:rFonts w:ascii="Gungsuh" w:eastAsia="Gungsuh" w:hAnsi="Gungsuh" w:cs="Gungsuh"/>
          <w:sz w:val="24"/>
          <w:szCs w:val="24"/>
        </w:rPr>
        <w:t xml:space="preserve"> (6.39 t/ha) ≈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(6.49 t/ha) &gt; MIX (5.42 t/ha) (all p&lt;0.001 except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vs.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p=0.858).</w:t>
      </w:r>
    </w:p>
    <w:p w14:paraId="5CAFE070" w14:textId="77777777" w:rsidR="000A335C" w:rsidRDefault="0073578C">
      <w:pPr>
        <w:pStyle w:val="Heading3"/>
        <w:keepNext w:val="0"/>
        <w:keepLines w:val="0"/>
        <w:shd w:val="clear" w:color="auto" w:fill="FFFFFF"/>
        <w:spacing w:before="0" w:after="0"/>
        <w:jc w:val="both"/>
        <w:rPr>
          <w:rFonts w:ascii="Times New Roman" w:eastAsia="Times New Roman" w:hAnsi="Times New Roman" w:cs="Times New Roman"/>
          <w:color w:val="000000"/>
          <w:sz w:val="24"/>
          <w:szCs w:val="24"/>
        </w:rPr>
      </w:pPr>
      <w:bookmarkStart w:id="18" w:name="_fhfz0hbedb1y" w:colFirst="0" w:colLast="0"/>
      <w:bookmarkEnd w:id="18"/>
      <w:r>
        <w:rPr>
          <w:rFonts w:ascii="Times New Roman" w:eastAsia="Times New Roman" w:hAnsi="Times New Roman" w:cs="Times New Roman"/>
          <w:color w:val="000000"/>
          <w:sz w:val="24"/>
          <w:szCs w:val="24"/>
        </w:rPr>
        <w:t>Physiologic</w:t>
      </w:r>
      <w:r>
        <w:rPr>
          <w:rFonts w:ascii="Times New Roman" w:eastAsia="Times New Roman" w:hAnsi="Times New Roman" w:cs="Times New Roman"/>
          <w:color w:val="000000"/>
          <w:sz w:val="24"/>
          <w:szCs w:val="24"/>
        </w:rPr>
        <w:t>al Ratios</w:t>
      </w:r>
    </w:p>
    <w:p w14:paraId="62420D17" w14:textId="77777777" w:rsidR="000A335C" w:rsidRDefault="0073578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root diameter-to-length ratio was highly and significantly affected by treatment effects with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(2.16) &gt; MIX (2.10) &gt;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(2.06) &gt; </w:t>
      </w:r>
      <w:r>
        <w:rPr>
          <w:rFonts w:ascii="Times New Roman" w:eastAsia="Times New Roman" w:hAnsi="Times New Roman" w:cs="Times New Roman"/>
          <w:i/>
          <w:sz w:val="24"/>
          <w:szCs w:val="24"/>
        </w:rPr>
        <w:t>Tithonia</w:t>
      </w:r>
      <w:r>
        <w:rPr>
          <w:rFonts w:ascii="Gungsuh" w:eastAsia="Gungsuh" w:hAnsi="Gungsuh" w:cs="Gungsuh"/>
          <w:sz w:val="24"/>
          <w:szCs w:val="24"/>
        </w:rPr>
        <w:t xml:space="preserve"> (2.02) (p≤0.002 for </w:t>
      </w:r>
      <w:proofErr w:type="spellStart"/>
      <w:r>
        <w:rPr>
          <w:rFonts w:ascii="Gungsuh" w:eastAsia="Gungsuh" w:hAnsi="Gungsuh" w:cs="Gungsuh"/>
          <w:sz w:val="24"/>
          <w:szCs w:val="24"/>
        </w:rPr>
        <w:t>NPK+Urea</w:t>
      </w:r>
      <w:proofErr w:type="spellEnd"/>
      <w:r>
        <w:rPr>
          <w:rFonts w:ascii="Gungsuh" w:eastAsia="Gungsuh" w:hAnsi="Gungsuh" w:cs="Gungsuh"/>
          <w:sz w:val="24"/>
          <w:szCs w:val="24"/>
        </w:rPr>
        <w:t xml:space="preserve"> vs. others). Root-to-shoot dry weight ratio (RDW/SDW) also </w:t>
      </w:r>
      <w:proofErr w:type="gramStart"/>
      <w:r>
        <w:rPr>
          <w:rFonts w:ascii="Gungsuh" w:eastAsia="Gungsuh" w:hAnsi="Gungsuh" w:cs="Gungsuh"/>
          <w:sz w:val="24"/>
          <w:szCs w:val="24"/>
        </w:rPr>
        <w:t>var</w:t>
      </w:r>
      <w:r>
        <w:rPr>
          <w:rFonts w:ascii="Gungsuh" w:eastAsia="Gungsuh" w:hAnsi="Gungsuh" w:cs="Gungsuh"/>
          <w:sz w:val="24"/>
          <w:szCs w:val="24"/>
        </w:rPr>
        <w:t>ied  significantly</w:t>
      </w:r>
      <w:proofErr w:type="gramEnd"/>
      <w:r>
        <w:rPr>
          <w:rFonts w:ascii="Gungsuh" w:eastAsia="Gungsuh" w:hAnsi="Gungsuh" w:cs="Gungsuh"/>
          <w:sz w:val="24"/>
          <w:szCs w:val="24"/>
        </w:rPr>
        <w:t xml:space="preserve"> where MIX (0.947) &gt; </w:t>
      </w:r>
      <w:proofErr w:type="spellStart"/>
      <w:r>
        <w:rPr>
          <w:rFonts w:ascii="Gungsuh" w:eastAsia="Gungsuh" w:hAnsi="Gungsuh" w:cs="Gungsuh"/>
          <w:sz w:val="24"/>
          <w:szCs w:val="24"/>
        </w:rPr>
        <w:t>NPK+Urea</w:t>
      </w:r>
      <w:proofErr w:type="spellEnd"/>
      <w:r>
        <w:rPr>
          <w:rFonts w:ascii="Gungsuh" w:eastAsia="Gungsuh" w:hAnsi="Gungsuh" w:cs="Gungsuh"/>
          <w:sz w:val="24"/>
          <w:szCs w:val="24"/>
        </w:rPr>
        <w:t xml:space="preserve"> (0.803) &gt;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(0.737) &gt; </w:t>
      </w:r>
      <w:r>
        <w:rPr>
          <w:rFonts w:ascii="Times New Roman" w:eastAsia="Times New Roman" w:hAnsi="Times New Roman" w:cs="Times New Roman"/>
          <w:i/>
          <w:sz w:val="24"/>
          <w:szCs w:val="24"/>
        </w:rPr>
        <w:t>Tithonia</w:t>
      </w:r>
      <w:r>
        <w:rPr>
          <w:rFonts w:ascii="Gungsuh" w:eastAsia="Gungsuh" w:hAnsi="Gungsuh" w:cs="Gungsuh"/>
          <w:sz w:val="24"/>
          <w:szCs w:val="24"/>
        </w:rPr>
        <w:t xml:space="preserve"> (0.580) (all p≤0.009 except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vs.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p=0.326).</w:t>
      </w:r>
    </w:p>
    <w:p w14:paraId="1AFD147C" w14:textId="77777777" w:rsidR="000A335C" w:rsidRDefault="000A335C">
      <w:pPr>
        <w:shd w:val="clear" w:color="auto" w:fill="FFFFFF"/>
        <w:jc w:val="both"/>
        <w:rPr>
          <w:rFonts w:ascii="Times New Roman" w:eastAsia="Times New Roman" w:hAnsi="Times New Roman" w:cs="Times New Roman"/>
          <w:sz w:val="24"/>
          <w:szCs w:val="24"/>
        </w:rPr>
      </w:pPr>
    </w:p>
    <w:p w14:paraId="7A078673" w14:textId="77777777" w:rsidR="000A335C" w:rsidRDefault="0073578C">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Means Separation for Carrot Yield and Physiological Traits (Tukey, 0.05)</w:t>
      </w:r>
    </w:p>
    <w:p w14:paraId="0DBDECD5" w14:textId="77777777" w:rsidR="000A335C" w:rsidRDefault="000A335C">
      <w:pPr>
        <w:shd w:val="clear" w:color="auto" w:fill="FFFFFF"/>
        <w:jc w:val="both"/>
        <w:rPr>
          <w:rFonts w:ascii="Times New Roman" w:eastAsia="Times New Roman" w:hAnsi="Times New Roman" w:cs="Times New Roman"/>
          <w:sz w:val="24"/>
          <w:szCs w:val="24"/>
        </w:rPr>
      </w:pPr>
    </w:p>
    <w:tbl>
      <w:tblPr>
        <w:tblStyle w:val="a2"/>
        <w:tblW w:w="10185" w:type="dxa"/>
        <w:tblInd w:w="-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915"/>
        <w:gridCol w:w="1005"/>
        <w:gridCol w:w="855"/>
        <w:gridCol w:w="1005"/>
        <w:gridCol w:w="780"/>
        <w:gridCol w:w="810"/>
        <w:gridCol w:w="1005"/>
        <w:gridCol w:w="990"/>
        <w:gridCol w:w="1395"/>
      </w:tblGrid>
      <w:tr w:rsidR="000A335C" w14:paraId="5B887D7E" w14:textId="77777777">
        <w:tc>
          <w:tcPr>
            <w:tcW w:w="1425" w:type="dxa"/>
            <w:shd w:val="clear" w:color="auto" w:fill="auto"/>
            <w:tcMar>
              <w:top w:w="100" w:type="dxa"/>
              <w:left w:w="100" w:type="dxa"/>
              <w:bottom w:w="100" w:type="dxa"/>
              <w:right w:w="100" w:type="dxa"/>
            </w:tcMar>
          </w:tcPr>
          <w:p w14:paraId="4A334F04"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Treatment</w:t>
            </w:r>
          </w:p>
        </w:tc>
        <w:tc>
          <w:tcPr>
            <w:tcW w:w="915" w:type="dxa"/>
            <w:shd w:val="clear" w:color="auto" w:fill="auto"/>
            <w:tcMar>
              <w:top w:w="100" w:type="dxa"/>
              <w:left w:w="100" w:type="dxa"/>
              <w:bottom w:w="100" w:type="dxa"/>
              <w:right w:w="100" w:type="dxa"/>
            </w:tcMar>
          </w:tcPr>
          <w:p w14:paraId="2D6B29AA"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FSW</w:t>
            </w:r>
          </w:p>
          <w:p w14:paraId="032A371A"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005" w:type="dxa"/>
            <w:shd w:val="clear" w:color="auto" w:fill="auto"/>
            <w:tcMar>
              <w:top w:w="100" w:type="dxa"/>
              <w:left w:w="100" w:type="dxa"/>
              <w:bottom w:w="100" w:type="dxa"/>
              <w:right w:w="100" w:type="dxa"/>
            </w:tcMar>
          </w:tcPr>
          <w:p w14:paraId="059099D8"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DSW</w:t>
            </w:r>
          </w:p>
          <w:p w14:paraId="176AAC32"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55" w:type="dxa"/>
            <w:shd w:val="clear" w:color="auto" w:fill="auto"/>
            <w:tcMar>
              <w:top w:w="100" w:type="dxa"/>
              <w:left w:w="100" w:type="dxa"/>
              <w:bottom w:w="100" w:type="dxa"/>
              <w:right w:w="100" w:type="dxa"/>
            </w:tcMar>
          </w:tcPr>
          <w:p w14:paraId="725CB18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FRW</w:t>
            </w:r>
          </w:p>
          <w:p w14:paraId="69135B8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005" w:type="dxa"/>
            <w:shd w:val="clear" w:color="auto" w:fill="auto"/>
            <w:tcMar>
              <w:top w:w="100" w:type="dxa"/>
              <w:left w:w="100" w:type="dxa"/>
              <w:bottom w:w="100" w:type="dxa"/>
              <w:right w:w="100" w:type="dxa"/>
            </w:tcMar>
          </w:tcPr>
          <w:p w14:paraId="26AC07D1"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RDW</w:t>
            </w:r>
          </w:p>
          <w:p w14:paraId="30B49D5E"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80" w:type="dxa"/>
            <w:shd w:val="clear" w:color="auto" w:fill="auto"/>
            <w:tcMar>
              <w:top w:w="100" w:type="dxa"/>
              <w:left w:w="100" w:type="dxa"/>
              <w:bottom w:w="100" w:type="dxa"/>
              <w:right w:w="100" w:type="dxa"/>
            </w:tcMar>
          </w:tcPr>
          <w:p w14:paraId="1C05DAB8"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RL</w:t>
            </w:r>
          </w:p>
          <w:p w14:paraId="27A487D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(cm)</w:t>
            </w:r>
          </w:p>
        </w:tc>
        <w:tc>
          <w:tcPr>
            <w:tcW w:w="810" w:type="dxa"/>
            <w:shd w:val="clear" w:color="auto" w:fill="auto"/>
            <w:tcMar>
              <w:top w:w="100" w:type="dxa"/>
              <w:left w:w="100" w:type="dxa"/>
              <w:bottom w:w="100" w:type="dxa"/>
              <w:right w:w="100" w:type="dxa"/>
            </w:tcMar>
          </w:tcPr>
          <w:p w14:paraId="6DFBB8B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w:t>
            </w:r>
          </w:p>
          <w:p w14:paraId="6CE92E9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
        </w:tc>
        <w:tc>
          <w:tcPr>
            <w:tcW w:w="1005" w:type="dxa"/>
            <w:shd w:val="clear" w:color="auto" w:fill="auto"/>
            <w:tcMar>
              <w:top w:w="100" w:type="dxa"/>
              <w:left w:w="100" w:type="dxa"/>
              <w:bottom w:w="100" w:type="dxa"/>
              <w:right w:w="100" w:type="dxa"/>
            </w:tcMar>
          </w:tcPr>
          <w:p w14:paraId="48AE7F2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w:t>
            </w:r>
          </w:p>
          <w:p w14:paraId="6951AD19"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(ton/ha)</w:t>
            </w:r>
          </w:p>
        </w:tc>
        <w:tc>
          <w:tcPr>
            <w:tcW w:w="990" w:type="dxa"/>
            <w:shd w:val="clear" w:color="auto" w:fill="auto"/>
            <w:tcMar>
              <w:top w:w="100" w:type="dxa"/>
              <w:left w:w="100" w:type="dxa"/>
              <w:bottom w:w="100" w:type="dxa"/>
              <w:right w:w="100" w:type="dxa"/>
            </w:tcMar>
          </w:tcPr>
          <w:p w14:paraId="7D6A8A6B"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RD:RL</w:t>
            </w:r>
            <w:proofErr w:type="gramEnd"/>
          </w:p>
        </w:tc>
        <w:tc>
          <w:tcPr>
            <w:tcW w:w="1395" w:type="dxa"/>
            <w:shd w:val="clear" w:color="auto" w:fill="auto"/>
            <w:tcMar>
              <w:top w:w="100" w:type="dxa"/>
              <w:left w:w="100" w:type="dxa"/>
              <w:bottom w:w="100" w:type="dxa"/>
              <w:right w:w="100" w:type="dxa"/>
            </w:tcMar>
          </w:tcPr>
          <w:p w14:paraId="7B4D321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RDW:SDW</w:t>
            </w:r>
            <w:proofErr w:type="gramEnd"/>
          </w:p>
        </w:tc>
      </w:tr>
      <w:tr w:rsidR="000A335C" w14:paraId="2BBD8F4B" w14:textId="77777777">
        <w:tc>
          <w:tcPr>
            <w:tcW w:w="1425" w:type="dxa"/>
            <w:shd w:val="clear" w:color="auto" w:fill="auto"/>
            <w:tcMar>
              <w:top w:w="100" w:type="dxa"/>
              <w:left w:w="100" w:type="dxa"/>
              <w:bottom w:w="100" w:type="dxa"/>
              <w:right w:w="100" w:type="dxa"/>
            </w:tcMar>
          </w:tcPr>
          <w:p w14:paraId="1E43277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Moringa (M)</w:t>
            </w:r>
          </w:p>
        </w:tc>
        <w:tc>
          <w:tcPr>
            <w:tcW w:w="915" w:type="dxa"/>
            <w:shd w:val="clear" w:color="auto" w:fill="auto"/>
            <w:tcMar>
              <w:top w:w="100" w:type="dxa"/>
              <w:left w:w="100" w:type="dxa"/>
              <w:bottom w:w="100" w:type="dxa"/>
              <w:right w:w="100" w:type="dxa"/>
            </w:tcMar>
          </w:tcPr>
          <w:p w14:paraId="114DA7C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0.43c</w:t>
            </w:r>
          </w:p>
        </w:tc>
        <w:tc>
          <w:tcPr>
            <w:tcW w:w="1005" w:type="dxa"/>
            <w:shd w:val="clear" w:color="auto" w:fill="auto"/>
            <w:tcMar>
              <w:top w:w="100" w:type="dxa"/>
              <w:left w:w="100" w:type="dxa"/>
              <w:bottom w:w="100" w:type="dxa"/>
              <w:right w:w="100" w:type="dxa"/>
            </w:tcMar>
          </w:tcPr>
          <w:p w14:paraId="6B2AECF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0.0738c</w:t>
            </w:r>
          </w:p>
        </w:tc>
        <w:tc>
          <w:tcPr>
            <w:tcW w:w="855" w:type="dxa"/>
            <w:shd w:val="clear" w:color="auto" w:fill="auto"/>
            <w:tcMar>
              <w:top w:w="100" w:type="dxa"/>
              <w:left w:w="100" w:type="dxa"/>
              <w:bottom w:w="100" w:type="dxa"/>
              <w:right w:w="100" w:type="dxa"/>
            </w:tcMar>
          </w:tcPr>
          <w:p w14:paraId="68D2825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2.08c</w:t>
            </w:r>
          </w:p>
        </w:tc>
        <w:tc>
          <w:tcPr>
            <w:tcW w:w="1005" w:type="dxa"/>
            <w:shd w:val="clear" w:color="auto" w:fill="auto"/>
            <w:tcMar>
              <w:top w:w="100" w:type="dxa"/>
              <w:left w:w="100" w:type="dxa"/>
              <w:bottom w:w="100" w:type="dxa"/>
              <w:right w:w="100" w:type="dxa"/>
            </w:tcMar>
          </w:tcPr>
          <w:p w14:paraId="6EE0560B"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0.054b</w:t>
            </w:r>
          </w:p>
        </w:tc>
        <w:tc>
          <w:tcPr>
            <w:tcW w:w="780" w:type="dxa"/>
            <w:shd w:val="clear" w:color="auto" w:fill="auto"/>
            <w:tcMar>
              <w:top w:w="100" w:type="dxa"/>
              <w:left w:w="100" w:type="dxa"/>
              <w:bottom w:w="100" w:type="dxa"/>
              <w:right w:w="100" w:type="dxa"/>
            </w:tcMar>
          </w:tcPr>
          <w:p w14:paraId="2F51D48A"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16.7b</w:t>
            </w:r>
          </w:p>
        </w:tc>
        <w:tc>
          <w:tcPr>
            <w:tcW w:w="810" w:type="dxa"/>
            <w:shd w:val="clear" w:color="auto" w:fill="auto"/>
            <w:tcMar>
              <w:top w:w="100" w:type="dxa"/>
              <w:left w:w="100" w:type="dxa"/>
              <w:bottom w:w="100" w:type="dxa"/>
              <w:right w:w="100" w:type="dxa"/>
            </w:tcMar>
          </w:tcPr>
          <w:p w14:paraId="7153856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34.3c</w:t>
            </w:r>
          </w:p>
        </w:tc>
        <w:tc>
          <w:tcPr>
            <w:tcW w:w="1005" w:type="dxa"/>
            <w:shd w:val="clear" w:color="auto" w:fill="auto"/>
            <w:tcMar>
              <w:top w:w="100" w:type="dxa"/>
              <w:left w:w="100" w:type="dxa"/>
              <w:bottom w:w="100" w:type="dxa"/>
              <w:right w:w="100" w:type="dxa"/>
            </w:tcMar>
          </w:tcPr>
          <w:p w14:paraId="2C30AC8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6.38b</w:t>
            </w:r>
          </w:p>
        </w:tc>
        <w:tc>
          <w:tcPr>
            <w:tcW w:w="990" w:type="dxa"/>
            <w:shd w:val="clear" w:color="auto" w:fill="auto"/>
            <w:tcMar>
              <w:top w:w="100" w:type="dxa"/>
              <w:left w:w="100" w:type="dxa"/>
              <w:bottom w:w="100" w:type="dxa"/>
              <w:right w:w="100" w:type="dxa"/>
            </w:tcMar>
          </w:tcPr>
          <w:p w14:paraId="6256E226"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2.05a</w:t>
            </w:r>
          </w:p>
        </w:tc>
        <w:tc>
          <w:tcPr>
            <w:tcW w:w="1395" w:type="dxa"/>
            <w:shd w:val="clear" w:color="auto" w:fill="auto"/>
            <w:tcMar>
              <w:top w:w="100" w:type="dxa"/>
              <w:left w:w="100" w:type="dxa"/>
              <w:bottom w:w="100" w:type="dxa"/>
              <w:right w:w="100" w:type="dxa"/>
            </w:tcMar>
          </w:tcPr>
          <w:p w14:paraId="3A2EAD5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0.74b</w:t>
            </w:r>
          </w:p>
        </w:tc>
      </w:tr>
      <w:tr w:rsidR="000A335C" w14:paraId="17006404" w14:textId="77777777">
        <w:tc>
          <w:tcPr>
            <w:tcW w:w="1425" w:type="dxa"/>
            <w:shd w:val="clear" w:color="auto" w:fill="auto"/>
            <w:tcMar>
              <w:top w:w="100" w:type="dxa"/>
              <w:left w:w="100" w:type="dxa"/>
              <w:bottom w:w="100" w:type="dxa"/>
              <w:right w:w="100" w:type="dxa"/>
            </w:tcMar>
          </w:tcPr>
          <w:p w14:paraId="222F072A"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Tithonia (T)</w:t>
            </w:r>
          </w:p>
        </w:tc>
        <w:tc>
          <w:tcPr>
            <w:tcW w:w="915" w:type="dxa"/>
            <w:shd w:val="clear" w:color="auto" w:fill="auto"/>
            <w:tcMar>
              <w:top w:w="100" w:type="dxa"/>
              <w:left w:w="100" w:type="dxa"/>
              <w:bottom w:w="100" w:type="dxa"/>
              <w:right w:w="100" w:type="dxa"/>
            </w:tcMar>
          </w:tcPr>
          <w:p w14:paraId="0132A4B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0.32ab</w:t>
            </w:r>
          </w:p>
        </w:tc>
        <w:tc>
          <w:tcPr>
            <w:tcW w:w="1005" w:type="dxa"/>
            <w:shd w:val="clear" w:color="auto" w:fill="auto"/>
            <w:tcMar>
              <w:top w:w="100" w:type="dxa"/>
              <w:left w:w="100" w:type="dxa"/>
              <w:bottom w:w="100" w:type="dxa"/>
              <w:right w:w="100" w:type="dxa"/>
            </w:tcMar>
          </w:tcPr>
          <w:p w14:paraId="0EE5946A"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0.0734c</w:t>
            </w:r>
          </w:p>
        </w:tc>
        <w:tc>
          <w:tcPr>
            <w:tcW w:w="855" w:type="dxa"/>
            <w:shd w:val="clear" w:color="auto" w:fill="auto"/>
            <w:tcMar>
              <w:top w:w="100" w:type="dxa"/>
              <w:left w:w="100" w:type="dxa"/>
              <w:bottom w:w="100" w:type="dxa"/>
              <w:right w:w="100" w:type="dxa"/>
            </w:tcMar>
          </w:tcPr>
          <w:p w14:paraId="187B662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1.88b</w:t>
            </w:r>
          </w:p>
        </w:tc>
        <w:tc>
          <w:tcPr>
            <w:tcW w:w="1005" w:type="dxa"/>
            <w:shd w:val="clear" w:color="auto" w:fill="auto"/>
            <w:tcMar>
              <w:top w:w="100" w:type="dxa"/>
              <w:left w:w="100" w:type="dxa"/>
              <w:bottom w:w="100" w:type="dxa"/>
              <w:right w:w="100" w:type="dxa"/>
            </w:tcMar>
          </w:tcPr>
          <w:p w14:paraId="5109A0C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0.043a</w:t>
            </w:r>
          </w:p>
        </w:tc>
        <w:tc>
          <w:tcPr>
            <w:tcW w:w="780" w:type="dxa"/>
            <w:shd w:val="clear" w:color="auto" w:fill="auto"/>
            <w:tcMar>
              <w:top w:w="100" w:type="dxa"/>
              <w:left w:w="100" w:type="dxa"/>
              <w:bottom w:w="100" w:type="dxa"/>
              <w:right w:w="100" w:type="dxa"/>
            </w:tcMar>
          </w:tcPr>
          <w:p w14:paraId="79697E2A"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15.6a</w:t>
            </w:r>
          </w:p>
        </w:tc>
        <w:tc>
          <w:tcPr>
            <w:tcW w:w="810" w:type="dxa"/>
            <w:shd w:val="clear" w:color="auto" w:fill="auto"/>
            <w:tcMar>
              <w:top w:w="100" w:type="dxa"/>
              <w:left w:w="100" w:type="dxa"/>
              <w:bottom w:w="100" w:type="dxa"/>
              <w:right w:w="100" w:type="dxa"/>
            </w:tcMar>
          </w:tcPr>
          <w:p w14:paraId="5F1A1C9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31.5a</w:t>
            </w:r>
          </w:p>
        </w:tc>
        <w:tc>
          <w:tcPr>
            <w:tcW w:w="1005" w:type="dxa"/>
            <w:shd w:val="clear" w:color="auto" w:fill="auto"/>
            <w:tcMar>
              <w:top w:w="100" w:type="dxa"/>
              <w:left w:w="100" w:type="dxa"/>
              <w:bottom w:w="100" w:type="dxa"/>
              <w:right w:w="100" w:type="dxa"/>
            </w:tcMar>
          </w:tcPr>
          <w:p w14:paraId="07C8FA4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6.49b</w:t>
            </w:r>
          </w:p>
        </w:tc>
        <w:tc>
          <w:tcPr>
            <w:tcW w:w="990" w:type="dxa"/>
            <w:shd w:val="clear" w:color="auto" w:fill="auto"/>
            <w:tcMar>
              <w:top w:w="100" w:type="dxa"/>
              <w:left w:w="100" w:type="dxa"/>
              <w:bottom w:w="100" w:type="dxa"/>
              <w:right w:w="100" w:type="dxa"/>
            </w:tcMar>
          </w:tcPr>
          <w:p w14:paraId="4436023B"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2.02a</w:t>
            </w:r>
          </w:p>
        </w:tc>
        <w:tc>
          <w:tcPr>
            <w:tcW w:w="1395" w:type="dxa"/>
            <w:shd w:val="clear" w:color="auto" w:fill="auto"/>
            <w:tcMar>
              <w:top w:w="100" w:type="dxa"/>
              <w:left w:w="100" w:type="dxa"/>
              <w:bottom w:w="100" w:type="dxa"/>
              <w:right w:w="100" w:type="dxa"/>
            </w:tcMar>
          </w:tcPr>
          <w:p w14:paraId="6700711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0.58a</w:t>
            </w:r>
          </w:p>
        </w:tc>
      </w:tr>
      <w:tr w:rsidR="000A335C" w14:paraId="073CB060" w14:textId="77777777">
        <w:tc>
          <w:tcPr>
            <w:tcW w:w="1425" w:type="dxa"/>
            <w:shd w:val="clear" w:color="auto" w:fill="auto"/>
            <w:tcMar>
              <w:top w:w="100" w:type="dxa"/>
              <w:left w:w="100" w:type="dxa"/>
              <w:bottom w:w="100" w:type="dxa"/>
              <w:right w:w="100" w:type="dxa"/>
            </w:tcMar>
          </w:tcPr>
          <w:p w14:paraId="0509B84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Mix (M&amp;T)</w:t>
            </w:r>
          </w:p>
        </w:tc>
        <w:tc>
          <w:tcPr>
            <w:tcW w:w="915" w:type="dxa"/>
            <w:shd w:val="clear" w:color="auto" w:fill="auto"/>
            <w:tcMar>
              <w:top w:w="100" w:type="dxa"/>
              <w:left w:w="100" w:type="dxa"/>
              <w:bottom w:w="100" w:type="dxa"/>
              <w:right w:w="100" w:type="dxa"/>
            </w:tcMar>
          </w:tcPr>
          <w:p w14:paraId="60F073C8"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0.29a</w:t>
            </w:r>
          </w:p>
        </w:tc>
        <w:tc>
          <w:tcPr>
            <w:tcW w:w="1005" w:type="dxa"/>
            <w:shd w:val="clear" w:color="auto" w:fill="auto"/>
            <w:tcMar>
              <w:top w:w="100" w:type="dxa"/>
              <w:left w:w="100" w:type="dxa"/>
              <w:bottom w:w="100" w:type="dxa"/>
              <w:right w:w="100" w:type="dxa"/>
            </w:tcMar>
          </w:tcPr>
          <w:p w14:paraId="0396ABA2"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0.0448a</w:t>
            </w:r>
          </w:p>
        </w:tc>
        <w:tc>
          <w:tcPr>
            <w:tcW w:w="855" w:type="dxa"/>
            <w:shd w:val="clear" w:color="auto" w:fill="auto"/>
            <w:tcMar>
              <w:top w:w="100" w:type="dxa"/>
              <w:left w:w="100" w:type="dxa"/>
              <w:bottom w:w="100" w:type="dxa"/>
              <w:right w:w="100" w:type="dxa"/>
            </w:tcMar>
          </w:tcPr>
          <w:p w14:paraId="46430F8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1.66a</w:t>
            </w:r>
          </w:p>
        </w:tc>
        <w:tc>
          <w:tcPr>
            <w:tcW w:w="1005" w:type="dxa"/>
            <w:shd w:val="clear" w:color="auto" w:fill="auto"/>
            <w:tcMar>
              <w:top w:w="100" w:type="dxa"/>
              <w:left w:w="100" w:type="dxa"/>
              <w:bottom w:w="100" w:type="dxa"/>
              <w:right w:w="100" w:type="dxa"/>
            </w:tcMar>
          </w:tcPr>
          <w:p w14:paraId="15B6EE22"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0.042a</w:t>
            </w:r>
          </w:p>
        </w:tc>
        <w:tc>
          <w:tcPr>
            <w:tcW w:w="780" w:type="dxa"/>
            <w:shd w:val="clear" w:color="auto" w:fill="auto"/>
            <w:tcMar>
              <w:top w:w="100" w:type="dxa"/>
              <w:left w:w="100" w:type="dxa"/>
              <w:bottom w:w="100" w:type="dxa"/>
              <w:right w:w="100" w:type="dxa"/>
            </w:tcMar>
          </w:tcPr>
          <w:p w14:paraId="25DA4427"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15.4a</w:t>
            </w:r>
          </w:p>
        </w:tc>
        <w:tc>
          <w:tcPr>
            <w:tcW w:w="810" w:type="dxa"/>
            <w:shd w:val="clear" w:color="auto" w:fill="auto"/>
            <w:tcMar>
              <w:top w:w="100" w:type="dxa"/>
              <w:left w:w="100" w:type="dxa"/>
              <w:bottom w:w="100" w:type="dxa"/>
              <w:right w:w="100" w:type="dxa"/>
            </w:tcMar>
          </w:tcPr>
          <w:p w14:paraId="41754FAE"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32.3b</w:t>
            </w:r>
          </w:p>
        </w:tc>
        <w:tc>
          <w:tcPr>
            <w:tcW w:w="1005" w:type="dxa"/>
            <w:shd w:val="clear" w:color="auto" w:fill="auto"/>
            <w:tcMar>
              <w:top w:w="100" w:type="dxa"/>
              <w:left w:w="100" w:type="dxa"/>
              <w:bottom w:w="100" w:type="dxa"/>
              <w:right w:w="100" w:type="dxa"/>
            </w:tcMar>
          </w:tcPr>
          <w:p w14:paraId="4C7E92F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5.42a</w:t>
            </w:r>
          </w:p>
        </w:tc>
        <w:tc>
          <w:tcPr>
            <w:tcW w:w="990" w:type="dxa"/>
            <w:shd w:val="clear" w:color="auto" w:fill="auto"/>
            <w:tcMar>
              <w:top w:w="100" w:type="dxa"/>
              <w:left w:w="100" w:type="dxa"/>
              <w:bottom w:w="100" w:type="dxa"/>
              <w:right w:w="100" w:type="dxa"/>
            </w:tcMar>
          </w:tcPr>
          <w:p w14:paraId="2ED7DB07"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2.10b</w:t>
            </w:r>
          </w:p>
        </w:tc>
        <w:tc>
          <w:tcPr>
            <w:tcW w:w="1395" w:type="dxa"/>
            <w:shd w:val="clear" w:color="auto" w:fill="auto"/>
            <w:tcMar>
              <w:top w:w="100" w:type="dxa"/>
              <w:left w:w="100" w:type="dxa"/>
              <w:bottom w:w="100" w:type="dxa"/>
              <w:right w:w="100" w:type="dxa"/>
            </w:tcMar>
          </w:tcPr>
          <w:p w14:paraId="29FA6D37"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0.95c</w:t>
            </w:r>
          </w:p>
        </w:tc>
      </w:tr>
      <w:tr w:rsidR="000A335C" w14:paraId="657DAD7D" w14:textId="77777777">
        <w:tc>
          <w:tcPr>
            <w:tcW w:w="1425" w:type="dxa"/>
            <w:shd w:val="clear" w:color="auto" w:fill="auto"/>
            <w:tcMar>
              <w:top w:w="100" w:type="dxa"/>
              <w:left w:w="100" w:type="dxa"/>
              <w:bottom w:w="100" w:type="dxa"/>
              <w:right w:w="100" w:type="dxa"/>
            </w:tcMar>
          </w:tcPr>
          <w:p w14:paraId="3E46FAB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NPK+Urea+Urea</w:t>
            </w:r>
            <w:proofErr w:type="spellEnd"/>
          </w:p>
        </w:tc>
        <w:tc>
          <w:tcPr>
            <w:tcW w:w="915" w:type="dxa"/>
            <w:shd w:val="clear" w:color="auto" w:fill="auto"/>
            <w:tcMar>
              <w:top w:w="100" w:type="dxa"/>
              <w:left w:w="100" w:type="dxa"/>
              <w:bottom w:w="100" w:type="dxa"/>
              <w:right w:w="100" w:type="dxa"/>
            </w:tcMar>
          </w:tcPr>
          <w:p w14:paraId="440DF06A"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0.39ab</w:t>
            </w:r>
          </w:p>
        </w:tc>
        <w:tc>
          <w:tcPr>
            <w:tcW w:w="1005" w:type="dxa"/>
            <w:shd w:val="clear" w:color="auto" w:fill="auto"/>
            <w:tcMar>
              <w:top w:w="100" w:type="dxa"/>
              <w:left w:w="100" w:type="dxa"/>
              <w:bottom w:w="100" w:type="dxa"/>
              <w:right w:w="100" w:type="dxa"/>
            </w:tcMar>
          </w:tcPr>
          <w:p w14:paraId="65CCDE7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0.0544b</w:t>
            </w:r>
          </w:p>
        </w:tc>
        <w:tc>
          <w:tcPr>
            <w:tcW w:w="855" w:type="dxa"/>
            <w:shd w:val="clear" w:color="auto" w:fill="auto"/>
            <w:tcMar>
              <w:top w:w="100" w:type="dxa"/>
              <w:left w:w="100" w:type="dxa"/>
              <w:bottom w:w="100" w:type="dxa"/>
              <w:right w:w="100" w:type="dxa"/>
            </w:tcMar>
          </w:tcPr>
          <w:p w14:paraId="7F801BED"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2.39d</w:t>
            </w:r>
          </w:p>
        </w:tc>
        <w:tc>
          <w:tcPr>
            <w:tcW w:w="1005" w:type="dxa"/>
            <w:shd w:val="clear" w:color="auto" w:fill="auto"/>
            <w:tcMar>
              <w:top w:w="100" w:type="dxa"/>
              <w:left w:w="100" w:type="dxa"/>
              <w:bottom w:w="100" w:type="dxa"/>
              <w:right w:w="100" w:type="dxa"/>
            </w:tcMar>
          </w:tcPr>
          <w:p w14:paraId="70BC4DFA"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0.040a</w:t>
            </w:r>
          </w:p>
        </w:tc>
        <w:tc>
          <w:tcPr>
            <w:tcW w:w="780" w:type="dxa"/>
            <w:shd w:val="clear" w:color="auto" w:fill="auto"/>
            <w:tcMar>
              <w:top w:w="100" w:type="dxa"/>
              <w:left w:w="100" w:type="dxa"/>
              <w:bottom w:w="100" w:type="dxa"/>
              <w:right w:w="100" w:type="dxa"/>
            </w:tcMar>
          </w:tcPr>
          <w:p w14:paraId="03086BD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16.8b</w:t>
            </w:r>
          </w:p>
        </w:tc>
        <w:tc>
          <w:tcPr>
            <w:tcW w:w="810" w:type="dxa"/>
            <w:shd w:val="clear" w:color="auto" w:fill="auto"/>
            <w:tcMar>
              <w:top w:w="100" w:type="dxa"/>
              <w:left w:w="100" w:type="dxa"/>
              <w:bottom w:w="100" w:type="dxa"/>
              <w:right w:w="100" w:type="dxa"/>
            </w:tcMar>
          </w:tcPr>
          <w:p w14:paraId="751D6F2A"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36.3d</w:t>
            </w:r>
          </w:p>
        </w:tc>
        <w:tc>
          <w:tcPr>
            <w:tcW w:w="1005" w:type="dxa"/>
            <w:shd w:val="clear" w:color="auto" w:fill="auto"/>
            <w:tcMar>
              <w:top w:w="100" w:type="dxa"/>
              <w:left w:w="100" w:type="dxa"/>
              <w:bottom w:w="100" w:type="dxa"/>
              <w:right w:w="100" w:type="dxa"/>
            </w:tcMar>
          </w:tcPr>
          <w:p w14:paraId="053EA59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8.08c</w:t>
            </w:r>
          </w:p>
        </w:tc>
        <w:tc>
          <w:tcPr>
            <w:tcW w:w="990" w:type="dxa"/>
            <w:shd w:val="clear" w:color="auto" w:fill="auto"/>
            <w:tcMar>
              <w:top w:w="100" w:type="dxa"/>
              <w:left w:w="100" w:type="dxa"/>
              <w:bottom w:w="100" w:type="dxa"/>
              <w:right w:w="100" w:type="dxa"/>
            </w:tcMar>
          </w:tcPr>
          <w:p w14:paraId="4F631155" w14:textId="77777777" w:rsidR="000A335C" w:rsidRDefault="0073578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2.16c</w:t>
            </w:r>
          </w:p>
        </w:tc>
        <w:tc>
          <w:tcPr>
            <w:tcW w:w="1395" w:type="dxa"/>
            <w:shd w:val="clear" w:color="auto" w:fill="auto"/>
            <w:tcMar>
              <w:top w:w="100" w:type="dxa"/>
              <w:left w:w="100" w:type="dxa"/>
              <w:bottom w:w="100" w:type="dxa"/>
              <w:right w:w="100" w:type="dxa"/>
            </w:tcMar>
          </w:tcPr>
          <w:p w14:paraId="269CB94E"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0.80b</w:t>
            </w:r>
          </w:p>
        </w:tc>
      </w:tr>
      <w:tr w:rsidR="000A335C" w14:paraId="62ED050D" w14:textId="77777777">
        <w:tc>
          <w:tcPr>
            <w:tcW w:w="1425" w:type="dxa"/>
            <w:shd w:val="clear" w:color="auto" w:fill="auto"/>
            <w:tcMar>
              <w:top w:w="100" w:type="dxa"/>
              <w:left w:w="100" w:type="dxa"/>
              <w:bottom w:w="100" w:type="dxa"/>
              <w:right w:w="100" w:type="dxa"/>
            </w:tcMar>
          </w:tcPr>
          <w:p w14:paraId="2175918B"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Grand Mean</w:t>
            </w:r>
          </w:p>
        </w:tc>
        <w:tc>
          <w:tcPr>
            <w:tcW w:w="915" w:type="dxa"/>
            <w:shd w:val="clear" w:color="auto" w:fill="auto"/>
            <w:tcMar>
              <w:top w:w="100" w:type="dxa"/>
              <w:left w:w="100" w:type="dxa"/>
              <w:bottom w:w="100" w:type="dxa"/>
              <w:right w:w="100" w:type="dxa"/>
            </w:tcMar>
          </w:tcPr>
          <w:p w14:paraId="365D420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005" w:type="dxa"/>
            <w:shd w:val="clear" w:color="auto" w:fill="auto"/>
            <w:tcMar>
              <w:top w:w="100" w:type="dxa"/>
              <w:left w:w="100" w:type="dxa"/>
              <w:bottom w:w="100" w:type="dxa"/>
              <w:right w:w="100" w:type="dxa"/>
            </w:tcMar>
          </w:tcPr>
          <w:p w14:paraId="32BA2FA1" w14:textId="77777777" w:rsidR="000A335C" w:rsidRDefault="0073578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0.062</w:t>
            </w:r>
          </w:p>
        </w:tc>
        <w:tc>
          <w:tcPr>
            <w:tcW w:w="855" w:type="dxa"/>
            <w:shd w:val="clear" w:color="auto" w:fill="auto"/>
            <w:tcMar>
              <w:top w:w="100" w:type="dxa"/>
              <w:left w:w="100" w:type="dxa"/>
              <w:bottom w:w="100" w:type="dxa"/>
              <w:right w:w="100" w:type="dxa"/>
            </w:tcMar>
          </w:tcPr>
          <w:p w14:paraId="2BC1F25B"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005" w:type="dxa"/>
            <w:shd w:val="clear" w:color="auto" w:fill="auto"/>
            <w:tcMar>
              <w:top w:w="100" w:type="dxa"/>
              <w:left w:w="100" w:type="dxa"/>
              <w:bottom w:w="100" w:type="dxa"/>
              <w:right w:w="100" w:type="dxa"/>
            </w:tcMar>
          </w:tcPr>
          <w:p w14:paraId="4A7B4FB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0.046</w:t>
            </w:r>
          </w:p>
        </w:tc>
        <w:tc>
          <w:tcPr>
            <w:tcW w:w="780" w:type="dxa"/>
            <w:shd w:val="clear" w:color="auto" w:fill="auto"/>
            <w:tcMar>
              <w:top w:w="100" w:type="dxa"/>
              <w:left w:w="100" w:type="dxa"/>
              <w:bottom w:w="100" w:type="dxa"/>
              <w:right w:w="100" w:type="dxa"/>
            </w:tcMar>
          </w:tcPr>
          <w:p w14:paraId="77AF1F2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16.13</w:t>
            </w:r>
          </w:p>
        </w:tc>
        <w:tc>
          <w:tcPr>
            <w:tcW w:w="810" w:type="dxa"/>
            <w:shd w:val="clear" w:color="auto" w:fill="auto"/>
            <w:tcMar>
              <w:top w:w="100" w:type="dxa"/>
              <w:left w:w="100" w:type="dxa"/>
              <w:bottom w:w="100" w:type="dxa"/>
              <w:right w:w="100" w:type="dxa"/>
            </w:tcMar>
          </w:tcPr>
          <w:p w14:paraId="144C553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1005" w:type="dxa"/>
            <w:shd w:val="clear" w:color="auto" w:fill="auto"/>
            <w:tcMar>
              <w:top w:w="100" w:type="dxa"/>
              <w:left w:w="100" w:type="dxa"/>
              <w:bottom w:w="100" w:type="dxa"/>
              <w:right w:w="100" w:type="dxa"/>
            </w:tcMar>
          </w:tcPr>
          <w:p w14:paraId="4F6F1F7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w:t>
            </w:r>
          </w:p>
        </w:tc>
        <w:tc>
          <w:tcPr>
            <w:tcW w:w="990" w:type="dxa"/>
            <w:shd w:val="clear" w:color="auto" w:fill="auto"/>
            <w:tcMar>
              <w:top w:w="100" w:type="dxa"/>
              <w:left w:w="100" w:type="dxa"/>
              <w:bottom w:w="100" w:type="dxa"/>
              <w:right w:w="100" w:type="dxa"/>
            </w:tcMar>
          </w:tcPr>
          <w:p w14:paraId="7515E573"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395" w:type="dxa"/>
            <w:shd w:val="clear" w:color="auto" w:fill="auto"/>
            <w:tcMar>
              <w:top w:w="100" w:type="dxa"/>
              <w:left w:w="100" w:type="dxa"/>
              <w:bottom w:w="100" w:type="dxa"/>
              <w:right w:w="100" w:type="dxa"/>
            </w:tcMar>
          </w:tcPr>
          <w:p w14:paraId="64105DD8"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r>
      <w:tr w:rsidR="000A335C" w14:paraId="18F452A3" w14:textId="77777777">
        <w:tc>
          <w:tcPr>
            <w:tcW w:w="1425" w:type="dxa"/>
            <w:shd w:val="clear" w:color="auto" w:fill="auto"/>
            <w:tcMar>
              <w:top w:w="100" w:type="dxa"/>
              <w:left w:w="100" w:type="dxa"/>
              <w:bottom w:w="100" w:type="dxa"/>
              <w:right w:w="100" w:type="dxa"/>
            </w:tcMar>
          </w:tcPr>
          <w:p w14:paraId="39E7BEE8"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CV (%)</w:t>
            </w:r>
          </w:p>
        </w:tc>
        <w:tc>
          <w:tcPr>
            <w:tcW w:w="915" w:type="dxa"/>
            <w:shd w:val="clear" w:color="auto" w:fill="auto"/>
            <w:tcMar>
              <w:top w:w="100" w:type="dxa"/>
              <w:left w:w="100" w:type="dxa"/>
              <w:bottom w:w="100" w:type="dxa"/>
              <w:right w:w="100" w:type="dxa"/>
            </w:tcMar>
          </w:tcPr>
          <w:p w14:paraId="0A93957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005" w:type="dxa"/>
            <w:shd w:val="clear" w:color="auto" w:fill="auto"/>
            <w:tcMar>
              <w:top w:w="100" w:type="dxa"/>
              <w:left w:w="100" w:type="dxa"/>
              <w:bottom w:w="100" w:type="dxa"/>
              <w:right w:w="100" w:type="dxa"/>
            </w:tcMar>
          </w:tcPr>
          <w:p w14:paraId="5AD8A448"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855" w:type="dxa"/>
            <w:shd w:val="clear" w:color="auto" w:fill="auto"/>
            <w:tcMar>
              <w:top w:w="100" w:type="dxa"/>
              <w:left w:w="100" w:type="dxa"/>
              <w:bottom w:w="100" w:type="dxa"/>
              <w:right w:w="100" w:type="dxa"/>
            </w:tcMar>
          </w:tcPr>
          <w:p w14:paraId="442339A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1005" w:type="dxa"/>
            <w:shd w:val="clear" w:color="auto" w:fill="auto"/>
            <w:tcMar>
              <w:top w:w="100" w:type="dxa"/>
              <w:left w:w="100" w:type="dxa"/>
              <w:bottom w:w="100" w:type="dxa"/>
              <w:right w:w="100" w:type="dxa"/>
            </w:tcMar>
          </w:tcPr>
          <w:p w14:paraId="16674077"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w:t>
            </w:r>
          </w:p>
        </w:tc>
        <w:tc>
          <w:tcPr>
            <w:tcW w:w="780" w:type="dxa"/>
            <w:shd w:val="clear" w:color="auto" w:fill="auto"/>
            <w:tcMar>
              <w:top w:w="100" w:type="dxa"/>
              <w:left w:w="100" w:type="dxa"/>
              <w:bottom w:w="100" w:type="dxa"/>
              <w:right w:w="100" w:type="dxa"/>
            </w:tcMar>
          </w:tcPr>
          <w:p w14:paraId="1220E0B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0.94</w:t>
            </w:r>
          </w:p>
        </w:tc>
        <w:tc>
          <w:tcPr>
            <w:tcW w:w="810" w:type="dxa"/>
            <w:shd w:val="clear" w:color="auto" w:fill="auto"/>
            <w:tcMar>
              <w:top w:w="100" w:type="dxa"/>
              <w:left w:w="100" w:type="dxa"/>
              <w:bottom w:w="100" w:type="dxa"/>
              <w:right w:w="100" w:type="dxa"/>
            </w:tcMar>
          </w:tcPr>
          <w:p w14:paraId="1258700B"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005" w:type="dxa"/>
            <w:shd w:val="clear" w:color="auto" w:fill="auto"/>
            <w:tcMar>
              <w:top w:w="100" w:type="dxa"/>
              <w:left w:w="100" w:type="dxa"/>
              <w:bottom w:w="100" w:type="dxa"/>
              <w:right w:w="100" w:type="dxa"/>
            </w:tcMar>
          </w:tcPr>
          <w:p w14:paraId="65CF20FF"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990" w:type="dxa"/>
            <w:shd w:val="clear" w:color="auto" w:fill="auto"/>
            <w:tcMar>
              <w:top w:w="100" w:type="dxa"/>
              <w:left w:w="100" w:type="dxa"/>
              <w:bottom w:w="100" w:type="dxa"/>
              <w:right w:w="100" w:type="dxa"/>
            </w:tcMar>
          </w:tcPr>
          <w:p w14:paraId="5631D00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1395" w:type="dxa"/>
            <w:shd w:val="clear" w:color="auto" w:fill="auto"/>
            <w:tcMar>
              <w:top w:w="100" w:type="dxa"/>
              <w:left w:w="100" w:type="dxa"/>
              <w:bottom w:w="100" w:type="dxa"/>
              <w:right w:w="100" w:type="dxa"/>
            </w:tcMar>
          </w:tcPr>
          <w:p w14:paraId="5006338C"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w:t>
            </w:r>
          </w:p>
        </w:tc>
      </w:tr>
      <w:tr w:rsidR="000A335C" w14:paraId="279B7DD6" w14:textId="77777777">
        <w:tc>
          <w:tcPr>
            <w:tcW w:w="1425" w:type="dxa"/>
            <w:shd w:val="clear" w:color="auto" w:fill="auto"/>
            <w:tcMar>
              <w:top w:w="100" w:type="dxa"/>
              <w:left w:w="100" w:type="dxa"/>
              <w:bottom w:w="100" w:type="dxa"/>
              <w:right w:w="100" w:type="dxa"/>
            </w:tcMar>
          </w:tcPr>
          <w:p w14:paraId="7012E358"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LSD(</w:t>
            </w:r>
            <w:proofErr w:type="gramEnd"/>
            <w:r>
              <w:rPr>
                <w:rFonts w:ascii="Times New Roman" w:eastAsia="Times New Roman" w:hAnsi="Times New Roman" w:cs="Times New Roman"/>
                <w:sz w:val="24"/>
                <w:szCs w:val="24"/>
              </w:rPr>
              <w:t>5%)</w:t>
            </w:r>
          </w:p>
        </w:tc>
        <w:tc>
          <w:tcPr>
            <w:tcW w:w="915" w:type="dxa"/>
            <w:shd w:val="clear" w:color="auto" w:fill="auto"/>
            <w:tcMar>
              <w:top w:w="100" w:type="dxa"/>
              <w:left w:w="100" w:type="dxa"/>
              <w:bottom w:w="100" w:type="dxa"/>
              <w:right w:w="100" w:type="dxa"/>
            </w:tcMar>
          </w:tcPr>
          <w:p w14:paraId="1FA8A6A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0.012</w:t>
            </w:r>
          </w:p>
        </w:tc>
        <w:tc>
          <w:tcPr>
            <w:tcW w:w="1005" w:type="dxa"/>
            <w:shd w:val="clear" w:color="auto" w:fill="auto"/>
            <w:tcMar>
              <w:top w:w="100" w:type="dxa"/>
              <w:left w:w="100" w:type="dxa"/>
              <w:bottom w:w="100" w:type="dxa"/>
              <w:right w:w="100" w:type="dxa"/>
            </w:tcMar>
          </w:tcPr>
          <w:p w14:paraId="240DF59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c>
          <w:tcPr>
            <w:tcW w:w="855" w:type="dxa"/>
            <w:shd w:val="clear" w:color="auto" w:fill="auto"/>
            <w:tcMar>
              <w:top w:w="100" w:type="dxa"/>
              <w:left w:w="100" w:type="dxa"/>
              <w:bottom w:w="100" w:type="dxa"/>
              <w:right w:w="100" w:type="dxa"/>
            </w:tcMar>
          </w:tcPr>
          <w:p w14:paraId="46926530"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w:t>
            </w:r>
          </w:p>
        </w:tc>
        <w:tc>
          <w:tcPr>
            <w:tcW w:w="1005" w:type="dxa"/>
            <w:shd w:val="clear" w:color="auto" w:fill="auto"/>
            <w:tcMar>
              <w:top w:w="100" w:type="dxa"/>
              <w:left w:w="100" w:type="dxa"/>
              <w:bottom w:w="100" w:type="dxa"/>
              <w:right w:w="100" w:type="dxa"/>
            </w:tcMar>
          </w:tcPr>
          <w:p w14:paraId="7940AE09"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c>
          <w:tcPr>
            <w:tcW w:w="780" w:type="dxa"/>
            <w:shd w:val="clear" w:color="auto" w:fill="auto"/>
            <w:tcMar>
              <w:top w:w="100" w:type="dxa"/>
              <w:left w:w="100" w:type="dxa"/>
              <w:bottom w:w="100" w:type="dxa"/>
              <w:right w:w="100" w:type="dxa"/>
            </w:tcMar>
          </w:tcPr>
          <w:p w14:paraId="41619A09"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810" w:type="dxa"/>
            <w:shd w:val="clear" w:color="auto" w:fill="auto"/>
            <w:tcMar>
              <w:top w:w="100" w:type="dxa"/>
              <w:left w:w="100" w:type="dxa"/>
              <w:bottom w:w="100" w:type="dxa"/>
              <w:right w:w="100" w:type="dxa"/>
            </w:tcMar>
          </w:tcPr>
          <w:p w14:paraId="585F3465"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1005" w:type="dxa"/>
            <w:shd w:val="clear" w:color="auto" w:fill="auto"/>
            <w:tcMar>
              <w:top w:w="100" w:type="dxa"/>
              <w:left w:w="100" w:type="dxa"/>
              <w:bottom w:w="100" w:type="dxa"/>
              <w:right w:w="100" w:type="dxa"/>
            </w:tcMar>
          </w:tcPr>
          <w:p w14:paraId="5769DA76"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990" w:type="dxa"/>
            <w:shd w:val="clear" w:color="auto" w:fill="auto"/>
            <w:tcMar>
              <w:top w:w="100" w:type="dxa"/>
              <w:left w:w="100" w:type="dxa"/>
              <w:bottom w:w="100" w:type="dxa"/>
              <w:right w:w="100" w:type="dxa"/>
            </w:tcMar>
          </w:tcPr>
          <w:p w14:paraId="12EEBD8E"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395" w:type="dxa"/>
            <w:shd w:val="clear" w:color="auto" w:fill="auto"/>
            <w:tcMar>
              <w:top w:w="100" w:type="dxa"/>
              <w:left w:w="100" w:type="dxa"/>
              <w:bottom w:w="100" w:type="dxa"/>
              <w:right w:w="100" w:type="dxa"/>
            </w:tcMar>
          </w:tcPr>
          <w:p w14:paraId="6BEABE82" w14:textId="77777777" w:rsidR="000A335C" w:rsidRDefault="007357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bl>
    <w:p w14:paraId="133730EB" w14:textId="77777777" w:rsidR="000A335C" w:rsidRDefault="0073578C">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Values followed by the same letters within a column are not statistically different at p=0.05</w:t>
      </w:r>
    </w:p>
    <w:p w14:paraId="475C675C" w14:textId="77777777" w:rsidR="000A335C" w:rsidRDefault="0073578C">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3EF612E8"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investigated the influence of two botanical leaf extracts (</w:t>
      </w:r>
      <w:r>
        <w:rPr>
          <w:rFonts w:ascii="Times New Roman" w:eastAsia="Times New Roman" w:hAnsi="Times New Roman" w:cs="Times New Roman"/>
          <w:i/>
          <w:sz w:val="24"/>
          <w:szCs w:val="24"/>
        </w:rPr>
        <w:t xml:space="preserve">Moringa oleifera </w:t>
      </w:r>
      <w:proofErr w:type="gramStart"/>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i/>
          <w:sz w:val="24"/>
          <w:szCs w:val="24"/>
        </w:rPr>
        <w:t>Tithonia</w:t>
      </w:r>
      <w:proofErr w:type="spellEnd"/>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diversifolia</w:t>
      </w:r>
      <w:proofErr w:type="spellEnd"/>
      <w:r>
        <w:rPr>
          <w:rFonts w:ascii="Times New Roman" w:eastAsia="Times New Roman" w:hAnsi="Times New Roman" w:cs="Times New Roman"/>
          <w:sz w:val="24"/>
          <w:szCs w:val="24"/>
        </w:rPr>
        <w:t>, inorganic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and mixed organic mixture of moringa and tithonia) fertilization strategies on the growth, biomass allocation, root morphology, and yield of carrot (</w:t>
      </w:r>
      <w:r>
        <w:rPr>
          <w:rFonts w:ascii="Times New Roman" w:eastAsia="Times New Roman" w:hAnsi="Times New Roman" w:cs="Times New Roman"/>
          <w:i/>
          <w:sz w:val="24"/>
          <w:szCs w:val="24"/>
        </w:rPr>
        <w:t>Daucus carota</w:t>
      </w:r>
      <w:r>
        <w:rPr>
          <w:rFonts w:ascii="Times New Roman" w:eastAsia="Times New Roman" w:hAnsi="Times New Roman" w:cs="Times New Roman"/>
          <w:sz w:val="24"/>
          <w:szCs w:val="24"/>
        </w:rPr>
        <w:t xml:space="preserve"> L.). The differential responses observed across various parameters highlight the importanc</w:t>
      </w:r>
      <w:r>
        <w:rPr>
          <w:rFonts w:ascii="Times New Roman" w:eastAsia="Times New Roman" w:hAnsi="Times New Roman" w:cs="Times New Roman"/>
          <w:sz w:val="24"/>
          <w:szCs w:val="24"/>
        </w:rPr>
        <w:t>e of nutrient source selection in optimizing carrot production systems.</w:t>
      </w:r>
    </w:p>
    <w:p w14:paraId="014029FF"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Vegetative Growth Parameters The initial phases of vegetative growth, including Leaf Area Index (LAI), plant height, and leaf number, did not exhibit significant differences across tre</w:t>
      </w:r>
      <w:r>
        <w:rPr>
          <w:rFonts w:ascii="Times New Roman" w:eastAsia="Times New Roman" w:hAnsi="Times New Roman" w:cs="Times New Roman"/>
          <w:sz w:val="24"/>
          <w:szCs w:val="24"/>
        </w:rPr>
        <w:t xml:space="preserve">atments. This suggests that early canopy development in carrots might be less sensitive to distinct fertilizer types when basic nutrient availability is met by soil supplied nutrients. While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moringa+tithonia</w:t>
      </w:r>
      <w:proofErr w:type="spellEnd"/>
      <w:r>
        <w:rPr>
          <w:rFonts w:ascii="Times New Roman" w:eastAsia="Times New Roman" w:hAnsi="Times New Roman" w:cs="Times New Roman"/>
          <w:sz w:val="24"/>
          <w:szCs w:val="24"/>
        </w:rPr>
        <w:t xml:space="preserve"> extract treatments numerically </w:t>
      </w:r>
      <w:r>
        <w:rPr>
          <w:rFonts w:ascii="Times New Roman" w:eastAsia="Times New Roman" w:hAnsi="Times New Roman" w:cs="Times New Roman"/>
          <w:sz w:val="24"/>
          <w:szCs w:val="24"/>
        </w:rPr>
        <w:t xml:space="preserve">presented higher LAI </w:t>
      </w:r>
      <w:proofErr w:type="gramStart"/>
      <w:r>
        <w:rPr>
          <w:rFonts w:ascii="Times New Roman" w:eastAsia="Times New Roman" w:hAnsi="Times New Roman" w:cs="Times New Roman"/>
          <w:sz w:val="24"/>
          <w:szCs w:val="24"/>
        </w:rPr>
        <w:t>values  compared</w:t>
      </w:r>
      <w:proofErr w:type="gramEnd"/>
      <w:r>
        <w:rPr>
          <w:rFonts w:ascii="Times New Roman" w:eastAsia="Times New Roman" w:hAnsi="Times New Roman" w:cs="Times New Roman"/>
          <w:sz w:val="24"/>
          <w:szCs w:val="24"/>
        </w:rPr>
        <w:t xml:space="preserve"> to tithonia, these differences did not translate into statistically significant canopy size variations, a phenomenon also noted in other carrot trials with organic amendments where initial growth parity was observed de</w:t>
      </w:r>
      <w:r>
        <w:rPr>
          <w:rFonts w:ascii="Times New Roman" w:eastAsia="Times New Roman" w:hAnsi="Times New Roman" w:cs="Times New Roman"/>
          <w:sz w:val="24"/>
          <w:szCs w:val="24"/>
        </w:rPr>
        <w:t>spite varying nutrient sources (El-Sayed et al, 2022). This indicates that the inherent growth vigor of ‘Nantes’ carrot or the baseline soil fertility of the experimental site may have buffered against immediate observable differences in vegetative paramet</w:t>
      </w:r>
      <w:r>
        <w:rPr>
          <w:rFonts w:ascii="Times New Roman" w:eastAsia="Times New Roman" w:hAnsi="Times New Roman" w:cs="Times New Roman"/>
          <w:sz w:val="24"/>
          <w:szCs w:val="24"/>
        </w:rPr>
        <w:t>ers.</w:t>
      </w:r>
    </w:p>
    <w:p w14:paraId="1597DBB4"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Biomass Allocation Patterns:</w:t>
      </w:r>
      <w:r>
        <w:rPr>
          <w:rFonts w:ascii="Times New Roman" w:eastAsia="Times New Roman" w:hAnsi="Times New Roman" w:cs="Times New Roman"/>
          <w:sz w:val="24"/>
          <w:szCs w:val="24"/>
        </w:rPr>
        <w:t xml:space="preserve"> Despite the lack of early vegetative differences, significant variations emerged in biomass accumulation. Moringa-treated plants exhibited superior fresh shoot weight compared to </w:t>
      </w:r>
      <w:proofErr w:type="gramStart"/>
      <w:r>
        <w:rPr>
          <w:rFonts w:ascii="Times New Roman" w:eastAsia="Times New Roman" w:hAnsi="Times New Roman" w:cs="Times New Roman"/>
          <w:sz w:val="24"/>
          <w:szCs w:val="24"/>
        </w:rPr>
        <w:t>MIX  and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This finding aligns with</w:t>
      </w:r>
      <w:r>
        <w:rPr>
          <w:rFonts w:ascii="Times New Roman" w:eastAsia="Times New Roman" w:hAnsi="Times New Roman" w:cs="Times New Roman"/>
          <w:sz w:val="24"/>
          <w:szCs w:val="24"/>
        </w:rPr>
        <w:t xml:space="preserve"> previous research highlighting the beneficial effects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on foliar growth, often attributed to its rich content of phytohormones, such as cytokinin-like compounds, and micronutrients (El-Sayed et al, 2022). Conversely,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fertilizat</w:t>
      </w:r>
      <w:r>
        <w:rPr>
          <w:rFonts w:ascii="Times New Roman" w:eastAsia="Times New Roman" w:hAnsi="Times New Roman" w:cs="Times New Roman"/>
          <w:sz w:val="24"/>
          <w:szCs w:val="24"/>
        </w:rPr>
        <w:t xml:space="preserve">ion clearly dominated in terms of fresh root weight, surpassing all other treatments. This underscores carrots' well-documented strong responsiveness to readily available synthetic nutrients, particularly nitrogen and </w:t>
      </w:r>
      <w:r>
        <w:rPr>
          <w:rFonts w:ascii="Times New Roman" w:eastAsia="Times New Roman" w:hAnsi="Times New Roman" w:cs="Times New Roman"/>
          <w:sz w:val="24"/>
          <w:szCs w:val="24"/>
        </w:rPr>
        <w:lastRenderedPageBreak/>
        <w:t>phosphorus, during the critical root t</w:t>
      </w:r>
      <w:r>
        <w:rPr>
          <w:rFonts w:ascii="Times New Roman" w:eastAsia="Times New Roman" w:hAnsi="Times New Roman" w:cs="Times New Roman"/>
          <w:sz w:val="24"/>
          <w:szCs w:val="24"/>
        </w:rPr>
        <w:t>uberization phase (Babul et al, 2025). This rapid availability allows for efficient nutrient uptake and allocation to the developing storage root.</w:t>
      </w:r>
    </w:p>
    <w:p w14:paraId="7DD4477A"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w:t>
      </w:r>
      <w:proofErr w:type="spellStart"/>
      <w:r>
        <w:rPr>
          <w:rFonts w:ascii="Times New Roman" w:eastAsia="Times New Roman" w:hAnsi="Times New Roman" w:cs="Times New Roman"/>
          <w:sz w:val="24"/>
          <w:szCs w:val="24"/>
        </w:rPr>
        <w:t>NPK+Urea's</w:t>
      </w:r>
      <w:proofErr w:type="spellEnd"/>
      <w:r>
        <w:rPr>
          <w:rFonts w:ascii="Times New Roman" w:eastAsia="Times New Roman" w:hAnsi="Times New Roman" w:cs="Times New Roman"/>
          <w:sz w:val="24"/>
          <w:szCs w:val="24"/>
        </w:rPr>
        <w:t xml:space="preserve"> highest rank in fresh root weight, moringa's performance in root dry weight was statistica</w:t>
      </w:r>
      <w:r>
        <w:rPr>
          <w:rFonts w:ascii="Times New Roman" w:eastAsia="Times New Roman" w:hAnsi="Times New Roman" w:cs="Times New Roman"/>
          <w:sz w:val="24"/>
          <w:szCs w:val="24"/>
        </w:rPr>
        <w:t xml:space="preserve">lly comparable to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and significantly higher than MIX and Tithonia. This indicates that while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promoted greater water uptake leading to higher fresh weight, moringa's organic nutrients were highly effective in sustaining actual dry matter ac</w:t>
      </w:r>
      <w:r>
        <w:rPr>
          <w:rFonts w:ascii="Times New Roman" w:eastAsia="Times New Roman" w:hAnsi="Times New Roman" w:cs="Times New Roman"/>
          <w:sz w:val="24"/>
          <w:szCs w:val="24"/>
        </w:rPr>
        <w:t>cumulation in the roots, a crucial advantage for organic carrot production where nutrient forms might be expected to influence dry matter content more directly. Furthermore, both moringa and tithonia significantly enhanced leaf dry weight, exceeding both M</w:t>
      </w:r>
      <w:r>
        <w:rPr>
          <w:rFonts w:ascii="Times New Roman" w:eastAsia="Times New Roman" w:hAnsi="Times New Roman" w:cs="Times New Roman"/>
          <w:sz w:val="24"/>
          <w:szCs w:val="24"/>
        </w:rPr>
        <w:t xml:space="preserve">IX and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This indicates that the botanical extracts were highly effective in promoting photosynthetic biomass development, which is essential for overall plant productivity. These findings are well aligned with those of Sunusi et al (2025) as well </w:t>
      </w:r>
      <w:r>
        <w:rPr>
          <w:rFonts w:ascii="Times New Roman" w:eastAsia="Times New Roman" w:hAnsi="Times New Roman" w:cs="Times New Roman"/>
          <w:sz w:val="24"/>
          <w:szCs w:val="24"/>
        </w:rPr>
        <w:t>as Farni et al, (2022) who established biomass yield increases in cucumber and maize respectively</w:t>
      </w:r>
    </w:p>
    <w:p w14:paraId="53C71CC6"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Root Architecture and Yield Determinants</w:t>
      </w:r>
      <w:r>
        <w:rPr>
          <w:rFonts w:ascii="Gungsuh" w:eastAsia="Gungsuh" w:hAnsi="Gungsuh" w:cs="Gungsuh"/>
          <w:sz w:val="24"/>
          <w:szCs w:val="24"/>
        </w:rPr>
        <w:t>: The impact of fertilizer treatments on root morphology was pronounced and directly translated into yield outcomes. F</w:t>
      </w:r>
      <w:r>
        <w:rPr>
          <w:rFonts w:ascii="Gungsuh" w:eastAsia="Gungsuh" w:hAnsi="Gungsuh" w:cs="Gungsuh"/>
          <w:sz w:val="24"/>
          <w:szCs w:val="24"/>
        </w:rPr>
        <w:t xml:space="preserve">or root length (R.L), </w:t>
      </w:r>
      <w:proofErr w:type="spellStart"/>
      <w:r>
        <w:rPr>
          <w:rFonts w:ascii="Gungsuh" w:eastAsia="Gungsuh" w:hAnsi="Gungsuh" w:cs="Gungsuh"/>
          <w:sz w:val="24"/>
          <w:szCs w:val="24"/>
        </w:rPr>
        <w:t>NPK+Urea</w:t>
      </w:r>
      <w:proofErr w:type="spellEnd"/>
      <w:r>
        <w:rPr>
          <w:rFonts w:ascii="Gungsuh" w:eastAsia="Gungsuh" w:hAnsi="Gungsuh" w:cs="Gungsuh"/>
          <w:sz w:val="24"/>
          <w:szCs w:val="24"/>
        </w:rPr>
        <w:t xml:space="preserve"> and Moringa performed comparably, both significantly surpassing MIX and Tithonia. This suggests that both conventional </w:t>
      </w:r>
      <w:proofErr w:type="spellStart"/>
      <w:r>
        <w:rPr>
          <w:rFonts w:ascii="Gungsuh" w:eastAsia="Gungsuh" w:hAnsi="Gungsuh" w:cs="Gungsuh"/>
          <w:sz w:val="24"/>
          <w:szCs w:val="24"/>
        </w:rPr>
        <w:t>NPK+Urea</w:t>
      </w:r>
      <w:proofErr w:type="spellEnd"/>
      <w:r>
        <w:rPr>
          <w:rFonts w:ascii="Gungsuh" w:eastAsia="Gungsuh" w:hAnsi="Gungsuh" w:cs="Gungsuh"/>
          <w:sz w:val="24"/>
          <w:szCs w:val="24"/>
        </w:rPr>
        <w:t xml:space="preserve"> and organic Moringa provided conditions conducive to root elongation, potentially through enhance</w:t>
      </w:r>
      <w:r>
        <w:rPr>
          <w:rFonts w:ascii="Gungsuh" w:eastAsia="Gungsuh" w:hAnsi="Gungsuh" w:cs="Gungsuh"/>
          <w:sz w:val="24"/>
          <w:szCs w:val="24"/>
        </w:rPr>
        <w:t xml:space="preserve">d phosphorus and potassium availability and efficient utilization. Root diameter (R.D) followed a clear hierarchy: </w:t>
      </w:r>
      <w:proofErr w:type="spellStart"/>
      <w:r>
        <w:rPr>
          <w:rFonts w:ascii="Gungsuh" w:eastAsia="Gungsuh" w:hAnsi="Gungsuh" w:cs="Gungsuh"/>
          <w:sz w:val="24"/>
          <w:szCs w:val="24"/>
        </w:rPr>
        <w:t>NPK+Urea</w:t>
      </w:r>
      <w:proofErr w:type="spellEnd"/>
      <w:r>
        <w:rPr>
          <w:rFonts w:ascii="Gungsuh" w:eastAsia="Gungsuh" w:hAnsi="Gungsuh" w:cs="Gungsuh"/>
          <w:sz w:val="24"/>
          <w:szCs w:val="24"/>
        </w:rPr>
        <w:t xml:space="preserve"> (36.3 mm) &gt; Moringa (34.3 mm) &gt; MIX (32.3 mm) &gt; Tithonia (31.5 mm), with all pairwise comparisons being statistically significant (p</w:t>
      </w:r>
      <w:r>
        <w:rPr>
          <w:rFonts w:ascii="Gungsuh" w:eastAsia="Gungsuh" w:hAnsi="Gungsuh" w:cs="Gungsuh"/>
          <w:sz w:val="24"/>
          <w:szCs w:val="24"/>
        </w:rPr>
        <w:t xml:space="preserve">≤0.003). This strong response in radial root expansion to </w:t>
      </w:r>
      <w:proofErr w:type="spellStart"/>
      <w:r>
        <w:rPr>
          <w:rFonts w:ascii="Gungsuh" w:eastAsia="Gungsuh" w:hAnsi="Gungsuh" w:cs="Gungsuh"/>
          <w:sz w:val="24"/>
          <w:szCs w:val="24"/>
        </w:rPr>
        <w:t>NPK+Urea</w:t>
      </w:r>
      <w:proofErr w:type="spellEnd"/>
      <w:r>
        <w:rPr>
          <w:rFonts w:ascii="Gungsuh" w:eastAsia="Gungsuh" w:hAnsi="Gungsuh" w:cs="Gungsuh"/>
          <w:sz w:val="24"/>
          <w:szCs w:val="24"/>
        </w:rPr>
        <w:t>, and subsequently to Moringa, mirrors carrot's known plasticity in response to optimal nutrient availability, especially potassium (Musana et al, 2025: Amartey et al, 2025).</w:t>
      </w:r>
    </w:p>
    <w:p w14:paraId="18A7CD7F"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morphological advantages directly influenced total yield.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delivered the highest total yield (8.08 t/ha), significantly surpassing all organic treatments (Moringa: 6.38 t/ha; Tithonia: 6.49 t/ha; MIX: 5.42 t/ha; all p&lt;0.001). While </w:t>
      </w:r>
      <w:proofErr w:type="spellStart"/>
      <w:r>
        <w:rPr>
          <w:rFonts w:ascii="Times New Roman" w:eastAsia="Times New Roman" w:hAnsi="Times New Roman" w:cs="Times New Roman"/>
          <w:sz w:val="24"/>
          <w:szCs w:val="24"/>
        </w:rPr>
        <w:t>NPK+Urea's</w:t>
      </w:r>
      <w:proofErr w:type="spellEnd"/>
      <w:r>
        <w:rPr>
          <w:rFonts w:ascii="Times New Roman" w:eastAsia="Times New Roman" w:hAnsi="Times New Roman" w:cs="Times New Roman"/>
          <w:sz w:val="24"/>
          <w:szCs w:val="24"/>
        </w:rPr>
        <w:t xml:space="preserve"> superior yield aligns with its rapid and precise nutrient delivery for high-demand crops, the comparable performance of Moringa and Tithonia suggests their viability as competitive organic alternatives. Moringa, in particular, demonstrated strong potentia</w:t>
      </w:r>
      <w:r>
        <w:rPr>
          <w:rFonts w:ascii="Times New Roman" w:eastAsia="Times New Roman" w:hAnsi="Times New Roman" w:cs="Times New Roman"/>
          <w:sz w:val="24"/>
          <w:szCs w:val="24"/>
        </w:rPr>
        <w:t>l, achieving a yield statistically similar to Tithonia and significantly higher than the MIX treatment, highlighting its efficacy in enhancing key yield components.</w:t>
      </w:r>
    </w:p>
    <w:p w14:paraId="78833462"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Biomass Allocation Ratios:</w:t>
      </w:r>
      <w:r>
        <w:rPr>
          <w:rFonts w:ascii="Times New Roman" w:eastAsia="Times New Roman" w:hAnsi="Times New Roman" w:cs="Times New Roman"/>
          <w:sz w:val="24"/>
          <w:szCs w:val="24"/>
        </w:rPr>
        <w:t xml:space="preserve"> The analysis of physiological ratios provided further insights i</w:t>
      </w:r>
      <w:r>
        <w:rPr>
          <w:rFonts w:ascii="Times New Roman" w:eastAsia="Times New Roman" w:hAnsi="Times New Roman" w:cs="Times New Roman"/>
          <w:sz w:val="24"/>
          <w:szCs w:val="24"/>
        </w:rPr>
        <w:t xml:space="preserve">nto how carrots allocate resources under different fertilization regimes. The root diameter-to-length ratio was significantly affected, with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(2.16) &gt; MIX (2.10) &gt; Moringa (2.05) &gt; Tithonia (2.02). This indicates that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promoted thicker, tho</w:t>
      </w:r>
      <w:r>
        <w:rPr>
          <w:rFonts w:ascii="Times New Roman" w:eastAsia="Times New Roman" w:hAnsi="Times New Roman" w:cs="Times New Roman"/>
          <w:sz w:val="24"/>
          <w:szCs w:val="24"/>
        </w:rPr>
        <w:t>ugh not necessarily longer, roots relative to their length, a trait often desired for marketability.</w:t>
      </w:r>
    </w:p>
    <w:p w14:paraId="5C7D9D18"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root-to-shoot dry weight ratio (RDW/LDW) also revealed distinct resource allocation strategies among the treatments (F=34.93, p&lt;.001).</w:t>
      </w:r>
    </w:p>
    <w:p w14:paraId="5A00878C" w14:textId="77777777" w:rsidR="000A335C" w:rsidRDefault="0073578C">
      <w:pPr>
        <w:numPr>
          <w:ilvl w:val="0"/>
          <w:numId w:val="2"/>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Tithonia </w:t>
      </w:r>
      <w:r>
        <w:rPr>
          <w:rFonts w:ascii="Times New Roman" w:eastAsia="Times New Roman" w:hAnsi="Times New Roman" w:cs="Times New Roman"/>
          <w:b/>
          <w:sz w:val="24"/>
          <w:szCs w:val="24"/>
        </w:rPr>
        <w:t>(0.580a):</w:t>
      </w:r>
      <w:r>
        <w:rPr>
          <w:rFonts w:ascii="Times New Roman" w:eastAsia="Times New Roman" w:hAnsi="Times New Roman" w:cs="Times New Roman"/>
          <w:sz w:val="24"/>
          <w:szCs w:val="24"/>
        </w:rPr>
        <w:t xml:space="preserve"> Exhibited the lowest RDW/LDW ratio, statistically distinct from all other treatments. This suggests a preferential allocation of dry matter towards shoot growth (leaves) rather than roots. This finding aligns with the common use of </w:t>
      </w:r>
      <w:proofErr w:type="spellStart"/>
      <w:r>
        <w:rPr>
          <w:rFonts w:ascii="Times New Roman" w:eastAsia="Times New Roman" w:hAnsi="Times New Roman" w:cs="Times New Roman"/>
          <w:i/>
          <w:sz w:val="24"/>
          <w:szCs w:val="24"/>
        </w:rPr>
        <w:t>Tithonia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diver</w:t>
      </w:r>
      <w:r>
        <w:rPr>
          <w:rFonts w:ascii="Times New Roman" w:eastAsia="Times New Roman" w:hAnsi="Times New Roman" w:cs="Times New Roman"/>
          <w:i/>
          <w:sz w:val="24"/>
          <w:szCs w:val="24"/>
        </w:rPr>
        <w:t>sifolia</w:t>
      </w:r>
      <w:proofErr w:type="spellEnd"/>
      <w:r>
        <w:rPr>
          <w:rFonts w:ascii="Times New Roman" w:eastAsia="Times New Roman" w:hAnsi="Times New Roman" w:cs="Times New Roman"/>
          <w:sz w:val="24"/>
          <w:szCs w:val="24"/>
        </w:rPr>
        <w:t xml:space="preserve"> as a green manure or mulch, where its rapid decomposition and nutrient release might favor initial vegetative vigor and leaf development (</w:t>
      </w:r>
      <w:proofErr w:type="spellStart"/>
      <w:r>
        <w:rPr>
          <w:rFonts w:ascii="Times New Roman" w:eastAsia="Times New Roman" w:hAnsi="Times New Roman" w:cs="Times New Roman"/>
          <w:color w:val="222222"/>
          <w:sz w:val="24"/>
          <w:szCs w:val="24"/>
          <w:highlight w:val="white"/>
        </w:rPr>
        <w:t>Abeyrathne</w:t>
      </w:r>
      <w:proofErr w:type="spellEnd"/>
      <w:r>
        <w:rPr>
          <w:rFonts w:ascii="Times New Roman" w:eastAsia="Times New Roman" w:hAnsi="Times New Roman" w:cs="Times New Roman"/>
          <w:color w:val="222222"/>
          <w:sz w:val="24"/>
          <w:szCs w:val="24"/>
          <w:highlight w:val="white"/>
        </w:rPr>
        <w:t xml:space="preserve"> et al, 2021</w:t>
      </w:r>
      <w:r>
        <w:rPr>
          <w:rFonts w:ascii="Times New Roman" w:eastAsia="Times New Roman" w:hAnsi="Times New Roman" w:cs="Times New Roman"/>
          <w:sz w:val="24"/>
          <w:szCs w:val="24"/>
        </w:rPr>
        <w:t>). For a root crop like carrot, this lower root dry matter partitioning relative to shoo</w:t>
      </w:r>
      <w:r>
        <w:rPr>
          <w:rFonts w:ascii="Times New Roman" w:eastAsia="Times New Roman" w:hAnsi="Times New Roman" w:cs="Times New Roman"/>
          <w:sz w:val="24"/>
          <w:szCs w:val="24"/>
        </w:rPr>
        <w:t>t could imply a less efficient conversion of photosynthetic products into marketable root biomass.</w:t>
      </w:r>
    </w:p>
    <w:p w14:paraId="615CD9ED" w14:textId="77777777" w:rsidR="000A335C" w:rsidRDefault="0073578C">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Moringa (0.735b) and </w:t>
      </w:r>
      <w:proofErr w:type="spellStart"/>
      <w:r>
        <w:rPr>
          <w:rFonts w:ascii="Times New Roman" w:eastAsia="Times New Roman" w:hAnsi="Times New Roman" w:cs="Times New Roman"/>
          <w:b/>
          <w:sz w:val="24"/>
          <w:szCs w:val="24"/>
        </w:rPr>
        <w:t>NPK+Urea</w:t>
      </w:r>
      <w:proofErr w:type="spellEnd"/>
      <w:r>
        <w:rPr>
          <w:rFonts w:ascii="Times New Roman" w:eastAsia="Times New Roman" w:hAnsi="Times New Roman" w:cs="Times New Roman"/>
          <w:b/>
          <w:sz w:val="24"/>
          <w:szCs w:val="24"/>
        </w:rPr>
        <w:t xml:space="preserve"> (0.803b)</w:t>
      </w:r>
      <w:r>
        <w:rPr>
          <w:rFonts w:ascii="Times New Roman" w:eastAsia="Times New Roman" w:hAnsi="Times New Roman" w:cs="Times New Roman"/>
          <w:sz w:val="24"/>
          <w:szCs w:val="24"/>
        </w:rPr>
        <w:t xml:space="preserve">: Formed an intermediate group that was not statistically different from each other. While numerically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had a s</w:t>
      </w:r>
      <w:r>
        <w:rPr>
          <w:rFonts w:ascii="Times New Roman" w:eastAsia="Times New Roman" w:hAnsi="Times New Roman" w:cs="Times New Roman"/>
          <w:sz w:val="24"/>
          <w:szCs w:val="24"/>
        </w:rPr>
        <w:t>lightly higher ratio, their statistical similarity indicates that both treatments fostered a comparable balance between root and shoot dry matter partitioning. This is a crucial finding, suggesting that Moringa leaf extract, an organic amendment, can mimic</w:t>
      </w:r>
      <w:r>
        <w:rPr>
          <w:rFonts w:ascii="Times New Roman" w:eastAsia="Times New Roman" w:hAnsi="Times New Roman" w:cs="Times New Roman"/>
          <w:sz w:val="24"/>
          <w:szCs w:val="24"/>
        </w:rPr>
        <w:t xml:space="preserve"> the balanced biomass allocation promoted by conventional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fertilizer, which is generally considered optimal for dual-purpose crops or root crops where both shoot and root development are important. This result is well aligned with that obtained by</w:t>
      </w:r>
      <w:r>
        <w:rPr>
          <w:rFonts w:ascii="Times New Roman" w:eastAsia="Times New Roman" w:hAnsi="Times New Roman" w:cs="Times New Roman"/>
          <w:sz w:val="24"/>
          <w:szCs w:val="24"/>
        </w:rPr>
        <w:t xml:space="preserve"> Islam </w:t>
      </w:r>
      <w:proofErr w:type="gramStart"/>
      <w:r>
        <w:rPr>
          <w:rFonts w:ascii="Times New Roman" w:eastAsia="Times New Roman" w:hAnsi="Times New Roman" w:cs="Times New Roman"/>
          <w:sz w:val="24"/>
          <w:szCs w:val="24"/>
        </w:rPr>
        <w:t>et al.,(</w:t>
      </w:r>
      <w:proofErr w:type="gramEnd"/>
      <w:r>
        <w:rPr>
          <w:rFonts w:ascii="Times New Roman" w:eastAsia="Times New Roman" w:hAnsi="Times New Roman" w:cs="Times New Roman"/>
          <w:sz w:val="24"/>
          <w:szCs w:val="24"/>
        </w:rPr>
        <w:t xml:space="preserve">2021) and </w:t>
      </w:r>
      <w:proofErr w:type="spellStart"/>
      <w:r>
        <w:rPr>
          <w:rFonts w:ascii="Times New Roman" w:eastAsia="Times New Roman" w:hAnsi="Times New Roman" w:cs="Times New Roman"/>
          <w:sz w:val="24"/>
          <w:szCs w:val="24"/>
        </w:rPr>
        <w:t>Harque</w:t>
      </w:r>
      <w:proofErr w:type="spellEnd"/>
      <w:r>
        <w:rPr>
          <w:rFonts w:ascii="Times New Roman" w:eastAsia="Times New Roman" w:hAnsi="Times New Roman" w:cs="Times New Roman"/>
          <w:sz w:val="24"/>
          <w:szCs w:val="24"/>
        </w:rPr>
        <w:t xml:space="preserve"> et al, (2025) who established synergistic dynamics between organic and inorganic nutrient sources in chili and radish.</w:t>
      </w:r>
    </w:p>
    <w:p w14:paraId="422151A8" w14:textId="77777777" w:rsidR="000A335C" w:rsidRDefault="0073578C">
      <w:pPr>
        <w:numPr>
          <w:ilvl w:val="0"/>
          <w:numId w:val="2"/>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MIX (0.947c):</w:t>
      </w:r>
      <w:r>
        <w:rPr>
          <w:rFonts w:ascii="Times New Roman" w:eastAsia="Times New Roman" w:hAnsi="Times New Roman" w:cs="Times New Roman"/>
          <w:sz w:val="24"/>
          <w:szCs w:val="24"/>
        </w:rPr>
        <w:t xml:space="preserve"> Recorded the highest RDW/LDW ratio, significantly different from all other treatments. This</w:t>
      </w:r>
      <w:r>
        <w:rPr>
          <w:rFonts w:ascii="Times New Roman" w:eastAsia="Times New Roman" w:hAnsi="Times New Roman" w:cs="Times New Roman"/>
          <w:sz w:val="24"/>
          <w:szCs w:val="24"/>
        </w:rPr>
        <w:t xml:space="preserve"> indicates a strong preferential allocation of dry matter towards root biomass relative to shoot biomass. Such high root investment can be due to compensatory growth mechanism under suboptimal or unbalanced nutrient release from the mixture of Tithonia and</w:t>
      </w:r>
      <w:r>
        <w:rPr>
          <w:rFonts w:ascii="Times New Roman" w:eastAsia="Times New Roman" w:hAnsi="Times New Roman" w:cs="Times New Roman"/>
          <w:sz w:val="24"/>
          <w:szCs w:val="24"/>
        </w:rPr>
        <w:t xml:space="preserve"> Moringa (</w:t>
      </w:r>
      <w:proofErr w:type="spellStart"/>
      <w:r>
        <w:rPr>
          <w:rFonts w:ascii="Times New Roman" w:eastAsia="Times New Roman" w:hAnsi="Times New Roman" w:cs="Times New Roman"/>
          <w:color w:val="222222"/>
          <w:sz w:val="24"/>
          <w:szCs w:val="24"/>
          <w:highlight w:val="white"/>
        </w:rPr>
        <w:t>Mantja</w:t>
      </w:r>
      <w:proofErr w:type="spellEnd"/>
      <w:r>
        <w:rPr>
          <w:rFonts w:ascii="Times New Roman" w:eastAsia="Times New Roman" w:hAnsi="Times New Roman" w:cs="Times New Roman"/>
          <w:color w:val="222222"/>
          <w:sz w:val="24"/>
          <w:szCs w:val="24"/>
          <w:highlight w:val="white"/>
        </w:rPr>
        <w:t>, et al 2023</w:t>
      </w:r>
      <w:r>
        <w:rPr>
          <w:rFonts w:ascii="Times New Roman" w:eastAsia="Times New Roman" w:hAnsi="Times New Roman" w:cs="Times New Roman"/>
          <w:sz w:val="24"/>
          <w:szCs w:val="24"/>
        </w:rPr>
        <w:t>), where the plant prioritizes root development to explore a wider soil volume for limited or unevenly distributed nutrients. Alternatively, an antagonistic interaction between the two organic sources in the "MIX" treatment migh</w:t>
      </w:r>
      <w:r>
        <w:rPr>
          <w:rFonts w:ascii="Times New Roman" w:eastAsia="Times New Roman" w:hAnsi="Times New Roman" w:cs="Times New Roman"/>
          <w:sz w:val="24"/>
          <w:szCs w:val="24"/>
        </w:rPr>
        <w:t>t have led to less efficient nutrient uptake for shoot development, thus artificially inflating the RDW/LDW ratio.</w:t>
      </w:r>
    </w:p>
    <w:p w14:paraId="13467DD7"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physiological trade-offs are critical for understanding overall plant health and productivity. While a very low RDW/LDW (like Tithonia)</w:t>
      </w:r>
      <w:r>
        <w:rPr>
          <w:rFonts w:ascii="Times New Roman" w:eastAsia="Times New Roman" w:hAnsi="Times New Roman" w:cs="Times New Roman"/>
          <w:sz w:val="24"/>
          <w:szCs w:val="24"/>
        </w:rPr>
        <w:t xml:space="preserve"> might indicate sufficient above-ground biomass for photosynthesis, it could also signal insufficient resource allocation to the primary economic part of the carrot (the root). Conversely, an extremely high RDW/LDW (like MIX) could suggest stress or ineffi</w:t>
      </w:r>
      <w:r>
        <w:rPr>
          <w:rFonts w:ascii="Times New Roman" w:eastAsia="Times New Roman" w:hAnsi="Times New Roman" w:cs="Times New Roman"/>
          <w:sz w:val="24"/>
          <w:szCs w:val="24"/>
        </w:rPr>
        <w:t xml:space="preserve">cient partitioning, where the plant invests heavily in roots at the expense of necessary shoot development. The balanced ratios observed in Moringa and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treatments, therefore, are indicative of more optimal resource partitioning for carrot producti</w:t>
      </w:r>
      <w:r>
        <w:rPr>
          <w:rFonts w:ascii="Times New Roman" w:eastAsia="Times New Roman" w:hAnsi="Times New Roman" w:cs="Times New Roman"/>
          <w:sz w:val="24"/>
          <w:szCs w:val="24"/>
        </w:rPr>
        <w:t>on. Further studies incorporating multiple locations to capture wider soil and other edaphic factors are recommended.</w:t>
      </w:r>
    </w:p>
    <w:p w14:paraId="1256527D" w14:textId="77777777" w:rsidR="000A335C" w:rsidRDefault="0073578C">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4A72D6D" w14:textId="77777777" w:rsidR="000A335C" w:rsidRDefault="0073578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proofErr w:type="gramStart"/>
      <w:r>
        <w:rPr>
          <w:rFonts w:ascii="Times New Roman" w:eastAsia="Times New Roman" w:hAnsi="Times New Roman" w:cs="Times New Roman"/>
          <w:sz w:val="24"/>
          <w:szCs w:val="24"/>
        </w:rPr>
        <w:t>study  established</w:t>
      </w:r>
      <w:proofErr w:type="gramEnd"/>
      <w:r>
        <w:rPr>
          <w:rFonts w:ascii="Times New Roman" w:eastAsia="Times New Roman" w:hAnsi="Times New Roman" w:cs="Times New Roman"/>
          <w:sz w:val="24"/>
          <w:szCs w:val="24"/>
        </w:rPr>
        <w:t xml:space="preserve"> that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fertilizer delivered the highest overall carrot yield and root diameter. However, Moringa</w:t>
      </w:r>
      <w:r>
        <w:rPr>
          <w:rFonts w:ascii="Times New Roman" w:eastAsia="Times New Roman" w:hAnsi="Times New Roman" w:cs="Times New Roman"/>
          <w:sz w:val="24"/>
          <w:szCs w:val="24"/>
        </w:rPr>
        <w:t xml:space="preserve"> leaf extract proved to be a strong organic alternative, significantly boosting fresh shoot weight and achieving root dry weight and root length comparable to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Moringa also promoted a balanced root-to-shoot dry weight ratio. While Tithonia favored</w:t>
      </w:r>
      <w:r>
        <w:rPr>
          <w:rFonts w:ascii="Times New Roman" w:eastAsia="Times New Roman" w:hAnsi="Times New Roman" w:cs="Times New Roman"/>
          <w:sz w:val="24"/>
          <w:szCs w:val="24"/>
        </w:rPr>
        <w:t xml:space="preserve"> shoot biomass, and a mix of Moringa and Tithonia favored root biomass, Moringa leaf extract delivered a balanced biomass allocation pattern comparable to the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treatment. These findings indicate that Moringa is a viable and </w:t>
      </w:r>
      <w:r>
        <w:rPr>
          <w:rFonts w:ascii="Times New Roman" w:eastAsia="Times New Roman" w:hAnsi="Times New Roman" w:cs="Times New Roman"/>
          <w:sz w:val="24"/>
          <w:szCs w:val="24"/>
        </w:rPr>
        <w:lastRenderedPageBreak/>
        <w:t>sustainable fertilizatio</w:t>
      </w:r>
      <w:r>
        <w:rPr>
          <w:rFonts w:ascii="Times New Roman" w:eastAsia="Times New Roman" w:hAnsi="Times New Roman" w:cs="Times New Roman"/>
          <w:sz w:val="24"/>
          <w:szCs w:val="24"/>
        </w:rPr>
        <w:t>n option for carrot production, especially for growers seeking to reduce reliance on synthetic fertilizers.</w:t>
      </w:r>
    </w:p>
    <w:p w14:paraId="62124253" w14:textId="77777777" w:rsidR="00BD4CF2" w:rsidRDefault="00BD4CF2">
      <w:pPr>
        <w:spacing w:before="240" w:after="240"/>
        <w:jc w:val="both"/>
        <w:rPr>
          <w:rFonts w:ascii="Times New Roman" w:eastAsia="Times New Roman" w:hAnsi="Times New Roman" w:cs="Times New Roman"/>
          <w:b/>
          <w:sz w:val="24"/>
          <w:szCs w:val="24"/>
        </w:rPr>
      </w:pPr>
    </w:p>
    <w:p w14:paraId="705FC102" w14:textId="77777777" w:rsidR="000A335C" w:rsidRDefault="0073578C">
      <w:pPr>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References</w:t>
      </w:r>
    </w:p>
    <w:p w14:paraId="247C5DA5"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Abeyrathne</w:t>
      </w:r>
      <w:proofErr w:type="spellEnd"/>
      <w:r>
        <w:rPr>
          <w:rFonts w:ascii="Times New Roman" w:eastAsia="Times New Roman" w:hAnsi="Times New Roman" w:cs="Times New Roman"/>
          <w:color w:val="222222"/>
          <w:sz w:val="24"/>
          <w:szCs w:val="24"/>
          <w:highlight w:val="white"/>
        </w:rPr>
        <w:t xml:space="preserve">, T., Harris, K. D., &amp; </w:t>
      </w:r>
      <w:proofErr w:type="spellStart"/>
      <w:r>
        <w:rPr>
          <w:rFonts w:ascii="Times New Roman" w:eastAsia="Times New Roman" w:hAnsi="Times New Roman" w:cs="Times New Roman"/>
          <w:color w:val="222222"/>
          <w:sz w:val="24"/>
          <w:szCs w:val="24"/>
          <w:highlight w:val="white"/>
        </w:rPr>
        <w:t>Attanayaka</w:t>
      </w:r>
      <w:proofErr w:type="spellEnd"/>
      <w:r>
        <w:rPr>
          <w:rFonts w:ascii="Times New Roman" w:eastAsia="Times New Roman" w:hAnsi="Times New Roman" w:cs="Times New Roman"/>
          <w:color w:val="222222"/>
          <w:sz w:val="24"/>
          <w:szCs w:val="24"/>
          <w:highlight w:val="white"/>
        </w:rPr>
        <w:t xml:space="preserve">, A. M. K. D. M. (2021). Effect of Foliar Application of Wild Sunflower (Tithonia Diversifolia) Leaf Extract on Yield Attributes of Vegetable Cowpea Cv. Bs-1 in Sandy </w:t>
      </w:r>
      <w:proofErr w:type="spellStart"/>
      <w:r>
        <w:rPr>
          <w:rFonts w:ascii="Times New Roman" w:eastAsia="Times New Roman" w:hAnsi="Times New Roman" w:cs="Times New Roman"/>
          <w:color w:val="222222"/>
          <w:sz w:val="24"/>
          <w:szCs w:val="24"/>
          <w:highlight w:val="white"/>
        </w:rPr>
        <w:t>Regosol</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World Journal of Current Scientific Research, W</w:t>
      </w:r>
      <w:r>
        <w:rPr>
          <w:rFonts w:ascii="Times New Roman" w:eastAsia="Times New Roman" w:hAnsi="Times New Roman" w:cs="Times New Roman"/>
          <w:i/>
          <w:color w:val="222222"/>
          <w:sz w:val="24"/>
          <w:szCs w:val="24"/>
          <w:highlight w:val="white"/>
        </w:rPr>
        <w:t xml:space="preserve">orld J. Cur. Sci. </w:t>
      </w:r>
      <w:proofErr w:type="gramStart"/>
      <w:r>
        <w:rPr>
          <w:rFonts w:ascii="Times New Roman" w:eastAsia="Times New Roman" w:hAnsi="Times New Roman" w:cs="Times New Roman"/>
          <w:i/>
          <w:color w:val="222222"/>
          <w:sz w:val="24"/>
          <w:szCs w:val="24"/>
          <w:highlight w:val="white"/>
        </w:rPr>
        <w:t>Res.(</w:t>
      </w:r>
      <w:proofErr w:type="gramEnd"/>
      <w:r>
        <w:rPr>
          <w:rFonts w:ascii="Times New Roman" w:eastAsia="Times New Roman" w:hAnsi="Times New Roman" w:cs="Times New Roman"/>
          <w:i/>
          <w:color w:val="222222"/>
          <w:sz w:val="24"/>
          <w:szCs w:val="24"/>
          <w:highlight w:val="white"/>
        </w:rPr>
        <w:t>2021)</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(2).</w:t>
      </w:r>
    </w:p>
    <w:p w14:paraId="5221366B"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Adekiya</w:t>
      </w:r>
      <w:proofErr w:type="spellEnd"/>
      <w:r>
        <w:rPr>
          <w:rFonts w:ascii="Times New Roman" w:eastAsia="Times New Roman" w:hAnsi="Times New Roman" w:cs="Times New Roman"/>
          <w:color w:val="222222"/>
          <w:sz w:val="24"/>
          <w:szCs w:val="24"/>
          <w:highlight w:val="white"/>
        </w:rPr>
        <w:t xml:space="preserve">, A.O.; </w:t>
      </w:r>
      <w:proofErr w:type="spellStart"/>
      <w:r>
        <w:rPr>
          <w:rFonts w:ascii="Times New Roman" w:eastAsia="Times New Roman" w:hAnsi="Times New Roman" w:cs="Times New Roman"/>
          <w:color w:val="222222"/>
          <w:sz w:val="24"/>
          <w:szCs w:val="24"/>
          <w:highlight w:val="white"/>
        </w:rPr>
        <w:t>Dahunsi</w:t>
      </w:r>
      <w:proofErr w:type="spellEnd"/>
      <w:r>
        <w:rPr>
          <w:rFonts w:ascii="Times New Roman" w:eastAsia="Times New Roman" w:hAnsi="Times New Roman" w:cs="Times New Roman"/>
          <w:color w:val="222222"/>
          <w:sz w:val="24"/>
          <w:szCs w:val="24"/>
          <w:highlight w:val="white"/>
        </w:rPr>
        <w:t xml:space="preserve">, S.O.; Ayeni, J.F.; Aremu, C.; </w:t>
      </w:r>
      <w:proofErr w:type="spellStart"/>
      <w:r>
        <w:rPr>
          <w:rFonts w:ascii="Times New Roman" w:eastAsia="Times New Roman" w:hAnsi="Times New Roman" w:cs="Times New Roman"/>
          <w:color w:val="222222"/>
          <w:sz w:val="24"/>
          <w:szCs w:val="24"/>
          <w:highlight w:val="white"/>
        </w:rPr>
        <w:t>Aboyeji</w:t>
      </w:r>
      <w:proofErr w:type="spellEnd"/>
      <w:r>
        <w:rPr>
          <w:rFonts w:ascii="Times New Roman" w:eastAsia="Times New Roman" w:hAnsi="Times New Roman" w:cs="Times New Roman"/>
          <w:color w:val="222222"/>
          <w:sz w:val="24"/>
          <w:szCs w:val="24"/>
          <w:highlight w:val="white"/>
        </w:rPr>
        <w:t xml:space="preserve">, C.M.; </w:t>
      </w:r>
      <w:proofErr w:type="spellStart"/>
      <w:r>
        <w:rPr>
          <w:rFonts w:ascii="Times New Roman" w:eastAsia="Times New Roman" w:hAnsi="Times New Roman" w:cs="Times New Roman"/>
          <w:color w:val="222222"/>
          <w:sz w:val="24"/>
          <w:szCs w:val="24"/>
          <w:highlight w:val="white"/>
        </w:rPr>
        <w:t>Okunlola</w:t>
      </w:r>
      <w:proofErr w:type="spellEnd"/>
      <w:r>
        <w:rPr>
          <w:rFonts w:ascii="Times New Roman" w:eastAsia="Times New Roman" w:hAnsi="Times New Roman" w:cs="Times New Roman"/>
          <w:color w:val="222222"/>
          <w:sz w:val="24"/>
          <w:szCs w:val="24"/>
          <w:highlight w:val="white"/>
        </w:rPr>
        <w:t xml:space="preserve">, F.; </w:t>
      </w:r>
      <w:proofErr w:type="spellStart"/>
      <w:r>
        <w:rPr>
          <w:rFonts w:ascii="Times New Roman" w:eastAsia="Times New Roman" w:hAnsi="Times New Roman" w:cs="Times New Roman"/>
          <w:color w:val="222222"/>
          <w:sz w:val="24"/>
          <w:szCs w:val="24"/>
          <w:highlight w:val="white"/>
        </w:rPr>
        <w:t>Oyelami</w:t>
      </w:r>
      <w:proofErr w:type="spellEnd"/>
      <w:r>
        <w:rPr>
          <w:rFonts w:ascii="Times New Roman" w:eastAsia="Times New Roman" w:hAnsi="Times New Roman" w:cs="Times New Roman"/>
          <w:color w:val="222222"/>
          <w:sz w:val="24"/>
          <w:szCs w:val="24"/>
          <w:highlight w:val="white"/>
        </w:rPr>
        <w:t>, A.E. Organic and in-organic fertilizers affect the performance of tomato (</w:t>
      </w:r>
      <w:r>
        <w:rPr>
          <w:rFonts w:ascii="Times New Roman" w:eastAsia="Times New Roman" w:hAnsi="Times New Roman" w:cs="Times New Roman"/>
          <w:i/>
          <w:color w:val="222222"/>
          <w:sz w:val="24"/>
          <w:szCs w:val="24"/>
          <w:highlight w:val="white"/>
        </w:rPr>
        <w:t xml:space="preserve">Solanum </w:t>
      </w:r>
      <w:proofErr w:type="spellStart"/>
      <w:r>
        <w:rPr>
          <w:rFonts w:ascii="Times New Roman" w:eastAsia="Times New Roman" w:hAnsi="Times New Roman" w:cs="Times New Roman"/>
          <w:i/>
          <w:color w:val="222222"/>
          <w:sz w:val="24"/>
          <w:szCs w:val="24"/>
          <w:highlight w:val="white"/>
        </w:rPr>
        <w:t>lycopersicum</w:t>
      </w:r>
      <w:proofErr w:type="spellEnd"/>
      <w:r>
        <w:rPr>
          <w:rFonts w:ascii="Times New Roman" w:eastAsia="Times New Roman" w:hAnsi="Times New Roman" w:cs="Times New Roman"/>
          <w:color w:val="222222"/>
          <w:sz w:val="24"/>
          <w:szCs w:val="24"/>
          <w:highlight w:val="white"/>
        </w:rPr>
        <w:t>) and cucumber (</w:t>
      </w:r>
      <w:r>
        <w:rPr>
          <w:rFonts w:ascii="Times New Roman" w:eastAsia="Times New Roman" w:hAnsi="Times New Roman" w:cs="Times New Roman"/>
          <w:i/>
          <w:color w:val="222222"/>
          <w:sz w:val="24"/>
          <w:szCs w:val="24"/>
          <w:highlight w:val="white"/>
        </w:rPr>
        <w:t>Cucumis sativus</w:t>
      </w:r>
      <w:r>
        <w:rPr>
          <w:rFonts w:ascii="Times New Roman" w:eastAsia="Times New Roman" w:hAnsi="Times New Roman" w:cs="Times New Roman"/>
          <w:color w:val="222222"/>
          <w:sz w:val="24"/>
          <w:szCs w:val="24"/>
          <w:highlight w:val="white"/>
        </w:rPr>
        <w:t>) g</w:t>
      </w:r>
      <w:r>
        <w:rPr>
          <w:rFonts w:ascii="Times New Roman" w:eastAsia="Times New Roman" w:hAnsi="Times New Roman" w:cs="Times New Roman"/>
          <w:color w:val="222222"/>
          <w:sz w:val="24"/>
          <w:szCs w:val="24"/>
          <w:highlight w:val="white"/>
        </w:rPr>
        <w:t xml:space="preserve">rown on soilless medium. </w:t>
      </w:r>
      <w:r>
        <w:rPr>
          <w:rFonts w:ascii="Times New Roman" w:eastAsia="Times New Roman" w:hAnsi="Times New Roman" w:cs="Times New Roman"/>
          <w:i/>
          <w:color w:val="222222"/>
          <w:sz w:val="24"/>
          <w:szCs w:val="24"/>
          <w:highlight w:val="white"/>
        </w:rPr>
        <w:t>Sci. Rep.</w:t>
      </w:r>
      <w:r>
        <w:rPr>
          <w:rFonts w:ascii="Times New Roman" w:eastAsia="Times New Roman" w:hAnsi="Times New Roman" w:cs="Times New Roman"/>
          <w:color w:val="222222"/>
          <w:sz w:val="24"/>
          <w:szCs w:val="24"/>
          <w:highlight w:val="white"/>
        </w:rPr>
        <w:t xml:space="preserve"> 2022, </w:t>
      </w:r>
      <w:r>
        <w:rPr>
          <w:rFonts w:ascii="Times New Roman" w:eastAsia="Times New Roman" w:hAnsi="Times New Roman" w:cs="Times New Roman"/>
          <w:i/>
          <w:color w:val="222222"/>
          <w:sz w:val="24"/>
          <w:szCs w:val="24"/>
          <w:highlight w:val="white"/>
        </w:rPr>
        <w:t>12</w:t>
      </w:r>
      <w:r>
        <w:rPr>
          <w:rFonts w:ascii="Times New Roman" w:eastAsia="Times New Roman" w:hAnsi="Times New Roman" w:cs="Times New Roman"/>
          <w:color w:val="222222"/>
          <w:sz w:val="24"/>
          <w:szCs w:val="24"/>
          <w:highlight w:val="white"/>
        </w:rPr>
        <w:t>, 12212.</w:t>
      </w:r>
    </w:p>
    <w:p w14:paraId="5F31788B"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Agbede</w:t>
      </w:r>
      <w:proofErr w:type="spellEnd"/>
      <w:r>
        <w:rPr>
          <w:rFonts w:ascii="Times New Roman" w:eastAsia="Times New Roman" w:hAnsi="Times New Roman" w:cs="Times New Roman"/>
          <w:color w:val="222222"/>
          <w:sz w:val="24"/>
          <w:szCs w:val="24"/>
          <w:highlight w:val="white"/>
        </w:rPr>
        <w:t xml:space="preserve">, T. M., </w:t>
      </w:r>
      <w:proofErr w:type="spellStart"/>
      <w:r>
        <w:rPr>
          <w:rFonts w:ascii="Times New Roman" w:eastAsia="Times New Roman" w:hAnsi="Times New Roman" w:cs="Times New Roman"/>
          <w:color w:val="222222"/>
          <w:sz w:val="24"/>
          <w:szCs w:val="24"/>
          <w:highlight w:val="white"/>
        </w:rPr>
        <w:t>Adekiya</w:t>
      </w:r>
      <w:proofErr w:type="spellEnd"/>
      <w:r>
        <w:rPr>
          <w:rFonts w:ascii="Times New Roman" w:eastAsia="Times New Roman" w:hAnsi="Times New Roman" w:cs="Times New Roman"/>
          <w:color w:val="222222"/>
          <w:sz w:val="24"/>
          <w:szCs w:val="24"/>
          <w:highlight w:val="white"/>
        </w:rPr>
        <w:t xml:space="preserve">, A. O., &amp; </w:t>
      </w:r>
      <w:proofErr w:type="spellStart"/>
      <w:r>
        <w:rPr>
          <w:rFonts w:ascii="Times New Roman" w:eastAsia="Times New Roman" w:hAnsi="Times New Roman" w:cs="Times New Roman"/>
          <w:color w:val="222222"/>
          <w:sz w:val="24"/>
          <w:szCs w:val="24"/>
          <w:highlight w:val="white"/>
        </w:rPr>
        <w:t>Eifediyi</w:t>
      </w:r>
      <w:proofErr w:type="spellEnd"/>
      <w:r>
        <w:rPr>
          <w:rFonts w:ascii="Times New Roman" w:eastAsia="Times New Roman" w:hAnsi="Times New Roman" w:cs="Times New Roman"/>
          <w:color w:val="222222"/>
          <w:sz w:val="24"/>
          <w:szCs w:val="24"/>
          <w:highlight w:val="white"/>
        </w:rPr>
        <w:t xml:space="preserve">, E. K. (2017). Impact of poultry manure and NPK fertilizer on soil physical properties and growth and yield of carrot. </w:t>
      </w:r>
      <w:r>
        <w:rPr>
          <w:rFonts w:ascii="Times New Roman" w:eastAsia="Times New Roman" w:hAnsi="Times New Roman" w:cs="Times New Roman"/>
          <w:i/>
          <w:color w:val="222222"/>
          <w:sz w:val="24"/>
          <w:szCs w:val="24"/>
          <w:highlight w:val="white"/>
        </w:rPr>
        <w:t>Journal of Horticultural Research</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25</w:t>
      </w:r>
      <w:r>
        <w:rPr>
          <w:rFonts w:ascii="Times New Roman" w:eastAsia="Times New Roman" w:hAnsi="Times New Roman" w:cs="Times New Roman"/>
          <w:color w:val="222222"/>
          <w:sz w:val="24"/>
          <w:szCs w:val="24"/>
          <w:highlight w:val="white"/>
        </w:rPr>
        <w:t>(1).</w:t>
      </w:r>
    </w:p>
    <w:p w14:paraId="07EA45E4"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Akhtar, K., Wang, W., </w:t>
      </w:r>
      <w:proofErr w:type="spellStart"/>
      <w:r>
        <w:rPr>
          <w:rFonts w:ascii="Times New Roman" w:eastAsia="Times New Roman" w:hAnsi="Times New Roman" w:cs="Times New Roman"/>
          <w:color w:val="222222"/>
          <w:sz w:val="24"/>
          <w:szCs w:val="24"/>
          <w:highlight w:val="white"/>
        </w:rPr>
        <w:t>Djalovic</w:t>
      </w:r>
      <w:proofErr w:type="spellEnd"/>
      <w:r>
        <w:rPr>
          <w:rFonts w:ascii="Times New Roman" w:eastAsia="Times New Roman" w:hAnsi="Times New Roman" w:cs="Times New Roman"/>
          <w:color w:val="222222"/>
          <w:sz w:val="24"/>
          <w:szCs w:val="24"/>
          <w:highlight w:val="white"/>
        </w:rPr>
        <w:t xml:space="preserve">, I., Prasad, P. V., Ren, G., Ain, N. </w:t>
      </w:r>
      <w:proofErr w:type="gramStart"/>
      <w:r>
        <w:rPr>
          <w:rFonts w:ascii="Times New Roman" w:eastAsia="Times New Roman" w:hAnsi="Times New Roman" w:cs="Times New Roman"/>
          <w:color w:val="222222"/>
          <w:sz w:val="24"/>
          <w:szCs w:val="24"/>
          <w:highlight w:val="white"/>
        </w:rPr>
        <w:t>U.,.</w:t>
      </w:r>
      <w:proofErr w:type="gramEnd"/>
      <w:r>
        <w:rPr>
          <w:rFonts w:ascii="Times New Roman" w:eastAsia="Times New Roman" w:hAnsi="Times New Roman" w:cs="Times New Roman"/>
          <w:color w:val="222222"/>
          <w:sz w:val="24"/>
          <w:szCs w:val="24"/>
          <w:highlight w:val="white"/>
        </w:rPr>
        <w:t xml:space="preserve"> &amp; Wen, R. (2023). Combining straw mulch with nitrogen fertilizer improves soil and plant physio-chemical attributes, physiology, and yield of maize in the semi-arid region of China. </w:t>
      </w:r>
      <w:r>
        <w:rPr>
          <w:rFonts w:ascii="Times New Roman" w:eastAsia="Times New Roman" w:hAnsi="Times New Roman" w:cs="Times New Roman"/>
          <w:i/>
          <w:color w:val="222222"/>
          <w:sz w:val="24"/>
          <w:szCs w:val="24"/>
          <w:highlight w:val="white"/>
        </w:rPr>
        <w:t>P</w:t>
      </w:r>
      <w:r>
        <w:rPr>
          <w:rFonts w:ascii="Times New Roman" w:eastAsia="Times New Roman" w:hAnsi="Times New Roman" w:cs="Times New Roman"/>
          <w:i/>
          <w:color w:val="222222"/>
          <w:sz w:val="24"/>
          <w:szCs w:val="24"/>
          <w:highlight w:val="white"/>
        </w:rPr>
        <w:t>lants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12</w:t>
      </w:r>
      <w:r>
        <w:rPr>
          <w:rFonts w:ascii="Times New Roman" w:eastAsia="Times New Roman" w:hAnsi="Times New Roman" w:cs="Times New Roman"/>
          <w:color w:val="222222"/>
          <w:sz w:val="24"/>
          <w:szCs w:val="24"/>
          <w:highlight w:val="white"/>
        </w:rPr>
        <w:t>(18), 3308.</w:t>
      </w:r>
    </w:p>
    <w:p w14:paraId="4187E3B1"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Akpan, E. A., Bernard, A. E., Essien, O. A., </w:t>
      </w:r>
      <w:proofErr w:type="spellStart"/>
      <w:r>
        <w:rPr>
          <w:rFonts w:ascii="Times New Roman" w:eastAsia="Times New Roman" w:hAnsi="Times New Roman" w:cs="Times New Roman"/>
          <w:color w:val="222222"/>
          <w:sz w:val="24"/>
          <w:szCs w:val="24"/>
          <w:highlight w:val="white"/>
        </w:rPr>
        <w:t>Akata</w:t>
      </w:r>
      <w:proofErr w:type="spellEnd"/>
      <w:r>
        <w:rPr>
          <w:rFonts w:ascii="Times New Roman" w:eastAsia="Times New Roman" w:hAnsi="Times New Roman" w:cs="Times New Roman"/>
          <w:color w:val="222222"/>
          <w:sz w:val="24"/>
          <w:szCs w:val="24"/>
          <w:highlight w:val="white"/>
        </w:rPr>
        <w:t xml:space="preserve">, O. R., &amp; Ben, F. E. (2025). Effect of Organic Fertilizers on Growth and Yield of Garlic (Allium sativum L.) in Obio Akpa, Akwa Ibom State, Nigeria. </w:t>
      </w:r>
      <w:r>
        <w:rPr>
          <w:rFonts w:ascii="Times New Roman" w:eastAsia="Times New Roman" w:hAnsi="Times New Roman" w:cs="Times New Roman"/>
          <w:i/>
          <w:color w:val="222222"/>
          <w:sz w:val="24"/>
          <w:szCs w:val="24"/>
          <w:highlight w:val="white"/>
        </w:rPr>
        <w:t>Asian Research Journal of Agricultu</w:t>
      </w:r>
      <w:r>
        <w:rPr>
          <w:rFonts w:ascii="Times New Roman" w:eastAsia="Times New Roman" w:hAnsi="Times New Roman" w:cs="Times New Roman"/>
          <w:i/>
          <w:color w:val="222222"/>
          <w:sz w:val="24"/>
          <w:szCs w:val="24"/>
          <w:highlight w:val="white"/>
        </w:rPr>
        <w:t>re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18</w:t>
      </w:r>
      <w:r>
        <w:rPr>
          <w:rFonts w:ascii="Times New Roman" w:eastAsia="Times New Roman" w:hAnsi="Times New Roman" w:cs="Times New Roman"/>
          <w:color w:val="222222"/>
          <w:sz w:val="24"/>
          <w:szCs w:val="24"/>
          <w:highlight w:val="white"/>
        </w:rPr>
        <w:t>(1), 61-69.</w:t>
      </w:r>
    </w:p>
    <w:p w14:paraId="1536C90E"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Amartey, J. N. A., Sarkodie-Addo, J., Dapaah, H. K., &amp; </w:t>
      </w:r>
      <w:proofErr w:type="spellStart"/>
      <w:r>
        <w:rPr>
          <w:rFonts w:ascii="Times New Roman" w:eastAsia="Times New Roman" w:hAnsi="Times New Roman" w:cs="Times New Roman"/>
          <w:color w:val="222222"/>
          <w:sz w:val="24"/>
          <w:szCs w:val="24"/>
          <w:highlight w:val="white"/>
        </w:rPr>
        <w:t>Essilfie</w:t>
      </w:r>
      <w:proofErr w:type="spellEnd"/>
      <w:r>
        <w:rPr>
          <w:rFonts w:ascii="Times New Roman" w:eastAsia="Times New Roman" w:hAnsi="Times New Roman" w:cs="Times New Roman"/>
          <w:color w:val="222222"/>
          <w:sz w:val="24"/>
          <w:szCs w:val="24"/>
          <w:highlight w:val="white"/>
        </w:rPr>
        <w:t xml:space="preserve">, M. E. (2025). Influence of Organic and Inorganic Fertilizers on Root Yield, Yield Components and Shelf-Life of Carrot (Daucus carota). </w:t>
      </w:r>
      <w:r>
        <w:rPr>
          <w:rFonts w:ascii="Times New Roman" w:eastAsia="Times New Roman" w:hAnsi="Times New Roman" w:cs="Times New Roman"/>
          <w:i/>
          <w:color w:val="222222"/>
          <w:sz w:val="24"/>
          <w:szCs w:val="24"/>
          <w:highlight w:val="white"/>
        </w:rPr>
        <w:t>American Journal of Plant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16</w:t>
      </w:r>
      <w:r>
        <w:rPr>
          <w:rFonts w:ascii="Times New Roman" w:eastAsia="Times New Roman" w:hAnsi="Times New Roman" w:cs="Times New Roman"/>
          <w:color w:val="222222"/>
          <w:sz w:val="24"/>
          <w:szCs w:val="24"/>
          <w:highlight w:val="white"/>
        </w:rPr>
        <w:t>(5), 668-681.</w:t>
      </w:r>
    </w:p>
    <w:p w14:paraId="71CBEA0F"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Babul, M. A. I., Biswas, T., Hossain, S., Rahman, M. H., &amp; Islam, M. A. (2025). Optimization of organic and inorganic fertilizers on growth and yield of carrot (Daucus carota L.). </w:t>
      </w:r>
      <w:r>
        <w:rPr>
          <w:rFonts w:ascii="Times New Roman" w:eastAsia="Times New Roman" w:hAnsi="Times New Roman" w:cs="Times New Roman"/>
          <w:i/>
          <w:color w:val="222222"/>
          <w:sz w:val="24"/>
          <w:szCs w:val="24"/>
          <w:highlight w:val="white"/>
        </w:rPr>
        <w:t>Turkish Journal of Food and Agriculture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7</w:t>
      </w:r>
      <w:r>
        <w:rPr>
          <w:rFonts w:ascii="Times New Roman" w:eastAsia="Times New Roman" w:hAnsi="Times New Roman" w:cs="Times New Roman"/>
          <w:color w:val="222222"/>
          <w:sz w:val="24"/>
          <w:szCs w:val="24"/>
          <w:highlight w:val="white"/>
        </w:rPr>
        <w:t>(1), 56-65.</w:t>
      </w:r>
    </w:p>
    <w:p w14:paraId="36DF48B2"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El Sayed, S., Hellal, F., Ramadan, A. A. E. M., &amp; Abou Basha, D. M. (2022). Impacts of liquid organic fertilizer on characterization of sunflower under irrigation water levels. </w:t>
      </w:r>
      <w:r>
        <w:rPr>
          <w:rFonts w:ascii="Times New Roman" w:eastAsia="Times New Roman" w:hAnsi="Times New Roman" w:cs="Times New Roman"/>
          <w:i/>
          <w:color w:val="222222"/>
          <w:sz w:val="24"/>
          <w:szCs w:val="24"/>
          <w:highlight w:val="white"/>
        </w:rPr>
        <w:t>International Journal of Health Sciences</w:t>
      </w:r>
      <w:r>
        <w:rPr>
          <w:rFonts w:ascii="Times New Roman" w:eastAsia="Times New Roman" w:hAnsi="Times New Roman" w:cs="Times New Roman"/>
          <w:color w:val="222222"/>
          <w:sz w:val="24"/>
          <w:szCs w:val="24"/>
          <w:highlight w:val="white"/>
        </w:rPr>
        <w:t>, (II), 7890-7905.</w:t>
      </w:r>
    </w:p>
    <w:p w14:paraId="2EF4A942"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FAO. (2022). </w:t>
      </w:r>
      <w:r>
        <w:rPr>
          <w:rFonts w:ascii="Times New Roman" w:eastAsia="Times New Roman" w:hAnsi="Times New Roman" w:cs="Times New Roman"/>
          <w:i/>
          <w:color w:val="222222"/>
          <w:sz w:val="24"/>
          <w:szCs w:val="24"/>
          <w:highlight w:val="white"/>
        </w:rPr>
        <w:t>Food a</w:t>
      </w:r>
      <w:r>
        <w:rPr>
          <w:rFonts w:ascii="Times New Roman" w:eastAsia="Times New Roman" w:hAnsi="Times New Roman" w:cs="Times New Roman"/>
          <w:i/>
          <w:color w:val="222222"/>
          <w:sz w:val="24"/>
          <w:szCs w:val="24"/>
          <w:highlight w:val="white"/>
        </w:rPr>
        <w:t>nd Agriculture Organization of the United Nations, likely a report or statistical yearbook related to global carrot production.</w:t>
      </w:r>
      <w:r>
        <w:rPr>
          <w:rFonts w:ascii="Times New Roman" w:eastAsia="Times New Roman" w:hAnsi="Times New Roman" w:cs="Times New Roman"/>
          <w:color w:val="222222"/>
          <w:sz w:val="24"/>
          <w:szCs w:val="24"/>
          <w:highlight w:val="white"/>
        </w:rPr>
        <w:t xml:space="preserve"> (Often cited as "FAOSTAT" or a specific FAO publication on agricultural production statistics.)</w:t>
      </w:r>
    </w:p>
    <w:p w14:paraId="7B0E2596"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Farni</w:t>
      </w:r>
      <w:proofErr w:type="spellEnd"/>
      <w:r>
        <w:rPr>
          <w:rFonts w:ascii="Times New Roman" w:eastAsia="Times New Roman" w:hAnsi="Times New Roman" w:cs="Times New Roman"/>
          <w:color w:val="222222"/>
          <w:sz w:val="24"/>
          <w:szCs w:val="24"/>
          <w:highlight w:val="white"/>
        </w:rPr>
        <w:t xml:space="preserve"> Y, </w:t>
      </w:r>
      <w:proofErr w:type="spellStart"/>
      <w:r>
        <w:rPr>
          <w:rFonts w:ascii="Times New Roman" w:eastAsia="Times New Roman" w:hAnsi="Times New Roman" w:cs="Times New Roman"/>
          <w:color w:val="222222"/>
          <w:sz w:val="24"/>
          <w:szCs w:val="24"/>
          <w:highlight w:val="white"/>
        </w:rPr>
        <w:t>Suntari</w:t>
      </w:r>
      <w:proofErr w:type="spellEnd"/>
      <w:r>
        <w:rPr>
          <w:rFonts w:ascii="Times New Roman" w:eastAsia="Times New Roman" w:hAnsi="Times New Roman" w:cs="Times New Roman"/>
          <w:color w:val="222222"/>
          <w:sz w:val="24"/>
          <w:szCs w:val="24"/>
          <w:highlight w:val="white"/>
        </w:rPr>
        <w:t xml:space="preserve"> R, </w:t>
      </w:r>
      <w:proofErr w:type="spellStart"/>
      <w:r>
        <w:rPr>
          <w:rFonts w:ascii="Times New Roman" w:eastAsia="Times New Roman" w:hAnsi="Times New Roman" w:cs="Times New Roman"/>
          <w:color w:val="222222"/>
          <w:sz w:val="24"/>
          <w:szCs w:val="24"/>
          <w:highlight w:val="white"/>
        </w:rPr>
        <w:t>Prijono</w:t>
      </w:r>
      <w:proofErr w:type="spellEnd"/>
      <w:r>
        <w:rPr>
          <w:rFonts w:ascii="Times New Roman" w:eastAsia="Times New Roman" w:hAnsi="Times New Roman" w:cs="Times New Roman"/>
          <w:color w:val="222222"/>
          <w:sz w:val="24"/>
          <w:szCs w:val="24"/>
          <w:highlight w:val="white"/>
        </w:rPr>
        <w:t xml:space="preserve"> S (2</w:t>
      </w:r>
      <w:r>
        <w:rPr>
          <w:rFonts w:ascii="Times New Roman" w:eastAsia="Times New Roman" w:hAnsi="Times New Roman" w:cs="Times New Roman"/>
          <w:color w:val="222222"/>
          <w:sz w:val="24"/>
          <w:szCs w:val="24"/>
          <w:highlight w:val="white"/>
        </w:rPr>
        <w:t xml:space="preserve">022) Utilization of </w:t>
      </w:r>
      <w:proofErr w:type="spellStart"/>
      <w:r>
        <w:rPr>
          <w:rFonts w:ascii="Times New Roman" w:eastAsia="Times New Roman" w:hAnsi="Times New Roman" w:cs="Times New Roman"/>
          <w:i/>
          <w:color w:val="222222"/>
          <w:sz w:val="24"/>
          <w:szCs w:val="24"/>
          <w:highlight w:val="white"/>
        </w:rPr>
        <w:t>Tithonia</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diversifolia</w:t>
      </w:r>
      <w:proofErr w:type="spellEnd"/>
      <w:r>
        <w:rPr>
          <w:rFonts w:ascii="Times New Roman" w:eastAsia="Times New Roman" w:hAnsi="Times New Roman" w:cs="Times New Roman"/>
          <w:color w:val="222222"/>
          <w:sz w:val="24"/>
          <w:szCs w:val="24"/>
          <w:highlight w:val="white"/>
        </w:rPr>
        <w:t xml:space="preserve"> and sugarcane leaves to improve soil properties and plant growth on a degraded sandy soil of Malang, East Java. J </w:t>
      </w:r>
      <w:proofErr w:type="spellStart"/>
      <w:r>
        <w:rPr>
          <w:rFonts w:ascii="Times New Roman" w:eastAsia="Times New Roman" w:hAnsi="Times New Roman" w:cs="Times New Roman"/>
          <w:color w:val="222222"/>
          <w:sz w:val="24"/>
          <w:szCs w:val="24"/>
          <w:highlight w:val="white"/>
        </w:rPr>
        <w:t>Degrad</w:t>
      </w:r>
      <w:proofErr w:type="spellEnd"/>
      <w:r>
        <w:rPr>
          <w:rFonts w:ascii="Times New Roman" w:eastAsia="Times New Roman" w:hAnsi="Times New Roman" w:cs="Times New Roman"/>
          <w:color w:val="222222"/>
          <w:sz w:val="24"/>
          <w:szCs w:val="24"/>
          <w:highlight w:val="white"/>
        </w:rPr>
        <w:t xml:space="preserve"> Min Lands </w:t>
      </w:r>
      <w:proofErr w:type="spellStart"/>
      <w:r>
        <w:rPr>
          <w:rFonts w:ascii="Times New Roman" w:eastAsia="Times New Roman" w:hAnsi="Times New Roman" w:cs="Times New Roman"/>
          <w:color w:val="222222"/>
          <w:sz w:val="24"/>
          <w:szCs w:val="24"/>
          <w:highlight w:val="white"/>
        </w:rPr>
        <w:t>Manag</w:t>
      </w:r>
      <w:proofErr w:type="spellEnd"/>
      <w:r>
        <w:rPr>
          <w:rFonts w:ascii="Times New Roman" w:eastAsia="Times New Roman" w:hAnsi="Times New Roman" w:cs="Times New Roman"/>
          <w:color w:val="222222"/>
          <w:sz w:val="24"/>
          <w:szCs w:val="24"/>
          <w:highlight w:val="white"/>
        </w:rPr>
        <w:t xml:space="preserve"> 9:3227–3236</w:t>
      </w:r>
    </w:p>
    <w:p w14:paraId="68C4D8CF"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Haque, M. E., Uddin, M. R., Khan, A. M. M., Hossain, M. K., Shant</w:t>
      </w:r>
      <w:r>
        <w:rPr>
          <w:rFonts w:ascii="Times New Roman" w:eastAsia="Times New Roman" w:hAnsi="Times New Roman" w:cs="Times New Roman"/>
          <w:color w:val="222222"/>
          <w:sz w:val="24"/>
          <w:szCs w:val="24"/>
          <w:highlight w:val="white"/>
        </w:rPr>
        <w:t xml:space="preserve">a, U. K., &amp; Mehedi, M. N. H. (2025). Impact of organic and synthetic fertilizers on chili: A growth and nutrient utilization perspective. </w:t>
      </w:r>
      <w:r>
        <w:rPr>
          <w:rFonts w:ascii="Times New Roman" w:eastAsia="Times New Roman" w:hAnsi="Times New Roman" w:cs="Times New Roman"/>
          <w:i/>
          <w:color w:val="222222"/>
          <w:sz w:val="24"/>
          <w:szCs w:val="24"/>
          <w:highlight w:val="white"/>
        </w:rPr>
        <w:t>Archives of Agriculture and Environmental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(1), 51-58.</w:t>
      </w:r>
    </w:p>
    <w:p w14:paraId="62BE7E00"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Uddin, S., Islam, M. R., Jahangir, M. M. R., Rahman, </w:t>
      </w:r>
      <w:r>
        <w:rPr>
          <w:rFonts w:ascii="Times New Roman" w:eastAsia="Times New Roman" w:hAnsi="Times New Roman" w:cs="Times New Roman"/>
          <w:color w:val="222222"/>
          <w:sz w:val="24"/>
          <w:szCs w:val="24"/>
          <w:highlight w:val="white"/>
        </w:rPr>
        <w:t xml:space="preserve">M. M., Hassan, S., Hassan, M. M., ... &amp; Rahman, M. M. (2021). Nitrogen release in soils amended with different organic and inorganic fertilizers under contrasting moisture regimes: A laboratory incubation study. </w:t>
      </w:r>
      <w:r>
        <w:rPr>
          <w:rFonts w:ascii="Times New Roman" w:eastAsia="Times New Roman" w:hAnsi="Times New Roman" w:cs="Times New Roman"/>
          <w:i/>
          <w:color w:val="222222"/>
          <w:sz w:val="24"/>
          <w:szCs w:val="24"/>
          <w:highlight w:val="white"/>
        </w:rPr>
        <w:t>Agronomy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11</w:t>
      </w:r>
      <w:r>
        <w:rPr>
          <w:rFonts w:ascii="Times New Roman" w:eastAsia="Times New Roman" w:hAnsi="Times New Roman" w:cs="Times New Roman"/>
          <w:color w:val="222222"/>
          <w:sz w:val="24"/>
          <w:szCs w:val="24"/>
          <w:highlight w:val="white"/>
        </w:rPr>
        <w:t>(11), 2163.</w:t>
      </w:r>
    </w:p>
    <w:p w14:paraId="40F4A90E"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lastRenderedPageBreak/>
        <w:t>Mantja</w:t>
      </w:r>
      <w:proofErr w:type="spellEnd"/>
      <w:r>
        <w:rPr>
          <w:rFonts w:ascii="Times New Roman" w:eastAsia="Times New Roman" w:hAnsi="Times New Roman" w:cs="Times New Roman"/>
          <w:color w:val="222222"/>
          <w:sz w:val="24"/>
          <w:szCs w:val="24"/>
          <w:highlight w:val="white"/>
        </w:rPr>
        <w:t xml:space="preserve">, K., </w:t>
      </w:r>
      <w:proofErr w:type="spellStart"/>
      <w:r>
        <w:rPr>
          <w:rFonts w:ascii="Times New Roman" w:eastAsia="Times New Roman" w:hAnsi="Times New Roman" w:cs="Times New Roman"/>
          <w:color w:val="222222"/>
          <w:sz w:val="24"/>
          <w:szCs w:val="24"/>
          <w:highlight w:val="white"/>
        </w:rPr>
        <w:t>Syam'un</w:t>
      </w:r>
      <w:proofErr w:type="spellEnd"/>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E., &amp; Faried, M. (2023). Seed priming using moringa leaf extract and application of Tithonia compost on shallot growth. </w:t>
      </w:r>
      <w:proofErr w:type="spellStart"/>
      <w:r>
        <w:rPr>
          <w:rFonts w:ascii="Times New Roman" w:eastAsia="Times New Roman" w:hAnsi="Times New Roman" w:cs="Times New Roman"/>
          <w:i/>
          <w:color w:val="222222"/>
          <w:sz w:val="24"/>
          <w:szCs w:val="24"/>
          <w:highlight w:val="white"/>
        </w:rPr>
        <w:t>Jurnal</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Agronomi</w:t>
      </w:r>
      <w:proofErr w:type="spellEnd"/>
      <w:r>
        <w:rPr>
          <w:rFonts w:ascii="Times New Roman" w:eastAsia="Times New Roman" w:hAnsi="Times New Roman" w:cs="Times New Roman"/>
          <w:i/>
          <w:color w:val="222222"/>
          <w:sz w:val="24"/>
          <w:szCs w:val="24"/>
          <w:highlight w:val="white"/>
        </w:rPr>
        <w:t xml:space="preserve"> Indonesia (Indonesian Journal of Agronomy)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51</w:t>
      </w:r>
      <w:r>
        <w:rPr>
          <w:rFonts w:ascii="Times New Roman" w:eastAsia="Times New Roman" w:hAnsi="Times New Roman" w:cs="Times New Roman"/>
          <w:color w:val="222222"/>
          <w:sz w:val="24"/>
          <w:szCs w:val="24"/>
          <w:highlight w:val="white"/>
        </w:rPr>
        <w:t>(2), 146-154.</w:t>
      </w:r>
    </w:p>
    <w:p w14:paraId="05065CE0"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Mazed, H. K., </w:t>
      </w:r>
      <w:proofErr w:type="spellStart"/>
      <w:r>
        <w:rPr>
          <w:rFonts w:ascii="Times New Roman" w:eastAsia="Times New Roman" w:hAnsi="Times New Roman" w:cs="Times New Roman"/>
          <w:color w:val="222222"/>
          <w:sz w:val="24"/>
          <w:szCs w:val="24"/>
          <w:highlight w:val="white"/>
        </w:rPr>
        <w:t>Pulok</w:t>
      </w:r>
      <w:proofErr w:type="spellEnd"/>
      <w:r>
        <w:rPr>
          <w:rFonts w:ascii="Times New Roman" w:eastAsia="Times New Roman" w:hAnsi="Times New Roman" w:cs="Times New Roman"/>
          <w:color w:val="222222"/>
          <w:sz w:val="24"/>
          <w:szCs w:val="24"/>
          <w:highlight w:val="white"/>
        </w:rPr>
        <w:t>, M. A. I., Chowdhury, M. S. N., &amp; Ferdo</w:t>
      </w:r>
      <w:r>
        <w:rPr>
          <w:rFonts w:ascii="Times New Roman" w:eastAsia="Times New Roman" w:hAnsi="Times New Roman" w:cs="Times New Roman"/>
          <w:color w:val="222222"/>
          <w:sz w:val="24"/>
          <w:szCs w:val="24"/>
          <w:highlight w:val="white"/>
        </w:rPr>
        <w:t xml:space="preserve">us, J. (2015). Effect of Different Types of Organic Manure and Mulching on the Growth and Yield of Carrot (Daucus Carota L.). </w:t>
      </w:r>
      <w:r>
        <w:rPr>
          <w:rFonts w:ascii="Times New Roman" w:eastAsia="Times New Roman" w:hAnsi="Times New Roman" w:cs="Times New Roman"/>
          <w:i/>
          <w:color w:val="222222"/>
          <w:sz w:val="24"/>
          <w:szCs w:val="24"/>
          <w:highlight w:val="white"/>
        </w:rPr>
        <w:t>International Journal of Scientific and Research Publications</w:t>
      </w:r>
      <w:r>
        <w:rPr>
          <w:rFonts w:ascii="Times New Roman" w:eastAsia="Times New Roman" w:hAnsi="Times New Roman" w:cs="Times New Roman"/>
          <w:color w:val="222222"/>
          <w:sz w:val="24"/>
          <w:szCs w:val="24"/>
          <w:highlight w:val="white"/>
        </w:rPr>
        <w:t>, 309.</w:t>
      </w:r>
    </w:p>
    <w:p w14:paraId="6025A83B"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Mbuyisa, S., Bertling, I., &amp; Ngcobo, B. L. (2023). Impact of f</w:t>
      </w:r>
      <w:r>
        <w:rPr>
          <w:rFonts w:ascii="Times New Roman" w:eastAsia="Times New Roman" w:hAnsi="Times New Roman" w:cs="Times New Roman"/>
          <w:color w:val="222222"/>
          <w:sz w:val="24"/>
          <w:szCs w:val="24"/>
          <w:highlight w:val="white"/>
        </w:rPr>
        <w:t xml:space="preserve">oliar-applied plant extracts on growth, physiological and yield attributes of the potato (Solanum tuberosum L.). </w:t>
      </w:r>
      <w:r>
        <w:rPr>
          <w:rFonts w:ascii="Times New Roman" w:eastAsia="Times New Roman" w:hAnsi="Times New Roman" w:cs="Times New Roman"/>
          <w:i/>
          <w:color w:val="222222"/>
          <w:sz w:val="24"/>
          <w:szCs w:val="24"/>
          <w:highlight w:val="white"/>
        </w:rPr>
        <w:t>Agronomy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14</w:t>
      </w:r>
      <w:r>
        <w:rPr>
          <w:rFonts w:ascii="Times New Roman" w:eastAsia="Times New Roman" w:hAnsi="Times New Roman" w:cs="Times New Roman"/>
          <w:color w:val="222222"/>
          <w:sz w:val="24"/>
          <w:szCs w:val="24"/>
          <w:highlight w:val="white"/>
        </w:rPr>
        <w:t>(1), 38.</w:t>
      </w:r>
    </w:p>
    <w:p w14:paraId="1FB3DBBE"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Mugwe</w:t>
      </w:r>
      <w:proofErr w:type="spellEnd"/>
      <w:r>
        <w:rPr>
          <w:rFonts w:ascii="Times New Roman" w:eastAsia="Times New Roman" w:hAnsi="Times New Roman" w:cs="Times New Roman"/>
          <w:color w:val="222222"/>
          <w:sz w:val="24"/>
          <w:szCs w:val="24"/>
          <w:highlight w:val="white"/>
        </w:rPr>
        <w:t>, J., Ngetich, F., &amp; Otieno, E. O. (2019). Integrated soil fertility management in sub-Saharan Africa: Evolving parad</w:t>
      </w:r>
      <w:r>
        <w:rPr>
          <w:rFonts w:ascii="Times New Roman" w:eastAsia="Times New Roman" w:hAnsi="Times New Roman" w:cs="Times New Roman"/>
          <w:color w:val="222222"/>
          <w:sz w:val="24"/>
          <w:szCs w:val="24"/>
          <w:highlight w:val="white"/>
        </w:rPr>
        <w:t xml:space="preserve">igms toward integration. In </w:t>
      </w:r>
      <w:r>
        <w:rPr>
          <w:rFonts w:ascii="Times New Roman" w:eastAsia="Times New Roman" w:hAnsi="Times New Roman" w:cs="Times New Roman"/>
          <w:i/>
          <w:color w:val="222222"/>
          <w:sz w:val="24"/>
          <w:szCs w:val="24"/>
          <w:highlight w:val="white"/>
        </w:rPr>
        <w:t>Zero Hunger</w:t>
      </w:r>
      <w:r>
        <w:rPr>
          <w:rFonts w:ascii="Times New Roman" w:eastAsia="Times New Roman" w:hAnsi="Times New Roman" w:cs="Times New Roman"/>
          <w:color w:val="222222"/>
          <w:sz w:val="24"/>
          <w:szCs w:val="24"/>
          <w:highlight w:val="white"/>
        </w:rPr>
        <w:t xml:space="preserve"> (pp. 1-12). Springer, Cham.</w:t>
      </w:r>
    </w:p>
    <w:p w14:paraId="5201C89C"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Musana R.F., NKJ, U., MC, M., &amp; </w:t>
      </w:r>
      <w:proofErr w:type="spellStart"/>
      <w:r>
        <w:rPr>
          <w:rFonts w:ascii="Times New Roman" w:eastAsia="Times New Roman" w:hAnsi="Times New Roman" w:cs="Times New Roman"/>
          <w:color w:val="222222"/>
          <w:sz w:val="24"/>
          <w:szCs w:val="24"/>
          <w:highlight w:val="white"/>
        </w:rPr>
        <w:t>Mbaraka</w:t>
      </w:r>
      <w:proofErr w:type="spellEnd"/>
      <w:r>
        <w:rPr>
          <w:rFonts w:ascii="Times New Roman" w:eastAsia="Times New Roman" w:hAnsi="Times New Roman" w:cs="Times New Roman"/>
          <w:color w:val="222222"/>
          <w:sz w:val="24"/>
          <w:szCs w:val="24"/>
          <w:highlight w:val="white"/>
        </w:rPr>
        <w:t xml:space="preserve">, S. R. (2025). ASSESSMENT OF THE COMBINED EFFECTS OF ORGANIC MANURE AND NPK (17-17-17) ON GROWTH AND YIELD OF CARROTS IN RWANDA. </w:t>
      </w:r>
      <w:r>
        <w:rPr>
          <w:rFonts w:ascii="Times New Roman" w:eastAsia="Times New Roman" w:hAnsi="Times New Roman" w:cs="Times New Roman"/>
          <w:i/>
          <w:color w:val="222222"/>
          <w:sz w:val="24"/>
          <w:szCs w:val="24"/>
          <w:highlight w:val="white"/>
        </w:rPr>
        <w:t xml:space="preserve">African Journal of </w:t>
      </w:r>
      <w:r>
        <w:rPr>
          <w:rFonts w:ascii="Times New Roman" w:eastAsia="Times New Roman" w:hAnsi="Times New Roman" w:cs="Times New Roman"/>
          <w:i/>
          <w:color w:val="222222"/>
          <w:sz w:val="24"/>
          <w:szCs w:val="24"/>
          <w:highlight w:val="white"/>
        </w:rPr>
        <w:t>Food, Agriculture, Nutrition &amp; Development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25</w:t>
      </w:r>
      <w:r>
        <w:rPr>
          <w:rFonts w:ascii="Times New Roman" w:eastAsia="Times New Roman" w:hAnsi="Times New Roman" w:cs="Times New Roman"/>
          <w:color w:val="222222"/>
          <w:sz w:val="24"/>
          <w:szCs w:val="24"/>
          <w:highlight w:val="white"/>
        </w:rPr>
        <w:t>(1).</w:t>
      </w:r>
    </w:p>
    <w:p w14:paraId="2979F88B"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Okonji, C. J., Adewale, D., </w:t>
      </w:r>
      <w:proofErr w:type="spellStart"/>
      <w:r>
        <w:rPr>
          <w:rFonts w:ascii="Times New Roman" w:eastAsia="Times New Roman" w:hAnsi="Times New Roman" w:cs="Times New Roman"/>
          <w:color w:val="222222"/>
          <w:sz w:val="24"/>
          <w:szCs w:val="24"/>
          <w:highlight w:val="white"/>
        </w:rPr>
        <w:t>Obisesan</w:t>
      </w:r>
      <w:proofErr w:type="spellEnd"/>
      <w:r>
        <w:rPr>
          <w:rFonts w:ascii="Times New Roman" w:eastAsia="Times New Roman" w:hAnsi="Times New Roman" w:cs="Times New Roman"/>
          <w:color w:val="222222"/>
          <w:sz w:val="24"/>
          <w:szCs w:val="24"/>
          <w:highlight w:val="white"/>
        </w:rPr>
        <w:t xml:space="preserve">, O. I., </w:t>
      </w:r>
      <w:proofErr w:type="spellStart"/>
      <w:r>
        <w:rPr>
          <w:rFonts w:ascii="Times New Roman" w:eastAsia="Times New Roman" w:hAnsi="Times New Roman" w:cs="Times New Roman"/>
          <w:color w:val="222222"/>
          <w:sz w:val="24"/>
          <w:szCs w:val="24"/>
          <w:highlight w:val="white"/>
        </w:rPr>
        <w:t>Osundare</w:t>
      </w:r>
      <w:proofErr w:type="spellEnd"/>
      <w:r>
        <w:rPr>
          <w:rFonts w:ascii="Times New Roman" w:eastAsia="Times New Roman" w:hAnsi="Times New Roman" w:cs="Times New Roman"/>
          <w:color w:val="222222"/>
          <w:sz w:val="24"/>
          <w:szCs w:val="24"/>
          <w:highlight w:val="white"/>
        </w:rPr>
        <w:t xml:space="preserve">, O. I., &amp; </w:t>
      </w:r>
      <w:proofErr w:type="spellStart"/>
      <w:r>
        <w:rPr>
          <w:rFonts w:ascii="Times New Roman" w:eastAsia="Times New Roman" w:hAnsi="Times New Roman" w:cs="Times New Roman"/>
          <w:color w:val="222222"/>
          <w:sz w:val="24"/>
          <w:szCs w:val="24"/>
          <w:highlight w:val="white"/>
        </w:rPr>
        <w:t>Ahaneku</w:t>
      </w:r>
      <w:proofErr w:type="spellEnd"/>
      <w:r>
        <w:rPr>
          <w:rFonts w:ascii="Times New Roman" w:eastAsia="Times New Roman" w:hAnsi="Times New Roman" w:cs="Times New Roman"/>
          <w:color w:val="222222"/>
          <w:sz w:val="24"/>
          <w:szCs w:val="24"/>
          <w:highlight w:val="white"/>
        </w:rPr>
        <w:t xml:space="preserve">, C. G. (2023). Impact of </w:t>
      </w:r>
      <w:proofErr w:type="spellStart"/>
      <w:r>
        <w:rPr>
          <w:rFonts w:ascii="Times New Roman" w:eastAsia="Times New Roman" w:hAnsi="Times New Roman" w:cs="Times New Roman"/>
          <w:color w:val="222222"/>
          <w:sz w:val="24"/>
          <w:szCs w:val="24"/>
          <w:highlight w:val="white"/>
        </w:rPr>
        <w:t>Tithonia</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diversifolia</w:t>
      </w:r>
      <w:proofErr w:type="spellEnd"/>
      <w:r>
        <w:rPr>
          <w:rFonts w:ascii="Times New Roman" w:eastAsia="Times New Roman" w:hAnsi="Times New Roman" w:cs="Times New Roman"/>
          <w:color w:val="222222"/>
          <w:sz w:val="24"/>
          <w:szCs w:val="24"/>
          <w:highlight w:val="white"/>
        </w:rPr>
        <w:t xml:space="preserve"> as green manure amendment on yield and yield attributes of maize (</w:t>
      </w:r>
      <w:proofErr w:type="spellStart"/>
      <w:r>
        <w:rPr>
          <w:rFonts w:ascii="Times New Roman" w:eastAsia="Times New Roman" w:hAnsi="Times New Roman" w:cs="Times New Roman"/>
          <w:color w:val="222222"/>
          <w:sz w:val="24"/>
          <w:szCs w:val="24"/>
          <w:highlight w:val="white"/>
        </w:rPr>
        <w:t>Zea</w:t>
      </w:r>
      <w:proofErr w:type="spellEnd"/>
      <w:r>
        <w:rPr>
          <w:rFonts w:ascii="Times New Roman" w:eastAsia="Times New Roman" w:hAnsi="Times New Roman" w:cs="Times New Roman"/>
          <w:color w:val="222222"/>
          <w:sz w:val="24"/>
          <w:szCs w:val="24"/>
          <w:highlight w:val="white"/>
        </w:rPr>
        <w:t xml:space="preserve"> mays.). </w:t>
      </w:r>
      <w:proofErr w:type="spellStart"/>
      <w:r>
        <w:rPr>
          <w:rFonts w:ascii="Times New Roman" w:eastAsia="Times New Roman" w:hAnsi="Times New Roman" w:cs="Times New Roman"/>
          <w:i/>
          <w:color w:val="222222"/>
          <w:sz w:val="24"/>
          <w:szCs w:val="24"/>
          <w:highlight w:val="white"/>
        </w:rPr>
        <w:t>Badeggi</w:t>
      </w:r>
      <w:proofErr w:type="spellEnd"/>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i/>
          <w:color w:val="222222"/>
          <w:sz w:val="24"/>
          <w:szCs w:val="24"/>
          <w:highlight w:val="white"/>
        </w:rPr>
        <w:t>Journal of Agricultural Research and Environment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w:t>
      </w:r>
      <w:r>
        <w:rPr>
          <w:rFonts w:ascii="Times New Roman" w:eastAsia="Times New Roman" w:hAnsi="Times New Roman" w:cs="Times New Roman"/>
          <w:color w:val="222222"/>
          <w:sz w:val="24"/>
          <w:szCs w:val="24"/>
          <w:highlight w:val="white"/>
        </w:rPr>
        <w:t>(1), 01-14.</w:t>
      </w:r>
    </w:p>
    <w:p w14:paraId="4740A73D"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Sah, D. K., Mehata, D. K., Yadav, B., Majhi, S. K., Kafle, P., &amp; Oli, B. (2024). Effect of organic and inorganic fertilizers on morphological and yield characteristics of carrot (Daucus carota)</w:t>
      </w:r>
      <w:r>
        <w:rPr>
          <w:rFonts w:ascii="Times New Roman" w:eastAsia="Times New Roman" w:hAnsi="Times New Roman" w:cs="Times New Roman"/>
          <w:color w:val="222222"/>
          <w:sz w:val="24"/>
          <w:szCs w:val="24"/>
          <w:highlight w:val="white"/>
        </w:rPr>
        <w:t xml:space="preserve"> cv. new Kuroda in </w:t>
      </w:r>
      <w:proofErr w:type="spellStart"/>
      <w:r>
        <w:rPr>
          <w:rFonts w:ascii="Times New Roman" w:eastAsia="Times New Roman" w:hAnsi="Times New Roman" w:cs="Times New Roman"/>
          <w:color w:val="222222"/>
          <w:sz w:val="24"/>
          <w:szCs w:val="24"/>
          <w:highlight w:val="white"/>
        </w:rPr>
        <w:t>Khotang</w:t>
      </w:r>
      <w:proofErr w:type="spellEnd"/>
      <w:r>
        <w:rPr>
          <w:rFonts w:ascii="Times New Roman" w:eastAsia="Times New Roman" w:hAnsi="Times New Roman" w:cs="Times New Roman"/>
          <w:color w:val="222222"/>
          <w:sz w:val="24"/>
          <w:szCs w:val="24"/>
          <w:highlight w:val="white"/>
        </w:rPr>
        <w:t xml:space="preserve"> district, Nepal. </w:t>
      </w:r>
      <w:r>
        <w:rPr>
          <w:rFonts w:ascii="Times New Roman" w:eastAsia="Times New Roman" w:hAnsi="Times New Roman" w:cs="Times New Roman"/>
          <w:i/>
          <w:color w:val="222222"/>
          <w:sz w:val="24"/>
          <w:szCs w:val="24"/>
          <w:highlight w:val="white"/>
        </w:rPr>
        <w:t>Russian Journal of Agricultural and Socio-Economic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147</w:t>
      </w:r>
      <w:r>
        <w:rPr>
          <w:rFonts w:ascii="Times New Roman" w:eastAsia="Times New Roman" w:hAnsi="Times New Roman" w:cs="Times New Roman"/>
          <w:color w:val="222222"/>
          <w:sz w:val="24"/>
          <w:szCs w:val="24"/>
          <w:highlight w:val="white"/>
        </w:rPr>
        <w:t>(3), 76-84.</w:t>
      </w:r>
    </w:p>
    <w:p w14:paraId="165CB896" w14:textId="77777777" w:rsidR="000A335C" w:rsidRDefault="0073578C">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Smith, P., Poch, R. M., Lobb, D. A., Bhattacharyya, R., Alloush, G., Eudoxie, G. D., ... &amp; Hallett, P. (2024). Status of the World's Soi</w:t>
      </w:r>
      <w:r>
        <w:rPr>
          <w:rFonts w:ascii="Times New Roman" w:eastAsia="Times New Roman" w:hAnsi="Times New Roman" w:cs="Times New Roman"/>
          <w:color w:val="222222"/>
          <w:sz w:val="24"/>
          <w:szCs w:val="24"/>
          <w:highlight w:val="white"/>
        </w:rPr>
        <w:t xml:space="preserve">ls. </w:t>
      </w:r>
      <w:r>
        <w:rPr>
          <w:rFonts w:ascii="Times New Roman" w:eastAsia="Times New Roman" w:hAnsi="Times New Roman" w:cs="Times New Roman"/>
          <w:i/>
          <w:color w:val="222222"/>
          <w:sz w:val="24"/>
          <w:szCs w:val="24"/>
          <w:highlight w:val="white"/>
        </w:rPr>
        <w:t>Annual review of environment and resources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49</w:t>
      </w:r>
      <w:r>
        <w:rPr>
          <w:rFonts w:ascii="Times New Roman" w:eastAsia="Times New Roman" w:hAnsi="Times New Roman" w:cs="Times New Roman"/>
          <w:color w:val="222222"/>
          <w:sz w:val="24"/>
          <w:szCs w:val="24"/>
          <w:highlight w:val="white"/>
        </w:rPr>
        <w:t>(2024), 73-104.</w:t>
      </w:r>
    </w:p>
    <w:p w14:paraId="7E221BC5" w14:textId="77777777" w:rsidR="000A335C" w:rsidRDefault="0073578C">
      <w:pPr>
        <w:numPr>
          <w:ilvl w:val="0"/>
          <w:numId w:val="1"/>
        </w:numPr>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t xml:space="preserve"> Sanusi, J., Ibrahim, A. M., &amp; Bello, I. (2025). Productivity of Finger Millet (Eleusine coracana L.) as Influenced by Intra-row Spacing and Application of NPK Fertilizer Rates in Sudan Savanna, Nigeria. </w:t>
      </w:r>
      <w:r>
        <w:rPr>
          <w:rFonts w:ascii="Times New Roman" w:eastAsia="Times New Roman" w:hAnsi="Times New Roman" w:cs="Times New Roman"/>
          <w:i/>
          <w:color w:val="222222"/>
          <w:sz w:val="24"/>
          <w:szCs w:val="24"/>
          <w:highlight w:val="white"/>
        </w:rPr>
        <w:t>Sahel Journal of Life Sciences FUDMA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(2), 104-108.</w:t>
      </w:r>
    </w:p>
    <w:p w14:paraId="7D904721" w14:textId="77777777" w:rsidR="000A335C" w:rsidRDefault="000A335C">
      <w:pPr>
        <w:jc w:val="both"/>
        <w:rPr>
          <w:rFonts w:ascii="Times New Roman" w:eastAsia="Times New Roman" w:hAnsi="Times New Roman" w:cs="Times New Roman"/>
          <w:color w:val="222222"/>
          <w:sz w:val="24"/>
          <w:szCs w:val="24"/>
          <w:highlight w:val="white"/>
        </w:rPr>
      </w:pPr>
    </w:p>
    <w:sectPr w:rsidR="000A335C">
      <w:headerReference w:type="even" r:id="rId7"/>
      <w:headerReference w:type="default" r:id="rId8"/>
      <w:footerReference w:type="even" r:id="rId9"/>
      <w:footerReference w:type="default" r:id="rId10"/>
      <w:headerReference w:type="first" r:id="rId11"/>
      <w:footerReference w:type="first" r:id="rId12"/>
      <w:pgSz w:w="12240" w:h="15840"/>
      <w:pgMar w:top="270" w:right="720" w:bottom="4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A144D" w14:textId="77777777" w:rsidR="0073578C" w:rsidRDefault="0073578C" w:rsidP="008A76C6">
      <w:pPr>
        <w:spacing w:line="240" w:lineRule="auto"/>
      </w:pPr>
      <w:r>
        <w:separator/>
      </w:r>
    </w:p>
  </w:endnote>
  <w:endnote w:type="continuationSeparator" w:id="0">
    <w:p w14:paraId="13B97024" w14:textId="77777777" w:rsidR="0073578C" w:rsidRDefault="0073578C" w:rsidP="008A76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E9A8" w14:textId="77777777" w:rsidR="008A76C6" w:rsidRDefault="008A7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64F1" w14:textId="77777777" w:rsidR="008A76C6" w:rsidRDefault="008A7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774D" w14:textId="77777777" w:rsidR="008A76C6" w:rsidRDefault="008A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A86E7" w14:textId="77777777" w:rsidR="0073578C" w:rsidRDefault="0073578C" w:rsidP="008A76C6">
      <w:pPr>
        <w:spacing w:line="240" w:lineRule="auto"/>
      </w:pPr>
      <w:r>
        <w:separator/>
      </w:r>
    </w:p>
  </w:footnote>
  <w:footnote w:type="continuationSeparator" w:id="0">
    <w:p w14:paraId="420FCD64" w14:textId="77777777" w:rsidR="0073578C" w:rsidRDefault="0073578C" w:rsidP="008A76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6DC6" w14:textId="6FE5E088" w:rsidR="008A76C6" w:rsidRDefault="008A76C6">
    <w:pPr>
      <w:pStyle w:val="Header"/>
    </w:pPr>
    <w:r>
      <w:rPr>
        <w:noProof/>
      </w:rPr>
      <w:pict w14:anchorId="4082A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600547"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9AC9" w14:textId="34D8A252" w:rsidR="008A76C6" w:rsidRDefault="008A76C6">
    <w:pPr>
      <w:pStyle w:val="Header"/>
    </w:pPr>
    <w:r>
      <w:rPr>
        <w:noProof/>
      </w:rPr>
      <w:pict w14:anchorId="7BC7A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600548"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9DE47" w14:textId="49D2EF21" w:rsidR="008A76C6" w:rsidRDefault="008A76C6">
    <w:pPr>
      <w:pStyle w:val="Header"/>
    </w:pPr>
    <w:r>
      <w:rPr>
        <w:noProof/>
      </w:rPr>
      <w:pict w14:anchorId="5EC51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600546"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D5D5E"/>
    <w:multiLevelType w:val="multilevel"/>
    <w:tmpl w:val="6E0E6B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78407A4"/>
    <w:multiLevelType w:val="multilevel"/>
    <w:tmpl w:val="AAC02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5C"/>
    <w:rsid w:val="000A335C"/>
    <w:rsid w:val="000A5F25"/>
    <w:rsid w:val="00255868"/>
    <w:rsid w:val="002F7B4E"/>
    <w:rsid w:val="004E1FD6"/>
    <w:rsid w:val="0073578C"/>
    <w:rsid w:val="008A76C6"/>
    <w:rsid w:val="00996F50"/>
    <w:rsid w:val="00BD4CF2"/>
    <w:rsid w:val="00F467D8"/>
    <w:rsid w:val="00F860FB"/>
    <w:rsid w:val="00FE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E6377"/>
  <w15:docId w15:val="{19DA8CB6-A5D2-4ABB-8B8A-1C9C6FA8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F7B4E"/>
    <w:rPr>
      <w:color w:val="0000FF" w:themeColor="hyperlink"/>
      <w:u w:val="single"/>
    </w:rPr>
  </w:style>
  <w:style w:type="character" w:styleId="UnresolvedMention">
    <w:name w:val="Unresolved Mention"/>
    <w:basedOn w:val="DefaultParagraphFont"/>
    <w:uiPriority w:val="99"/>
    <w:semiHidden/>
    <w:unhideWhenUsed/>
    <w:rsid w:val="002F7B4E"/>
    <w:rPr>
      <w:color w:val="605E5C"/>
      <w:shd w:val="clear" w:color="auto" w:fill="E1DFDD"/>
    </w:rPr>
  </w:style>
  <w:style w:type="paragraph" w:styleId="Header">
    <w:name w:val="header"/>
    <w:basedOn w:val="Normal"/>
    <w:link w:val="HeaderChar"/>
    <w:uiPriority w:val="99"/>
    <w:unhideWhenUsed/>
    <w:rsid w:val="008A76C6"/>
    <w:pPr>
      <w:tabs>
        <w:tab w:val="center" w:pos="4680"/>
        <w:tab w:val="right" w:pos="9360"/>
      </w:tabs>
      <w:spacing w:line="240" w:lineRule="auto"/>
    </w:pPr>
  </w:style>
  <w:style w:type="character" w:customStyle="1" w:styleId="HeaderChar">
    <w:name w:val="Header Char"/>
    <w:basedOn w:val="DefaultParagraphFont"/>
    <w:link w:val="Header"/>
    <w:uiPriority w:val="99"/>
    <w:rsid w:val="008A76C6"/>
  </w:style>
  <w:style w:type="paragraph" w:styleId="Footer">
    <w:name w:val="footer"/>
    <w:basedOn w:val="Normal"/>
    <w:link w:val="FooterChar"/>
    <w:uiPriority w:val="99"/>
    <w:unhideWhenUsed/>
    <w:rsid w:val="008A76C6"/>
    <w:pPr>
      <w:tabs>
        <w:tab w:val="center" w:pos="4680"/>
        <w:tab w:val="right" w:pos="9360"/>
      </w:tabs>
      <w:spacing w:line="240" w:lineRule="auto"/>
    </w:pPr>
  </w:style>
  <w:style w:type="character" w:customStyle="1" w:styleId="FooterChar">
    <w:name w:val="Footer Char"/>
    <w:basedOn w:val="DefaultParagraphFont"/>
    <w:link w:val="Footer"/>
    <w:uiPriority w:val="99"/>
    <w:rsid w:val="008A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4244</Words>
  <Characters>24191</Characters>
  <Application>Microsoft Office Word</Application>
  <DocSecurity>0</DocSecurity>
  <Lines>201</Lines>
  <Paragraphs>56</Paragraphs>
  <ScaleCrop>false</ScaleCrop>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32</cp:revision>
  <dcterms:created xsi:type="dcterms:W3CDTF">2025-07-31T12:47:00Z</dcterms:created>
  <dcterms:modified xsi:type="dcterms:W3CDTF">2025-08-01T06:35:00Z</dcterms:modified>
</cp:coreProperties>
</file>