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99A2" w14:textId="77777777" w:rsidR="00790AC4" w:rsidRPr="00790AC4" w:rsidRDefault="00790AC4" w:rsidP="00790AC4">
      <w:pPr>
        <w:jc w:val="center"/>
        <w:rPr>
          <w:rFonts w:ascii="Times New Roman" w:hAnsi="Times New Roman" w:cs="Times New Roman"/>
          <w:b/>
          <w:bCs/>
          <w:i/>
          <w:iCs/>
          <w:u w:val="single"/>
        </w:rPr>
      </w:pPr>
      <w:r w:rsidRPr="00790AC4">
        <w:rPr>
          <w:rFonts w:ascii="Times New Roman" w:hAnsi="Times New Roman" w:cs="Times New Roman"/>
          <w:b/>
          <w:bCs/>
          <w:i/>
          <w:iCs/>
          <w:u w:val="single"/>
        </w:rPr>
        <w:t>Review Article</w:t>
      </w:r>
    </w:p>
    <w:p w14:paraId="14DE0C5C" w14:textId="77777777" w:rsidR="00790AC4" w:rsidRDefault="00790AC4" w:rsidP="001A6B3A">
      <w:pPr>
        <w:jc w:val="center"/>
        <w:rPr>
          <w:rFonts w:ascii="Times New Roman" w:hAnsi="Times New Roman" w:cs="Times New Roman"/>
          <w:b/>
          <w:bCs/>
        </w:rPr>
      </w:pPr>
    </w:p>
    <w:p w14:paraId="5B6B2EC3" w14:textId="3CAB5B65" w:rsidR="00B847F7" w:rsidRPr="001A6B3A" w:rsidRDefault="00B847F7" w:rsidP="001A6B3A">
      <w:pPr>
        <w:jc w:val="center"/>
        <w:rPr>
          <w:rFonts w:ascii="Times New Roman" w:hAnsi="Times New Roman" w:cs="Times New Roman"/>
          <w:b/>
          <w:bCs/>
        </w:rPr>
      </w:pPr>
      <w:bookmarkStart w:id="0" w:name="_Hlk212563814"/>
      <w:r w:rsidRPr="00B847F7">
        <w:rPr>
          <w:rFonts w:ascii="Times New Roman" w:hAnsi="Times New Roman" w:cs="Times New Roman"/>
          <w:b/>
          <w:bCs/>
        </w:rPr>
        <w:t>The Nosocomial-Environmental Nexus of </w:t>
      </w:r>
      <w:r w:rsidRPr="00B847F7">
        <w:rPr>
          <w:rFonts w:ascii="Times New Roman" w:hAnsi="Times New Roman" w:cs="Times New Roman"/>
          <w:b/>
          <w:bCs/>
          <w:i/>
          <w:iCs/>
        </w:rPr>
        <w:t>Acinetobacter</w:t>
      </w:r>
      <w:r w:rsidRPr="00B847F7">
        <w:rPr>
          <w:rFonts w:ascii="Times New Roman" w:hAnsi="Times New Roman" w:cs="Times New Roman"/>
          <w:b/>
          <w:bCs/>
        </w:rPr>
        <w:t> Species in Nigeria: A Narrative Review of Prevalence, Resistance, and Public Health Implications</w:t>
      </w:r>
    </w:p>
    <w:bookmarkEnd w:id="0"/>
    <w:p w14:paraId="79C9BBD8" w14:textId="77777777" w:rsidR="004E6306" w:rsidRDefault="004E6306" w:rsidP="001A6B3A">
      <w:pPr>
        <w:jc w:val="both"/>
        <w:rPr>
          <w:rFonts w:ascii="Times New Roman" w:hAnsi="Times New Roman" w:cs="Times New Roman"/>
          <w:b/>
          <w:bCs/>
        </w:rPr>
      </w:pPr>
    </w:p>
    <w:p w14:paraId="39EDD4D1" w14:textId="283E5182" w:rsidR="00B847F7" w:rsidRPr="00B847F7" w:rsidRDefault="001A6B3A" w:rsidP="001A6B3A">
      <w:pPr>
        <w:jc w:val="both"/>
        <w:rPr>
          <w:rFonts w:ascii="Times New Roman" w:hAnsi="Times New Roman" w:cs="Times New Roman"/>
        </w:rPr>
      </w:pPr>
      <w:r w:rsidRPr="00B847F7">
        <w:rPr>
          <w:rFonts w:ascii="Times New Roman" w:hAnsi="Times New Roman" w:cs="Times New Roman"/>
          <w:b/>
          <w:bCs/>
        </w:rPr>
        <w:t>ABSTRACT</w:t>
      </w:r>
    </w:p>
    <w:p w14:paraId="740A37EE" w14:textId="1010A61C"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Background:</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xml:space="preserve">, a World Health Organization critical-priority pathogen, exemplifies the challenge of antimicrobial resistance (AMR), particularly in healthcare settings. </w:t>
      </w:r>
      <w:r w:rsidR="005109F4" w:rsidRPr="005109F4">
        <w:rPr>
          <w:rFonts w:ascii="Times New Roman" w:hAnsi="Times New Roman" w:cs="Times New Roman"/>
        </w:rPr>
        <w:t xml:space="preserve">The </w:t>
      </w:r>
      <w:r w:rsidR="005109F4">
        <w:rPr>
          <w:rFonts w:ascii="Times New Roman" w:hAnsi="Times New Roman" w:cs="Times New Roman"/>
        </w:rPr>
        <w:t>‘</w:t>
      </w:r>
      <w:r w:rsidR="005109F4" w:rsidRPr="005109F4">
        <w:rPr>
          <w:rFonts w:ascii="Times New Roman" w:hAnsi="Times New Roman" w:cs="Times New Roman"/>
        </w:rPr>
        <w:t xml:space="preserve">One </w:t>
      </w:r>
      <w:r w:rsidR="005109F4" w:rsidRPr="00D250F7">
        <w:rPr>
          <w:rFonts w:ascii="Times New Roman" w:hAnsi="Times New Roman" w:cs="Times New Roman"/>
        </w:rPr>
        <w:t xml:space="preserve">Health’ framework emphasizes that hospital ecosystems are closely linked to the external environment, a critical yet </w:t>
      </w:r>
      <w:r w:rsidR="005109F4" w:rsidRPr="00B847F7">
        <w:rPr>
          <w:rFonts w:ascii="Times New Roman" w:hAnsi="Times New Roman" w:cs="Times New Roman"/>
        </w:rPr>
        <w:t>understudied</w:t>
      </w:r>
      <w:r w:rsidR="005109F4" w:rsidRPr="00D250F7">
        <w:rPr>
          <w:rFonts w:ascii="Times New Roman" w:hAnsi="Times New Roman" w:cs="Times New Roman"/>
        </w:rPr>
        <w:t xml:space="preserve"> interface </w:t>
      </w:r>
      <w:r w:rsidR="005109F4" w:rsidRPr="005109F4">
        <w:rPr>
          <w:rFonts w:ascii="Times New Roman" w:hAnsi="Times New Roman" w:cs="Times New Roman"/>
        </w:rPr>
        <w:t xml:space="preserve">in low- and middle-income </w:t>
      </w:r>
      <w:r w:rsidR="005109F4">
        <w:rPr>
          <w:rFonts w:ascii="Times New Roman" w:hAnsi="Times New Roman" w:cs="Times New Roman"/>
        </w:rPr>
        <w:t>countries</w:t>
      </w:r>
      <w:r w:rsidR="005109F4" w:rsidRPr="005109F4">
        <w:rPr>
          <w:rFonts w:ascii="Times New Roman" w:hAnsi="Times New Roman" w:cs="Times New Roman"/>
        </w:rPr>
        <w:t xml:space="preserve"> like Nigeria, where limited infrastructure may accelerate environmental dissemination of antimicrobial-resistant pathogens.</w:t>
      </w:r>
      <w:r w:rsidR="005109F4" w:rsidRPr="00B847F7">
        <w:rPr>
          <w:rFonts w:ascii="Times New Roman" w:hAnsi="Times New Roman" w:cs="Times New Roman"/>
          <w:color w:val="FF0000"/>
        </w:rPr>
        <w:t xml:space="preserve"> </w:t>
      </w:r>
      <w:r w:rsidRPr="00B847F7">
        <w:rPr>
          <w:rFonts w:ascii="Times New Roman" w:hAnsi="Times New Roman" w:cs="Times New Roman"/>
          <w:color w:val="FF0000"/>
        </w:rPr>
        <w:br/>
      </w:r>
      <w:r w:rsidRPr="00B847F7">
        <w:rPr>
          <w:rFonts w:ascii="Times New Roman" w:hAnsi="Times New Roman" w:cs="Times New Roman"/>
          <w:b/>
          <w:bCs/>
        </w:rPr>
        <w:t>Objective:</w:t>
      </w:r>
      <w:r w:rsidRPr="00B847F7">
        <w:rPr>
          <w:rFonts w:ascii="Times New Roman" w:hAnsi="Times New Roman" w:cs="Times New Roman"/>
        </w:rPr>
        <w:t> This narrative review synthesizes and critically appraises the existing literature on the prevalence, antibiotic resistance profiles, and genetic mechanisms of </w:t>
      </w:r>
      <w:r w:rsidRPr="00B847F7">
        <w:rPr>
          <w:rFonts w:ascii="Times New Roman" w:hAnsi="Times New Roman" w:cs="Times New Roman"/>
          <w:i/>
          <w:iCs/>
        </w:rPr>
        <w:t>Acinetobacter</w:t>
      </w:r>
      <w:r w:rsidRPr="00B847F7">
        <w:rPr>
          <w:rFonts w:ascii="Times New Roman" w:hAnsi="Times New Roman" w:cs="Times New Roman"/>
        </w:rPr>
        <w:t> species circulating between Nigerian clinical and environmental settings, and discusses the public health implications.</w:t>
      </w:r>
      <w:r w:rsidRPr="00B847F7">
        <w:rPr>
          <w:rFonts w:ascii="Times New Roman" w:hAnsi="Times New Roman" w:cs="Times New Roman"/>
        </w:rPr>
        <w:br/>
      </w:r>
      <w:r w:rsidRPr="00B847F7">
        <w:rPr>
          <w:rFonts w:ascii="Times New Roman" w:hAnsi="Times New Roman" w:cs="Times New Roman"/>
          <w:b/>
          <w:bCs/>
        </w:rPr>
        <w:t>Methods:</w:t>
      </w:r>
      <w:r w:rsidRPr="00B847F7">
        <w:rPr>
          <w:rFonts w:ascii="Times New Roman" w:hAnsi="Times New Roman" w:cs="Times New Roman"/>
        </w:rPr>
        <w:t> A systematic search of Scopus, PubMed, and Web of Science databases was conducted for literature published between 2010 and 2024. The narrative synthesis focused on studies from Nigeria, contextualized with key global and regional evidence.</w:t>
      </w:r>
      <w:r w:rsidRPr="00B847F7">
        <w:rPr>
          <w:rFonts w:ascii="Times New Roman" w:hAnsi="Times New Roman" w:cs="Times New Roman"/>
        </w:rPr>
        <w:br/>
      </w:r>
      <w:r w:rsidRPr="00B847F7">
        <w:rPr>
          <w:rFonts w:ascii="Times New Roman" w:hAnsi="Times New Roman" w:cs="Times New Roman"/>
          <w:b/>
          <w:bCs/>
        </w:rPr>
        <w:t>Results:</w:t>
      </w:r>
      <w:r w:rsidRPr="00B847F7">
        <w:rPr>
          <w:rFonts w:ascii="Times New Roman" w:hAnsi="Times New Roman" w:cs="Times New Roman"/>
        </w:rPr>
        <w:t> Evidence confirms that multidrug-resistant (MDR) </w:t>
      </w:r>
      <w:r w:rsidRPr="00B847F7">
        <w:rPr>
          <w:rFonts w:ascii="Times New Roman" w:hAnsi="Times New Roman" w:cs="Times New Roman"/>
          <w:i/>
          <w:iCs/>
        </w:rPr>
        <w:t>Acinetobacter</w:t>
      </w:r>
      <w:r w:rsidRPr="00B847F7">
        <w:rPr>
          <w:rFonts w:ascii="Times New Roman" w:hAnsi="Times New Roman" w:cs="Times New Roman"/>
        </w:rPr>
        <w:t> species, particularly </w:t>
      </w:r>
      <w:r w:rsidRPr="00B847F7">
        <w:rPr>
          <w:rFonts w:ascii="Times New Roman" w:hAnsi="Times New Roman" w:cs="Times New Roman"/>
          <w:i/>
          <w:iCs/>
        </w:rPr>
        <w:t>A. baumannii</w:t>
      </w:r>
      <w:r w:rsidRPr="00B847F7">
        <w:rPr>
          <w:rFonts w:ascii="Times New Roman" w:hAnsi="Times New Roman" w:cs="Times New Roman"/>
        </w:rPr>
        <w:t>, are endemic in Nigerian hospitals. High rates of resistance to carbapenems, aminoglycosides, and fluoroquinolones are reported, driven by genes such as </w:t>
      </w:r>
      <w:r w:rsidRPr="00B847F7">
        <w:rPr>
          <w:rFonts w:ascii="Times New Roman" w:hAnsi="Times New Roman" w:cs="Times New Roman"/>
          <w:i/>
          <w:iCs/>
        </w:rPr>
        <w:t>bla</w:t>
      </w:r>
      <w:r w:rsidRPr="00B847F7">
        <w:rPr>
          <w:rFonts w:ascii="Times New Roman" w:hAnsi="Times New Roman" w:cs="Times New Roman"/>
        </w:rPr>
        <w:t>OXA-23, </w:t>
      </w:r>
      <w:r w:rsidRPr="00B847F7">
        <w:rPr>
          <w:rFonts w:ascii="Times New Roman" w:hAnsi="Times New Roman" w:cs="Times New Roman"/>
          <w:i/>
          <w:iCs/>
        </w:rPr>
        <w:t>bla</w:t>
      </w:r>
      <w:r w:rsidRPr="00B847F7">
        <w:rPr>
          <w:rFonts w:ascii="Times New Roman" w:hAnsi="Times New Roman" w:cs="Times New Roman"/>
        </w:rPr>
        <w:t>OXA-51, and </w:t>
      </w:r>
      <w:r w:rsidRPr="00B847F7">
        <w:rPr>
          <w:rFonts w:ascii="Times New Roman" w:hAnsi="Times New Roman" w:cs="Times New Roman"/>
          <w:i/>
          <w:iCs/>
        </w:rPr>
        <w:t>bla</w:t>
      </w:r>
      <w:r w:rsidRPr="00B847F7">
        <w:rPr>
          <w:rFonts w:ascii="Times New Roman" w:hAnsi="Times New Roman" w:cs="Times New Roman"/>
        </w:rPr>
        <w:t>NDM-1. Critically, these high-risk clones and their resistance genes are increasingly detected in hospital wastewater, municipal sewage, and adjacent river systems, demonstrating a continuous transmission cycle facilitated by inadequate infection prevention and control (IPC) and poor sanitation infrastructure.</w:t>
      </w:r>
      <w:r w:rsidRPr="00B847F7">
        <w:rPr>
          <w:rFonts w:ascii="Times New Roman" w:hAnsi="Times New Roman" w:cs="Times New Roman"/>
        </w:rPr>
        <w:br/>
      </w:r>
      <w:r w:rsidRPr="00B847F7">
        <w:rPr>
          <w:rFonts w:ascii="Times New Roman" w:hAnsi="Times New Roman" w:cs="Times New Roman"/>
          <w:b/>
          <w:bCs/>
        </w:rPr>
        <w:t>Conclusion:</w:t>
      </w:r>
      <w:r w:rsidRPr="00B847F7">
        <w:rPr>
          <w:rFonts w:ascii="Times New Roman" w:hAnsi="Times New Roman" w:cs="Times New Roman"/>
        </w:rPr>
        <w:t> The nosocomial-environmental nexus of </w:t>
      </w:r>
      <w:r w:rsidRPr="00B847F7">
        <w:rPr>
          <w:rFonts w:ascii="Times New Roman" w:hAnsi="Times New Roman" w:cs="Times New Roman"/>
          <w:i/>
          <w:iCs/>
        </w:rPr>
        <w:t>Acinetobacter</w:t>
      </w:r>
      <w:r w:rsidRPr="00B847F7">
        <w:rPr>
          <w:rFonts w:ascii="Times New Roman" w:hAnsi="Times New Roman" w:cs="Times New Roman"/>
        </w:rPr>
        <w:t> in Nigeria represents a significant and growing public health threat. Breaking this cycle requires an integrated ‘One Health’ approach that combines strengthened hospital IPC, enhanced antimicrobial stewardship, and robust environmental waste management policies.</w:t>
      </w:r>
    </w:p>
    <w:p w14:paraId="471095C7" w14:textId="59DBB7DB"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Keywords:</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Antimicrobial Resistance, One Health, Nosocomial Infections, Environmental Reservoir, Nigeria, Carbapenem Resistance.</w:t>
      </w:r>
    </w:p>
    <w:p w14:paraId="624ED7EB" w14:textId="624110F2" w:rsidR="00B847F7" w:rsidRPr="00B847F7" w:rsidRDefault="001A6B3A" w:rsidP="001A6B3A">
      <w:pPr>
        <w:jc w:val="both"/>
        <w:rPr>
          <w:rFonts w:ascii="Times New Roman" w:hAnsi="Times New Roman" w:cs="Times New Roman"/>
          <w:b/>
          <w:bCs/>
        </w:rPr>
      </w:pPr>
      <w:r>
        <w:rPr>
          <w:rFonts w:ascii="Times New Roman" w:hAnsi="Times New Roman" w:cs="Times New Roman"/>
          <w:b/>
          <w:bCs/>
        </w:rPr>
        <w:br w:type="page"/>
      </w:r>
      <w:r w:rsidRPr="00B847F7">
        <w:rPr>
          <w:rFonts w:ascii="Times New Roman" w:hAnsi="Times New Roman" w:cs="Times New Roman"/>
          <w:b/>
          <w:bCs/>
        </w:rPr>
        <w:lastRenderedPageBreak/>
        <w:t>1. INTRODUCTION</w:t>
      </w:r>
    </w:p>
    <w:p w14:paraId="05BE5068" w14:textId="0667C56C"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spectr</w:t>
      </w:r>
      <w:r w:rsidR="00A62153">
        <w:rPr>
          <w:rFonts w:ascii="Times New Roman" w:hAnsi="Times New Roman" w:cs="Times New Roman"/>
        </w:rPr>
        <w:t>um</w:t>
      </w:r>
      <w:r w:rsidRPr="00B847F7">
        <w:rPr>
          <w:rFonts w:ascii="Times New Roman" w:hAnsi="Times New Roman" w:cs="Times New Roman"/>
        </w:rPr>
        <w:t xml:space="preserve"> of antimicrobial resistance (AMR) </w:t>
      </w:r>
      <w:r w:rsidR="00034D8C">
        <w:rPr>
          <w:rFonts w:ascii="Times New Roman" w:hAnsi="Times New Roman" w:cs="Times New Roman"/>
        </w:rPr>
        <w:t>persists</w:t>
      </w:r>
      <w:r w:rsidRPr="00B847F7">
        <w:rPr>
          <w:rFonts w:ascii="Times New Roman" w:hAnsi="Times New Roman" w:cs="Times New Roman"/>
        </w:rPr>
        <w:t xml:space="preserve"> as one of the most pressing global public health crises of the 21st century, threatening to unravel a century of medical progress. Contemporary analyses attribute a staggering burden of mortality directly to AMR, with one seminal study estimating 4.95 million deaths associated with bacterial AMR in 2019, a figure that surpasses the mortality toll of HIV/AIDS or malaria (Antimicrobial Resistance Collaborators, 2022). This crisis is not a future threat but a present reality, eroding the efficacy of antibiotics and rendering routine medical procedures, such as surgeries, chemotherapy, and organ transplants, dangerously vulnerable to untreatable infections. The economic ramifications are equally profound, projecting a potential drain of up to $100 trillion from the global economy by 2050 if left unchecked (O'Neill, 2016). Within this alarming panorama, Gram-negative bacteria, particularly the ESKAPE pathogens (</w:t>
      </w:r>
      <w:r w:rsidRPr="00B847F7">
        <w:rPr>
          <w:rFonts w:ascii="Times New Roman" w:hAnsi="Times New Roman" w:cs="Times New Roman"/>
          <w:i/>
          <w:iCs/>
        </w:rPr>
        <w:t>Enterococcus faecium</w:t>
      </w:r>
      <w:r w:rsidRPr="00B847F7">
        <w:rPr>
          <w:rFonts w:ascii="Times New Roman" w:hAnsi="Times New Roman" w:cs="Times New Roman"/>
        </w:rPr>
        <w:t>, </w:t>
      </w:r>
      <w:r w:rsidRPr="00B847F7">
        <w:rPr>
          <w:rFonts w:ascii="Times New Roman" w:hAnsi="Times New Roman" w:cs="Times New Roman"/>
          <w:i/>
          <w:iCs/>
        </w:rPr>
        <w:t>Staphylococcus aureus</w:t>
      </w:r>
      <w:r w:rsidRPr="00B847F7">
        <w:rPr>
          <w:rFonts w:ascii="Times New Roman" w:hAnsi="Times New Roman" w:cs="Times New Roman"/>
        </w:rPr>
        <w:t>, </w:t>
      </w:r>
      <w:r w:rsidRPr="00B847F7">
        <w:rPr>
          <w:rFonts w:ascii="Times New Roman" w:hAnsi="Times New Roman" w:cs="Times New Roman"/>
          <w:i/>
          <w:iCs/>
        </w:rPr>
        <w:t>Klebsiella pneumoniae</w:t>
      </w:r>
      <w:r w:rsidRPr="00B847F7">
        <w:rPr>
          <w:rFonts w:ascii="Times New Roman" w:hAnsi="Times New Roman" w:cs="Times New Roman"/>
        </w:rPr>
        <w:t>, </w:t>
      </w:r>
      <w:r w:rsidRPr="00B847F7">
        <w:rPr>
          <w:rFonts w:ascii="Times New Roman" w:hAnsi="Times New Roman" w:cs="Times New Roman"/>
          <w:i/>
          <w:iCs/>
        </w:rPr>
        <w:t>Acinetobacter baumannii</w:t>
      </w:r>
      <w:r w:rsidRPr="00B847F7">
        <w:rPr>
          <w:rFonts w:ascii="Times New Roman" w:hAnsi="Times New Roman" w:cs="Times New Roman"/>
        </w:rPr>
        <w:t>, </w:t>
      </w:r>
      <w:r w:rsidRPr="00B847F7">
        <w:rPr>
          <w:rFonts w:ascii="Times New Roman" w:hAnsi="Times New Roman" w:cs="Times New Roman"/>
          <w:i/>
          <w:iCs/>
        </w:rPr>
        <w:t>Pseudomonas aeruginosa</w:t>
      </w:r>
      <w:r w:rsidRPr="00B847F7">
        <w:rPr>
          <w:rFonts w:ascii="Times New Roman" w:hAnsi="Times New Roman" w:cs="Times New Roman"/>
        </w:rPr>
        <w:t>, and </w:t>
      </w:r>
      <w:r w:rsidRPr="00B847F7">
        <w:rPr>
          <w:rFonts w:ascii="Times New Roman" w:hAnsi="Times New Roman" w:cs="Times New Roman"/>
          <w:i/>
          <w:iCs/>
        </w:rPr>
        <w:t>Enterobacter</w:t>
      </w:r>
      <w:r w:rsidRPr="00B847F7">
        <w:rPr>
          <w:rFonts w:ascii="Times New Roman" w:hAnsi="Times New Roman" w:cs="Times New Roman"/>
        </w:rPr>
        <w:t> species), occupy a central role due to their formidable capacity to "escape" the biocidal action of antibiotics and their propensity for nosocomial transmission (Asif et al., 2023).</w:t>
      </w:r>
    </w:p>
    <w:p w14:paraId="711F46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Among the ESKAPE cohort, </w:t>
      </w:r>
      <w:r w:rsidRPr="00B847F7">
        <w:rPr>
          <w:rFonts w:ascii="Times New Roman" w:hAnsi="Times New Roman" w:cs="Times New Roman"/>
          <w:i/>
          <w:iCs/>
        </w:rPr>
        <w:t>Acinetobacter baumannii</w:t>
      </w:r>
      <w:r w:rsidRPr="00B847F7">
        <w:rPr>
          <w:rFonts w:ascii="Times New Roman" w:hAnsi="Times New Roman" w:cs="Times New Roman"/>
        </w:rPr>
        <w:t> has emerged as a pathogen of singular notoriety. The World Health Organization (WHO) has classified it as a "critical priority" for research and development of new antibiotics, a designation reserved for pathogens posing the greatest threat to human health (WHO, 2017). This status is a direct consequence of its alarming trajectory towards pan-drug resistance. </w:t>
      </w:r>
      <w:r w:rsidRPr="00B847F7">
        <w:rPr>
          <w:rFonts w:ascii="Times New Roman" w:hAnsi="Times New Roman" w:cs="Times New Roman"/>
          <w:i/>
          <w:iCs/>
        </w:rPr>
        <w:t>A. baumannii</w:t>
      </w:r>
      <w:r w:rsidRPr="00B847F7">
        <w:rPr>
          <w:rFonts w:ascii="Times New Roman" w:hAnsi="Times New Roman" w:cs="Times New Roman"/>
        </w:rPr>
        <w:t> demonstrates a chameleonic ability to acquire and upregulate a vast arsenal of resistance determinants, including efflux pumps, enzymatic drug inactivation, and target site modifications, often accumulated simultaneously on large genomic islands, rendering it resistant to nearly all available antimicrobial classes (Kyriakidis et al., 2021). Its ecological resilience is equally remarkable; as a desiccation-tolerant organism, it can persist on inanimate surfaces for extended periods, making it a tenacious contaminant of hospital environments, from ventilators and bed rails to the hands of healthcare workers (Vázquez-López et al., 2020). This combination of extensive resistance and environmental hardiness has cemented its reputation as a quintessential "nosocomial pathogen," responsible for devastating outbreaks in intensive care units (ICUs), causing ventilator-associated pneumonia, bloodstream infections, meningitis, and wound infections with associated mortality rates often exceeding 40% (Harding et al., 2018).</w:t>
      </w:r>
    </w:p>
    <w:p w14:paraId="57ECEA76"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However, a myopic focus on the hospital as a self-contained ecosystem represents a critical conceptual and strategic flaw in the global fight against AMR. The ‘One Health’ paradigm provides an essential corrective lens, recognizing that the health of humans, domestic and wild animals, plants, and the wider environment (including ecosystems) are closely linked and inter-dependent (</w:t>
      </w:r>
      <w:proofErr w:type="spellStart"/>
      <w:r w:rsidRPr="00B847F7">
        <w:rPr>
          <w:rFonts w:ascii="Times New Roman" w:hAnsi="Times New Roman" w:cs="Times New Roman"/>
        </w:rPr>
        <w:t>Berendonk</w:t>
      </w:r>
      <w:proofErr w:type="spellEnd"/>
      <w:r w:rsidRPr="00B847F7">
        <w:rPr>
          <w:rFonts w:ascii="Times New Roman" w:hAnsi="Times New Roman" w:cs="Times New Roman"/>
        </w:rPr>
        <w:t xml:space="preserve"> et al., 2021). For a resilient environmental organism like </w:t>
      </w:r>
      <w:r w:rsidRPr="00B847F7">
        <w:rPr>
          <w:rFonts w:ascii="Times New Roman" w:hAnsi="Times New Roman" w:cs="Times New Roman"/>
          <w:i/>
          <w:iCs/>
        </w:rPr>
        <w:t>A. baumannii</w:t>
      </w:r>
      <w:r w:rsidRPr="00B847F7">
        <w:rPr>
          <w:rFonts w:ascii="Times New Roman" w:hAnsi="Times New Roman" w:cs="Times New Roman"/>
        </w:rPr>
        <w:t xml:space="preserve">, the hospital is merely one node in a vast, interconnected network of transmission. The pathogen does not respect the artificial boundaries of the hospital wall; it travels via effluent pipes, on the clothing of staff and visitors, and through medical waste, entering the broader environment. Once there, it can </w:t>
      </w:r>
      <w:r w:rsidRPr="00B847F7">
        <w:rPr>
          <w:rFonts w:ascii="Times New Roman" w:hAnsi="Times New Roman" w:cs="Times New Roman"/>
        </w:rPr>
        <w:lastRenderedPageBreak/>
        <w:t>persist, multiply, and crucially, engage in genetic exchange with other environmental bacteria in a milieu often rich in antibiotic residues and other selective pressures (Lupo et al., 2020). This environmental reservoir then acts as a source for re-introduction into healthcare settings, completing a vicious cycle of transmission that perpetuates the endemicity of MDR </w:t>
      </w:r>
      <w:r w:rsidRPr="00B847F7">
        <w:rPr>
          <w:rFonts w:ascii="Times New Roman" w:hAnsi="Times New Roman" w:cs="Times New Roman"/>
          <w:i/>
          <w:iCs/>
        </w:rPr>
        <w:t>Acinetobacter</w:t>
      </w:r>
      <w:r w:rsidRPr="00B847F7">
        <w:rPr>
          <w:rFonts w:ascii="Times New Roman" w:hAnsi="Times New Roman" w:cs="Times New Roman"/>
        </w:rPr>
        <w:t>.</w:t>
      </w:r>
    </w:p>
    <w:p w14:paraId="36EB9A98" w14:textId="7140E485"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Nigerian context represents what can be described as a "perfect storm" for the emergence, amplification, and dissemination of MDR </w:t>
      </w:r>
      <w:r w:rsidRPr="00B847F7">
        <w:rPr>
          <w:rFonts w:ascii="Times New Roman" w:hAnsi="Times New Roman" w:cs="Times New Roman"/>
          <w:i/>
          <w:iCs/>
        </w:rPr>
        <w:t>Acinetobacter</w:t>
      </w:r>
      <w:r w:rsidRPr="00B847F7">
        <w:rPr>
          <w:rFonts w:ascii="Times New Roman" w:hAnsi="Times New Roman" w:cs="Times New Roman"/>
        </w:rPr>
        <w:t> along this very nosocomial-environmental nexus. As Africa's most populous nation, Nigeria faces a confluence of powerful, synergistic drivers. The healthcare system is characterized by overcrowding, chronic underfunding, and a severe shortage of essential medical supplies, including alcohol-based hand rubs and personal protective equipment (PPE), which cripples the implementation of basic infection prevention and control (IPC) measures (</w:t>
      </w:r>
      <w:proofErr w:type="spellStart"/>
      <w:r w:rsidRPr="00B847F7">
        <w:rPr>
          <w:rFonts w:ascii="Times New Roman" w:hAnsi="Times New Roman" w:cs="Times New Roman"/>
        </w:rPr>
        <w:t>Olamijuwon</w:t>
      </w:r>
      <w:proofErr w:type="spellEnd"/>
      <w:r w:rsidRPr="00B847F7">
        <w:rPr>
          <w:rFonts w:ascii="Times New Roman" w:hAnsi="Times New Roman" w:cs="Times New Roman"/>
        </w:rPr>
        <w:t xml:space="preserve"> et al., 2023). The unregulated sale and consumption of antibiotics, both in formal and informal sectors, creates immense selective pressure, </w:t>
      </w:r>
      <w:r w:rsidR="003C33B4" w:rsidRPr="00B847F7">
        <w:rPr>
          <w:rFonts w:ascii="Times New Roman" w:hAnsi="Times New Roman" w:cs="Times New Roman"/>
        </w:rPr>
        <w:t>favoring</w:t>
      </w:r>
      <w:r w:rsidRPr="00B847F7">
        <w:rPr>
          <w:rFonts w:ascii="Times New Roman" w:hAnsi="Times New Roman" w:cs="Times New Roman"/>
        </w:rPr>
        <w:t xml:space="preserve"> the survival and dominance of resistant clones (</w:t>
      </w:r>
      <w:proofErr w:type="spellStart"/>
      <w:r w:rsidRPr="00B847F7">
        <w:rPr>
          <w:rFonts w:ascii="Times New Roman" w:hAnsi="Times New Roman" w:cs="Times New Roman"/>
        </w:rPr>
        <w:t>FMoH</w:t>
      </w:r>
      <w:proofErr w:type="spellEnd"/>
      <w:r w:rsidRPr="00B847F7">
        <w:rPr>
          <w:rFonts w:ascii="Times New Roman" w:hAnsi="Times New Roman" w:cs="Times New Roman"/>
        </w:rPr>
        <w:t xml:space="preserve"> Nigeria, 2017). Compounding this is a near-complete breakdown of municipal sanitation infrastructure in many urban and rural areas. Functional sewage treatment plants are a rarity, and solid waste management is often haphazard. Consequently, hospital wastewater, laden with MDR bacteria, often flows untreated into open drains and directly into rivers that communities rely on for bathing, washing, and even drinking (Adekanmbi et al., 2023; Iwu &amp; Okoh, 2019). This creates a direct and continuous exposure pathway for the general population, blurring the lines between hospital-acquired and community-acquired infections.</w:t>
      </w:r>
    </w:p>
    <w:p w14:paraId="0796780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While a growing, albeit fragmented, body of literature has documented the alarming prevalence and resistance patterns of </w:t>
      </w:r>
      <w:r w:rsidRPr="00B847F7">
        <w:rPr>
          <w:rFonts w:ascii="Times New Roman" w:hAnsi="Times New Roman" w:cs="Times New Roman"/>
          <w:i/>
          <w:iCs/>
        </w:rPr>
        <w:t>Acinetobacter</w:t>
      </w:r>
      <w:r w:rsidRPr="00B847F7">
        <w:rPr>
          <w:rFonts w:ascii="Times New Roman" w:hAnsi="Times New Roman" w:cs="Times New Roman"/>
        </w:rPr>
        <w:t> species within Nigerian hospitals, a critical synthesis of the environmental dimension of this problem has been lacking. Individual studies have reported on clinical outbreaks or environmental contamination in isolation, but the evidence linking these two spheres—the nosocomial-environmental nexus—has not been comprehensively assembled and critically appraised. Understanding this interconnected cycle is not an academic exercise; it is a fundamental prerequisite for designing effective, sustainable interventions. Without addressing the environmental reservoir, even the most robust hospital-based IPC and antimicrobial stewardship programs will be perpetually fighting a rearguard action against a pathogen that is continuously replenished from external sources.</w:t>
      </w:r>
    </w:p>
    <w:p w14:paraId="3286C6CF"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Therefore, this narrative review aims to bridge this critical knowledge gap by providing a holistic synthesis of the problem. Its specific objectives are:</w:t>
      </w:r>
    </w:p>
    <w:p w14:paraId="7785C41E"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consolidate, analyze, and present a national overview of data on the prevalence, species distribution, and antimicrobial resistance patterns of </w:t>
      </w:r>
      <w:r w:rsidRPr="00B847F7">
        <w:rPr>
          <w:rFonts w:ascii="Times New Roman" w:hAnsi="Times New Roman" w:cs="Times New Roman"/>
          <w:i/>
          <w:iCs/>
        </w:rPr>
        <w:t>Acinetobacter</w:t>
      </w:r>
      <w:r w:rsidRPr="00B847F7">
        <w:rPr>
          <w:rFonts w:ascii="Times New Roman" w:hAnsi="Times New Roman" w:cs="Times New Roman"/>
        </w:rPr>
        <w:t> species within Nigerian healthcare settings.</w:t>
      </w:r>
    </w:p>
    <w:p w14:paraId="61C1B9B1"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review and critically appraise the burgeoning evidence for the dissemination, persistence, and potential amplification of MDR </w:t>
      </w:r>
      <w:r w:rsidRPr="00B847F7">
        <w:rPr>
          <w:rFonts w:ascii="Times New Roman" w:hAnsi="Times New Roman" w:cs="Times New Roman"/>
          <w:i/>
          <w:iCs/>
        </w:rPr>
        <w:t>Acinetobacter</w:t>
      </w:r>
      <w:r w:rsidRPr="00B847F7">
        <w:rPr>
          <w:rFonts w:ascii="Times New Roman" w:hAnsi="Times New Roman" w:cs="Times New Roman"/>
        </w:rPr>
        <w:t> in the Nigerian environment, with a particular focus on wastewater pathways and receiving water bodies.</w:t>
      </w:r>
    </w:p>
    <w:p w14:paraId="5FFDB2CF"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lastRenderedPageBreak/>
        <w:t>To analyze and synthesize the molecular epidemiological evidence, where available, that genetically links clinical and environmental isolates, thereby providing definitive proof of the nosocomial-environmental nexus and identifying the dominant resistance mechanisms and high-risk clones facilitating this cycle.</w:t>
      </w:r>
    </w:p>
    <w:p w14:paraId="22C1A48A"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discuss the profound and escalating public health implications of this continuous transmission cycle and, based on the synthesized evidence, propose a multifaceted, integrated ‘One Health’ framework for interventions aimed at mitigating this grave threat within the specific socio-economic and infrastructural context of Nigeria.</w:t>
      </w:r>
    </w:p>
    <w:p w14:paraId="79D206D7"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2. Methodology</w:t>
      </w:r>
    </w:p>
    <w:p w14:paraId="095D559A"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To ensure a comprehensive, transparent, and reproducible synthesis of the literature, a structured and systematic approach was employed for the identification, selection, and critical appraisal of relevant studies.</w:t>
      </w:r>
    </w:p>
    <w:p w14:paraId="1019D527"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2.1. Search Strategy</w:t>
      </w:r>
    </w:p>
    <w:p w14:paraId="5CA9B336" w14:textId="43041EAE" w:rsidR="00B847F7" w:rsidRPr="00B847F7" w:rsidRDefault="00B847F7" w:rsidP="003C33B4">
      <w:pPr>
        <w:jc w:val="both"/>
        <w:rPr>
          <w:rFonts w:ascii="Times New Roman" w:hAnsi="Times New Roman" w:cs="Times New Roman"/>
        </w:rPr>
      </w:pPr>
      <w:r w:rsidRPr="00B847F7">
        <w:rPr>
          <w:rFonts w:ascii="Times New Roman" w:hAnsi="Times New Roman" w:cs="Times New Roman"/>
        </w:rPr>
        <w:br/>
        <w:t>A systematic literature search was conducted across three major electronic databases: Scopus, PubMed, and Web of Science. The search was designed to be broad and inclusive to capture all relevant studies published between January 2010 and May 2024, ensuring coverage of the last decade and a half of research. The core search strategy combined keywords and Medical Subject Headings (</w:t>
      </w:r>
      <w:proofErr w:type="spellStart"/>
      <w:r w:rsidRPr="00B847F7">
        <w:rPr>
          <w:rFonts w:ascii="Times New Roman" w:hAnsi="Times New Roman" w:cs="Times New Roman"/>
        </w:rPr>
        <w:t>MeSH</w:t>
      </w:r>
      <w:proofErr w:type="spellEnd"/>
      <w:r w:rsidRPr="00B847F7">
        <w:rPr>
          <w:rFonts w:ascii="Times New Roman" w:hAnsi="Times New Roman" w:cs="Times New Roman"/>
        </w:rPr>
        <w:t>) terms related to the pathogen, the geographical context, and the core themes of resistance and environment. The primary Boolean search string used was: (Acinetobacter OR "A. baumannii") AND (Nigeria) AND (prevalence OR resistance OR "multidrug resistance" OR MDR OR "extensively drug-resistant" OR XDR OR "carbapenem resistance" OR environment* OR wastewater OR effluent OR sewage OR "nosocomial" OR "hospital-acquired" OR "molecular epidemiology" OR "whole genome sequencing" OR "public health"). This search was iteratively refined, and the reference lists of all included studies and relevant reviews were hand-searched to identify additional publications not captured by the database search (a process known as snowballing).</w:t>
      </w:r>
    </w:p>
    <w:p w14:paraId="52527005"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2.2. Eligibility Criteria</w:t>
      </w:r>
    </w:p>
    <w:p w14:paraId="2B98C8FD" w14:textId="4A12E7C6" w:rsidR="00724080" w:rsidRPr="00B847F7" w:rsidRDefault="00B847F7" w:rsidP="003C33B4">
      <w:pPr>
        <w:jc w:val="both"/>
        <w:rPr>
          <w:rFonts w:ascii="Times New Roman" w:hAnsi="Times New Roman" w:cs="Times New Roman"/>
        </w:rPr>
      </w:pPr>
      <w:r w:rsidRPr="00B847F7">
        <w:rPr>
          <w:rFonts w:ascii="Times New Roman" w:hAnsi="Times New Roman" w:cs="Times New Roman"/>
        </w:rPr>
        <w:br/>
      </w:r>
      <w:r w:rsidR="00104C4C" w:rsidRPr="00104C4C">
        <w:rPr>
          <w:rFonts w:ascii="Times New Roman" w:hAnsi="Times New Roman" w:cs="Times New Roman"/>
          <w:b/>
          <w:bCs/>
        </w:rPr>
        <w:t>I</w:t>
      </w:r>
      <w:r w:rsidRPr="00B847F7">
        <w:rPr>
          <w:rFonts w:ascii="Times New Roman" w:hAnsi="Times New Roman" w:cs="Times New Roman"/>
          <w:b/>
          <w:bCs/>
        </w:rPr>
        <w:t>nclusion criteria:</w:t>
      </w:r>
      <w:r w:rsidR="00104C4C">
        <w:rPr>
          <w:rFonts w:ascii="Times New Roman" w:hAnsi="Times New Roman" w:cs="Times New Roman"/>
        </w:rPr>
        <w:t xml:space="preserve"> </w:t>
      </w:r>
      <w:r w:rsidR="00724080" w:rsidRPr="00724080">
        <w:rPr>
          <w:rFonts w:ascii="Times New Roman" w:hAnsi="Times New Roman" w:cs="Times New Roman"/>
        </w:rPr>
        <w:t xml:space="preserve">Only studies that reported on </w:t>
      </w:r>
      <w:r w:rsidR="00724080" w:rsidRPr="00724080">
        <w:rPr>
          <w:rFonts w:ascii="Times New Roman" w:hAnsi="Times New Roman" w:cs="Times New Roman"/>
          <w:i/>
          <w:iCs/>
        </w:rPr>
        <w:t>Acinetobacter</w:t>
      </w:r>
      <w:r w:rsidR="00724080" w:rsidRPr="00724080">
        <w:rPr>
          <w:rFonts w:ascii="Times New Roman" w:hAnsi="Times New Roman" w:cs="Times New Roman"/>
        </w:rPr>
        <w:t xml:space="preserve"> species isolated from human clinical samples collected within Nigerian healthcare settings—whether tertiary, secondary, or primary—were considered eligible, as well as research involving environmental sources such as water, soil, sediment, waste, or hospital surfaces within Nigeria. Because this review is non-interventional, no exposure or comparator requirements were applied. Eligible studies were those that presented data on prevalence, isolation frequency, species identification, antimicrobial susceptibility testing </w:t>
      </w:r>
      <w:r w:rsidR="00104C4C">
        <w:rPr>
          <w:rFonts w:ascii="Times New Roman" w:hAnsi="Times New Roman" w:cs="Times New Roman"/>
        </w:rPr>
        <w:t xml:space="preserve">(AST) </w:t>
      </w:r>
      <w:r w:rsidR="00724080" w:rsidRPr="00724080">
        <w:rPr>
          <w:rFonts w:ascii="Times New Roman" w:hAnsi="Times New Roman" w:cs="Times New Roman"/>
        </w:rPr>
        <w:t xml:space="preserve">profiles, or molecular characterization methods, including PCR detection of resistance genes, </w:t>
      </w:r>
      <w:r w:rsidR="00104C4C" w:rsidRPr="00B847F7">
        <w:rPr>
          <w:rFonts w:ascii="Times New Roman" w:hAnsi="Times New Roman" w:cs="Times New Roman"/>
        </w:rPr>
        <w:t>multi-locus sequence typing (MLST)</w:t>
      </w:r>
      <w:r w:rsidR="00724080" w:rsidRPr="00724080">
        <w:rPr>
          <w:rFonts w:ascii="Times New Roman" w:hAnsi="Times New Roman" w:cs="Times New Roman"/>
        </w:rPr>
        <w:t>, plasmid analysis, or whole-</w:t>
      </w:r>
      <w:r w:rsidR="00724080" w:rsidRPr="00724080">
        <w:rPr>
          <w:rFonts w:ascii="Times New Roman" w:hAnsi="Times New Roman" w:cs="Times New Roman"/>
        </w:rPr>
        <w:lastRenderedPageBreak/>
        <w:t>genome sequencing. Priority was given to primary research articles, surveillance studies, and outbreak investigations, while systematic reviews, meta-analyses, and book chapters were only consulted to support contextual interpretation rather than extract primary data. Additionally, only publications written in English were included in this review.</w:t>
      </w:r>
    </w:p>
    <w:p w14:paraId="790C5623" w14:textId="281721CA" w:rsidR="00B847F7" w:rsidRPr="00B847F7" w:rsidRDefault="00B847F7" w:rsidP="003C33B4">
      <w:pPr>
        <w:jc w:val="both"/>
        <w:rPr>
          <w:rFonts w:ascii="Times New Roman" w:hAnsi="Times New Roman" w:cs="Times New Roman"/>
        </w:rPr>
      </w:pPr>
      <w:r w:rsidRPr="00B847F7">
        <w:rPr>
          <w:rFonts w:ascii="Times New Roman" w:hAnsi="Times New Roman" w:cs="Times New Roman"/>
          <w:b/>
          <w:bCs/>
        </w:rPr>
        <w:t>Exclusion criteria</w:t>
      </w:r>
      <w:r w:rsidRPr="00B847F7">
        <w:rPr>
          <w:rFonts w:ascii="Times New Roman" w:hAnsi="Times New Roman" w:cs="Times New Roman"/>
        </w:rPr>
        <w:t>: (1) case reports with fewer than five isolates; (2) studies where the full text was unavailable despite attempts to contact corresponding authors; (3) articles not reporting specific, extractable data on </w:t>
      </w:r>
      <w:r w:rsidRPr="00B847F7">
        <w:rPr>
          <w:rFonts w:ascii="Times New Roman" w:hAnsi="Times New Roman" w:cs="Times New Roman"/>
          <w:i/>
          <w:iCs/>
        </w:rPr>
        <w:t>Acinetobacter</w:t>
      </w:r>
      <w:r w:rsidRPr="00B847F7">
        <w:rPr>
          <w:rFonts w:ascii="Times New Roman" w:hAnsi="Times New Roman" w:cs="Times New Roman"/>
        </w:rPr>
        <w:t> (e.g., studies reporting only on "Gram-negative rods" collectively); and (4) studies conducted entirely outside Nigeria without direct comparative relevance to the Nigerian context.</w:t>
      </w:r>
    </w:p>
    <w:p w14:paraId="030B65A6"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2.3. Study Selection and Data Extraction</w:t>
      </w:r>
    </w:p>
    <w:p w14:paraId="69517606" w14:textId="3FA04888"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initial database search yielded a total of 312 records. After the removal of 68 duplicates, the titles and abstracts of 244 unique records were screened for relevance by two independent reviewers, with conflicts resolved by a third. Following this screening, the full texts of 91 articles were retrieved and assessed in detail against the eligibility criteria. This process resulted in the final inclusion of 58 studies for in-depth data extraction and synthesis. A standardized, piloted data extraction form was used to collect information systematically. The extracted data included: author(s) and publication year; study location and setting in Nigeria; study period; sample source and type; number of samples and </w:t>
      </w:r>
      <w:r w:rsidRPr="00B847F7">
        <w:rPr>
          <w:rFonts w:ascii="Times New Roman" w:hAnsi="Times New Roman" w:cs="Times New Roman"/>
          <w:i/>
          <w:iCs/>
        </w:rPr>
        <w:t>Acinetobacter</w:t>
      </w:r>
      <w:r w:rsidRPr="00B847F7">
        <w:rPr>
          <w:rFonts w:ascii="Times New Roman" w:hAnsi="Times New Roman" w:cs="Times New Roman"/>
        </w:rPr>
        <w:t> isolates; methods for species identification and confirmation; antibiotic susceptibility testing methods and interpretation guidelines (e.g., CLSI, EUCAST); detailed AST profiles and resistance rates; molecular resistance mechanisms identified (genes, enzymes); and clonal relationships or sequence types if reported.</w:t>
      </w:r>
    </w:p>
    <w:p w14:paraId="31D938D8"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2.4. Data Synthesis and Quality Assessment</w:t>
      </w:r>
    </w:p>
    <w:p w14:paraId="7529A103" w14:textId="6747356B" w:rsidR="00B847F7" w:rsidRPr="00B847F7" w:rsidRDefault="00B847F7" w:rsidP="003C33B4">
      <w:pPr>
        <w:jc w:val="both"/>
        <w:rPr>
          <w:rFonts w:ascii="Times New Roman" w:hAnsi="Times New Roman" w:cs="Times New Roman"/>
        </w:rPr>
      </w:pPr>
      <w:r w:rsidRPr="00B847F7">
        <w:rPr>
          <w:rFonts w:ascii="Times New Roman" w:hAnsi="Times New Roman" w:cs="Times New Roman"/>
        </w:rPr>
        <w:br/>
        <w:t>Given the significant heterogeneity in methodologies, sample sources, AST reporting, and molecular techniques across the included studies, a formal meta-analysis to generate pooled prevalence estimates was deemed inappropriate and potentially misleading. Instead, a narrative synthesis was conducted, which is the preferred method for integrating findings from diverse study designs. The extracted data were organized and analyzed thematically according to the review's primary objectives. Summary tables were constructed to present a clear overview of prevalence and resistance data from clinical and environmental studies. A critical appraisal of the methodological quality of included studies was performed informally, considering factors such as sample size, representativeness, the robustness of AST methodology, and the use of confirmatory molecular tests. The findings were then synthesized to identify consistent trends, highlight regional variations, pinpoint critical knowledge gaps, and marshal evidence supporting the interconnectedness of clinical and environmental reservoirs.</w:t>
      </w:r>
    </w:p>
    <w:p w14:paraId="5912F250"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3. The Clinical Burden: </w:t>
      </w:r>
      <w:r w:rsidRPr="00B847F7">
        <w:rPr>
          <w:rFonts w:ascii="Times New Roman" w:hAnsi="Times New Roman" w:cs="Times New Roman"/>
          <w:b/>
          <w:bCs/>
          <w:i/>
          <w:iCs/>
        </w:rPr>
        <w:t>Acinetobacter</w:t>
      </w:r>
      <w:r w:rsidRPr="00B847F7">
        <w:rPr>
          <w:rFonts w:ascii="Times New Roman" w:hAnsi="Times New Roman" w:cs="Times New Roman"/>
          <w:b/>
          <w:bCs/>
        </w:rPr>
        <w:t> in Nigerian Healthcare Settings</w:t>
      </w:r>
    </w:p>
    <w:p w14:paraId="46E6DB9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lastRenderedPageBreak/>
        <w:t>The body of evidence from Nigeria unequivocally demonstrates that MDR </w:t>
      </w:r>
      <w:r w:rsidRPr="00B847F7">
        <w:rPr>
          <w:rFonts w:ascii="Times New Roman" w:hAnsi="Times New Roman" w:cs="Times New Roman"/>
          <w:i/>
          <w:iCs/>
        </w:rPr>
        <w:t>Acinetobacter</w:t>
      </w:r>
      <w:r w:rsidRPr="00B847F7">
        <w:rPr>
          <w:rFonts w:ascii="Times New Roman" w:hAnsi="Times New Roman" w:cs="Times New Roman"/>
        </w:rPr>
        <w:t> species, particularly </w:t>
      </w:r>
      <w:r w:rsidRPr="00B847F7">
        <w:rPr>
          <w:rFonts w:ascii="Times New Roman" w:hAnsi="Times New Roman" w:cs="Times New Roman"/>
          <w:i/>
          <w:iCs/>
        </w:rPr>
        <w:t>A. baumannii</w:t>
      </w:r>
      <w:r w:rsidRPr="00B847F7">
        <w:rPr>
          <w:rFonts w:ascii="Times New Roman" w:hAnsi="Times New Roman" w:cs="Times New Roman"/>
        </w:rPr>
        <w:t>, are not merely occasional pathogens but have become endemic and formidable adversaries within the nation's healthcare landscape, contributing significantly to morbidity, mortality, and healthcare costs.</w:t>
      </w:r>
    </w:p>
    <w:p w14:paraId="787C123C"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3.1. Prevalence and Species Distribution in Hospitals</w:t>
      </w:r>
    </w:p>
    <w:p w14:paraId="2182818D" w14:textId="75668152"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Studies from various geopolitical zones of Nigeria consistently report significant and concerning isolation rates of </w:t>
      </w:r>
      <w:r w:rsidRPr="00B847F7">
        <w:rPr>
          <w:rFonts w:ascii="Times New Roman" w:hAnsi="Times New Roman" w:cs="Times New Roman"/>
          <w:i/>
          <w:iCs/>
        </w:rPr>
        <w:t>Acinetobacter</w:t>
      </w:r>
      <w:r w:rsidRPr="00B847F7">
        <w:rPr>
          <w:rFonts w:ascii="Times New Roman" w:hAnsi="Times New Roman" w:cs="Times New Roman"/>
        </w:rPr>
        <w:t> from clinical specimens, with a pronounced prevalence in high-dependency units. In a comprehensive study in South-West Nigeria, Adekunle and colleagues (2022) found that </w:t>
      </w:r>
      <w:r w:rsidRPr="00B847F7">
        <w:rPr>
          <w:rFonts w:ascii="Times New Roman" w:hAnsi="Times New Roman" w:cs="Times New Roman"/>
          <w:i/>
          <w:iCs/>
        </w:rPr>
        <w:t>Acinetobacter</w:t>
      </w:r>
      <w:r w:rsidRPr="00B847F7">
        <w:rPr>
          <w:rFonts w:ascii="Times New Roman" w:hAnsi="Times New Roman" w:cs="Times New Roman"/>
        </w:rPr>
        <w:t xml:space="preserve"> species accounted for 18.5% of all significant Gram-negative bacterial isolates from ICU patients, with a majority originating from respiratory specimens of ventilated patients, underscoring its role in ventilator-associated pneumonia. Similarly, in the North-Central region, Olayinka et al. (2022) reported a prevalence of 15.2% among clinically significant isolates in a tertiary hospital, with wounds (particularly post-surgical and burn wounds) and blood cultures being the most common sources, highlighting its threat to surgical site and bloodstream infections. A recent high-resolution genomic surveillance study by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in a major tertiary hospital in South-West Nigeria further confirmed the endemicity of </w:t>
      </w:r>
      <w:r w:rsidRPr="00B847F7">
        <w:rPr>
          <w:rFonts w:ascii="Times New Roman" w:hAnsi="Times New Roman" w:cs="Times New Roman"/>
          <w:i/>
          <w:iCs/>
        </w:rPr>
        <w:t>A. baumannii</w:t>
      </w:r>
      <w:r w:rsidRPr="00B847F7">
        <w:rPr>
          <w:rFonts w:ascii="Times New Roman" w:hAnsi="Times New Roman" w:cs="Times New Roman"/>
        </w:rPr>
        <w:t xml:space="preserve">, specifically linking its dominance to complex post-surgical and burn wound infections, where its environmental resilience gives it a competitive advantage. These findings are consistent with earlier seminal reports, such as that of </w:t>
      </w:r>
      <w:proofErr w:type="spellStart"/>
      <w:r w:rsidRPr="00B847F7">
        <w:rPr>
          <w:rFonts w:ascii="Times New Roman" w:hAnsi="Times New Roman" w:cs="Times New Roman"/>
        </w:rPr>
        <w:t>Ogbolu</w:t>
      </w:r>
      <w:proofErr w:type="spellEnd"/>
      <w:r w:rsidRPr="00B847F7">
        <w:rPr>
          <w:rFonts w:ascii="Times New Roman" w:hAnsi="Times New Roman" w:cs="Times New Roman"/>
        </w:rPr>
        <w:t xml:space="preserve"> et al. (2020), who reported a 22% prevalence of MDR </w:t>
      </w:r>
      <w:r w:rsidRPr="00B847F7">
        <w:rPr>
          <w:rFonts w:ascii="Times New Roman" w:hAnsi="Times New Roman" w:cs="Times New Roman"/>
          <w:i/>
          <w:iCs/>
        </w:rPr>
        <w:t>A. baumannii</w:t>
      </w:r>
      <w:r w:rsidRPr="00B847F7">
        <w:rPr>
          <w:rFonts w:ascii="Times New Roman" w:hAnsi="Times New Roman" w:cs="Times New Roman"/>
        </w:rPr>
        <w:t> in a teaching hospital in the same region. Beyond these focal points, studies from other regions paint a similar picture. In the South-East, Eze et al. (2022) reported </w:t>
      </w:r>
      <w:r w:rsidRPr="00B847F7">
        <w:rPr>
          <w:rFonts w:ascii="Times New Roman" w:hAnsi="Times New Roman" w:cs="Times New Roman"/>
          <w:i/>
          <w:iCs/>
        </w:rPr>
        <w:t>Acinetobacter</w:t>
      </w:r>
      <w:r w:rsidRPr="00B847F7">
        <w:rPr>
          <w:rFonts w:ascii="Times New Roman" w:hAnsi="Times New Roman" w:cs="Times New Roman"/>
        </w:rPr>
        <w:t xml:space="preserve"> spp. as responsible for 14% of device-associated infections in a tertiary facility, while in the North-West, Musa et al. (2020) identified the pathogen as the </w:t>
      </w:r>
      <w:proofErr w:type="spellStart"/>
      <w:r w:rsidRPr="00B847F7">
        <w:rPr>
          <w:rFonts w:ascii="Times New Roman" w:hAnsi="Times New Roman" w:cs="Times New Roman"/>
        </w:rPr>
        <w:t>aetiological</w:t>
      </w:r>
      <w:proofErr w:type="spellEnd"/>
      <w:r w:rsidRPr="00B847F7">
        <w:rPr>
          <w:rFonts w:ascii="Times New Roman" w:hAnsi="Times New Roman" w:cs="Times New Roman"/>
        </w:rPr>
        <w:t xml:space="preserve"> agent in 12% of neonatal sepsis cases, a particularly vulnerable patient population. While </w:t>
      </w:r>
      <w:r w:rsidRPr="00B847F7">
        <w:rPr>
          <w:rFonts w:ascii="Times New Roman" w:hAnsi="Times New Roman" w:cs="Times New Roman"/>
          <w:i/>
          <w:iCs/>
        </w:rPr>
        <w:t>A. baumannii</w:t>
      </w:r>
      <w:r w:rsidRPr="00B847F7">
        <w:rPr>
          <w:rFonts w:ascii="Times New Roman" w:hAnsi="Times New Roman" w:cs="Times New Roman"/>
        </w:rPr>
        <w:t> is the most frequently identified and clinically relevant species, studies utilizing modern molecular techniques like </w:t>
      </w:r>
      <w:proofErr w:type="spellStart"/>
      <w:r w:rsidRPr="00B847F7">
        <w:rPr>
          <w:rFonts w:ascii="Times New Roman" w:hAnsi="Times New Roman" w:cs="Times New Roman"/>
          <w:i/>
          <w:iCs/>
        </w:rPr>
        <w:t>rpoB</w:t>
      </w:r>
      <w:proofErr w:type="spellEnd"/>
      <w:r w:rsidRPr="00B847F7">
        <w:rPr>
          <w:rFonts w:ascii="Times New Roman" w:hAnsi="Times New Roman" w:cs="Times New Roman"/>
        </w:rPr>
        <w:t> gene sequencing increasingly report the presence of other non-</w:t>
      </w:r>
      <w:r w:rsidRPr="00B847F7">
        <w:rPr>
          <w:rFonts w:ascii="Times New Roman" w:hAnsi="Times New Roman" w:cs="Times New Roman"/>
          <w:i/>
          <w:iCs/>
        </w:rPr>
        <w:t>baumannii</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species (e.g., </w:t>
      </w:r>
      <w:r w:rsidRPr="00B847F7">
        <w:rPr>
          <w:rFonts w:ascii="Times New Roman" w:hAnsi="Times New Roman" w:cs="Times New Roman"/>
          <w:i/>
          <w:iCs/>
        </w:rPr>
        <w:t xml:space="preserve">A. </w:t>
      </w:r>
      <w:proofErr w:type="spellStart"/>
      <w:r w:rsidRPr="00B847F7">
        <w:rPr>
          <w:rFonts w:ascii="Times New Roman" w:hAnsi="Times New Roman" w:cs="Times New Roman"/>
          <w:i/>
          <w:iCs/>
        </w:rPr>
        <w:t>pittii</w:t>
      </w:r>
      <w:proofErr w:type="spellEnd"/>
      <w:r w:rsidRPr="00B847F7">
        <w:rPr>
          <w:rFonts w:ascii="Times New Roman" w:hAnsi="Times New Roman" w:cs="Times New Roman"/>
        </w:rPr>
        <w:t>, </w:t>
      </w:r>
      <w:r w:rsidRPr="00B847F7">
        <w:rPr>
          <w:rFonts w:ascii="Times New Roman" w:hAnsi="Times New Roman" w:cs="Times New Roman"/>
          <w:i/>
          <w:iCs/>
        </w:rPr>
        <w:t xml:space="preserve">A. </w:t>
      </w:r>
      <w:proofErr w:type="spellStart"/>
      <w:r w:rsidRPr="00B847F7">
        <w:rPr>
          <w:rFonts w:ascii="Times New Roman" w:hAnsi="Times New Roman" w:cs="Times New Roman"/>
          <w:i/>
          <w:iCs/>
        </w:rPr>
        <w:t>nosocomialis</w:t>
      </w:r>
      <w:proofErr w:type="spellEnd"/>
      <w:r w:rsidRPr="00B847F7">
        <w:rPr>
          <w:rFonts w:ascii="Times New Roman" w:hAnsi="Times New Roman" w:cs="Times New Roman"/>
        </w:rPr>
        <w:t>) in clinical samples, though their individual contribution to disease burden and resistance profiles is less well-characterized in the Nigerian context.</w:t>
      </w:r>
    </w:p>
    <w:p w14:paraId="2501B1AB"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3.2. Antibiotic Resistance Profiles: A Landscape of Escalating Threat</w:t>
      </w:r>
    </w:p>
    <w:p w14:paraId="26B0CE53" w14:textId="4EE79310"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antibiotic resistance profiles of clinical </w:t>
      </w:r>
      <w:r w:rsidRPr="00B847F7">
        <w:rPr>
          <w:rFonts w:ascii="Times New Roman" w:hAnsi="Times New Roman" w:cs="Times New Roman"/>
          <w:i/>
          <w:iCs/>
        </w:rPr>
        <w:t>Acinetobacter</w:t>
      </w:r>
      <w:r w:rsidRPr="00B847F7">
        <w:rPr>
          <w:rFonts w:ascii="Times New Roman" w:hAnsi="Times New Roman" w:cs="Times New Roman"/>
        </w:rPr>
        <w:t> isolates in Nigeria are not just concerning; they are indicative of a crisis. Multidrug resistance (resistance to ≥3 antimicrobial classes) is the norm rather than the exception. A systematic review and meta-analysis by Iwu et al. (2022), which incorporated data from across Africa, found that pooled resistance rates of </w:t>
      </w:r>
      <w:r w:rsidRPr="00B847F7">
        <w:rPr>
          <w:rFonts w:ascii="Times New Roman" w:hAnsi="Times New Roman" w:cs="Times New Roman"/>
          <w:i/>
          <w:iCs/>
        </w:rPr>
        <w:t>A. baumannii</w:t>
      </w:r>
      <w:r w:rsidRPr="00B847F7">
        <w:rPr>
          <w:rFonts w:ascii="Times New Roman" w:hAnsi="Times New Roman" w:cs="Times New Roman"/>
        </w:rPr>
        <w:t xml:space="preserve"> were exceptionally high, with Nigerian studies forming a substantial part of this dataset and often reporting resistance rates at the upper end of the spectrum. Resistance to third-generation </w:t>
      </w:r>
      <w:r w:rsidRPr="00B847F7">
        <w:rPr>
          <w:rFonts w:ascii="Times New Roman" w:hAnsi="Times New Roman" w:cs="Times New Roman"/>
        </w:rPr>
        <w:lastRenderedPageBreak/>
        <w:t>cephalosporins (e.g., ceftriaxone, ceftazidime) and fluoroquinolones (e.g., ciprofloxacin, levofloxacin) is frequently reported to be above 80-90%, effectively eliminating these as viable treatment options (</w:t>
      </w:r>
      <w:proofErr w:type="spellStart"/>
      <w:r w:rsidRPr="00B847F7">
        <w:rPr>
          <w:rFonts w:ascii="Times New Roman" w:hAnsi="Times New Roman" w:cs="Times New Roman"/>
        </w:rPr>
        <w:t>Onipede</w:t>
      </w:r>
      <w:proofErr w:type="spellEnd"/>
      <w:r w:rsidRPr="00B847F7">
        <w:rPr>
          <w:rFonts w:ascii="Times New Roman" w:hAnsi="Times New Roman" w:cs="Times New Roman"/>
        </w:rPr>
        <w:t xml:space="preserve"> &amp; </w:t>
      </w:r>
      <w:proofErr w:type="spellStart"/>
      <w:r w:rsidRPr="00B847F7">
        <w:rPr>
          <w:rFonts w:ascii="Times New Roman" w:hAnsi="Times New Roman" w:cs="Times New Roman"/>
        </w:rPr>
        <w:t>Adefioye</w:t>
      </w:r>
      <w:proofErr w:type="spellEnd"/>
      <w:r w:rsidRPr="00B847F7">
        <w:rPr>
          <w:rFonts w:ascii="Times New Roman" w:hAnsi="Times New Roman" w:cs="Times New Roman"/>
        </w:rPr>
        <w:t xml:space="preserve">, 2021; </w:t>
      </w:r>
      <w:proofErr w:type="spellStart"/>
      <w:r w:rsidRPr="00B847F7">
        <w:rPr>
          <w:rFonts w:ascii="Times New Roman" w:hAnsi="Times New Roman" w:cs="Times New Roman"/>
        </w:rPr>
        <w:t>Sule</w:t>
      </w:r>
      <w:proofErr w:type="spellEnd"/>
      <w:r w:rsidRPr="00B847F7">
        <w:rPr>
          <w:rFonts w:ascii="Times New Roman" w:hAnsi="Times New Roman" w:cs="Times New Roman"/>
        </w:rPr>
        <w:t xml:space="preserve"> et al., 2023).</w:t>
      </w:r>
    </w:p>
    <w:p w14:paraId="67E8004B"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most alarming trend is the rampant and rising prevalence of carbapenem resistance. Carbapenems (imipenem, meropenem) have long been the last-line beta-lactam antibiotics for treating serious MDR Gram-negative infections. Studies from Nigeria now consistently report carbapenem resistance rates in </w:t>
      </w:r>
      <w:r w:rsidRPr="00B847F7">
        <w:rPr>
          <w:rFonts w:ascii="Times New Roman" w:hAnsi="Times New Roman" w:cs="Times New Roman"/>
          <w:i/>
          <w:iCs/>
        </w:rPr>
        <w:t>A. baumannii</w:t>
      </w:r>
      <w:r w:rsidRPr="00B847F7">
        <w:rPr>
          <w:rFonts w:ascii="Times New Roman" w:hAnsi="Times New Roman" w:cs="Times New Roman"/>
        </w:rPr>
        <w:t> that range from a staggering 50% to over 90% in various surveillance reports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w:t>
      </w:r>
      <w:proofErr w:type="spellStart"/>
      <w:r w:rsidRPr="00B847F7">
        <w:rPr>
          <w:rFonts w:ascii="Times New Roman" w:hAnsi="Times New Roman" w:cs="Times New Roman"/>
        </w:rPr>
        <w:t>Ogbolu</w:t>
      </w:r>
      <w:proofErr w:type="spellEnd"/>
      <w:r w:rsidRPr="00B847F7">
        <w:rPr>
          <w:rFonts w:ascii="Times New Roman" w:hAnsi="Times New Roman" w:cs="Times New Roman"/>
        </w:rPr>
        <w:t xml:space="preserve"> et al., 2020; </w:t>
      </w:r>
      <w:proofErr w:type="spellStart"/>
      <w:r w:rsidRPr="00B847F7">
        <w:rPr>
          <w:rFonts w:ascii="Times New Roman" w:hAnsi="Times New Roman" w:cs="Times New Roman"/>
        </w:rPr>
        <w:t>Iregbu</w:t>
      </w:r>
      <w:proofErr w:type="spellEnd"/>
      <w:r w:rsidRPr="00B847F7">
        <w:rPr>
          <w:rFonts w:ascii="Times New Roman" w:hAnsi="Times New Roman" w:cs="Times New Roman"/>
        </w:rPr>
        <w:t xml:space="preserve"> et al., 2021). This has forced clinicians to turn to older, often more toxic antibiotics, such as the polymyxins (colistin and polymyxin B), which have seen a resurgence as last-resort agents. However, the emergence and gradual spread of resistance to colistin, mediated by chromosomal mutations or the mobile </w:t>
      </w:r>
      <w:proofErr w:type="spellStart"/>
      <w:r w:rsidRPr="00B847F7">
        <w:rPr>
          <w:rFonts w:ascii="Times New Roman" w:hAnsi="Times New Roman" w:cs="Times New Roman"/>
          <w:i/>
          <w:iCs/>
        </w:rPr>
        <w:t>mcr</w:t>
      </w:r>
      <w:proofErr w:type="spellEnd"/>
      <w:r w:rsidRPr="00B847F7">
        <w:rPr>
          <w:rFonts w:ascii="Times New Roman" w:hAnsi="Times New Roman" w:cs="Times New Roman"/>
        </w:rPr>
        <w:t xml:space="preserve"> genes, are now being documented in Nigeria, threatening to create a scenario of truly pan-drug-resistant infections for which no effective antibiotics remain (Olayinka et al., 2022). This escalating resistance profile directly translates to clinical failure. </w:t>
      </w:r>
      <w:proofErr w:type="spellStart"/>
      <w:r w:rsidRPr="00B847F7">
        <w:rPr>
          <w:rFonts w:ascii="Times New Roman" w:hAnsi="Times New Roman" w:cs="Times New Roman"/>
        </w:rPr>
        <w:t>Fowotade</w:t>
      </w:r>
      <w:proofErr w:type="spellEnd"/>
      <w:r w:rsidRPr="00B847F7">
        <w:rPr>
          <w:rFonts w:ascii="Times New Roman" w:hAnsi="Times New Roman" w:cs="Times New Roman"/>
        </w:rPr>
        <w:t xml:space="preserve"> et al. (2020) reported a direct correlation between infection with MDR </w:t>
      </w:r>
      <w:r w:rsidRPr="00B847F7">
        <w:rPr>
          <w:rFonts w:ascii="Times New Roman" w:hAnsi="Times New Roman" w:cs="Times New Roman"/>
          <w:i/>
          <w:iCs/>
        </w:rPr>
        <w:t>Acinetobacter</w:t>
      </w:r>
      <w:r w:rsidRPr="00B847F7">
        <w:rPr>
          <w:rFonts w:ascii="Times New Roman" w:hAnsi="Times New Roman" w:cs="Times New Roman"/>
        </w:rPr>
        <w:t> and significantly higher mortality rates in ventilated patients in Ibadan, with inadequate empirical antibiotic therapy being a major contributing factor.</w:t>
      </w:r>
    </w:p>
    <w:p w14:paraId="4A603BA6"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i/>
          <w:iCs/>
        </w:rPr>
        <w:t>Table 1: Summary of Selected Studies on Antimicrobial Resistance in Clinical Acinetobacter Isolates from Nigeria</w:t>
      </w:r>
    </w:p>
    <w:tbl>
      <w:tblPr>
        <w:tblStyle w:val="ListTable6Colorful"/>
        <w:tblW w:w="0" w:type="auto"/>
        <w:jc w:val="center"/>
        <w:tblLook w:val="04A0" w:firstRow="1" w:lastRow="0" w:firstColumn="1" w:lastColumn="0" w:noHBand="0" w:noVBand="1"/>
      </w:tblPr>
      <w:tblGrid>
        <w:gridCol w:w="1608"/>
        <w:gridCol w:w="1195"/>
        <w:gridCol w:w="1720"/>
        <w:gridCol w:w="4837"/>
      </w:tblGrid>
      <w:tr w:rsidR="00533EC0" w:rsidRPr="00533EC0" w14:paraId="132906B8" w14:textId="77777777" w:rsidTr="00795C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DD398D"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Study (Year)</w:t>
            </w:r>
          </w:p>
        </w:tc>
        <w:tc>
          <w:tcPr>
            <w:tcW w:w="0" w:type="auto"/>
            <w:hideMark/>
          </w:tcPr>
          <w:p w14:paraId="09F5C5C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Location</w:t>
            </w:r>
          </w:p>
        </w:tc>
        <w:tc>
          <w:tcPr>
            <w:tcW w:w="0" w:type="auto"/>
            <w:hideMark/>
          </w:tcPr>
          <w:p w14:paraId="34B1C1F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Sample Source</w:t>
            </w:r>
          </w:p>
        </w:tc>
        <w:tc>
          <w:tcPr>
            <w:tcW w:w="0" w:type="auto"/>
            <w:hideMark/>
          </w:tcPr>
          <w:p w14:paraId="226B8DB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Key Resistance Findings</w:t>
            </w:r>
          </w:p>
        </w:tc>
      </w:tr>
      <w:tr w:rsidR="00B847F7" w:rsidRPr="00533EC0" w14:paraId="3CE84FDC"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F374C5"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Akinduti</w:t>
            </w:r>
            <w:proofErr w:type="spellEnd"/>
            <w:r w:rsidRPr="00B847F7">
              <w:rPr>
                <w:rFonts w:ascii="Times New Roman" w:hAnsi="Times New Roman" w:cs="Times New Roman"/>
                <w:b w:val="0"/>
                <w:bCs w:val="0"/>
              </w:rPr>
              <w:t xml:space="preserve"> et al. (2023)</w:t>
            </w:r>
          </w:p>
        </w:tc>
        <w:tc>
          <w:tcPr>
            <w:tcW w:w="0" w:type="auto"/>
            <w:shd w:val="clear" w:color="auto" w:fill="auto"/>
            <w:hideMark/>
          </w:tcPr>
          <w:p w14:paraId="41D37EA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69AFE699"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Wounds, Blood</w:t>
            </w:r>
          </w:p>
        </w:tc>
        <w:tc>
          <w:tcPr>
            <w:tcW w:w="0" w:type="auto"/>
            <w:shd w:val="clear" w:color="auto" w:fill="auto"/>
            <w:hideMark/>
          </w:tcPr>
          <w:p w14:paraId="1C2E726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92% MDR; 88% carbapenem-resistant; high prevalence of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w:t>
            </w:r>
          </w:p>
        </w:tc>
      </w:tr>
      <w:tr w:rsidR="00533EC0" w:rsidRPr="00B847F7" w14:paraId="133B9B92"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C6E5C"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Olayinka et al. (2022)</w:t>
            </w:r>
          </w:p>
        </w:tc>
        <w:tc>
          <w:tcPr>
            <w:tcW w:w="0" w:type="auto"/>
            <w:hideMark/>
          </w:tcPr>
          <w:p w14:paraId="0A32852F"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hideMark/>
          </w:tcPr>
          <w:p w14:paraId="4F2C13A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Various clinical</w:t>
            </w:r>
          </w:p>
        </w:tc>
        <w:tc>
          <w:tcPr>
            <w:tcW w:w="0" w:type="auto"/>
            <w:hideMark/>
          </w:tcPr>
          <w:p w14:paraId="68FB7EC8"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85% MDR; 65% carbapenem-resistant; emerging colistin resistance noted.</w:t>
            </w:r>
          </w:p>
        </w:tc>
      </w:tr>
      <w:tr w:rsidR="00B847F7" w:rsidRPr="00533EC0" w14:paraId="49C4F1AD"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CBEC81"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Onipede</w:t>
            </w:r>
            <w:proofErr w:type="spellEnd"/>
            <w:r w:rsidRPr="00B847F7">
              <w:rPr>
                <w:rFonts w:ascii="Times New Roman" w:hAnsi="Times New Roman" w:cs="Times New Roman"/>
                <w:b w:val="0"/>
                <w:bCs w:val="0"/>
              </w:rPr>
              <w:t xml:space="preserve"> &amp; </w:t>
            </w:r>
            <w:proofErr w:type="spellStart"/>
            <w:r w:rsidRPr="00B847F7">
              <w:rPr>
                <w:rFonts w:ascii="Times New Roman" w:hAnsi="Times New Roman" w:cs="Times New Roman"/>
                <w:b w:val="0"/>
                <w:bCs w:val="0"/>
              </w:rPr>
              <w:t>Adefioye</w:t>
            </w:r>
            <w:proofErr w:type="spellEnd"/>
            <w:r w:rsidRPr="00B847F7">
              <w:rPr>
                <w:rFonts w:ascii="Times New Roman" w:hAnsi="Times New Roman" w:cs="Times New Roman"/>
                <w:b w:val="0"/>
                <w:bCs w:val="0"/>
              </w:rPr>
              <w:t xml:space="preserve"> (2021)</w:t>
            </w:r>
          </w:p>
        </w:tc>
        <w:tc>
          <w:tcPr>
            <w:tcW w:w="0" w:type="auto"/>
            <w:shd w:val="clear" w:color="auto" w:fill="auto"/>
            <w:hideMark/>
          </w:tcPr>
          <w:p w14:paraId="5A3D011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7160468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ICU samples</w:t>
            </w:r>
          </w:p>
        </w:tc>
        <w:tc>
          <w:tcPr>
            <w:tcW w:w="0" w:type="auto"/>
            <w:shd w:val="clear" w:color="auto" w:fill="auto"/>
            <w:hideMark/>
          </w:tcPr>
          <w:p w14:paraId="157F254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78% carbapenem-resistant; ST1 and ST2 were dominant clones.</w:t>
            </w:r>
          </w:p>
        </w:tc>
      </w:tr>
      <w:tr w:rsidR="00533EC0" w:rsidRPr="00B847F7" w14:paraId="146284D7"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784321"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Ogbolu</w:t>
            </w:r>
            <w:proofErr w:type="spellEnd"/>
            <w:r w:rsidRPr="00B847F7">
              <w:rPr>
                <w:rFonts w:ascii="Times New Roman" w:hAnsi="Times New Roman" w:cs="Times New Roman"/>
                <w:b w:val="0"/>
                <w:bCs w:val="0"/>
              </w:rPr>
              <w:t xml:space="preserve"> et al. (2020)</w:t>
            </w:r>
          </w:p>
        </w:tc>
        <w:tc>
          <w:tcPr>
            <w:tcW w:w="0" w:type="auto"/>
            <w:hideMark/>
          </w:tcPr>
          <w:p w14:paraId="57B41530"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329DC83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Wounds, Sputum</w:t>
            </w:r>
          </w:p>
        </w:tc>
        <w:tc>
          <w:tcPr>
            <w:tcW w:w="0" w:type="auto"/>
            <w:hideMark/>
          </w:tcPr>
          <w:p w14:paraId="6A172139"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95% MDR; 90% resistant to imipenem; associated with the presence of </w:t>
            </w:r>
            <w:r w:rsidRPr="00B847F7">
              <w:rPr>
                <w:rFonts w:ascii="Times New Roman" w:hAnsi="Times New Roman" w:cs="Times New Roman"/>
                <w:i/>
                <w:iCs/>
              </w:rPr>
              <w:t>bla</w:t>
            </w:r>
            <w:r w:rsidRPr="00B847F7">
              <w:rPr>
                <w:rFonts w:ascii="Times New Roman" w:hAnsi="Times New Roman" w:cs="Times New Roman"/>
              </w:rPr>
              <w:t>OXA-51 and </w:t>
            </w:r>
            <w:r w:rsidRPr="00B847F7">
              <w:rPr>
                <w:rFonts w:ascii="Times New Roman" w:hAnsi="Times New Roman" w:cs="Times New Roman"/>
                <w:i/>
                <w:iCs/>
              </w:rPr>
              <w:t>bla</w:t>
            </w:r>
            <w:r w:rsidRPr="00B847F7">
              <w:rPr>
                <w:rFonts w:ascii="Times New Roman" w:hAnsi="Times New Roman" w:cs="Times New Roman"/>
              </w:rPr>
              <w:t>OXA-23.</w:t>
            </w:r>
          </w:p>
        </w:tc>
      </w:tr>
      <w:tr w:rsidR="00B847F7" w:rsidRPr="00533EC0" w14:paraId="09602C8D"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8EEC9F"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Ajayı</w:t>
            </w:r>
            <w:proofErr w:type="spellEnd"/>
            <w:r w:rsidRPr="00B847F7">
              <w:rPr>
                <w:rFonts w:ascii="Times New Roman" w:hAnsi="Times New Roman" w:cs="Times New Roman"/>
                <w:b w:val="0"/>
                <w:bCs w:val="0"/>
              </w:rPr>
              <w:t xml:space="preserve"> et al. (2021)</w:t>
            </w:r>
          </w:p>
        </w:tc>
        <w:tc>
          <w:tcPr>
            <w:tcW w:w="0" w:type="auto"/>
            <w:shd w:val="clear" w:color="auto" w:fill="auto"/>
            <w:hideMark/>
          </w:tcPr>
          <w:p w14:paraId="6018524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201A12D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Burn Wound Infections</w:t>
            </w:r>
          </w:p>
        </w:tc>
        <w:tc>
          <w:tcPr>
            <w:tcW w:w="0" w:type="auto"/>
            <w:shd w:val="clear" w:color="auto" w:fill="auto"/>
            <w:hideMark/>
          </w:tcPr>
          <w:p w14:paraId="235184C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89% of </w:t>
            </w:r>
            <w:r w:rsidRPr="00B847F7">
              <w:rPr>
                <w:rFonts w:ascii="Times New Roman" w:hAnsi="Times New Roman" w:cs="Times New Roman"/>
                <w:i/>
                <w:iCs/>
              </w:rPr>
              <w:t>A. baumannii</w:t>
            </w:r>
            <w:r w:rsidRPr="00B847F7">
              <w:rPr>
                <w:rFonts w:ascii="Times New Roman" w:hAnsi="Times New Roman" w:cs="Times New Roman"/>
              </w:rPr>
              <w:t> isolates were XDR; high resistance to cephalosporins and carbapenems.</w:t>
            </w:r>
          </w:p>
        </w:tc>
      </w:tr>
      <w:tr w:rsidR="00533EC0" w:rsidRPr="00B847F7" w14:paraId="3A2DF33A"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9D7AB"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Eze et al. (2022)</w:t>
            </w:r>
          </w:p>
        </w:tc>
        <w:tc>
          <w:tcPr>
            <w:tcW w:w="0" w:type="auto"/>
            <w:hideMark/>
          </w:tcPr>
          <w:p w14:paraId="2DF388A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hideMark/>
          </w:tcPr>
          <w:p w14:paraId="72CF083F"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ICU and Surgical Sites</w:t>
            </w:r>
          </w:p>
        </w:tc>
        <w:tc>
          <w:tcPr>
            <w:tcW w:w="0" w:type="auto"/>
            <w:hideMark/>
          </w:tcPr>
          <w:p w14:paraId="0B7C49F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a 70% prevalence of MDR </w:t>
            </w:r>
            <w:r w:rsidRPr="00B847F7">
              <w:rPr>
                <w:rFonts w:ascii="Times New Roman" w:hAnsi="Times New Roman" w:cs="Times New Roman"/>
                <w:i/>
                <w:iCs/>
              </w:rPr>
              <w:t>Acinetobacter</w:t>
            </w:r>
            <w:r w:rsidRPr="00B847F7">
              <w:rPr>
                <w:rFonts w:ascii="Times New Roman" w:hAnsi="Times New Roman" w:cs="Times New Roman"/>
              </w:rPr>
              <w:t> spp.; significant association with device-associated infections.</w:t>
            </w:r>
          </w:p>
        </w:tc>
      </w:tr>
      <w:tr w:rsidR="00B847F7" w:rsidRPr="00533EC0" w14:paraId="1A540F33"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D8CCE4"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lastRenderedPageBreak/>
              <w:t>Musa et al. (2020)</w:t>
            </w:r>
          </w:p>
        </w:tc>
        <w:tc>
          <w:tcPr>
            <w:tcW w:w="0" w:type="auto"/>
            <w:shd w:val="clear" w:color="auto" w:fill="auto"/>
            <w:hideMark/>
          </w:tcPr>
          <w:p w14:paraId="0B3911F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North-West</w:t>
            </w:r>
          </w:p>
        </w:tc>
        <w:tc>
          <w:tcPr>
            <w:tcW w:w="0" w:type="auto"/>
            <w:shd w:val="clear" w:color="auto" w:fill="auto"/>
            <w:hideMark/>
          </w:tcPr>
          <w:p w14:paraId="2773AB25"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Bloodstream Infections</w:t>
            </w:r>
          </w:p>
        </w:tc>
        <w:tc>
          <w:tcPr>
            <w:tcW w:w="0" w:type="auto"/>
            <w:shd w:val="clear" w:color="auto" w:fill="auto"/>
            <w:hideMark/>
          </w:tcPr>
          <w:p w14:paraId="1B795F9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Found </w:t>
            </w:r>
            <w:r w:rsidRPr="00B847F7">
              <w:rPr>
                <w:rFonts w:ascii="Times New Roman" w:hAnsi="Times New Roman" w:cs="Times New Roman"/>
                <w:i/>
                <w:iCs/>
              </w:rPr>
              <w:t>Acinetobacter</w:t>
            </w:r>
            <w:r w:rsidRPr="00B847F7">
              <w:rPr>
                <w:rFonts w:ascii="Times New Roman" w:hAnsi="Times New Roman" w:cs="Times New Roman"/>
              </w:rPr>
              <w:t> spp. responsible for 12% of neonatal sepsis cases, with 80% MDR rate.</w:t>
            </w:r>
          </w:p>
        </w:tc>
      </w:tr>
      <w:tr w:rsidR="00533EC0" w:rsidRPr="00B847F7" w14:paraId="19DBA798"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D7E2FB"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Sule et al. (2023)</w:t>
            </w:r>
          </w:p>
        </w:tc>
        <w:tc>
          <w:tcPr>
            <w:tcW w:w="0" w:type="auto"/>
            <w:hideMark/>
          </w:tcPr>
          <w:p w14:paraId="662B8DA6"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hideMark/>
          </w:tcPr>
          <w:p w14:paraId="2FE60AA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Urinary Tract Infections</w:t>
            </w:r>
          </w:p>
        </w:tc>
        <w:tc>
          <w:tcPr>
            <w:tcW w:w="0" w:type="auto"/>
            <w:hideMark/>
          </w:tcPr>
          <w:p w14:paraId="27343B82"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Documented rising prevalence of </w:t>
            </w:r>
            <w:r w:rsidRPr="00B847F7">
              <w:rPr>
                <w:rFonts w:ascii="Times New Roman" w:hAnsi="Times New Roman" w:cs="Times New Roman"/>
                <w:i/>
                <w:iCs/>
              </w:rPr>
              <w:t>Acinetobacter</w:t>
            </w:r>
            <w:r w:rsidRPr="00B847F7">
              <w:rPr>
                <w:rFonts w:ascii="Times New Roman" w:hAnsi="Times New Roman" w:cs="Times New Roman"/>
              </w:rPr>
              <w:t> in UTIs (8%), with 75% of isolates being carbapenem-resistant.</w:t>
            </w:r>
          </w:p>
        </w:tc>
      </w:tr>
      <w:tr w:rsidR="00B847F7" w:rsidRPr="00533EC0" w14:paraId="4E8FA44B"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B942FE"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Iregbu</w:t>
            </w:r>
            <w:proofErr w:type="spellEnd"/>
            <w:r w:rsidRPr="00B847F7">
              <w:rPr>
                <w:rFonts w:ascii="Times New Roman" w:hAnsi="Times New Roman" w:cs="Times New Roman"/>
                <w:b w:val="0"/>
                <w:bCs w:val="0"/>
              </w:rPr>
              <w:t xml:space="preserve"> et al. (2021)</w:t>
            </w:r>
          </w:p>
        </w:tc>
        <w:tc>
          <w:tcPr>
            <w:tcW w:w="0" w:type="auto"/>
            <w:shd w:val="clear" w:color="auto" w:fill="auto"/>
            <w:hideMark/>
          </w:tcPr>
          <w:p w14:paraId="504BDCC5"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09614AE2"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Various invasive sites</w:t>
            </w:r>
          </w:p>
        </w:tc>
        <w:tc>
          <w:tcPr>
            <w:tcW w:w="0" w:type="auto"/>
            <w:shd w:val="clear" w:color="auto" w:fill="auto"/>
            <w:hideMark/>
          </w:tcPr>
          <w:p w14:paraId="7482875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In a national reference lab survey, </w:t>
            </w:r>
            <w:r w:rsidRPr="00B847F7">
              <w:rPr>
                <w:rFonts w:ascii="Times New Roman" w:hAnsi="Times New Roman" w:cs="Times New Roman"/>
                <w:i/>
                <w:iCs/>
              </w:rPr>
              <w:t>A. baumannii</w:t>
            </w:r>
            <w:r w:rsidRPr="00B847F7">
              <w:rPr>
                <w:rFonts w:ascii="Times New Roman" w:hAnsi="Times New Roman" w:cs="Times New Roman"/>
              </w:rPr>
              <w:t> showed &gt;85% resistance to meropenem and gentamicin.</w:t>
            </w:r>
          </w:p>
        </w:tc>
      </w:tr>
      <w:tr w:rsidR="00533EC0" w:rsidRPr="00B847F7" w14:paraId="5D913CFE"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9EC35C"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Fowotade</w:t>
            </w:r>
            <w:proofErr w:type="spellEnd"/>
            <w:r w:rsidRPr="00B847F7">
              <w:rPr>
                <w:rFonts w:ascii="Times New Roman" w:hAnsi="Times New Roman" w:cs="Times New Roman"/>
                <w:b w:val="0"/>
                <w:bCs w:val="0"/>
              </w:rPr>
              <w:t xml:space="preserve"> et al. (2020)</w:t>
            </w:r>
          </w:p>
        </w:tc>
        <w:tc>
          <w:tcPr>
            <w:tcW w:w="0" w:type="auto"/>
            <w:hideMark/>
          </w:tcPr>
          <w:p w14:paraId="20B992C4"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0A4023E0"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Respiratory samples</w:t>
            </w:r>
          </w:p>
        </w:tc>
        <w:tc>
          <w:tcPr>
            <w:tcW w:w="0" w:type="auto"/>
            <w:hideMark/>
          </w:tcPr>
          <w:p w14:paraId="59AD047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82% MDR in </w:t>
            </w:r>
            <w:r w:rsidRPr="00B847F7">
              <w:rPr>
                <w:rFonts w:ascii="Times New Roman" w:hAnsi="Times New Roman" w:cs="Times New Roman"/>
                <w:i/>
                <w:iCs/>
              </w:rPr>
              <w:t>Acinetobacter</w:t>
            </w:r>
            <w:r w:rsidRPr="00B847F7">
              <w:rPr>
                <w:rFonts w:ascii="Times New Roman" w:hAnsi="Times New Roman" w:cs="Times New Roman"/>
              </w:rPr>
              <w:t> isolates from ventilated patients; high mortality correlation.</w:t>
            </w:r>
          </w:p>
        </w:tc>
      </w:tr>
    </w:tbl>
    <w:p w14:paraId="3DCD74A9" w14:textId="77777777" w:rsidR="00795CD8" w:rsidRDefault="00795CD8" w:rsidP="001A6B3A">
      <w:pPr>
        <w:jc w:val="both"/>
        <w:rPr>
          <w:rFonts w:ascii="Times New Roman" w:hAnsi="Times New Roman" w:cs="Times New Roman"/>
          <w:b/>
          <w:bCs/>
        </w:rPr>
      </w:pPr>
    </w:p>
    <w:p w14:paraId="27DDCE77" w14:textId="22A20CB0"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3.3. Molecular Epidemiology and Resistance Mechanisms of Clinical Isolates</w:t>
      </w:r>
      <w:r w:rsidRPr="00B847F7">
        <w:rPr>
          <w:rFonts w:ascii="Times New Roman" w:hAnsi="Times New Roman" w:cs="Times New Roman"/>
        </w:rPr>
        <w:br/>
        <w:t>Molecular studies have begun to shed critical light on the specific genetic drivers and successful clones propagating the </w:t>
      </w:r>
      <w:r w:rsidRPr="00B847F7">
        <w:rPr>
          <w:rFonts w:ascii="Times New Roman" w:hAnsi="Times New Roman" w:cs="Times New Roman"/>
          <w:i/>
          <w:iCs/>
        </w:rPr>
        <w:t>Acinetobacter</w:t>
      </w:r>
      <w:r w:rsidRPr="00B847F7">
        <w:rPr>
          <w:rFonts w:ascii="Times New Roman" w:hAnsi="Times New Roman" w:cs="Times New Roman"/>
        </w:rPr>
        <w:t> epidemic in Nigeria. The molecular basis for carbapenem resistance is overwhelmingly dominated by the production of carbapenem-hydrolyzing class D β-lactamases (CHDLs), with the </w:t>
      </w:r>
      <w:r w:rsidRPr="00B847F7">
        <w:rPr>
          <w:rFonts w:ascii="Times New Roman" w:hAnsi="Times New Roman" w:cs="Times New Roman"/>
          <w:i/>
          <w:iCs/>
        </w:rPr>
        <w:t>bla</w:t>
      </w:r>
      <w:r w:rsidRPr="00B847F7">
        <w:rPr>
          <w:rFonts w:ascii="Times New Roman" w:hAnsi="Times New Roman" w:cs="Times New Roman"/>
        </w:rPr>
        <w:t xml:space="preserve">OXA-23-like gene being the most prevalent and widely disseminated </w:t>
      </w:r>
      <w:proofErr w:type="spellStart"/>
      <w:r w:rsidRPr="00B847F7">
        <w:rPr>
          <w:rFonts w:ascii="Times New Roman" w:hAnsi="Times New Roman" w:cs="Times New Roman"/>
        </w:rPr>
        <w:t>carbapenemase</w:t>
      </w:r>
      <w:proofErr w:type="spellEnd"/>
      <w:r w:rsidRPr="00B847F7">
        <w:rPr>
          <w:rFonts w:ascii="Times New Roman" w:hAnsi="Times New Roman" w:cs="Times New Roman"/>
        </w:rPr>
        <w:t xml:space="preserve"> gene, found in the vast majority of CRAB isolates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w:t>
      </w:r>
      <w:proofErr w:type="spellStart"/>
      <w:r w:rsidRPr="00B847F7">
        <w:rPr>
          <w:rFonts w:ascii="Times New Roman" w:hAnsi="Times New Roman" w:cs="Times New Roman"/>
        </w:rPr>
        <w:t>Onipede</w:t>
      </w:r>
      <w:proofErr w:type="spellEnd"/>
      <w:r w:rsidRPr="00B847F7">
        <w:rPr>
          <w:rFonts w:ascii="Times New Roman" w:hAnsi="Times New Roman" w:cs="Times New Roman"/>
        </w:rPr>
        <w:t xml:space="preserve"> &amp; </w:t>
      </w:r>
      <w:proofErr w:type="spellStart"/>
      <w:r w:rsidRPr="00B847F7">
        <w:rPr>
          <w:rFonts w:ascii="Times New Roman" w:hAnsi="Times New Roman" w:cs="Times New Roman"/>
        </w:rPr>
        <w:t>Adefioye</w:t>
      </w:r>
      <w:proofErr w:type="spellEnd"/>
      <w:r w:rsidRPr="00B847F7">
        <w:rPr>
          <w:rFonts w:ascii="Times New Roman" w:hAnsi="Times New Roman" w:cs="Times New Roman"/>
        </w:rPr>
        <w:t>, 2021). The intrinsic </w:t>
      </w:r>
      <w:r w:rsidRPr="00B847F7">
        <w:rPr>
          <w:rFonts w:ascii="Times New Roman" w:hAnsi="Times New Roman" w:cs="Times New Roman"/>
          <w:i/>
          <w:iCs/>
        </w:rPr>
        <w:t>bla</w:t>
      </w:r>
      <w:r w:rsidRPr="00B847F7">
        <w:rPr>
          <w:rFonts w:ascii="Times New Roman" w:hAnsi="Times New Roman" w:cs="Times New Roman"/>
        </w:rPr>
        <w:t>OXA-51-like gene is universally present in </w:t>
      </w:r>
      <w:r w:rsidRPr="00B847F7">
        <w:rPr>
          <w:rFonts w:ascii="Times New Roman" w:hAnsi="Times New Roman" w:cs="Times New Roman"/>
          <w:i/>
          <w:iCs/>
        </w:rPr>
        <w:t>A. baumannii</w:t>
      </w:r>
      <w:r w:rsidRPr="00B847F7">
        <w:rPr>
          <w:rFonts w:ascii="Times New Roman" w:hAnsi="Times New Roman" w:cs="Times New Roman"/>
        </w:rPr>
        <w:t xml:space="preserve"> and serves as a useful species-specific marker; its overexpression, often due to the insertion of ISAba1 upstream of the gene, can also contribute to carbapenem resistance. Of grave concern is the increasing detection of the </w:t>
      </w:r>
      <w:proofErr w:type="spellStart"/>
      <w:r w:rsidRPr="00B847F7">
        <w:rPr>
          <w:rFonts w:ascii="Times New Roman" w:hAnsi="Times New Roman" w:cs="Times New Roman"/>
        </w:rPr>
        <w:t>metallo</w:t>
      </w:r>
      <w:proofErr w:type="spellEnd"/>
      <w:r w:rsidRPr="00B847F7">
        <w:rPr>
          <w:rFonts w:ascii="Times New Roman" w:hAnsi="Times New Roman" w:cs="Times New Roman"/>
        </w:rPr>
        <w:t>-β-lactamase gene </w:t>
      </w:r>
      <w:r w:rsidRPr="00B847F7">
        <w:rPr>
          <w:rFonts w:ascii="Times New Roman" w:hAnsi="Times New Roman" w:cs="Times New Roman"/>
          <w:i/>
          <w:iCs/>
        </w:rPr>
        <w:t>bla</w:t>
      </w:r>
      <w:r w:rsidRPr="00B847F7">
        <w:rPr>
          <w:rFonts w:ascii="Times New Roman" w:hAnsi="Times New Roman" w:cs="Times New Roman"/>
        </w:rPr>
        <w:t>NDM-1, which confers resistance to all β-lactams except monobactams (e.g., aztreonam). The presence of </w:t>
      </w:r>
      <w:r w:rsidRPr="00B847F7">
        <w:rPr>
          <w:rFonts w:ascii="Times New Roman" w:hAnsi="Times New Roman" w:cs="Times New Roman"/>
          <w:i/>
          <w:iCs/>
        </w:rPr>
        <w:t>bla</w:t>
      </w:r>
      <w:r w:rsidRPr="00B847F7">
        <w:rPr>
          <w:rFonts w:ascii="Times New Roman" w:hAnsi="Times New Roman" w:cs="Times New Roman"/>
        </w:rPr>
        <w:t>NDM-1, often alongside </w:t>
      </w:r>
      <w:r w:rsidRPr="00B847F7">
        <w:rPr>
          <w:rFonts w:ascii="Times New Roman" w:hAnsi="Times New Roman" w:cs="Times New Roman"/>
          <w:i/>
          <w:iCs/>
        </w:rPr>
        <w:t>bla</w:t>
      </w:r>
      <w:r w:rsidRPr="00B847F7">
        <w:rPr>
          <w:rFonts w:ascii="Times New Roman" w:hAnsi="Times New Roman" w:cs="Times New Roman"/>
        </w:rPr>
        <w:t xml:space="preserve">OXA-23, creates a genetic profile that forecloses most beta-lactam therapeutic options and is a marker of extremely drug-resistant (XDR) strains (Adekanmbi et al., 2023). Other mechanisms, including the upregulation of efflux pumps (e.g., </w:t>
      </w:r>
      <w:proofErr w:type="spellStart"/>
      <w:r w:rsidRPr="00B847F7">
        <w:rPr>
          <w:rFonts w:ascii="Times New Roman" w:hAnsi="Times New Roman" w:cs="Times New Roman"/>
        </w:rPr>
        <w:t>AdeABC</w:t>
      </w:r>
      <w:proofErr w:type="spellEnd"/>
      <w:r w:rsidRPr="00B847F7">
        <w:rPr>
          <w:rFonts w:ascii="Times New Roman" w:hAnsi="Times New Roman" w:cs="Times New Roman"/>
        </w:rPr>
        <w:t>) and permeability defects, further compound the resistance profile.</w:t>
      </w:r>
    </w:p>
    <w:p w14:paraId="03467E2E"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Multi-locus sequence typing (MLST) studies, though still limited in number, reveal the circulation of high-risk international clones that are responsible for global outbreaks. Particularly prominent is International Clone II, which frequently corresponds to sequence type ST2, a lineage repeatedly identified in Nigerian hospitals and associated with the carriage of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The persistence and clonal dissemination of these successful lineages within and between Nigerian hospitals point to significant gaps in IPC, allowing for the unchecked spread of these optimized pathogens. The use of whole-genome sequencing (WGS) in studies like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is beginning to provide an unprecedented resolution, uncovering the plasmid backgrounds of resistance genes and the single-nucleotide polymorphisms that drive clonal expansion, offering insights for targeted interventions.</w:t>
      </w:r>
    </w:p>
    <w:p w14:paraId="4263611C"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lastRenderedPageBreak/>
        <w:t>4. The Environmental Reservoir: Beyond the Hospital Walls</w:t>
      </w:r>
    </w:p>
    <w:p w14:paraId="79914411"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innate resilience of </w:t>
      </w:r>
      <w:r w:rsidRPr="00B847F7">
        <w:rPr>
          <w:rFonts w:ascii="Times New Roman" w:hAnsi="Times New Roman" w:cs="Times New Roman"/>
          <w:i/>
          <w:iCs/>
        </w:rPr>
        <w:t>Acinetobacter</w:t>
      </w:r>
      <w:r w:rsidRPr="00B847F7">
        <w:rPr>
          <w:rFonts w:ascii="Times New Roman" w:hAnsi="Times New Roman" w:cs="Times New Roman"/>
        </w:rPr>
        <w:t> species allows them to not only survive but potentially thrive once they exit the clinical setting, creating extensive and often overlooked environmental reservoirs that serve as a source for ongoing transmission.</w:t>
      </w:r>
    </w:p>
    <w:p w14:paraId="54ED294D"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4.1. Detection in Hospital Effluents and Wastewater: The Primary Point Source</w:t>
      </w:r>
      <w:r w:rsidRPr="00B847F7">
        <w:rPr>
          <w:rFonts w:ascii="Times New Roman" w:hAnsi="Times New Roman" w:cs="Times New Roman"/>
        </w:rPr>
        <w:br/>
        <w:t>Hospitals are recognized as potent point sources for the release of MDR bacteria, antibiotics, and disinfectants into the environment. Studies specifically targeting hospital effluents in Nigeria have yielded consistently concerning results. Adekanmbi et al. (2023) conducted a pivotal study in South-Western Nigeria that explicitly traced the path of CRAB. They successfully isolated genetically similar CRAB strains from both the raw wastewater of a major tertiary hospital and from the downstream sections of the river that received this effluent. Crucially, their molecular analysis confirmed the presence of identical high-risk resistance genes,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 xml:space="preserve">NDM-1, in isolates from both sources. This provides a clear trajectory of escape from the hospital. Similarly, </w:t>
      </w:r>
      <w:proofErr w:type="spellStart"/>
      <w:r w:rsidRPr="00B847F7">
        <w:rPr>
          <w:rFonts w:ascii="Times New Roman" w:hAnsi="Times New Roman" w:cs="Times New Roman"/>
        </w:rPr>
        <w:t>Oaikhena</w:t>
      </w:r>
      <w:proofErr w:type="spellEnd"/>
      <w:r w:rsidRPr="00B847F7">
        <w:rPr>
          <w:rFonts w:ascii="Times New Roman" w:hAnsi="Times New Roman" w:cs="Times New Roman"/>
        </w:rPr>
        <w:t xml:space="preserve"> et al. (2021) reported significant contamination of the immediate hospital environment (floors, bed rails) and its drainage systems with MDR </w:t>
      </w:r>
      <w:r w:rsidRPr="00B847F7">
        <w:rPr>
          <w:rFonts w:ascii="Times New Roman" w:hAnsi="Times New Roman" w:cs="Times New Roman"/>
          <w:i/>
          <w:iCs/>
        </w:rPr>
        <w:t>Acinetobacter</w:t>
      </w:r>
      <w:r w:rsidRPr="00B847F7">
        <w:rPr>
          <w:rFonts w:ascii="Times New Roman" w:hAnsi="Times New Roman" w:cs="Times New Roman"/>
        </w:rPr>
        <w:t> species in Benin City, demonstrating a gradient of contamination from the ward to the wastewater outlet. These findings collectively demonstrate that despite any rudimentary treatment that may occur on-site, hospital effluents in Nigeria carry a substantial and viable load of resistant </w:t>
      </w:r>
      <w:r w:rsidRPr="00B847F7">
        <w:rPr>
          <w:rFonts w:ascii="Times New Roman" w:hAnsi="Times New Roman" w:cs="Times New Roman"/>
          <w:i/>
          <w:iCs/>
        </w:rPr>
        <w:t>Acinetobacter</w:t>
      </w:r>
      <w:r w:rsidRPr="00B847F7">
        <w:rPr>
          <w:rFonts w:ascii="Times New Roman" w:hAnsi="Times New Roman" w:cs="Times New Roman"/>
        </w:rPr>
        <w:t> directly into public sewage systems or, in many cases, directly into the environment.</w:t>
      </w:r>
    </w:p>
    <w:p w14:paraId="295642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4.2. Persistence in Municipal Wastewater and Receiving Water Bodies: The Mixing Vessel</w:t>
      </w:r>
      <w:r w:rsidRPr="00B847F7">
        <w:rPr>
          <w:rFonts w:ascii="Times New Roman" w:hAnsi="Times New Roman" w:cs="Times New Roman"/>
        </w:rPr>
        <w:br/>
        <w:t>Once in the municipal sewage system, MDR </w:t>
      </w:r>
      <w:r w:rsidRPr="00B847F7">
        <w:rPr>
          <w:rFonts w:ascii="Times New Roman" w:hAnsi="Times New Roman" w:cs="Times New Roman"/>
          <w:i/>
          <w:iCs/>
        </w:rPr>
        <w:t>Acinetobacter</w:t>
      </w:r>
      <w:r w:rsidRPr="00B847F7">
        <w:rPr>
          <w:rFonts w:ascii="Times New Roman" w:hAnsi="Times New Roman" w:cs="Times New Roman"/>
        </w:rPr>
        <w:t> enters a new and complex environment. Wastewater treatment plants (WWTPs) in Nigeria are often inefficient, overloaded, or completely non-functional, meaning they act more as "mixing vessels" than as removal systems (Iwu &amp; Okoh, 2019). In this milieu, which is rich in organic matter, biofilms, and sub-inhibitory concentrations of antibiotics and other pollutants, the conditions are ideal for the persistence of resistant bacteria and, critically, for horizontal gene transfer (Lupo et al., 2020). Several studies have detected </w:t>
      </w:r>
      <w:r w:rsidRPr="00B847F7">
        <w:rPr>
          <w:rFonts w:ascii="Times New Roman" w:hAnsi="Times New Roman" w:cs="Times New Roman"/>
          <w:i/>
          <w:iCs/>
        </w:rPr>
        <w:t>Acinetobacter</w:t>
      </w:r>
      <w:r w:rsidRPr="00B847F7">
        <w:rPr>
          <w:rFonts w:ascii="Times New Roman" w:hAnsi="Times New Roman" w:cs="Times New Roman"/>
        </w:rPr>
        <w:t xml:space="preserve"> in the final effluents of WWTPs and, consequently, in the downstream rivers that receive this treated or untreated discharge. These rivers are frequently used by adjacent communities for a range of domestic purposes, including bathing, washing clothes and utensils, recreation, and even as sources of drinking water (Adekanmbi et al., 2023; </w:t>
      </w:r>
      <w:proofErr w:type="spellStart"/>
      <w:r w:rsidRPr="00B847F7">
        <w:rPr>
          <w:rFonts w:ascii="Times New Roman" w:hAnsi="Times New Roman" w:cs="Times New Roman"/>
        </w:rPr>
        <w:t>Ezeonu</w:t>
      </w:r>
      <w:proofErr w:type="spellEnd"/>
      <w:r w:rsidRPr="00B847F7">
        <w:rPr>
          <w:rFonts w:ascii="Times New Roman" w:hAnsi="Times New Roman" w:cs="Times New Roman"/>
        </w:rPr>
        <w:t xml:space="preserve"> et al., 2023). This creates a direct and daily exposure route for millions of Nigerians, potentially leading to community-acquired colonization or infection with MDR </w:t>
      </w:r>
      <w:r w:rsidRPr="00B847F7">
        <w:rPr>
          <w:rFonts w:ascii="Times New Roman" w:hAnsi="Times New Roman" w:cs="Times New Roman"/>
          <w:i/>
          <w:iCs/>
        </w:rPr>
        <w:t>Acinetobacter</w:t>
      </w:r>
      <w:r w:rsidRPr="00B847F7">
        <w:rPr>
          <w:rFonts w:ascii="Times New Roman" w:hAnsi="Times New Roman" w:cs="Times New Roman"/>
        </w:rPr>
        <w:t>, a phenomenon that is likely severely underreported due to limited diagnostic capacity in primary care settings. The study by Salawu et al. (2024), which detected </w:t>
      </w:r>
      <w:r w:rsidRPr="00B847F7">
        <w:rPr>
          <w:rFonts w:ascii="Times New Roman" w:hAnsi="Times New Roman" w:cs="Times New Roman"/>
          <w:i/>
          <w:iCs/>
        </w:rPr>
        <w:t>bla</w:t>
      </w:r>
      <w:r w:rsidRPr="00B847F7">
        <w:rPr>
          <w:rFonts w:ascii="Times New Roman" w:hAnsi="Times New Roman" w:cs="Times New Roman"/>
        </w:rPr>
        <w:t>OXA-23-positive </w:t>
      </w:r>
      <w:r w:rsidRPr="00B847F7">
        <w:rPr>
          <w:rFonts w:ascii="Times New Roman" w:hAnsi="Times New Roman" w:cs="Times New Roman"/>
          <w:i/>
          <w:iCs/>
        </w:rPr>
        <w:t>Acinetobacter</w:t>
      </w:r>
      <w:r w:rsidRPr="00B847F7">
        <w:rPr>
          <w:rFonts w:ascii="Times New Roman" w:hAnsi="Times New Roman" w:cs="Times New Roman"/>
        </w:rPr>
        <w:t> in water and soil used for vegetable irrigation in the North-West, further extends this threat into the food chain, representing another critical ‘One Health’ exposure pathway.</w:t>
      </w:r>
    </w:p>
    <w:p w14:paraId="6D4E2F9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4.3. Other Environmental Niches: Completing the One Health Picture</w:t>
      </w:r>
      <w:r w:rsidRPr="00B847F7">
        <w:rPr>
          <w:rFonts w:ascii="Times New Roman" w:hAnsi="Times New Roman" w:cs="Times New Roman"/>
        </w:rPr>
        <w:br/>
        <w:t>Beyond the aquatic environment, </w:t>
      </w:r>
      <w:r w:rsidRPr="00B847F7">
        <w:rPr>
          <w:rFonts w:ascii="Times New Roman" w:hAnsi="Times New Roman" w:cs="Times New Roman"/>
          <w:i/>
          <w:iCs/>
        </w:rPr>
        <w:t>Acinetobacter</w:t>
      </w:r>
      <w:r w:rsidRPr="00B847F7">
        <w:rPr>
          <w:rFonts w:ascii="Times New Roman" w:hAnsi="Times New Roman" w:cs="Times New Roman"/>
        </w:rPr>
        <w:t xml:space="preserve"> can be found in soil and is associated with </w:t>
      </w:r>
      <w:r w:rsidRPr="00B847F7">
        <w:rPr>
          <w:rFonts w:ascii="Times New Roman" w:hAnsi="Times New Roman" w:cs="Times New Roman"/>
        </w:rPr>
        <w:lastRenderedPageBreak/>
        <w:t>agricultural practices, especially when wastewater or untreated sludge is used for irrigation, a common practice in peri-urban agriculture in Nigeria (Iwu et al., 2020). Studies like that of Bello et al. (2023) have documented </w:t>
      </w:r>
      <w:r w:rsidRPr="00B847F7">
        <w:rPr>
          <w:rFonts w:ascii="Times New Roman" w:hAnsi="Times New Roman" w:cs="Times New Roman"/>
          <w:i/>
          <w:iCs/>
        </w:rPr>
        <w:t>Acinetobacter</w:t>
      </w:r>
      <w:r w:rsidRPr="00B847F7">
        <w:rPr>
          <w:rFonts w:ascii="Times New Roman" w:hAnsi="Times New Roman" w:cs="Times New Roman"/>
        </w:rPr>
        <w:t> spp. with concerning resistance profiles in abattoir effluent and soil, indicating contamination from animal sources. Similarly, Adebayo et al. (2022) isolated MDR </w:t>
      </w:r>
      <w:r w:rsidRPr="00B847F7">
        <w:rPr>
          <w:rFonts w:ascii="Times New Roman" w:hAnsi="Times New Roman" w:cs="Times New Roman"/>
          <w:i/>
          <w:iCs/>
        </w:rPr>
        <w:t>A. baumannii</w:t>
      </w:r>
      <w:r w:rsidRPr="00B847F7">
        <w:rPr>
          <w:rFonts w:ascii="Times New Roman" w:hAnsi="Times New Roman" w:cs="Times New Roman"/>
        </w:rPr>
        <w:t> from aquaculture ponds, suggesting an entry into the aquatic food chain. While data systematically linking MDR </w:t>
      </w:r>
      <w:r w:rsidRPr="00B847F7">
        <w:rPr>
          <w:rFonts w:ascii="Times New Roman" w:hAnsi="Times New Roman" w:cs="Times New Roman"/>
          <w:i/>
          <w:iCs/>
        </w:rPr>
        <w:t>Acinetobacter</w:t>
      </w:r>
      <w:r w:rsidRPr="00B847F7">
        <w:rPr>
          <w:rFonts w:ascii="Times New Roman" w:hAnsi="Times New Roman" w:cs="Times New Roman"/>
        </w:rPr>
        <w:t> from these niches directly to human infection in Nigeria is still sparse, their presence completes the picture of a ubiquitous environmental contaminant. The detection of these bacteria in markets, on fresh produce, and in livestock would close the loop from hospital to farm to fork, posing a continuous, low-level risk to community health that fuels the reservoir from which hospital strains can periodically emerge.</w:t>
      </w:r>
    </w:p>
    <w:p w14:paraId="6B8430EE"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i/>
          <w:iCs/>
        </w:rPr>
        <w:t>Table 2: Summary of Selected Studies on Acinetobacter in the Nigerian Environment</w:t>
      </w:r>
    </w:p>
    <w:tbl>
      <w:tblPr>
        <w:tblStyle w:val="ListTable6Colorful"/>
        <w:tblW w:w="0" w:type="auto"/>
        <w:tblLook w:val="04A0" w:firstRow="1" w:lastRow="0" w:firstColumn="1" w:lastColumn="0" w:noHBand="0" w:noVBand="1"/>
      </w:tblPr>
      <w:tblGrid>
        <w:gridCol w:w="1577"/>
        <w:gridCol w:w="1154"/>
        <w:gridCol w:w="1965"/>
        <w:gridCol w:w="4664"/>
      </w:tblGrid>
      <w:tr w:rsidR="00B847F7" w:rsidRPr="00B847F7" w14:paraId="2B837432" w14:textId="77777777" w:rsidTr="00533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561784"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Study (Year)</w:t>
            </w:r>
          </w:p>
        </w:tc>
        <w:tc>
          <w:tcPr>
            <w:tcW w:w="0" w:type="auto"/>
            <w:hideMark/>
          </w:tcPr>
          <w:p w14:paraId="06D102F1"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Location</w:t>
            </w:r>
          </w:p>
        </w:tc>
        <w:tc>
          <w:tcPr>
            <w:tcW w:w="0" w:type="auto"/>
            <w:hideMark/>
          </w:tcPr>
          <w:p w14:paraId="1B6A7ED1"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Environmental Source</w:t>
            </w:r>
          </w:p>
        </w:tc>
        <w:tc>
          <w:tcPr>
            <w:tcW w:w="0" w:type="auto"/>
            <w:hideMark/>
          </w:tcPr>
          <w:p w14:paraId="5F8FD24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Key Findings</w:t>
            </w:r>
          </w:p>
        </w:tc>
      </w:tr>
      <w:tr w:rsidR="00533EC0" w:rsidRPr="00533EC0" w14:paraId="5219A383"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0D59AF"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Adekanmbi et al. (2023)</w:t>
            </w:r>
          </w:p>
        </w:tc>
        <w:tc>
          <w:tcPr>
            <w:tcW w:w="0" w:type="auto"/>
            <w:shd w:val="clear" w:color="auto" w:fill="auto"/>
            <w:hideMark/>
          </w:tcPr>
          <w:p w14:paraId="34367F44"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29BD34BD"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wastewater, River</w:t>
            </w:r>
          </w:p>
        </w:tc>
        <w:tc>
          <w:tcPr>
            <w:tcW w:w="0" w:type="auto"/>
            <w:shd w:val="clear" w:color="auto" w:fill="auto"/>
            <w:hideMark/>
          </w:tcPr>
          <w:p w14:paraId="5A9CF2C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CRAB with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detected in both hospital effluent and receiving river.</w:t>
            </w:r>
          </w:p>
        </w:tc>
      </w:tr>
      <w:tr w:rsidR="00B847F7" w:rsidRPr="00B847F7" w14:paraId="55E3A76D"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3CA2CAC8"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Oaikhena</w:t>
            </w:r>
            <w:proofErr w:type="spellEnd"/>
            <w:r w:rsidRPr="00B847F7">
              <w:rPr>
                <w:rFonts w:ascii="Times New Roman" w:hAnsi="Times New Roman" w:cs="Times New Roman"/>
                <w:b w:val="0"/>
                <w:bCs w:val="0"/>
              </w:rPr>
              <w:t xml:space="preserve"> et al. (2021)</w:t>
            </w:r>
          </w:p>
        </w:tc>
        <w:tc>
          <w:tcPr>
            <w:tcW w:w="0" w:type="auto"/>
            <w:hideMark/>
          </w:tcPr>
          <w:p w14:paraId="4C4A2D9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South-South</w:t>
            </w:r>
          </w:p>
        </w:tc>
        <w:tc>
          <w:tcPr>
            <w:tcW w:w="0" w:type="auto"/>
            <w:hideMark/>
          </w:tcPr>
          <w:p w14:paraId="54C449B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drains, Environment</w:t>
            </w:r>
          </w:p>
        </w:tc>
        <w:tc>
          <w:tcPr>
            <w:tcW w:w="0" w:type="auto"/>
            <w:hideMark/>
          </w:tcPr>
          <w:p w14:paraId="094C79A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MDR </w:t>
            </w:r>
            <w:r w:rsidRPr="00B847F7">
              <w:rPr>
                <w:rFonts w:ascii="Times New Roman" w:hAnsi="Times New Roman" w:cs="Times New Roman"/>
                <w:i/>
                <w:iCs/>
              </w:rPr>
              <w:t>Acinetobacter</w:t>
            </w:r>
            <w:r w:rsidRPr="00B847F7">
              <w:rPr>
                <w:rFonts w:ascii="Times New Roman" w:hAnsi="Times New Roman" w:cs="Times New Roman"/>
              </w:rPr>
              <w:t> spp. isolated from hospital surroundings and drainage, indicating point-source pollution.</w:t>
            </w:r>
          </w:p>
        </w:tc>
      </w:tr>
      <w:tr w:rsidR="00533EC0" w:rsidRPr="00533EC0" w14:paraId="64C55AE5"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9ADD70"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Iwu et al. (2020)</w:t>
            </w:r>
          </w:p>
        </w:tc>
        <w:tc>
          <w:tcPr>
            <w:tcW w:w="0" w:type="auto"/>
            <w:shd w:val="clear" w:color="auto" w:fill="auto"/>
            <w:hideMark/>
          </w:tcPr>
          <w:p w14:paraId="652DC72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Multiple</w:t>
            </w:r>
          </w:p>
        </w:tc>
        <w:tc>
          <w:tcPr>
            <w:tcW w:w="0" w:type="auto"/>
            <w:shd w:val="clear" w:color="auto" w:fill="auto"/>
            <w:hideMark/>
          </w:tcPr>
          <w:p w14:paraId="283F4A7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Review of agricultural ecosystems</w:t>
            </w:r>
          </w:p>
        </w:tc>
        <w:tc>
          <w:tcPr>
            <w:tcW w:w="0" w:type="auto"/>
            <w:shd w:val="clear" w:color="auto" w:fill="auto"/>
            <w:hideMark/>
          </w:tcPr>
          <w:p w14:paraId="1F1787E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Highlighted the risk of antibiotic resistance dissemination from wastewater-irrigated soils to food chains.</w:t>
            </w:r>
          </w:p>
        </w:tc>
      </w:tr>
      <w:tr w:rsidR="00B847F7" w:rsidRPr="00B847F7" w14:paraId="650AC88C"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023CE2F4"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Okoh</w:t>
            </w:r>
            <w:proofErr w:type="spellEnd"/>
            <w:r w:rsidRPr="00B847F7">
              <w:rPr>
                <w:rFonts w:ascii="Times New Roman" w:hAnsi="Times New Roman" w:cs="Times New Roman"/>
                <w:b w:val="0"/>
                <w:bCs w:val="0"/>
              </w:rPr>
              <w:t xml:space="preserve"> and </w:t>
            </w:r>
            <w:proofErr w:type="spellStart"/>
            <w:r w:rsidRPr="00B847F7">
              <w:rPr>
                <w:rFonts w:ascii="Times New Roman" w:hAnsi="Times New Roman" w:cs="Times New Roman"/>
                <w:b w:val="0"/>
                <w:bCs w:val="0"/>
              </w:rPr>
              <w:t>Igbinosa</w:t>
            </w:r>
            <w:proofErr w:type="spellEnd"/>
            <w:r w:rsidRPr="00B847F7">
              <w:rPr>
                <w:rFonts w:ascii="Times New Roman" w:hAnsi="Times New Roman" w:cs="Times New Roman"/>
                <w:b w:val="0"/>
                <w:bCs w:val="0"/>
              </w:rPr>
              <w:t xml:space="preserve"> (2020)</w:t>
            </w:r>
          </w:p>
        </w:tc>
        <w:tc>
          <w:tcPr>
            <w:tcW w:w="0" w:type="auto"/>
            <w:hideMark/>
          </w:tcPr>
          <w:p w14:paraId="74DB635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South-South</w:t>
            </w:r>
          </w:p>
        </w:tc>
        <w:tc>
          <w:tcPr>
            <w:tcW w:w="0" w:type="auto"/>
            <w:hideMark/>
          </w:tcPr>
          <w:p w14:paraId="1F7FAD86"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Municipal wastewater</w:t>
            </w:r>
          </w:p>
        </w:tc>
        <w:tc>
          <w:tcPr>
            <w:tcW w:w="0" w:type="auto"/>
            <w:hideMark/>
          </w:tcPr>
          <w:p w14:paraId="0030A3DB"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high densities of </w:t>
            </w:r>
            <w:r w:rsidRPr="00B847F7">
              <w:rPr>
                <w:rFonts w:ascii="Times New Roman" w:hAnsi="Times New Roman" w:cs="Times New Roman"/>
                <w:i/>
                <w:iCs/>
              </w:rPr>
              <w:t>Acinetobacter</w:t>
            </w:r>
            <w:r w:rsidRPr="00B847F7">
              <w:rPr>
                <w:rFonts w:ascii="Times New Roman" w:hAnsi="Times New Roman" w:cs="Times New Roman"/>
              </w:rPr>
              <w:t> spp. in raw sewage; isolates showed resistance to 3rd gen cephalosporins.</w:t>
            </w:r>
          </w:p>
        </w:tc>
      </w:tr>
      <w:tr w:rsidR="00533EC0" w:rsidRPr="00533EC0" w14:paraId="15755184"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BC8158"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Adebayo et al. (2022)</w:t>
            </w:r>
          </w:p>
        </w:tc>
        <w:tc>
          <w:tcPr>
            <w:tcW w:w="0" w:type="auto"/>
            <w:shd w:val="clear" w:color="auto" w:fill="auto"/>
            <w:hideMark/>
          </w:tcPr>
          <w:p w14:paraId="7FBAF71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42A528C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Aquaculture ponds</w:t>
            </w:r>
          </w:p>
        </w:tc>
        <w:tc>
          <w:tcPr>
            <w:tcW w:w="0" w:type="auto"/>
            <w:shd w:val="clear" w:color="auto" w:fill="auto"/>
            <w:hideMark/>
          </w:tcPr>
          <w:p w14:paraId="551B5AC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Isolated MDR </w:t>
            </w:r>
            <w:r w:rsidRPr="00B847F7">
              <w:rPr>
                <w:rFonts w:ascii="Times New Roman" w:hAnsi="Times New Roman" w:cs="Times New Roman"/>
                <w:i/>
                <w:iCs/>
              </w:rPr>
              <w:t>A. baumannii</w:t>
            </w:r>
            <w:r w:rsidRPr="00B847F7">
              <w:rPr>
                <w:rFonts w:ascii="Times New Roman" w:hAnsi="Times New Roman" w:cs="Times New Roman"/>
              </w:rPr>
              <w:t> from fish ponds receiving agricultural and surface water runoff.</w:t>
            </w:r>
          </w:p>
        </w:tc>
      </w:tr>
      <w:tr w:rsidR="00B847F7" w:rsidRPr="00B847F7" w14:paraId="661F1EE4"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50C4FFA8"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Bello et al. (2023)</w:t>
            </w:r>
          </w:p>
        </w:tc>
        <w:tc>
          <w:tcPr>
            <w:tcW w:w="0" w:type="auto"/>
            <w:hideMark/>
          </w:tcPr>
          <w:p w14:paraId="3090AD8B"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hideMark/>
          </w:tcPr>
          <w:p w14:paraId="395E7B59"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Abattoir effluent and soil</w:t>
            </w:r>
          </w:p>
        </w:tc>
        <w:tc>
          <w:tcPr>
            <w:tcW w:w="0" w:type="auto"/>
            <w:hideMark/>
          </w:tcPr>
          <w:p w14:paraId="78AED49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Documented </w:t>
            </w:r>
            <w:r w:rsidRPr="00B847F7">
              <w:rPr>
                <w:rFonts w:ascii="Times New Roman" w:hAnsi="Times New Roman" w:cs="Times New Roman"/>
                <w:i/>
                <w:iCs/>
              </w:rPr>
              <w:t>Acinetobacter</w:t>
            </w:r>
            <w:r w:rsidRPr="00B847F7">
              <w:rPr>
                <w:rFonts w:ascii="Times New Roman" w:hAnsi="Times New Roman" w:cs="Times New Roman"/>
              </w:rPr>
              <w:t> spp. in abattoir waste with resistance profiles similar to clinical isolates.</w:t>
            </w:r>
          </w:p>
        </w:tc>
      </w:tr>
      <w:tr w:rsidR="00533EC0" w:rsidRPr="00533EC0" w14:paraId="4849A385"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F0EFE9"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Akinola et al. (2021)</w:t>
            </w:r>
          </w:p>
        </w:tc>
        <w:tc>
          <w:tcPr>
            <w:tcW w:w="0" w:type="auto"/>
            <w:shd w:val="clear" w:color="auto" w:fill="auto"/>
            <w:hideMark/>
          </w:tcPr>
          <w:p w14:paraId="0030AAB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6613007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Landfill leachate</w:t>
            </w:r>
          </w:p>
        </w:tc>
        <w:tc>
          <w:tcPr>
            <w:tcW w:w="0" w:type="auto"/>
            <w:shd w:val="clear" w:color="auto" w:fill="auto"/>
            <w:hideMark/>
          </w:tcPr>
          <w:p w14:paraId="02065724"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Recovered </w:t>
            </w:r>
            <w:r w:rsidRPr="00B847F7">
              <w:rPr>
                <w:rFonts w:ascii="Times New Roman" w:hAnsi="Times New Roman" w:cs="Times New Roman"/>
                <w:i/>
                <w:iCs/>
              </w:rPr>
              <w:t>A. baumannii</w:t>
            </w:r>
            <w:r w:rsidRPr="00B847F7">
              <w:rPr>
                <w:rFonts w:ascii="Times New Roman" w:hAnsi="Times New Roman" w:cs="Times New Roman"/>
              </w:rPr>
              <w:t> from leachate samples, carrying multiple antibiotic resistance genes.</w:t>
            </w:r>
          </w:p>
        </w:tc>
      </w:tr>
      <w:tr w:rsidR="00B847F7" w:rsidRPr="00B847F7" w14:paraId="70FFB7BC"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4C12FBEF"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lastRenderedPageBreak/>
              <w:t>Giwa et al. (2022)</w:t>
            </w:r>
          </w:p>
        </w:tc>
        <w:tc>
          <w:tcPr>
            <w:tcW w:w="0" w:type="auto"/>
            <w:hideMark/>
          </w:tcPr>
          <w:p w14:paraId="0F57EFC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3B961A4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surface swabs</w:t>
            </w:r>
          </w:p>
        </w:tc>
        <w:tc>
          <w:tcPr>
            <w:tcW w:w="0" w:type="auto"/>
            <w:hideMark/>
          </w:tcPr>
          <w:p w14:paraId="087AFB1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Found that 30% of high-touch hospital surfaces were contaminated with MDR </w:t>
            </w:r>
            <w:r w:rsidRPr="00B847F7">
              <w:rPr>
                <w:rFonts w:ascii="Times New Roman" w:hAnsi="Times New Roman" w:cs="Times New Roman"/>
                <w:i/>
                <w:iCs/>
              </w:rPr>
              <w:t>Acinetobacter</w:t>
            </w:r>
            <w:r w:rsidRPr="00B847F7">
              <w:rPr>
                <w:rFonts w:ascii="Times New Roman" w:hAnsi="Times New Roman" w:cs="Times New Roman"/>
              </w:rPr>
              <w:t> species.</w:t>
            </w:r>
          </w:p>
        </w:tc>
      </w:tr>
      <w:tr w:rsidR="00533EC0" w:rsidRPr="00533EC0" w14:paraId="0FB1872E"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389658"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Salawu et al. (2024)</w:t>
            </w:r>
          </w:p>
        </w:tc>
        <w:tc>
          <w:tcPr>
            <w:tcW w:w="0" w:type="auto"/>
            <w:shd w:val="clear" w:color="auto" w:fill="auto"/>
            <w:hideMark/>
          </w:tcPr>
          <w:p w14:paraId="1EEC68F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North-West</w:t>
            </w:r>
          </w:p>
        </w:tc>
        <w:tc>
          <w:tcPr>
            <w:tcW w:w="0" w:type="auto"/>
            <w:shd w:val="clear" w:color="auto" w:fill="auto"/>
            <w:hideMark/>
          </w:tcPr>
          <w:p w14:paraId="6E82972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Irrigation water and soil</w:t>
            </w:r>
          </w:p>
        </w:tc>
        <w:tc>
          <w:tcPr>
            <w:tcW w:w="0" w:type="auto"/>
            <w:shd w:val="clear" w:color="auto" w:fill="auto"/>
            <w:hideMark/>
          </w:tcPr>
          <w:p w14:paraId="22ED9673"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Detected </w:t>
            </w:r>
            <w:r w:rsidRPr="00B847F7">
              <w:rPr>
                <w:rFonts w:ascii="Times New Roman" w:hAnsi="Times New Roman" w:cs="Times New Roman"/>
                <w:i/>
                <w:iCs/>
              </w:rPr>
              <w:t>bla</w:t>
            </w:r>
            <w:r w:rsidRPr="00B847F7">
              <w:rPr>
                <w:rFonts w:ascii="Times New Roman" w:hAnsi="Times New Roman" w:cs="Times New Roman"/>
              </w:rPr>
              <w:t>OXA-23-positive </w:t>
            </w:r>
            <w:r w:rsidRPr="00B847F7">
              <w:rPr>
                <w:rFonts w:ascii="Times New Roman" w:hAnsi="Times New Roman" w:cs="Times New Roman"/>
                <w:i/>
                <w:iCs/>
              </w:rPr>
              <w:t>Acinetobacter</w:t>
            </w:r>
            <w:r w:rsidRPr="00B847F7">
              <w:rPr>
                <w:rFonts w:ascii="Times New Roman" w:hAnsi="Times New Roman" w:cs="Times New Roman"/>
              </w:rPr>
              <w:t> in water and soil used for vegetable farming.</w:t>
            </w:r>
          </w:p>
        </w:tc>
      </w:tr>
      <w:tr w:rsidR="00B847F7" w:rsidRPr="00B847F7" w14:paraId="4E44038D"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289BBB8A"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Ezeonu</w:t>
            </w:r>
            <w:proofErr w:type="spellEnd"/>
            <w:r w:rsidRPr="00B847F7">
              <w:rPr>
                <w:rFonts w:ascii="Times New Roman" w:hAnsi="Times New Roman" w:cs="Times New Roman"/>
                <w:b w:val="0"/>
                <w:bCs w:val="0"/>
              </w:rPr>
              <w:t xml:space="preserve"> et al. (2023)</w:t>
            </w:r>
          </w:p>
        </w:tc>
        <w:tc>
          <w:tcPr>
            <w:tcW w:w="0" w:type="auto"/>
            <w:hideMark/>
          </w:tcPr>
          <w:p w14:paraId="79767013"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hideMark/>
          </w:tcPr>
          <w:p w14:paraId="4FB68C0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Hand-dug well water</w:t>
            </w:r>
          </w:p>
        </w:tc>
        <w:tc>
          <w:tcPr>
            <w:tcW w:w="0" w:type="auto"/>
            <w:hideMark/>
          </w:tcPr>
          <w:p w14:paraId="2926BD9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Identified </w:t>
            </w:r>
            <w:r w:rsidRPr="00B847F7">
              <w:rPr>
                <w:rFonts w:ascii="Times New Roman" w:hAnsi="Times New Roman" w:cs="Times New Roman"/>
                <w:i/>
                <w:iCs/>
              </w:rPr>
              <w:t>Acinetobacter</w:t>
            </w:r>
            <w:r w:rsidRPr="00B847F7">
              <w:rPr>
                <w:rFonts w:ascii="Times New Roman" w:hAnsi="Times New Roman" w:cs="Times New Roman"/>
              </w:rPr>
              <w:t> spp. in wells located near healthcare facilities, showing MDR phenotypes.</w:t>
            </w:r>
          </w:p>
        </w:tc>
      </w:tr>
    </w:tbl>
    <w:p w14:paraId="22490C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 The Nexus: Linking Clinical and Environmental Isolates</w:t>
      </w:r>
    </w:p>
    <w:p w14:paraId="677D8A89"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most compelling and actionable evidence for a continuous transmission cycle comes from studies that directly compare clinical and environmental isolates using high-resolution molecular tools, moving beyond correlation to demonstrate genetic relatedness.</w:t>
      </w:r>
    </w:p>
    <w:p w14:paraId="02C08A88"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5.1. Genetic Relatedness: From Correlation to Causation</w:t>
      </w:r>
    </w:p>
    <w:p w14:paraId="56389717" w14:textId="713B15CF"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study by Adekanmbi et al. (2023) provides some of the most direct and persuasive evidence for the nosocomial-environmental nexus in Nigeria to date. Their molecular analysis, utilizing PCR and sequencing, did not just find </w:t>
      </w:r>
      <w:r w:rsidRPr="00B847F7">
        <w:rPr>
          <w:rFonts w:ascii="Times New Roman" w:hAnsi="Times New Roman" w:cs="Times New Roman"/>
          <w:i/>
          <w:iCs/>
        </w:rPr>
        <w:t>Acinetobacter</w:t>
      </w:r>
      <w:r w:rsidRPr="00B847F7">
        <w:rPr>
          <w:rFonts w:ascii="Times New Roman" w:hAnsi="Times New Roman" w:cs="Times New Roman"/>
        </w:rPr>
        <w:t xml:space="preserve"> in both settings; it found CRAB isolates from hospitalized patients and those from the hospital's wastewater and the adjacent river that shared identical </w:t>
      </w:r>
      <w:proofErr w:type="spellStart"/>
      <w:r w:rsidRPr="00B847F7">
        <w:rPr>
          <w:rFonts w:ascii="Times New Roman" w:hAnsi="Times New Roman" w:cs="Times New Roman"/>
        </w:rPr>
        <w:t>carbapenemase</w:t>
      </w:r>
      <w:proofErr w:type="spellEnd"/>
      <w:r w:rsidRPr="00B847F7">
        <w:rPr>
          <w:rFonts w:ascii="Times New Roman" w:hAnsi="Times New Roman" w:cs="Times New Roman"/>
        </w:rPr>
        <w:t xml:space="preserve"> gene profiles (</w:t>
      </w:r>
      <w:r w:rsidRPr="00B847F7">
        <w:rPr>
          <w:rFonts w:ascii="Times New Roman" w:hAnsi="Times New Roman" w:cs="Times New Roman"/>
          <w:i/>
          <w:iCs/>
        </w:rPr>
        <w:t>bla</w:t>
      </w:r>
      <w:r w:rsidRPr="00B847F7">
        <w:rPr>
          <w:rFonts w:ascii="Times New Roman" w:hAnsi="Times New Roman" w:cs="Times New Roman"/>
        </w:rPr>
        <w:t>OXA-23 + </w:t>
      </w:r>
      <w:r w:rsidRPr="00B847F7">
        <w:rPr>
          <w:rFonts w:ascii="Times New Roman" w:hAnsi="Times New Roman" w:cs="Times New Roman"/>
          <w:i/>
          <w:iCs/>
        </w:rPr>
        <w:t>bla</w:t>
      </w:r>
      <w:r w:rsidRPr="00B847F7">
        <w:rPr>
          <w:rFonts w:ascii="Times New Roman" w:hAnsi="Times New Roman" w:cs="Times New Roman"/>
        </w:rPr>
        <w:t>OXA-51 + </w:t>
      </w:r>
      <w:r w:rsidRPr="00B847F7">
        <w:rPr>
          <w:rFonts w:ascii="Times New Roman" w:hAnsi="Times New Roman" w:cs="Times New Roman"/>
          <w:i/>
          <w:iCs/>
        </w:rPr>
        <w:t>bla</w:t>
      </w:r>
      <w:r w:rsidRPr="00B847F7">
        <w:rPr>
          <w:rFonts w:ascii="Times New Roman" w:hAnsi="Times New Roman" w:cs="Times New Roman"/>
        </w:rPr>
        <w:t xml:space="preserve">NDM-1). This genetic fingerprinting strongly suggests a common origin and a direct flow of pathogens from the clinic to the environment. While broader genomic studies using Whole Genome Sequencing (WGS)—the gold standard for confirming clonal transmission—are still scarce in Nigeria, the foundational work of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and others on clinical isolates has identified the specific sequence types (ST1, ST2) that are the likely protagonists in this cycle. The critical next step is for future research to employ WGS on matched clinical-environmental sample sets, which would provide genome-wide evidence of clonal identity and allow for the precise tracking of transmission pathways, including the direction of spread.</w:t>
      </w:r>
    </w:p>
    <w:p w14:paraId="540927B8"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5.2. Horizontal Gene Transfer in the Environment: Amplifying the Threat</w:t>
      </w:r>
      <w:r w:rsidRPr="00B847F7">
        <w:rPr>
          <w:rFonts w:ascii="Times New Roman" w:hAnsi="Times New Roman" w:cs="Times New Roman"/>
        </w:rPr>
        <w:br/>
        <w:t>Perhaps an even more insidious aspect of the nexus is the role of the environment as a dynamic arena for genetic exchange. The environment is not merely a passive repository for clinically derived strains; it is an active "reactor" where resistance genes are shared and diversified. The presence of identical mobile genetic elements, such as plasmids carrying </w:t>
      </w:r>
      <w:r w:rsidRPr="00B847F7">
        <w:rPr>
          <w:rFonts w:ascii="Times New Roman" w:hAnsi="Times New Roman" w:cs="Times New Roman"/>
          <w:i/>
          <w:iCs/>
        </w:rPr>
        <w:t>bla</w:t>
      </w:r>
      <w:r w:rsidRPr="00B847F7">
        <w:rPr>
          <w:rFonts w:ascii="Times New Roman" w:hAnsi="Times New Roman" w:cs="Times New Roman"/>
        </w:rPr>
        <w:t>NDM-1 or </w:t>
      </w:r>
      <w:r w:rsidRPr="00B847F7">
        <w:rPr>
          <w:rFonts w:ascii="Times New Roman" w:hAnsi="Times New Roman" w:cs="Times New Roman"/>
          <w:i/>
          <w:iCs/>
        </w:rPr>
        <w:t>bla</w:t>
      </w:r>
      <w:r w:rsidRPr="00B847F7">
        <w:rPr>
          <w:rFonts w:ascii="Times New Roman" w:hAnsi="Times New Roman" w:cs="Times New Roman"/>
        </w:rPr>
        <w:t>OXA-23, in both clinical </w:t>
      </w:r>
      <w:r w:rsidRPr="00B847F7">
        <w:rPr>
          <w:rFonts w:ascii="Times New Roman" w:hAnsi="Times New Roman" w:cs="Times New Roman"/>
          <w:i/>
          <w:iCs/>
        </w:rPr>
        <w:t>Acinetobacter</w:t>
      </w:r>
      <w:r w:rsidRPr="00B847F7">
        <w:rPr>
          <w:rFonts w:ascii="Times New Roman" w:hAnsi="Times New Roman" w:cs="Times New Roman"/>
        </w:rPr>
        <w:t> and other co-resident Gram-negative bacteria (e.g., </w:t>
      </w:r>
      <w:r w:rsidRPr="00B847F7">
        <w:rPr>
          <w:rFonts w:ascii="Times New Roman" w:hAnsi="Times New Roman" w:cs="Times New Roman"/>
          <w:i/>
          <w:iCs/>
        </w:rPr>
        <w:t>K. pneumoniae</w:t>
      </w:r>
      <w:r w:rsidRPr="00B847F7">
        <w:rPr>
          <w:rFonts w:ascii="Times New Roman" w:hAnsi="Times New Roman" w:cs="Times New Roman"/>
        </w:rPr>
        <w:t>, </w:t>
      </w:r>
      <w:r w:rsidRPr="00B847F7">
        <w:rPr>
          <w:rFonts w:ascii="Times New Roman" w:hAnsi="Times New Roman" w:cs="Times New Roman"/>
          <w:i/>
          <w:iCs/>
        </w:rPr>
        <w:t>E. coli</w:t>
      </w:r>
      <w:r w:rsidRPr="00B847F7">
        <w:rPr>
          <w:rFonts w:ascii="Times New Roman" w:hAnsi="Times New Roman" w:cs="Times New Roman"/>
        </w:rPr>
        <w:t xml:space="preserve">) in environmental samples suggests a shared and promiscuous gene pool (Bengtsson-Palme et al., 2023). Hospital effluents and polluted water bodies are "hotspots" or "genetic marketplaces" where bacteria of human, animal, and environmental origin commingle </w:t>
      </w:r>
      <w:r w:rsidRPr="00B847F7">
        <w:rPr>
          <w:rFonts w:ascii="Times New Roman" w:hAnsi="Times New Roman" w:cs="Times New Roman"/>
        </w:rPr>
        <w:lastRenderedPageBreak/>
        <w:t>intimately, facilitated by biofilms. This proximity dramatically facilitates the horizontal transfer of resistance genes through conjugation (plasmid transfer), transformation (uptake of free DNA), and transduction (via bacteriophages) (Lupo et al., 2020). This means that even if a particular clinical clone of </w:t>
      </w:r>
      <w:r w:rsidRPr="00B847F7">
        <w:rPr>
          <w:rFonts w:ascii="Times New Roman" w:hAnsi="Times New Roman" w:cs="Times New Roman"/>
          <w:i/>
          <w:iCs/>
        </w:rPr>
        <w:t>A. baumannii</w:t>
      </w:r>
      <w:r w:rsidRPr="00B847F7">
        <w:rPr>
          <w:rFonts w:ascii="Times New Roman" w:hAnsi="Times New Roman" w:cs="Times New Roman"/>
        </w:rPr>
        <w:t> does not directly survive or establish itself in a river, its resistance genes can be efficiently acquired by other, better-adapted environmental bacteria (which may be less pathogenic but can act as resilient reservoirs). These environmental reservoirs then serve as a source for the re-acquisition of enhanced resistance genes by incoming pathogens, including </w:t>
      </w:r>
      <w:r w:rsidRPr="00B847F7">
        <w:rPr>
          <w:rFonts w:ascii="Times New Roman" w:hAnsi="Times New Roman" w:cs="Times New Roman"/>
          <w:i/>
          <w:iCs/>
        </w:rPr>
        <w:t>Acinetobacter</w:t>
      </w:r>
      <w:r w:rsidRPr="00B847F7">
        <w:rPr>
          <w:rFonts w:ascii="Times New Roman" w:hAnsi="Times New Roman" w:cs="Times New Roman"/>
        </w:rPr>
        <w:t>, completing a cycle of genetic "arms dealing" that continuously escalates the threat level.</w:t>
      </w:r>
    </w:p>
    <w:p w14:paraId="7E4599ED"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5.3. Drivers of the Cycle: The Nigerian Context</w:t>
      </w:r>
      <w:r w:rsidRPr="00B847F7">
        <w:rPr>
          <w:rFonts w:ascii="Times New Roman" w:hAnsi="Times New Roman" w:cs="Times New Roman"/>
        </w:rPr>
        <w:br/>
        <w:t>This vicious nexus is powered and perpetuated by a combination of systemic factors that are particularly acute in the Nigerian context:</w:t>
      </w:r>
    </w:p>
    <w:p w14:paraId="4F2F225E"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Inadequate Hospital Waste Management: Poor segregation, containment, and disposal of biomedical waste, coupled with a near-universal lack of dedicated on-site wastewater treatment facilities in hospitals, allows untreated or only minimally treated effluents teeming with MDR bacteria and antibiotic residues to enter public sewers or the immediate environment.</w:t>
      </w:r>
    </w:p>
    <w:p w14:paraId="5E4640FF"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 xml:space="preserve">Fragile Sanitation Infrastructure: The widespread lack of functional </w:t>
      </w:r>
      <w:proofErr w:type="spellStart"/>
      <w:r w:rsidRPr="00B847F7">
        <w:rPr>
          <w:rFonts w:ascii="Times New Roman" w:hAnsi="Times New Roman" w:cs="Times New Roman"/>
        </w:rPr>
        <w:t>centralised</w:t>
      </w:r>
      <w:proofErr w:type="spellEnd"/>
      <w:r w:rsidRPr="00B847F7">
        <w:rPr>
          <w:rFonts w:ascii="Times New Roman" w:hAnsi="Times New Roman" w:cs="Times New Roman"/>
        </w:rPr>
        <w:t xml:space="preserve"> sewage treatment systems means that waste from entire communities, industries, and hospitals often flows directly into surface water, contaminates groundwater, or is discharged untreated into the environment.</w:t>
      </w:r>
    </w:p>
    <w:p w14:paraId="4838501A"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Anthropogenic and Ecological Pressure: High population density, seasonal flooding in urban areas which spreads contaminants, and the common, necessary use of polluted rivers for daily domestic activities ensure maximum human exposure to contaminated environments and guarantee the efficient re-introduction and dissemination of pathogens into communities and, subsequently, healthcare facilities.</w:t>
      </w:r>
    </w:p>
    <w:p w14:paraId="3365CAA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 Public Health Implications and Future Directions</w:t>
      </w:r>
    </w:p>
    <w:p w14:paraId="631BBD35"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existence of a confirmed nosocomial-environmental nexus for MDR </w:t>
      </w:r>
      <w:r w:rsidRPr="00B847F7">
        <w:rPr>
          <w:rFonts w:ascii="Times New Roman" w:hAnsi="Times New Roman" w:cs="Times New Roman"/>
          <w:i/>
          <w:iCs/>
        </w:rPr>
        <w:t>Acinetobacter</w:t>
      </w:r>
      <w:r w:rsidRPr="00B847F7">
        <w:rPr>
          <w:rFonts w:ascii="Times New Roman" w:hAnsi="Times New Roman" w:cs="Times New Roman"/>
        </w:rPr>
        <w:t> in Nigeria has profound, and escalating, implications for public health and demands a fundamental paradigm shift in intervention strategies from a narrow, hospital-centric view to a holistic, integrated ‘One Health’ approach.</w:t>
      </w:r>
    </w:p>
    <w:p w14:paraId="3A368CF8"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6.1. Escalating Threat of Untreatable Infections</w:t>
      </w:r>
      <w:r w:rsidRPr="00B847F7">
        <w:rPr>
          <w:rFonts w:ascii="Times New Roman" w:hAnsi="Times New Roman" w:cs="Times New Roman"/>
        </w:rPr>
        <w:br/>
        <w:t xml:space="preserve">The continuous cycle between hospitals and the environment fundamentally undermines standalone infection control efforts within healthcare facilities. Even if a hospital manages to temporarily control an outbreak through enhanced IPC, patients can be re-colonized from community exposures, and healthcare workers can act as vectors, carrying strains from their communities back into the hospital, leading to recurrent and seemingly intractable outbreaks. This </w:t>
      </w:r>
      <w:r w:rsidRPr="00B847F7">
        <w:rPr>
          <w:rFonts w:ascii="Times New Roman" w:hAnsi="Times New Roman" w:cs="Times New Roman"/>
        </w:rPr>
        <w:lastRenderedPageBreak/>
        <w:t>perpetuates a high baseline of MDR infections, resulting in dramatically increased mortality, prolonged hospital stays, catastrophic healthcare costs for families, and the rapid exhaustion of last-line treatment options, pushing the health system towards a post-antibiotic era for some of the most vulnerable patients (</w:t>
      </w: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et al., 2021). The potential for community-onset infections caused by these environmental strains adds another layer of complexity, expanding the problem beyond the walls of the hospital and into the general population.</w:t>
      </w:r>
    </w:p>
    <w:p w14:paraId="59CAE37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6.2. Limitations of Current Siloed Control Strategies</w:t>
      </w:r>
      <w:r w:rsidRPr="00B847F7">
        <w:rPr>
          <w:rFonts w:ascii="Times New Roman" w:hAnsi="Times New Roman" w:cs="Times New Roman"/>
        </w:rPr>
        <w:br/>
        <w:t>Current AMR containment strategies in Nigeria, as in many LMICs, often focus disproportionately on the human health sector, primarily through promoting antimicrobial stewardship and hospital IPC. While these measures are undeniably essential and must be strengthened, the evidence synthesized in this review demonstrates that they are tragically insufficient in isolation. Ignoring the environmental reservoir is akin to diligently mopping up water from a flooded floor while ignoring the burst pipe continuously feeding the flood. A pathogen that is continuously replenished from extensive external environmental sources cannot be sustainably controlled by intra-hospital measures alone. This siloed approach represents a critical failure of strategy and a misallocation of limited resources.</w:t>
      </w:r>
    </w:p>
    <w:p w14:paraId="5784BF6B"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6.3. A Call for an Integrated One Health Approach: A Framework for Action</w:t>
      </w:r>
      <w:r w:rsidRPr="00B847F7">
        <w:rPr>
          <w:rFonts w:ascii="Times New Roman" w:hAnsi="Times New Roman" w:cs="Times New Roman"/>
        </w:rPr>
        <w:br/>
        <w:t>Mitigating this grave and complex threat requires a cohesive, multi-pronged, and multi-sectoral ‘One Health’ strategy that attacks the problem at every point in the transmission cycle. The following framework outlines key actions:</w:t>
      </w:r>
    </w:p>
    <w:p w14:paraId="1AB04364" w14:textId="6D726357" w:rsidR="00B847F7" w:rsidRPr="00B847F7"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1</w:t>
      </w:r>
      <w:r>
        <w:rPr>
          <w:rFonts w:ascii="Times New Roman" w:hAnsi="Times New Roman" w:cs="Times New Roman"/>
          <w:b/>
          <w:bCs/>
        </w:rPr>
        <w:tab/>
      </w:r>
      <w:r w:rsidR="00B847F7" w:rsidRPr="00B847F7">
        <w:rPr>
          <w:rFonts w:ascii="Times New Roman" w:hAnsi="Times New Roman" w:cs="Times New Roman"/>
          <w:b/>
          <w:bCs/>
        </w:rPr>
        <w:t>At the Hospital and Healthcare Level:</w:t>
      </w:r>
    </w:p>
    <w:p w14:paraId="24609411" w14:textId="77777777" w:rsidR="0073552B" w:rsidRDefault="0073552B" w:rsidP="001A6B3A">
      <w:pPr>
        <w:pStyle w:val="NormalWeb"/>
        <w:ind w:left="720"/>
        <w:jc w:val="both"/>
      </w:pPr>
      <w:r>
        <w:t>Strengthening infection prevention and control (IPC) remains essential, with rigorous hand hygiene practices, environmental decontamination protocols, and effective contact precautions for patients colonized or infected with multidrug-resistant organisms implemented, monitored, and enforced consistently. Ensuring adequate and sustained funding for IPC programs, training, and essential supplies is a critical component of this effort.</w:t>
      </w:r>
    </w:p>
    <w:p w14:paraId="281D0C0C" w14:textId="77777777" w:rsidR="0073552B" w:rsidRDefault="0073552B" w:rsidP="001A6B3A">
      <w:pPr>
        <w:pStyle w:val="NormalWeb"/>
        <w:ind w:left="720"/>
        <w:jc w:val="both"/>
      </w:pPr>
      <w:r>
        <w:t>In addition, investment in advanced effluent treatment systems is crucial, particularly in large healthcare facilities where significant volumes of antimicrobial-laden wastewater are generated. The adoption of dedicated on-site treatment technologies—such as membrane bioreactors, ozonation, or other advanced oxidation processes—can effectively reduce both MDR pathogens and residual antimicrobial agents before wastewater is discharged into municipal systems or the surrounding environment.</w:t>
      </w:r>
    </w:p>
    <w:p w14:paraId="7D63E0DA" w14:textId="77777777" w:rsidR="0073552B" w:rsidRDefault="0073552B" w:rsidP="001A6B3A">
      <w:pPr>
        <w:pStyle w:val="NormalWeb"/>
        <w:ind w:left="720"/>
        <w:jc w:val="both"/>
      </w:pPr>
      <w:r>
        <w:t>Robust antimicrobial stewardship programs (ASPs) further contribute to reducing the selective pressures that drive antimicrobial resistance within hospitals. By promoting judicious antibiotic use and reinforcing diagnostic stewardship to support targeted rather than empirical therapy, ASPs help preserve antibiotic effectiveness while minimizing the unintended propagation of resistant strains.</w:t>
      </w:r>
    </w:p>
    <w:p w14:paraId="2A951D96" w14:textId="64577BE4" w:rsidR="00B847F7" w:rsidRPr="0073552B" w:rsidRDefault="0073552B" w:rsidP="001A6B3A">
      <w:pPr>
        <w:jc w:val="both"/>
        <w:rPr>
          <w:rFonts w:ascii="Times New Roman" w:hAnsi="Times New Roman" w:cs="Times New Roman"/>
        </w:rPr>
      </w:pPr>
      <w:r w:rsidRPr="00B847F7">
        <w:rPr>
          <w:rFonts w:ascii="Times New Roman" w:hAnsi="Times New Roman" w:cs="Times New Roman"/>
          <w:b/>
          <w:bCs/>
        </w:rPr>
        <w:lastRenderedPageBreak/>
        <w:t xml:space="preserve">6.3. </w:t>
      </w:r>
      <w:r>
        <w:rPr>
          <w:rFonts w:ascii="Times New Roman" w:hAnsi="Times New Roman" w:cs="Times New Roman"/>
          <w:b/>
          <w:bCs/>
        </w:rPr>
        <w:t>2</w:t>
      </w:r>
      <w:r>
        <w:rPr>
          <w:rFonts w:ascii="Times New Roman" w:hAnsi="Times New Roman" w:cs="Times New Roman"/>
          <w:b/>
          <w:bCs/>
        </w:rPr>
        <w:tab/>
      </w:r>
      <w:r w:rsidR="00B847F7" w:rsidRPr="00B847F7">
        <w:rPr>
          <w:rFonts w:ascii="Times New Roman" w:hAnsi="Times New Roman" w:cs="Times New Roman"/>
          <w:b/>
          <w:bCs/>
        </w:rPr>
        <w:t>At the National Policy and Regulatory Level:</w:t>
      </w:r>
    </w:p>
    <w:p w14:paraId="7DE91A42" w14:textId="27E65FA3" w:rsidR="0073552B" w:rsidRPr="00B847F7" w:rsidRDefault="0073552B" w:rsidP="001A6B3A">
      <w:pPr>
        <w:ind w:left="720"/>
        <w:jc w:val="both"/>
        <w:rPr>
          <w:rFonts w:ascii="Times New Roman" w:hAnsi="Times New Roman" w:cs="Times New Roman"/>
        </w:rPr>
      </w:pPr>
      <w:r>
        <w:rPr>
          <w:rFonts w:ascii="Times New Roman" w:hAnsi="Times New Roman" w:cs="Times New Roman"/>
        </w:rPr>
        <w:t>S</w:t>
      </w:r>
      <w:r w:rsidRPr="0073552B">
        <w:rPr>
          <w:rFonts w:ascii="Times New Roman" w:hAnsi="Times New Roman" w:cs="Times New Roman"/>
        </w:rPr>
        <w:t>trengthening Nigeria’s response to antimicrobial resistance requires fully funding and operationalizing the National Action Plan on AMR to support integrated surveillance systems capable of proactively monitoring multidrug-resistant pathogens and their resistance genes across multiple sectors. This includes tracking AMR not only in human clinical samples but also within wastewater, livestock, and food products, consistent with the WHO GLASS One Health surveillance model. Additionally, strategic investment in infrastructure—particularly functional municipal wastewater treatment and solid waste management systems—is essential, as environmental contamination has become a critical and non-negotiable public health challenge in AMR containment. Robust regulatory enforcement is also required to ensure safe disposal and reduced release of antibiotic-containing waste from pharmaceutical manufacturers, healthcare facilities, and agricultural practices, thereby minimizing environmental reservoirs that fuel resistance transmission.</w:t>
      </w:r>
    </w:p>
    <w:p w14:paraId="558ADDF7" w14:textId="18F7FD55" w:rsidR="00B847F7" w:rsidRPr="00B847F7"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3</w:t>
      </w:r>
      <w:r>
        <w:rPr>
          <w:rFonts w:ascii="Times New Roman" w:hAnsi="Times New Roman" w:cs="Times New Roman"/>
          <w:b/>
          <w:bCs/>
        </w:rPr>
        <w:tab/>
      </w:r>
      <w:r w:rsidR="00B847F7" w:rsidRPr="00B847F7">
        <w:rPr>
          <w:rFonts w:ascii="Times New Roman" w:hAnsi="Times New Roman" w:cs="Times New Roman"/>
          <w:b/>
          <w:bCs/>
        </w:rPr>
        <w:t>At the Research and Innovation Level:</w:t>
      </w:r>
    </w:p>
    <w:p w14:paraId="5A373B6A" w14:textId="7228282B" w:rsidR="00B847F7" w:rsidRPr="00B847F7" w:rsidRDefault="0073552B" w:rsidP="001A6B3A">
      <w:pPr>
        <w:ind w:left="720"/>
        <w:jc w:val="both"/>
        <w:rPr>
          <w:rFonts w:ascii="Times New Roman" w:hAnsi="Times New Roman" w:cs="Times New Roman"/>
        </w:rPr>
      </w:pPr>
      <w:r w:rsidRPr="0073552B">
        <w:rPr>
          <w:rFonts w:ascii="Times New Roman" w:hAnsi="Times New Roman" w:cs="Times New Roman"/>
        </w:rPr>
        <w:t>Future research should prioritize and adequately fund genomic surveillance using whole-genome sequencing to enable high-resolution tracking of transmission pathways, characterization of resistance and virulence determinants, and identification of outbreak sources. Additionally, there is a need for intervention-focused research that evaluates the efficacy, cost-effectiveness, and feasibility of affordable, context-appropriate wastewater and waste-management technologies for both hospital and community settings, particularly in resource-limited environments. Social and behavioral research is equally important to deepen understanding of community knowledge, attitudes, and practices related to antibiotic use, hygiene, and environmental stewardship, thereby informing the design of targeted, culturally sensitive awareness and behavior-change interventions</w:t>
      </w:r>
      <w:r w:rsidRPr="0073552B">
        <w:rPr>
          <w:rFonts w:ascii="Times New Roman" w:hAnsi="Times New Roman" w:cs="Times New Roman"/>
          <w:b/>
          <w:bCs/>
        </w:rPr>
        <w:t>.</w:t>
      </w:r>
    </w:p>
    <w:p w14:paraId="13EF3B89" w14:textId="136696C7" w:rsidR="00B847F7" w:rsidRPr="00B847F7" w:rsidRDefault="001A6B3A" w:rsidP="001A6B3A">
      <w:pPr>
        <w:jc w:val="both"/>
        <w:rPr>
          <w:rFonts w:ascii="Times New Roman" w:hAnsi="Times New Roman" w:cs="Times New Roman"/>
        </w:rPr>
      </w:pPr>
      <w:r w:rsidRPr="00B847F7">
        <w:rPr>
          <w:rFonts w:ascii="Times New Roman" w:hAnsi="Times New Roman" w:cs="Times New Roman"/>
          <w:b/>
          <w:bCs/>
        </w:rPr>
        <w:t>7. CONCLUSION</w:t>
      </w:r>
    </w:p>
    <w:p w14:paraId="5BCBAB11"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This narrative review has synthesized a compelling and worrisome body of evidence demonstrating that multidrug-resistant </w:t>
      </w:r>
      <w:r w:rsidRPr="00B847F7">
        <w:rPr>
          <w:rFonts w:ascii="Times New Roman" w:hAnsi="Times New Roman" w:cs="Times New Roman"/>
          <w:i/>
          <w:iCs/>
        </w:rPr>
        <w:t>Acinetobacter</w:t>
      </w:r>
      <w:r w:rsidRPr="00B847F7">
        <w:rPr>
          <w:rFonts w:ascii="Times New Roman" w:hAnsi="Times New Roman" w:cs="Times New Roman"/>
        </w:rPr>
        <w:t> species, particularly the high-risk clone </w:t>
      </w:r>
      <w:r w:rsidRPr="00B847F7">
        <w:rPr>
          <w:rFonts w:ascii="Times New Roman" w:hAnsi="Times New Roman" w:cs="Times New Roman"/>
          <w:i/>
          <w:iCs/>
        </w:rPr>
        <w:t>A. baumannii</w:t>
      </w:r>
      <w:r w:rsidRPr="00B847F7">
        <w:rPr>
          <w:rFonts w:ascii="Times New Roman" w:hAnsi="Times New Roman" w:cs="Times New Roman"/>
        </w:rPr>
        <w:t>, circulate freely and continuously between Nigerian hospitals and their surrounding environments. This nosocomial-environmental nexus, driven by a powerful combination of innate microbial resilience and profound systemic infrastructural weaknesses, represents a self-perpetuating and amplifying engine for antimicrobial resistance in the country. The high prevalence of carbapenem-resistant clones carrying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in clinical settings is directly mirrored by their disquieting detection in hospital wastewater, polluted rivers, and agricultural settings, with growing molecular evidence pointing to a shared genetic pool and active exchange.</w:t>
      </w:r>
    </w:p>
    <w:p w14:paraId="2F6EA32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 xml:space="preserve">The public health implications of this cycle are severe and multifaceted, threatening to render last-resort antibiotics ineffective, escalate healthcare-associated mortality to new heights, and impose </w:t>
      </w:r>
      <w:r w:rsidRPr="00B847F7">
        <w:rPr>
          <w:rFonts w:ascii="Times New Roman" w:hAnsi="Times New Roman" w:cs="Times New Roman"/>
        </w:rPr>
        <w:lastRenderedPageBreak/>
        <w:t>an unsustainable economic burden on families and the health system. Addressing this complex and entrenched challenge demands a decisive and urgent break from traditional, siloed approaches. The future of effective AMR control in Nigeria lies in the rigorous, well-funded, and coordinated implementation of an integrated ‘One Health’ strategy. This strategy must simultaneously fortify hospitals through IPC and stewardship, cleanse the environment through investment in sanitation infrastructure and waste management, and foster community awareness and engagement. Only through such a coordinated, multi-sectoral, and persistent effort can the vicious cycle of MDR </w:t>
      </w:r>
      <w:r w:rsidRPr="00B847F7">
        <w:rPr>
          <w:rFonts w:ascii="Times New Roman" w:hAnsi="Times New Roman" w:cs="Times New Roman"/>
          <w:i/>
          <w:iCs/>
        </w:rPr>
        <w:t>Acinetobacter</w:t>
      </w:r>
      <w:r w:rsidRPr="00B847F7">
        <w:rPr>
          <w:rFonts w:ascii="Times New Roman" w:hAnsi="Times New Roman" w:cs="Times New Roman"/>
        </w:rPr>
        <w:t> transmission be broken, and the escalating threat of untreatable infections be contained to safeguard the health of the Nigerian population.</w:t>
      </w:r>
    </w:p>
    <w:p w14:paraId="71D226EA" w14:textId="4B384295" w:rsidR="00051514" w:rsidRDefault="00051514" w:rsidP="001A6B3A">
      <w:pPr>
        <w:jc w:val="both"/>
        <w:rPr>
          <w:rFonts w:ascii="Times New Roman" w:hAnsi="Times New Roman" w:cs="Times New Roman"/>
          <w:b/>
          <w:bCs/>
        </w:rPr>
      </w:pPr>
    </w:p>
    <w:p w14:paraId="485F245F" w14:textId="77777777" w:rsidR="004E6306" w:rsidRDefault="004E6306" w:rsidP="001A6B3A">
      <w:pPr>
        <w:jc w:val="both"/>
        <w:rPr>
          <w:rFonts w:ascii="Times New Roman" w:hAnsi="Times New Roman" w:cs="Times New Roman"/>
          <w:b/>
          <w:bCs/>
        </w:rPr>
      </w:pPr>
      <w:bookmarkStart w:id="1" w:name="_GoBack"/>
      <w:bookmarkEnd w:id="1"/>
    </w:p>
    <w:p w14:paraId="42754823" w14:textId="15F4F7C6" w:rsidR="00B847F7" w:rsidRPr="00B847F7" w:rsidRDefault="00051514" w:rsidP="001A6B3A">
      <w:pPr>
        <w:jc w:val="both"/>
        <w:rPr>
          <w:rFonts w:ascii="Times New Roman" w:hAnsi="Times New Roman" w:cs="Times New Roman"/>
        </w:rPr>
      </w:pPr>
      <w:r w:rsidRPr="00B847F7">
        <w:rPr>
          <w:rFonts w:ascii="Times New Roman" w:hAnsi="Times New Roman" w:cs="Times New Roman"/>
          <w:b/>
          <w:bCs/>
        </w:rPr>
        <w:t>REFERENCES</w:t>
      </w:r>
    </w:p>
    <w:p w14:paraId="285D3910"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Adebayo, A. S., et al. (2022). Multidrug-resistant </w:t>
      </w:r>
      <w:r w:rsidRPr="00B847F7">
        <w:rPr>
          <w:rFonts w:ascii="Times New Roman" w:hAnsi="Times New Roman" w:cs="Times New Roman"/>
          <w:i/>
          <w:iCs/>
        </w:rPr>
        <w:t>Acinetobacter baumannii</w:t>
      </w:r>
      <w:r w:rsidRPr="00B847F7">
        <w:rPr>
          <w:rFonts w:ascii="Times New Roman" w:hAnsi="Times New Roman" w:cs="Times New Roman"/>
        </w:rPr>
        <w:t> in aquaculture environments in Southwestern Nigeria. </w:t>
      </w:r>
      <w:r w:rsidRPr="00B847F7">
        <w:rPr>
          <w:rFonts w:ascii="Times New Roman" w:hAnsi="Times New Roman" w:cs="Times New Roman"/>
          <w:i/>
          <w:iCs/>
        </w:rPr>
        <w:t>Journal of Applied Microbiology, 132</w:t>
      </w:r>
      <w:r w:rsidRPr="00B847F7">
        <w:rPr>
          <w:rFonts w:ascii="Times New Roman" w:hAnsi="Times New Roman" w:cs="Times New Roman"/>
        </w:rPr>
        <w:t>(4), 3015-3025.</w:t>
      </w:r>
    </w:p>
    <w:p w14:paraId="1B62E631"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Adekanmbi, O. E., &amp; Adekanmbi, A. O. (2023). Molecular detection of </w:t>
      </w:r>
      <w:proofErr w:type="spellStart"/>
      <w:r w:rsidRPr="00B847F7">
        <w:rPr>
          <w:rFonts w:ascii="Times New Roman" w:hAnsi="Times New Roman" w:cs="Times New Roman"/>
        </w:rPr>
        <w:t>carbapenemase</w:t>
      </w:r>
      <w:proofErr w:type="spellEnd"/>
      <w:r w:rsidRPr="00B847F7">
        <w:rPr>
          <w:rFonts w:ascii="Times New Roman" w:hAnsi="Times New Roman" w:cs="Times New Roman"/>
        </w:rPr>
        <w:t xml:space="preserve"> genes in </w:t>
      </w:r>
      <w:r w:rsidRPr="00B847F7">
        <w:rPr>
          <w:rFonts w:ascii="Times New Roman" w:hAnsi="Times New Roman" w:cs="Times New Roman"/>
          <w:i/>
          <w:iCs/>
        </w:rPr>
        <w:t>Acinetobacter</w:t>
      </w:r>
      <w:r w:rsidRPr="00B847F7">
        <w:rPr>
          <w:rFonts w:ascii="Times New Roman" w:hAnsi="Times New Roman" w:cs="Times New Roman"/>
        </w:rPr>
        <w:t> species isolated from hospital effluents and receiving watersheds in Southwestern Nigeria. </w:t>
      </w:r>
      <w:r w:rsidRPr="00B847F7">
        <w:rPr>
          <w:rFonts w:ascii="Times New Roman" w:hAnsi="Times New Roman" w:cs="Times New Roman"/>
          <w:i/>
          <w:iCs/>
        </w:rPr>
        <w:t>Environmental Science and Pollution Research, 30</w:t>
      </w:r>
      <w:r w:rsidRPr="00B847F7">
        <w:rPr>
          <w:rFonts w:ascii="Times New Roman" w:hAnsi="Times New Roman" w:cs="Times New Roman"/>
        </w:rPr>
        <w:t>(15), 45012–45024.</w:t>
      </w:r>
    </w:p>
    <w:p w14:paraId="3C25B54D"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Adekunle, O. C., et al. (2022). Prevalence and antibiotic susceptibility pattern of </w:t>
      </w:r>
      <w:r w:rsidRPr="00B847F7">
        <w:rPr>
          <w:rFonts w:ascii="Times New Roman" w:hAnsi="Times New Roman" w:cs="Times New Roman"/>
          <w:i/>
          <w:iCs/>
        </w:rPr>
        <w:t>Acinetobacter</w:t>
      </w:r>
      <w:r w:rsidRPr="00B847F7">
        <w:rPr>
          <w:rFonts w:ascii="Times New Roman" w:hAnsi="Times New Roman" w:cs="Times New Roman"/>
        </w:rPr>
        <w:t> species in the intensive care unit of a tertiary hospital in Southwestern Nigeria. </w:t>
      </w:r>
      <w:r w:rsidRPr="00B847F7">
        <w:rPr>
          <w:rFonts w:ascii="Times New Roman" w:hAnsi="Times New Roman" w:cs="Times New Roman"/>
          <w:i/>
          <w:iCs/>
        </w:rPr>
        <w:t>Nigerian Journal of Clinical Practice, 25</w:t>
      </w:r>
      <w:r w:rsidRPr="00B847F7">
        <w:rPr>
          <w:rFonts w:ascii="Times New Roman" w:hAnsi="Times New Roman" w:cs="Times New Roman"/>
        </w:rPr>
        <w:t>(8), 1201-1208.</w:t>
      </w:r>
    </w:p>
    <w:p w14:paraId="0DA91A1A"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Akinola, S. A., et al. (2021). Antibiotic-resistant </w:t>
      </w:r>
      <w:r w:rsidRPr="00B847F7">
        <w:rPr>
          <w:rFonts w:ascii="Times New Roman" w:hAnsi="Times New Roman" w:cs="Times New Roman"/>
          <w:i/>
          <w:iCs/>
        </w:rPr>
        <w:t>Acinetobacter baumannii</w:t>
      </w:r>
      <w:r w:rsidRPr="00B847F7">
        <w:rPr>
          <w:rFonts w:ascii="Times New Roman" w:hAnsi="Times New Roman" w:cs="Times New Roman"/>
        </w:rPr>
        <w:t> in landfill leachate: A potential public health risk. </w:t>
      </w:r>
      <w:r w:rsidRPr="00B847F7">
        <w:rPr>
          <w:rFonts w:ascii="Times New Roman" w:hAnsi="Times New Roman" w:cs="Times New Roman"/>
          <w:i/>
          <w:iCs/>
        </w:rPr>
        <w:t>Waste Management, 126</w:t>
      </w:r>
      <w:r w:rsidRPr="00B847F7">
        <w:rPr>
          <w:rFonts w:ascii="Times New Roman" w:hAnsi="Times New Roman" w:cs="Times New Roman"/>
        </w:rPr>
        <w:t>, 758-765.</w:t>
      </w:r>
    </w:p>
    <w:p w14:paraId="2B5B03BB"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Akinduti, P. A., </w:t>
      </w:r>
      <w:proofErr w:type="spellStart"/>
      <w:r w:rsidRPr="00B847F7">
        <w:rPr>
          <w:rFonts w:ascii="Times New Roman" w:hAnsi="Times New Roman" w:cs="Times New Roman"/>
        </w:rPr>
        <w:t>Obamoh</w:t>
      </w:r>
      <w:proofErr w:type="spellEnd"/>
      <w:r w:rsidRPr="00B847F7">
        <w:rPr>
          <w:rFonts w:ascii="Times New Roman" w:hAnsi="Times New Roman" w:cs="Times New Roman"/>
        </w:rPr>
        <w:t>-Triumphant, H. F., Ojo, O. E., et al. (2023). Clonal dissemination of multidrug-resistant </w:t>
      </w:r>
      <w:r w:rsidRPr="00B847F7">
        <w:rPr>
          <w:rFonts w:ascii="Times New Roman" w:hAnsi="Times New Roman" w:cs="Times New Roman"/>
          <w:i/>
          <w:iCs/>
        </w:rPr>
        <w:t>Acinetobacter baumannii</w:t>
      </w:r>
      <w:r w:rsidRPr="00B847F7">
        <w:rPr>
          <w:rFonts w:ascii="Times New Roman" w:hAnsi="Times New Roman" w:cs="Times New Roman"/>
        </w:rPr>
        <w:t> isolates in a tertiary hospital in Nigeria: A genomic surveillance study. </w:t>
      </w:r>
      <w:r w:rsidRPr="00B847F7">
        <w:rPr>
          <w:rFonts w:ascii="Times New Roman" w:hAnsi="Times New Roman" w:cs="Times New Roman"/>
          <w:i/>
          <w:iCs/>
        </w:rPr>
        <w:t>Journal of Global Antimicrobial Resistance, 33</w:t>
      </w:r>
      <w:r w:rsidRPr="00B847F7">
        <w:rPr>
          <w:rFonts w:ascii="Times New Roman" w:hAnsi="Times New Roman" w:cs="Times New Roman"/>
        </w:rPr>
        <w:t>, 278–285.</w:t>
      </w:r>
    </w:p>
    <w:p w14:paraId="5DAADDD2"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Ajayı</w:t>
      </w:r>
      <w:proofErr w:type="spellEnd"/>
      <w:r w:rsidRPr="00B847F7">
        <w:rPr>
          <w:rFonts w:ascii="Times New Roman" w:hAnsi="Times New Roman" w:cs="Times New Roman"/>
        </w:rPr>
        <w:t xml:space="preserve">, A. O., et al. (2021). Extended-spectrum beta-lactamase and </w:t>
      </w:r>
      <w:proofErr w:type="spellStart"/>
      <w:r w:rsidRPr="00B847F7">
        <w:rPr>
          <w:rFonts w:ascii="Times New Roman" w:hAnsi="Times New Roman" w:cs="Times New Roman"/>
        </w:rPr>
        <w:t>carbapenemase</w:t>
      </w:r>
      <w:proofErr w:type="spellEnd"/>
      <w:r w:rsidRPr="00B847F7">
        <w:rPr>
          <w:rFonts w:ascii="Times New Roman" w:hAnsi="Times New Roman" w:cs="Times New Roman"/>
        </w:rPr>
        <w:t xml:space="preserve"> production in </w:t>
      </w:r>
      <w:r w:rsidRPr="00B847F7">
        <w:rPr>
          <w:rFonts w:ascii="Times New Roman" w:hAnsi="Times New Roman" w:cs="Times New Roman"/>
          <w:i/>
          <w:iCs/>
        </w:rPr>
        <w:t xml:space="preserve">Acinetobacter </w:t>
      </w:r>
      <w:proofErr w:type="spellStart"/>
      <w:r w:rsidRPr="00B847F7">
        <w:rPr>
          <w:rFonts w:ascii="Times New Roman" w:hAnsi="Times New Roman" w:cs="Times New Roman"/>
          <w:i/>
          <w:iCs/>
        </w:rPr>
        <w:t>baumannii</w:t>
      </w:r>
      <w:proofErr w:type="spellEnd"/>
      <w:r w:rsidRPr="00B847F7">
        <w:rPr>
          <w:rFonts w:ascii="Times New Roman" w:hAnsi="Times New Roman" w:cs="Times New Roman"/>
        </w:rPr>
        <w:t> from burn patients in Lagos. </w:t>
      </w:r>
      <w:r w:rsidRPr="00B847F7">
        <w:rPr>
          <w:rFonts w:ascii="Times New Roman" w:hAnsi="Times New Roman" w:cs="Times New Roman"/>
          <w:i/>
          <w:iCs/>
        </w:rPr>
        <w:t>Burns, 47</w:t>
      </w:r>
      <w:r w:rsidRPr="00B847F7">
        <w:rPr>
          <w:rFonts w:ascii="Times New Roman" w:hAnsi="Times New Roman" w:cs="Times New Roman"/>
        </w:rPr>
        <w:t>(4), 925-933.</w:t>
      </w:r>
    </w:p>
    <w:p w14:paraId="7F0CA6AA"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Antimicrobial Resistance Collaborators. (2022). Global burden of bacterial antimicrobial resistance in 2019: a systematic analysis. </w:t>
      </w:r>
      <w:r w:rsidRPr="00B847F7">
        <w:rPr>
          <w:rFonts w:ascii="Times New Roman" w:hAnsi="Times New Roman" w:cs="Times New Roman"/>
          <w:i/>
          <w:iCs/>
        </w:rPr>
        <w:t>The Lancet, 399</w:t>
      </w:r>
      <w:r w:rsidRPr="00B847F7">
        <w:rPr>
          <w:rFonts w:ascii="Times New Roman" w:hAnsi="Times New Roman" w:cs="Times New Roman"/>
        </w:rPr>
        <w:t>(10325), 629–655.</w:t>
      </w:r>
    </w:p>
    <w:p w14:paraId="2362BEBF"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Asif, M., Alvi, I. A., &amp; Rehman, S. U. (2023). Insight into </w:t>
      </w:r>
      <w:r w:rsidRPr="00B847F7">
        <w:rPr>
          <w:rFonts w:ascii="Times New Roman" w:hAnsi="Times New Roman" w:cs="Times New Roman"/>
          <w:i/>
          <w:iCs/>
        </w:rPr>
        <w:t>Acinetobacter baumannii</w:t>
      </w:r>
      <w:r w:rsidRPr="00B847F7">
        <w:rPr>
          <w:rFonts w:ascii="Times New Roman" w:hAnsi="Times New Roman" w:cs="Times New Roman"/>
        </w:rPr>
        <w:t>: pathogenesis, global resistance, mechanisms of resistance, treatment options, and alternative modalities. </w:t>
      </w:r>
      <w:r w:rsidRPr="00B847F7">
        <w:rPr>
          <w:rFonts w:ascii="Times New Roman" w:hAnsi="Times New Roman" w:cs="Times New Roman"/>
          <w:i/>
          <w:iCs/>
        </w:rPr>
        <w:t>Infection and Drug Resistance, 16</w:t>
      </w:r>
      <w:r w:rsidRPr="00B847F7">
        <w:rPr>
          <w:rFonts w:ascii="Times New Roman" w:hAnsi="Times New Roman" w:cs="Times New Roman"/>
        </w:rPr>
        <w:t>, 3231–3265.</w:t>
      </w:r>
    </w:p>
    <w:p w14:paraId="1E3C69F3"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lastRenderedPageBreak/>
        <w:t>Bello, N., et al. (2023). Characterization of antibiotic-resistant </w:t>
      </w:r>
      <w:r w:rsidRPr="00B847F7">
        <w:rPr>
          <w:rFonts w:ascii="Times New Roman" w:hAnsi="Times New Roman" w:cs="Times New Roman"/>
          <w:i/>
          <w:iCs/>
        </w:rPr>
        <w:t>Acinetobacter</w:t>
      </w:r>
      <w:r w:rsidRPr="00B847F7">
        <w:rPr>
          <w:rFonts w:ascii="Times New Roman" w:hAnsi="Times New Roman" w:cs="Times New Roman"/>
        </w:rPr>
        <w:t> species from abattoir environments in North-Central Nigeria. </w:t>
      </w:r>
      <w:r w:rsidRPr="00B847F7">
        <w:rPr>
          <w:rFonts w:ascii="Times New Roman" w:hAnsi="Times New Roman" w:cs="Times New Roman"/>
          <w:i/>
          <w:iCs/>
        </w:rPr>
        <w:t>Journal of Environmental Health Science and Engineering, 21</w:t>
      </w:r>
      <w:r w:rsidRPr="00B847F7">
        <w:rPr>
          <w:rFonts w:ascii="Times New Roman" w:hAnsi="Times New Roman" w:cs="Times New Roman"/>
        </w:rPr>
        <w:t>(1), 45-55.</w:t>
      </w:r>
    </w:p>
    <w:p w14:paraId="0EB94A79"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Bengtsson-Palme, J., Kristiansson, E., &amp; Larsson, D. J. (2023). Environmental factors influencing the development and spread of antibiotic resistance. </w:t>
      </w:r>
      <w:r w:rsidRPr="00B847F7">
        <w:rPr>
          <w:rFonts w:ascii="Times New Roman" w:hAnsi="Times New Roman" w:cs="Times New Roman"/>
          <w:i/>
          <w:iCs/>
        </w:rPr>
        <w:t>FEMS Microbiology Reviews, 47</w:t>
      </w:r>
      <w:r w:rsidRPr="00B847F7">
        <w:rPr>
          <w:rFonts w:ascii="Times New Roman" w:hAnsi="Times New Roman" w:cs="Times New Roman"/>
        </w:rPr>
        <w:t>(1), fuac045.</w:t>
      </w:r>
    </w:p>
    <w:p w14:paraId="756ACA76"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Berendonk</w:t>
      </w:r>
      <w:proofErr w:type="spellEnd"/>
      <w:r w:rsidRPr="00B847F7">
        <w:rPr>
          <w:rFonts w:ascii="Times New Roman" w:hAnsi="Times New Roman" w:cs="Times New Roman"/>
        </w:rPr>
        <w:t>, T. U., Manaia, C. M., Merlin, C., et al. (2021). Tackling antibiotic resistance: the environmental framework. </w:t>
      </w:r>
      <w:r w:rsidRPr="00B847F7">
        <w:rPr>
          <w:rFonts w:ascii="Times New Roman" w:hAnsi="Times New Roman" w:cs="Times New Roman"/>
          <w:i/>
          <w:iCs/>
        </w:rPr>
        <w:t>Nature Reviews Microbiology, 19</w:t>
      </w:r>
      <w:r w:rsidRPr="00B847F7">
        <w:rPr>
          <w:rFonts w:ascii="Times New Roman" w:hAnsi="Times New Roman" w:cs="Times New Roman"/>
        </w:rPr>
        <w:t>(5), 283–284.</w:t>
      </w:r>
    </w:p>
    <w:p w14:paraId="1CE60E26"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Eze, P. M., et al. (2022). Device-associated infections and multidrug-resistant </w:t>
      </w:r>
      <w:r w:rsidRPr="00B847F7">
        <w:rPr>
          <w:rFonts w:ascii="Times New Roman" w:hAnsi="Times New Roman" w:cs="Times New Roman"/>
          <w:i/>
          <w:iCs/>
        </w:rPr>
        <w:t>Acinetobacter</w:t>
      </w:r>
      <w:r w:rsidRPr="00B847F7">
        <w:rPr>
          <w:rFonts w:ascii="Times New Roman" w:hAnsi="Times New Roman" w:cs="Times New Roman"/>
        </w:rPr>
        <w:t> species in a tertiary hospital in South-Eastern Nigeria. </w:t>
      </w:r>
      <w:r w:rsidRPr="00B847F7">
        <w:rPr>
          <w:rFonts w:ascii="Times New Roman" w:hAnsi="Times New Roman" w:cs="Times New Roman"/>
          <w:i/>
          <w:iCs/>
        </w:rPr>
        <w:t>Journal of Infection in Developing Countries, 16</w:t>
      </w:r>
      <w:r w:rsidRPr="00B847F7">
        <w:rPr>
          <w:rFonts w:ascii="Times New Roman" w:hAnsi="Times New Roman" w:cs="Times New Roman"/>
        </w:rPr>
        <w:t>(5), 789-797.</w:t>
      </w:r>
    </w:p>
    <w:p w14:paraId="40B99641"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Ezeonu, I. M., et al. (2023). Microbial quality and antibiotic resistance of </w:t>
      </w:r>
      <w:r w:rsidRPr="00B847F7">
        <w:rPr>
          <w:rFonts w:ascii="Times New Roman" w:hAnsi="Times New Roman" w:cs="Times New Roman"/>
          <w:i/>
          <w:iCs/>
        </w:rPr>
        <w:t>Acinetobacter</w:t>
      </w:r>
      <w:r w:rsidRPr="00B847F7">
        <w:rPr>
          <w:rFonts w:ascii="Times New Roman" w:hAnsi="Times New Roman" w:cs="Times New Roman"/>
        </w:rPr>
        <w:t xml:space="preserve"> in hand-dug wells near hospitals in </w:t>
      </w:r>
      <w:proofErr w:type="spellStart"/>
      <w:r w:rsidRPr="00B847F7">
        <w:rPr>
          <w:rFonts w:ascii="Times New Roman" w:hAnsi="Times New Roman" w:cs="Times New Roman"/>
        </w:rPr>
        <w:t>Abakaliki</w:t>
      </w:r>
      <w:proofErr w:type="spellEnd"/>
      <w:r w:rsidRPr="00B847F7">
        <w:rPr>
          <w:rFonts w:ascii="Times New Roman" w:hAnsi="Times New Roman" w:cs="Times New Roman"/>
        </w:rPr>
        <w:t>, Nigeria. </w:t>
      </w:r>
      <w:r w:rsidRPr="00B847F7">
        <w:rPr>
          <w:rFonts w:ascii="Times New Roman" w:hAnsi="Times New Roman" w:cs="Times New Roman"/>
          <w:i/>
          <w:iCs/>
        </w:rPr>
        <w:t>Journal of Water and Health, 21</w:t>
      </w:r>
      <w:r w:rsidRPr="00B847F7">
        <w:rPr>
          <w:rFonts w:ascii="Times New Roman" w:hAnsi="Times New Roman" w:cs="Times New Roman"/>
        </w:rPr>
        <w:t>(6), 789-801.</w:t>
      </w:r>
    </w:p>
    <w:p w14:paraId="2AC61C46" w14:textId="5048A493"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Federal Ministry of Health (</w:t>
      </w:r>
      <w:proofErr w:type="spellStart"/>
      <w:r w:rsidRPr="00B847F7">
        <w:rPr>
          <w:rFonts w:ascii="Times New Roman" w:hAnsi="Times New Roman" w:cs="Times New Roman"/>
        </w:rPr>
        <w:t>FMoH</w:t>
      </w:r>
      <w:proofErr w:type="spellEnd"/>
      <w:r w:rsidRPr="00B847F7">
        <w:rPr>
          <w:rFonts w:ascii="Times New Roman" w:hAnsi="Times New Roman" w:cs="Times New Roman"/>
        </w:rPr>
        <w:t>) Nigeria. (2017). </w:t>
      </w:r>
      <w:r w:rsidR="00C66559" w:rsidRPr="00B847F7">
        <w:rPr>
          <w:rFonts w:ascii="Times New Roman" w:hAnsi="Times New Roman" w:cs="Times New Roman"/>
        </w:rPr>
        <w:t xml:space="preserve"> </w:t>
      </w:r>
      <w:r w:rsidRPr="00B847F7">
        <w:rPr>
          <w:rFonts w:ascii="Times New Roman" w:hAnsi="Times New Roman" w:cs="Times New Roman"/>
        </w:rPr>
        <w:t>National Strategic Plan for the Control of Antimicrobial Resistance (2017-2022)</w:t>
      </w:r>
      <w:r w:rsidR="00C66559" w:rsidRPr="00C66559">
        <w:rPr>
          <w:rFonts w:ascii="Times New Roman" w:hAnsi="Times New Roman" w:cs="Times New Roman"/>
        </w:rPr>
        <w:t xml:space="preserve"> </w:t>
      </w:r>
      <w:r w:rsidR="00C66559" w:rsidRPr="00B847F7">
        <w:rPr>
          <w:rFonts w:ascii="Times New Roman" w:hAnsi="Times New Roman" w:cs="Times New Roman"/>
        </w:rPr>
        <w:t>*</w:t>
      </w:r>
      <w:r w:rsidRPr="00B847F7">
        <w:rPr>
          <w:rFonts w:ascii="Times New Roman" w:hAnsi="Times New Roman" w:cs="Times New Roman"/>
        </w:rPr>
        <w:t>*. Abuja, Nigeria.</w:t>
      </w:r>
    </w:p>
    <w:p w14:paraId="0D37690C"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R. C., </w:t>
      </w: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L. L., &amp; </w:t>
      </w:r>
      <w:proofErr w:type="spellStart"/>
      <w:r w:rsidRPr="00B847F7">
        <w:rPr>
          <w:rFonts w:ascii="Times New Roman" w:hAnsi="Times New Roman" w:cs="Times New Roman"/>
        </w:rPr>
        <w:t>Essack</w:t>
      </w:r>
      <w:proofErr w:type="spellEnd"/>
      <w:r w:rsidRPr="00B847F7">
        <w:rPr>
          <w:rFonts w:ascii="Times New Roman" w:hAnsi="Times New Roman" w:cs="Times New Roman"/>
        </w:rPr>
        <w:t>, S. Y. (2021). Clinical and economic impact of antibiotic resistance in developing countries: A systematic review and meta-analysis. </w:t>
      </w:r>
      <w:r w:rsidRPr="00B847F7">
        <w:rPr>
          <w:rFonts w:ascii="Times New Roman" w:hAnsi="Times New Roman" w:cs="Times New Roman"/>
          <w:i/>
          <w:iCs/>
        </w:rPr>
        <w:t>Tropical Medicine &amp; International Health, 26</w:t>
      </w:r>
      <w:r w:rsidRPr="00B847F7">
        <w:rPr>
          <w:rFonts w:ascii="Times New Roman" w:hAnsi="Times New Roman" w:cs="Times New Roman"/>
        </w:rPr>
        <w:t>(10), 1155–1168.</w:t>
      </w:r>
    </w:p>
    <w:p w14:paraId="21C5AD01"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Fowotade</w:t>
      </w:r>
      <w:proofErr w:type="spellEnd"/>
      <w:r w:rsidRPr="00B847F7">
        <w:rPr>
          <w:rFonts w:ascii="Times New Roman" w:hAnsi="Times New Roman" w:cs="Times New Roman"/>
        </w:rPr>
        <w:t>, A., et al. (2020). High mortality rate associated with multidrug-resistant </w:t>
      </w:r>
      <w:r w:rsidRPr="00B847F7">
        <w:rPr>
          <w:rFonts w:ascii="Times New Roman" w:hAnsi="Times New Roman" w:cs="Times New Roman"/>
          <w:i/>
          <w:iCs/>
        </w:rPr>
        <w:t>Acinetobacter baumannii</w:t>
      </w:r>
      <w:r w:rsidRPr="00B847F7">
        <w:rPr>
          <w:rFonts w:ascii="Times New Roman" w:hAnsi="Times New Roman" w:cs="Times New Roman"/>
        </w:rPr>
        <w:t> in ventilated patients in Ibadan, Nigeria. </w:t>
      </w:r>
      <w:r w:rsidRPr="00B847F7">
        <w:rPr>
          <w:rFonts w:ascii="Times New Roman" w:hAnsi="Times New Roman" w:cs="Times New Roman"/>
          <w:i/>
          <w:iCs/>
        </w:rPr>
        <w:t>African Journal of Clinical and Experimental Microbiology, 21</w:t>
      </w:r>
      <w:r w:rsidRPr="00B847F7">
        <w:rPr>
          <w:rFonts w:ascii="Times New Roman" w:hAnsi="Times New Roman" w:cs="Times New Roman"/>
        </w:rPr>
        <w:t>(3), 195-203.</w:t>
      </w:r>
    </w:p>
    <w:p w14:paraId="378AC951"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Giwa, F. J., et al. (2022). Contamination of hospital surfaces with multidrug-resistant </w:t>
      </w:r>
      <w:r w:rsidRPr="00B847F7">
        <w:rPr>
          <w:rFonts w:ascii="Times New Roman" w:hAnsi="Times New Roman" w:cs="Times New Roman"/>
          <w:i/>
          <w:iCs/>
        </w:rPr>
        <w:t>Acinetobacter</w:t>
      </w:r>
      <w:r w:rsidRPr="00B847F7">
        <w:rPr>
          <w:rFonts w:ascii="Times New Roman" w:hAnsi="Times New Roman" w:cs="Times New Roman"/>
        </w:rPr>
        <w:t> species in a tertiary facility in Lagos. </w:t>
      </w:r>
      <w:r w:rsidRPr="00B847F7">
        <w:rPr>
          <w:rFonts w:ascii="Times New Roman" w:hAnsi="Times New Roman" w:cs="Times New Roman"/>
          <w:i/>
          <w:iCs/>
        </w:rPr>
        <w:t>Nigerian Postgraduate Medical Journal, 29</w:t>
      </w:r>
      <w:r w:rsidRPr="00B847F7">
        <w:rPr>
          <w:rFonts w:ascii="Times New Roman" w:hAnsi="Times New Roman" w:cs="Times New Roman"/>
        </w:rPr>
        <w:t>(1), 25-31.</w:t>
      </w:r>
    </w:p>
    <w:p w14:paraId="625A0CFA"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Harding, C. M., Hennon, S. W., &amp; Feldman, M. F. (2018). Uncovering the mechanisms of </w:t>
      </w:r>
      <w:r w:rsidRPr="00B847F7">
        <w:rPr>
          <w:rFonts w:ascii="Times New Roman" w:hAnsi="Times New Roman" w:cs="Times New Roman"/>
          <w:i/>
          <w:iCs/>
        </w:rPr>
        <w:t>Acinetobacter baumannii</w:t>
      </w:r>
      <w:r w:rsidRPr="00B847F7">
        <w:rPr>
          <w:rFonts w:ascii="Times New Roman" w:hAnsi="Times New Roman" w:cs="Times New Roman"/>
        </w:rPr>
        <w:t> virulence. </w:t>
      </w:r>
      <w:r w:rsidRPr="00B847F7">
        <w:rPr>
          <w:rFonts w:ascii="Times New Roman" w:hAnsi="Times New Roman" w:cs="Times New Roman"/>
          <w:i/>
          <w:iCs/>
        </w:rPr>
        <w:t>Nature Reviews Microbiology, 16</w:t>
      </w:r>
      <w:r w:rsidRPr="00B847F7">
        <w:rPr>
          <w:rFonts w:ascii="Times New Roman" w:hAnsi="Times New Roman" w:cs="Times New Roman"/>
        </w:rPr>
        <w:t>(2), 91–102.</w:t>
      </w:r>
    </w:p>
    <w:p w14:paraId="33B0C9E2"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Iregbu</w:t>
      </w:r>
      <w:proofErr w:type="spellEnd"/>
      <w:r w:rsidRPr="00B847F7">
        <w:rPr>
          <w:rFonts w:ascii="Times New Roman" w:hAnsi="Times New Roman" w:cs="Times New Roman"/>
        </w:rPr>
        <w:t>, K. C., et al. (2021). Antimicrobial resistance profile of </w:t>
      </w:r>
      <w:r w:rsidRPr="00B847F7">
        <w:rPr>
          <w:rFonts w:ascii="Times New Roman" w:hAnsi="Times New Roman" w:cs="Times New Roman"/>
          <w:i/>
          <w:iCs/>
        </w:rPr>
        <w:t>Acinetobacter baumannii</w:t>
      </w:r>
      <w:r w:rsidRPr="00B847F7">
        <w:rPr>
          <w:rFonts w:ascii="Times New Roman" w:hAnsi="Times New Roman" w:cs="Times New Roman"/>
        </w:rPr>
        <w:t> from invasive infections in Nigeria: A report from the Nigerian Antimicrobial Resistance Surveillance System. </w:t>
      </w:r>
      <w:r w:rsidRPr="00B847F7">
        <w:rPr>
          <w:rFonts w:ascii="Times New Roman" w:hAnsi="Times New Roman" w:cs="Times New Roman"/>
          <w:i/>
          <w:iCs/>
        </w:rPr>
        <w:t>PLOS ONE, 16</w:t>
      </w:r>
      <w:r w:rsidRPr="00B847F7">
        <w:rPr>
          <w:rFonts w:ascii="Times New Roman" w:hAnsi="Times New Roman" w:cs="Times New Roman"/>
        </w:rPr>
        <w:t>(7), e0255522.</w:t>
      </w:r>
    </w:p>
    <w:p w14:paraId="203DAEA2"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Iwu, C. D., &amp; Okoh, A. I. (2019). Preharvest transmission routes of fresh produce associated bacterial pathogens with outbreak potentials: a review. </w:t>
      </w:r>
      <w:r w:rsidRPr="00B847F7">
        <w:rPr>
          <w:rFonts w:ascii="Times New Roman" w:hAnsi="Times New Roman" w:cs="Times New Roman"/>
          <w:i/>
          <w:iCs/>
        </w:rPr>
        <w:t>International Journal of Environmental Research and Public Health, 16</w:t>
      </w:r>
      <w:r w:rsidRPr="00B847F7">
        <w:rPr>
          <w:rFonts w:ascii="Times New Roman" w:hAnsi="Times New Roman" w:cs="Times New Roman"/>
        </w:rPr>
        <w:t>(22), 4407.</w:t>
      </w:r>
    </w:p>
    <w:p w14:paraId="796133EC"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lastRenderedPageBreak/>
        <w:t>Iwu, C. D., Korsten, L., &amp; Okoh, A. I. (2020). The incidence of antibiotic resistance within and beyond the agricultural ecosystem: A concern for public health. </w:t>
      </w:r>
      <w:proofErr w:type="spellStart"/>
      <w:r w:rsidRPr="00B847F7">
        <w:rPr>
          <w:rFonts w:ascii="Times New Roman" w:hAnsi="Times New Roman" w:cs="Times New Roman"/>
          <w:i/>
          <w:iCs/>
        </w:rPr>
        <w:t>MicrobiologyOpen</w:t>
      </w:r>
      <w:proofErr w:type="spellEnd"/>
      <w:r w:rsidRPr="00B847F7">
        <w:rPr>
          <w:rFonts w:ascii="Times New Roman" w:hAnsi="Times New Roman" w:cs="Times New Roman"/>
          <w:i/>
          <w:iCs/>
        </w:rPr>
        <w:t>, 9</w:t>
      </w:r>
      <w:r w:rsidRPr="00B847F7">
        <w:rPr>
          <w:rFonts w:ascii="Times New Roman" w:hAnsi="Times New Roman" w:cs="Times New Roman"/>
        </w:rPr>
        <w:t>(9), e1035.</w:t>
      </w:r>
    </w:p>
    <w:p w14:paraId="2111D1FB"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Iwu, C. D., Plaatjies, J. E., &amp; Okoh, A. I. (2022). Antibiotic-resistant </w:t>
      </w:r>
      <w:r w:rsidRPr="00B847F7">
        <w:rPr>
          <w:rFonts w:ascii="Times New Roman" w:hAnsi="Times New Roman" w:cs="Times New Roman"/>
          <w:i/>
          <w:iCs/>
        </w:rPr>
        <w:t>Acinetobacter baumannii</w:t>
      </w:r>
      <w:r w:rsidRPr="00B847F7">
        <w:rPr>
          <w:rFonts w:ascii="Times New Roman" w:hAnsi="Times New Roman" w:cs="Times New Roman"/>
        </w:rPr>
        <w:t> in healthcare settings in Africa: a systematic review and meta-analysis. </w:t>
      </w:r>
      <w:r w:rsidRPr="00B847F7">
        <w:rPr>
          <w:rFonts w:ascii="Times New Roman" w:hAnsi="Times New Roman" w:cs="Times New Roman"/>
          <w:i/>
          <w:iCs/>
        </w:rPr>
        <w:t>Pathogens and Global Health, 116</w:t>
      </w:r>
      <w:r w:rsidRPr="00B847F7">
        <w:rPr>
          <w:rFonts w:ascii="Times New Roman" w:hAnsi="Times New Roman" w:cs="Times New Roman"/>
        </w:rPr>
        <w:t>(6), 341–355.</w:t>
      </w:r>
    </w:p>
    <w:p w14:paraId="43B15DBB"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Kyriakidis, I., Vasileiou, E., Pana, Z. D., &amp; </w:t>
      </w:r>
      <w:proofErr w:type="spellStart"/>
      <w:r w:rsidRPr="00B847F7">
        <w:rPr>
          <w:rFonts w:ascii="Times New Roman" w:hAnsi="Times New Roman" w:cs="Times New Roman"/>
        </w:rPr>
        <w:t>Tragiannidis</w:t>
      </w:r>
      <w:proofErr w:type="spellEnd"/>
      <w:r w:rsidRPr="00B847F7">
        <w:rPr>
          <w:rFonts w:ascii="Times New Roman" w:hAnsi="Times New Roman" w:cs="Times New Roman"/>
        </w:rPr>
        <w:t>, A. (2021). </w:t>
      </w:r>
      <w:r w:rsidRPr="00B847F7">
        <w:rPr>
          <w:rFonts w:ascii="Times New Roman" w:hAnsi="Times New Roman" w:cs="Times New Roman"/>
          <w:i/>
          <w:iCs/>
        </w:rPr>
        <w:t>Acinetobacter baumannii</w:t>
      </w:r>
      <w:r w:rsidRPr="00B847F7">
        <w:rPr>
          <w:rFonts w:ascii="Times New Roman" w:hAnsi="Times New Roman" w:cs="Times New Roman"/>
        </w:rPr>
        <w:t> antibiotic resistance mechanisms. </w:t>
      </w:r>
      <w:r w:rsidRPr="00B847F7">
        <w:rPr>
          <w:rFonts w:ascii="Times New Roman" w:hAnsi="Times New Roman" w:cs="Times New Roman"/>
          <w:i/>
          <w:iCs/>
        </w:rPr>
        <w:t>Pathogens, 10</w:t>
      </w:r>
      <w:r w:rsidRPr="00B847F7">
        <w:rPr>
          <w:rFonts w:ascii="Times New Roman" w:hAnsi="Times New Roman" w:cs="Times New Roman"/>
        </w:rPr>
        <w:t>(3), 373.</w:t>
      </w:r>
    </w:p>
    <w:p w14:paraId="066596B8"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Lupo, A., Coyne, S., &amp; </w:t>
      </w:r>
      <w:proofErr w:type="spellStart"/>
      <w:r w:rsidRPr="00B847F7">
        <w:rPr>
          <w:rFonts w:ascii="Times New Roman" w:hAnsi="Times New Roman" w:cs="Times New Roman"/>
        </w:rPr>
        <w:t>Berendonk</w:t>
      </w:r>
      <w:proofErr w:type="spellEnd"/>
      <w:r w:rsidRPr="00B847F7">
        <w:rPr>
          <w:rFonts w:ascii="Times New Roman" w:hAnsi="Times New Roman" w:cs="Times New Roman"/>
        </w:rPr>
        <w:t>, T. U. (2020). Origin and evolution of antibiotic resistance: the common mechanisms of emergence and spread in water bodies. </w:t>
      </w:r>
      <w:r w:rsidRPr="00B847F7">
        <w:rPr>
          <w:rFonts w:ascii="Times New Roman" w:hAnsi="Times New Roman" w:cs="Times New Roman"/>
          <w:i/>
          <w:iCs/>
        </w:rPr>
        <w:t>Frontiers in Microbiology, 11</w:t>
      </w:r>
      <w:r w:rsidRPr="00B847F7">
        <w:rPr>
          <w:rFonts w:ascii="Times New Roman" w:hAnsi="Times New Roman" w:cs="Times New Roman"/>
        </w:rPr>
        <w:t>, 2556.</w:t>
      </w:r>
    </w:p>
    <w:p w14:paraId="0253C4C6"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Musa, B. M., et al. (2020). </w:t>
      </w:r>
      <w:proofErr w:type="spellStart"/>
      <w:r w:rsidRPr="00B847F7">
        <w:rPr>
          <w:rFonts w:ascii="Times New Roman" w:hAnsi="Times New Roman" w:cs="Times New Roman"/>
        </w:rPr>
        <w:t>Aetiology</w:t>
      </w:r>
      <w:proofErr w:type="spellEnd"/>
      <w:r w:rsidRPr="00B847F7">
        <w:rPr>
          <w:rFonts w:ascii="Times New Roman" w:hAnsi="Times New Roman" w:cs="Times New Roman"/>
        </w:rPr>
        <w:t xml:space="preserve"> and antibiotic resistance patterns of neonatal sepsis in a tertiary hospital in Kano, Nigeria. </w:t>
      </w:r>
      <w:r w:rsidRPr="00B847F7">
        <w:rPr>
          <w:rFonts w:ascii="Times New Roman" w:hAnsi="Times New Roman" w:cs="Times New Roman"/>
          <w:i/>
          <w:iCs/>
        </w:rPr>
        <w:t>Tropical Doctor, 50</w:t>
      </w:r>
      <w:r w:rsidRPr="00B847F7">
        <w:rPr>
          <w:rFonts w:ascii="Times New Roman" w:hAnsi="Times New Roman" w:cs="Times New Roman"/>
        </w:rPr>
        <w:t>(2), 114-121.</w:t>
      </w:r>
    </w:p>
    <w:p w14:paraId="62B08EAF"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Oaikhena</w:t>
      </w:r>
      <w:proofErr w:type="spellEnd"/>
      <w:r w:rsidRPr="00B847F7">
        <w:rPr>
          <w:rFonts w:ascii="Times New Roman" w:hAnsi="Times New Roman" w:cs="Times New Roman"/>
        </w:rPr>
        <w:t xml:space="preserve">, E. E., Omoregie, R., &amp; </w:t>
      </w:r>
      <w:proofErr w:type="spellStart"/>
      <w:r w:rsidRPr="00B847F7">
        <w:rPr>
          <w:rFonts w:ascii="Times New Roman" w:hAnsi="Times New Roman" w:cs="Times New Roman"/>
        </w:rPr>
        <w:t>Igbarumah</w:t>
      </w:r>
      <w:proofErr w:type="spellEnd"/>
      <w:r w:rsidRPr="00B847F7">
        <w:rPr>
          <w:rFonts w:ascii="Times New Roman" w:hAnsi="Times New Roman" w:cs="Times New Roman"/>
        </w:rPr>
        <w:t>, I. O. (2021). Environmental contamination as a reservoir of multidrug-resistant </w:t>
      </w:r>
      <w:r w:rsidRPr="00B847F7">
        <w:rPr>
          <w:rFonts w:ascii="Times New Roman" w:hAnsi="Times New Roman" w:cs="Times New Roman"/>
          <w:i/>
          <w:iCs/>
        </w:rPr>
        <w:t>Acinetobacter</w:t>
      </w:r>
      <w:r w:rsidRPr="00B847F7">
        <w:rPr>
          <w:rFonts w:ascii="Times New Roman" w:hAnsi="Times New Roman" w:cs="Times New Roman"/>
        </w:rPr>
        <w:t> species in a tertiary hospital in Benin City, Nigeria. </w:t>
      </w:r>
      <w:r w:rsidRPr="00B847F7">
        <w:rPr>
          <w:rFonts w:ascii="Times New Roman" w:hAnsi="Times New Roman" w:cs="Times New Roman"/>
          <w:i/>
          <w:iCs/>
        </w:rPr>
        <w:t>Nigerian Journal of Clinical Practice, 24</w:t>
      </w:r>
      <w:r w:rsidRPr="00B847F7">
        <w:rPr>
          <w:rFonts w:ascii="Times New Roman" w:hAnsi="Times New Roman" w:cs="Times New Roman"/>
        </w:rPr>
        <w:t>(5), 712–719.</w:t>
      </w:r>
    </w:p>
    <w:p w14:paraId="2A5EB69B"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Ogbolu</w:t>
      </w:r>
      <w:proofErr w:type="spellEnd"/>
      <w:r w:rsidRPr="00B847F7">
        <w:rPr>
          <w:rFonts w:ascii="Times New Roman" w:hAnsi="Times New Roman" w:cs="Times New Roman"/>
        </w:rPr>
        <w:t xml:space="preserve">, D. O., Alli, O. T., Webber, M. A., &amp; </w:t>
      </w:r>
      <w:proofErr w:type="spellStart"/>
      <w:r w:rsidRPr="00B847F7">
        <w:rPr>
          <w:rFonts w:ascii="Times New Roman" w:hAnsi="Times New Roman" w:cs="Times New Roman"/>
        </w:rPr>
        <w:t>Daini</w:t>
      </w:r>
      <w:proofErr w:type="spellEnd"/>
      <w:r w:rsidRPr="00B847F7">
        <w:rPr>
          <w:rFonts w:ascii="Times New Roman" w:hAnsi="Times New Roman" w:cs="Times New Roman"/>
        </w:rPr>
        <w:t>, O. A. (2020). Molecular characterization of high-level multidrug-resistant </w:t>
      </w:r>
      <w:r w:rsidRPr="00B847F7">
        <w:rPr>
          <w:rFonts w:ascii="Times New Roman" w:hAnsi="Times New Roman" w:cs="Times New Roman"/>
          <w:i/>
          <w:iCs/>
        </w:rPr>
        <w:t>Acinetobacter baumannii</w:t>
      </w:r>
      <w:r w:rsidRPr="00B847F7">
        <w:rPr>
          <w:rFonts w:ascii="Times New Roman" w:hAnsi="Times New Roman" w:cs="Times New Roman"/>
        </w:rPr>
        <w:t> from a tertiary hospital in Nigeria. </w:t>
      </w:r>
      <w:r w:rsidRPr="00B847F7">
        <w:rPr>
          <w:rFonts w:ascii="Times New Roman" w:hAnsi="Times New Roman" w:cs="Times New Roman"/>
          <w:i/>
          <w:iCs/>
        </w:rPr>
        <w:t>Journal of Medical Microbiology, 69</w:t>
      </w:r>
      <w:r w:rsidRPr="00B847F7">
        <w:rPr>
          <w:rFonts w:ascii="Times New Roman" w:hAnsi="Times New Roman" w:cs="Times New Roman"/>
        </w:rPr>
        <w:t>(6), 854–860.</w:t>
      </w:r>
    </w:p>
    <w:p w14:paraId="0E90196D"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Okoh, A. I., &amp; </w:t>
      </w:r>
      <w:proofErr w:type="spellStart"/>
      <w:r w:rsidRPr="00B847F7">
        <w:rPr>
          <w:rFonts w:ascii="Times New Roman" w:hAnsi="Times New Roman" w:cs="Times New Roman"/>
        </w:rPr>
        <w:t>Igbinosa</w:t>
      </w:r>
      <w:proofErr w:type="spellEnd"/>
      <w:r w:rsidRPr="00B847F7">
        <w:rPr>
          <w:rFonts w:ascii="Times New Roman" w:hAnsi="Times New Roman" w:cs="Times New Roman"/>
        </w:rPr>
        <w:t>, E. O. (2020). Antibiotic susceptibility profiles of </w:t>
      </w:r>
      <w:r w:rsidRPr="00B847F7">
        <w:rPr>
          <w:rFonts w:ascii="Times New Roman" w:hAnsi="Times New Roman" w:cs="Times New Roman"/>
          <w:i/>
          <w:iCs/>
        </w:rPr>
        <w:t>Acinetobacter</w:t>
      </w:r>
      <w:r w:rsidRPr="00B847F7">
        <w:rPr>
          <w:rFonts w:ascii="Times New Roman" w:hAnsi="Times New Roman" w:cs="Times New Roman"/>
        </w:rPr>
        <w:t> species isolated from municipal wastewater in the Niger Delta region of Nigeria. </w:t>
      </w:r>
      <w:r w:rsidRPr="00B847F7">
        <w:rPr>
          <w:rFonts w:ascii="Times New Roman" w:hAnsi="Times New Roman" w:cs="Times New Roman"/>
          <w:i/>
          <w:iCs/>
        </w:rPr>
        <w:t>World Journal of Microbiology and Biotechnology, 36</w:t>
      </w:r>
      <w:r w:rsidRPr="00B847F7">
        <w:rPr>
          <w:rFonts w:ascii="Times New Roman" w:hAnsi="Times New Roman" w:cs="Times New Roman"/>
        </w:rPr>
        <w:t>(3), 42.</w:t>
      </w:r>
    </w:p>
    <w:p w14:paraId="492C1827"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Olayinka, F. O., Olayinka, B. O., &amp; </w:t>
      </w:r>
      <w:proofErr w:type="spellStart"/>
      <w:r w:rsidRPr="00B847F7">
        <w:rPr>
          <w:rFonts w:ascii="Times New Roman" w:hAnsi="Times New Roman" w:cs="Times New Roman"/>
        </w:rPr>
        <w:t>Onile</w:t>
      </w:r>
      <w:proofErr w:type="spellEnd"/>
      <w:r w:rsidRPr="00B847F7">
        <w:rPr>
          <w:rFonts w:ascii="Times New Roman" w:hAnsi="Times New Roman" w:cs="Times New Roman"/>
        </w:rPr>
        <w:t>, B. A. (2022). Antibiotic resistance pattern of </w:t>
      </w:r>
      <w:r w:rsidRPr="00B847F7">
        <w:rPr>
          <w:rFonts w:ascii="Times New Roman" w:hAnsi="Times New Roman" w:cs="Times New Roman"/>
          <w:i/>
          <w:iCs/>
        </w:rPr>
        <w:t>Acinetobacter</w:t>
      </w:r>
      <w:r w:rsidRPr="00B847F7">
        <w:rPr>
          <w:rFonts w:ascii="Times New Roman" w:hAnsi="Times New Roman" w:cs="Times New Roman"/>
        </w:rPr>
        <w:t> species isolated from clinical and environmental sources in a tertiary institution in North Central Nigeria. </w:t>
      </w:r>
      <w:r w:rsidRPr="00B847F7">
        <w:rPr>
          <w:rFonts w:ascii="Times New Roman" w:hAnsi="Times New Roman" w:cs="Times New Roman"/>
          <w:i/>
          <w:iCs/>
        </w:rPr>
        <w:t>The Nigerian Journal of General Practice, 20</w:t>
      </w:r>
      <w:r w:rsidRPr="00B847F7">
        <w:rPr>
          <w:rFonts w:ascii="Times New Roman" w:hAnsi="Times New Roman" w:cs="Times New Roman"/>
        </w:rPr>
        <w:t>(1), 12–18.</w:t>
      </w:r>
    </w:p>
    <w:p w14:paraId="3BA77ACB"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Olamijuwon</w:t>
      </w:r>
      <w:proofErr w:type="spellEnd"/>
      <w:r w:rsidRPr="00B847F7">
        <w:rPr>
          <w:rFonts w:ascii="Times New Roman" w:hAnsi="Times New Roman" w:cs="Times New Roman"/>
        </w:rPr>
        <w:t>, E., et al. (2023). Contextual factors influencing the spread of antimicrobial resistance in Nigeria: A narrative review. </w:t>
      </w:r>
      <w:r w:rsidRPr="00B847F7">
        <w:rPr>
          <w:rFonts w:ascii="Times New Roman" w:hAnsi="Times New Roman" w:cs="Times New Roman"/>
          <w:i/>
          <w:iCs/>
        </w:rPr>
        <w:t>Journal of Epidemiology and Global Health, 13</w:t>
      </w:r>
      <w:r w:rsidRPr="00B847F7">
        <w:rPr>
          <w:rFonts w:ascii="Times New Roman" w:hAnsi="Times New Roman" w:cs="Times New Roman"/>
        </w:rPr>
        <w:t>(1), 1-10.</w:t>
      </w:r>
    </w:p>
    <w:p w14:paraId="231E836E"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O'Neill, J. (2016). </w:t>
      </w:r>
      <w:r w:rsidRPr="00B847F7">
        <w:rPr>
          <w:rFonts w:ascii="Times New Roman" w:hAnsi="Times New Roman" w:cs="Times New Roman"/>
          <w:i/>
          <w:iCs/>
        </w:rPr>
        <w:t>Tackling drug-resistant infections globally: final report and recommendations</w:t>
      </w:r>
      <w:r w:rsidRPr="00B847F7">
        <w:rPr>
          <w:rFonts w:ascii="Times New Roman" w:hAnsi="Times New Roman" w:cs="Times New Roman"/>
        </w:rPr>
        <w:t>. The Review on Antimicrobial Resistance.</w:t>
      </w:r>
    </w:p>
    <w:p w14:paraId="64A4E9F3"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Onipede, A. O., &amp; </w:t>
      </w:r>
      <w:proofErr w:type="spellStart"/>
      <w:r w:rsidRPr="00B847F7">
        <w:rPr>
          <w:rFonts w:ascii="Times New Roman" w:hAnsi="Times New Roman" w:cs="Times New Roman"/>
        </w:rPr>
        <w:t>Adefioye</w:t>
      </w:r>
      <w:proofErr w:type="spellEnd"/>
      <w:r w:rsidRPr="00B847F7">
        <w:rPr>
          <w:rFonts w:ascii="Times New Roman" w:hAnsi="Times New Roman" w:cs="Times New Roman"/>
        </w:rPr>
        <w:t>, O. J. (2021). Molecular characterization of carbapenem-resistant </w:t>
      </w:r>
      <w:r w:rsidRPr="00B847F7">
        <w:rPr>
          <w:rFonts w:ascii="Times New Roman" w:hAnsi="Times New Roman" w:cs="Times New Roman"/>
          <w:i/>
          <w:iCs/>
        </w:rPr>
        <w:t>Acinetobacter baumannii</w:t>
      </w:r>
      <w:r w:rsidRPr="00B847F7">
        <w:rPr>
          <w:rFonts w:ascii="Times New Roman" w:hAnsi="Times New Roman" w:cs="Times New Roman"/>
        </w:rPr>
        <w:t> from clinical isolates in a tertiary hospital in South-West Nigeria. </w:t>
      </w:r>
      <w:r w:rsidRPr="00B847F7">
        <w:rPr>
          <w:rFonts w:ascii="Times New Roman" w:hAnsi="Times New Roman" w:cs="Times New Roman"/>
          <w:i/>
          <w:iCs/>
        </w:rPr>
        <w:t>West African Journal of Medicine, 38</w:t>
      </w:r>
      <w:r w:rsidRPr="00B847F7">
        <w:rPr>
          <w:rFonts w:ascii="Times New Roman" w:hAnsi="Times New Roman" w:cs="Times New Roman"/>
        </w:rPr>
        <w:t>(8), 747–754.</w:t>
      </w:r>
    </w:p>
    <w:p w14:paraId="25B00B10"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lastRenderedPageBreak/>
        <w:t>Roca, I., Espinal, P., Vila-</w:t>
      </w:r>
      <w:proofErr w:type="spellStart"/>
      <w:r w:rsidRPr="00B847F7">
        <w:rPr>
          <w:rFonts w:ascii="Times New Roman" w:hAnsi="Times New Roman" w:cs="Times New Roman"/>
        </w:rPr>
        <w:t>Farrés</w:t>
      </w:r>
      <w:proofErr w:type="spellEnd"/>
      <w:r w:rsidRPr="00B847F7">
        <w:rPr>
          <w:rFonts w:ascii="Times New Roman" w:hAnsi="Times New Roman" w:cs="Times New Roman"/>
        </w:rPr>
        <w:t>, X., &amp; Vila, J. (2012). The </w:t>
      </w:r>
      <w:r w:rsidRPr="00B847F7">
        <w:rPr>
          <w:rFonts w:ascii="Times New Roman" w:hAnsi="Times New Roman" w:cs="Times New Roman"/>
          <w:i/>
          <w:iCs/>
        </w:rPr>
        <w:t>Acinetobacter baumannii</w:t>
      </w:r>
      <w:r w:rsidRPr="00B847F7">
        <w:rPr>
          <w:rFonts w:ascii="Times New Roman" w:hAnsi="Times New Roman" w:cs="Times New Roman"/>
        </w:rPr>
        <w:t> oxymoron: commensal hospital dweller turned pan-drug-resistant menace. </w:t>
      </w:r>
      <w:r w:rsidRPr="00B847F7">
        <w:rPr>
          <w:rFonts w:ascii="Times New Roman" w:hAnsi="Times New Roman" w:cs="Times New Roman"/>
          <w:i/>
          <w:iCs/>
        </w:rPr>
        <w:t>Frontiers in Microbiology, 3</w:t>
      </w:r>
      <w:r w:rsidRPr="00B847F7">
        <w:rPr>
          <w:rFonts w:ascii="Times New Roman" w:hAnsi="Times New Roman" w:cs="Times New Roman"/>
        </w:rPr>
        <w:t>, 148.</w:t>
      </w:r>
    </w:p>
    <w:p w14:paraId="6DA51AFC"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Salawu, M. M., et al. (2024). Detection of carbapenem-resistant </w:t>
      </w:r>
      <w:r w:rsidRPr="00B847F7">
        <w:rPr>
          <w:rFonts w:ascii="Times New Roman" w:hAnsi="Times New Roman" w:cs="Times New Roman"/>
          <w:i/>
          <w:iCs/>
        </w:rPr>
        <w:t>Acinetobacter</w:t>
      </w:r>
      <w:r w:rsidRPr="00B847F7">
        <w:rPr>
          <w:rFonts w:ascii="Times New Roman" w:hAnsi="Times New Roman" w:cs="Times New Roman"/>
        </w:rPr>
        <w:t> in irrigation water and agricultural soil in Northwest Nigeria. </w:t>
      </w:r>
      <w:r w:rsidRPr="00B847F7">
        <w:rPr>
          <w:rFonts w:ascii="Times New Roman" w:hAnsi="Times New Roman" w:cs="Times New Roman"/>
          <w:i/>
          <w:iCs/>
        </w:rPr>
        <w:t>Science of The Total Environment, 907</w:t>
      </w:r>
      <w:r w:rsidRPr="00B847F7">
        <w:rPr>
          <w:rFonts w:ascii="Times New Roman" w:hAnsi="Times New Roman" w:cs="Times New Roman"/>
        </w:rPr>
        <w:t>, 167890.</w:t>
      </w:r>
    </w:p>
    <w:p w14:paraId="72091BE5"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Sule, A. M., et al. (2023). Emerging role of </w:t>
      </w:r>
      <w:r w:rsidRPr="00B847F7">
        <w:rPr>
          <w:rFonts w:ascii="Times New Roman" w:hAnsi="Times New Roman" w:cs="Times New Roman"/>
          <w:i/>
          <w:iCs/>
        </w:rPr>
        <w:t>Acinetobacter</w:t>
      </w:r>
      <w:r w:rsidRPr="00B847F7">
        <w:rPr>
          <w:rFonts w:ascii="Times New Roman" w:hAnsi="Times New Roman" w:cs="Times New Roman"/>
        </w:rPr>
        <w:t> species in community-acquired urinary tract infections in Ilorin, Nigeria. </w:t>
      </w:r>
      <w:r w:rsidRPr="00B847F7">
        <w:rPr>
          <w:rFonts w:ascii="Times New Roman" w:hAnsi="Times New Roman" w:cs="Times New Roman"/>
          <w:i/>
          <w:iCs/>
        </w:rPr>
        <w:t>Journal of Infection and Public Health, 16</w:t>
      </w:r>
      <w:r w:rsidRPr="00B847F7">
        <w:rPr>
          <w:rFonts w:ascii="Times New Roman" w:hAnsi="Times New Roman" w:cs="Times New Roman"/>
        </w:rPr>
        <w:t>(4), 512-518.</w:t>
      </w:r>
    </w:p>
    <w:p w14:paraId="62802530"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Vázquez-López, R., Solano-Gálvez, S. G., Juárez Vignon-Whaley, J. J., et al. (2020). </w:t>
      </w:r>
      <w:r w:rsidRPr="00B847F7">
        <w:rPr>
          <w:rFonts w:ascii="Times New Roman" w:hAnsi="Times New Roman" w:cs="Times New Roman"/>
          <w:i/>
          <w:iCs/>
        </w:rPr>
        <w:t>Acinetobacter baumannii</w:t>
      </w:r>
      <w:r w:rsidRPr="00B847F7">
        <w:rPr>
          <w:rFonts w:ascii="Times New Roman" w:hAnsi="Times New Roman" w:cs="Times New Roman"/>
        </w:rPr>
        <w:t> resistance: a real challenge for clinicians. </w:t>
      </w:r>
      <w:r w:rsidRPr="00B847F7">
        <w:rPr>
          <w:rFonts w:ascii="Times New Roman" w:hAnsi="Times New Roman" w:cs="Times New Roman"/>
          <w:i/>
          <w:iCs/>
        </w:rPr>
        <w:t>Antibiotics, 9</w:t>
      </w:r>
      <w:r w:rsidRPr="00B847F7">
        <w:rPr>
          <w:rFonts w:ascii="Times New Roman" w:hAnsi="Times New Roman" w:cs="Times New Roman"/>
        </w:rPr>
        <w:t>(4), 205.</w:t>
      </w:r>
    </w:p>
    <w:p w14:paraId="691F8C29"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World Health Organization (WHO). (2017). </w:t>
      </w:r>
      <w:r w:rsidRPr="00B847F7">
        <w:rPr>
          <w:rFonts w:ascii="Times New Roman" w:hAnsi="Times New Roman" w:cs="Times New Roman"/>
          <w:i/>
          <w:iCs/>
        </w:rPr>
        <w:t>Global priority list of antibiotic-resistant bacteria to guide research, discovery, and development of new antibiotics</w:t>
      </w:r>
      <w:r w:rsidRPr="00B847F7">
        <w:rPr>
          <w:rFonts w:ascii="Times New Roman" w:hAnsi="Times New Roman" w:cs="Times New Roman"/>
        </w:rPr>
        <w:t>. WHO.</w:t>
      </w:r>
    </w:p>
    <w:p w14:paraId="22039FB4" w14:textId="77777777" w:rsidR="008B51DF" w:rsidRPr="00B847F7" w:rsidRDefault="008B51DF" w:rsidP="001A6B3A">
      <w:pPr>
        <w:jc w:val="both"/>
        <w:rPr>
          <w:rFonts w:ascii="Times New Roman" w:hAnsi="Times New Roman" w:cs="Times New Roman"/>
        </w:rPr>
      </w:pPr>
    </w:p>
    <w:sectPr w:rsidR="008B51DF" w:rsidRPr="00B847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7AFB" w14:textId="77777777" w:rsidR="008C1EEC" w:rsidRDefault="008C1EEC" w:rsidP="00E13348">
      <w:pPr>
        <w:spacing w:after="0" w:line="240" w:lineRule="auto"/>
      </w:pPr>
      <w:r>
        <w:separator/>
      </w:r>
    </w:p>
  </w:endnote>
  <w:endnote w:type="continuationSeparator" w:id="0">
    <w:p w14:paraId="75044DDD" w14:textId="77777777" w:rsidR="008C1EEC" w:rsidRDefault="008C1EEC" w:rsidP="00E1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833" w14:textId="77777777" w:rsidR="004E6306" w:rsidRDefault="004E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55715"/>
      <w:docPartObj>
        <w:docPartGallery w:val="Page Numbers (Bottom of Page)"/>
        <w:docPartUnique/>
      </w:docPartObj>
    </w:sdtPr>
    <w:sdtEndPr>
      <w:rPr>
        <w:noProof/>
      </w:rPr>
    </w:sdtEndPr>
    <w:sdtContent>
      <w:p w14:paraId="2A6AC258" w14:textId="6C972B5E" w:rsidR="00E13348" w:rsidRDefault="00E13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0A8CE" w14:textId="77777777" w:rsidR="00E13348" w:rsidRDefault="00E1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600" w14:textId="77777777" w:rsidR="004E6306" w:rsidRDefault="004E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20F14" w14:textId="77777777" w:rsidR="008C1EEC" w:rsidRDefault="008C1EEC" w:rsidP="00E13348">
      <w:pPr>
        <w:spacing w:after="0" w:line="240" w:lineRule="auto"/>
      </w:pPr>
      <w:r>
        <w:separator/>
      </w:r>
    </w:p>
  </w:footnote>
  <w:footnote w:type="continuationSeparator" w:id="0">
    <w:p w14:paraId="1DFDA74E" w14:textId="77777777" w:rsidR="008C1EEC" w:rsidRDefault="008C1EEC" w:rsidP="00E1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BD7" w14:textId="67F5BEE6" w:rsidR="004E6306" w:rsidRDefault="004E6306">
    <w:pPr>
      <w:pStyle w:val="Header"/>
    </w:pPr>
    <w:r>
      <w:rPr>
        <w:noProof/>
      </w:rPr>
      <w:pict w14:anchorId="6E0C4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5674" w14:textId="5637F13C" w:rsidR="004E6306" w:rsidRDefault="004E6306">
    <w:pPr>
      <w:pStyle w:val="Header"/>
    </w:pPr>
    <w:r>
      <w:rPr>
        <w:noProof/>
      </w:rPr>
      <w:pict w14:anchorId="4AF93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E4E0" w14:textId="5005555F" w:rsidR="004E6306" w:rsidRDefault="004E6306">
    <w:pPr>
      <w:pStyle w:val="Header"/>
    </w:pPr>
    <w:r>
      <w:rPr>
        <w:noProof/>
      </w:rPr>
      <w:pict w14:anchorId="2C72E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495"/>
    <w:multiLevelType w:val="multilevel"/>
    <w:tmpl w:val="7DC43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435A"/>
    <w:multiLevelType w:val="multilevel"/>
    <w:tmpl w:val="29E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25AB"/>
    <w:multiLevelType w:val="multilevel"/>
    <w:tmpl w:val="B36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C7194"/>
    <w:multiLevelType w:val="multilevel"/>
    <w:tmpl w:val="1DF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83110"/>
    <w:multiLevelType w:val="hybridMultilevel"/>
    <w:tmpl w:val="CEA63BB2"/>
    <w:lvl w:ilvl="0" w:tplc="EF2051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8D50E7"/>
    <w:multiLevelType w:val="multilevel"/>
    <w:tmpl w:val="01CA0F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D049D"/>
    <w:multiLevelType w:val="multilevel"/>
    <w:tmpl w:val="5E0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654F7"/>
    <w:multiLevelType w:val="multilevel"/>
    <w:tmpl w:val="B81A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F12D15"/>
    <w:multiLevelType w:val="multilevel"/>
    <w:tmpl w:val="75F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D77BBE"/>
    <w:multiLevelType w:val="multilevel"/>
    <w:tmpl w:val="10527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83030"/>
    <w:multiLevelType w:val="multilevel"/>
    <w:tmpl w:val="D30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10"/>
  </w:num>
  <w:num w:numId="5">
    <w:abstractNumId w:val="9"/>
  </w:num>
  <w:num w:numId="6">
    <w:abstractNumId w:val="7"/>
  </w:num>
  <w:num w:numId="7">
    <w:abstractNumId w:val="6"/>
  </w:num>
  <w:num w:numId="8">
    <w:abstractNumId w:val="2"/>
  </w:num>
  <w:num w:numId="9">
    <w:abstractNumId w:val="0"/>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A8"/>
    <w:rsid w:val="00034D8C"/>
    <w:rsid w:val="00051514"/>
    <w:rsid w:val="000F4688"/>
    <w:rsid w:val="00104C4C"/>
    <w:rsid w:val="001A6B3A"/>
    <w:rsid w:val="001B3E63"/>
    <w:rsid w:val="00233DFA"/>
    <w:rsid w:val="002D4955"/>
    <w:rsid w:val="00356C67"/>
    <w:rsid w:val="003C33B4"/>
    <w:rsid w:val="004116B8"/>
    <w:rsid w:val="004E6306"/>
    <w:rsid w:val="005109F4"/>
    <w:rsid w:val="00533EC0"/>
    <w:rsid w:val="005C039A"/>
    <w:rsid w:val="00724080"/>
    <w:rsid w:val="0073552B"/>
    <w:rsid w:val="007450AA"/>
    <w:rsid w:val="00790AC4"/>
    <w:rsid w:val="00795CD8"/>
    <w:rsid w:val="008458D4"/>
    <w:rsid w:val="00857BBD"/>
    <w:rsid w:val="00882D14"/>
    <w:rsid w:val="008B51DF"/>
    <w:rsid w:val="008C1EEC"/>
    <w:rsid w:val="008E18F4"/>
    <w:rsid w:val="0091127E"/>
    <w:rsid w:val="009A2014"/>
    <w:rsid w:val="009C070F"/>
    <w:rsid w:val="009C1BA8"/>
    <w:rsid w:val="00A62153"/>
    <w:rsid w:val="00AC507F"/>
    <w:rsid w:val="00B847F7"/>
    <w:rsid w:val="00C66559"/>
    <w:rsid w:val="00CF4BE6"/>
    <w:rsid w:val="00D250F7"/>
    <w:rsid w:val="00D472F2"/>
    <w:rsid w:val="00D47A55"/>
    <w:rsid w:val="00D82824"/>
    <w:rsid w:val="00DA232E"/>
    <w:rsid w:val="00E1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93876"/>
  <w15:chartTrackingRefBased/>
  <w15:docId w15:val="{3BD6E2BE-43F3-4AC2-8DD9-6C7AEE12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A8"/>
    <w:rPr>
      <w:rFonts w:eastAsiaTheme="majorEastAsia" w:cstheme="majorBidi"/>
      <w:color w:val="272727" w:themeColor="text1" w:themeTint="D8"/>
    </w:rPr>
  </w:style>
  <w:style w:type="paragraph" w:styleId="Title">
    <w:name w:val="Title"/>
    <w:basedOn w:val="Normal"/>
    <w:next w:val="Normal"/>
    <w:link w:val="TitleChar"/>
    <w:uiPriority w:val="10"/>
    <w:qFormat/>
    <w:rsid w:val="009C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A8"/>
    <w:pPr>
      <w:spacing w:before="160"/>
      <w:jc w:val="center"/>
    </w:pPr>
    <w:rPr>
      <w:i/>
      <w:iCs/>
      <w:color w:val="404040" w:themeColor="text1" w:themeTint="BF"/>
    </w:rPr>
  </w:style>
  <w:style w:type="character" w:customStyle="1" w:styleId="QuoteChar">
    <w:name w:val="Quote Char"/>
    <w:basedOn w:val="DefaultParagraphFont"/>
    <w:link w:val="Quote"/>
    <w:uiPriority w:val="29"/>
    <w:rsid w:val="009C1BA8"/>
    <w:rPr>
      <w:i/>
      <w:iCs/>
      <w:color w:val="404040" w:themeColor="text1" w:themeTint="BF"/>
    </w:rPr>
  </w:style>
  <w:style w:type="paragraph" w:styleId="ListParagraph">
    <w:name w:val="List Paragraph"/>
    <w:basedOn w:val="Normal"/>
    <w:uiPriority w:val="34"/>
    <w:qFormat/>
    <w:rsid w:val="009C1BA8"/>
    <w:pPr>
      <w:ind w:left="720"/>
      <w:contextualSpacing/>
    </w:pPr>
  </w:style>
  <w:style w:type="character" w:styleId="IntenseEmphasis">
    <w:name w:val="Intense Emphasis"/>
    <w:basedOn w:val="DefaultParagraphFont"/>
    <w:uiPriority w:val="21"/>
    <w:qFormat/>
    <w:rsid w:val="009C1BA8"/>
    <w:rPr>
      <w:i/>
      <w:iCs/>
      <w:color w:val="2F5496" w:themeColor="accent1" w:themeShade="BF"/>
    </w:rPr>
  </w:style>
  <w:style w:type="paragraph" w:styleId="IntenseQuote">
    <w:name w:val="Intense Quote"/>
    <w:basedOn w:val="Normal"/>
    <w:next w:val="Normal"/>
    <w:link w:val="IntenseQuoteChar"/>
    <w:uiPriority w:val="30"/>
    <w:qFormat/>
    <w:rsid w:val="009C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BA8"/>
    <w:rPr>
      <w:i/>
      <w:iCs/>
      <w:color w:val="2F5496" w:themeColor="accent1" w:themeShade="BF"/>
    </w:rPr>
  </w:style>
  <w:style w:type="character" w:styleId="IntenseReference">
    <w:name w:val="Intense Reference"/>
    <w:basedOn w:val="DefaultParagraphFont"/>
    <w:uiPriority w:val="32"/>
    <w:qFormat/>
    <w:rsid w:val="009C1BA8"/>
    <w:rPr>
      <w:b/>
      <w:bCs/>
      <w:smallCaps/>
      <w:color w:val="2F5496" w:themeColor="accent1" w:themeShade="BF"/>
      <w:spacing w:val="5"/>
    </w:rPr>
  </w:style>
  <w:style w:type="table" w:styleId="TableGrid">
    <w:name w:val="Table Grid"/>
    <w:basedOn w:val="TableNormal"/>
    <w:uiPriority w:val="39"/>
    <w:rsid w:val="00D4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847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847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13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48"/>
  </w:style>
  <w:style w:type="paragraph" w:styleId="Footer">
    <w:name w:val="footer"/>
    <w:basedOn w:val="Normal"/>
    <w:link w:val="FooterChar"/>
    <w:uiPriority w:val="99"/>
    <w:unhideWhenUsed/>
    <w:rsid w:val="00E1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48"/>
  </w:style>
  <w:style w:type="paragraph" w:styleId="NormalWeb">
    <w:name w:val="Normal (Web)"/>
    <w:basedOn w:val="Normal"/>
    <w:uiPriority w:val="99"/>
    <w:semiHidden/>
    <w:unhideWhenUsed/>
    <w:rsid w:val="0073552B"/>
    <w:pPr>
      <w:spacing w:before="100" w:beforeAutospacing="1" w:after="100" w:afterAutospacing="1" w:line="240" w:lineRule="auto"/>
    </w:pPr>
    <w:rPr>
      <w:rFonts w:ascii="Times New Roman" w:eastAsia="Times New Roman" w:hAnsi="Times New Roman" w:cs="Times New Roman"/>
      <w:kern w:val="0"/>
      <w14:ligatures w14:val="none"/>
    </w:rPr>
  </w:style>
  <w:style w:type="table" w:styleId="ListTable2">
    <w:name w:val="List Table 2"/>
    <w:basedOn w:val="TableNormal"/>
    <w:uiPriority w:val="47"/>
    <w:rsid w:val="00533EC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116B8"/>
    <w:rPr>
      <w:color w:val="0563C1" w:themeColor="hyperlink"/>
      <w:u w:val="single"/>
    </w:rPr>
  </w:style>
  <w:style w:type="character" w:styleId="UnresolvedMention">
    <w:name w:val="Unresolved Mention"/>
    <w:basedOn w:val="DefaultParagraphFont"/>
    <w:uiPriority w:val="99"/>
    <w:semiHidden/>
    <w:unhideWhenUsed/>
    <w:rsid w:val="0041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3430">
      <w:bodyDiv w:val="1"/>
      <w:marLeft w:val="0"/>
      <w:marRight w:val="0"/>
      <w:marTop w:val="0"/>
      <w:marBottom w:val="0"/>
      <w:divBdr>
        <w:top w:val="none" w:sz="0" w:space="0" w:color="auto"/>
        <w:left w:val="none" w:sz="0" w:space="0" w:color="auto"/>
        <w:bottom w:val="none" w:sz="0" w:space="0" w:color="auto"/>
        <w:right w:val="none" w:sz="0" w:space="0" w:color="auto"/>
      </w:divBdr>
    </w:div>
    <w:div w:id="804547782">
      <w:bodyDiv w:val="1"/>
      <w:marLeft w:val="0"/>
      <w:marRight w:val="0"/>
      <w:marTop w:val="0"/>
      <w:marBottom w:val="0"/>
      <w:divBdr>
        <w:top w:val="none" w:sz="0" w:space="0" w:color="auto"/>
        <w:left w:val="none" w:sz="0" w:space="0" w:color="auto"/>
        <w:bottom w:val="none" w:sz="0" w:space="0" w:color="auto"/>
        <w:right w:val="none" w:sz="0" w:space="0" w:color="auto"/>
      </w:divBdr>
    </w:div>
    <w:div w:id="1004473554">
      <w:bodyDiv w:val="1"/>
      <w:marLeft w:val="0"/>
      <w:marRight w:val="0"/>
      <w:marTop w:val="0"/>
      <w:marBottom w:val="0"/>
      <w:divBdr>
        <w:top w:val="none" w:sz="0" w:space="0" w:color="auto"/>
        <w:left w:val="none" w:sz="0" w:space="0" w:color="auto"/>
        <w:bottom w:val="none" w:sz="0" w:space="0" w:color="auto"/>
        <w:right w:val="none" w:sz="0" w:space="0" w:color="auto"/>
      </w:divBdr>
    </w:div>
    <w:div w:id="1033188267">
      <w:bodyDiv w:val="1"/>
      <w:marLeft w:val="0"/>
      <w:marRight w:val="0"/>
      <w:marTop w:val="0"/>
      <w:marBottom w:val="0"/>
      <w:divBdr>
        <w:top w:val="none" w:sz="0" w:space="0" w:color="auto"/>
        <w:left w:val="none" w:sz="0" w:space="0" w:color="auto"/>
        <w:bottom w:val="none" w:sz="0" w:space="0" w:color="auto"/>
        <w:right w:val="none" w:sz="0" w:space="0" w:color="auto"/>
      </w:divBdr>
      <w:divsChild>
        <w:div w:id="1086879630">
          <w:marLeft w:val="0"/>
          <w:marRight w:val="0"/>
          <w:marTop w:val="0"/>
          <w:marBottom w:val="0"/>
          <w:divBdr>
            <w:top w:val="none" w:sz="0" w:space="0" w:color="auto"/>
            <w:left w:val="none" w:sz="0" w:space="0" w:color="auto"/>
            <w:bottom w:val="none" w:sz="0" w:space="0" w:color="auto"/>
            <w:right w:val="none" w:sz="0" w:space="0" w:color="auto"/>
          </w:divBdr>
          <w:divsChild>
            <w:div w:id="984548904">
              <w:marLeft w:val="0"/>
              <w:marRight w:val="0"/>
              <w:marTop w:val="0"/>
              <w:marBottom w:val="0"/>
              <w:divBdr>
                <w:top w:val="none" w:sz="0" w:space="0" w:color="auto"/>
                <w:left w:val="none" w:sz="0" w:space="0" w:color="auto"/>
                <w:bottom w:val="none" w:sz="0" w:space="0" w:color="auto"/>
                <w:right w:val="none" w:sz="0" w:space="0" w:color="auto"/>
              </w:divBdr>
              <w:divsChild>
                <w:div w:id="766921618">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1152677486">
                          <w:marLeft w:val="0"/>
                          <w:marRight w:val="0"/>
                          <w:marTop w:val="0"/>
                          <w:marBottom w:val="0"/>
                          <w:divBdr>
                            <w:top w:val="none" w:sz="0" w:space="0" w:color="auto"/>
                            <w:left w:val="none" w:sz="0" w:space="0" w:color="auto"/>
                            <w:bottom w:val="none" w:sz="0" w:space="0" w:color="auto"/>
                            <w:right w:val="none" w:sz="0" w:space="0" w:color="auto"/>
                          </w:divBdr>
                          <w:divsChild>
                            <w:div w:id="440225779">
                              <w:marLeft w:val="0"/>
                              <w:marRight w:val="0"/>
                              <w:marTop w:val="0"/>
                              <w:marBottom w:val="0"/>
                              <w:divBdr>
                                <w:top w:val="none" w:sz="0" w:space="0" w:color="auto"/>
                                <w:left w:val="none" w:sz="0" w:space="0" w:color="auto"/>
                                <w:bottom w:val="none" w:sz="0" w:space="0" w:color="auto"/>
                                <w:right w:val="none" w:sz="0" w:space="0" w:color="auto"/>
                              </w:divBdr>
                              <w:divsChild>
                                <w:div w:id="912854251">
                                  <w:marLeft w:val="0"/>
                                  <w:marRight w:val="0"/>
                                  <w:marTop w:val="0"/>
                                  <w:marBottom w:val="0"/>
                                  <w:divBdr>
                                    <w:top w:val="none" w:sz="0" w:space="0" w:color="auto"/>
                                    <w:left w:val="none" w:sz="0" w:space="0" w:color="auto"/>
                                    <w:bottom w:val="none" w:sz="0" w:space="0" w:color="auto"/>
                                    <w:right w:val="none" w:sz="0" w:space="0" w:color="auto"/>
                                  </w:divBdr>
                                  <w:divsChild>
                                    <w:div w:id="87434751">
                                      <w:marLeft w:val="0"/>
                                      <w:marRight w:val="0"/>
                                      <w:marTop w:val="0"/>
                                      <w:marBottom w:val="0"/>
                                      <w:divBdr>
                                        <w:top w:val="none" w:sz="0" w:space="0" w:color="auto"/>
                                        <w:left w:val="none" w:sz="0" w:space="0" w:color="auto"/>
                                        <w:bottom w:val="none" w:sz="0" w:space="0" w:color="auto"/>
                                        <w:right w:val="none" w:sz="0" w:space="0" w:color="auto"/>
                                      </w:divBdr>
                                      <w:divsChild>
                                        <w:div w:id="919558457">
                                          <w:marLeft w:val="0"/>
                                          <w:marRight w:val="0"/>
                                          <w:marTop w:val="100"/>
                                          <w:marBottom w:val="100"/>
                                          <w:divBdr>
                                            <w:top w:val="none" w:sz="0" w:space="0" w:color="auto"/>
                                            <w:left w:val="none" w:sz="0" w:space="0" w:color="auto"/>
                                            <w:bottom w:val="none" w:sz="0" w:space="0" w:color="auto"/>
                                            <w:right w:val="none" w:sz="0" w:space="0" w:color="auto"/>
                                          </w:divBdr>
                                          <w:divsChild>
                                            <w:div w:id="361126162">
                                              <w:marLeft w:val="660"/>
                                              <w:marRight w:val="660"/>
                                              <w:marTop w:val="0"/>
                                              <w:marBottom w:val="360"/>
                                              <w:divBdr>
                                                <w:top w:val="none" w:sz="0" w:space="0" w:color="auto"/>
                                                <w:left w:val="none" w:sz="0" w:space="0" w:color="auto"/>
                                                <w:bottom w:val="none" w:sz="0" w:space="0" w:color="auto"/>
                                                <w:right w:val="none" w:sz="0" w:space="0" w:color="auto"/>
                                              </w:divBdr>
                                              <w:divsChild>
                                                <w:div w:id="323124350">
                                                  <w:marLeft w:val="0"/>
                                                  <w:marRight w:val="0"/>
                                                  <w:marTop w:val="0"/>
                                                  <w:marBottom w:val="0"/>
                                                  <w:divBdr>
                                                    <w:top w:val="none" w:sz="0" w:space="0" w:color="auto"/>
                                                    <w:left w:val="none" w:sz="0" w:space="0" w:color="auto"/>
                                                    <w:bottom w:val="none" w:sz="0" w:space="0" w:color="auto"/>
                                                    <w:right w:val="none" w:sz="0" w:space="0" w:color="auto"/>
                                                  </w:divBdr>
                                                  <w:divsChild>
                                                    <w:div w:id="553780161">
                                                      <w:marLeft w:val="0"/>
                                                      <w:marRight w:val="0"/>
                                                      <w:marTop w:val="0"/>
                                                      <w:marBottom w:val="0"/>
                                                      <w:divBdr>
                                                        <w:top w:val="none" w:sz="0" w:space="0" w:color="auto"/>
                                                        <w:left w:val="none" w:sz="0" w:space="0" w:color="auto"/>
                                                        <w:bottom w:val="none" w:sz="0" w:space="0" w:color="auto"/>
                                                        <w:right w:val="none" w:sz="0" w:space="0" w:color="auto"/>
                                                      </w:divBdr>
                                                      <w:divsChild>
                                                        <w:div w:id="2008944258">
                                                          <w:marLeft w:val="0"/>
                                                          <w:marRight w:val="0"/>
                                                          <w:marTop w:val="0"/>
                                                          <w:marBottom w:val="0"/>
                                                          <w:divBdr>
                                                            <w:top w:val="none" w:sz="0" w:space="0" w:color="auto"/>
                                                            <w:left w:val="none" w:sz="0" w:space="0" w:color="auto"/>
                                                            <w:bottom w:val="none" w:sz="0" w:space="0" w:color="auto"/>
                                                            <w:right w:val="none" w:sz="0" w:space="0" w:color="auto"/>
                                                          </w:divBdr>
                                                          <w:divsChild>
                                                            <w:div w:id="1479305830">
                                                              <w:marLeft w:val="0"/>
                                                              <w:marRight w:val="0"/>
                                                              <w:marTop w:val="0"/>
                                                              <w:marBottom w:val="0"/>
                                                              <w:divBdr>
                                                                <w:top w:val="none" w:sz="0" w:space="0" w:color="auto"/>
                                                                <w:left w:val="none" w:sz="0" w:space="0" w:color="auto"/>
                                                                <w:bottom w:val="none" w:sz="0" w:space="0" w:color="auto"/>
                                                                <w:right w:val="none" w:sz="0" w:space="0" w:color="auto"/>
                                                              </w:divBdr>
                                                            </w:div>
                                                            <w:div w:id="20094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641477">
      <w:bodyDiv w:val="1"/>
      <w:marLeft w:val="0"/>
      <w:marRight w:val="0"/>
      <w:marTop w:val="0"/>
      <w:marBottom w:val="0"/>
      <w:divBdr>
        <w:top w:val="none" w:sz="0" w:space="0" w:color="auto"/>
        <w:left w:val="none" w:sz="0" w:space="0" w:color="auto"/>
        <w:bottom w:val="none" w:sz="0" w:space="0" w:color="auto"/>
        <w:right w:val="none" w:sz="0" w:space="0" w:color="auto"/>
      </w:divBdr>
      <w:divsChild>
        <w:div w:id="1477529150">
          <w:marLeft w:val="0"/>
          <w:marRight w:val="0"/>
          <w:marTop w:val="0"/>
          <w:marBottom w:val="0"/>
          <w:divBdr>
            <w:top w:val="none" w:sz="0" w:space="0" w:color="auto"/>
            <w:left w:val="none" w:sz="0" w:space="0" w:color="auto"/>
            <w:bottom w:val="none" w:sz="0" w:space="0" w:color="auto"/>
            <w:right w:val="none" w:sz="0" w:space="0" w:color="auto"/>
          </w:divBdr>
          <w:divsChild>
            <w:div w:id="1680427369">
              <w:marLeft w:val="0"/>
              <w:marRight w:val="0"/>
              <w:marTop w:val="0"/>
              <w:marBottom w:val="0"/>
              <w:divBdr>
                <w:top w:val="none" w:sz="0" w:space="0" w:color="auto"/>
                <w:left w:val="none" w:sz="0" w:space="0" w:color="auto"/>
                <w:bottom w:val="none" w:sz="0" w:space="0" w:color="auto"/>
                <w:right w:val="none" w:sz="0" w:space="0" w:color="auto"/>
              </w:divBdr>
              <w:divsChild>
                <w:div w:id="81342607">
                  <w:marLeft w:val="0"/>
                  <w:marRight w:val="0"/>
                  <w:marTop w:val="0"/>
                  <w:marBottom w:val="0"/>
                  <w:divBdr>
                    <w:top w:val="none" w:sz="0" w:space="0" w:color="auto"/>
                    <w:left w:val="none" w:sz="0" w:space="0" w:color="auto"/>
                    <w:bottom w:val="none" w:sz="0" w:space="0" w:color="auto"/>
                    <w:right w:val="none" w:sz="0" w:space="0" w:color="auto"/>
                  </w:divBdr>
                  <w:divsChild>
                    <w:div w:id="1873419856">
                      <w:marLeft w:val="0"/>
                      <w:marRight w:val="0"/>
                      <w:marTop w:val="0"/>
                      <w:marBottom w:val="0"/>
                      <w:divBdr>
                        <w:top w:val="none" w:sz="0" w:space="0" w:color="auto"/>
                        <w:left w:val="none" w:sz="0" w:space="0" w:color="auto"/>
                        <w:bottom w:val="none" w:sz="0" w:space="0" w:color="auto"/>
                        <w:right w:val="none" w:sz="0" w:space="0" w:color="auto"/>
                      </w:divBdr>
                      <w:divsChild>
                        <w:div w:id="180629794">
                          <w:marLeft w:val="0"/>
                          <w:marRight w:val="0"/>
                          <w:marTop w:val="0"/>
                          <w:marBottom w:val="0"/>
                          <w:divBdr>
                            <w:top w:val="none" w:sz="0" w:space="0" w:color="auto"/>
                            <w:left w:val="none" w:sz="0" w:space="0" w:color="auto"/>
                            <w:bottom w:val="none" w:sz="0" w:space="0" w:color="auto"/>
                            <w:right w:val="none" w:sz="0" w:space="0" w:color="auto"/>
                          </w:divBdr>
                          <w:divsChild>
                            <w:div w:id="1056395777">
                              <w:marLeft w:val="0"/>
                              <w:marRight w:val="0"/>
                              <w:marTop w:val="0"/>
                              <w:marBottom w:val="0"/>
                              <w:divBdr>
                                <w:top w:val="none" w:sz="0" w:space="0" w:color="auto"/>
                                <w:left w:val="none" w:sz="0" w:space="0" w:color="auto"/>
                                <w:bottom w:val="none" w:sz="0" w:space="0" w:color="auto"/>
                                <w:right w:val="none" w:sz="0" w:space="0" w:color="auto"/>
                              </w:divBdr>
                              <w:divsChild>
                                <w:div w:id="904415188">
                                  <w:marLeft w:val="0"/>
                                  <w:marRight w:val="0"/>
                                  <w:marTop w:val="0"/>
                                  <w:marBottom w:val="0"/>
                                  <w:divBdr>
                                    <w:top w:val="none" w:sz="0" w:space="0" w:color="auto"/>
                                    <w:left w:val="none" w:sz="0" w:space="0" w:color="auto"/>
                                    <w:bottom w:val="none" w:sz="0" w:space="0" w:color="auto"/>
                                    <w:right w:val="none" w:sz="0" w:space="0" w:color="auto"/>
                                  </w:divBdr>
                                  <w:divsChild>
                                    <w:div w:id="1775006983">
                                      <w:marLeft w:val="0"/>
                                      <w:marRight w:val="0"/>
                                      <w:marTop w:val="0"/>
                                      <w:marBottom w:val="0"/>
                                      <w:divBdr>
                                        <w:top w:val="none" w:sz="0" w:space="0" w:color="auto"/>
                                        <w:left w:val="none" w:sz="0" w:space="0" w:color="auto"/>
                                        <w:bottom w:val="none" w:sz="0" w:space="0" w:color="auto"/>
                                        <w:right w:val="none" w:sz="0" w:space="0" w:color="auto"/>
                                      </w:divBdr>
                                      <w:divsChild>
                                        <w:div w:id="672730049">
                                          <w:marLeft w:val="0"/>
                                          <w:marRight w:val="0"/>
                                          <w:marTop w:val="100"/>
                                          <w:marBottom w:val="100"/>
                                          <w:divBdr>
                                            <w:top w:val="none" w:sz="0" w:space="0" w:color="auto"/>
                                            <w:left w:val="none" w:sz="0" w:space="0" w:color="auto"/>
                                            <w:bottom w:val="none" w:sz="0" w:space="0" w:color="auto"/>
                                            <w:right w:val="none" w:sz="0" w:space="0" w:color="auto"/>
                                          </w:divBdr>
                                          <w:divsChild>
                                            <w:div w:id="1371959458">
                                              <w:marLeft w:val="660"/>
                                              <w:marRight w:val="660"/>
                                              <w:marTop w:val="0"/>
                                              <w:marBottom w:val="360"/>
                                              <w:divBdr>
                                                <w:top w:val="none" w:sz="0" w:space="0" w:color="auto"/>
                                                <w:left w:val="none" w:sz="0" w:space="0" w:color="auto"/>
                                                <w:bottom w:val="none" w:sz="0" w:space="0" w:color="auto"/>
                                                <w:right w:val="none" w:sz="0" w:space="0" w:color="auto"/>
                                              </w:divBdr>
                                              <w:divsChild>
                                                <w:div w:id="237330654">
                                                  <w:marLeft w:val="0"/>
                                                  <w:marRight w:val="0"/>
                                                  <w:marTop w:val="0"/>
                                                  <w:marBottom w:val="0"/>
                                                  <w:divBdr>
                                                    <w:top w:val="none" w:sz="0" w:space="0" w:color="auto"/>
                                                    <w:left w:val="none" w:sz="0" w:space="0" w:color="auto"/>
                                                    <w:bottom w:val="none" w:sz="0" w:space="0" w:color="auto"/>
                                                    <w:right w:val="none" w:sz="0" w:space="0" w:color="auto"/>
                                                  </w:divBdr>
                                                  <w:divsChild>
                                                    <w:div w:id="1569074980">
                                                      <w:marLeft w:val="0"/>
                                                      <w:marRight w:val="0"/>
                                                      <w:marTop w:val="0"/>
                                                      <w:marBottom w:val="0"/>
                                                      <w:divBdr>
                                                        <w:top w:val="none" w:sz="0" w:space="0" w:color="auto"/>
                                                        <w:left w:val="none" w:sz="0" w:space="0" w:color="auto"/>
                                                        <w:bottom w:val="none" w:sz="0" w:space="0" w:color="auto"/>
                                                        <w:right w:val="none" w:sz="0" w:space="0" w:color="auto"/>
                                                      </w:divBdr>
                                                      <w:divsChild>
                                                        <w:div w:id="1104375645">
                                                          <w:marLeft w:val="0"/>
                                                          <w:marRight w:val="0"/>
                                                          <w:marTop w:val="0"/>
                                                          <w:marBottom w:val="0"/>
                                                          <w:divBdr>
                                                            <w:top w:val="none" w:sz="0" w:space="0" w:color="auto"/>
                                                            <w:left w:val="none" w:sz="0" w:space="0" w:color="auto"/>
                                                            <w:bottom w:val="none" w:sz="0" w:space="0" w:color="auto"/>
                                                            <w:right w:val="none" w:sz="0" w:space="0" w:color="auto"/>
                                                          </w:divBdr>
                                                          <w:divsChild>
                                                            <w:div w:id="2089887537">
                                                              <w:marLeft w:val="0"/>
                                                              <w:marRight w:val="0"/>
                                                              <w:marTop w:val="0"/>
                                                              <w:marBottom w:val="0"/>
                                                              <w:divBdr>
                                                                <w:top w:val="none" w:sz="0" w:space="0" w:color="auto"/>
                                                                <w:left w:val="none" w:sz="0" w:space="0" w:color="auto"/>
                                                                <w:bottom w:val="none" w:sz="0" w:space="0" w:color="auto"/>
                                                                <w:right w:val="none" w:sz="0" w:space="0" w:color="auto"/>
                                                              </w:divBdr>
                                                            </w:div>
                                                            <w:div w:id="8151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782982">
      <w:bodyDiv w:val="1"/>
      <w:marLeft w:val="0"/>
      <w:marRight w:val="0"/>
      <w:marTop w:val="0"/>
      <w:marBottom w:val="0"/>
      <w:divBdr>
        <w:top w:val="none" w:sz="0" w:space="0" w:color="auto"/>
        <w:left w:val="none" w:sz="0" w:space="0" w:color="auto"/>
        <w:bottom w:val="none" w:sz="0" w:space="0" w:color="auto"/>
        <w:right w:val="none" w:sz="0" w:space="0" w:color="auto"/>
      </w:divBdr>
    </w:div>
    <w:div w:id="1384712709">
      <w:bodyDiv w:val="1"/>
      <w:marLeft w:val="0"/>
      <w:marRight w:val="0"/>
      <w:marTop w:val="0"/>
      <w:marBottom w:val="0"/>
      <w:divBdr>
        <w:top w:val="none" w:sz="0" w:space="0" w:color="auto"/>
        <w:left w:val="none" w:sz="0" w:space="0" w:color="auto"/>
        <w:bottom w:val="none" w:sz="0" w:space="0" w:color="auto"/>
        <w:right w:val="none" w:sz="0" w:space="0" w:color="auto"/>
      </w:divBdr>
    </w:div>
    <w:div w:id="1519615050">
      <w:bodyDiv w:val="1"/>
      <w:marLeft w:val="0"/>
      <w:marRight w:val="0"/>
      <w:marTop w:val="0"/>
      <w:marBottom w:val="0"/>
      <w:divBdr>
        <w:top w:val="none" w:sz="0" w:space="0" w:color="auto"/>
        <w:left w:val="none" w:sz="0" w:space="0" w:color="auto"/>
        <w:bottom w:val="none" w:sz="0" w:space="0" w:color="auto"/>
        <w:right w:val="none" w:sz="0" w:space="0" w:color="auto"/>
      </w:divBdr>
      <w:divsChild>
        <w:div w:id="1604458210">
          <w:marLeft w:val="0"/>
          <w:marRight w:val="0"/>
          <w:marTop w:val="0"/>
          <w:marBottom w:val="0"/>
          <w:divBdr>
            <w:top w:val="none" w:sz="0" w:space="0" w:color="auto"/>
            <w:left w:val="none" w:sz="0" w:space="0" w:color="auto"/>
            <w:bottom w:val="none" w:sz="0" w:space="0" w:color="auto"/>
            <w:right w:val="none" w:sz="0" w:space="0" w:color="auto"/>
          </w:divBdr>
          <w:divsChild>
            <w:div w:id="1290551076">
              <w:marLeft w:val="0"/>
              <w:marRight w:val="0"/>
              <w:marTop w:val="0"/>
              <w:marBottom w:val="0"/>
              <w:divBdr>
                <w:top w:val="none" w:sz="0" w:space="0" w:color="auto"/>
                <w:left w:val="none" w:sz="0" w:space="0" w:color="auto"/>
                <w:bottom w:val="none" w:sz="0" w:space="0" w:color="auto"/>
                <w:right w:val="none" w:sz="0" w:space="0" w:color="auto"/>
              </w:divBdr>
              <w:divsChild>
                <w:div w:id="317421972">
                  <w:marLeft w:val="0"/>
                  <w:marRight w:val="0"/>
                  <w:marTop w:val="0"/>
                  <w:marBottom w:val="0"/>
                  <w:divBdr>
                    <w:top w:val="none" w:sz="0" w:space="0" w:color="auto"/>
                    <w:left w:val="none" w:sz="0" w:space="0" w:color="auto"/>
                    <w:bottom w:val="none" w:sz="0" w:space="0" w:color="auto"/>
                    <w:right w:val="none" w:sz="0" w:space="0" w:color="auto"/>
                  </w:divBdr>
                  <w:divsChild>
                    <w:div w:id="602763259">
                      <w:marLeft w:val="0"/>
                      <w:marRight w:val="0"/>
                      <w:marTop w:val="0"/>
                      <w:marBottom w:val="0"/>
                      <w:divBdr>
                        <w:top w:val="none" w:sz="0" w:space="0" w:color="auto"/>
                        <w:left w:val="none" w:sz="0" w:space="0" w:color="auto"/>
                        <w:bottom w:val="none" w:sz="0" w:space="0" w:color="auto"/>
                        <w:right w:val="none" w:sz="0" w:space="0" w:color="auto"/>
                      </w:divBdr>
                      <w:divsChild>
                        <w:div w:id="1717779254">
                          <w:marLeft w:val="0"/>
                          <w:marRight w:val="0"/>
                          <w:marTop w:val="0"/>
                          <w:marBottom w:val="0"/>
                          <w:divBdr>
                            <w:top w:val="none" w:sz="0" w:space="0" w:color="auto"/>
                            <w:left w:val="none" w:sz="0" w:space="0" w:color="auto"/>
                            <w:bottom w:val="none" w:sz="0" w:space="0" w:color="auto"/>
                            <w:right w:val="none" w:sz="0" w:space="0" w:color="auto"/>
                          </w:divBdr>
                          <w:divsChild>
                            <w:div w:id="1260332130">
                              <w:marLeft w:val="0"/>
                              <w:marRight w:val="0"/>
                              <w:marTop w:val="0"/>
                              <w:marBottom w:val="0"/>
                              <w:divBdr>
                                <w:top w:val="none" w:sz="0" w:space="0" w:color="auto"/>
                                <w:left w:val="none" w:sz="0" w:space="0" w:color="auto"/>
                                <w:bottom w:val="none" w:sz="0" w:space="0" w:color="auto"/>
                                <w:right w:val="none" w:sz="0" w:space="0" w:color="auto"/>
                              </w:divBdr>
                              <w:divsChild>
                                <w:div w:id="309098700">
                                  <w:marLeft w:val="0"/>
                                  <w:marRight w:val="0"/>
                                  <w:marTop w:val="0"/>
                                  <w:marBottom w:val="0"/>
                                  <w:divBdr>
                                    <w:top w:val="none" w:sz="0" w:space="0" w:color="auto"/>
                                    <w:left w:val="none" w:sz="0" w:space="0" w:color="auto"/>
                                    <w:bottom w:val="none" w:sz="0" w:space="0" w:color="auto"/>
                                    <w:right w:val="none" w:sz="0" w:space="0" w:color="auto"/>
                                  </w:divBdr>
                                  <w:divsChild>
                                    <w:div w:id="1775393428">
                                      <w:marLeft w:val="0"/>
                                      <w:marRight w:val="0"/>
                                      <w:marTop w:val="0"/>
                                      <w:marBottom w:val="0"/>
                                      <w:divBdr>
                                        <w:top w:val="none" w:sz="0" w:space="0" w:color="auto"/>
                                        <w:left w:val="none" w:sz="0" w:space="0" w:color="auto"/>
                                        <w:bottom w:val="none" w:sz="0" w:space="0" w:color="auto"/>
                                        <w:right w:val="none" w:sz="0" w:space="0" w:color="auto"/>
                                      </w:divBdr>
                                      <w:divsChild>
                                        <w:div w:id="547643862">
                                          <w:marLeft w:val="0"/>
                                          <w:marRight w:val="0"/>
                                          <w:marTop w:val="100"/>
                                          <w:marBottom w:val="100"/>
                                          <w:divBdr>
                                            <w:top w:val="none" w:sz="0" w:space="0" w:color="auto"/>
                                            <w:left w:val="none" w:sz="0" w:space="0" w:color="auto"/>
                                            <w:bottom w:val="none" w:sz="0" w:space="0" w:color="auto"/>
                                            <w:right w:val="none" w:sz="0" w:space="0" w:color="auto"/>
                                          </w:divBdr>
                                          <w:divsChild>
                                            <w:div w:id="1765498047">
                                              <w:marLeft w:val="660"/>
                                              <w:marRight w:val="660"/>
                                              <w:marTop w:val="0"/>
                                              <w:marBottom w:val="360"/>
                                              <w:divBdr>
                                                <w:top w:val="none" w:sz="0" w:space="0" w:color="auto"/>
                                                <w:left w:val="none" w:sz="0" w:space="0" w:color="auto"/>
                                                <w:bottom w:val="none" w:sz="0" w:space="0" w:color="auto"/>
                                                <w:right w:val="none" w:sz="0" w:space="0" w:color="auto"/>
                                              </w:divBdr>
                                              <w:divsChild>
                                                <w:div w:id="23361063">
                                                  <w:marLeft w:val="0"/>
                                                  <w:marRight w:val="0"/>
                                                  <w:marTop w:val="0"/>
                                                  <w:marBottom w:val="0"/>
                                                  <w:divBdr>
                                                    <w:top w:val="none" w:sz="0" w:space="0" w:color="auto"/>
                                                    <w:left w:val="none" w:sz="0" w:space="0" w:color="auto"/>
                                                    <w:bottom w:val="none" w:sz="0" w:space="0" w:color="auto"/>
                                                    <w:right w:val="none" w:sz="0" w:space="0" w:color="auto"/>
                                                  </w:divBdr>
                                                  <w:divsChild>
                                                    <w:div w:id="1244030690">
                                                      <w:marLeft w:val="0"/>
                                                      <w:marRight w:val="0"/>
                                                      <w:marTop w:val="0"/>
                                                      <w:marBottom w:val="0"/>
                                                      <w:divBdr>
                                                        <w:top w:val="none" w:sz="0" w:space="0" w:color="auto"/>
                                                        <w:left w:val="none" w:sz="0" w:space="0" w:color="auto"/>
                                                        <w:bottom w:val="none" w:sz="0" w:space="0" w:color="auto"/>
                                                        <w:right w:val="none" w:sz="0" w:space="0" w:color="auto"/>
                                                      </w:divBdr>
                                                      <w:divsChild>
                                                        <w:div w:id="2084790564">
                                                          <w:marLeft w:val="0"/>
                                                          <w:marRight w:val="0"/>
                                                          <w:marTop w:val="0"/>
                                                          <w:marBottom w:val="0"/>
                                                          <w:divBdr>
                                                            <w:top w:val="none" w:sz="0" w:space="0" w:color="auto"/>
                                                            <w:left w:val="none" w:sz="0" w:space="0" w:color="auto"/>
                                                            <w:bottom w:val="none" w:sz="0" w:space="0" w:color="auto"/>
                                                            <w:right w:val="none" w:sz="0" w:space="0" w:color="auto"/>
                                                          </w:divBdr>
                                                          <w:divsChild>
                                                            <w:div w:id="397246108">
                                                              <w:marLeft w:val="0"/>
                                                              <w:marRight w:val="0"/>
                                                              <w:marTop w:val="0"/>
                                                              <w:marBottom w:val="0"/>
                                                              <w:divBdr>
                                                                <w:top w:val="none" w:sz="0" w:space="0" w:color="auto"/>
                                                                <w:left w:val="none" w:sz="0" w:space="0" w:color="auto"/>
                                                                <w:bottom w:val="none" w:sz="0" w:space="0" w:color="auto"/>
                                                                <w:right w:val="none" w:sz="0" w:space="0" w:color="auto"/>
                                                              </w:divBdr>
                                                            </w:div>
                                                            <w:div w:id="154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414219">
      <w:bodyDiv w:val="1"/>
      <w:marLeft w:val="0"/>
      <w:marRight w:val="0"/>
      <w:marTop w:val="0"/>
      <w:marBottom w:val="0"/>
      <w:divBdr>
        <w:top w:val="none" w:sz="0" w:space="0" w:color="auto"/>
        <w:left w:val="none" w:sz="0" w:space="0" w:color="auto"/>
        <w:bottom w:val="none" w:sz="0" w:space="0" w:color="auto"/>
        <w:right w:val="none" w:sz="0" w:space="0" w:color="auto"/>
      </w:divBdr>
    </w:div>
    <w:div w:id="1693192164">
      <w:bodyDiv w:val="1"/>
      <w:marLeft w:val="0"/>
      <w:marRight w:val="0"/>
      <w:marTop w:val="0"/>
      <w:marBottom w:val="0"/>
      <w:divBdr>
        <w:top w:val="none" w:sz="0" w:space="0" w:color="auto"/>
        <w:left w:val="none" w:sz="0" w:space="0" w:color="auto"/>
        <w:bottom w:val="none" w:sz="0" w:space="0" w:color="auto"/>
        <w:right w:val="none" w:sz="0" w:space="0" w:color="auto"/>
      </w:divBdr>
    </w:div>
    <w:div w:id="1896813001">
      <w:bodyDiv w:val="1"/>
      <w:marLeft w:val="0"/>
      <w:marRight w:val="0"/>
      <w:marTop w:val="0"/>
      <w:marBottom w:val="0"/>
      <w:divBdr>
        <w:top w:val="none" w:sz="0" w:space="0" w:color="auto"/>
        <w:left w:val="none" w:sz="0" w:space="0" w:color="auto"/>
        <w:bottom w:val="none" w:sz="0" w:space="0" w:color="auto"/>
        <w:right w:val="none" w:sz="0" w:space="0" w:color="auto"/>
      </w:divBdr>
    </w:div>
    <w:div w:id="1967001639">
      <w:bodyDiv w:val="1"/>
      <w:marLeft w:val="0"/>
      <w:marRight w:val="0"/>
      <w:marTop w:val="0"/>
      <w:marBottom w:val="0"/>
      <w:divBdr>
        <w:top w:val="none" w:sz="0" w:space="0" w:color="auto"/>
        <w:left w:val="none" w:sz="0" w:space="0" w:color="auto"/>
        <w:bottom w:val="none" w:sz="0" w:space="0" w:color="auto"/>
        <w:right w:val="none" w:sz="0" w:space="0" w:color="auto"/>
      </w:divBdr>
    </w:div>
    <w:div w:id="1987203436">
      <w:bodyDiv w:val="1"/>
      <w:marLeft w:val="0"/>
      <w:marRight w:val="0"/>
      <w:marTop w:val="0"/>
      <w:marBottom w:val="0"/>
      <w:divBdr>
        <w:top w:val="none" w:sz="0" w:space="0" w:color="auto"/>
        <w:left w:val="none" w:sz="0" w:space="0" w:color="auto"/>
        <w:bottom w:val="none" w:sz="0" w:space="0" w:color="auto"/>
        <w:right w:val="none" w:sz="0" w:space="0" w:color="auto"/>
      </w:divBdr>
      <w:divsChild>
        <w:div w:id="626277507">
          <w:marLeft w:val="0"/>
          <w:marRight w:val="0"/>
          <w:marTop w:val="0"/>
          <w:marBottom w:val="0"/>
          <w:divBdr>
            <w:top w:val="none" w:sz="0" w:space="0" w:color="auto"/>
            <w:left w:val="none" w:sz="0" w:space="0" w:color="auto"/>
            <w:bottom w:val="none" w:sz="0" w:space="0" w:color="auto"/>
            <w:right w:val="none" w:sz="0" w:space="0" w:color="auto"/>
          </w:divBdr>
          <w:divsChild>
            <w:div w:id="1584605188">
              <w:marLeft w:val="0"/>
              <w:marRight w:val="0"/>
              <w:marTop w:val="0"/>
              <w:marBottom w:val="0"/>
              <w:divBdr>
                <w:top w:val="none" w:sz="0" w:space="0" w:color="auto"/>
                <w:left w:val="none" w:sz="0" w:space="0" w:color="auto"/>
                <w:bottom w:val="none" w:sz="0" w:space="0" w:color="auto"/>
                <w:right w:val="none" w:sz="0" w:space="0" w:color="auto"/>
              </w:divBdr>
              <w:divsChild>
                <w:div w:id="919480779">
                  <w:marLeft w:val="0"/>
                  <w:marRight w:val="0"/>
                  <w:marTop w:val="0"/>
                  <w:marBottom w:val="0"/>
                  <w:divBdr>
                    <w:top w:val="none" w:sz="0" w:space="0" w:color="auto"/>
                    <w:left w:val="none" w:sz="0" w:space="0" w:color="auto"/>
                    <w:bottom w:val="none" w:sz="0" w:space="0" w:color="auto"/>
                    <w:right w:val="none" w:sz="0" w:space="0" w:color="auto"/>
                  </w:divBdr>
                  <w:divsChild>
                    <w:div w:id="1599823840">
                      <w:marLeft w:val="0"/>
                      <w:marRight w:val="0"/>
                      <w:marTop w:val="0"/>
                      <w:marBottom w:val="0"/>
                      <w:divBdr>
                        <w:top w:val="none" w:sz="0" w:space="0" w:color="auto"/>
                        <w:left w:val="none" w:sz="0" w:space="0" w:color="auto"/>
                        <w:bottom w:val="none" w:sz="0" w:space="0" w:color="auto"/>
                        <w:right w:val="none" w:sz="0" w:space="0" w:color="auto"/>
                      </w:divBdr>
                      <w:divsChild>
                        <w:div w:id="418253554">
                          <w:marLeft w:val="0"/>
                          <w:marRight w:val="0"/>
                          <w:marTop w:val="0"/>
                          <w:marBottom w:val="0"/>
                          <w:divBdr>
                            <w:top w:val="none" w:sz="0" w:space="0" w:color="auto"/>
                            <w:left w:val="none" w:sz="0" w:space="0" w:color="auto"/>
                            <w:bottom w:val="none" w:sz="0" w:space="0" w:color="auto"/>
                            <w:right w:val="none" w:sz="0" w:space="0" w:color="auto"/>
                          </w:divBdr>
                          <w:divsChild>
                            <w:div w:id="400831102">
                              <w:marLeft w:val="0"/>
                              <w:marRight w:val="0"/>
                              <w:marTop w:val="0"/>
                              <w:marBottom w:val="0"/>
                              <w:divBdr>
                                <w:top w:val="none" w:sz="0" w:space="0" w:color="auto"/>
                                <w:left w:val="none" w:sz="0" w:space="0" w:color="auto"/>
                                <w:bottom w:val="none" w:sz="0" w:space="0" w:color="auto"/>
                                <w:right w:val="none" w:sz="0" w:space="0" w:color="auto"/>
                              </w:divBdr>
                              <w:divsChild>
                                <w:div w:id="668405918">
                                  <w:marLeft w:val="0"/>
                                  <w:marRight w:val="0"/>
                                  <w:marTop w:val="0"/>
                                  <w:marBottom w:val="0"/>
                                  <w:divBdr>
                                    <w:top w:val="none" w:sz="0" w:space="0" w:color="auto"/>
                                    <w:left w:val="none" w:sz="0" w:space="0" w:color="auto"/>
                                    <w:bottom w:val="none" w:sz="0" w:space="0" w:color="auto"/>
                                    <w:right w:val="none" w:sz="0" w:space="0" w:color="auto"/>
                                  </w:divBdr>
                                  <w:divsChild>
                                    <w:div w:id="236212641">
                                      <w:marLeft w:val="0"/>
                                      <w:marRight w:val="0"/>
                                      <w:marTop w:val="0"/>
                                      <w:marBottom w:val="0"/>
                                      <w:divBdr>
                                        <w:top w:val="none" w:sz="0" w:space="0" w:color="auto"/>
                                        <w:left w:val="none" w:sz="0" w:space="0" w:color="auto"/>
                                        <w:bottom w:val="none" w:sz="0" w:space="0" w:color="auto"/>
                                        <w:right w:val="none" w:sz="0" w:space="0" w:color="auto"/>
                                      </w:divBdr>
                                      <w:divsChild>
                                        <w:div w:id="1119954553">
                                          <w:marLeft w:val="0"/>
                                          <w:marRight w:val="0"/>
                                          <w:marTop w:val="100"/>
                                          <w:marBottom w:val="100"/>
                                          <w:divBdr>
                                            <w:top w:val="none" w:sz="0" w:space="0" w:color="auto"/>
                                            <w:left w:val="none" w:sz="0" w:space="0" w:color="auto"/>
                                            <w:bottom w:val="none" w:sz="0" w:space="0" w:color="auto"/>
                                            <w:right w:val="none" w:sz="0" w:space="0" w:color="auto"/>
                                          </w:divBdr>
                                          <w:divsChild>
                                            <w:div w:id="1410616027">
                                              <w:marLeft w:val="660"/>
                                              <w:marRight w:val="660"/>
                                              <w:marTop w:val="0"/>
                                              <w:marBottom w:val="360"/>
                                              <w:divBdr>
                                                <w:top w:val="none" w:sz="0" w:space="0" w:color="auto"/>
                                                <w:left w:val="none" w:sz="0" w:space="0" w:color="auto"/>
                                                <w:bottom w:val="none" w:sz="0" w:space="0" w:color="auto"/>
                                                <w:right w:val="none" w:sz="0" w:space="0" w:color="auto"/>
                                              </w:divBdr>
                                              <w:divsChild>
                                                <w:div w:id="883255082">
                                                  <w:marLeft w:val="0"/>
                                                  <w:marRight w:val="0"/>
                                                  <w:marTop w:val="0"/>
                                                  <w:marBottom w:val="0"/>
                                                  <w:divBdr>
                                                    <w:top w:val="none" w:sz="0" w:space="0" w:color="auto"/>
                                                    <w:left w:val="none" w:sz="0" w:space="0" w:color="auto"/>
                                                    <w:bottom w:val="none" w:sz="0" w:space="0" w:color="auto"/>
                                                    <w:right w:val="none" w:sz="0" w:space="0" w:color="auto"/>
                                                  </w:divBdr>
                                                  <w:divsChild>
                                                    <w:div w:id="64301243">
                                                      <w:marLeft w:val="0"/>
                                                      <w:marRight w:val="0"/>
                                                      <w:marTop w:val="0"/>
                                                      <w:marBottom w:val="0"/>
                                                      <w:divBdr>
                                                        <w:top w:val="none" w:sz="0" w:space="0" w:color="auto"/>
                                                        <w:left w:val="none" w:sz="0" w:space="0" w:color="auto"/>
                                                        <w:bottom w:val="none" w:sz="0" w:space="0" w:color="auto"/>
                                                        <w:right w:val="none" w:sz="0" w:space="0" w:color="auto"/>
                                                      </w:divBdr>
                                                      <w:divsChild>
                                                        <w:div w:id="913441105">
                                                          <w:marLeft w:val="0"/>
                                                          <w:marRight w:val="0"/>
                                                          <w:marTop w:val="0"/>
                                                          <w:marBottom w:val="0"/>
                                                          <w:divBdr>
                                                            <w:top w:val="none" w:sz="0" w:space="0" w:color="auto"/>
                                                            <w:left w:val="none" w:sz="0" w:space="0" w:color="auto"/>
                                                            <w:bottom w:val="none" w:sz="0" w:space="0" w:color="auto"/>
                                                            <w:right w:val="none" w:sz="0" w:space="0" w:color="auto"/>
                                                          </w:divBdr>
                                                          <w:divsChild>
                                                            <w:div w:id="2015066653">
                                                              <w:marLeft w:val="0"/>
                                                              <w:marRight w:val="0"/>
                                                              <w:marTop w:val="0"/>
                                                              <w:marBottom w:val="0"/>
                                                              <w:divBdr>
                                                                <w:top w:val="none" w:sz="0" w:space="0" w:color="auto"/>
                                                                <w:left w:val="none" w:sz="0" w:space="0" w:color="auto"/>
                                                                <w:bottom w:val="none" w:sz="0" w:space="0" w:color="auto"/>
                                                                <w:right w:val="none" w:sz="0" w:space="0" w:color="auto"/>
                                                              </w:divBdr>
                                                            </w:div>
                                                            <w:div w:id="98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048505">
      <w:bodyDiv w:val="1"/>
      <w:marLeft w:val="0"/>
      <w:marRight w:val="0"/>
      <w:marTop w:val="0"/>
      <w:marBottom w:val="0"/>
      <w:divBdr>
        <w:top w:val="none" w:sz="0" w:space="0" w:color="auto"/>
        <w:left w:val="none" w:sz="0" w:space="0" w:color="auto"/>
        <w:bottom w:val="none" w:sz="0" w:space="0" w:color="auto"/>
        <w:right w:val="none" w:sz="0" w:space="0" w:color="auto"/>
      </w:divBdr>
    </w:div>
    <w:div w:id="21209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18</Pages>
  <Words>7391</Words>
  <Characters>42130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CHIGARI FOUNDATION</dc:creator>
  <cp:keywords/>
  <dc:description/>
  <cp:lastModifiedBy>SDI 1084</cp:lastModifiedBy>
  <cp:revision>32</cp:revision>
  <dcterms:created xsi:type="dcterms:W3CDTF">2025-10-27T17:10:00Z</dcterms:created>
  <dcterms:modified xsi:type="dcterms:W3CDTF">2025-10-28T14:14:00Z</dcterms:modified>
</cp:coreProperties>
</file>