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CB305" w14:textId="77777777" w:rsidR="00FD3723" w:rsidRPr="00FD3723" w:rsidRDefault="00FD3723" w:rsidP="00FD3723">
      <w:pPr>
        <w:pStyle w:val="NormalWeb"/>
        <w:jc w:val="center"/>
        <w:rPr>
          <w:b/>
          <w:bCs/>
          <w:i/>
          <w:iCs/>
          <w:sz w:val="28"/>
          <w:szCs w:val="28"/>
          <w:u w:val="single"/>
          <w:lang w:val="en-US"/>
        </w:rPr>
      </w:pPr>
      <w:r w:rsidRPr="00FD3723">
        <w:rPr>
          <w:b/>
          <w:bCs/>
          <w:i/>
          <w:iCs/>
          <w:sz w:val="28"/>
          <w:szCs w:val="28"/>
          <w:u w:val="single"/>
          <w:lang w:val="en-US"/>
        </w:rPr>
        <w:t xml:space="preserve">Case report </w:t>
      </w:r>
    </w:p>
    <w:p w14:paraId="41B2321F" w14:textId="3AF6D69B" w:rsidR="00794A48" w:rsidRPr="00794A48" w:rsidRDefault="00794A48" w:rsidP="00794A48">
      <w:pPr>
        <w:pStyle w:val="NormalWeb"/>
        <w:jc w:val="center"/>
        <w:rPr>
          <w:b/>
          <w:bCs/>
          <w:sz w:val="28"/>
          <w:szCs w:val="28"/>
        </w:rPr>
      </w:pPr>
      <w:r w:rsidRPr="00794A48">
        <w:rPr>
          <w:b/>
          <w:bCs/>
          <w:sz w:val="28"/>
          <w:szCs w:val="28"/>
        </w:rPr>
        <w:t>A Case Report on Thyroid Nodule</w:t>
      </w:r>
    </w:p>
    <w:p w14:paraId="057C73E5" w14:textId="709F4DC1" w:rsidR="00F5276D" w:rsidRDefault="00F5276D" w:rsidP="00B328BC">
      <w:pPr>
        <w:spacing w:line="276" w:lineRule="auto"/>
        <w:jc w:val="both"/>
        <w:rPr>
          <w:rFonts w:ascii="Times New Roman" w:hAnsi="Times New Roman" w:cs="Times New Roman"/>
          <w:b/>
          <w:bCs/>
          <w:sz w:val="24"/>
          <w:szCs w:val="24"/>
        </w:rPr>
      </w:pPr>
    </w:p>
    <w:p w14:paraId="2A76CF83" w14:textId="77777777" w:rsidR="00055497" w:rsidRDefault="00055497" w:rsidP="00B328BC">
      <w:pPr>
        <w:spacing w:line="276" w:lineRule="auto"/>
        <w:jc w:val="both"/>
        <w:rPr>
          <w:rFonts w:ascii="Times New Roman" w:hAnsi="Times New Roman" w:cs="Times New Roman"/>
          <w:b/>
          <w:bCs/>
          <w:sz w:val="24"/>
          <w:szCs w:val="24"/>
        </w:rPr>
      </w:pPr>
    </w:p>
    <w:p w14:paraId="4BA73939" w14:textId="77777777" w:rsidR="00F5276D" w:rsidRDefault="00F5276D" w:rsidP="00B328B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867BC52" w14:textId="0E6B7654" w:rsidR="00B328BC" w:rsidRPr="00F5276D" w:rsidRDefault="00F5276D" w:rsidP="00B328B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328BC" w:rsidRPr="00B328BC">
        <w:rPr>
          <w:rFonts w:ascii="Times New Roman" w:hAnsi="Times New Roman" w:cs="Times New Roman"/>
          <w:b/>
          <w:bCs/>
          <w:sz w:val="24"/>
          <w:szCs w:val="24"/>
        </w:rPr>
        <w:t>Background:</w:t>
      </w:r>
      <w:r w:rsidR="00B328BC" w:rsidRPr="00B328BC">
        <w:rPr>
          <w:rFonts w:ascii="Times New Roman" w:hAnsi="Times New Roman" w:cs="Times New Roman"/>
          <w:sz w:val="24"/>
          <w:szCs w:val="24"/>
        </w:rPr>
        <w:br/>
        <w:t>Thyroid nodules are commonly encountered in clinical practice, especially in women, and require a structured evaluation to distinguish benign from malignant lesions. Ultrasound-based TI-RADS scoring and fine-needle aspiration cytology (FNAC) are essential tools in the diagnostic algorithm.</w:t>
      </w:r>
    </w:p>
    <w:p w14:paraId="46C99662" w14:textId="77777777" w:rsidR="00794A48" w:rsidRDefault="00B328BC" w:rsidP="00794A48">
      <w:pPr>
        <w:spacing w:line="276" w:lineRule="auto"/>
        <w:rPr>
          <w:rFonts w:ascii="Times New Roman" w:hAnsi="Times New Roman" w:cs="Times New Roman"/>
          <w:sz w:val="24"/>
          <w:szCs w:val="24"/>
        </w:rPr>
      </w:pPr>
      <w:r w:rsidRPr="00B328BC">
        <w:rPr>
          <w:rFonts w:ascii="Times New Roman" w:hAnsi="Times New Roman" w:cs="Times New Roman"/>
          <w:b/>
          <w:bCs/>
          <w:sz w:val="24"/>
          <w:szCs w:val="24"/>
        </w:rPr>
        <w:t>Case</w:t>
      </w:r>
      <w:r w:rsidR="002B7519">
        <w:rPr>
          <w:rFonts w:ascii="Times New Roman" w:hAnsi="Times New Roman" w:cs="Times New Roman"/>
          <w:b/>
          <w:bCs/>
          <w:sz w:val="24"/>
          <w:szCs w:val="24"/>
        </w:rPr>
        <w:t xml:space="preserve"> </w:t>
      </w:r>
      <w:r w:rsidRPr="00B328BC">
        <w:rPr>
          <w:rFonts w:ascii="Times New Roman" w:hAnsi="Times New Roman" w:cs="Times New Roman"/>
          <w:b/>
          <w:bCs/>
          <w:sz w:val="24"/>
          <w:szCs w:val="24"/>
        </w:rPr>
        <w:t>Presentation:</w:t>
      </w:r>
    </w:p>
    <w:p w14:paraId="6EB086C7" w14:textId="3E9B0365" w:rsidR="00B328BC" w:rsidRPr="00794A48" w:rsidRDefault="00794A48" w:rsidP="00794A48">
      <w:pPr>
        <w:spacing w:line="276" w:lineRule="auto"/>
        <w:jc w:val="both"/>
        <w:rPr>
          <w:rFonts w:ascii="Times New Roman" w:hAnsi="Times New Roman" w:cs="Times New Roman"/>
          <w:b/>
          <w:bCs/>
          <w:sz w:val="24"/>
          <w:szCs w:val="24"/>
        </w:rPr>
      </w:pPr>
      <w:r w:rsidRPr="00794A48">
        <w:rPr>
          <w:rFonts w:ascii="Times New Roman" w:hAnsi="Times New Roman" w:cs="Times New Roman"/>
          <w:sz w:val="24"/>
          <w:szCs w:val="24"/>
        </w:rPr>
        <w:t>We report the case of a 27-year-old South Indian female patient from Ballari, Karnataka who</w:t>
      </w:r>
      <w:r>
        <w:rPr>
          <w:rFonts w:ascii="Times New Roman" w:hAnsi="Times New Roman" w:cs="Times New Roman"/>
          <w:sz w:val="24"/>
          <w:szCs w:val="24"/>
        </w:rPr>
        <w:t xml:space="preserve"> </w:t>
      </w:r>
      <w:r w:rsidR="00B328BC" w:rsidRPr="00B328BC">
        <w:rPr>
          <w:rFonts w:ascii="Times New Roman" w:hAnsi="Times New Roman" w:cs="Times New Roman"/>
          <w:sz w:val="24"/>
          <w:szCs w:val="24"/>
        </w:rPr>
        <w:t>presented with a painless, gradually progressive swelling on the left side of her neck for two months. Clinical examination and ultrasound revealed a heterogeneous, solitary thyroid nodule in the left lobe, measuring 3.5 × 1.5 cm. Based on TI-RADS scoring (TR3), FNAC was performed, which suggested a benign cystic lesion. However, due to the lesion’s size and uncertain cytological features, surgery was planned. Intraoperatively, the lesion was limited to the left lobe, and hemi-thyroidectomy was performed. Postoperative recovery was uneventful. The excised specimen was sent for histopathology to rule out follicular carcinoma.</w:t>
      </w:r>
    </w:p>
    <w:p w14:paraId="052F7D34" w14:textId="77777777" w:rsidR="00B328BC" w:rsidRPr="00B328BC" w:rsidRDefault="00B328BC" w:rsidP="00B328BC">
      <w:pPr>
        <w:spacing w:line="276" w:lineRule="auto"/>
        <w:jc w:val="both"/>
        <w:rPr>
          <w:rFonts w:ascii="Times New Roman" w:hAnsi="Times New Roman" w:cs="Times New Roman"/>
          <w:sz w:val="24"/>
          <w:szCs w:val="24"/>
        </w:rPr>
      </w:pPr>
      <w:r w:rsidRPr="00B328BC">
        <w:rPr>
          <w:rFonts w:ascii="Times New Roman" w:hAnsi="Times New Roman" w:cs="Times New Roman"/>
          <w:b/>
          <w:bCs/>
          <w:sz w:val="24"/>
          <w:szCs w:val="24"/>
        </w:rPr>
        <w:t>Conclusion:</w:t>
      </w:r>
      <w:r w:rsidRPr="00B328BC">
        <w:rPr>
          <w:rFonts w:ascii="Times New Roman" w:hAnsi="Times New Roman" w:cs="Times New Roman"/>
          <w:sz w:val="24"/>
          <w:szCs w:val="24"/>
        </w:rPr>
        <w:br/>
        <w:t>This case emphasizes the importance of integrating clinical, radiological, and cytological findings in managing thyroid nodules. While imaging and FNAC may suggest benignity, surgical excision may still be indicated in uncertain or large lesions. Histopathological confirmation remains the gold standard for diagnosis and planning definitive treatment.</w:t>
      </w:r>
    </w:p>
    <w:p w14:paraId="09E2DF94" w14:textId="77777777" w:rsidR="00B328BC" w:rsidRPr="00815BA7" w:rsidRDefault="00B328BC" w:rsidP="00B328BC">
      <w:pPr>
        <w:spacing w:line="276" w:lineRule="auto"/>
        <w:jc w:val="both"/>
        <w:rPr>
          <w:rFonts w:ascii="Times New Roman" w:hAnsi="Times New Roman" w:cs="Times New Roman"/>
          <w:sz w:val="28"/>
          <w:szCs w:val="28"/>
          <w:lang w:val="en-US"/>
        </w:rPr>
      </w:pPr>
    </w:p>
    <w:p w14:paraId="5FA7E045" w14:textId="77777777" w:rsidR="00003169" w:rsidRDefault="00B328BC" w:rsidP="000031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KEYWORDS </w:t>
      </w:r>
    </w:p>
    <w:p w14:paraId="4653970D" w14:textId="77777777" w:rsidR="00B328BC" w:rsidRPr="00B328BC" w:rsidRDefault="00B328BC" w:rsidP="00B328BC">
      <w:pPr>
        <w:spacing w:line="276" w:lineRule="auto"/>
        <w:jc w:val="both"/>
        <w:rPr>
          <w:rFonts w:ascii="Times New Roman" w:hAnsi="Times New Roman" w:cs="Times New Roman"/>
          <w:sz w:val="24"/>
          <w:szCs w:val="24"/>
        </w:rPr>
      </w:pPr>
      <w:r w:rsidRPr="00B328BC">
        <w:rPr>
          <w:rFonts w:ascii="Times New Roman" w:hAnsi="Times New Roman" w:cs="Times New Roman"/>
          <w:sz w:val="24"/>
          <w:szCs w:val="24"/>
        </w:rPr>
        <w:t xml:space="preserve">  Thyroid Nodule, TI-</w:t>
      </w:r>
      <w:proofErr w:type="gramStart"/>
      <w:r w:rsidRPr="00B328BC">
        <w:rPr>
          <w:rFonts w:ascii="Times New Roman" w:hAnsi="Times New Roman" w:cs="Times New Roman"/>
          <w:sz w:val="24"/>
          <w:szCs w:val="24"/>
        </w:rPr>
        <w:t>RADS,  Hemi</w:t>
      </w:r>
      <w:proofErr w:type="gramEnd"/>
      <w:r w:rsidRPr="00B328BC">
        <w:rPr>
          <w:rFonts w:ascii="Times New Roman" w:hAnsi="Times New Roman" w:cs="Times New Roman"/>
          <w:sz w:val="24"/>
          <w:szCs w:val="24"/>
        </w:rPr>
        <w:t>-thyroidectomy, FNAC, Follicular Adenoma, Solitary Neck Swelling, Cystic Thyroid Lesion, Thyroid Ultrasound, Histopathological Examination,  Surgical Management</w:t>
      </w:r>
    </w:p>
    <w:p w14:paraId="0FD69B5A" w14:textId="77777777" w:rsidR="00B328BC" w:rsidRDefault="00B328BC" w:rsidP="00003169">
      <w:pPr>
        <w:spacing w:line="276" w:lineRule="auto"/>
        <w:jc w:val="both"/>
        <w:rPr>
          <w:rFonts w:ascii="Times New Roman" w:hAnsi="Times New Roman" w:cs="Times New Roman"/>
          <w:sz w:val="24"/>
          <w:szCs w:val="24"/>
          <w:lang w:val="en-US"/>
        </w:rPr>
      </w:pPr>
    </w:p>
    <w:p w14:paraId="37128611" w14:textId="2B03ABBC" w:rsidR="00003169" w:rsidRDefault="00003169" w:rsidP="00003169">
      <w:pPr>
        <w:spacing w:line="276" w:lineRule="auto"/>
        <w:jc w:val="both"/>
        <w:rPr>
          <w:rFonts w:ascii="Times New Roman" w:hAnsi="Times New Roman" w:cs="Times New Roman"/>
          <w:sz w:val="24"/>
          <w:szCs w:val="24"/>
          <w:lang w:val="en-US"/>
        </w:rPr>
      </w:pPr>
    </w:p>
    <w:p w14:paraId="46E0084A" w14:textId="1BAAD32E" w:rsidR="00055497" w:rsidRDefault="00055497" w:rsidP="00003169">
      <w:pPr>
        <w:spacing w:line="276" w:lineRule="auto"/>
        <w:jc w:val="both"/>
        <w:rPr>
          <w:rFonts w:ascii="Times New Roman" w:hAnsi="Times New Roman" w:cs="Times New Roman"/>
          <w:sz w:val="24"/>
          <w:szCs w:val="24"/>
          <w:lang w:val="en-US"/>
        </w:rPr>
      </w:pPr>
    </w:p>
    <w:p w14:paraId="03744C74" w14:textId="1FA5AF39" w:rsidR="00055497" w:rsidRDefault="00055497" w:rsidP="00003169">
      <w:pPr>
        <w:spacing w:line="276" w:lineRule="auto"/>
        <w:jc w:val="both"/>
        <w:rPr>
          <w:rFonts w:ascii="Times New Roman" w:hAnsi="Times New Roman" w:cs="Times New Roman"/>
          <w:sz w:val="24"/>
          <w:szCs w:val="24"/>
          <w:lang w:val="en-US"/>
        </w:rPr>
      </w:pPr>
    </w:p>
    <w:p w14:paraId="323FD036" w14:textId="77777777" w:rsidR="00055497" w:rsidRDefault="00055497" w:rsidP="00003169">
      <w:pPr>
        <w:spacing w:line="276" w:lineRule="auto"/>
        <w:jc w:val="both"/>
        <w:rPr>
          <w:rFonts w:ascii="Times New Roman" w:hAnsi="Times New Roman" w:cs="Times New Roman"/>
          <w:sz w:val="24"/>
          <w:szCs w:val="24"/>
          <w:lang w:val="en-US"/>
        </w:rPr>
      </w:pPr>
    </w:p>
    <w:p w14:paraId="6CEDF58A" w14:textId="77777777" w:rsidR="000D4A23" w:rsidRDefault="000D4A23" w:rsidP="00003169">
      <w:pPr>
        <w:spacing w:line="276" w:lineRule="auto"/>
        <w:jc w:val="both"/>
        <w:rPr>
          <w:rFonts w:ascii="Times New Roman" w:hAnsi="Times New Roman" w:cs="Times New Roman"/>
          <w:sz w:val="24"/>
          <w:szCs w:val="24"/>
          <w:lang w:val="en-US"/>
        </w:rPr>
      </w:pPr>
    </w:p>
    <w:p w14:paraId="6D94EA1D" w14:textId="2080168D" w:rsidR="00003169" w:rsidRDefault="00003169" w:rsidP="00003169">
      <w:pPr>
        <w:spacing w:line="276"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INTRODUCTION :</w:t>
      </w:r>
      <w:proofErr w:type="gramEnd"/>
      <w:r>
        <w:rPr>
          <w:rFonts w:ascii="Times New Roman" w:hAnsi="Times New Roman" w:cs="Times New Roman"/>
          <w:sz w:val="24"/>
          <w:szCs w:val="24"/>
          <w:lang w:val="en-US"/>
        </w:rPr>
        <w:t xml:space="preserve"> </w:t>
      </w:r>
    </w:p>
    <w:p w14:paraId="04E63B92" w14:textId="77777777" w:rsidR="002D6474" w:rsidRDefault="002D6474" w:rsidP="00003169">
      <w:pPr>
        <w:spacing w:line="276" w:lineRule="auto"/>
        <w:jc w:val="both"/>
        <w:rPr>
          <w:rFonts w:ascii="Times New Roman" w:hAnsi="Times New Roman" w:cs="Times New Roman"/>
          <w:sz w:val="24"/>
          <w:szCs w:val="24"/>
          <w:lang w:val="en-US"/>
        </w:rPr>
      </w:pPr>
    </w:p>
    <w:p w14:paraId="0F880C36" w14:textId="77777777" w:rsidR="00C43F8B" w:rsidRDefault="00C43F8B" w:rsidP="00003169">
      <w:pPr>
        <w:spacing w:line="276" w:lineRule="auto"/>
        <w:jc w:val="both"/>
        <w:rPr>
          <w:rFonts w:ascii="Times New Roman" w:hAnsi="Times New Roman" w:cs="Times New Roman"/>
          <w:sz w:val="24"/>
          <w:szCs w:val="24"/>
          <w:vertAlign w:val="superscript"/>
        </w:rPr>
      </w:pPr>
      <w:r w:rsidRPr="00C43F8B">
        <w:rPr>
          <w:rFonts w:ascii="Times New Roman" w:hAnsi="Times New Roman" w:cs="Times New Roman"/>
          <w:sz w:val="24"/>
          <w:szCs w:val="24"/>
        </w:rPr>
        <w:t>The American Thyroid Association (ATA) defines the thyroid nodule as a discrete lesion within the thyroid gland. It is radiologically distinct from the surrounding thyroid parenchyma.</w:t>
      </w:r>
      <w:r w:rsidR="00687198">
        <w:rPr>
          <w:rFonts w:ascii="Times New Roman" w:hAnsi="Times New Roman" w:cs="Times New Roman"/>
          <w:sz w:val="24"/>
          <w:szCs w:val="24"/>
        </w:rPr>
        <w:t xml:space="preserve"> </w:t>
      </w:r>
      <w:r w:rsidRPr="00C43F8B">
        <w:rPr>
          <w:rFonts w:ascii="Times New Roman" w:hAnsi="Times New Roman" w:cs="Times New Roman"/>
          <w:sz w:val="24"/>
          <w:szCs w:val="24"/>
        </w:rPr>
        <w:t>Nodules may be solitary, multiple, cystic, or solid.</w:t>
      </w:r>
      <w:r w:rsidR="00687198">
        <w:rPr>
          <w:rFonts w:ascii="Times New Roman" w:hAnsi="Times New Roman" w:cs="Times New Roman"/>
          <w:sz w:val="24"/>
          <w:szCs w:val="24"/>
          <w:vertAlign w:val="superscript"/>
        </w:rPr>
        <w:t>3</w:t>
      </w:r>
      <w:r w:rsidR="00687198" w:rsidRPr="00687198">
        <w:rPr>
          <w:rFonts w:ascii="Segoe UI" w:hAnsi="Segoe UI" w:cs="Segoe UI"/>
          <w:color w:val="212121"/>
          <w:shd w:val="clear" w:color="auto" w:fill="FFFFFF"/>
        </w:rPr>
        <w:t xml:space="preserve"> </w:t>
      </w:r>
      <w:r w:rsidR="00687198" w:rsidRPr="00687198">
        <w:rPr>
          <w:rFonts w:ascii="Times New Roman" w:hAnsi="Times New Roman" w:cs="Times New Roman"/>
          <w:sz w:val="24"/>
          <w:szCs w:val="24"/>
        </w:rPr>
        <w:t>The reported prevalence of nodular thyroid disease depends on the population studied and the methods used to detect nodules. Nodule incidence increases with age, and is increased in women, in people with iodine deficiency, and after radiation exposure. Numerous studies suggest a prevalence of 2-6% with palpation, 19-35% with ultrasound, and 8-65% in autopsy data</w:t>
      </w:r>
      <w:r w:rsidR="00687198">
        <w:rPr>
          <w:rFonts w:ascii="Times New Roman" w:hAnsi="Times New Roman" w:cs="Times New Roman"/>
          <w:sz w:val="24"/>
          <w:szCs w:val="24"/>
        </w:rPr>
        <w:t>.</w:t>
      </w:r>
      <w:proofErr w:type="gramStart"/>
      <w:r w:rsidR="00687198">
        <w:rPr>
          <w:rFonts w:ascii="Times New Roman" w:hAnsi="Times New Roman" w:cs="Times New Roman"/>
          <w:sz w:val="24"/>
          <w:szCs w:val="24"/>
          <w:vertAlign w:val="superscript"/>
        </w:rPr>
        <w:t>5</w:t>
      </w:r>
      <w:r w:rsidR="00E87CA9">
        <w:rPr>
          <w:rFonts w:ascii="Times New Roman" w:hAnsi="Times New Roman" w:cs="Times New Roman"/>
          <w:sz w:val="24"/>
          <w:szCs w:val="24"/>
          <w:vertAlign w:val="superscript"/>
        </w:rPr>
        <w:t xml:space="preserve"> </w:t>
      </w:r>
      <w:r w:rsidR="00E87CA9">
        <w:rPr>
          <w:rFonts w:ascii="Times New Roman" w:hAnsi="Times New Roman" w:cs="Times New Roman"/>
          <w:sz w:val="24"/>
          <w:szCs w:val="24"/>
        </w:rPr>
        <w:t xml:space="preserve"> </w:t>
      </w:r>
      <w:r w:rsidR="00994CB4" w:rsidRPr="00994CB4">
        <w:rPr>
          <w:rFonts w:ascii="Times New Roman" w:hAnsi="Times New Roman" w:cs="Times New Roman"/>
          <w:sz w:val="24"/>
          <w:szCs w:val="24"/>
        </w:rPr>
        <w:t>The</w:t>
      </w:r>
      <w:proofErr w:type="gramEnd"/>
      <w:r w:rsidR="00994CB4" w:rsidRPr="00994CB4">
        <w:rPr>
          <w:rFonts w:ascii="Times New Roman" w:hAnsi="Times New Roman" w:cs="Times New Roman"/>
          <w:sz w:val="24"/>
          <w:szCs w:val="24"/>
        </w:rPr>
        <w:t xml:space="preserve"> ATA guidelines, revised in 2009, begin by asking whether the patient has a history suggestive of a high risk for thyroid cancer. Risk factors include radiation exposure during childhood, rapid growth of a nodule, hoarseness, vocal cord paralysis, dysphagia, or a family history of thy roid cancer or multiple endocrine neoplasia syndrome. If the patient has a high-risk history, the recommendation is to obtain a biopsy specimen from any thyroid nodule larger than 5 mm in diameter with suspicious features.</w:t>
      </w:r>
      <w:r w:rsidR="00994CB4">
        <w:rPr>
          <w:rFonts w:ascii="Times New Roman" w:hAnsi="Times New Roman" w:cs="Times New Roman"/>
          <w:sz w:val="24"/>
          <w:szCs w:val="24"/>
          <w:vertAlign w:val="superscript"/>
        </w:rPr>
        <w:t>2</w:t>
      </w:r>
    </w:p>
    <w:p w14:paraId="7149219F" w14:textId="77777777" w:rsidR="00994CB4" w:rsidRPr="00994CB4" w:rsidRDefault="00994CB4" w:rsidP="00003169">
      <w:pPr>
        <w:spacing w:line="276" w:lineRule="auto"/>
        <w:jc w:val="both"/>
        <w:rPr>
          <w:rFonts w:ascii="Times New Roman" w:hAnsi="Times New Roman" w:cs="Times New Roman"/>
          <w:sz w:val="24"/>
          <w:szCs w:val="24"/>
          <w:vertAlign w:val="superscript"/>
        </w:rPr>
      </w:pPr>
    </w:p>
    <w:p w14:paraId="1D9BBED5" w14:textId="77777777" w:rsidR="00E87CA9" w:rsidRPr="00E87CA9" w:rsidRDefault="00E87CA9" w:rsidP="00E87CA9">
      <w:pPr>
        <w:spacing w:line="276" w:lineRule="auto"/>
        <w:jc w:val="both"/>
        <w:rPr>
          <w:rFonts w:ascii="Times New Roman" w:hAnsi="Times New Roman" w:cs="Times New Roman"/>
          <w:b/>
          <w:bCs/>
          <w:sz w:val="24"/>
          <w:szCs w:val="24"/>
          <w:vertAlign w:val="superscript"/>
        </w:rPr>
      </w:pPr>
      <w:r w:rsidRPr="00E87CA9">
        <w:rPr>
          <w:rFonts w:ascii="Times New Roman" w:hAnsi="Times New Roman" w:cs="Times New Roman"/>
          <w:b/>
          <w:bCs/>
          <w:sz w:val="24"/>
          <w:szCs w:val="24"/>
        </w:rPr>
        <w:t>Table 1: Clinical and Pathological Classification of Thyroid Nodules</w:t>
      </w:r>
      <w:r w:rsidR="00DB3A7B">
        <w:rPr>
          <w:rFonts w:ascii="Times New Roman" w:hAnsi="Times New Roman" w:cs="Times New Roman"/>
          <w:b/>
          <w:bCs/>
          <w:sz w:val="24"/>
          <w:szCs w:val="24"/>
          <w:vertAlign w:val="superscript"/>
        </w:rPr>
        <w:t>4</w:t>
      </w:r>
    </w:p>
    <w:p w14:paraId="7AF4C4C5" w14:textId="77777777" w:rsidR="00E87CA9" w:rsidRPr="00E87CA9" w:rsidRDefault="00E87CA9" w:rsidP="00E87CA9">
      <w:pPr>
        <w:spacing w:line="276" w:lineRule="auto"/>
        <w:jc w:val="both"/>
        <w:rPr>
          <w:rFonts w:ascii="Times New Roman" w:hAnsi="Times New Roman" w:cs="Times New Roman"/>
          <w:vanish/>
          <w:sz w:val="24"/>
          <w:szCs w:val="24"/>
        </w:rPr>
      </w:pPr>
      <w:r w:rsidRPr="00E87CA9">
        <w:rPr>
          <w:rFonts w:ascii="Times New Roman" w:hAnsi="Times New Roman" w:cs="Times New Roman"/>
          <w:vanish/>
          <w:sz w:val="24"/>
          <w:szCs w:val="24"/>
        </w:rPr>
        <w:t>Top of Form</w:t>
      </w:r>
    </w:p>
    <w:tbl>
      <w:tblPr>
        <w:tblStyle w:val="TableGrid"/>
        <w:tblW w:w="0" w:type="auto"/>
        <w:tblLook w:val="04A0" w:firstRow="1" w:lastRow="0" w:firstColumn="1" w:lastColumn="0" w:noHBand="0" w:noVBand="1"/>
      </w:tblPr>
      <w:tblGrid>
        <w:gridCol w:w="3005"/>
        <w:gridCol w:w="3005"/>
        <w:gridCol w:w="3006"/>
      </w:tblGrid>
      <w:tr w:rsidR="00E87CA9" w14:paraId="08E965B0" w14:textId="77777777">
        <w:trPr>
          <w:hidden/>
        </w:trPr>
        <w:tc>
          <w:tcPr>
            <w:tcW w:w="3005" w:type="dxa"/>
          </w:tcPr>
          <w:p w14:paraId="1B2DC024" w14:textId="77777777" w:rsidR="00E87CA9" w:rsidRDefault="00E87CA9" w:rsidP="00E87CA9">
            <w:pPr>
              <w:spacing w:line="276" w:lineRule="auto"/>
              <w:jc w:val="both"/>
              <w:rPr>
                <w:rFonts w:ascii="Times New Roman" w:hAnsi="Times New Roman" w:cs="Times New Roman"/>
                <w:vanish/>
                <w:sz w:val="24"/>
                <w:szCs w:val="24"/>
              </w:rPr>
            </w:pPr>
          </w:p>
        </w:tc>
        <w:tc>
          <w:tcPr>
            <w:tcW w:w="3005" w:type="dxa"/>
          </w:tcPr>
          <w:p w14:paraId="4530E13F" w14:textId="77777777" w:rsidR="00E87CA9" w:rsidRDefault="00E87CA9" w:rsidP="00E87CA9">
            <w:pPr>
              <w:spacing w:line="276" w:lineRule="auto"/>
              <w:jc w:val="both"/>
              <w:rPr>
                <w:rFonts w:ascii="Times New Roman" w:hAnsi="Times New Roman" w:cs="Times New Roman"/>
                <w:vanish/>
                <w:sz w:val="24"/>
                <w:szCs w:val="24"/>
              </w:rPr>
            </w:pPr>
          </w:p>
        </w:tc>
        <w:tc>
          <w:tcPr>
            <w:tcW w:w="3006" w:type="dxa"/>
          </w:tcPr>
          <w:p w14:paraId="7F3E0241" w14:textId="77777777" w:rsidR="00E87CA9" w:rsidRDefault="00E87CA9" w:rsidP="00E87CA9">
            <w:pPr>
              <w:spacing w:line="276" w:lineRule="auto"/>
              <w:jc w:val="both"/>
              <w:rPr>
                <w:rFonts w:ascii="Times New Roman" w:hAnsi="Times New Roman" w:cs="Times New Roman"/>
                <w:vanish/>
                <w:sz w:val="24"/>
                <w:szCs w:val="24"/>
              </w:rPr>
            </w:pPr>
          </w:p>
        </w:tc>
      </w:tr>
      <w:tr w:rsidR="00E87CA9" w14:paraId="1004F050" w14:textId="77777777">
        <w:trPr>
          <w:hidden/>
        </w:trPr>
        <w:tc>
          <w:tcPr>
            <w:tcW w:w="3005" w:type="dxa"/>
          </w:tcPr>
          <w:p w14:paraId="7CEEBDF7" w14:textId="77777777" w:rsidR="00E87CA9" w:rsidRDefault="00E87CA9" w:rsidP="00E87CA9">
            <w:pPr>
              <w:spacing w:line="276" w:lineRule="auto"/>
              <w:jc w:val="both"/>
              <w:rPr>
                <w:rFonts w:ascii="Times New Roman" w:hAnsi="Times New Roman" w:cs="Times New Roman"/>
                <w:vanish/>
                <w:sz w:val="24"/>
                <w:szCs w:val="24"/>
              </w:rPr>
            </w:pPr>
          </w:p>
        </w:tc>
        <w:tc>
          <w:tcPr>
            <w:tcW w:w="3005" w:type="dxa"/>
          </w:tcPr>
          <w:p w14:paraId="6DFAB34D" w14:textId="77777777" w:rsidR="00E87CA9" w:rsidRDefault="00E87CA9" w:rsidP="00E87CA9">
            <w:pPr>
              <w:spacing w:line="276" w:lineRule="auto"/>
              <w:jc w:val="both"/>
              <w:rPr>
                <w:rFonts w:ascii="Times New Roman" w:hAnsi="Times New Roman" w:cs="Times New Roman"/>
                <w:vanish/>
                <w:sz w:val="24"/>
                <w:szCs w:val="24"/>
              </w:rPr>
            </w:pPr>
          </w:p>
        </w:tc>
        <w:tc>
          <w:tcPr>
            <w:tcW w:w="3006" w:type="dxa"/>
          </w:tcPr>
          <w:p w14:paraId="45BD7381" w14:textId="77777777" w:rsidR="00E87CA9" w:rsidRDefault="00E87CA9" w:rsidP="00E87CA9">
            <w:pPr>
              <w:spacing w:line="276" w:lineRule="auto"/>
              <w:jc w:val="both"/>
              <w:rPr>
                <w:rFonts w:ascii="Times New Roman" w:hAnsi="Times New Roman" w:cs="Times New Roman"/>
                <w:vanish/>
                <w:sz w:val="24"/>
                <w:szCs w:val="24"/>
              </w:rPr>
            </w:pPr>
          </w:p>
        </w:tc>
      </w:tr>
      <w:tr w:rsidR="00E87CA9" w14:paraId="467FC015" w14:textId="77777777">
        <w:trPr>
          <w:hidden/>
        </w:trPr>
        <w:tc>
          <w:tcPr>
            <w:tcW w:w="3005" w:type="dxa"/>
          </w:tcPr>
          <w:p w14:paraId="2883D560" w14:textId="77777777" w:rsidR="00E87CA9" w:rsidRDefault="00E87CA9" w:rsidP="00E87CA9">
            <w:pPr>
              <w:spacing w:line="276" w:lineRule="auto"/>
              <w:jc w:val="both"/>
              <w:rPr>
                <w:rFonts w:ascii="Times New Roman" w:hAnsi="Times New Roman" w:cs="Times New Roman"/>
                <w:vanish/>
                <w:sz w:val="24"/>
                <w:szCs w:val="24"/>
              </w:rPr>
            </w:pPr>
          </w:p>
        </w:tc>
        <w:tc>
          <w:tcPr>
            <w:tcW w:w="3005" w:type="dxa"/>
          </w:tcPr>
          <w:p w14:paraId="649D9313" w14:textId="77777777" w:rsidR="00E87CA9" w:rsidRDefault="00E87CA9" w:rsidP="00E87CA9">
            <w:pPr>
              <w:spacing w:line="276" w:lineRule="auto"/>
              <w:jc w:val="both"/>
              <w:rPr>
                <w:rFonts w:ascii="Times New Roman" w:hAnsi="Times New Roman" w:cs="Times New Roman"/>
                <w:vanish/>
                <w:sz w:val="24"/>
                <w:szCs w:val="24"/>
              </w:rPr>
            </w:pPr>
          </w:p>
        </w:tc>
        <w:tc>
          <w:tcPr>
            <w:tcW w:w="3006" w:type="dxa"/>
          </w:tcPr>
          <w:p w14:paraId="0C201985" w14:textId="77777777" w:rsidR="00E87CA9" w:rsidRDefault="00E87CA9" w:rsidP="00E87CA9">
            <w:pPr>
              <w:spacing w:line="276" w:lineRule="auto"/>
              <w:jc w:val="both"/>
              <w:rPr>
                <w:rFonts w:ascii="Times New Roman" w:hAnsi="Times New Roman" w:cs="Times New Roman"/>
                <w:vanish/>
                <w:sz w:val="24"/>
                <w:szCs w:val="24"/>
              </w:rPr>
            </w:pPr>
          </w:p>
        </w:tc>
      </w:tr>
    </w:tbl>
    <w:p w14:paraId="2DF8CB62" w14:textId="77777777" w:rsidR="00E87CA9" w:rsidRPr="00E87CA9" w:rsidRDefault="00E87CA9" w:rsidP="00E87CA9">
      <w:pPr>
        <w:spacing w:line="276" w:lineRule="auto"/>
        <w:jc w:val="both"/>
        <w:rPr>
          <w:rFonts w:ascii="Times New Roman" w:hAnsi="Times New Roman" w:cs="Times New Roman"/>
          <w:sz w:val="24"/>
          <w:szCs w:val="24"/>
        </w:rPr>
      </w:pPr>
      <w:r w:rsidRPr="00E87CA9">
        <w:rPr>
          <w:rFonts w:ascii="Times New Roman" w:hAnsi="Times New Roman" w:cs="Times New Roman"/>
          <w:vanish/>
          <w:sz w:val="24"/>
          <w:szCs w:val="24"/>
        </w:rPr>
        <w:t>Bottom of Form</w:t>
      </w:r>
    </w:p>
    <w:tbl>
      <w:tblPr>
        <w:tblStyle w:val="TableGrid"/>
        <w:tblW w:w="0" w:type="auto"/>
        <w:tblLook w:val="04A0" w:firstRow="1" w:lastRow="0" w:firstColumn="1" w:lastColumn="0" w:noHBand="0" w:noVBand="1"/>
      </w:tblPr>
      <w:tblGrid>
        <w:gridCol w:w="1777"/>
        <w:gridCol w:w="2887"/>
        <w:gridCol w:w="4352"/>
      </w:tblGrid>
      <w:tr w:rsidR="00E87CA9" w14:paraId="4657AB56" w14:textId="77777777" w:rsidTr="008B6C3A">
        <w:tc>
          <w:tcPr>
            <w:tcW w:w="1683" w:type="dxa"/>
          </w:tcPr>
          <w:p w14:paraId="3C9F3BB4" w14:textId="77777777" w:rsidR="00E87CA9" w:rsidRPr="008B6C3A" w:rsidRDefault="008B6C3A" w:rsidP="00003169">
            <w:pPr>
              <w:spacing w:line="276" w:lineRule="auto"/>
              <w:jc w:val="both"/>
              <w:rPr>
                <w:rFonts w:ascii="Times New Roman" w:hAnsi="Times New Roman" w:cs="Times New Roman"/>
                <w:b/>
                <w:bCs/>
                <w:sz w:val="24"/>
                <w:szCs w:val="24"/>
              </w:rPr>
            </w:pPr>
            <w:r w:rsidRPr="008B6C3A">
              <w:rPr>
                <w:rFonts w:ascii="Times New Roman" w:hAnsi="Times New Roman" w:cs="Times New Roman"/>
                <w:b/>
                <w:bCs/>
                <w:sz w:val="24"/>
                <w:szCs w:val="24"/>
              </w:rPr>
              <w:t xml:space="preserve">CATEGORY </w:t>
            </w:r>
          </w:p>
        </w:tc>
        <w:tc>
          <w:tcPr>
            <w:tcW w:w="2902" w:type="dxa"/>
          </w:tcPr>
          <w:p w14:paraId="43C23EB5" w14:textId="77777777" w:rsidR="00E87CA9" w:rsidRPr="008B6C3A" w:rsidRDefault="008B6C3A" w:rsidP="00003169">
            <w:pPr>
              <w:spacing w:line="276" w:lineRule="auto"/>
              <w:jc w:val="both"/>
              <w:rPr>
                <w:rFonts w:ascii="Times New Roman" w:hAnsi="Times New Roman" w:cs="Times New Roman"/>
                <w:b/>
                <w:bCs/>
                <w:sz w:val="24"/>
                <w:szCs w:val="24"/>
              </w:rPr>
            </w:pPr>
            <w:r w:rsidRPr="008B6C3A">
              <w:rPr>
                <w:rFonts w:ascii="Times New Roman" w:hAnsi="Times New Roman" w:cs="Times New Roman"/>
                <w:b/>
                <w:bCs/>
                <w:sz w:val="24"/>
                <w:szCs w:val="24"/>
              </w:rPr>
              <w:t>TYPES</w:t>
            </w:r>
          </w:p>
        </w:tc>
        <w:tc>
          <w:tcPr>
            <w:tcW w:w="4388" w:type="dxa"/>
          </w:tcPr>
          <w:p w14:paraId="0DEC8930" w14:textId="77777777" w:rsidR="00E87CA9" w:rsidRPr="008B6C3A" w:rsidRDefault="008B6C3A" w:rsidP="00003169">
            <w:pPr>
              <w:spacing w:line="276" w:lineRule="auto"/>
              <w:jc w:val="both"/>
              <w:rPr>
                <w:rFonts w:ascii="Times New Roman" w:hAnsi="Times New Roman" w:cs="Times New Roman"/>
                <w:b/>
                <w:bCs/>
                <w:sz w:val="24"/>
                <w:szCs w:val="24"/>
              </w:rPr>
            </w:pPr>
            <w:r w:rsidRPr="008B6C3A">
              <w:rPr>
                <w:rFonts w:ascii="Times New Roman" w:hAnsi="Times New Roman" w:cs="Times New Roman"/>
                <w:b/>
                <w:bCs/>
                <w:sz w:val="24"/>
                <w:szCs w:val="24"/>
              </w:rPr>
              <w:t xml:space="preserve">SUBTYPES /EXAMPLES </w:t>
            </w:r>
          </w:p>
        </w:tc>
      </w:tr>
      <w:tr w:rsidR="00E87CA9" w14:paraId="1DB83C18" w14:textId="77777777" w:rsidTr="008B6C3A">
        <w:trPr>
          <w:trHeight w:val="1691"/>
        </w:trPr>
        <w:tc>
          <w:tcPr>
            <w:tcW w:w="1683" w:type="dxa"/>
          </w:tcPr>
          <w:p w14:paraId="2C54E539" w14:textId="77777777" w:rsidR="00E87CA9" w:rsidRPr="00E873A5" w:rsidRDefault="008B6C3A" w:rsidP="00003169">
            <w:pPr>
              <w:spacing w:line="276" w:lineRule="auto"/>
              <w:jc w:val="both"/>
              <w:rPr>
                <w:rFonts w:ascii="Times New Roman" w:hAnsi="Times New Roman" w:cs="Times New Roman"/>
                <w:b/>
                <w:bCs/>
                <w:sz w:val="24"/>
                <w:szCs w:val="24"/>
              </w:rPr>
            </w:pPr>
            <w:proofErr w:type="gramStart"/>
            <w:r w:rsidRPr="00E873A5">
              <w:rPr>
                <w:rFonts w:ascii="Times New Roman" w:hAnsi="Times New Roman" w:cs="Times New Roman"/>
                <w:b/>
                <w:bCs/>
                <w:sz w:val="24"/>
                <w:szCs w:val="24"/>
              </w:rPr>
              <w:t>NON NEOPLASTIC</w:t>
            </w:r>
            <w:proofErr w:type="gramEnd"/>
            <w:r w:rsidRPr="00E873A5">
              <w:rPr>
                <w:rFonts w:ascii="Times New Roman" w:hAnsi="Times New Roman" w:cs="Times New Roman"/>
                <w:b/>
                <w:bCs/>
                <w:sz w:val="24"/>
                <w:szCs w:val="24"/>
              </w:rPr>
              <w:t xml:space="preserve"> NODULES</w:t>
            </w:r>
          </w:p>
        </w:tc>
        <w:tc>
          <w:tcPr>
            <w:tcW w:w="2902" w:type="dxa"/>
          </w:tcPr>
          <w:p w14:paraId="4FEA9386" w14:textId="77777777" w:rsidR="00E87CA9"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E87CA9">
              <w:rPr>
                <w:rFonts w:ascii="Times New Roman" w:hAnsi="Times New Roman" w:cs="Times New Roman"/>
                <w:sz w:val="24"/>
                <w:szCs w:val="24"/>
              </w:rPr>
              <w:t xml:space="preserve">Hyperplastic </w:t>
            </w:r>
          </w:p>
          <w:p w14:paraId="752A5105" w14:textId="77777777" w:rsidR="008B6C3A" w:rsidRDefault="008B6C3A" w:rsidP="00003169">
            <w:pPr>
              <w:spacing w:line="276" w:lineRule="auto"/>
              <w:jc w:val="both"/>
              <w:rPr>
                <w:rFonts w:ascii="Times New Roman" w:hAnsi="Times New Roman" w:cs="Times New Roman"/>
                <w:sz w:val="24"/>
                <w:szCs w:val="24"/>
              </w:rPr>
            </w:pPr>
          </w:p>
          <w:p w14:paraId="737328BF" w14:textId="77777777" w:rsidR="008B6C3A" w:rsidRDefault="008B6C3A" w:rsidP="00003169">
            <w:pPr>
              <w:spacing w:line="276" w:lineRule="auto"/>
              <w:jc w:val="both"/>
              <w:rPr>
                <w:rFonts w:ascii="Times New Roman" w:hAnsi="Times New Roman" w:cs="Times New Roman"/>
                <w:sz w:val="24"/>
                <w:szCs w:val="24"/>
              </w:rPr>
            </w:pPr>
          </w:p>
          <w:p w14:paraId="23EF1203" w14:textId="77777777" w:rsidR="00E87CA9"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2)Inflammatory</w:t>
            </w:r>
          </w:p>
        </w:tc>
        <w:tc>
          <w:tcPr>
            <w:tcW w:w="4388" w:type="dxa"/>
          </w:tcPr>
          <w:p w14:paraId="2592C2DA" w14:textId="77777777" w:rsidR="00E87CA9"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spontaneous </w:t>
            </w:r>
          </w:p>
          <w:p w14:paraId="0A49DCCC" w14:textId="77777777" w:rsidR="008B6C3A"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compensatory after partial thyroidectomy </w:t>
            </w:r>
          </w:p>
          <w:p w14:paraId="4EA8290B" w14:textId="77777777" w:rsidR="008B6C3A" w:rsidRDefault="008B6C3A" w:rsidP="00003169">
            <w:pPr>
              <w:spacing w:line="276" w:lineRule="auto"/>
              <w:jc w:val="both"/>
              <w:rPr>
                <w:rFonts w:ascii="Times New Roman" w:hAnsi="Times New Roman" w:cs="Times New Roman"/>
                <w:sz w:val="24"/>
                <w:szCs w:val="24"/>
              </w:rPr>
            </w:pPr>
          </w:p>
          <w:p w14:paraId="243B67E9" w14:textId="77777777" w:rsidR="008B6C3A"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 acute bacterial thyroiditis</w:t>
            </w:r>
          </w:p>
          <w:p w14:paraId="160E121D" w14:textId="77777777" w:rsidR="008B6C3A"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 subacute thyroiditis</w:t>
            </w:r>
          </w:p>
          <w:p w14:paraId="34D9AC6A" w14:textId="77777777" w:rsidR="008B6C3A"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lymphocytic </w:t>
            </w:r>
            <w:proofErr w:type="gramStart"/>
            <w:r>
              <w:rPr>
                <w:rFonts w:ascii="Times New Roman" w:hAnsi="Times New Roman" w:cs="Times New Roman"/>
                <w:sz w:val="24"/>
                <w:szCs w:val="24"/>
              </w:rPr>
              <w:t>( Hashimoto’s</w:t>
            </w:r>
            <w:proofErr w:type="gramEnd"/>
            <w:r>
              <w:rPr>
                <w:rFonts w:ascii="Times New Roman" w:hAnsi="Times New Roman" w:cs="Times New Roman"/>
                <w:sz w:val="24"/>
                <w:szCs w:val="24"/>
              </w:rPr>
              <w:t xml:space="preserve"> ) thyroiditis</w:t>
            </w:r>
          </w:p>
        </w:tc>
      </w:tr>
      <w:tr w:rsidR="00E87CA9" w14:paraId="35D2E51B" w14:textId="77777777" w:rsidTr="008B6C3A">
        <w:trPr>
          <w:trHeight w:val="1844"/>
        </w:trPr>
        <w:tc>
          <w:tcPr>
            <w:tcW w:w="1683" w:type="dxa"/>
          </w:tcPr>
          <w:p w14:paraId="3FE6398A" w14:textId="77777777" w:rsidR="00E87CA9" w:rsidRPr="00E873A5" w:rsidRDefault="008B6C3A" w:rsidP="00003169">
            <w:pPr>
              <w:spacing w:line="276" w:lineRule="auto"/>
              <w:jc w:val="both"/>
              <w:rPr>
                <w:rFonts w:ascii="Times New Roman" w:hAnsi="Times New Roman" w:cs="Times New Roman"/>
                <w:b/>
                <w:bCs/>
                <w:sz w:val="24"/>
                <w:szCs w:val="24"/>
              </w:rPr>
            </w:pPr>
            <w:r w:rsidRPr="00E873A5">
              <w:rPr>
                <w:rFonts w:ascii="Times New Roman" w:hAnsi="Times New Roman" w:cs="Times New Roman"/>
                <w:b/>
                <w:bCs/>
                <w:sz w:val="24"/>
                <w:szCs w:val="24"/>
              </w:rPr>
              <w:t>BENIGN NEOPLASMS</w:t>
            </w:r>
          </w:p>
        </w:tc>
        <w:tc>
          <w:tcPr>
            <w:tcW w:w="2902" w:type="dxa"/>
          </w:tcPr>
          <w:p w14:paraId="7E3A2E48" w14:textId="77777777" w:rsidR="008B6C3A" w:rsidRPr="008B6C3A" w:rsidRDefault="008B6C3A" w:rsidP="008B6C3A">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8B6C3A">
              <w:rPr>
                <w:rFonts w:ascii="Times New Roman" w:hAnsi="Times New Roman" w:cs="Times New Roman"/>
                <w:sz w:val="24"/>
                <w:szCs w:val="24"/>
              </w:rPr>
              <w:t xml:space="preserve">Non functioning  </w:t>
            </w:r>
          </w:p>
          <w:p w14:paraId="190E877B" w14:textId="77777777" w:rsidR="00E87CA9"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(cold </w:t>
            </w:r>
            <w:proofErr w:type="gramStart"/>
            <w:r>
              <w:rPr>
                <w:rFonts w:ascii="Times New Roman" w:hAnsi="Times New Roman" w:cs="Times New Roman"/>
                <w:sz w:val="24"/>
                <w:szCs w:val="24"/>
              </w:rPr>
              <w:t>nodules )</w:t>
            </w:r>
            <w:proofErr w:type="gramEnd"/>
          </w:p>
          <w:p w14:paraId="5D702EF5" w14:textId="77777777" w:rsidR="008B6C3A" w:rsidRDefault="008B6C3A" w:rsidP="00003169">
            <w:pPr>
              <w:spacing w:line="276" w:lineRule="auto"/>
              <w:jc w:val="both"/>
              <w:rPr>
                <w:rFonts w:ascii="Times New Roman" w:hAnsi="Times New Roman" w:cs="Times New Roman"/>
                <w:sz w:val="24"/>
                <w:szCs w:val="24"/>
              </w:rPr>
            </w:pPr>
          </w:p>
          <w:p w14:paraId="33C64C77" w14:textId="77777777" w:rsidR="008B6C3A"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2)Functioning </w:t>
            </w:r>
          </w:p>
          <w:p w14:paraId="59703471" w14:textId="77777777" w:rsidR="008B6C3A" w:rsidRDefault="008B6C3A" w:rsidP="00003169">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 Hot</w:t>
            </w:r>
            <w:proofErr w:type="gramEnd"/>
            <w:r>
              <w:rPr>
                <w:rFonts w:ascii="Times New Roman" w:hAnsi="Times New Roman" w:cs="Times New Roman"/>
                <w:sz w:val="24"/>
                <w:szCs w:val="24"/>
              </w:rPr>
              <w:t xml:space="preserve"> nodules )</w:t>
            </w:r>
          </w:p>
          <w:p w14:paraId="4098AA45" w14:textId="77777777" w:rsidR="008B6C3A" w:rsidRDefault="008B6C3A" w:rsidP="00003169">
            <w:pPr>
              <w:spacing w:line="276" w:lineRule="auto"/>
              <w:jc w:val="both"/>
              <w:rPr>
                <w:rFonts w:ascii="Times New Roman" w:hAnsi="Times New Roman" w:cs="Times New Roman"/>
                <w:sz w:val="24"/>
                <w:szCs w:val="24"/>
              </w:rPr>
            </w:pPr>
          </w:p>
          <w:p w14:paraId="3BC8DD07" w14:textId="77777777" w:rsidR="008B6C3A" w:rsidRDefault="008B6C3A" w:rsidP="00003169">
            <w:pPr>
              <w:spacing w:line="276" w:lineRule="auto"/>
              <w:jc w:val="both"/>
              <w:rPr>
                <w:rFonts w:ascii="Times New Roman" w:hAnsi="Times New Roman" w:cs="Times New Roman"/>
                <w:sz w:val="24"/>
                <w:szCs w:val="24"/>
              </w:rPr>
            </w:pPr>
          </w:p>
        </w:tc>
        <w:tc>
          <w:tcPr>
            <w:tcW w:w="4388" w:type="dxa"/>
          </w:tcPr>
          <w:p w14:paraId="23D425B8" w14:textId="77777777" w:rsidR="00E87CA9"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solid </w:t>
            </w:r>
            <w:proofErr w:type="gramStart"/>
            <w:r>
              <w:rPr>
                <w:rFonts w:ascii="Times New Roman" w:hAnsi="Times New Roman" w:cs="Times New Roman"/>
                <w:sz w:val="24"/>
                <w:szCs w:val="24"/>
              </w:rPr>
              <w:t>( or</w:t>
            </w:r>
            <w:proofErr w:type="gramEnd"/>
            <w:r>
              <w:rPr>
                <w:rFonts w:ascii="Times New Roman" w:hAnsi="Times New Roman" w:cs="Times New Roman"/>
                <w:sz w:val="24"/>
                <w:szCs w:val="24"/>
              </w:rPr>
              <w:t xml:space="preserve"> mixed) : adenoma</w:t>
            </w:r>
          </w:p>
          <w:p w14:paraId="1CB7C4F5" w14:textId="77777777" w:rsidR="008B6C3A"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 cystic</w:t>
            </w:r>
          </w:p>
          <w:p w14:paraId="510BBEEC" w14:textId="77777777" w:rsidR="008B6C3A" w:rsidRDefault="008B6C3A" w:rsidP="00003169">
            <w:pPr>
              <w:spacing w:line="276" w:lineRule="auto"/>
              <w:jc w:val="both"/>
              <w:rPr>
                <w:rFonts w:ascii="Times New Roman" w:hAnsi="Times New Roman" w:cs="Times New Roman"/>
                <w:sz w:val="24"/>
                <w:szCs w:val="24"/>
              </w:rPr>
            </w:pPr>
          </w:p>
          <w:p w14:paraId="4AA84E5B" w14:textId="77777777" w:rsidR="008B6C3A"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adenoma </w:t>
            </w:r>
          </w:p>
        </w:tc>
      </w:tr>
      <w:tr w:rsidR="00E87CA9" w14:paraId="73541E65" w14:textId="77777777" w:rsidTr="008B6C3A">
        <w:tc>
          <w:tcPr>
            <w:tcW w:w="1683" w:type="dxa"/>
          </w:tcPr>
          <w:p w14:paraId="76AC13CC" w14:textId="77777777" w:rsidR="00E87CA9" w:rsidRPr="00E873A5" w:rsidRDefault="008B6C3A" w:rsidP="00003169">
            <w:pPr>
              <w:spacing w:line="276" w:lineRule="auto"/>
              <w:jc w:val="both"/>
              <w:rPr>
                <w:rFonts w:ascii="Times New Roman" w:hAnsi="Times New Roman" w:cs="Times New Roman"/>
                <w:b/>
                <w:bCs/>
                <w:sz w:val="24"/>
                <w:szCs w:val="24"/>
              </w:rPr>
            </w:pPr>
            <w:r w:rsidRPr="00E873A5">
              <w:rPr>
                <w:rFonts w:ascii="Times New Roman" w:hAnsi="Times New Roman" w:cs="Times New Roman"/>
                <w:b/>
                <w:bCs/>
                <w:sz w:val="24"/>
                <w:szCs w:val="24"/>
              </w:rPr>
              <w:t>MALIGNANT NEOPLASMS</w:t>
            </w:r>
          </w:p>
        </w:tc>
        <w:tc>
          <w:tcPr>
            <w:tcW w:w="2902" w:type="dxa"/>
          </w:tcPr>
          <w:p w14:paraId="428074E4" w14:textId="77777777" w:rsidR="00E87CA9"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1)Primary carcinoma</w:t>
            </w:r>
          </w:p>
          <w:p w14:paraId="55112B5D" w14:textId="77777777" w:rsidR="008B6C3A" w:rsidRDefault="008B6C3A" w:rsidP="00003169">
            <w:pPr>
              <w:spacing w:line="276" w:lineRule="auto"/>
              <w:jc w:val="both"/>
              <w:rPr>
                <w:rFonts w:ascii="Times New Roman" w:hAnsi="Times New Roman" w:cs="Times New Roman"/>
                <w:sz w:val="24"/>
                <w:szCs w:val="24"/>
              </w:rPr>
            </w:pPr>
          </w:p>
          <w:p w14:paraId="0EB97524" w14:textId="77777777" w:rsidR="008B6C3A" w:rsidRDefault="008B6C3A" w:rsidP="00003169">
            <w:pPr>
              <w:spacing w:line="276" w:lineRule="auto"/>
              <w:jc w:val="both"/>
              <w:rPr>
                <w:rFonts w:ascii="Times New Roman" w:hAnsi="Times New Roman" w:cs="Times New Roman"/>
                <w:sz w:val="24"/>
                <w:szCs w:val="24"/>
              </w:rPr>
            </w:pPr>
          </w:p>
          <w:p w14:paraId="7BCF9E32" w14:textId="77777777" w:rsidR="008B6C3A" w:rsidRDefault="008B6C3A" w:rsidP="00003169">
            <w:pPr>
              <w:spacing w:line="276" w:lineRule="auto"/>
              <w:jc w:val="both"/>
              <w:rPr>
                <w:rFonts w:ascii="Times New Roman" w:hAnsi="Times New Roman" w:cs="Times New Roman"/>
                <w:sz w:val="24"/>
                <w:szCs w:val="24"/>
              </w:rPr>
            </w:pPr>
          </w:p>
          <w:p w14:paraId="66F4E63D" w14:textId="77777777" w:rsidR="008B6C3A"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2)Thyroid lymphoma </w:t>
            </w:r>
          </w:p>
          <w:p w14:paraId="5C319896" w14:textId="77777777" w:rsidR="008B6C3A" w:rsidRDefault="008B6C3A" w:rsidP="00003169">
            <w:pPr>
              <w:spacing w:line="276" w:lineRule="auto"/>
              <w:jc w:val="both"/>
              <w:rPr>
                <w:rFonts w:ascii="Times New Roman" w:hAnsi="Times New Roman" w:cs="Times New Roman"/>
                <w:sz w:val="24"/>
                <w:szCs w:val="24"/>
              </w:rPr>
            </w:pPr>
          </w:p>
          <w:p w14:paraId="75B797F1" w14:textId="77777777" w:rsidR="008B6C3A"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AC3175">
              <w:rPr>
                <w:rFonts w:ascii="Times New Roman" w:hAnsi="Times New Roman" w:cs="Times New Roman"/>
                <w:sz w:val="24"/>
                <w:szCs w:val="24"/>
              </w:rPr>
              <w:t>T</w:t>
            </w:r>
            <w:r>
              <w:rPr>
                <w:rFonts w:ascii="Times New Roman" w:hAnsi="Times New Roman" w:cs="Times New Roman"/>
                <w:sz w:val="24"/>
                <w:szCs w:val="24"/>
              </w:rPr>
              <w:t xml:space="preserve">hyroid metastasis from other primaries </w:t>
            </w:r>
          </w:p>
        </w:tc>
        <w:tc>
          <w:tcPr>
            <w:tcW w:w="4388" w:type="dxa"/>
          </w:tcPr>
          <w:p w14:paraId="1F4CF682" w14:textId="77777777" w:rsidR="00E87CA9"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papillary carcinoma</w:t>
            </w:r>
          </w:p>
          <w:p w14:paraId="669999BD" w14:textId="77777777" w:rsidR="008B6C3A"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 follicular carcinoma</w:t>
            </w:r>
          </w:p>
          <w:p w14:paraId="2DABD090" w14:textId="77777777" w:rsidR="008B6C3A"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 anaplastic carcinoma</w:t>
            </w:r>
          </w:p>
          <w:p w14:paraId="336CE32E" w14:textId="77777777" w:rsidR="008B6C3A" w:rsidRDefault="008B6C3A" w:rsidP="00003169">
            <w:pPr>
              <w:spacing w:line="276" w:lineRule="auto"/>
              <w:jc w:val="both"/>
              <w:rPr>
                <w:rFonts w:ascii="Times New Roman" w:hAnsi="Times New Roman" w:cs="Times New Roman"/>
                <w:sz w:val="24"/>
                <w:szCs w:val="24"/>
              </w:rPr>
            </w:pPr>
            <w:r>
              <w:rPr>
                <w:rFonts w:ascii="Times New Roman" w:hAnsi="Times New Roman" w:cs="Times New Roman"/>
                <w:sz w:val="24"/>
                <w:szCs w:val="24"/>
              </w:rPr>
              <w:t>: medullary carcinoma</w:t>
            </w:r>
          </w:p>
        </w:tc>
      </w:tr>
    </w:tbl>
    <w:p w14:paraId="28B0E171" w14:textId="77777777" w:rsidR="00E873A5" w:rsidRPr="007A5013" w:rsidRDefault="00B46BF0" w:rsidP="00003169">
      <w:pPr>
        <w:spacing w:line="276" w:lineRule="auto"/>
        <w:jc w:val="both"/>
        <w:rPr>
          <w:rFonts w:ascii="Times New Roman" w:hAnsi="Times New Roman" w:cs="Times New Roman"/>
          <w:b/>
          <w:bCs/>
          <w:sz w:val="24"/>
          <w:szCs w:val="24"/>
          <w:vertAlign w:val="superscript"/>
        </w:rPr>
      </w:pPr>
      <w:r w:rsidRPr="00B46BF0">
        <w:rPr>
          <w:rFonts w:ascii="Times New Roman" w:hAnsi="Times New Roman" w:cs="Times New Roman"/>
          <w:b/>
          <w:bCs/>
          <w:sz w:val="24"/>
          <w:szCs w:val="24"/>
        </w:rPr>
        <w:t>EVALUATION OF A THYROID NODULE</w:t>
      </w:r>
      <w:r w:rsidR="007A5013">
        <w:rPr>
          <w:rFonts w:ascii="Times New Roman" w:hAnsi="Times New Roman" w:cs="Times New Roman"/>
          <w:b/>
          <w:bCs/>
          <w:sz w:val="24"/>
          <w:szCs w:val="24"/>
        </w:rPr>
        <w:t xml:space="preserve"> </w:t>
      </w:r>
      <w:r w:rsidR="007A5013">
        <w:rPr>
          <w:rFonts w:ascii="Times New Roman" w:hAnsi="Times New Roman" w:cs="Times New Roman"/>
          <w:b/>
          <w:bCs/>
          <w:sz w:val="24"/>
          <w:szCs w:val="24"/>
          <w:vertAlign w:val="superscript"/>
        </w:rPr>
        <w:t>1</w:t>
      </w:r>
    </w:p>
    <w:p w14:paraId="24C580A6" w14:textId="77777777" w:rsidR="00B46BF0" w:rsidRPr="00B46BF0" w:rsidRDefault="00B46BF0" w:rsidP="00B46BF0">
      <w:p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Clinical Presentation</w:t>
      </w:r>
    </w:p>
    <w:p w14:paraId="47E5168D" w14:textId="77777777" w:rsidR="00B46BF0" w:rsidRPr="00B46BF0" w:rsidRDefault="00B46BF0" w:rsidP="00B46BF0">
      <w:pPr>
        <w:numPr>
          <w:ilvl w:val="0"/>
          <w:numId w:val="2"/>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Typical Presentation:</w:t>
      </w:r>
    </w:p>
    <w:p w14:paraId="3A9F0C8B" w14:textId="77777777" w:rsidR="00B46BF0" w:rsidRPr="00B46BF0" w:rsidRDefault="00B46BF0" w:rsidP="00B46BF0">
      <w:pPr>
        <w:numPr>
          <w:ilvl w:val="1"/>
          <w:numId w:val="2"/>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A large palpable nodule in the neck</w:t>
      </w:r>
    </w:p>
    <w:p w14:paraId="02B10ADD" w14:textId="77777777" w:rsidR="00B46BF0" w:rsidRPr="00B46BF0" w:rsidRDefault="00B46BF0" w:rsidP="00B46BF0">
      <w:pPr>
        <w:numPr>
          <w:ilvl w:val="1"/>
          <w:numId w:val="2"/>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Incidental discovery on imaging for unrelated reasons</w:t>
      </w:r>
    </w:p>
    <w:p w14:paraId="5CFA7602" w14:textId="77777777" w:rsidR="00B46BF0" w:rsidRPr="00B46BF0" w:rsidRDefault="00B46BF0" w:rsidP="00B46BF0">
      <w:p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Malignancy Risk by Nodule Type</w:t>
      </w:r>
    </w:p>
    <w:p w14:paraId="0F8E0DA3" w14:textId="77777777" w:rsidR="00B46BF0" w:rsidRPr="00B46BF0" w:rsidRDefault="00B46BF0" w:rsidP="00B46BF0">
      <w:pPr>
        <w:numPr>
          <w:ilvl w:val="0"/>
          <w:numId w:val="3"/>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Solitary nodule: Higher per-nodule malignancy risk (2.7–30%)</w:t>
      </w:r>
    </w:p>
    <w:p w14:paraId="57ADE7B3" w14:textId="77777777" w:rsidR="00B46BF0" w:rsidRPr="00B46BF0" w:rsidRDefault="00B46BF0" w:rsidP="00B46BF0">
      <w:pPr>
        <w:numPr>
          <w:ilvl w:val="0"/>
          <w:numId w:val="3"/>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Single nodule within a multinodular gland: Lower per-nodule risk (1.4–10%)</w:t>
      </w:r>
    </w:p>
    <w:p w14:paraId="459EB4CA" w14:textId="77777777" w:rsidR="00B46BF0" w:rsidRPr="00B46BF0" w:rsidRDefault="00B46BF0" w:rsidP="00B46BF0">
      <w:pPr>
        <w:numPr>
          <w:ilvl w:val="0"/>
          <w:numId w:val="3"/>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Overall malignancy risk is similar between solitary and multinodular glands due to cumulative risk in the latter.</w:t>
      </w:r>
    </w:p>
    <w:p w14:paraId="748A7F66" w14:textId="77777777" w:rsidR="00B46BF0" w:rsidRPr="00B46BF0" w:rsidRDefault="00B46BF0" w:rsidP="00B46BF0">
      <w:p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Historical Risk Factors for Malignancy</w:t>
      </w:r>
    </w:p>
    <w:p w14:paraId="004659FB" w14:textId="77777777" w:rsidR="00B46BF0" w:rsidRPr="00B46BF0" w:rsidRDefault="00B46BF0" w:rsidP="00B46BF0">
      <w:pPr>
        <w:numPr>
          <w:ilvl w:val="0"/>
          <w:numId w:val="4"/>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Head and neck irradiation, especially in childhood</w:t>
      </w:r>
    </w:p>
    <w:p w14:paraId="25F69148" w14:textId="77777777" w:rsidR="00B46BF0" w:rsidRPr="00B46BF0" w:rsidRDefault="00B46BF0" w:rsidP="00B46BF0">
      <w:pPr>
        <w:numPr>
          <w:ilvl w:val="1"/>
          <w:numId w:val="4"/>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Relative risk = 8.7 per 1 Gy</w:t>
      </w:r>
    </w:p>
    <w:p w14:paraId="7F30393E" w14:textId="77777777" w:rsidR="00B46BF0" w:rsidRPr="00B46BF0" w:rsidRDefault="00B46BF0" w:rsidP="00B46BF0">
      <w:pPr>
        <w:numPr>
          <w:ilvl w:val="0"/>
          <w:numId w:val="4"/>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Rapid growth of the nodule</w:t>
      </w:r>
    </w:p>
    <w:p w14:paraId="7810EFB0" w14:textId="77777777" w:rsidR="00B46BF0" w:rsidRPr="00B46BF0" w:rsidRDefault="00B46BF0" w:rsidP="00B46BF0">
      <w:pPr>
        <w:numPr>
          <w:ilvl w:val="0"/>
          <w:numId w:val="4"/>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Dysphagia (difficulty swallowing)</w:t>
      </w:r>
    </w:p>
    <w:p w14:paraId="3CC82FFE" w14:textId="77777777" w:rsidR="00B46BF0" w:rsidRPr="00B46BF0" w:rsidRDefault="00B46BF0" w:rsidP="00B46BF0">
      <w:pPr>
        <w:numPr>
          <w:ilvl w:val="0"/>
          <w:numId w:val="4"/>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Dysphonia (voice changes)</w:t>
      </w:r>
    </w:p>
    <w:p w14:paraId="66E60341" w14:textId="77777777" w:rsidR="00B46BF0" w:rsidRPr="00B46BF0" w:rsidRDefault="00B46BF0" w:rsidP="00B46BF0">
      <w:pPr>
        <w:numPr>
          <w:ilvl w:val="0"/>
          <w:numId w:val="4"/>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Male gender</w:t>
      </w:r>
    </w:p>
    <w:p w14:paraId="2117C89B" w14:textId="77777777" w:rsidR="00B46BF0" w:rsidRPr="00B46BF0" w:rsidRDefault="00B46BF0" w:rsidP="00B46BF0">
      <w:pPr>
        <w:numPr>
          <w:ilvl w:val="0"/>
          <w:numId w:val="4"/>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Age extremes: &lt;20 or &gt;70 years</w:t>
      </w:r>
    </w:p>
    <w:p w14:paraId="28779CAE" w14:textId="77777777" w:rsidR="00B46BF0" w:rsidRPr="00B46BF0" w:rsidRDefault="00B46BF0" w:rsidP="00B46BF0">
      <w:pPr>
        <w:numPr>
          <w:ilvl w:val="0"/>
          <w:numId w:val="4"/>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Family history of:</w:t>
      </w:r>
    </w:p>
    <w:p w14:paraId="0FC285CC" w14:textId="77777777" w:rsidR="00B46BF0" w:rsidRPr="00B46BF0" w:rsidRDefault="00B46BF0" w:rsidP="00B46BF0">
      <w:pPr>
        <w:numPr>
          <w:ilvl w:val="1"/>
          <w:numId w:val="4"/>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Medullary thyroid carcinoma</w:t>
      </w:r>
    </w:p>
    <w:p w14:paraId="34939AA2" w14:textId="77777777" w:rsidR="00B46BF0" w:rsidRPr="00B46BF0" w:rsidRDefault="00B46BF0" w:rsidP="00B46BF0">
      <w:pPr>
        <w:numPr>
          <w:ilvl w:val="1"/>
          <w:numId w:val="4"/>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Multiple endocrine neoplasia (MEN)</w:t>
      </w:r>
    </w:p>
    <w:p w14:paraId="1DA0032F" w14:textId="77777777" w:rsidR="00B46BF0" w:rsidRPr="00B46BF0" w:rsidRDefault="00B46BF0" w:rsidP="00B46BF0">
      <w:p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Physical Exam Findings Suggestive of Malignancy</w:t>
      </w:r>
    </w:p>
    <w:p w14:paraId="1EA6DCBF" w14:textId="77777777" w:rsidR="00B46BF0" w:rsidRPr="00B46BF0" w:rsidRDefault="00B46BF0" w:rsidP="00B46BF0">
      <w:pPr>
        <w:numPr>
          <w:ilvl w:val="0"/>
          <w:numId w:val="5"/>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Nodule size &gt; 4 cm (≈19.3% malignancy risk)</w:t>
      </w:r>
    </w:p>
    <w:p w14:paraId="026F477C" w14:textId="77777777" w:rsidR="00B46BF0" w:rsidRPr="00B46BF0" w:rsidRDefault="00B46BF0" w:rsidP="00B46BF0">
      <w:pPr>
        <w:numPr>
          <w:ilvl w:val="0"/>
          <w:numId w:val="5"/>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Firmness on palpation</w:t>
      </w:r>
    </w:p>
    <w:p w14:paraId="02160717" w14:textId="77777777" w:rsidR="00B46BF0" w:rsidRPr="00B46BF0" w:rsidRDefault="00B46BF0" w:rsidP="00B46BF0">
      <w:pPr>
        <w:numPr>
          <w:ilvl w:val="0"/>
          <w:numId w:val="5"/>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Fixation to adjacent structures</w:t>
      </w:r>
    </w:p>
    <w:p w14:paraId="221AA2D3" w14:textId="77777777" w:rsidR="00B46BF0" w:rsidRPr="00B46BF0" w:rsidRDefault="00B46BF0" w:rsidP="00B46BF0">
      <w:pPr>
        <w:numPr>
          <w:ilvl w:val="0"/>
          <w:numId w:val="5"/>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Cervical lymphadenopathy (&gt;1 cm)</w:t>
      </w:r>
    </w:p>
    <w:p w14:paraId="72E53C3B" w14:textId="77777777" w:rsidR="00B46BF0" w:rsidRPr="00B46BF0" w:rsidRDefault="00B46BF0" w:rsidP="00B46BF0">
      <w:pPr>
        <w:numPr>
          <w:ilvl w:val="1"/>
          <w:numId w:val="5"/>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PPV = 100%</w:t>
      </w:r>
    </w:p>
    <w:p w14:paraId="5F4495D9" w14:textId="77777777" w:rsidR="00B46BF0" w:rsidRPr="00B46BF0" w:rsidRDefault="00B46BF0" w:rsidP="00B46BF0">
      <w:pPr>
        <w:numPr>
          <w:ilvl w:val="0"/>
          <w:numId w:val="5"/>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Vocal fold immobility</w:t>
      </w:r>
    </w:p>
    <w:p w14:paraId="65358DC1" w14:textId="77777777" w:rsidR="00B46BF0" w:rsidRPr="00B46BF0" w:rsidRDefault="00B46BF0" w:rsidP="00B46BF0">
      <w:pPr>
        <w:numPr>
          <w:ilvl w:val="1"/>
          <w:numId w:val="5"/>
        </w:num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lastRenderedPageBreak/>
        <w:t>PPV = 100%</w:t>
      </w:r>
    </w:p>
    <w:p w14:paraId="528C22D8" w14:textId="77777777" w:rsidR="00B46BF0" w:rsidRDefault="00B46BF0" w:rsidP="00B46BF0">
      <w:pPr>
        <w:spacing w:line="276" w:lineRule="auto"/>
        <w:jc w:val="both"/>
        <w:rPr>
          <w:rFonts w:ascii="Times New Roman" w:hAnsi="Times New Roman" w:cs="Times New Roman"/>
          <w:sz w:val="24"/>
          <w:szCs w:val="24"/>
        </w:rPr>
      </w:pPr>
      <w:r w:rsidRPr="00B46BF0">
        <w:rPr>
          <w:rFonts w:ascii="Times New Roman" w:hAnsi="Times New Roman" w:cs="Times New Roman"/>
          <w:sz w:val="24"/>
          <w:szCs w:val="24"/>
        </w:rPr>
        <w:t>Note: Voice quality alone is not a sensitive indicator of vocal fold immobility. Flexible laryngoscopy is essential for accurate evaluation.</w:t>
      </w:r>
    </w:p>
    <w:p w14:paraId="65218A5D" w14:textId="77777777" w:rsidR="002D6474" w:rsidRDefault="002D6474" w:rsidP="00B46BF0">
      <w:pPr>
        <w:spacing w:line="276" w:lineRule="auto"/>
        <w:jc w:val="both"/>
        <w:rPr>
          <w:rFonts w:ascii="Times New Roman" w:hAnsi="Times New Roman" w:cs="Times New Roman"/>
          <w:b/>
          <w:bCs/>
          <w:sz w:val="24"/>
          <w:szCs w:val="24"/>
        </w:rPr>
      </w:pPr>
    </w:p>
    <w:p w14:paraId="52C60014" w14:textId="77777777" w:rsidR="00277385" w:rsidRPr="007A5013" w:rsidRDefault="00277385" w:rsidP="00B46BF0">
      <w:pPr>
        <w:spacing w:line="276" w:lineRule="auto"/>
        <w:jc w:val="both"/>
        <w:rPr>
          <w:rFonts w:ascii="Times New Roman" w:hAnsi="Times New Roman" w:cs="Times New Roman"/>
          <w:b/>
          <w:bCs/>
          <w:sz w:val="24"/>
          <w:szCs w:val="24"/>
          <w:vertAlign w:val="superscript"/>
        </w:rPr>
      </w:pPr>
      <w:r w:rsidRPr="00277385">
        <w:rPr>
          <w:rFonts w:ascii="Times New Roman" w:hAnsi="Times New Roman" w:cs="Times New Roman"/>
          <w:b/>
          <w:bCs/>
          <w:sz w:val="24"/>
          <w:szCs w:val="24"/>
        </w:rPr>
        <w:t>LABORATORY STUDIES</w:t>
      </w:r>
      <w:r w:rsidR="007A5013">
        <w:rPr>
          <w:rFonts w:ascii="Times New Roman" w:hAnsi="Times New Roman" w:cs="Times New Roman"/>
          <w:b/>
          <w:bCs/>
          <w:sz w:val="24"/>
          <w:szCs w:val="24"/>
          <w:vertAlign w:val="superscript"/>
        </w:rPr>
        <w:t>1</w:t>
      </w:r>
    </w:p>
    <w:p w14:paraId="10FDE77E" w14:textId="77777777" w:rsidR="00277385" w:rsidRPr="002A5EBF" w:rsidRDefault="00277385" w:rsidP="002A5EBF">
      <w:pPr>
        <w:pStyle w:val="ListParagraph"/>
        <w:numPr>
          <w:ilvl w:val="0"/>
          <w:numId w:val="10"/>
        </w:numPr>
        <w:spacing w:line="276" w:lineRule="auto"/>
        <w:jc w:val="both"/>
        <w:rPr>
          <w:rFonts w:ascii="Times New Roman" w:hAnsi="Times New Roman" w:cs="Times New Roman"/>
          <w:sz w:val="24"/>
          <w:szCs w:val="24"/>
        </w:rPr>
      </w:pPr>
      <w:r w:rsidRPr="002A5EBF">
        <w:rPr>
          <w:rFonts w:ascii="Times New Roman" w:hAnsi="Times New Roman" w:cs="Times New Roman"/>
          <w:sz w:val="24"/>
          <w:szCs w:val="24"/>
        </w:rPr>
        <w:t>Initial Test – TSH: The first-line test for evaluating a solitary thyroid nodule is serum thyrotropin (TSH) to assess thyroid function.</w:t>
      </w:r>
    </w:p>
    <w:p w14:paraId="77A699A6" w14:textId="77777777" w:rsidR="00277385" w:rsidRPr="002A5EBF" w:rsidRDefault="00277385" w:rsidP="002A5EBF">
      <w:pPr>
        <w:pStyle w:val="ListParagraph"/>
        <w:numPr>
          <w:ilvl w:val="0"/>
          <w:numId w:val="8"/>
        </w:numPr>
        <w:spacing w:line="276" w:lineRule="auto"/>
        <w:jc w:val="both"/>
        <w:rPr>
          <w:rFonts w:ascii="Times New Roman" w:hAnsi="Times New Roman" w:cs="Times New Roman"/>
          <w:sz w:val="24"/>
          <w:szCs w:val="24"/>
        </w:rPr>
      </w:pPr>
      <w:r w:rsidRPr="002A5EBF">
        <w:rPr>
          <w:rFonts w:ascii="Times New Roman" w:hAnsi="Times New Roman" w:cs="Times New Roman"/>
          <w:sz w:val="24"/>
          <w:szCs w:val="24"/>
        </w:rPr>
        <w:t>TSH Below Normal: If TSH is low, additional tests for free or total T4 and total T3 are required to assess for hyperthyroidism.</w:t>
      </w:r>
    </w:p>
    <w:p w14:paraId="4D615D14" w14:textId="77777777" w:rsidR="00277385" w:rsidRPr="002A5EBF" w:rsidRDefault="00277385" w:rsidP="002A5EBF">
      <w:pPr>
        <w:pStyle w:val="ListParagraph"/>
        <w:numPr>
          <w:ilvl w:val="0"/>
          <w:numId w:val="8"/>
        </w:numPr>
        <w:spacing w:line="276" w:lineRule="auto"/>
        <w:jc w:val="both"/>
        <w:rPr>
          <w:rFonts w:ascii="Times New Roman" w:hAnsi="Times New Roman" w:cs="Times New Roman"/>
          <w:sz w:val="24"/>
          <w:szCs w:val="24"/>
        </w:rPr>
      </w:pPr>
      <w:r w:rsidRPr="002A5EBF">
        <w:rPr>
          <w:rFonts w:ascii="Times New Roman" w:hAnsi="Times New Roman" w:cs="Times New Roman"/>
          <w:sz w:val="24"/>
          <w:szCs w:val="24"/>
        </w:rPr>
        <w:t>Hyperfunctioning Nodules: About 10% of solitary nodules are associated with low TSH, indicating a likely benign hyperfunctioning adenoma.</w:t>
      </w:r>
    </w:p>
    <w:p w14:paraId="2B3CB823" w14:textId="77777777" w:rsidR="00277385" w:rsidRPr="002A5EBF" w:rsidRDefault="00277385" w:rsidP="002A5EBF">
      <w:pPr>
        <w:pStyle w:val="ListParagraph"/>
        <w:numPr>
          <w:ilvl w:val="0"/>
          <w:numId w:val="8"/>
        </w:numPr>
        <w:spacing w:line="276" w:lineRule="auto"/>
        <w:jc w:val="both"/>
        <w:rPr>
          <w:rFonts w:ascii="Times New Roman" w:hAnsi="Times New Roman" w:cs="Times New Roman"/>
          <w:sz w:val="24"/>
          <w:szCs w:val="24"/>
        </w:rPr>
      </w:pPr>
      <w:r w:rsidRPr="002A5EBF">
        <w:rPr>
          <w:rFonts w:ascii="Times New Roman" w:hAnsi="Times New Roman" w:cs="Times New Roman"/>
          <w:sz w:val="24"/>
          <w:szCs w:val="24"/>
        </w:rPr>
        <w:t>Hyperthyroidism Suggests Benignity: A hyperfunctioning nodule is generally considered less likely to be malignant.</w:t>
      </w:r>
    </w:p>
    <w:p w14:paraId="5370D175" w14:textId="77777777" w:rsidR="00277385" w:rsidRPr="002A5EBF" w:rsidRDefault="00277385" w:rsidP="002A5EBF">
      <w:pPr>
        <w:pStyle w:val="ListParagraph"/>
        <w:numPr>
          <w:ilvl w:val="0"/>
          <w:numId w:val="8"/>
        </w:numPr>
        <w:spacing w:line="276" w:lineRule="auto"/>
        <w:jc w:val="both"/>
        <w:rPr>
          <w:rFonts w:ascii="Times New Roman" w:hAnsi="Times New Roman" w:cs="Times New Roman"/>
          <w:sz w:val="24"/>
          <w:szCs w:val="24"/>
        </w:rPr>
      </w:pPr>
      <w:r w:rsidRPr="002A5EBF">
        <w:rPr>
          <w:rFonts w:ascii="Times New Roman" w:hAnsi="Times New Roman" w:cs="Times New Roman"/>
          <w:sz w:val="24"/>
          <w:szCs w:val="24"/>
        </w:rPr>
        <w:t>Calcitonin Testing Indication: Serum calcitonin should be measured in high-risk patients, particularly those with:</w:t>
      </w:r>
    </w:p>
    <w:p w14:paraId="2A205EEE" w14:textId="77777777" w:rsidR="00277385" w:rsidRPr="00277385" w:rsidRDefault="00277385" w:rsidP="00277385">
      <w:pPr>
        <w:numPr>
          <w:ilvl w:val="0"/>
          <w:numId w:val="7"/>
        </w:numPr>
        <w:spacing w:line="276" w:lineRule="auto"/>
        <w:jc w:val="both"/>
        <w:rPr>
          <w:rFonts w:ascii="Times New Roman" w:hAnsi="Times New Roman" w:cs="Times New Roman"/>
          <w:sz w:val="24"/>
          <w:szCs w:val="24"/>
        </w:rPr>
      </w:pPr>
      <w:r w:rsidRPr="00277385">
        <w:rPr>
          <w:rFonts w:ascii="Times New Roman" w:hAnsi="Times New Roman" w:cs="Times New Roman"/>
          <w:sz w:val="24"/>
          <w:szCs w:val="24"/>
        </w:rPr>
        <w:t>A family history of medullary thyroid carcinoma (MTC)</w:t>
      </w:r>
    </w:p>
    <w:p w14:paraId="36E699BE" w14:textId="77777777" w:rsidR="00277385" w:rsidRPr="00277385" w:rsidRDefault="00277385" w:rsidP="00277385">
      <w:pPr>
        <w:numPr>
          <w:ilvl w:val="0"/>
          <w:numId w:val="7"/>
        </w:numPr>
        <w:spacing w:line="276" w:lineRule="auto"/>
        <w:jc w:val="both"/>
        <w:rPr>
          <w:rFonts w:ascii="Times New Roman" w:hAnsi="Times New Roman" w:cs="Times New Roman"/>
          <w:sz w:val="24"/>
          <w:szCs w:val="24"/>
        </w:rPr>
      </w:pPr>
      <w:r w:rsidRPr="00277385">
        <w:rPr>
          <w:rFonts w:ascii="Times New Roman" w:hAnsi="Times New Roman" w:cs="Times New Roman"/>
          <w:sz w:val="24"/>
          <w:szCs w:val="24"/>
        </w:rPr>
        <w:t>Multiple endocrine neoplasia (MEN) types 2A or 2B</w:t>
      </w:r>
    </w:p>
    <w:p w14:paraId="47A4DA3A" w14:textId="77777777" w:rsidR="00277385" w:rsidRPr="00277385" w:rsidRDefault="00277385" w:rsidP="00277385">
      <w:pPr>
        <w:numPr>
          <w:ilvl w:val="0"/>
          <w:numId w:val="7"/>
        </w:numPr>
        <w:spacing w:line="276" w:lineRule="auto"/>
        <w:jc w:val="both"/>
        <w:rPr>
          <w:rFonts w:ascii="Times New Roman" w:hAnsi="Times New Roman" w:cs="Times New Roman"/>
          <w:sz w:val="24"/>
          <w:szCs w:val="24"/>
        </w:rPr>
      </w:pPr>
      <w:r w:rsidRPr="00277385">
        <w:rPr>
          <w:rFonts w:ascii="Times New Roman" w:hAnsi="Times New Roman" w:cs="Times New Roman"/>
          <w:sz w:val="24"/>
          <w:szCs w:val="24"/>
        </w:rPr>
        <w:t>Pheochromocytoma</w:t>
      </w:r>
    </w:p>
    <w:p w14:paraId="1A54B27F" w14:textId="77777777" w:rsidR="00277385" w:rsidRPr="00277385" w:rsidRDefault="00277385" w:rsidP="00277385">
      <w:pPr>
        <w:numPr>
          <w:ilvl w:val="0"/>
          <w:numId w:val="7"/>
        </w:numPr>
        <w:spacing w:line="276" w:lineRule="auto"/>
        <w:jc w:val="both"/>
        <w:rPr>
          <w:rFonts w:ascii="Times New Roman" w:hAnsi="Times New Roman" w:cs="Times New Roman"/>
          <w:sz w:val="24"/>
          <w:szCs w:val="24"/>
        </w:rPr>
      </w:pPr>
      <w:r w:rsidRPr="00277385">
        <w:rPr>
          <w:rFonts w:ascii="Times New Roman" w:hAnsi="Times New Roman" w:cs="Times New Roman"/>
          <w:sz w:val="24"/>
          <w:szCs w:val="24"/>
        </w:rPr>
        <w:t>Hyperparathyroidism</w:t>
      </w:r>
    </w:p>
    <w:p w14:paraId="3E507A4B" w14:textId="77777777" w:rsidR="00277385" w:rsidRPr="002A5EBF" w:rsidRDefault="00277385" w:rsidP="002A5EBF">
      <w:pPr>
        <w:pStyle w:val="ListParagraph"/>
        <w:numPr>
          <w:ilvl w:val="0"/>
          <w:numId w:val="9"/>
        </w:numPr>
        <w:spacing w:line="276" w:lineRule="auto"/>
        <w:jc w:val="both"/>
        <w:rPr>
          <w:rFonts w:ascii="Times New Roman" w:hAnsi="Times New Roman" w:cs="Times New Roman"/>
          <w:sz w:val="24"/>
          <w:szCs w:val="24"/>
        </w:rPr>
      </w:pPr>
      <w:r w:rsidRPr="002A5EBF">
        <w:rPr>
          <w:rFonts w:ascii="Times New Roman" w:hAnsi="Times New Roman" w:cs="Times New Roman"/>
          <w:sz w:val="24"/>
          <w:szCs w:val="24"/>
        </w:rPr>
        <w:t>Rarity of MTC: Only about 1 in 250 thyroid nodules turn out to be medullary thyroid carcinoma, making routine calcitonin screening unnecessary for most.</w:t>
      </w:r>
    </w:p>
    <w:p w14:paraId="30706604" w14:textId="77777777" w:rsidR="00277385" w:rsidRPr="002A5EBF" w:rsidRDefault="00277385" w:rsidP="002A5EBF">
      <w:pPr>
        <w:pStyle w:val="ListParagraph"/>
        <w:numPr>
          <w:ilvl w:val="0"/>
          <w:numId w:val="9"/>
        </w:numPr>
        <w:spacing w:line="276" w:lineRule="auto"/>
        <w:jc w:val="both"/>
        <w:rPr>
          <w:rFonts w:ascii="Times New Roman" w:hAnsi="Times New Roman" w:cs="Times New Roman"/>
          <w:sz w:val="24"/>
          <w:szCs w:val="24"/>
        </w:rPr>
      </w:pPr>
      <w:r w:rsidRPr="002A5EBF">
        <w:rPr>
          <w:rFonts w:ascii="Times New Roman" w:hAnsi="Times New Roman" w:cs="Times New Roman"/>
          <w:sz w:val="24"/>
          <w:szCs w:val="24"/>
        </w:rPr>
        <w:t>Calcitonin Not Diagnostic Alone: Elevated calcitonin levels cannot reliably differentiate between benign and malignant thyroid disease.</w:t>
      </w:r>
    </w:p>
    <w:p w14:paraId="630667F7" w14:textId="77777777" w:rsidR="00277385" w:rsidRPr="002A5EBF" w:rsidRDefault="00277385" w:rsidP="002A5EBF">
      <w:pPr>
        <w:pStyle w:val="ListParagraph"/>
        <w:numPr>
          <w:ilvl w:val="0"/>
          <w:numId w:val="9"/>
        </w:numPr>
        <w:spacing w:line="276" w:lineRule="auto"/>
        <w:jc w:val="both"/>
        <w:rPr>
          <w:rFonts w:ascii="Times New Roman" w:hAnsi="Times New Roman" w:cs="Times New Roman"/>
          <w:sz w:val="24"/>
          <w:szCs w:val="24"/>
        </w:rPr>
      </w:pPr>
      <w:r w:rsidRPr="002A5EBF">
        <w:rPr>
          <w:rFonts w:ascii="Times New Roman" w:hAnsi="Times New Roman" w:cs="Times New Roman"/>
          <w:sz w:val="24"/>
          <w:szCs w:val="24"/>
        </w:rPr>
        <w:t>High Specificity Use: Because of its limited utility in general screening, calcitonin is reserved for targeted use in genetically predisposed individuals.</w:t>
      </w:r>
    </w:p>
    <w:p w14:paraId="07CF57A2" w14:textId="77777777" w:rsidR="00277385" w:rsidRPr="002A5EBF" w:rsidRDefault="00277385" w:rsidP="002A5EBF">
      <w:pPr>
        <w:pStyle w:val="ListParagraph"/>
        <w:numPr>
          <w:ilvl w:val="0"/>
          <w:numId w:val="9"/>
        </w:numPr>
        <w:spacing w:line="276" w:lineRule="auto"/>
        <w:jc w:val="both"/>
        <w:rPr>
          <w:rFonts w:ascii="Times New Roman" w:hAnsi="Times New Roman" w:cs="Times New Roman"/>
          <w:sz w:val="24"/>
          <w:szCs w:val="24"/>
        </w:rPr>
      </w:pPr>
      <w:r w:rsidRPr="002A5EBF">
        <w:rPr>
          <w:rFonts w:ascii="Times New Roman" w:hAnsi="Times New Roman" w:cs="Times New Roman"/>
          <w:sz w:val="24"/>
          <w:szCs w:val="24"/>
        </w:rPr>
        <w:t>TSH as a Triage Tool: The TSH level helps guide the diagnostic pathway—toward imaging or toward biochemical workup for hyperthyroidism.</w:t>
      </w:r>
    </w:p>
    <w:p w14:paraId="3861A0B8" w14:textId="77777777" w:rsidR="00277385" w:rsidRDefault="00277385" w:rsidP="002A5EBF">
      <w:pPr>
        <w:pStyle w:val="ListParagraph"/>
        <w:numPr>
          <w:ilvl w:val="0"/>
          <w:numId w:val="9"/>
        </w:numPr>
        <w:spacing w:line="276" w:lineRule="auto"/>
        <w:jc w:val="both"/>
        <w:rPr>
          <w:rFonts w:ascii="Times New Roman" w:hAnsi="Times New Roman" w:cs="Times New Roman"/>
          <w:sz w:val="24"/>
          <w:szCs w:val="24"/>
        </w:rPr>
      </w:pPr>
      <w:r w:rsidRPr="002A5EBF">
        <w:rPr>
          <w:rFonts w:ascii="Times New Roman" w:hAnsi="Times New Roman" w:cs="Times New Roman"/>
          <w:sz w:val="24"/>
          <w:szCs w:val="24"/>
        </w:rPr>
        <w:t>Euthyroid Majority: Most patients with a thyroid nodule will be euthyroid, reinforcing TSH as a cost-effective initial screening test.</w:t>
      </w:r>
    </w:p>
    <w:p w14:paraId="145F7588" w14:textId="77777777" w:rsidR="002D6474" w:rsidRDefault="002D6474" w:rsidP="00340B1D">
      <w:pPr>
        <w:spacing w:line="276" w:lineRule="auto"/>
        <w:jc w:val="both"/>
        <w:rPr>
          <w:rFonts w:ascii="Times New Roman" w:hAnsi="Times New Roman" w:cs="Times New Roman"/>
          <w:b/>
          <w:bCs/>
          <w:sz w:val="24"/>
          <w:szCs w:val="24"/>
        </w:rPr>
      </w:pPr>
    </w:p>
    <w:p w14:paraId="3F2C9927" w14:textId="77777777" w:rsidR="000D4A23" w:rsidRDefault="000D4A23" w:rsidP="00340B1D">
      <w:pPr>
        <w:spacing w:line="276" w:lineRule="auto"/>
        <w:jc w:val="both"/>
        <w:rPr>
          <w:rFonts w:ascii="Times New Roman" w:hAnsi="Times New Roman" w:cs="Times New Roman"/>
          <w:b/>
          <w:bCs/>
          <w:sz w:val="24"/>
          <w:szCs w:val="24"/>
        </w:rPr>
      </w:pPr>
    </w:p>
    <w:p w14:paraId="63571F41" w14:textId="77777777" w:rsidR="000D4A23" w:rsidRDefault="000D4A23" w:rsidP="00340B1D">
      <w:pPr>
        <w:spacing w:line="276" w:lineRule="auto"/>
        <w:jc w:val="both"/>
        <w:rPr>
          <w:rFonts w:ascii="Times New Roman" w:hAnsi="Times New Roman" w:cs="Times New Roman"/>
          <w:b/>
          <w:bCs/>
          <w:sz w:val="24"/>
          <w:szCs w:val="24"/>
        </w:rPr>
      </w:pPr>
    </w:p>
    <w:p w14:paraId="3FD93C5F" w14:textId="77777777" w:rsidR="000D4A23" w:rsidRDefault="000D4A23" w:rsidP="00340B1D">
      <w:pPr>
        <w:spacing w:line="276" w:lineRule="auto"/>
        <w:jc w:val="both"/>
        <w:rPr>
          <w:rFonts w:ascii="Times New Roman" w:hAnsi="Times New Roman" w:cs="Times New Roman"/>
          <w:b/>
          <w:bCs/>
          <w:sz w:val="24"/>
          <w:szCs w:val="24"/>
        </w:rPr>
      </w:pPr>
    </w:p>
    <w:p w14:paraId="40E8FEAB" w14:textId="77777777" w:rsidR="000D4A23" w:rsidRDefault="000D4A23" w:rsidP="00340B1D">
      <w:pPr>
        <w:spacing w:line="276" w:lineRule="auto"/>
        <w:jc w:val="both"/>
        <w:rPr>
          <w:rFonts w:ascii="Times New Roman" w:hAnsi="Times New Roman" w:cs="Times New Roman"/>
          <w:b/>
          <w:bCs/>
          <w:sz w:val="24"/>
          <w:szCs w:val="24"/>
        </w:rPr>
      </w:pPr>
    </w:p>
    <w:p w14:paraId="2A327691" w14:textId="77777777" w:rsidR="000D4A23" w:rsidRDefault="000D4A23" w:rsidP="00340B1D">
      <w:pPr>
        <w:spacing w:line="276" w:lineRule="auto"/>
        <w:jc w:val="both"/>
        <w:rPr>
          <w:rFonts w:ascii="Times New Roman" w:hAnsi="Times New Roman" w:cs="Times New Roman"/>
          <w:b/>
          <w:bCs/>
          <w:sz w:val="24"/>
          <w:szCs w:val="24"/>
        </w:rPr>
      </w:pPr>
    </w:p>
    <w:p w14:paraId="51E80DE4" w14:textId="77777777" w:rsidR="000D4A23" w:rsidRDefault="000D4A23" w:rsidP="00340B1D">
      <w:pPr>
        <w:spacing w:line="276" w:lineRule="auto"/>
        <w:jc w:val="both"/>
        <w:rPr>
          <w:rFonts w:ascii="Times New Roman" w:hAnsi="Times New Roman" w:cs="Times New Roman"/>
          <w:b/>
          <w:bCs/>
          <w:sz w:val="24"/>
          <w:szCs w:val="24"/>
        </w:rPr>
      </w:pPr>
    </w:p>
    <w:p w14:paraId="46C4FF86" w14:textId="7DCD8EB1" w:rsidR="00340B1D" w:rsidRPr="00994CB4" w:rsidRDefault="00340B1D" w:rsidP="00340B1D">
      <w:pPr>
        <w:spacing w:line="276" w:lineRule="auto"/>
        <w:jc w:val="both"/>
        <w:rPr>
          <w:rFonts w:ascii="Times New Roman" w:hAnsi="Times New Roman" w:cs="Times New Roman"/>
          <w:b/>
          <w:bCs/>
          <w:sz w:val="24"/>
          <w:szCs w:val="24"/>
          <w:vertAlign w:val="superscript"/>
        </w:rPr>
      </w:pPr>
      <w:r w:rsidRPr="00994CB4">
        <w:rPr>
          <w:rFonts w:ascii="Times New Roman" w:hAnsi="Times New Roman" w:cs="Times New Roman"/>
          <w:b/>
          <w:bCs/>
          <w:sz w:val="24"/>
          <w:szCs w:val="24"/>
        </w:rPr>
        <w:lastRenderedPageBreak/>
        <w:t>EVALUATION OF SOLITORY THYROID NODULE EVALUATION</w:t>
      </w:r>
      <w:r w:rsidR="00943354" w:rsidRPr="00994CB4">
        <w:rPr>
          <w:rFonts w:ascii="Times New Roman" w:hAnsi="Times New Roman" w:cs="Times New Roman"/>
          <w:b/>
          <w:bCs/>
          <w:sz w:val="24"/>
          <w:szCs w:val="24"/>
        </w:rPr>
        <w:t>.</w:t>
      </w:r>
      <w:r w:rsidR="00943354" w:rsidRPr="00994CB4">
        <w:rPr>
          <w:rFonts w:ascii="Times New Roman" w:hAnsi="Times New Roman" w:cs="Times New Roman"/>
          <w:b/>
          <w:bCs/>
          <w:sz w:val="24"/>
          <w:szCs w:val="24"/>
          <w:vertAlign w:val="superscript"/>
        </w:rPr>
        <w:t>9</w:t>
      </w:r>
    </w:p>
    <w:p w14:paraId="0E8B86F5" w14:textId="6289AD8D" w:rsidR="00340B1D" w:rsidRPr="00340B1D" w:rsidRDefault="001B3D1A" w:rsidP="00340B1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Chart </w:t>
      </w:r>
      <w:proofErr w:type="gramStart"/>
      <w:r>
        <w:rPr>
          <w:rFonts w:ascii="Times New Roman" w:hAnsi="Times New Roman" w:cs="Times New Roman"/>
          <w:sz w:val="24"/>
          <w:szCs w:val="24"/>
          <w:lang w:val="en-US"/>
        </w:rPr>
        <w:t>1 :</w:t>
      </w:r>
      <w:proofErr w:type="gramEnd"/>
      <w:r>
        <w:rPr>
          <w:rFonts w:ascii="Times New Roman" w:hAnsi="Times New Roman" w:cs="Times New Roman"/>
          <w:sz w:val="24"/>
          <w:szCs w:val="24"/>
          <w:lang w:val="en-US"/>
        </w:rPr>
        <w:t xml:space="preserve"> </w:t>
      </w:r>
      <w:r w:rsidR="00340B1D" w:rsidRPr="00340B1D">
        <w:rPr>
          <w:rFonts w:ascii="Times New Roman" w:hAnsi="Times New Roman" w:cs="Times New Roman"/>
          <w:sz w:val="24"/>
          <w:szCs w:val="24"/>
          <w:lang w:val="en-US"/>
        </w:rPr>
        <w:t>SOLITORY THYROID NODULE</w:t>
      </w:r>
    </w:p>
    <w:p w14:paraId="19C51F3A" w14:textId="77777777" w:rsidR="00340B1D" w:rsidRPr="00340B1D" w:rsidRDefault="00340B1D" w:rsidP="00340B1D">
      <w:pPr>
        <w:numPr>
          <w:ilvl w:val="0"/>
          <w:numId w:val="22"/>
        </w:numPr>
        <w:spacing w:line="276" w:lineRule="auto"/>
        <w:jc w:val="center"/>
        <w:rPr>
          <w:rFonts w:ascii="Times New Roman" w:hAnsi="Times New Roman" w:cs="Times New Roman"/>
          <w:sz w:val="24"/>
          <w:szCs w:val="24"/>
          <w:lang w:val="en-US"/>
        </w:rPr>
      </w:pPr>
      <w:r w:rsidRPr="00340B1D">
        <w:rPr>
          <w:rFonts w:ascii="Times New Roman" w:hAnsi="Times New Roman" w:cs="Times New Roman"/>
          <w:sz w:val="24"/>
          <w:szCs w:val="24"/>
          <w:lang w:val="en-US"/>
        </w:rPr>
        <w:t>TAKE HISTORY AND CLINICAL EXAMINATION</w:t>
      </w:r>
    </w:p>
    <w:p w14:paraId="3A4BACB7" w14:textId="77777777" w:rsidR="00340B1D" w:rsidRPr="00340B1D" w:rsidRDefault="00340B1D" w:rsidP="00340B1D">
      <w:pPr>
        <w:numPr>
          <w:ilvl w:val="0"/>
          <w:numId w:val="22"/>
        </w:numPr>
        <w:spacing w:line="276" w:lineRule="auto"/>
        <w:jc w:val="center"/>
        <w:rPr>
          <w:rFonts w:ascii="Times New Roman" w:hAnsi="Times New Roman" w:cs="Times New Roman"/>
          <w:sz w:val="24"/>
          <w:szCs w:val="24"/>
          <w:lang w:val="en-US"/>
        </w:rPr>
      </w:pPr>
      <w:r w:rsidRPr="00340B1D">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7748397F" wp14:editId="28D2C68F">
                <wp:simplePos x="0" y="0"/>
                <wp:positionH relativeFrom="column">
                  <wp:posOffset>2819400</wp:posOffset>
                </wp:positionH>
                <wp:positionV relativeFrom="paragraph">
                  <wp:posOffset>175895</wp:posOffset>
                </wp:positionV>
                <wp:extent cx="66675" cy="228600"/>
                <wp:effectExtent l="19050" t="13970" r="19050" b="14605"/>
                <wp:wrapNone/>
                <wp:docPr id="594222893" name="Arrow: 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228600"/>
                        </a:xfrm>
                        <a:prstGeom prst="downArrow">
                          <a:avLst>
                            <a:gd name="adj1" fmla="val 50000"/>
                            <a:gd name="adj2" fmla="val 8571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AE2B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4" o:spid="_x0000_s1026" type="#_x0000_t67" style="position:absolute;margin-left:222pt;margin-top:13.85pt;width:5.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">
                <v:textbox style="layout-flow:vertical-ideographic"/>
              </v:shape>
            </w:pict>
          </mc:Fallback>
        </mc:AlternateContent>
      </w:r>
      <w:r w:rsidRPr="00340B1D">
        <w:rPr>
          <w:rFonts w:ascii="Times New Roman" w:hAnsi="Times New Roman" w:cs="Times New Roman"/>
          <w:sz w:val="24"/>
          <w:szCs w:val="24"/>
          <w:lang w:val="en-US"/>
        </w:rPr>
        <w:t xml:space="preserve">GO FOR THYROID PROFILE </w:t>
      </w:r>
      <w:proofErr w:type="gramStart"/>
      <w:r w:rsidRPr="00340B1D">
        <w:rPr>
          <w:rFonts w:ascii="Times New Roman" w:hAnsi="Times New Roman" w:cs="Times New Roman"/>
          <w:sz w:val="24"/>
          <w:szCs w:val="24"/>
          <w:lang w:val="en-US"/>
        </w:rPr>
        <w:t>( T</w:t>
      </w:r>
      <w:proofErr w:type="gramEnd"/>
      <w:r w:rsidRPr="00340B1D">
        <w:rPr>
          <w:rFonts w:ascii="Times New Roman" w:hAnsi="Times New Roman" w:cs="Times New Roman"/>
          <w:sz w:val="24"/>
          <w:szCs w:val="24"/>
          <w:lang w:val="en-US"/>
        </w:rPr>
        <w:t>3/T4/TSH)</w:t>
      </w:r>
    </w:p>
    <w:p w14:paraId="042DCE9D" w14:textId="77777777" w:rsidR="00340B1D" w:rsidRPr="00340B1D" w:rsidRDefault="00340B1D" w:rsidP="00340B1D">
      <w:pPr>
        <w:spacing w:line="276" w:lineRule="auto"/>
        <w:jc w:val="center"/>
        <w:rPr>
          <w:rFonts w:ascii="Times New Roman" w:hAnsi="Times New Roman" w:cs="Times New Roman"/>
          <w:sz w:val="24"/>
          <w:szCs w:val="24"/>
          <w:lang w:val="en-US"/>
        </w:rPr>
      </w:pPr>
      <w:r w:rsidRPr="00340B1D">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39181485" wp14:editId="6BD81179">
                <wp:simplePos x="0" y="0"/>
                <wp:positionH relativeFrom="column">
                  <wp:posOffset>3365500</wp:posOffset>
                </wp:positionH>
                <wp:positionV relativeFrom="paragraph">
                  <wp:posOffset>116205</wp:posOffset>
                </wp:positionV>
                <wp:extent cx="66675" cy="228600"/>
                <wp:effectExtent l="19050" t="13970" r="19050" b="14605"/>
                <wp:wrapNone/>
                <wp:docPr id="1717571208" name="Arrow: 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228600"/>
                        </a:xfrm>
                        <a:prstGeom prst="downArrow">
                          <a:avLst>
                            <a:gd name="adj1" fmla="val 50000"/>
                            <a:gd name="adj2" fmla="val 8571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1D7E25" id="Arrow: Down 24" o:spid="_x0000_s1026" type="#_x0000_t67" style="position:absolute;margin-left:265pt;margin-top:9.15pt;width:5.2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">
                <v:textbox style="layout-flow:vertical-ideographic"/>
              </v:shape>
            </w:pict>
          </mc:Fallback>
        </mc:AlternateContent>
      </w:r>
      <w:r w:rsidRPr="00340B1D">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5B234305" wp14:editId="72CEFE97">
                <wp:simplePos x="0" y="0"/>
                <wp:positionH relativeFrom="column">
                  <wp:posOffset>2279650</wp:posOffset>
                </wp:positionH>
                <wp:positionV relativeFrom="paragraph">
                  <wp:posOffset>113665</wp:posOffset>
                </wp:positionV>
                <wp:extent cx="66675" cy="228600"/>
                <wp:effectExtent l="19050" t="13970" r="19050" b="14605"/>
                <wp:wrapNone/>
                <wp:docPr id="984917132" name="Arrow: 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228600"/>
                        </a:xfrm>
                        <a:prstGeom prst="downArrow">
                          <a:avLst>
                            <a:gd name="adj1" fmla="val 50000"/>
                            <a:gd name="adj2" fmla="val 8571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05D872" id="Arrow: Down 24" o:spid="_x0000_s1026" type="#_x0000_t67" style="position:absolute;margin-left:179.5pt;margin-top:8.95pt;width:5.2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">
                <v:textbox style="layout-flow:vertical-ideographic"/>
              </v:shape>
            </w:pict>
          </mc:Fallback>
        </mc:AlternateContent>
      </w:r>
      <w:r w:rsidRPr="00340B1D">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0A09D6A7" wp14:editId="367C7872">
                <wp:simplePos x="0" y="0"/>
                <wp:positionH relativeFrom="margin">
                  <wp:align>center</wp:align>
                </wp:positionH>
                <wp:positionV relativeFrom="paragraph">
                  <wp:posOffset>119380</wp:posOffset>
                </wp:positionV>
                <wp:extent cx="1133475" cy="0"/>
                <wp:effectExtent l="0" t="0" r="0" b="0"/>
                <wp:wrapNone/>
                <wp:docPr id="455000933"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3D6598" id="_x0000_t32" coordsize="21600,21600" o:spt="32" o:oned="t" path="m,l21600,21600e" filled="f">
                <v:path arrowok="t" fillok="f" o:connecttype="none"/>
                <o:lock v:ext="edit" shapetype="t"/>
              </v:shapetype>
              <v:shape id="Straight Arrow Connector 22" o:spid="_x0000_s1026" type="#_x0000_t32" style="position:absolute;margin-left:0;margin-top:9.4pt;width:89.25pt;height:0;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">
                <w10:wrap anchorx="margin"/>
              </v:shape>
            </w:pict>
          </mc:Fallback>
        </mc:AlternateContent>
      </w:r>
      <w:r>
        <w:rPr>
          <w:rFonts w:ascii="Times New Roman" w:hAnsi="Times New Roman" w:cs="Times New Roman"/>
          <w:sz w:val="24"/>
          <w:szCs w:val="24"/>
          <w:lang w:val="en-US"/>
        </w:rPr>
        <w:t xml:space="preserve"> </w:t>
      </w:r>
    </w:p>
    <w:p w14:paraId="6C5C0040" w14:textId="77777777" w:rsidR="00340B1D" w:rsidRPr="00340B1D" w:rsidRDefault="00340B1D" w:rsidP="00340B1D">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041E5">
        <w:rPr>
          <w:rFonts w:ascii="Times New Roman" w:hAnsi="Times New Roman" w:cs="Times New Roman"/>
          <w:sz w:val="24"/>
          <w:szCs w:val="24"/>
          <w:lang w:val="en-US"/>
        </w:rPr>
        <w:t xml:space="preserve">                   </w:t>
      </w:r>
      <w:r w:rsidRPr="00340B1D">
        <w:rPr>
          <w:rFonts w:ascii="Times New Roman" w:hAnsi="Times New Roman" w:cs="Times New Roman"/>
          <w:sz w:val="24"/>
          <w:szCs w:val="24"/>
          <w:lang w:val="en-US"/>
        </w:rPr>
        <w:t>LOW TSH</w:t>
      </w:r>
      <w:r>
        <w:rPr>
          <w:rFonts w:ascii="Times New Roman" w:hAnsi="Times New Roman" w:cs="Times New Roman"/>
          <w:sz w:val="24"/>
          <w:szCs w:val="24"/>
          <w:lang w:val="en-US"/>
        </w:rPr>
        <w:t xml:space="preserve">                      </w:t>
      </w:r>
      <w:r w:rsidRPr="00340B1D">
        <w:rPr>
          <w:rFonts w:ascii="Times New Roman" w:hAnsi="Times New Roman" w:cs="Times New Roman"/>
          <w:sz w:val="24"/>
          <w:szCs w:val="24"/>
          <w:lang w:val="en-US"/>
        </w:rPr>
        <w:t>NORMAL TSH / HIGH TSH</w:t>
      </w:r>
    </w:p>
    <w:p w14:paraId="20827F54" w14:textId="77777777" w:rsidR="00340B1D" w:rsidRPr="00340B1D" w:rsidRDefault="00340B1D" w:rsidP="00340B1D">
      <w:pPr>
        <w:spacing w:line="276" w:lineRule="auto"/>
        <w:jc w:val="center"/>
        <w:rPr>
          <w:rFonts w:ascii="Times New Roman" w:hAnsi="Times New Roman" w:cs="Times New Roman"/>
          <w:sz w:val="24"/>
          <w:szCs w:val="24"/>
          <w:lang w:val="en-US"/>
        </w:rPr>
      </w:pPr>
      <w:r w:rsidRPr="00340B1D">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60257498" wp14:editId="17F6DA7D">
                <wp:simplePos x="0" y="0"/>
                <wp:positionH relativeFrom="column">
                  <wp:posOffset>2333625</wp:posOffset>
                </wp:positionH>
                <wp:positionV relativeFrom="paragraph">
                  <wp:posOffset>149860</wp:posOffset>
                </wp:positionV>
                <wp:extent cx="66675" cy="228600"/>
                <wp:effectExtent l="19050" t="6985" r="19050" b="21590"/>
                <wp:wrapNone/>
                <wp:docPr id="1940164519" name="Arrow: Dow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228600"/>
                        </a:xfrm>
                        <a:prstGeom prst="downArrow">
                          <a:avLst>
                            <a:gd name="adj1" fmla="val 50000"/>
                            <a:gd name="adj2" fmla="val 8571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B7206B" id="Arrow: Down 23" o:spid="_x0000_s1026" type="#_x0000_t67" style="position:absolute;margin-left:183.75pt;margin-top:11.8pt;width:5.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">
                <v:textbox style="layout-flow:vertical-ideographic"/>
              </v:shape>
            </w:pict>
          </mc:Fallback>
        </mc:AlternateContent>
      </w:r>
      <w:r>
        <w:rPr>
          <w:rFonts w:ascii="Times New Roman" w:hAnsi="Times New Roman" w:cs="Times New Roman"/>
          <w:sz w:val="24"/>
          <w:szCs w:val="24"/>
          <w:lang w:val="en-US"/>
        </w:rPr>
        <w:t xml:space="preserve">                      </w:t>
      </w:r>
      <w:r w:rsidR="004041E5">
        <w:rPr>
          <w:rFonts w:ascii="Times New Roman" w:hAnsi="Times New Roman" w:cs="Times New Roman"/>
          <w:sz w:val="24"/>
          <w:szCs w:val="24"/>
          <w:lang w:val="en-US"/>
        </w:rPr>
        <w:t xml:space="preserve">       </w:t>
      </w:r>
      <w:r w:rsidRPr="00340B1D">
        <w:rPr>
          <w:rFonts w:ascii="Times New Roman" w:hAnsi="Times New Roman" w:cs="Times New Roman"/>
          <w:sz w:val="24"/>
          <w:szCs w:val="24"/>
          <w:lang w:val="en-US"/>
        </w:rPr>
        <w:t>HYPERTHYROIDISM              EUTHYROID/HYPOTHYROIDISM</w:t>
      </w:r>
    </w:p>
    <w:p w14:paraId="495B7888" w14:textId="77777777" w:rsidR="00340B1D" w:rsidRPr="00340B1D" w:rsidRDefault="004041E5" w:rsidP="004041E5">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40B1D" w:rsidRPr="00340B1D">
        <w:rPr>
          <w:rFonts w:ascii="Times New Roman" w:hAnsi="Times New Roman" w:cs="Times New Roman"/>
          <w:sz w:val="24"/>
          <w:szCs w:val="24"/>
          <w:lang w:val="en-US"/>
        </w:rPr>
        <w:t>RADIOIDOINE SCAN</w:t>
      </w:r>
    </w:p>
    <w:p w14:paraId="552BCA07" w14:textId="77777777" w:rsidR="00340B1D" w:rsidRPr="00340B1D" w:rsidRDefault="004041E5" w:rsidP="004041E5">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40B1D" w:rsidRPr="00340B1D">
        <w:rPr>
          <w:rFonts w:ascii="Times New Roman" w:hAnsi="Times New Roman" w:cs="Times New Roman"/>
          <w:sz w:val="24"/>
          <w:szCs w:val="24"/>
          <w:lang w:val="en-US"/>
        </w:rPr>
        <w:t>I</w:t>
      </w:r>
      <w:r w:rsidR="00340B1D" w:rsidRPr="00340B1D">
        <w:rPr>
          <w:rFonts w:ascii="Times New Roman" w:hAnsi="Times New Roman" w:cs="Times New Roman"/>
          <w:sz w:val="24"/>
          <w:szCs w:val="24"/>
          <w:vertAlign w:val="superscript"/>
          <w:lang w:val="en-US"/>
        </w:rPr>
        <w:t>123</w:t>
      </w:r>
      <w:r w:rsidR="00340B1D" w:rsidRPr="00340B1D">
        <w:rPr>
          <w:rFonts w:ascii="Times New Roman" w:hAnsi="Times New Roman" w:cs="Times New Roman"/>
          <w:sz w:val="24"/>
          <w:szCs w:val="24"/>
          <w:lang w:val="en-US"/>
        </w:rPr>
        <w:t>/I</w:t>
      </w:r>
      <w:r w:rsidR="00340B1D" w:rsidRPr="00340B1D">
        <w:rPr>
          <w:rFonts w:ascii="Times New Roman" w:hAnsi="Times New Roman" w:cs="Times New Roman"/>
          <w:sz w:val="24"/>
          <w:szCs w:val="24"/>
          <w:vertAlign w:val="superscript"/>
          <w:lang w:val="en-US"/>
        </w:rPr>
        <w:t>131</w:t>
      </w:r>
      <w:r w:rsidR="00340B1D" w:rsidRPr="00340B1D">
        <w:rPr>
          <w:rFonts w:ascii="Times New Roman" w:hAnsi="Times New Roman" w:cs="Times New Roman"/>
          <w:sz w:val="24"/>
          <w:szCs w:val="24"/>
          <w:lang w:val="en-US"/>
        </w:rPr>
        <w:t>/Tc</w:t>
      </w:r>
      <w:r w:rsidR="00340B1D" w:rsidRPr="00340B1D">
        <w:rPr>
          <w:rFonts w:ascii="Times New Roman" w:hAnsi="Times New Roman" w:cs="Times New Roman"/>
          <w:sz w:val="24"/>
          <w:szCs w:val="24"/>
          <w:vertAlign w:val="superscript"/>
          <w:lang w:val="en-US"/>
        </w:rPr>
        <w:t>99</w:t>
      </w:r>
      <w:r w:rsidR="00340B1D" w:rsidRPr="00340B1D">
        <w:rPr>
          <w:rFonts w:ascii="Times New Roman" w:hAnsi="Times New Roman" w:cs="Times New Roman"/>
          <w:sz w:val="24"/>
          <w:szCs w:val="24"/>
          <w:lang w:val="en-US"/>
        </w:rPr>
        <w:t xml:space="preserve"> CAPSULE</w:t>
      </w:r>
    </w:p>
    <w:p w14:paraId="0BF25978" w14:textId="77777777" w:rsidR="00340B1D" w:rsidRDefault="004041E5" w:rsidP="004041E5">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After </w:t>
      </w:r>
      <w:r w:rsidR="00340B1D" w:rsidRPr="00340B1D">
        <w:rPr>
          <w:rFonts w:ascii="Times New Roman" w:hAnsi="Times New Roman" w:cs="Times New Roman"/>
          <w:sz w:val="24"/>
          <w:szCs w:val="24"/>
          <w:lang w:val="en-US"/>
        </w:rPr>
        <w:t>1HR/2HR/4HR</w:t>
      </w:r>
      <w:r>
        <w:rPr>
          <w:rFonts w:ascii="Times New Roman" w:hAnsi="Times New Roman" w:cs="Times New Roman"/>
          <w:sz w:val="24"/>
          <w:szCs w:val="24"/>
          <w:lang w:val="en-US"/>
        </w:rPr>
        <w:t xml:space="preserve"> of ingestion </w:t>
      </w:r>
    </w:p>
    <w:p w14:paraId="6B5F0BC9" w14:textId="77777777" w:rsidR="004041E5" w:rsidRPr="00340B1D" w:rsidRDefault="004041E5" w:rsidP="004041E5">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USG was repeated </w:t>
      </w:r>
    </w:p>
    <w:p w14:paraId="38540AE4" w14:textId="77777777" w:rsidR="004041E5" w:rsidRDefault="004041E5" w:rsidP="004041E5">
      <w:pPr>
        <w:numPr>
          <w:ilvl w:val="0"/>
          <w:numId w:val="23"/>
        </w:num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ONLY </w:t>
      </w:r>
      <w:r w:rsidR="00340B1D" w:rsidRPr="00340B1D">
        <w:rPr>
          <w:rFonts w:ascii="Times New Roman" w:hAnsi="Times New Roman" w:cs="Times New Roman"/>
          <w:sz w:val="24"/>
          <w:szCs w:val="24"/>
          <w:lang w:val="en-US"/>
        </w:rPr>
        <w:t xml:space="preserve">THYOID NODULE TAKEN THE IODINE NOT THE GLAND = </w:t>
      </w:r>
      <w:r w:rsidR="00340B1D" w:rsidRPr="00340B1D">
        <w:rPr>
          <w:rFonts w:ascii="Times New Roman" w:hAnsi="Times New Roman" w:cs="Times New Roman"/>
          <w:b/>
          <w:bCs/>
          <w:sz w:val="24"/>
          <w:szCs w:val="24"/>
          <w:lang w:val="en-US"/>
        </w:rPr>
        <w:t>HOT NODULE</w:t>
      </w:r>
      <w:r w:rsidR="00340B1D" w:rsidRPr="00340B1D">
        <w:rPr>
          <w:rFonts w:ascii="Times New Roman" w:hAnsi="Times New Roman" w:cs="Times New Roman"/>
          <w:sz w:val="24"/>
          <w:szCs w:val="24"/>
          <w:lang w:val="en-US"/>
        </w:rPr>
        <w:t xml:space="preserve"> = 1</w:t>
      </w:r>
      <w:proofErr w:type="gramStart"/>
      <w:r w:rsidR="00340B1D" w:rsidRPr="00340B1D">
        <w:rPr>
          <w:rFonts w:ascii="Times New Roman" w:hAnsi="Times New Roman" w:cs="Times New Roman"/>
          <w:sz w:val="24"/>
          <w:szCs w:val="24"/>
          <w:lang w:val="en-US"/>
        </w:rPr>
        <w:t>%  RISK</w:t>
      </w:r>
      <w:proofErr w:type="gramEnd"/>
      <w:r w:rsidR="00340B1D" w:rsidRPr="00340B1D">
        <w:rPr>
          <w:rFonts w:ascii="Times New Roman" w:hAnsi="Times New Roman" w:cs="Times New Roman"/>
          <w:sz w:val="24"/>
          <w:szCs w:val="24"/>
          <w:lang w:val="en-US"/>
        </w:rPr>
        <w:t xml:space="preserve"> OF MALIGNANCY = T</w:t>
      </w:r>
      <w:r>
        <w:rPr>
          <w:rFonts w:ascii="Times New Roman" w:hAnsi="Times New Roman" w:cs="Times New Roman"/>
          <w:sz w:val="24"/>
          <w:szCs w:val="24"/>
          <w:lang w:val="en-US"/>
        </w:rPr>
        <w:t>REATMENT :</w:t>
      </w:r>
      <w:r w:rsidR="00340B1D" w:rsidRPr="00340B1D">
        <w:rPr>
          <w:rFonts w:ascii="Times New Roman" w:hAnsi="Times New Roman" w:cs="Times New Roman"/>
          <w:sz w:val="24"/>
          <w:szCs w:val="24"/>
          <w:lang w:val="en-US"/>
        </w:rPr>
        <w:t xml:space="preserve"> GIVE ANTITHYROID DRUGS FOR 6MONTHS</w:t>
      </w:r>
    </w:p>
    <w:p w14:paraId="0B32A3D3" w14:textId="77777777" w:rsidR="004041E5" w:rsidRPr="00340B1D" w:rsidRDefault="004041E5" w:rsidP="004041E5">
      <w:pPr>
        <w:spacing w:line="276" w:lineRule="auto"/>
        <w:ind w:left="720"/>
        <w:rPr>
          <w:rFonts w:ascii="Times New Roman" w:hAnsi="Times New Roman" w:cs="Times New Roman"/>
          <w:sz w:val="24"/>
          <w:szCs w:val="24"/>
          <w:lang w:val="en-US"/>
        </w:rPr>
      </w:pPr>
    </w:p>
    <w:p w14:paraId="30C384B5" w14:textId="4B8C7C72" w:rsidR="00340B1D" w:rsidRPr="00340B1D" w:rsidRDefault="00340B1D" w:rsidP="00340B1D">
      <w:pPr>
        <w:numPr>
          <w:ilvl w:val="0"/>
          <w:numId w:val="23"/>
        </w:numPr>
        <w:spacing w:line="276" w:lineRule="auto"/>
        <w:jc w:val="center"/>
        <w:rPr>
          <w:rFonts w:ascii="Times New Roman" w:hAnsi="Times New Roman" w:cs="Times New Roman"/>
          <w:sz w:val="24"/>
          <w:szCs w:val="24"/>
          <w:lang w:val="en-US"/>
        </w:rPr>
      </w:pPr>
      <w:r w:rsidRPr="00340B1D">
        <w:rPr>
          <w:rFonts w:ascii="Times New Roman" w:hAnsi="Times New Roman" w:cs="Times New Roman"/>
          <w:sz w:val="24"/>
          <w:szCs w:val="24"/>
          <w:lang w:val="en-US"/>
        </w:rPr>
        <w:t xml:space="preserve">BOTH THYROID NODULE AND GLAND TAKEN IODINE EQUALLY = </w:t>
      </w:r>
      <w:r w:rsidRPr="00340B1D">
        <w:rPr>
          <w:rFonts w:ascii="Times New Roman" w:hAnsi="Times New Roman" w:cs="Times New Roman"/>
          <w:b/>
          <w:bCs/>
          <w:sz w:val="24"/>
          <w:szCs w:val="24"/>
          <w:lang w:val="en-US"/>
        </w:rPr>
        <w:t>WARM NODULE</w:t>
      </w:r>
      <w:r w:rsidRPr="00340B1D">
        <w:rPr>
          <w:rFonts w:ascii="Times New Roman" w:hAnsi="Times New Roman" w:cs="Times New Roman"/>
          <w:sz w:val="24"/>
          <w:szCs w:val="24"/>
          <w:lang w:val="en-US"/>
        </w:rPr>
        <w:t xml:space="preserve"> = 1-5% RISK OF MALIGNANCY</w:t>
      </w:r>
    </w:p>
    <w:p w14:paraId="57C6F04A" w14:textId="660135A1" w:rsidR="00340B1D" w:rsidRDefault="00340B1D" w:rsidP="00340B1D">
      <w:pPr>
        <w:numPr>
          <w:ilvl w:val="0"/>
          <w:numId w:val="23"/>
        </w:numPr>
        <w:spacing w:line="276" w:lineRule="auto"/>
        <w:jc w:val="center"/>
        <w:rPr>
          <w:rFonts w:ascii="Times New Roman" w:hAnsi="Times New Roman" w:cs="Times New Roman"/>
          <w:sz w:val="24"/>
          <w:szCs w:val="24"/>
          <w:lang w:val="en-US"/>
        </w:rPr>
      </w:pPr>
      <w:r w:rsidRPr="00340B1D">
        <w:rPr>
          <w:rFonts w:ascii="Times New Roman" w:hAnsi="Times New Roman" w:cs="Times New Roman"/>
          <w:sz w:val="24"/>
          <w:szCs w:val="24"/>
          <w:lang w:val="en-US"/>
        </w:rPr>
        <w:t xml:space="preserve">THYROID GLAND TAKEN THE IODINE NOT THE THYROID </w:t>
      </w:r>
      <w:proofErr w:type="gramStart"/>
      <w:r w:rsidRPr="00340B1D">
        <w:rPr>
          <w:rFonts w:ascii="Times New Roman" w:hAnsi="Times New Roman" w:cs="Times New Roman"/>
          <w:sz w:val="24"/>
          <w:szCs w:val="24"/>
          <w:lang w:val="en-US"/>
        </w:rPr>
        <w:t>NODULE  =</w:t>
      </w:r>
      <w:proofErr w:type="gramEnd"/>
      <w:r w:rsidRPr="00340B1D">
        <w:rPr>
          <w:rFonts w:ascii="Times New Roman" w:hAnsi="Times New Roman" w:cs="Times New Roman"/>
          <w:sz w:val="24"/>
          <w:szCs w:val="24"/>
          <w:lang w:val="en-US"/>
        </w:rPr>
        <w:t xml:space="preserve"> </w:t>
      </w:r>
      <w:r w:rsidRPr="00340B1D">
        <w:rPr>
          <w:rFonts w:ascii="Times New Roman" w:hAnsi="Times New Roman" w:cs="Times New Roman"/>
          <w:b/>
          <w:bCs/>
          <w:sz w:val="24"/>
          <w:szCs w:val="24"/>
          <w:lang w:val="en-US"/>
        </w:rPr>
        <w:t>COLD NODULE</w:t>
      </w:r>
      <w:r w:rsidRPr="00340B1D">
        <w:rPr>
          <w:rFonts w:ascii="Times New Roman" w:hAnsi="Times New Roman" w:cs="Times New Roman"/>
          <w:sz w:val="24"/>
          <w:szCs w:val="24"/>
          <w:lang w:val="en-US"/>
        </w:rPr>
        <w:t xml:space="preserve"> = 15-20% RISK OF MALIGNANCY</w:t>
      </w:r>
    </w:p>
    <w:p w14:paraId="05FD2D3D" w14:textId="27FE2A8F" w:rsidR="004041E5" w:rsidRDefault="004041E5" w:rsidP="004041E5">
      <w:pPr>
        <w:spacing w:line="276" w:lineRule="auto"/>
        <w:ind w:left="720"/>
        <w:rPr>
          <w:rFonts w:ascii="Times New Roman" w:hAnsi="Times New Roman" w:cs="Times New Roman"/>
          <w:sz w:val="24"/>
          <w:szCs w:val="24"/>
          <w:lang w:val="en-US"/>
        </w:rPr>
      </w:pPr>
    </w:p>
    <w:p w14:paraId="5CBD3548" w14:textId="1E3199D3" w:rsidR="004041E5" w:rsidRPr="00340B1D" w:rsidRDefault="000D4A23" w:rsidP="004041E5">
      <w:pPr>
        <w:spacing w:line="276" w:lineRule="auto"/>
        <w:ind w:left="360"/>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78720" behindDoc="0" locked="0" layoutInCell="1" allowOverlap="1" wp14:anchorId="06070FF4" wp14:editId="21AE6A30">
            <wp:simplePos x="0" y="0"/>
            <wp:positionH relativeFrom="column">
              <wp:posOffset>952129</wp:posOffset>
            </wp:positionH>
            <wp:positionV relativeFrom="page">
              <wp:posOffset>6657340</wp:posOffset>
            </wp:positionV>
            <wp:extent cx="3448050" cy="2266950"/>
            <wp:effectExtent l="76200" t="76200" r="133350" b="133350"/>
            <wp:wrapThrough wrapText="bothSides">
              <wp:wrapPolygon edited="0">
                <wp:start x="-239" y="-726"/>
                <wp:lineTo x="-477" y="-545"/>
                <wp:lineTo x="-477" y="21963"/>
                <wp:lineTo x="-239" y="22689"/>
                <wp:lineTo x="22077" y="22689"/>
                <wp:lineTo x="22316" y="19966"/>
                <wp:lineTo x="22316" y="2360"/>
                <wp:lineTo x="22077" y="-363"/>
                <wp:lineTo x="22077" y="-726"/>
                <wp:lineTo x="-239" y="-726"/>
              </wp:wrapPolygon>
            </wp:wrapThrough>
            <wp:docPr id="199026498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64985" name="Picture 1990264985"/>
                    <pic:cNvPicPr/>
                  </pic:nvPicPr>
                  <pic:blipFill>
                    <a:blip r:embed="rId7">
                      <a:extLst>
                        <a:ext uri="{28A0092B-C50C-407E-A947-70E740481C1C}">
                          <a14:useLocalDpi xmlns:a14="http://schemas.microsoft.com/office/drawing/2010/main" val="0"/>
                        </a:ext>
                      </a:extLst>
                    </a:blip>
                    <a:stretch>
                      <a:fillRect/>
                    </a:stretch>
                  </pic:blipFill>
                  <pic:spPr>
                    <a:xfrm>
                      <a:off x="0" y="0"/>
                      <a:ext cx="3448050" cy="2266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61B1E6DE" w14:textId="3A7E6691" w:rsidR="00340B1D" w:rsidRPr="00340B1D" w:rsidRDefault="00340B1D" w:rsidP="00340B1D">
      <w:pPr>
        <w:spacing w:line="276" w:lineRule="auto"/>
        <w:jc w:val="center"/>
        <w:rPr>
          <w:rFonts w:ascii="Times New Roman" w:hAnsi="Times New Roman" w:cs="Times New Roman"/>
          <w:sz w:val="24"/>
          <w:szCs w:val="24"/>
          <w:lang w:val="en-US"/>
        </w:rPr>
      </w:pPr>
    </w:p>
    <w:p w14:paraId="00F2B914" w14:textId="42700EF8" w:rsidR="004041E5" w:rsidRDefault="004041E5" w:rsidP="00340B1D">
      <w:pPr>
        <w:spacing w:line="276" w:lineRule="auto"/>
        <w:jc w:val="center"/>
        <w:rPr>
          <w:rFonts w:ascii="Times New Roman" w:hAnsi="Times New Roman" w:cs="Times New Roman"/>
          <w:sz w:val="24"/>
          <w:szCs w:val="24"/>
          <w:lang w:val="en-US"/>
        </w:rPr>
      </w:pPr>
    </w:p>
    <w:p w14:paraId="7AB2F35A" w14:textId="73000680" w:rsidR="004041E5" w:rsidRDefault="004041E5" w:rsidP="00340B1D">
      <w:pPr>
        <w:spacing w:line="276" w:lineRule="auto"/>
        <w:jc w:val="center"/>
        <w:rPr>
          <w:rFonts w:ascii="Times New Roman" w:hAnsi="Times New Roman" w:cs="Times New Roman"/>
          <w:sz w:val="24"/>
          <w:szCs w:val="24"/>
          <w:lang w:val="en-US"/>
        </w:rPr>
      </w:pPr>
    </w:p>
    <w:p w14:paraId="3E2EC1A7" w14:textId="0FCA0EF2" w:rsidR="004041E5" w:rsidRDefault="004041E5" w:rsidP="00340B1D">
      <w:pPr>
        <w:spacing w:line="276" w:lineRule="auto"/>
        <w:jc w:val="center"/>
        <w:rPr>
          <w:rFonts w:ascii="Times New Roman" w:hAnsi="Times New Roman" w:cs="Times New Roman"/>
          <w:sz w:val="24"/>
          <w:szCs w:val="24"/>
          <w:lang w:val="en-US"/>
        </w:rPr>
      </w:pPr>
    </w:p>
    <w:p w14:paraId="22C7EFB9" w14:textId="2EC02C8B" w:rsidR="004041E5" w:rsidRDefault="004041E5" w:rsidP="00340B1D">
      <w:pPr>
        <w:spacing w:line="276" w:lineRule="auto"/>
        <w:jc w:val="center"/>
        <w:rPr>
          <w:rFonts w:ascii="Times New Roman" w:hAnsi="Times New Roman" w:cs="Times New Roman"/>
          <w:sz w:val="24"/>
          <w:szCs w:val="24"/>
          <w:lang w:val="en-US"/>
        </w:rPr>
      </w:pPr>
    </w:p>
    <w:p w14:paraId="6B444DB1" w14:textId="4AC262A5" w:rsidR="004041E5" w:rsidRDefault="004041E5" w:rsidP="00340B1D">
      <w:pPr>
        <w:spacing w:line="276" w:lineRule="auto"/>
        <w:jc w:val="center"/>
        <w:rPr>
          <w:rFonts w:ascii="Times New Roman" w:hAnsi="Times New Roman" w:cs="Times New Roman"/>
          <w:sz w:val="24"/>
          <w:szCs w:val="24"/>
          <w:lang w:val="en-US"/>
        </w:rPr>
      </w:pPr>
    </w:p>
    <w:p w14:paraId="36657610" w14:textId="171DA102" w:rsidR="00994CB4" w:rsidRDefault="00994CB4" w:rsidP="00340B1D">
      <w:pPr>
        <w:spacing w:line="276" w:lineRule="auto"/>
        <w:jc w:val="center"/>
        <w:rPr>
          <w:rFonts w:ascii="Times New Roman" w:hAnsi="Times New Roman" w:cs="Times New Roman"/>
          <w:sz w:val="24"/>
          <w:szCs w:val="24"/>
          <w:lang w:val="en-US"/>
        </w:rPr>
      </w:pPr>
    </w:p>
    <w:p w14:paraId="6D6F19E7" w14:textId="77777777" w:rsidR="00994CB4" w:rsidRDefault="00994CB4" w:rsidP="00340B1D">
      <w:pPr>
        <w:spacing w:line="276" w:lineRule="auto"/>
        <w:jc w:val="center"/>
        <w:rPr>
          <w:rFonts w:ascii="Times New Roman" w:hAnsi="Times New Roman" w:cs="Times New Roman"/>
          <w:sz w:val="24"/>
          <w:szCs w:val="24"/>
          <w:lang w:val="en-US"/>
        </w:rPr>
      </w:pPr>
    </w:p>
    <w:p w14:paraId="23CF7177" w14:textId="0C5C9F33" w:rsidR="004041E5" w:rsidRDefault="0014576A" w:rsidP="0014576A">
      <w:pPr>
        <w:spacing w:line="276" w:lineRule="auto"/>
        <w:rPr>
          <w:rFonts w:ascii="Times New Roman" w:hAnsi="Times New Roman" w:cs="Times New Roman"/>
          <w:sz w:val="24"/>
          <w:szCs w:val="24"/>
        </w:rPr>
      </w:pPr>
      <w:r w:rsidRPr="0014576A">
        <w:rPr>
          <w:rFonts w:ascii="Times New Roman" w:hAnsi="Times New Roman" w:cs="Times New Roman"/>
          <w:sz w:val="24"/>
          <w:szCs w:val="24"/>
          <w:lang w:val="en-US"/>
        </w:rPr>
        <w:t xml:space="preserve">If the thyroid nodules are hot nodules the treatment is antithyroid </w:t>
      </w:r>
      <w:proofErr w:type="gramStart"/>
      <w:r w:rsidRPr="0014576A">
        <w:rPr>
          <w:rFonts w:ascii="Times New Roman" w:hAnsi="Times New Roman" w:cs="Times New Roman"/>
          <w:sz w:val="24"/>
          <w:szCs w:val="24"/>
          <w:lang w:val="en-US"/>
        </w:rPr>
        <w:t>drugs ,</w:t>
      </w:r>
      <w:proofErr w:type="gramEnd"/>
      <w:r w:rsidRPr="0014576A">
        <w:rPr>
          <w:rFonts w:ascii="Times New Roman" w:hAnsi="Times New Roman" w:cs="Times New Roman"/>
          <w:sz w:val="24"/>
          <w:szCs w:val="24"/>
        </w:rPr>
        <w:t xml:space="preserve"> The </w:t>
      </w:r>
      <w:proofErr w:type="spellStart"/>
      <w:r w:rsidR="000D4A23">
        <w:rPr>
          <w:rFonts w:ascii="Times New Roman" w:hAnsi="Times New Roman" w:cs="Times New Roman"/>
          <w:sz w:val="24"/>
          <w:szCs w:val="24"/>
        </w:rPr>
        <w:t>T</w:t>
      </w:r>
      <w:r w:rsidRPr="0014576A">
        <w:rPr>
          <w:rFonts w:ascii="Times New Roman" w:hAnsi="Times New Roman" w:cs="Times New Roman"/>
          <w:sz w:val="24"/>
          <w:szCs w:val="24"/>
        </w:rPr>
        <w:t>hionamide</w:t>
      </w:r>
      <w:proofErr w:type="spellEnd"/>
      <w:r w:rsidRPr="0014576A">
        <w:rPr>
          <w:rFonts w:ascii="Times New Roman" w:hAnsi="Times New Roman" w:cs="Times New Roman"/>
          <w:sz w:val="24"/>
          <w:szCs w:val="24"/>
        </w:rPr>
        <w:t xml:space="preserve"> drugs, i.e. carbimazole and its metabolite methimazole (MMI), and propylthiouracil (PTU) </w:t>
      </w:r>
      <w:r w:rsidRPr="0014576A">
        <w:rPr>
          <w:rFonts w:ascii="Times New Roman" w:hAnsi="Times New Roman" w:cs="Times New Roman"/>
          <w:sz w:val="24"/>
          <w:szCs w:val="24"/>
        </w:rPr>
        <w:lastRenderedPageBreak/>
        <w:t>have extensively been used in the management of various forms of hyperthyroidism over the past eight decades</w:t>
      </w:r>
      <w:r>
        <w:rPr>
          <w:rFonts w:ascii="Times New Roman" w:hAnsi="Times New Roman" w:cs="Times New Roman"/>
          <w:sz w:val="24"/>
          <w:szCs w:val="24"/>
        </w:rPr>
        <w:t>.</w:t>
      </w:r>
      <w:r>
        <w:rPr>
          <w:rFonts w:ascii="Times New Roman" w:hAnsi="Times New Roman" w:cs="Times New Roman"/>
          <w:sz w:val="24"/>
          <w:szCs w:val="24"/>
          <w:vertAlign w:val="superscript"/>
        </w:rPr>
        <w:t xml:space="preserve">6  </w:t>
      </w:r>
      <w:r>
        <w:rPr>
          <w:rFonts w:ascii="Times New Roman" w:hAnsi="Times New Roman" w:cs="Times New Roman"/>
          <w:sz w:val="24"/>
          <w:szCs w:val="24"/>
        </w:rPr>
        <w:t xml:space="preserve">for warm and cold nodules further evaluation done as following </w:t>
      </w:r>
    </w:p>
    <w:p w14:paraId="579E0B81" w14:textId="77777777" w:rsidR="001C23F2" w:rsidRPr="00843161" w:rsidRDefault="001C23F2" w:rsidP="001C23F2">
      <w:pPr>
        <w:spacing w:line="276"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 xml:space="preserve">IMAGE </w:t>
      </w:r>
      <w:proofErr w:type="gramStart"/>
      <w:r>
        <w:rPr>
          <w:rFonts w:ascii="Times New Roman" w:hAnsi="Times New Roman" w:cs="Times New Roman"/>
          <w:sz w:val="24"/>
          <w:szCs w:val="24"/>
          <w:lang w:val="en-US"/>
        </w:rPr>
        <w:t>1 :</w:t>
      </w:r>
      <w:proofErr w:type="gramEnd"/>
      <w:r>
        <w:rPr>
          <w:rFonts w:ascii="Times New Roman" w:hAnsi="Times New Roman" w:cs="Times New Roman"/>
          <w:sz w:val="24"/>
          <w:szCs w:val="24"/>
          <w:lang w:val="en-US"/>
        </w:rPr>
        <w:t xml:space="preserve"> COLD/WARM/HOT THYROID  NODULE DIFFERENTIATION </w:t>
      </w:r>
      <w:r>
        <w:rPr>
          <w:rFonts w:ascii="Times New Roman" w:hAnsi="Times New Roman" w:cs="Times New Roman"/>
          <w:sz w:val="24"/>
          <w:szCs w:val="24"/>
          <w:vertAlign w:val="superscript"/>
          <w:lang w:val="en-US"/>
        </w:rPr>
        <w:t>10</w:t>
      </w:r>
    </w:p>
    <w:p w14:paraId="4FE67833" w14:textId="77777777" w:rsidR="001C23F2" w:rsidRPr="0014576A" w:rsidRDefault="001C23F2" w:rsidP="0014576A">
      <w:pPr>
        <w:spacing w:line="276" w:lineRule="auto"/>
        <w:rPr>
          <w:rFonts w:ascii="Times New Roman" w:hAnsi="Times New Roman" w:cs="Times New Roman"/>
          <w:sz w:val="24"/>
          <w:szCs w:val="24"/>
          <w:lang w:val="en-US"/>
        </w:rPr>
      </w:pPr>
    </w:p>
    <w:p w14:paraId="68409DB9" w14:textId="77777777" w:rsidR="00340B1D" w:rsidRPr="00340B1D" w:rsidRDefault="00340B1D" w:rsidP="00340B1D">
      <w:pPr>
        <w:spacing w:line="276" w:lineRule="auto"/>
        <w:jc w:val="center"/>
        <w:rPr>
          <w:rFonts w:ascii="Times New Roman" w:hAnsi="Times New Roman" w:cs="Times New Roman"/>
          <w:sz w:val="24"/>
          <w:szCs w:val="24"/>
          <w:lang w:val="en-US"/>
        </w:rPr>
      </w:pPr>
      <w:r w:rsidRPr="00340B1D">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669166F5" wp14:editId="7327B458">
                <wp:simplePos x="0" y="0"/>
                <wp:positionH relativeFrom="column">
                  <wp:posOffset>3038475</wp:posOffset>
                </wp:positionH>
                <wp:positionV relativeFrom="paragraph">
                  <wp:posOffset>172720</wp:posOffset>
                </wp:positionV>
                <wp:extent cx="66675" cy="228600"/>
                <wp:effectExtent l="19050" t="10795" r="19050" b="17780"/>
                <wp:wrapNone/>
                <wp:docPr id="1577320555" name="Arrow: Dow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228600"/>
                        </a:xfrm>
                        <a:prstGeom prst="downArrow">
                          <a:avLst>
                            <a:gd name="adj1" fmla="val 50000"/>
                            <a:gd name="adj2" fmla="val 8571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4E52FD" id="Arrow: Down 21" o:spid="_x0000_s1026" type="#_x0000_t67" style="position:absolute;margin-left:239.25pt;margin-top:13.6pt;width:5.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">
                <v:textbox style="layout-flow:vertical-ideographic"/>
              </v:shape>
            </w:pict>
          </mc:Fallback>
        </mc:AlternateContent>
      </w:r>
      <w:r w:rsidRPr="00340B1D">
        <w:rPr>
          <w:rFonts w:ascii="Times New Roman" w:hAnsi="Times New Roman" w:cs="Times New Roman"/>
          <w:sz w:val="24"/>
          <w:szCs w:val="24"/>
          <w:lang w:val="en-US"/>
        </w:rPr>
        <w:t>FOR WARM NODULES/COLD NODULES/EUTHYROID/HYPOTHYROIDISM</w:t>
      </w:r>
    </w:p>
    <w:p w14:paraId="11EFA497" w14:textId="77777777" w:rsidR="00340B1D" w:rsidRPr="00340B1D" w:rsidRDefault="0014576A" w:rsidP="00340B1D">
      <w:pPr>
        <w:spacing w:line="276" w:lineRule="auto"/>
        <w:jc w:val="center"/>
        <w:rPr>
          <w:rFonts w:ascii="Times New Roman" w:hAnsi="Times New Roman" w:cs="Times New Roman"/>
          <w:sz w:val="24"/>
          <w:szCs w:val="24"/>
          <w:lang w:val="en-US"/>
        </w:rPr>
      </w:pPr>
      <w:r w:rsidRPr="00340B1D">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553E9106" wp14:editId="5C4E7329">
                <wp:simplePos x="0" y="0"/>
                <wp:positionH relativeFrom="column">
                  <wp:posOffset>3556000</wp:posOffset>
                </wp:positionH>
                <wp:positionV relativeFrom="paragraph">
                  <wp:posOffset>131445</wp:posOffset>
                </wp:positionV>
                <wp:extent cx="66675" cy="228600"/>
                <wp:effectExtent l="19050" t="0" r="47625" b="38100"/>
                <wp:wrapNone/>
                <wp:docPr id="1428779584" name="Arrow: Dow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228600"/>
                        </a:xfrm>
                        <a:prstGeom prst="downArrow">
                          <a:avLst>
                            <a:gd name="adj1" fmla="val 50000"/>
                            <a:gd name="adj2" fmla="val 8571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15A5B3" id="Arrow: Down 21" o:spid="_x0000_s1026" type="#_x0000_t67" style="position:absolute;margin-left:280pt;margin-top:10.35pt;width:5.2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">
                <v:textbox style="layout-flow:vertical-ideographic"/>
              </v:shape>
            </w:pict>
          </mc:Fallback>
        </mc:AlternateContent>
      </w:r>
      <w:r w:rsidRPr="00340B1D">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48A4DFE2" wp14:editId="782DC1D5">
                <wp:simplePos x="0" y="0"/>
                <wp:positionH relativeFrom="column">
                  <wp:posOffset>2406650</wp:posOffset>
                </wp:positionH>
                <wp:positionV relativeFrom="paragraph">
                  <wp:posOffset>135890</wp:posOffset>
                </wp:positionV>
                <wp:extent cx="66675" cy="228600"/>
                <wp:effectExtent l="19050" t="0" r="47625" b="38100"/>
                <wp:wrapNone/>
                <wp:docPr id="139354417" name="Arrow: Dow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228600"/>
                        </a:xfrm>
                        <a:prstGeom prst="downArrow">
                          <a:avLst>
                            <a:gd name="adj1" fmla="val 50000"/>
                            <a:gd name="adj2" fmla="val 8571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D1B132" id="Arrow: Down 21" o:spid="_x0000_s1026" type="#_x0000_t67" style="position:absolute;margin-left:189.5pt;margin-top:10.7pt;width:5.2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">
                <v:textbox style="layout-flow:vertical-ideographic"/>
              </v:shape>
            </w:pict>
          </mc:Fallback>
        </mc:AlternateContent>
      </w:r>
      <w:r w:rsidR="00340B1D" w:rsidRPr="00340B1D">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0E71F554" wp14:editId="44DD4F30">
                <wp:simplePos x="0" y="0"/>
                <wp:positionH relativeFrom="column">
                  <wp:posOffset>2438400</wp:posOffset>
                </wp:positionH>
                <wp:positionV relativeFrom="paragraph">
                  <wp:posOffset>132080</wp:posOffset>
                </wp:positionV>
                <wp:extent cx="1133475" cy="0"/>
                <wp:effectExtent l="9525" t="8255" r="9525" b="10795"/>
                <wp:wrapNone/>
                <wp:docPr id="84157788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541479" id="Straight Arrow Connector 20" o:spid="_x0000_s1026" type="#_x0000_t32" style="position:absolute;margin-left:192pt;margin-top:10.4pt;width:89.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"/>
            </w:pict>
          </mc:Fallback>
        </mc:AlternateContent>
      </w:r>
    </w:p>
    <w:p w14:paraId="3189FB4A" w14:textId="77777777" w:rsidR="00340B1D" w:rsidRPr="00340B1D" w:rsidRDefault="00340B1D" w:rsidP="0014576A">
      <w:pPr>
        <w:spacing w:line="276" w:lineRule="auto"/>
        <w:rPr>
          <w:rFonts w:ascii="Times New Roman" w:hAnsi="Times New Roman" w:cs="Times New Roman"/>
          <w:sz w:val="24"/>
          <w:szCs w:val="24"/>
          <w:lang w:val="en-US"/>
        </w:rPr>
      </w:pPr>
      <w:r w:rsidRPr="00340B1D">
        <w:rPr>
          <w:rFonts w:ascii="Times New Roman" w:hAnsi="Times New Roman" w:cs="Times New Roman"/>
          <w:sz w:val="24"/>
          <w:szCs w:val="24"/>
          <w:lang w:val="en-US"/>
        </w:rPr>
        <w:t xml:space="preserve">SIZE OF </w:t>
      </w:r>
      <w:proofErr w:type="gramStart"/>
      <w:r w:rsidRPr="00340B1D">
        <w:rPr>
          <w:rFonts w:ascii="Times New Roman" w:hAnsi="Times New Roman" w:cs="Times New Roman"/>
          <w:sz w:val="24"/>
          <w:szCs w:val="24"/>
          <w:lang w:val="en-US"/>
        </w:rPr>
        <w:t>NODULE</w:t>
      </w:r>
      <w:r w:rsidR="0014576A">
        <w:rPr>
          <w:rFonts w:ascii="Times New Roman" w:hAnsi="Times New Roman" w:cs="Times New Roman"/>
          <w:sz w:val="24"/>
          <w:szCs w:val="24"/>
          <w:lang w:val="en-US"/>
        </w:rPr>
        <w:t xml:space="preserve">  :</w:t>
      </w:r>
      <w:proofErr w:type="gramEnd"/>
      <w:r w:rsidR="0014576A">
        <w:rPr>
          <w:rFonts w:ascii="Times New Roman" w:hAnsi="Times New Roman" w:cs="Times New Roman"/>
          <w:sz w:val="24"/>
          <w:szCs w:val="24"/>
          <w:lang w:val="en-US"/>
        </w:rPr>
        <w:t xml:space="preserve">                       </w:t>
      </w:r>
      <w:r w:rsidRPr="00340B1D">
        <w:rPr>
          <w:rFonts w:ascii="Times New Roman" w:hAnsi="Times New Roman" w:cs="Times New Roman"/>
          <w:sz w:val="24"/>
          <w:szCs w:val="24"/>
          <w:lang w:val="en-US"/>
        </w:rPr>
        <w:t xml:space="preserve"> ≥ 1CM                      ≤ 1CM</w:t>
      </w:r>
    </w:p>
    <w:p w14:paraId="157A15D6" w14:textId="77777777" w:rsidR="00340B1D" w:rsidRDefault="0014576A" w:rsidP="00340B1D">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40B1D" w:rsidRPr="00340B1D">
        <w:rPr>
          <w:rFonts w:ascii="Times New Roman" w:hAnsi="Times New Roman" w:cs="Times New Roman"/>
          <w:sz w:val="24"/>
          <w:szCs w:val="24"/>
          <w:lang w:val="en-US"/>
        </w:rPr>
        <w:t>FNAC 23G 27G (</w:t>
      </w:r>
      <w:proofErr w:type="gramStart"/>
      <w:r w:rsidR="00340B1D" w:rsidRPr="00340B1D">
        <w:rPr>
          <w:rFonts w:ascii="Times New Roman" w:hAnsi="Times New Roman" w:cs="Times New Roman"/>
          <w:sz w:val="24"/>
          <w:szCs w:val="24"/>
          <w:lang w:val="en-US"/>
        </w:rPr>
        <w:t>IOC)</w:t>
      </w:r>
      <w:r w:rsidR="0000758C">
        <w:rPr>
          <w:rFonts w:ascii="Times New Roman" w:hAnsi="Times New Roman" w:cs="Times New Roman"/>
          <w:sz w:val="24"/>
          <w:szCs w:val="24"/>
          <w:lang w:val="en-US"/>
        </w:rPr>
        <w:t xml:space="preserve">   </w:t>
      </w:r>
      <w:proofErr w:type="gramEnd"/>
      <w:r w:rsidR="0000758C">
        <w:rPr>
          <w:rFonts w:ascii="Times New Roman" w:hAnsi="Times New Roman" w:cs="Times New Roman"/>
          <w:sz w:val="24"/>
          <w:szCs w:val="24"/>
          <w:lang w:val="en-US"/>
        </w:rPr>
        <w:t xml:space="preserve">       </w:t>
      </w:r>
      <w:r w:rsidR="00340B1D" w:rsidRPr="00340B1D">
        <w:rPr>
          <w:rFonts w:ascii="Times New Roman" w:hAnsi="Times New Roman" w:cs="Times New Roman"/>
          <w:sz w:val="24"/>
          <w:szCs w:val="24"/>
          <w:lang w:val="en-US"/>
        </w:rPr>
        <w:t xml:space="preserve"> FOLLOW UP</w:t>
      </w:r>
    </w:p>
    <w:p w14:paraId="07A45EF4" w14:textId="77777777" w:rsidR="00994CB4" w:rsidRDefault="00994CB4" w:rsidP="00340B1D">
      <w:pPr>
        <w:spacing w:line="276" w:lineRule="auto"/>
        <w:jc w:val="center"/>
        <w:rPr>
          <w:rFonts w:ascii="Times New Roman" w:hAnsi="Times New Roman" w:cs="Times New Roman"/>
          <w:sz w:val="24"/>
          <w:szCs w:val="24"/>
          <w:lang w:val="en-US"/>
        </w:rPr>
      </w:pPr>
    </w:p>
    <w:p w14:paraId="47DB708F" w14:textId="77777777" w:rsidR="00994CB4" w:rsidRDefault="00994CB4" w:rsidP="00FD103A">
      <w:pPr>
        <w:spacing w:line="276" w:lineRule="auto"/>
        <w:rPr>
          <w:rFonts w:ascii="Times New Roman" w:hAnsi="Times New Roman" w:cs="Times New Roman"/>
          <w:b/>
          <w:bCs/>
          <w:sz w:val="24"/>
          <w:szCs w:val="24"/>
        </w:rPr>
      </w:pPr>
    </w:p>
    <w:p w14:paraId="487A0773" w14:textId="77777777" w:rsidR="00994CB4" w:rsidRDefault="00994CB4" w:rsidP="00FD103A">
      <w:pPr>
        <w:spacing w:line="276" w:lineRule="auto"/>
        <w:rPr>
          <w:rFonts w:ascii="Times New Roman" w:hAnsi="Times New Roman" w:cs="Times New Roman"/>
          <w:b/>
          <w:bCs/>
          <w:sz w:val="24"/>
          <w:szCs w:val="24"/>
        </w:rPr>
      </w:pPr>
    </w:p>
    <w:p w14:paraId="0C7C9707" w14:textId="77777777" w:rsidR="00FD103A" w:rsidRPr="00943354" w:rsidRDefault="00FD103A" w:rsidP="00FD103A">
      <w:pPr>
        <w:spacing w:line="276" w:lineRule="auto"/>
        <w:rPr>
          <w:rFonts w:ascii="Times New Roman" w:hAnsi="Times New Roman" w:cs="Times New Roman"/>
          <w:b/>
          <w:bCs/>
          <w:sz w:val="24"/>
          <w:szCs w:val="24"/>
        </w:rPr>
      </w:pPr>
      <w:r w:rsidRPr="00943354">
        <w:rPr>
          <w:rFonts w:ascii="Times New Roman" w:hAnsi="Times New Roman" w:cs="Times New Roman"/>
          <w:b/>
          <w:bCs/>
          <w:sz w:val="24"/>
          <w:szCs w:val="24"/>
        </w:rPr>
        <w:t>BETHESDA SYSTEM FOR REPORTING THYROID CYTOPATHOLOGY</w:t>
      </w:r>
      <w:r w:rsidRPr="00943354">
        <w:rPr>
          <w:rFonts w:ascii="Times New Roman" w:hAnsi="Times New Roman" w:cs="Times New Roman"/>
          <w:b/>
          <w:bCs/>
          <w:sz w:val="24"/>
          <w:szCs w:val="24"/>
          <w:vertAlign w:val="superscript"/>
        </w:rPr>
        <w:t>7</w:t>
      </w:r>
      <w:r w:rsidRPr="00943354">
        <w:rPr>
          <w:rFonts w:ascii="Times New Roman" w:hAnsi="Times New Roman" w:cs="Times New Roman"/>
          <w:b/>
          <w:bCs/>
          <w:sz w:val="24"/>
          <w:szCs w:val="24"/>
        </w:rPr>
        <w:t xml:space="preserve"> </w:t>
      </w:r>
    </w:p>
    <w:p w14:paraId="22BAAFA0" w14:textId="77777777" w:rsidR="00FD103A" w:rsidRDefault="00FD103A" w:rsidP="00FD103A">
      <w:pPr>
        <w:spacing w:line="276" w:lineRule="auto"/>
        <w:rPr>
          <w:rFonts w:ascii="Times New Roman" w:hAnsi="Times New Roman" w:cs="Times New Roman"/>
          <w:sz w:val="24"/>
          <w:szCs w:val="24"/>
        </w:rPr>
      </w:pPr>
      <w:r w:rsidRPr="00FD103A">
        <w:rPr>
          <w:rFonts w:ascii="Times New Roman" w:hAnsi="Times New Roman" w:cs="Times New Roman"/>
          <w:sz w:val="24"/>
          <w:szCs w:val="24"/>
        </w:rPr>
        <w:t xml:space="preserve">Diagnostic category </w:t>
      </w:r>
    </w:p>
    <w:p w14:paraId="6EF05CEC" w14:textId="77777777" w:rsidR="00FD103A" w:rsidRDefault="00FD103A" w:rsidP="00FD103A">
      <w:pPr>
        <w:spacing w:line="276" w:lineRule="auto"/>
        <w:rPr>
          <w:rFonts w:ascii="Times New Roman" w:hAnsi="Times New Roman" w:cs="Times New Roman"/>
          <w:sz w:val="24"/>
          <w:szCs w:val="24"/>
        </w:rPr>
      </w:pPr>
      <w:r w:rsidRPr="00FD103A">
        <w:rPr>
          <w:rFonts w:ascii="Times New Roman" w:hAnsi="Times New Roman" w:cs="Times New Roman"/>
          <w:sz w:val="24"/>
          <w:szCs w:val="24"/>
        </w:rPr>
        <w:t xml:space="preserve">Category 1: Nondiagnostic or unsatisfactory </w:t>
      </w:r>
    </w:p>
    <w:p w14:paraId="1629B4BC" w14:textId="77777777" w:rsidR="00FD103A" w:rsidRDefault="00FD103A" w:rsidP="00FD103A">
      <w:pPr>
        <w:spacing w:line="276" w:lineRule="auto"/>
        <w:rPr>
          <w:rFonts w:ascii="Times New Roman" w:hAnsi="Times New Roman" w:cs="Times New Roman"/>
          <w:sz w:val="24"/>
          <w:szCs w:val="24"/>
        </w:rPr>
      </w:pPr>
      <w:r w:rsidRPr="00FD103A">
        <w:rPr>
          <w:rFonts w:ascii="Times New Roman" w:hAnsi="Times New Roman" w:cs="Times New Roman"/>
          <w:sz w:val="24"/>
          <w:szCs w:val="24"/>
        </w:rPr>
        <w:t xml:space="preserve">Category 2: Benign </w:t>
      </w:r>
    </w:p>
    <w:p w14:paraId="59075275" w14:textId="77777777" w:rsidR="00FD103A" w:rsidRDefault="00FD103A" w:rsidP="00FD103A">
      <w:pPr>
        <w:spacing w:line="276" w:lineRule="auto"/>
        <w:rPr>
          <w:rFonts w:ascii="Times New Roman" w:hAnsi="Times New Roman" w:cs="Times New Roman"/>
          <w:sz w:val="24"/>
          <w:szCs w:val="24"/>
        </w:rPr>
      </w:pPr>
      <w:r w:rsidRPr="00FD103A">
        <w:rPr>
          <w:rFonts w:ascii="Times New Roman" w:hAnsi="Times New Roman" w:cs="Times New Roman"/>
          <w:sz w:val="24"/>
          <w:szCs w:val="24"/>
        </w:rPr>
        <w:t xml:space="preserve">Category 3: Atypia of undetermined significance or follicular lesion of undetermined significance </w:t>
      </w:r>
    </w:p>
    <w:p w14:paraId="08F33B42" w14:textId="77777777" w:rsidR="00FD103A" w:rsidRDefault="00FD103A" w:rsidP="00FD103A">
      <w:pPr>
        <w:spacing w:line="276" w:lineRule="auto"/>
        <w:rPr>
          <w:rFonts w:ascii="Times New Roman" w:hAnsi="Times New Roman" w:cs="Times New Roman"/>
          <w:sz w:val="24"/>
          <w:szCs w:val="24"/>
        </w:rPr>
      </w:pPr>
      <w:r w:rsidRPr="00FD103A">
        <w:rPr>
          <w:rFonts w:ascii="Times New Roman" w:hAnsi="Times New Roman" w:cs="Times New Roman"/>
          <w:sz w:val="24"/>
          <w:szCs w:val="24"/>
        </w:rPr>
        <w:t>Category</w:t>
      </w:r>
      <w:r>
        <w:rPr>
          <w:rFonts w:ascii="Times New Roman" w:hAnsi="Times New Roman" w:cs="Times New Roman"/>
          <w:sz w:val="24"/>
          <w:szCs w:val="24"/>
        </w:rPr>
        <w:t xml:space="preserve"> </w:t>
      </w:r>
      <w:r w:rsidRPr="00FD103A">
        <w:rPr>
          <w:rFonts w:ascii="Times New Roman" w:hAnsi="Times New Roman" w:cs="Times New Roman"/>
          <w:sz w:val="24"/>
          <w:szCs w:val="24"/>
        </w:rPr>
        <w:t xml:space="preserve">4: Follicular neoplasm or suspicious for a follicular neoplasm </w:t>
      </w:r>
    </w:p>
    <w:p w14:paraId="763503E7" w14:textId="77777777" w:rsidR="00FD103A" w:rsidRDefault="00FD103A" w:rsidP="00FD103A">
      <w:pPr>
        <w:spacing w:line="276" w:lineRule="auto"/>
        <w:rPr>
          <w:rFonts w:ascii="Times New Roman" w:hAnsi="Times New Roman" w:cs="Times New Roman"/>
          <w:sz w:val="24"/>
          <w:szCs w:val="24"/>
        </w:rPr>
      </w:pPr>
      <w:r w:rsidRPr="00FD103A">
        <w:rPr>
          <w:rFonts w:ascii="Times New Roman" w:hAnsi="Times New Roman" w:cs="Times New Roman"/>
          <w:sz w:val="24"/>
          <w:szCs w:val="24"/>
        </w:rPr>
        <w:t xml:space="preserve">Category 5: Suspicious for malignancy </w:t>
      </w:r>
    </w:p>
    <w:p w14:paraId="6AE3A635" w14:textId="77777777" w:rsidR="00FD103A" w:rsidRDefault="00FD103A" w:rsidP="00FD103A">
      <w:pPr>
        <w:spacing w:line="276" w:lineRule="auto"/>
        <w:rPr>
          <w:rFonts w:ascii="Times New Roman" w:hAnsi="Times New Roman" w:cs="Times New Roman"/>
          <w:sz w:val="24"/>
          <w:szCs w:val="24"/>
          <w:lang w:val="en-US"/>
        </w:rPr>
      </w:pPr>
      <w:r w:rsidRPr="00FD103A">
        <w:rPr>
          <w:rFonts w:ascii="Times New Roman" w:hAnsi="Times New Roman" w:cs="Times New Roman"/>
          <w:sz w:val="24"/>
          <w:szCs w:val="24"/>
        </w:rPr>
        <w:t xml:space="preserve">Category 6: Malignant </w:t>
      </w:r>
    </w:p>
    <w:p w14:paraId="3A6C31AC" w14:textId="77777777" w:rsidR="00CA53FC" w:rsidRPr="00CA53FC" w:rsidRDefault="00CA53FC" w:rsidP="00CA53FC">
      <w:pPr>
        <w:numPr>
          <w:ilvl w:val="0"/>
          <w:numId w:val="24"/>
        </w:numPr>
        <w:spacing w:line="276" w:lineRule="auto"/>
        <w:rPr>
          <w:rFonts w:ascii="Times New Roman" w:hAnsi="Times New Roman" w:cs="Times New Roman"/>
          <w:sz w:val="24"/>
          <w:szCs w:val="24"/>
          <w:lang w:val="en-US"/>
        </w:rPr>
      </w:pPr>
      <w:r w:rsidRPr="00CA53FC">
        <w:rPr>
          <w:rFonts w:ascii="Times New Roman" w:hAnsi="Times New Roman" w:cs="Times New Roman"/>
          <w:sz w:val="24"/>
          <w:szCs w:val="24"/>
          <w:lang w:val="en-US"/>
        </w:rPr>
        <w:t xml:space="preserve">Non diagnostic </w:t>
      </w:r>
      <w:proofErr w:type="gramStart"/>
      <w:r w:rsidRPr="00CA53FC">
        <w:rPr>
          <w:rFonts w:ascii="Times New Roman" w:hAnsi="Times New Roman" w:cs="Times New Roman"/>
          <w:sz w:val="24"/>
          <w:szCs w:val="24"/>
          <w:lang w:val="en-US"/>
        </w:rPr>
        <w:t>( thy</w:t>
      </w:r>
      <w:proofErr w:type="gramEnd"/>
      <w:r w:rsidRPr="00CA53FC">
        <w:rPr>
          <w:rFonts w:ascii="Times New Roman" w:hAnsi="Times New Roman" w:cs="Times New Roman"/>
          <w:sz w:val="24"/>
          <w:szCs w:val="24"/>
          <w:lang w:val="en-US"/>
        </w:rPr>
        <w:t xml:space="preserve"> 1 ) : Repeat FNAC USG Guided</w:t>
      </w:r>
    </w:p>
    <w:p w14:paraId="63BA550B" w14:textId="77777777" w:rsidR="00CA53FC" w:rsidRPr="00CA53FC" w:rsidRDefault="00CA53FC" w:rsidP="00CA53FC">
      <w:pPr>
        <w:numPr>
          <w:ilvl w:val="0"/>
          <w:numId w:val="24"/>
        </w:numPr>
        <w:spacing w:line="276" w:lineRule="auto"/>
        <w:rPr>
          <w:rFonts w:ascii="Times New Roman" w:hAnsi="Times New Roman" w:cs="Times New Roman"/>
          <w:sz w:val="24"/>
          <w:szCs w:val="24"/>
          <w:lang w:val="en-US"/>
        </w:rPr>
      </w:pPr>
      <w:r w:rsidRPr="00CA53FC">
        <w:rPr>
          <w:rFonts w:ascii="Times New Roman" w:hAnsi="Times New Roman" w:cs="Times New Roman"/>
          <w:sz w:val="24"/>
          <w:szCs w:val="24"/>
          <w:lang w:val="en-US"/>
        </w:rPr>
        <w:t xml:space="preserve"> Benign </w:t>
      </w:r>
      <w:proofErr w:type="gramStart"/>
      <w:r w:rsidRPr="00CA53FC">
        <w:rPr>
          <w:rFonts w:ascii="Times New Roman" w:hAnsi="Times New Roman" w:cs="Times New Roman"/>
          <w:sz w:val="24"/>
          <w:szCs w:val="24"/>
          <w:lang w:val="en-US"/>
        </w:rPr>
        <w:t>( thy</w:t>
      </w:r>
      <w:proofErr w:type="gramEnd"/>
      <w:r w:rsidRPr="00CA53FC">
        <w:rPr>
          <w:rFonts w:ascii="Times New Roman" w:hAnsi="Times New Roman" w:cs="Times New Roman"/>
          <w:sz w:val="24"/>
          <w:szCs w:val="24"/>
          <w:lang w:val="en-US"/>
        </w:rPr>
        <w:t xml:space="preserve"> 2) : follow up </w:t>
      </w:r>
    </w:p>
    <w:p w14:paraId="7E5D84B9" w14:textId="77777777" w:rsidR="00CA53FC" w:rsidRPr="00CA53FC" w:rsidRDefault="00CA53FC" w:rsidP="00CA53FC">
      <w:pPr>
        <w:numPr>
          <w:ilvl w:val="0"/>
          <w:numId w:val="24"/>
        </w:numPr>
        <w:spacing w:line="276" w:lineRule="auto"/>
        <w:rPr>
          <w:rFonts w:ascii="Times New Roman" w:hAnsi="Times New Roman" w:cs="Times New Roman"/>
          <w:sz w:val="24"/>
          <w:szCs w:val="24"/>
          <w:lang w:val="en-US"/>
        </w:rPr>
      </w:pPr>
      <w:r w:rsidRPr="00CA53FC">
        <w:rPr>
          <w:rFonts w:ascii="Times New Roman" w:hAnsi="Times New Roman" w:cs="Times New Roman"/>
          <w:sz w:val="24"/>
          <w:szCs w:val="24"/>
          <w:lang w:val="en-US"/>
        </w:rPr>
        <w:t>AUS /</w:t>
      </w:r>
      <w:proofErr w:type="gramStart"/>
      <w:r w:rsidRPr="00CA53FC">
        <w:rPr>
          <w:rFonts w:ascii="Times New Roman" w:hAnsi="Times New Roman" w:cs="Times New Roman"/>
          <w:sz w:val="24"/>
          <w:szCs w:val="24"/>
          <w:lang w:val="en-US"/>
        </w:rPr>
        <w:t>FLUS  (</w:t>
      </w:r>
      <w:proofErr w:type="gramEnd"/>
      <w:r w:rsidRPr="00CA53FC">
        <w:rPr>
          <w:rFonts w:ascii="Times New Roman" w:hAnsi="Times New Roman" w:cs="Times New Roman"/>
          <w:sz w:val="24"/>
          <w:szCs w:val="24"/>
          <w:lang w:val="en-US"/>
        </w:rPr>
        <w:t>thy3A) : follow up/ repeat FNAC /molecular markers , MM can be genetic/immune cytogenic/epigenetic  ( mutations like BRAF in papillary thyroid cancer / RAS mutation in follicular thyroid cancer/ RET  mutation in medullary thyroid cancer/p53 mutation in anaplastic thyroid cancer.</w:t>
      </w:r>
    </w:p>
    <w:p w14:paraId="64B9A577" w14:textId="77777777" w:rsidR="00CA53FC" w:rsidRPr="00CA53FC" w:rsidRDefault="00CA53FC" w:rsidP="00CA53FC">
      <w:pPr>
        <w:numPr>
          <w:ilvl w:val="0"/>
          <w:numId w:val="25"/>
        </w:numPr>
        <w:spacing w:line="276" w:lineRule="auto"/>
        <w:rPr>
          <w:rFonts w:ascii="Times New Roman" w:hAnsi="Times New Roman" w:cs="Times New Roman"/>
          <w:sz w:val="24"/>
          <w:szCs w:val="24"/>
          <w:lang w:val="en-US"/>
        </w:rPr>
      </w:pPr>
      <w:proofErr w:type="gramStart"/>
      <w:r w:rsidRPr="00CA53FC">
        <w:rPr>
          <w:rFonts w:ascii="Times New Roman" w:hAnsi="Times New Roman" w:cs="Times New Roman"/>
          <w:sz w:val="24"/>
          <w:szCs w:val="24"/>
          <w:lang w:val="en-US"/>
        </w:rPr>
        <w:t>Genetic :</w:t>
      </w:r>
      <w:proofErr w:type="gramEnd"/>
      <w:r w:rsidRPr="00CA53FC">
        <w:rPr>
          <w:rFonts w:ascii="Times New Roman" w:hAnsi="Times New Roman" w:cs="Times New Roman"/>
          <w:sz w:val="24"/>
          <w:szCs w:val="24"/>
          <w:lang w:val="en-US"/>
        </w:rPr>
        <w:t xml:space="preserve"> 1) BRAF in papillary thyroid cancer 2) RAS mutation in follicular thyroid cancer 3) RET  mutation in medullary thyroid cancer 4) p53 mutation in anaplastic thyroid cancer</w:t>
      </w:r>
    </w:p>
    <w:p w14:paraId="410DB49A" w14:textId="77777777" w:rsidR="00CA53FC" w:rsidRPr="00CA53FC" w:rsidRDefault="00CA53FC" w:rsidP="00CA53FC">
      <w:pPr>
        <w:numPr>
          <w:ilvl w:val="0"/>
          <w:numId w:val="25"/>
        </w:numPr>
        <w:spacing w:line="276" w:lineRule="auto"/>
        <w:rPr>
          <w:rFonts w:ascii="Times New Roman" w:hAnsi="Times New Roman" w:cs="Times New Roman"/>
          <w:sz w:val="24"/>
          <w:szCs w:val="24"/>
          <w:lang w:val="en-US"/>
        </w:rPr>
      </w:pPr>
      <w:r w:rsidRPr="00CA53FC">
        <w:rPr>
          <w:rFonts w:ascii="Times New Roman" w:hAnsi="Times New Roman" w:cs="Times New Roman"/>
          <w:sz w:val="24"/>
          <w:szCs w:val="24"/>
          <w:lang w:val="en-US"/>
        </w:rPr>
        <w:t xml:space="preserve">immune </w:t>
      </w:r>
      <w:proofErr w:type="gramStart"/>
      <w:r w:rsidRPr="00CA53FC">
        <w:rPr>
          <w:rFonts w:ascii="Times New Roman" w:hAnsi="Times New Roman" w:cs="Times New Roman"/>
          <w:sz w:val="24"/>
          <w:szCs w:val="24"/>
          <w:lang w:val="en-US"/>
        </w:rPr>
        <w:t>cytogenic :</w:t>
      </w:r>
      <w:proofErr w:type="gramEnd"/>
      <w:r w:rsidRPr="00CA53FC">
        <w:rPr>
          <w:rFonts w:ascii="Times New Roman" w:hAnsi="Times New Roman" w:cs="Times New Roman"/>
          <w:sz w:val="24"/>
          <w:szCs w:val="24"/>
          <w:lang w:val="en-US"/>
        </w:rPr>
        <w:t xml:space="preserve"> 1)galectin 3 marker in FTC /PTC 2) HBME1 marker in PTC 3) cytokeratin 19  marker in PTC, cytokeratin 7/18 marker in MTC   4) VEGF  marker lymph node metastasis</w:t>
      </w:r>
    </w:p>
    <w:p w14:paraId="45D640C7" w14:textId="77777777" w:rsidR="00CA53FC" w:rsidRPr="00CA53FC" w:rsidRDefault="00CA53FC" w:rsidP="00CA53FC">
      <w:pPr>
        <w:numPr>
          <w:ilvl w:val="0"/>
          <w:numId w:val="25"/>
        </w:numPr>
        <w:spacing w:line="276" w:lineRule="auto"/>
        <w:rPr>
          <w:rFonts w:ascii="Times New Roman" w:hAnsi="Times New Roman" w:cs="Times New Roman"/>
          <w:sz w:val="24"/>
          <w:szCs w:val="24"/>
          <w:lang w:val="en-US"/>
        </w:rPr>
      </w:pPr>
      <w:proofErr w:type="gramStart"/>
      <w:r w:rsidRPr="00CA53FC">
        <w:rPr>
          <w:rFonts w:ascii="Times New Roman" w:hAnsi="Times New Roman" w:cs="Times New Roman"/>
          <w:sz w:val="24"/>
          <w:szCs w:val="24"/>
          <w:lang w:val="en-US"/>
        </w:rPr>
        <w:lastRenderedPageBreak/>
        <w:t>epigenetic  :</w:t>
      </w:r>
      <w:proofErr w:type="gramEnd"/>
      <w:r w:rsidRPr="00CA53FC">
        <w:rPr>
          <w:rFonts w:ascii="Times New Roman" w:hAnsi="Times New Roman" w:cs="Times New Roman"/>
          <w:sz w:val="24"/>
          <w:szCs w:val="24"/>
          <w:lang w:val="en-US"/>
        </w:rPr>
        <w:t xml:space="preserve"> DNA methylation / micro RNA</w:t>
      </w:r>
    </w:p>
    <w:p w14:paraId="477FDB0C" w14:textId="77777777" w:rsidR="00CA53FC" w:rsidRPr="00CA53FC" w:rsidRDefault="00CA53FC" w:rsidP="00CA53FC">
      <w:pPr>
        <w:spacing w:line="276" w:lineRule="auto"/>
        <w:rPr>
          <w:rFonts w:ascii="Times New Roman" w:hAnsi="Times New Roman" w:cs="Times New Roman"/>
          <w:sz w:val="24"/>
          <w:szCs w:val="24"/>
          <w:lang w:val="en-US"/>
        </w:rPr>
      </w:pPr>
      <w:r w:rsidRPr="00CA53FC">
        <w:rPr>
          <w:rFonts w:ascii="Times New Roman" w:hAnsi="Times New Roman" w:cs="Times New Roman"/>
          <w:sz w:val="24"/>
          <w:szCs w:val="24"/>
          <w:lang w:val="en-US"/>
        </w:rPr>
        <w:t xml:space="preserve">4. follicular neoplasm </w:t>
      </w:r>
      <w:proofErr w:type="gramStart"/>
      <w:r w:rsidRPr="00CA53FC">
        <w:rPr>
          <w:rFonts w:ascii="Times New Roman" w:hAnsi="Times New Roman" w:cs="Times New Roman"/>
          <w:sz w:val="24"/>
          <w:szCs w:val="24"/>
          <w:lang w:val="en-US"/>
        </w:rPr>
        <w:t>( thy</w:t>
      </w:r>
      <w:proofErr w:type="gramEnd"/>
      <w:r w:rsidRPr="00CA53FC">
        <w:rPr>
          <w:rFonts w:ascii="Times New Roman" w:hAnsi="Times New Roman" w:cs="Times New Roman"/>
          <w:sz w:val="24"/>
          <w:szCs w:val="24"/>
          <w:lang w:val="en-US"/>
        </w:rPr>
        <w:t xml:space="preserve"> 3 f) : hemithyroidectomy = HPE = vascular invasion and capsular invasion</w:t>
      </w:r>
    </w:p>
    <w:p w14:paraId="0F034383" w14:textId="77777777" w:rsidR="00CA53FC" w:rsidRPr="00CA53FC" w:rsidRDefault="00CA53FC" w:rsidP="00CA53FC">
      <w:pPr>
        <w:spacing w:line="276" w:lineRule="auto"/>
        <w:rPr>
          <w:rFonts w:ascii="Times New Roman" w:hAnsi="Times New Roman" w:cs="Times New Roman"/>
          <w:sz w:val="24"/>
          <w:szCs w:val="24"/>
          <w:lang w:val="en-US"/>
        </w:rPr>
      </w:pPr>
      <w:r w:rsidRPr="00CA53FC">
        <w:rPr>
          <w:rFonts w:ascii="Times New Roman" w:hAnsi="Times New Roman" w:cs="Times New Roman"/>
          <w:sz w:val="24"/>
          <w:szCs w:val="24"/>
          <w:lang w:val="en-US"/>
        </w:rPr>
        <w:t>If vascular invasion and capsular invasion +</w:t>
      </w:r>
      <w:proofErr w:type="gramStart"/>
      <w:r>
        <w:rPr>
          <w:rFonts w:ascii="Times New Roman" w:hAnsi="Times New Roman" w:cs="Times New Roman"/>
          <w:sz w:val="24"/>
          <w:szCs w:val="24"/>
          <w:lang w:val="en-US"/>
        </w:rPr>
        <w:t>present ,</w:t>
      </w:r>
      <w:proofErr w:type="gramEnd"/>
      <w:r w:rsidRPr="00CA53FC">
        <w:rPr>
          <w:rFonts w:ascii="Times New Roman" w:hAnsi="Times New Roman" w:cs="Times New Roman"/>
          <w:sz w:val="24"/>
          <w:szCs w:val="24"/>
          <w:lang w:val="en-US"/>
        </w:rPr>
        <w:t xml:space="preserve">   it is Follicular carcinoma =  complete thyroidectomy </w:t>
      </w:r>
    </w:p>
    <w:p w14:paraId="0B41BE80" w14:textId="77777777" w:rsidR="00CA53FC" w:rsidRPr="00CA53FC" w:rsidRDefault="00CA53FC" w:rsidP="00CA53FC">
      <w:pPr>
        <w:spacing w:line="276" w:lineRule="auto"/>
        <w:rPr>
          <w:rFonts w:ascii="Times New Roman" w:hAnsi="Times New Roman" w:cs="Times New Roman"/>
          <w:sz w:val="24"/>
          <w:szCs w:val="24"/>
          <w:lang w:val="en-US"/>
        </w:rPr>
      </w:pPr>
      <w:r w:rsidRPr="00CA53FC">
        <w:rPr>
          <w:rFonts w:ascii="Times New Roman" w:hAnsi="Times New Roman" w:cs="Times New Roman"/>
          <w:sz w:val="24"/>
          <w:szCs w:val="24"/>
          <w:lang w:val="en-US"/>
        </w:rPr>
        <w:t xml:space="preserve">If vascular invasion and capsular invasion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absent ,</w:t>
      </w:r>
      <w:proofErr w:type="gramEnd"/>
      <w:r w:rsidRPr="00CA53FC">
        <w:rPr>
          <w:rFonts w:ascii="Times New Roman" w:hAnsi="Times New Roman" w:cs="Times New Roman"/>
          <w:sz w:val="24"/>
          <w:szCs w:val="24"/>
          <w:lang w:val="en-US"/>
        </w:rPr>
        <w:t xml:space="preserve">  it is  Follicular adenoma  =  no further treatment </w:t>
      </w:r>
    </w:p>
    <w:p w14:paraId="7435FA08" w14:textId="77777777" w:rsidR="00CA53FC" w:rsidRPr="00CA53FC" w:rsidRDefault="00CA53FC" w:rsidP="00CA53FC">
      <w:pPr>
        <w:spacing w:line="276" w:lineRule="auto"/>
        <w:rPr>
          <w:rFonts w:ascii="Times New Roman" w:hAnsi="Times New Roman" w:cs="Times New Roman"/>
          <w:sz w:val="24"/>
          <w:szCs w:val="24"/>
          <w:lang w:val="en-US"/>
        </w:rPr>
      </w:pPr>
      <w:r w:rsidRPr="00CA53FC">
        <w:rPr>
          <w:rFonts w:ascii="Times New Roman" w:hAnsi="Times New Roman" w:cs="Times New Roman"/>
          <w:sz w:val="24"/>
          <w:szCs w:val="24"/>
          <w:lang w:val="en-US"/>
        </w:rPr>
        <w:t xml:space="preserve">5. highly suspicious malignancy </w:t>
      </w:r>
      <w:proofErr w:type="gramStart"/>
      <w:r w:rsidRPr="00CA53FC">
        <w:rPr>
          <w:rFonts w:ascii="Times New Roman" w:hAnsi="Times New Roman" w:cs="Times New Roman"/>
          <w:sz w:val="24"/>
          <w:szCs w:val="24"/>
          <w:lang w:val="en-US"/>
        </w:rPr>
        <w:t>( thy</w:t>
      </w:r>
      <w:proofErr w:type="gramEnd"/>
      <w:r w:rsidRPr="00CA53FC">
        <w:rPr>
          <w:rFonts w:ascii="Times New Roman" w:hAnsi="Times New Roman" w:cs="Times New Roman"/>
          <w:sz w:val="24"/>
          <w:szCs w:val="24"/>
          <w:lang w:val="en-US"/>
        </w:rPr>
        <w:t xml:space="preserve"> 4) : surgery = total/hemithyroidectomy</w:t>
      </w:r>
    </w:p>
    <w:p w14:paraId="55C5F453" w14:textId="77777777" w:rsidR="00FD103A" w:rsidRDefault="00CA53FC" w:rsidP="00CA53FC">
      <w:pPr>
        <w:spacing w:line="276" w:lineRule="auto"/>
        <w:rPr>
          <w:rFonts w:ascii="Times New Roman" w:hAnsi="Times New Roman" w:cs="Times New Roman"/>
          <w:sz w:val="24"/>
          <w:szCs w:val="24"/>
          <w:lang w:val="en-US"/>
        </w:rPr>
      </w:pPr>
      <w:r w:rsidRPr="00CA53FC">
        <w:rPr>
          <w:rFonts w:ascii="Times New Roman" w:hAnsi="Times New Roman" w:cs="Times New Roman"/>
          <w:sz w:val="24"/>
          <w:szCs w:val="24"/>
          <w:lang w:val="en-US"/>
        </w:rPr>
        <w:t>6. malignancy (thy 5</w:t>
      </w:r>
      <w:proofErr w:type="gramStart"/>
      <w:r w:rsidRPr="00CA53FC">
        <w:rPr>
          <w:rFonts w:ascii="Times New Roman" w:hAnsi="Times New Roman" w:cs="Times New Roman"/>
          <w:sz w:val="24"/>
          <w:szCs w:val="24"/>
          <w:lang w:val="en-US"/>
        </w:rPr>
        <w:t>) :</w:t>
      </w:r>
      <w:proofErr w:type="gramEnd"/>
      <w:r w:rsidRPr="00CA53FC">
        <w:rPr>
          <w:rFonts w:ascii="Times New Roman" w:hAnsi="Times New Roman" w:cs="Times New Roman"/>
          <w:sz w:val="24"/>
          <w:szCs w:val="24"/>
          <w:lang w:val="en-US"/>
        </w:rPr>
        <w:t xml:space="preserve"> surgery = total/hemithyroidectomy</w:t>
      </w:r>
    </w:p>
    <w:p w14:paraId="263AF1E4" w14:textId="77777777" w:rsidR="00994CB4" w:rsidRDefault="00994CB4" w:rsidP="00CA53FC">
      <w:pPr>
        <w:spacing w:line="276" w:lineRule="auto"/>
        <w:rPr>
          <w:rFonts w:ascii="Times New Roman" w:hAnsi="Times New Roman" w:cs="Times New Roman"/>
          <w:sz w:val="24"/>
          <w:szCs w:val="24"/>
        </w:rPr>
      </w:pPr>
    </w:p>
    <w:p w14:paraId="3E5E7439" w14:textId="77777777" w:rsidR="00994CB4" w:rsidRDefault="00994CB4" w:rsidP="00CA53FC">
      <w:pPr>
        <w:spacing w:line="276" w:lineRule="auto"/>
        <w:rPr>
          <w:rFonts w:ascii="Times New Roman" w:hAnsi="Times New Roman" w:cs="Times New Roman"/>
          <w:sz w:val="24"/>
          <w:szCs w:val="24"/>
        </w:rPr>
      </w:pPr>
    </w:p>
    <w:p w14:paraId="489D719E" w14:textId="77777777" w:rsidR="00994CB4" w:rsidRDefault="00994CB4" w:rsidP="00CA53FC">
      <w:pPr>
        <w:spacing w:line="276" w:lineRule="auto"/>
        <w:rPr>
          <w:rFonts w:ascii="Times New Roman" w:hAnsi="Times New Roman" w:cs="Times New Roman"/>
          <w:sz w:val="24"/>
          <w:szCs w:val="24"/>
        </w:rPr>
      </w:pPr>
    </w:p>
    <w:p w14:paraId="5B1C9C1B" w14:textId="77777777" w:rsidR="00FD103A" w:rsidRDefault="00FD103A" w:rsidP="00CA53FC">
      <w:pPr>
        <w:spacing w:line="276" w:lineRule="auto"/>
        <w:rPr>
          <w:rFonts w:ascii="Times New Roman" w:hAnsi="Times New Roman" w:cs="Times New Roman"/>
          <w:sz w:val="24"/>
          <w:szCs w:val="24"/>
          <w:vertAlign w:val="superscript"/>
        </w:rPr>
      </w:pPr>
      <w:r w:rsidRPr="00FD103A">
        <w:rPr>
          <w:rFonts w:ascii="Times New Roman" w:hAnsi="Times New Roman" w:cs="Times New Roman"/>
          <w:sz w:val="24"/>
          <w:szCs w:val="24"/>
        </w:rPr>
        <w:t xml:space="preserve">OVERVIEW OF ACR TI-RADS </w:t>
      </w:r>
      <w:r w:rsidR="00F30233">
        <w:rPr>
          <w:rFonts w:ascii="Times New Roman" w:hAnsi="Times New Roman" w:cs="Times New Roman"/>
          <w:sz w:val="24"/>
          <w:szCs w:val="24"/>
          <w:vertAlign w:val="superscript"/>
        </w:rPr>
        <w:t>8</w:t>
      </w:r>
    </w:p>
    <w:p w14:paraId="739D8C40" w14:textId="77777777" w:rsidR="00994CB4" w:rsidRDefault="00994CB4" w:rsidP="00994CB4">
      <w:pPr>
        <w:spacing w:line="276" w:lineRule="auto"/>
        <w:rPr>
          <w:rFonts w:ascii="Times New Roman" w:hAnsi="Times New Roman" w:cs="Times New Roman"/>
          <w:sz w:val="24"/>
          <w:szCs w:val="24"/>
        </w:rPr>
      </w:pPr>
      <w:r w:rsidRPr="00FD103A">
        <w:rPr>
          <w:rFonts w:ascii="Times New Roman" w:hAnsi="Times New Roman" w:cs="Times New Roman"/>
          <w:sz w:val="24"/>
          <w:szCs w:val="24"/>
        </w:rPr>
        <w:t xml:space="preserve">The ultrasound features in the ACR TI-RADS are categorized as benign, minimally suspicious, moderately suspicious, or highly suspicious for malignancy. Points are given for all the ultrasound features in a nodule, with more suspicious features being awarded additional points. </w:t>
      </w:r>
      <w:r>
        <w:rPr>
          <w:rFonts w:ascii="Times New Roman" w:hAnsi="Times New Roman" w:cs="Times New Roman"/>
          <w:sz w:val="24"/>
          <w:szCs w:val="24"/>
        </w:rPr>
        <w:t>Image 2</w:t>
      </w:r>
    </w:p>
    <w:p w14:paraId="7E1A6849" w14:textId="77777777" w:rsidR="00994CB4" w:rsidRDefault="00994CB4" w:rsidP="00CA53FC">
      <w:pPr>
        <w:spacing w:line="276" w:lineRule="auto"/>
        <w:rPr>
          <w:rFonts w:ascii="Times New Roman" w:hAnsi="Times New Roman" w:cs="Times New Roman"/>
          <w:sz w:val="24"/>
          <w:szCs w:val="24"/>
          <w:vertAlign w:val="superscript"/>
        </w:rPr>
      </w:pPr>
    </w:p>
    <w:p w14:paraId="186BF510" w14:textId="77777777" w:rsidR="00803C90" w:rsidRDefault="002D6474" w:rsidP="00CA53FC">
      <w:pPr>
        <w:spacing w:line="276"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7936" behindDoc="0" locked="0" layoutInCell="1" allowOverlap="1" wp14:anchorId="67DA3CC5" wp14:editId="3A5A3DEA">
            <wp:simplePos x="0" y="0"/>
            <wp:positionH relativeFrom="margin">
              <wp:posOffset>639591</wp:posOffset>
            </wp:positionH>
            <wp:positionV relativeFrom="margin">
              <wp:posOffset>5394960</wp:posOffset>
            </wp:positionV>
            <wp:extent cx="4655820" cy="3002915"/>
            <wp:effectExtent l="0" t="0" r="0" b="6985"/>
            <wp:wrapTopAndBottom/>
            <wp:docPr id="13764439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18100" name="Picture 291218100"/>
                    <pic:cNvPicPr/>
                  </pic:nvPicPr>
                  <pic:blipFill>
                    <a:blip r:embed="rId8">
                      <a:extLst>
                        <a:ext uri="{28A0092B-C50C-407E-A947-70E740481C1C}">
                          <a14:useLocalDpi xmlns:a14="http://schemas.microsoft.com/office/drawing/2010/main" val="0"/>
                        </a:ext>
                      </a:extLst>
                    </a:blip>
                    <a:stretch>
                      <a:fillRect/>
                    </a:stretch>
                  </pic:blipFill>
                  <pic:spPr>
                    <a:xfrm>
                      <a:off x="0" y="0"/>
                      <a:ext cx="4655820" cy="3002915"/>
                    </a:xfrm>
                    <a:prstGeom prst="rect">
                      <a:avLst/>
                    </a:prstGeom>
                  </pic:spPr>
                </pic:pic>
              </a:graphicData>
            </a:graphic>
            <wp14:sizeRelH relativeFrom="margin">
              <wp14:pctWidth>0</wp14:pctWidth>
            </wp14:sizeRelH>
            <wp14:sizeRelV relativeFrom="margin">
              <wp14:pctHeight>0</wp14:pctHeight>
            </wp14:sizeRelV>
          </wp:anchor>
        </w:drawing>
      </w:r>
    </w:p>
    <w:p w14:paraId="00A5224F" w14:textId="77777777" w:rsidR="00803C90" w:rsidRDefault="00803C90" w:rsidP="00CA53FC">
      <w:pPr>
        <w:spacing w:line="276" w:lineRule="auto"/>
        <w:rPr>
          <w:rFonts w:ascii="Times New Roman" w:hAnsi="Times New Roman" w:cs="Times New Roman"/>
          <w:sz w:val="24"/>
          <w:szCs w:val="24"/>
        </w:rPr>
      </w:pPr>
    </w:p>
    <w:p w14:paraId="5A21ECB7" w14:textId="77777777" w:rsidR="002A5EBF" w:rsidRPr="00A838A9" w:rsidRDefault="00803C90" w:rsidP="002A5EBF">
      <w:pPr>
        <w:spacing w:line="276" w:lineRule="auto"/>
        <w:jc w:val="both"/>
        <w:rPr>
          <w:rFonts w:ascii="Times New Roman" w:hAnsi="Times New Roman" w:cs="Times New Roman"/>
          <w:b/>
          <w:bCs/>
          <w:sz w:val="28"/>
          <w:szCs w:val="28"/>
        </w:rPr>
      </w:pPr>
      <w:r w:rsidRPr="00A838A9">
        <w:rPr>
          <w:rFonts w:ascii="Times New Roman" w:hAnsi="Times New Roman" w:cs="Times New Roman"/>
          <w:b/>
          <w:bCs/>
          <w:sz w:val="28"/>
          <w:szCs w:val="28"/>
        </w:rPr>
        <w:t xml:space="preserve">CASE </w:t>
      </w:r>
      <w:proofErr w:type="gramStart"/>
      <w:r w:rsidRPr="00A838A9">
        <w:rPr>
          <w:rFonts w:ascii="Times New Roman" w:hAnsi="Times New Roman" w:cs="Times New Roman"/>
          <w:b/>
          <w:bCs/>
          <w:sz w:val="28"/>
          <w:szCs w:val="28"/>
        </w:rPr>
        <w:t>REPORT :</w:t>
      </w:r>
      <w:proofErr w:type="gramEnd"/>
    </w:p>
    <w:p w14:paraId="62831547" w14:textId="663DCC2D" w:rsidR="004E0757" w:rsidRDefault="002A5EBF" w:rsidP="002A5EBF">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proofErr w:type="gramStart"/>
      <w:r>
        <w:rPr>
          <w:rFonts w:ascii="Times New Roman" w:hAnsi="Times New Roman" w:cs="Times New Roman"/>
          <w:sz w:val="24"/>
          <w:szCs w:val="24"/>
        </w:rPr>
        <w:t>27 year old</w:t>
      </w:r>
      <w:proofErr w:type="gramEnd"/>
      <w:r>
        <w:rPr>
          <w:rFonts w:ascii="Times New Roman" w:hAnsi="Times New Roman" w:cs="Times New Roman"/>
          <w:sz w:val="24"/>
          <w:szCs w:val="24"/>
        </w:rPr>
        <w:t xml:space="preserve"> female patient was admitted </w:t>
      </w:r>
      <w:r w:rsidR="004E0757">
        <w:rPr>
          <w:rFonts w:ascii="Times New Roman" w:hAnsi="Times New Roman" w:cs="Times New Roman"/>
          <w:sz w:val="24"/>
          <w:szCs w:val="24"/>
        </w:rPr>
        <w:t xml:space="preserve">under surgery c unit in Ballari </w:t>
      </w:r>
      <w:r w:rsidR="002B7519">
        <w:rPr>
          <w:rFonts w:ascii="Times New Roman" w:hAnsi="Times New Roman" w:cs="Times New Roman"/>
          <w:sz w:val="24"/>
          <w:szCs w:val="24"/>
        </w:rPr>
        <w:t>M</w:t>
      </w:r>
      <w:r w:rsidR="004E0757">
        <w:rPr>
          <w:rFonts w:ascii="Times New Roman" w:hAnsi="Times New Roman" w:cs="Times New Roman"/>
          <w:sz w:val="24"/>
          <w:szCs w:val="24"/>
        </w:rPr>
        <w:t xml:space="preserve">edical </w:t>
      </w:r>
      <w:r w:rsidR="002B7519">
        <w:rPr>
          <w:rFonts w:ascii="Times New Roman" w:hAnsi="Times New Roman" w:cs="Times New Roman"/>
          <w:sz w:val="24"/>
          <w:szCs w:val="24"/>
        </w:rPr>
        <w:t>C</w:t>
      </w:r>
      <w:r w:rsidR="004E0757">
        <w:rPr>
          <w:rFonts w:ascii="Times New Roman" w:hAnsi="Times New Roman" w:cs="Times New Roman"/>
          <w:sz w:val="24"/>
          <w:szCs w:val="24"/>
        </w:rPr>
        <w:t xml:space="preserve">ollege and </w:t>
      </w:r>
      <w:r w:rsidR="002B7519">
        <w:rPr>
          <w:rFonts w:ascii="Times New Roman" w:hAnsi="Times New Roman" w:cs="Times New Roman"/>
          <w:sz w:val="24"/>
          <w:szCs w:val="24"/>
        </w:rPr>
        <w:t>R</w:t>
      </w:r>
      <w:r w:rsidR="004E0757">
        <w:rPr>
          <w:rFonts w:ascii="Times New Roman" w:hAnsi="Times New Roman" w:cs="Times New Roman"/>
          <w:sz w:val="24"/>
          <w:szCs w:val="24"/>
        </w:rPr>
        <w:t xml:space="preserve">esearch </w:t>
      </w:r>
      <w:r w:rsidR="000D4A23">
        <w:rPr>
          <w:rFonts w:ascii="Times New Roman" w:hAnsi="Times New Roman" w:cs="Times New Roman"/>
          <w:sz w:val="24"/>
          <w:szCs w:val="24"/>
        </w:rPr>
        <w:t>Centre</w:t>
      </w:r>
      <w:r w:rsidR="004E0757">
        <w:rPr>
          <w:rFonts w:ascii="Times New Roman" w:hAnsi="Times New Roman" w:cs="Times New Roman"/>
          <w:sz w:val="24"/>
          <w:szCs w:val="24"/>
        </w:rPr>
        <w:t xml:space="preserve">. With a chief complaint </w:t>
      </w:r>
      <w:proofErr w:type="gramStart"/>
      <w:r w:rsidR="004E0757">
        <w:rPr>
          <w:rFonts w:ascii="Times New Roman" w:hAnsi="Times New Roman" w:cs="Times New Roman"/>
          <w:sz w:val="24"/>
          <w:szCs w:val="24"/>
        </w:rPr>
        <w:t>of :</w:t>
      </w:r>
      <w:proofErr w:type="gramEnd"/>
      <w:r w:rsidR="004E0757">
        <w:rPr>
          <w:rFonts w:ascii="Times New Roman" w:hAnsi="Times New Roman" w:cs="Times New Roman"/>
          <w:sz w:val="24"/>
          <w:szCs w:val="24"/>
        </w:rPr>
        <w:t xml:space="preserve"> swelling in</w:t>
      </w:r>
      <w:r w:rsidR="000D4A23">
        <w:rPr>
          <w:rFonts w:ascii="Times New Roman" w:hAnsi="Times New Roman" w:cs="Times New Roman"/>
          <w:sz w:val="24"/>
          <w:szCs w:val="24"/>
        </w:rPr>
        <w:t xml:space="preserve"> </w:t>
      </w:r>
      <w:r w:rsidR="004B7AD4">
        <w:rPr>
          <w:rFonts w:ascii="Times New Roman" w:hAnsi="Times New Roman" w:cs="Times New Roman"/>
          <w:sz w:val="24"/>
          <w:szCs w:val="24"/>
        </w:rPr>
        <w:t xml:space="preserve">front of </w:t>
      </w:r>
      <w:r w:rsidR="004E0757">
        <w:rPr>
          <w:rFonts w:ascii="Times New Roman" w:hAnsi="Times New Roman" w:cs="Times New Roman"/>
          <w:sz w:val="24"/>
          <w:szCs w:val="24"/>
        </w:rPr>
        <w:t xml:space="preserve"> the neck region since 2 months.</w:t>
      </w:r>
    </w:p>
    <w:p w14:paraId="59D42034" w14:textId="77777777" w:rsidR="004E0757" w:rsidRDefault="004E0757" w:rsidP="002A5EBF">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HOPC :</w:t>
      </w:r>
      <w:proofErr w:type="gramEnd"/>
      <w:r>
        <w:rPr>
          <w:rFonts w:ascii="Times New Roman" w:hAnsi="Times New Roman" w:cs="Times New Roman"/>
          <w:sz w:val="24"/>
          <w:szCs w:val="24"/>
        </w:rPr>
        <w:t xml:space="preserve"> PWAN 2 months back then she developed swelling in the neck region which was insidious in onset and gradually progressive not associated with…</w:t>
      </w:r>
    </w:p>
    <w:p w14:paraId="62DC5C41" w14:textId="49C44577" w:rsidR="00AA61B2" w:rsidRPr="00AA61B2" w:rsidRDefault="00AA61B2" w:rsidP="002A5EBF">
      <w:pPr>
        <w:pStyle w:val="ListParagraph"/>
        <w:numPr>
          <w:ilvl w:val="0"/>
          <w:numId w:val="1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Pain in the swelling </w:t>
      </w:r>
    </w:p>
    <w:p w14:paraId="39E45BCF" w14:textId="77777777" w:rsidR="002A5EBF" w:rsidRDefault="004E0757" w:rsidP="004E0757">
      <w:pPr>
        <w:pStyle w:val="ListParagraph"/>
        <w:numPr>
          <w:ilvl w:val="0"/>
          <w:numId w:val="1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Difficulty in swallow </w:t>
      </w:r>
    </w:p>
    <w:p w14:paraId="08A2E3C7" w14:textId="77777777" w:rsidR="004E0757" w:rsidRDefault="004E0757" w:rsidP="004E0757">
      <w:pPr>
        <w:pStyle w:val="ListParagraph"/>
        <w:numPr>
          <w:ilvl w:val="0"/>
          <w:numId w:val="11"/>
        </w:numPr>
        <w:spacing w:line="276" w:lineRule="auto"/>
        <w:jc w:val="both"/>
        <w:rPr>
          <w:rFonts w:ascii="Times New Roman" w:hAnsi="Times New Roman" w:cs="Times New Roman"/>
          <w:sz w:val="24"/>
          <w:szCs w:val="24"/>
        </w:rPr>
      </w:pPr>
      <w:r>
        <w:rPr>
          <w:rFonts w:ascii="Times New Roman" w:hAnsi="Times New Roman" w:cs="Times New Roman"/>
          <w:sz w:val="24"/>
          <w:szCs w:val="24"/>
        </w:rPr>
        <w:t>Difficulty in breathing</w:t>
      </w:r>
    </w:p>
    <w:p w14:paraId="2F4629B5" w14:textId="727D37A8" w:rsidR="004E0757" w:rsidRPr="00AA61B2" w:rsidRDefault="004E0757" w:rsidP="00AA61B2">
      <w:pPr>
        <w:pStyle w:val="ListParagraph"/>
        <w:numPr>
          <w:ilvl w:val="0"/>
          <w:numId w:val="11"/>
        </w:numPr>
        <w:spacing w:line="276" w:lineRule="auto"/>
        <w:jc w:val="both"/>
        <w:rPr>
          <w:rFonts w:ascii="Times New Roman" w:hAnsi="Times New Roman" w:cs="Times New Roman"/>
          <w:sz w:val="24"/>
          <w:szCs w:val="24"/>
        </w:rPr>
      </w:pPr>
      <w:r>
        <w:rPr>
          <w:rFonts w:ascii="Times New Roman" w:hAnsi="Times New Roman" w:cs="Times New Roman"/>
          <w:sz w:val="24"/>
          <w:szCs w:val="24"/>
        </w:rPr>
        <w:t>Weight gain /weight loss</w:t>
      </w:r>
    </w:p>
    <w:p w14:paraId="31BAC605" w14:textId="77777777" w:rsidR="004E0757" w:rsidRDefault="004E0757" w:rsidP="004E0757">
      <w:pPr>
        <w:pStyle w:val="ListParagraph"/>
        <w:numPr>
          <w:ilvl w:val="0"/>
          <w:numId w:val="11"/>
        </w:numPr>
        <w:spacing w:line="276" w:lineRule="auto"/>
        <w:jc w:val="both"/>
        <w:rPr>
          <w:rFonts w:ascii="Times New Roman" w:hAnsi="Times New Roman" w:cs="Times New Roman"/>
          <w:sz w:val="24"/>
          <w:szCs w:val="24"/>
        </w:rPr>
      </w:pPr>
      <w:r>
        <w:rPr>
          <w:rFonts w:ascii="Times New Roman" w:hAnsi="Times New Roman" w:cs="Times New Roman"/>
          <w:sz w:val="24"/>
          <w:szCs w:val="24"/>
        </w:rPr>
        <w:t>Cough cold and throat pain</w:t>
      </w:r>
    </w:p>
    <w:p w14:paraId="2AC920CA" w14:textId="6E505C78" w:rsidR="004B7AD4" w:rsidRDefault="004B7AD4" w:rsidP="004E0757">
      <w:pPr>
        <w:pStyle w:val="ListParagraph"/>
        <w:numPr>
          <w:ilvl w:val="0"/>
          <w:numId w:val="11"/>
        </w:numPr>
        <w:spacing w:line="276" w:lineRule="auto"/>
        <w:jc w:val="both"/>
        <w:rPr>
          <w:rFonts w:ascii="Times New Roman" w:hAnsi="Times New Roman" w:cs="Times New Roman"/>
          <w:sz w:val="24"/>
          <w:szCs w:val="24"/>
        </w:rPr>
      </w:pPr>
      <w:r>
        <w:rPr>
          <w:rFonts w:ascii="Times New Roman" w:hAnsi="Times New Roman" w:cs="Times New Roman"/>
          <w:sz w:val="24"/>
          <w:szCs w:val="24"/>
        </w:rPr>
        <w:t>No</w:t>
      </w:r>
      <w:r w:rsidR="00AA61B2">
        <w:rPr>
          <w:rFonts w:ascii="Times New Roman" w:hAnsi="Times New Roman" w:cs="Times New Roman"/>
          <w:sz w:val="24"/>
          <w:szCs w:val="24"/>
        </w:rPr>
        <w:t xml:space="preserve"> symptoms of hypo/hyperthyroidism </w:t>
      </w:r>
    </w:p>
    <w:p w14:paraId="624DE28F" w14:textId="77777777" w:rsidR="001367A6" w:rsidRPr="001367A6" w:rsidRDefault="001367A6" w:rsidP="001367A6">
      <w:pPr>
        <w:pStyle w:val="ListParagraph"/>
        <w:spacing w:line="276" w:lineRule="auto"/>
        <w:ind w:left="780"/>
        <w:rPr>
          <w:rFonts w:ascii="Times New Roman" w:hAnsi="Times New Roman" w:cs="Times New Roman"/>
          <w:sz w:val="24"/>
          <w:szCs w:val="24"/>
        </w:rPr>
      </w:pPr>
      <w:proofErr w:type="gramStart"/>
      <w:r w:rsidRPr="001367A6">
        <w:rPr>
          <w:rFonts w:ascii="Times New Roman" w:hAnsi="Times New Roman" w:cs="Times New Roman"/>
          <w:sz w:val="24"/>
          <w:szCs w:val="24"/>
        </w:rPr>
        <w:t>IMAGE :</w:t>
      </w:r>
      <w:proofErr w:type="gramEnd"/>
      <w:r w:rsidRPr="001367A6">
        <w:rPr>
          <w:rFonts w:ascii="Times New Roman" w:hAnsi="Times New Roman" w:cs="Times New Roman"/>
          <w:sz w:val="24"/>
          <w:szCs w:val="24"/>
        </w:rPr>
        <w:t xml:space="preserve"> 2 . Chart showing five categories on the basis of the ACR Thyroid Imaging, Reporting and Data System (TI-RADS) </w:t>
      </w:r>
    </w:p>
    <w:p w14:paraId="180AF505" w14:textId="77777777" w:rsidR="001B3D1A" w:rsidRDefault="001B3D1A" w:rsidP="004E0757">
      <w:pPr>
        <w:spacing w:line="276" w:lineRule="auto"/>
        <w:jc w:val="both"/>
        <w:rPr>
          <w:rFonts w:ascii="Times New Roman" w:hAnsi="Times New Roman" w:cs="Times New Roman"/>
          <w:sz w:val="24"/>
          <w:szCs w:val="24"/>
        </w:rPr>
      </w:pPr>
    </w:p>
    <w:p w14:paraId="1EB6B516" w14:textId="77777777" w:rsidR="001367A6" w:rsidRDefault="001367A6" w:rsidP="004E0757">
      <w:pPr>
        <w:spacing w:line="276" w:lineRule="auto"/>
        <w:jc w:val="both"/>
        <w:rPr>
          <w:rFonts w:ascii="Times New Roman" w:hAnsi="Times New Roman" w:cs="Times New Roman"/>
          <w:sz w:val="24"/>
          <w:szCs w:val="24"/>
        </w:rPr>
      </w:pPr>
    </w:p>
    <w:p w14:paraId="654B694F" w14:textId="558EF0C9" w:rsidR="004E0757" w:rsidRDefault="004E0757" w:rsidP="004E075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Past history </w:t>
      </w:r>
    </w:p>
    <w:p w14:paraId="1913DE15" w14:textId="77777777" w:rsidR="004E0757" w:rsidRDefault="004E0757" w:rsidP="004E0757">
      <w:pPr>
        <w:pStyle w:val="ListParagraph"/>
        <w:numPr>
          <w:ilvl w:val="0"/>
          <w:numId w:val="12"/>
        </w:numPr>
        <w:spacing w:line="276" w:lineRule="auto"/>
        <w:jc w:val="both"/>
        <w:rPr>
          <w:rFonts w:ascii="Times New Roman" w:hAnsi="Times New Roman" w:cs="Times New Roman"/>
          <w:sz w:val="24"/>
          <w:szCs w:val="24"/>
        </w:rPr>
      </w:pPr>
      <w:r w:rsidRPr="004E0757">
        <w:rPr>
          <w:rFonts w:ascii="Times New Roman" w:hAnsi="Times New Roman" w:cs="Times New Roman"/>
          <w:sz w:val="24"/>
          <w:szCs w:val="24"/>
        </w:rPr>
        <w:t xml:space="preserve">No history of similar complaints in the past </w:t>
      </w:r>
    </w:p>
    <w:p w14:paraId="2A3B9210" w14:textId="77777777" w:rsidR="004E0757" w:rsidRDefault="004E0757" w:rsidP="004E0757">
      <w:pPr>
        <w:pStyle w:val="ListParagraph"/>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N/K/C/O T2DM/HTN/Hypo/Hyper-</w:t>
      </w:r>
      <w:proofErr w:type="spellStart"/>
      <w:r w:rsidR="002B32EA">
        <w:rPr>
          <w:rFonts w:ascii="Times New Roman" w:hAnsi="Times New Roman" w:cs="Times New Roman"/>
          <w:sz w:val="24"/>
          <w:szCs w:val="24"/>
        </w:rPr>
        <w:t>T</w:t>
      </w:r>
      <w:r>
        <w:rPr>
          <w:rFonts w:ascii="Times New Roman" w:hAnsi="Times New Roman" w:cs="Times New Roman"/>
          <w:sz w:val="24"/>
          <w:szCs w:val="24"/>
        </w:rPr>
        <w:t>hyroidism</w:t>
      </w:r>
      <w:proofErr w:type="spellEnd"/>
    </w:p>
    <w:p w14:paraId="54F5E12E" w14:textId="77CC727B" w:rsidR="00AA61B2" w:rsidRDefault="004E0757" w:rsidP="004E0757">
      <w:pPr>
        <w:spacing w:line="276" w:lineRule="auto"/>
        <w:jc w:val="both"/>
        <w:rPr>
          <w:rFonts w:ascii="Times New Roman" w:hAnsi="Times New Roman" w:cs="Times New Roman"/>
          <w:sz w:val="24"/>
          <w:szCs w:val="24"/>
        </w:rPr>
      </w:pPr>
      <w:r>
        <w:rPr>
          <w:rFonts w:ascii="Times New Roman" w:hAnsi="Times New Roman" w:cs="Times New Roman"/>
          <w:sz w:val="24"/>
          <w:szCs w:val="24"/>
        </w:rPr>
        <w:t>On examination patient BP was 120/80mm/</w:t>
      </w:r>
      <w:proofErr w:type="gramStart"/>
      <w:r>
        <w:rPr>
          <w:rFonts w:ascii="Times New Roman" w:hAnsi="Times New Roman" w:cs="Times New Roman"/>
          <w:sz w:val="24"/>
          <w:szCs w:val="24"/>
        </w:rPr>
        <w:t>Hg ,</w:t>
      </w:r>
      <w:proofErr w:type="gramEnd"/>
      <w:r>
        <w:rPr>
          <w:rFonts w:ascii="Times New Roman" w:hAnsi="Times New Roman" w:cs="Times New Roman"/>
          <w:sz w:val="24"/>
          <w:szCs w:val="24"/>
        </w:rPr>
        <w:t xml:space="preserve"> PR : 90bpm, Spo2 : 99% under RA</w:t>
      </w:r>
      <w:r w:rsidR="0084291C">
        <w:rPr>
          <w:rFonts w:ascii="Times New Roman" w:hAnsi="Times New Roman" w:cs="Times New Roman"/>
          <w:sz w:val="24"/>
          <w:szCs w:val="24"/>
        </w:rPr>
        <w:t xml:space="preserve"> and PICCLE was  NEGATIVE</w:t>
      </w:r>
      <w:r w:rsidR="00AA61B2">
        <w:rPr>
          <w:rFonts w:ascii="Times New Roman" w:hAnsi="Times New Roman" w:cs="Times New Roman"/>
          <w:sz w:val="24"/>
          <w:szCs w:val="24"/>
        </w:rPr>
        <w:t xml:space="preserve"> </w:t>
      </w:r>
    </w:p>
    <w:p w14:paraId="6E50126D" w14:textId="77777777" w:rsidR="002B32EA" w:rsidRPr="002B32EA" w:rsidRDefault="002B32EA" w:rsidP="004E0757">
      <w:pPr>
        <w:spacing w:line="276" w:lineRule="auto"/>
        <w:jc w:val="both"/>
        <w:rPr>
          <w:rFonts w:ascii="Times New Roman" w:hAnsi="Times New Roman" w:cs="Times New Roman"/>
          <w:b/>
          <w:bCs/>
          <w:sz w:val="24"/>
          <w:szCs w:val="24"/>
        </w:rPr>
      </w:pPr>
      <w:r w:rsidRPr="002B32EA">
        <w:rPr>
          <w:rFonts w:ascii="Times New Roman" w:hAnsi="Times New Roman" w:cs="Times New Roman"/>
          <w:b/>
          <w:bCs/>
          <w:sz w:val="24"/>
          <w:szCs w:val="24"/>
        </w:rPr>
        <w:t xml:space="preserve">LOCAL EXAMINATION OF NECK </w:t>
      </w:r>
    </w:p>
    <w:p w14:paraId="10DFC91A" w14:textId="28D47814" w:rsidR="002B32EA" w:rsidRDefault="002B32EA" w:rsidP="004E0757">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INSPECTION :</w:t>
      </w:r>
      <w:proofErr w:type="gramEnd"/>
      <w:r>
        <w:rPr>
          <w:rFonts w:ascii="Times New Roman" w:hAnsi="Times New Roman" w:cs="Times New Roman"/>
          <w:sz w:val="24"/>
          <w:szCs w:val="24"/>
        </w:rPr>
        <w:t xml:space="preserve"> </w:t>
      </w:r>
      <w:r w:rsidR="002B7519">
        <w:rPr>
          <w:rFonts w:ascii="Times New Roman" w:hAnsi="Times New Roman" w:cs="Times New Roman"/>
          <w:sz w:val="24"/>
          <w:szCs w:val="24"/>
        </w:rPr>
        <w:t>S</w:t>
      </w:r>
      <w:r>
        <w:rPr>
          <w:rFonts w:ascii="Times New Roman" w:hAnsi="Times New Roman" w:cs="Times New Roman"/>
          <w:sz w:val="24"/>
          <w:szCs w:val="24"/>
        </w:rPr>
        <w:t xml:space="preserve">welling present over left side of Neck , Moves with deglutition </w:t>
      </w:r>
    </w:p>
    <w:p w14:paraId="74329454" w14:textId="39AFF5CE" w:rsidR="002B32EA" w:rsidRDefault="002B32EA" w:rsidP="004E0757">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PALPATION :</w:t>
      </w:r>
      <w:proofErr w:type="gramEnd"/>
      <w:r>
        <w:rPr>
          <w:rFonts w:ascii="Times New Roman" w:hAnsi="Times New Roman" w:cs="Times New Roman"/>
          <w:sz w:val="24"/>
          <w:szCs w:val="24"/>
        </w:rPr>
        <w:t xml:space="preserve"> </w:t>
      </w:r>
      <w:r w:rsidR="002B7519">
        <w:rPr>
          <w:rFonts w:ascii="Times New Roman" w:hAnsi="Times New Roman" w:cs="Times New Roman"/>
          <w:sz w:val="24"/>
          <w:szCs w:val="24"/>
        </w:rPr>
        <w:t>S</w:t>
      </w:r>
      <w:r>
        <w:rPr>
          <w:rFonts w:ascii="Times New Roman" w:hAnsi="Times New Roman" w:cs="Times New Roman"/>
          <w:sz w:val="24"/>
          <w:szCs w:val="24"/>
        </w:rPr>
        <w:t>welling over left lobe moves with deglutition , surface is smooth, firm and mobile.</w:t>
      </w:r>
    </w:p>
    <w:p w14:paraId="537148F6" w14:textId="7078FCF4" w:rsidR="00C863A2" w:rsidRDefault="004B7AD4" w:rsidP="004E0757">
      <w:pPr>
        <w:spacing w:line="276" w:lineRule="auto"/>
        <w:jc w:val="both"/>
        <w:rPr>
          <w:rFonts w:ascii="Times New Roman" w:hAnsi="Times New Roman" w:cs="Times New Roman"/>
          <w:sz w:val="24"/>
          <w:szCs w:val="24"/>
        </w:rPr>
      </w:pPr>
      <w:r>
        <w:rPr>
          <w:rFonts w:ascii="Times New Roman" w:hAnsi="Times New Roman" w:cs="Times New Roman"/>
          <w:sz w:val="24"/>
          <w:szCs w:val="24"/>
        </w:rPr>
        <w:t>No eye signs or any other signs of hypo/hyperthyroidism</w:t>
      </w:r>
    </w:p>
    <w:p w14:paraId="335D0343" w14:textId="51F6871B" w:rsidR="00AA61B2" w:rsidRDefault="00AA61B2" w:rsidP="004E075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On systemic </w:t>
      </w:r>
      <w:proofErr w:type="gramStart"/>
      <w:r>
        <w:rPr>
          <w:rFonts w:ascii="Times New Roman" w:hAnsi="Times New Roman" w:cs="Times New Roman"/>
          <w:sz w:val="24"/>
          <w:szCs w:val="24"/>
        </w:rPr>
        <w:t>examination :</w:t>
      </w:r>
      <w:proofErr w:type="gramEnd"/>
      <w:r>
        <w:rPr>
          <w:rFonts w:ascii="Times New Roman" w:hAnsi="Times New Roman" w:cs="Times New Roman"/>
          <w:sz w:val="24"/>
          <w:szCs w:val="24"/>
        </w:rPr>
        <w:t xml:space="preserve"> CVS : S1S2  heard no murmur, CNS : conscious and oriented , RS : B/L NVBS positive, P/A : soft non tender , no organomegaly.</w:t>
      </w:r>
    </w:p>
    <w:p w14:paraId="3C08D551" w14:textId="58C684B4" w:rsidR="00F5548A" w:rsidRPr="00C36C90" w:rsidRDefault="001B3D1A" w:rsidP="004E075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List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C863A2" w:rsidRPr="00C36C90">
        <w:rPr>
          <w:rFonts w:ascii="Times New Roman" w:hAnsi="Times New Roman" w:cs="Times New Roman"/>
          <w:b/>
          <w:bCs/>
          <w:sz w:val="24"/>
          <w:szCs w:val="24"/>
        </w:rPr>
        <w:t>LABORATORY DATA</w:t>
      </w:r>
    </w:p>
    <w:tbl>
      <w:tblPr>
        <w:tblStyle w:val="TableGrid"/>
        <w:tblW w:w="0" w:type="auto"/>
        <w:tblLook w:val="04A0" w:firstRow="1" w:lastRow="0" w:firstColumn="1" w:lastColumn="0" w:noHBand="0" w:noVBand="1"/>
      </w:tblPr>
      <w:tblGrid>
        <w:gridCol w:w="3005"/>
        <w:gridCol w:w="3005"/>
        <w:gridCol w:w="3006"/>
      </w:tblGrid>
      <w:tr w:rsidR="00C863A2" w14:paraId="4391CF43" w14:textId="77777777" w:rsidTr="00C863A2">
        <w:tc>
          <w:tcPr>
            <w:tcW w:w="3005" w:type="dxa"/>
            <w:shd w:val="clear" w:color="auto" w:fill="FFFFFF" w:themeFill="background1"/>
          </w:tcPr>
          <w:p w14:paraId="39EC56FF" w14:textId="77777777" w:rsidR="00C863A2" w:rsidRPr="00C863A2" w:rsidRDefault="00C863A2" w:rsidP="00C863A2">
            <w:pPr>
              <w:pStyle w:val="NormalWeb"/>
              <w:spacing w:before="0" w:beforeAutospacing="0" w:after="0" w:afterAutospacing="0"/>
              <w:rPr>
                <w:color w:val="000000" w:themeColor="text1"/>
              </w:rPr>
            </w:pPr>
            <w:r w:rsidRPr="00C863A2">
              <w:rPr>
                <w:b/>
                <w:bCs/>
                <w:color w:val="FFFFFF" w:themeColor="light1"/>
                <w:kern w:val="24"/>
              </w:rPr>
              <w:t>TER</w:t>
            </w:r>
            <w:r w:rsidRPr="00C863A2">
              <w:rPr>
                <w:b/>
                <w:bCs/>
                <w:color w:val="000000" w:themeColor="text1"/>
                <w:kern w:val="24"/>
              </w:rPr>
              <w:t>PARAMETERS</w:t>
            </w:r>
          </w:p>
        </w:tc>
        <w:tc>
          <w:tcPr>
            <w:tcW w:w="3005" w:type="dxa"/>
          </w:tcPr>
          <w:p w14:paraId="3AD254EC" w14:textId="77777777" w:rsidR="00C863A2" w:rsidRPr="00C863A2" w:rsidRDefault="00C863A2" w:rsidP="00C863A2">
            <w:pPr>
              <w:pStyle w:val="NormalWeb"/>
              <w:spacing w:before="0" w:beforeAutospacing="0" w:after="0" w:afterAutospacing="0"/>
              <w:rPr>
                <w:color w:val="000000" w:themeColor="text1"/>
              </w:rPr>
            </w:pPr>
            <w:r w:rsidRPr="00C863A2">
              <w:rPr>
                <w:b/>
                <w:bCs/>
                <w:color w:val="000000" w:themeColor="text1"/>
                <w:kern w:val="24"/>
              </w:rPr>
              <w:t>RESULTS</w:t>
            </w:r>
          </w:p>
        </w:tc>
        <w:tc>
          <w:tcPr>
            <w:tcW w:w="3006" w:type="dxa"/>
          </w:tcPr>
          <w:p w14:paraId="3210A4DF" w14:textId="77777777" w:rsidR="00C863A2" w:rsidRPr="00C863A2" w:rsidRDefault="00C863A2" w:rsidP="00C863A2">
            <w:pPr>
              <w:pStyle w:val="NormalWeb"/>
              <w:spacing w:before="0" w:beforeAutospacing="0" w:after="0" w:afterAutospacing="0"/>
            </w:pPr>
            <w:r w:rsidRPr="00C863A2">
              <w:rPr>
                <w:b/>
                <w:bCs/>
                <w:color w:val="000000" w:themeColor="text1"/>
                <w:kern w:val="24"/>
              </w:rPr>
              <w:t>REFERENCE</w:t>
            </w:r>
            <w:r w:rsidRPr="00C863A2">
              <w:rPr>
                <w:b/>
                <w:bCs/>
                <w:color w:val="FFFFFF" w:themeColor="light1"/>
                <w:kern w:val="24"/>
              </w:rPr>
              <w:t xml:space="preserve"> RANGE</w:t>
            </w:r>
          </w:p>
        </w:tc>
      </w:tr>
      <w:tr w:rsidR="00C863A2" w14:paraId="207A5F72" w14:textId="77777777">
        <w:tc>
          <w:tcPr>
            <w:tcW w:w="3005" w:type="dxa"/>
          </w:tcPr>
          <w:p w14:paraId="4BC9056C" w14:textId="77777777" w:rsidR="00C863A2" w:rsidRPr="00C863A2" w:rsidRDefault="00C863A2" w:rsidP="00C863A2">
            <w:pPr>
              <w:pStyle w:val="NormalWeb"/>
              <w:spacing w:before="0" w:beforeAutospacing="0" w:after="0" w:afterAutospacing="0"/>
            </w:pPr>
            <w:proofErr w:type="spellStart"/>
            <w:r w:rsidRPr="00C863A2">
              <w:rPr>
                <w:color w:val="000000" w:themeColor="dark1"/>
                <w:kern w:val="24"/>
              </w:rPr>
              <w:t>Hemoglobin</w:t>
            </w:r>
            <w:proofErr w:type="spellEnd"/>
          </w:p>
        </w:tc>
        <w:tc>
          <w:tcPr>
            <w:tcW w:w="3005" w:type="dxa"/>
          </w:tcPr>
          <w:p w14:paraId="79E1D008" w14:textId="77777777" w:rsidR="00C863A2" w:rsidRPr="00C863A2" w:rsidRDefault="00C863A2" w:rsidP="00C863A2">
            <w:pPr>
              <w:pStyle w:val="NormalWeb"/>
              <w:spacing w:before="0" w:beforeAutospacing="0" w:after="0" w:afterAutospacing="0"/>
            </w:pPr>
            <w:r w:rsidRPr="00C863A2">
              <w:rPr>
                <w:color w:val="FF0000"/>
                <w:kern w:val="24"/>
                <w:lang w:val="en-US"/>
              </w:rPr>
              <w:t>1</w:t>
            </w:r>
            <w:r w:rsidRPr="00C863A2">
              <w:rPr>
                <w:color w:val="FF0000"/>
                <w:kern w:val="24"/>
              </w:rPr>
              <w:t>1.0</w:t>
            </w:r>
          </w:p>
        </w:tc>
        <w:tc>
          <w:tcPr>
            <w:tcW w:w="3006" w:type="dxa"/>
          </w:tcPr>
          <w:p w14:paraId="66F6ADE7" w14:textId="77777777" w:rsidR="00C863A2" w:rsidRPr="00C863A2" w:rsidRDefault="00C863A2" w:rsidP="00C863A2">
            <w:pPr>
              <w:pStyle w:val="NormalWeb"/>
              <w:spacing w:before="0" w:beforeAutospacing="0" w:after="0" w:afterAutospacing="0"/>
            </w:pPr>
            <w:r w:rsidRPr="00C863A2">
              <w:rPr>
                <w:color w:val="000000" w:themeColor="dark1"/>
                <w:kern w:val="24"/>
              </w:rPr>
              <w:t>14 - 18 g/dl</w:t>
            </w:r>
          </w:p>
        </w:tc>
      </w:tr>
      <w:tr w:rsidR="00C863A2" w14:paraId="17132F68" w14:textId="77777777">
        <w:tc>
          <w:tcPr>
            <w:tcW w:w="3005" w:type="dxa"/>
          </w:tcPr>
          <w:p w14:paraId="11AC5ACE" w14:textId="77777777" w:rsidR="00C863A2" w:rsidRPr="00C863A2" w:rsidRDefault="00C863A2" w:rsidP="00C863A2">
            <w:pPr>
              <w:pStyle w:val="NormalWeb"/>
              <w:spacing w:before="0" w:beforeAutospacing="0" w:after="0" w:afterAutospacing="0"/>
            </w:pPr>
            <w:r w:rsidRPr="00C863A2">
              <w:rPr>
                <w:color w:val="000000" w:themeColor="dark1"/>
                <w:kern w:val="24"/>
                <w:lang w:val="en-US"/>
              </w:rPr>
              <w:t>RBC</w:t>
            </w:r>
          </w:p>
        </w:tc>
        <w:tc>
          <w:tcPr>
            <w:tcW w:w="3005" w:type="dxa"/>
          </w:tcPr>
          <w:p w14:paraId="1C2441C4" w14:textId="77777777" w:rsidR="00C863A2" w:rsidRPr="00C863A2" w:rsidRDefault="00C863A2" w:rsidP="00C863A2">
            <w:pPr>
              <w:pStyle w:val="NormalWeb"/>
              <w:spacing w:before="0" w:beforeAutospacing="0" w:after="0" w:afterAutospacing="0"/>
            </w:pPr>
            <w:r w:rsidRPr="00C863A2">
              <w:rPr>
                <w:color w:val="000000" w:themeColor="text1"/>
                <w:kern w:val="24"/>
                <w:lang w:val="en-US"/>
              </w:rPr>
              <w:t>4.5</w:t>
            </w:r>
          </w:p>
        </w:tc>
        <w:tc>
          <w:tcPr>
            <w:tcW w:w="3006" w:type="dxa"/>
          </w:tcPr>
          <w:p w14:paraId="35FBC722" w14:textId="77777777" w:rsidR="00C863A2" w:rsidRPr="00C863A2" w:rsidRDefault="00C863A2" w:rsidP="00C863A2">
            <w:pPr>
              <w:pStyle w:val="NormalWeb"/>
              <w:spacing w:before="0" w:beforeAutospacing="0" w:after="0" w:afterAutospacing="0"/>
            </w:pPr>
            <w:r w:rsidRPr="00C863A2">
              <w:rPr>
                <w:color w:val="000000" w:themeColor="dark1"/>
                <w:kern w:val="24"/>
                <w:lang w:val="en-US"/>
              </w:rPr>
              <w:t>4.5-5.5million/</w:t>
            </w:r>
            <w:proofErr w:type="spellStart"/>
            <w:r w:rsidRPr="00C863A2">
              <w:rPr>
                <w:color w:val="000000" w:themeColor="dark1"/>
                <w:kern w:val="24"/>
                <w:lang w:val="en-US"/>
              </w:rPr>
              <w:t>cumm</w:t>
            </w:r>
            <w:proofErr w:type="spellEnd"/>
          </w:p>
        </w:tc>
      </w:tr>
      <w:tr w:rsidR="00C863A2" w14:paraId="47AD2ECF" w14:textId="77777777">
        <w:tc>
          <w:tcPr>
            <w:tcW w:w="3005" w:type="dxa"/>
          </w:tcPr>
          <w:p w14:paraId="560E6A44" w14:textId="77777777" w:rsidR="00C863A2" w:rsidRPr="00C863A2" w:rsidRDefault="00C863A2" w:rsidP="00C863A2">
            <w:pPr>
              <w:pStyle w:val="NormalWeb"/>
              <w:spacing w:before="0" w:beforeAutospacing="0" w:after="0" w:afterAutospacing="0"/>
            </w:pPr>
            <w:r w:rsidRPr="00C863A2">
              <w:rPr>
                <w:color w:val="000000" w:themeColor="dark1"/>
                <w:kern w:val="24"/>
              </w:rPr>
              <w:t>WBC</w:t>
            </w:r>
          </w:p>
        </w:tc>
        <w:tc>
          <w:tcPr>
            <w:tcW w:w="3005" w:type="dxa"/>
          </w:tcPr>
          <w:p w14:paraId="020FA978" w14:textId="77777777" w:rsidR="00C863A2" w:rsidRPr="00C863A2" w:rsidRDefault="00C863A2" w:rsidP="00C863A2">
            <w:pPr>
              <w:pStyle w:val="NormalWeb"/>
              <w:spacing w:before="0" w:beforeAutospacing="0" w:after="0" w:afterAutospacing="0"/>
            </w:pPr>
            <w:r w:rsidRPr="00C863A2">
              <w:rPr>
                <w:color w:val="FF0000"/>
                <w:kern w:val="24"/>
                <w:lang w:val="en-US"/>
              </w:rPr>
              <w:t>1</w:t>
            </w:r>
            <w:r w:rsidRPr="00C863A2">
              <w:rPr>
                <w:color w:val="FF0000"/>
                <w:kern w:val="24"/>
              </w:rPr>
              <w:t>3920</w:t>
            </w:r>
          </w:p>
        </w:tc>
        <w:tc>
          <w:tcPr>
            <w:tcW w:w="3006" w:type="dxa"/>
          </w:tcPr>
          <w:p w14:paraId="2DE51040" w14:textId="77777777" w:rsidR="00C863A2" w:rsidRPr="00C863A2" w:rsidRDefault="00C863A2" w:rsidP="00C863A2">
            <w:pPr>
              <w:pStyle w:val="NormalWeb"/>
              <w:spacing w:before="0" w:beforeAutospacing="0" w:after="0" w:afterAutospacing="0"/>
            </w:pPr>
            <w:r w:rsidRPr="00C863A2">
              <w:rPr>
                <w:color w:val="000000" w:themeColor="dark1"/>
                <w:kern w:val="24"/>
              </w:rPr>
              <w:t>4500 - 11,000 cells/</w:t>
            </w:r>
            <w:proofErr w:type="spellStart"/>
            <w:r w:rsidRPr="00C863A2">
              <w:rPr>
                <w:color w:val="000000" w:themeColor="dark1"/>
                <w:kern w:val="24"/>
              </w:rPr>
              <w:t>cumm</w:t>
            </w:r>
            <w:proofErr w:type="spellEnd"/>
          </w:p>
        </w:tc>
      </w:tr>
      <w:tr w:rsidR="00C863A2" w14:paraId="538D9BC3" w14:textId="77777777">
        <w:tc>
          <w:tcPr>
            <w:tcW w:w="3005" w:type="dxa"/>
          </w:tcPr>
          <w:p w14:paraId="59E99796" w14:textId="77777777" w:rsidR="00C863A2" w:rsidRPr="00C863A2" w:rsidRDefault="00C863A2" w:rsidP="00C863A2">
            <w:pPr>
              <w:pStyle w:val="NormalWeb"/>
              <w:spacing w:before="0" w:beforeAutospacing="0" w:after="0" w:afterAutospacing="0"/>
            </w:pPr>
            <w:r w:rsidRPr="00C863A2">
              <w:rPr>
                <w:color w:val="000000" w:themeColor="dark1"/>
                <w:kern w:val="24"/>
              </w:rPr>
              <w:t>Platelets</w:t>
            </w:r>
          </w:p>
        </w:tc>
        <w:tc>
          <w:tcPr>
            <w:tcW w:w="3005" w:type="dxa"/>
          </w:tcPr>
          <w:p w14:paraId="71692DE8" w14:textId="77777777" w:rsidR="00C863A2" w:rsidRPr="00C863A2" w:rsidRDefault="00C863A2" w:rsidP="00C863A2">
            <w:pPr>
              <w:pStyle w:val="NormalWeb"/>
              <w:spacing w:before="0" w:beforeAutospacing="0" w:after="0" w:afterAutospacing="0"/>
            </w:pPr>
            <w:r w:rsidRPr="00C863A2">
              <w:rPr>
                <w:color w:val="000000" w:themeColor="text1"/>
                <w:kern w:val="24"/>
                <w:lang w:val="en-US"/>
              </w:rPr>
              <w:t>3</w:t>
            </w:r>
            <w:r w:rsidRPr="00C863A2">
              <w:rPr>
                <w:color w:val="000000" w:themeColor="text1"/>
                <w:kern w:val="24"/>
              </w:rPr>
              <w:t>.29</w:t>
            </w:r>
          </w:p>
        </w:tc>
        <w:tc>
          <w:tcPr>
            <w:tcW w:w="3006" w:type="dxa"/>
          </w:tcPr>
          <w:p w14:paraId="6B130401" w14:textId="77777777" w:rsidR="00C863A2" w:rsidRPr="00C863A2" w:rsidRDefault="00C863A2" w:rsidP="00C863A2">
            <w:pPr>
              <w:pStyle w:val="NormalWeb"/>
              <w:spacing w:before="0" w:beforeAutospacing="0" w:after="0" w:afterAutospacing="0"/>
            </w:pPr>
            <w:r w:rsidRPr="00C863A2">
              <w:rPr>
                <w:color w:val="000000" w:themeColor="dark1"/>
                <w:kern w:val="24"/>
              </w:rPr>
              <w:t>1.5 – 4.5 lacs/</w:t>
            </w:r>
            <w:proofErr w:type="spellStart"/>
            <w:r w:rsidRPr="00C863A2">
              <w:rPr>
                <w:color w:val="000000" w:themeColor="dark1"/>
                <w:kern w:val="24"/>
              </w:rPr>
              <w:t>cumm</w:t>
            </w:r>
            <w:proofErr w:type="spellEnd"/>
          </w:p>
        </w:tc>
      </w:tr>
      <w:tr w:rsidR="00C863A2" w:rsidRPr="00C863A2" w14:paraId="7E16630B" w14:textId="77777777">
        <w:tc>
          <w:tcPr>
            <w:tcW w:w="3005" w:type="dxa"/>
          </w:tcPr>
          <w:p w14:paraId="7A9D7C5A" w14:textId="77777777" w:rsidR="00C863A2" w:rsidRPr="00C863A2" w:rsidRDefault="00C863A2" w:rsidP="00C863A2">
            <w:pPr>
              <w:pStyle w:val="NormalWeb"/>
              <w:spacing w:before="0" w:beforeAutospacing="0" w:after="0" w:afterAutospacing="0"/>
            </w:pPr>
            <w:r w:rsidRPr="00C863A2">
              <w:rPr>
                <w:color w:val="000000" w:themeColor="dark1"/>
                <w:kern w:val="24"/>
                <w:lang w:val="en-US"/>
              </w:rPr>
              <w:t>Differential count</w:t>
            </w:r>
          </w:p>
          <w:p w14:paraId="06B873D9" w14:textId="77777777" w:rsidR="00C863A2" w:rsidRPr="00C863A2" w:rsidRDefault="00C863A2" w:rsidP="00C863A2">
            <w:pPr>
              <w:pStyle w:val="NormalWeb"/>
              <w:spacing w:before="0" w:beforeAutospacing="0" w:after="0" w:afterAutospacing="0"/>
            </w:pPr>
            <w:r w:rsidRPr="00C863A2">
              <w:rPr>
                <w:color w:val="000000" w:themeColor="dark1"/>
                <w:kern w:val="24"/>
                <w:lang w:val="en-US"/>
              </w:rPr>
              <w:t xml:space="preserve">Neutrophils </w:t>
            </w:r>
          </w:p>
        </w:tc>
        <w:tc>
          <w:tcPr>
            <w:tcW w:w="3005" w:type="dxa"/>
          </w:tcPr>
          <w:p w14:paraId="6D40F5B7" w14:textId="77777777" w:rsidR="00C863A2" w:rsidRPr="00C863A2" w:rsidRDefault="00C863A2" w:rsidP="00C863A2">
            <w:pPr>
              <w:pStyle w:val="NormalWeb"/>
              <w:spacing w:before="0" w:beforeAutospacing="0" w:after="0" w:afterAutospacing="0"/>
            </w:pPr>
            <w:r w:rsidRPr="00C863A2">
              <w:rPr>
                <w:color w:val="FF0000"/>
                <w:kern w:val="24"/>
              </w:rPr>
              <w:t>53%</w:t>
            </w:r>
          </w:p>
        </w:tc>
        <w:tc>
          <w:tcPr>
            <w:tcW w:w="3006" w:type="dxa"/>
          </w:tcPr>
          <w:p w14:paraId="701F5BEC" w14:textId="77777777" w:rsidR="00C863A2" w:rsidRPr="00C863A2" w:rsidRDefault="00C863A2" w:rsidP="00C863A2">
            <w:pPr>
              <w:pStyle w:val="NormalWeb"/>
              <w:spacing w:before="0" w:beforeAutospacing="0" w:after="0" w:afterAutospacing="0"/>
            </w:pPr>
            <w:r w:rsidRPr="00C863A2">
              <w:rPr>
                <w:color w:val="000000" w:themeColor="dark1"/>
                <w:kern w:val="24"/>
                <w:lang w:val="en-US"/>
              </w:rPr>
              <w:t>60-70%</w:t>
            </w:r>
          </w:p>
        </w:tc>
      </w:tr>
      <w:tr w:rsidR="00C863A2" w14:paraId="331B7C2C" w14:textId="77777777">
        <w:tc>
          <w:tcPr>
            <w:tcW w:w="3005" w:type="dxa"/>
          </w:tcPr>
          <w:p w14:paraId="3BE29602" w14:textId="77777777" w:rsidR="00C863A2" w:rsidRPr="00C863A2" w:rsidRDefault="00C863A2" w:rsidP="00C863A2">
            <w:pPr>
              <w:pStyle w:val="NormalWeb"/>
              <w:spacing w:before="0" w:beforeAutospacing="0" w:after="0" w:afterAutospacing="0"/>
            </w:pPr>
            <w:r w:rsidRPr="00C863A2">
              <w:rPr>
                <w:color w:val="000000" w:themeColor="dark1"/>
                <w:kern w:val="24"/>
                <w:lang w:val="en-US"/>
              </w:rPr>
              <w:t xml:space="preserve">Lymphocytes </w:t>
            </w:r>
          </w:p>
        </w:tc>
        <w:tc>
          <w:tcPr>
            <w:tcW w:w="3005" w:type="dxa"/>
          </w:tcPr>
          <w:p w14:paraId="7EA18BB0" w14:textId="77777777" w:rsidR="00C863A2" w:rsidRPr="00C863A2" w:rsidRDefault="00C863A2" w:rsidP="00C863A2">
            <w:pPr>
              <w:pStyle w:val="NormalWeb"/>
              <w:spacing w:before="0" w:beforeAutospacing="0" w:after="0" w:afterAutospacing="0"/>
            </w:pPr>
            <w:r w:rsidRPr="00C863A2">
              <w:rPr>
                <w:color w:val="000000" w:themeColor="text1"/>
                <w:kern w:val="24"/>
                <w:lang w:val="en-US"/>
              </w:rPr>
              <w:t>40%</w:t>
            </w:r>
          </w:p>
        </w:tc>
        <w:tc>
          <w:tcPr>
            <w:tcW w:w="3006" w:type="dxa"/>
          </w:tcPr>
          <w:p w14:paraId="1678CB49" w14:textId="77777777" w:rsidR="00C863A2" w:rsidRPr="00C863A2" w:rsidRDefault="00C863A2" w:rsidP="00C863A2">
            <w:pPr>
              <w:pStyle w:val="NormalWeb"/>
              <w:spacing w:before="0" w:beforeAutospacing="0" w:after="0" w:afterAutospacing="0"/>
            </w:pPr>
            <w:r w:rsidRPr="00C863A2">
              <w:rPr>
                <w:rFonts w:eastAsiaTheme="minorEastAsia"/>
                <w:color w:val="000000"/>
                <w:kern w:val="24"/>
                <w:lang w:val="en-US"/>
              </w:rPr>
              <w:t>2</w:t>
            </w:r>
            <w:r w:rsidRPr="00C863A2">
              <w:rPr>
                <w:rFonts w:eastAsiaTheme="minorEastAsia"/>
                <w:color w:val="000000"/>
                <w:kern w:val="24"/>
              </w:rPr>
              <w:t>5-50%</w:t>
            </w:r>
          </w:p>
        </w:tc>
      </w:tr>
      <w:tr w:rsidR="00C863A2" w14:paraId="58FF65DD" w14:textId="77777777">
        <w:tc>
          <w:tcPr>
            <w:tcW w:w="3005" w:type="dxa"/>
          </w:tcPr>
          <w:p w14:paraId="407776DB" w14:textId="77777777" w:rsidR="00C863A2" w:rsidRPr="00C863A2" w:rsidRDefault="00C863A2" w:rsidP="00C863A2">
            <w:pPr>
              <w:pStyle w:val="NormalWeb"/>
              <w:spacing w:before="0" w:beforeAutospacing="0" w:after="0" w:afterAutospacing="0"/>
            </w:pPr>
            <w:r w:rsidRPr="00C863A2">
              <w:rPr>
                <w:color w:val="000000" w:themeColor="dark1"/>
                <w:kern w:val="24"/>
                <w:lang w:val="en-US"/>
              </w:rPr>
              <w:t xml:space="preserve">Eosinophils </w:t>
            </w:r>
          </w:p>
        </w:tc>
        <w:tc>
          <w:tcPr>
            <w:tcW w:w="3005" w:type="dxa"/>
          </w:tcPr>
          <w:p w14:paraId="4217855A" w14:textId="77777777" w:rsidR="00C863A2" w:rsidRPr="00C863A2" w:rsidRDefault="00C863A2" w:rsidP="00C863A2">
            <w:pPr>
              <w:pStyle w:val="NormalWeb"/>
              <w:spacing w:before="0" w:beforeAutospacing="0" w:after="0" w:afterAutospacing="0"/>
            </w:pPr>
            <w:r w:rsidRPr="00C863A2">
              <w:rPr>
                <w:color w:val="000000" w:themeColor="text1"/>
                <w:kern w:val="24"/>
                <w:lang w:val="en-US"/>
              </w:rPr>
              <w:t>03%</w:t>
            </w:r>
          </w:p>
        </w:tc>
        <w:tc>
          <w:tcPr>
            <w:tcW w:w="3006" w:type="dxa"/>
          </w:tcPr>
          <w:p w14:paraId="1B63A6B6" w14:textId="77777777" w:rsidR="00C863A2" w:rsidRPr="00C863A2" w:rsidRDefault="00C863A2" w:rsidP="00C863A2">
            <w:pPr>
              <w:pStyle w:val="NormalWeb"/>
              <w:spacing w:before="0" w:beforeAutospacing="0" w:after="0" w:afterAutospacing="0"/>
            </w:pPr>
            <w:r w:rsidRPr="00C863A2">
              <w:rPr>
                <w:rFonts w:eastAsiaTheme="minorEastAsia"/>
                <w:color w:val="000000"/>
                <w:kern w:val="24"/>
                <w:lang w:val="en-US"/>
              </w:rPr>
              <w:t>0</w:t>
            </w:r>
            <w:r w:rsidRPr="00C863A2">
              <w:rPr>
                <w:rFonts w:eastAsiaTheme="minorEastAsia"/>
                <w:color w:val="000000"/>
                <w:kern w:val="24"/>
              </w:rPr>
              <w:t>-4%</w:t>
            </w:r>
          </w:p>
        </w:tc>
      </w:tr>
      <w:tr w:rsidR="00C863A2" w14:paraId="735FCADD" w14:textId="77777777">
        <w:tc>
          <w:tcPr>
            <w:tcW w:w="3005" w:type="dxa"/>
          </w:tcPr>
          <w:p w14:paraId="58F3AFA4" w14:textId="77777777" w:rsidR="00C863A2" w:rsidRPr="00C863A2" w:rsidRDefault="00C863A2" w:rsidP="00C863A2">
            <w:pPr>
              <w:pStyle w:val="NormalWeb"/>
              <w:spacing w:before="0" w:beforeAutospacing="0" w:after="0" w:afterAutospacing="0"/>
            </w:pPr>
            <w:r w:rsidRPr="00C863A2">
              <w:rPr>
                <w:color w:val="000000" w:themeColor="dark1"/>
                <w:kern w:val="24"/>
                <w:lang w:val="en-US"/>
              </w:rPr>
              <w:lastRenderedPageBreak/>
              <w:t>M</w:t>
            </w:r>
            <w:proofErr w:type="spellStart"/>
            <w:r w:rsidRPr="00C863A2">
              <w:rPr>
                <w:color w:val="000000" w:themeColor="dark1"/>
                <w:kern w:val="24"/>
              </w:rPr>
              <w:t>onocytes</w:t>
            </w:r>
            <w:proofErr w:type="spellEnd"/>
            <w:r w:rsidRPr="00C863A2">
              <w:rPr>
                <w:color w:val="000000" w:themeColor="dark1"/>
                <w:kern w:val="24"/>
              </w:rPr>
              <w:t xml:space="preserve"> </w:t>
            </w:r>
          </w:p>
        </w:tc>
        <w:tc>
          <w:tcPr>
            <w:tcW w:w="3005" w:type="dxa"/>
          </w:tcPr>
          <w:p w14:paraId="17A6170C" w14:textId="77777777" w:rsidR="00C863A2" w:rsidRPr="00C863A2" w:rsidRDefault="00C863A2" w:rsidP="00C863A2">
            <w:pPr>
              <w:pStyle w:val="NormalWeb"/>
              <w:spacing w:before="0" w:beforeAutospacing="0" w:after="0" w:afterAutospacing="0"/>
            </w:pPr>
            <w:r w:rsidRPr="00C863A2">
              <w:rPr>
                <w:color w:val="000000" w:themeColor="text1"/>
                <w:kern w:val="24"/>
                <w:lang w:val="en-US"/>
              </w:rPr>
              <w:t>0</w:t>
            </w:r>
            <w:r w:rsidRPr="00C863A2">
              <w:rPr>
                <w:color w:val="000000" w:themeColor="text1"/>
                <w:kern w:val="24"/>
              </w:rPr>
              <w:t>4%</w:t>
            </w:r>
          </w:p>
        </w:tc>
        <w:tc>
          <w:tcPr>
            <w:tcW w:w="3006" w:type="dxa"/>
          </w:tcPr>
          <w:p w14:paraId="59CEF37C" w14:textId="77777777" w:rsidR="00C863A2" w:rsidRPr="00C863A2" w:rsidRDefault="00C863A2" w:rsidP="00C863A2">
            <w:pPr>
              <w:pStyle w:val="NormalWeb"/>
              <w:spacing w:before="0" w:beforeAutospacing="0" w:after="0" w:afterAutospacing="0"/>
            </w:pPr>
            <w:r w:rsidRPr="00C863A2">
              <w:rPr>
                <w:color w:val="000000" w:themeColor="dark1"/>
                <w:kern w:val="24"/>
                <w:lang w:val="en-US"/>
              </w:rPr>
              <w:t>2</w:t>
            </w:r>
            <w:r w:rsidRPr="00C863A2">
              <w:rPr>
                <w:color w:val="000000" w:themeColor="dark1"/>
                <w:kern w:val="24"/>
              </w:rPr>
              <w:t>-10%</w:t>
            </w:r>
          </w:p>
        </w:tc>
      </w:tr>
      <w:tr w:rsidR="00C863A2" w14:paraId="65FE851F" w14:textId="77777777">
        <w:tc>
          <w:tcPr>
            <w:tcW w:w="3005" w:type="dxa"/>
          </w:tcPr>
          <w:p w14:paraId="3CF672ED" w14:textId="77777777" w:rsidR="00C863A2" w:rsidRPr="00C863A2" w:rsidRDefault="00C863A2" w:rsidP="00C863A2">
            <w:pPr>
              <w:pStyle w:val="NormalWeb"/>
              <w:spacing w:before="0" w:beforeAutospacing="0" w:after="0" w:afterAutospacing="0"/>
            </w:pPr>
            <w:r w:rsidRPr="00C863A2">
              <w:rPr>
                <w:color w:val="000000" w:themeColor="dark1"/>
                <w:kern w:val="24"/>
                <w:lang w:val="en-US"/>
              </w:rPr>
              <w:t>MCV</w:t>
            </w:r>
          </w:p>
        </w:tc>
        <w:tc>
          <w:tcPr>
            <w:tcW w:w="3005" w:type="dxa"/>
          </w:tcPr>
          <w:p w14:paraId="55A3C4A4" w14:textId="77777777" w:rsidR="00C863A2" w:rsidRPr="00C863A2" w:rsidRDefault="00C863A2" w:rsidP="00C863A2">
            <w:pPr>
              <w:pStyle w:val="NormalWeb"/>
              <w:spacing w:before="0" w:beforeAutospacing="0" w:after="0" w:afterAutospacing="0"/>
            </w:pPr>
            <w:r w:rsidRPr="00C863A2">
              <w:rPr>
                <w:color w:val="FF0000"/>
                <w:kern w:val="24"/>
                <w:lang w:val="en-US"/>
              </w:rPr>
              <w:t>75.7%</w:t>
            </w:r>
          </w:p>
        </w:tc>
        <w:tc>
          <w:tcPr>
            <w:tcW w:w="3006" w:type="dxa"/>
          </w:tcPr>
          <w:p w14:paraId="06BB998E" w14:textId="77777777" w:rsidR="00C863A2" w:rsidRPr="00C863A2" w:rsidRDefault="00C863A2" w:rsidP="00C863A2">
            <w:pPr>
              <w:pStyle w:val="NormalWeb"/>
              <w:spacing w:before="0" w:beforeAutospacing="0" w:after="0" w:afterAutospacing="0"/>
            </w:pPr>
            <w:r w:rsidRPr="00C863A2">
              <w:rPr>
                <w:color w:val="000000" w:themeColor="dark1"/>
                <w:kern w:val="24"/>
                <w:lang w:val="en-US"/>
              </w:rPr>
              <w:t>80-100fl</w:t>
            </w:r>
          </w:p>
        </w:tc>
      </w:tr>
      <w:tr w:rsidR="00C863A2" w14:paraId="136667C3" w14:textId="77777777">
        <w:tc>
          <w:tcPr>
            <w:tcW w:w="3005" w:type="dxa"/>
          </w:tcPr>
          <w:p w14:paraId="7045DA5D" w14:textId="77777777" w:rsidR="00C863A2" w:rsidRPr="00C863A2" w:rsidRDefault="00C863A2" w:rsidP="00C863A2">
            <w:pPr>
              <w:pStyle w:val="NormalWeb"/>
              <w:spacing w:before="0" w:beforeAutospacing="0" w:after="0" w:afterAutospacing="0"/>
              <w:rPr>
                <w:rFonts w:ascii="Arial" w:hAnsi="Arial" w:cs="Arial"/>
              </w:rPr>
            </w:pPr>
            <w:r w:rsidRPr="00C863A2">
              <w:rPr>
                <w:color w:val="000000" w:themeColor="dark1"/>
                <w:kern w:val="24"/>
                <w:lang w:val="en-US"/>
              </w:rPr>
              <w:t xml:space="preserve">Serum creatinine </w:t>
            </w:r>
          </w:p>
        </w:tc>
        <w:tc>
          <w:tcPr>
            <w:tcW w:w="3005" w:type="dxa"/>
          </w:tcPr>
          <w:p w14:paraId="42D71566" w14:textId="77777777" w:rsidR="00C863A2" w:rsidRPr="00C863A2" w:rsidRDefault="00C863A2" w:rsidP="00C863A2">
            <w:pPr>
              <w:pStyle w:val="NormalWeb"/>
              <w:spacing w:before="0" w:beforeAutospacing="0" w:after="0" w:afterAutospacing="0"/>
              <w:rPr>
                <w:rFonts w:ascii="Arial" w:hAnsi="Arial" w:cs="Arial"/>
              </w:rPr>
            </w:pPr>
            <w:r w:rsidRPr="00C863A2">
              <w:rPr>
                <w:color w:val="000000" w:themeColor="dark1"/>
                <w:kern w:val="24"/>
                <w:lang w:val="en-US"/>
              </w:rPr>
              <w:t>0.8mg%</w:t>
            </w:r>
          </w:p>
        </w:tc>
        <w:tc>
          <w:tcPr>
            <w:tcW w:w="3006" w:type="dxa"/>
          </w:tcPr>
          <w:p w14:paraId="505CCE62" w14:textId="77777777" w:rsidR="00C863A2" w:rsidRPr="00C863A2" w:rsidRDefault="00C863A2" w:rsidP="00C863A2">
            <w:pPr>
              <w:pStyle w:val="NormalWeb"/>
              <w:spacing w:before="0" w:beforeAutospacing="0" w:after="0" w:afterAutospacing="0"/>
            </w:pPr>
            <w:r w:rsidRPr="00C863A2">
              <w:rPr>
                <w:color w:val="000000" w:themeColor="dark1"/>
                <w:kern w:val="24"/>
                <w:lang w:val="en-US"/>
              </w:rPr>
              <w:t xml:space="preserve">0.6 – 1.4 </w:t>
            </w:r>
            <w:proofErr w:type="spellStart"/>
            <w:r w:rsidRPr="00C863A2">
              <w:rPr>
                <w:color w:val="000000" w:themeColor="dark1"/>
                <w:kern w:val="24"/>
                <w:lang w:val="en-US"/>
              </w:rPr>
              <w:t>mg%</w:t>
            </w:r>
            <w:r w:rsidRPr="00C863A2">
              <w:rPr>
                <w:b/>
                <w:bCs/>
                <w:color w:val="FFFFFF" w:themeColor="light1"/>
                <w:kern w:val="24"/>
                <w:lang w:val="en-US"/>
              </w:rPr>
              <w:t>g</w:t>
            </w:r>
            <w:proofErr w:type="spellEnd"/>
            <w:r w:rsidRPr="00C863A2">
              <w:rPr>
                <w:b/>
                <w:bCs/>
                <w:color w:val="FFFFFF" w:themeColor="light1"/>
                <w:kern w:val="24"/>
                <w:lang w:val="en-US"/>
              </w:rPr>
              <w:t>/dl</w:t>
            </w:r>
          </w:p>
        </w:tc>
      </w:tr>
      <w:tr w:rsidR="00C36C90" w14:paraId="3E127B6D" w14:textId="77777777">
        <w:tc>
          <w:tcPr>
            <w:tcW w:w="3005" w:type="dxa"/>
          </w:tcPr>
          <w:p w14:paraId="5AA7555E"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lang w:val="en-US"/>
              </w:rPr>
              <w:t>SERUM ELECTROLYTES</w:t>
            </w:r>
          </w:p>
          <w:p w14:paraId="15F72751" w14:textId="6F35E17B"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lang w:val="en-US"/>
              </w:rPr>
              <w:t xml:space="preserve">Sodium  </w:t>
            </w:r>
          </w:p>
        </w:tc>
        <w:tc>
          <w:tcPr>
            <w:tcW w:w="3005" w:type="dxa"/>
          </w:tcPr>
          <w:p w14:paraId="45AC12E9"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rPr>
              <w:t>145mEq/L</w:t>
            </w:r>
          </w:p>
        </w:tc>
        <w:tc>
          <w:tcPr>
            <w:tcW w:w="3006" w:type="dxa"/>
          </w:tcPr>
          <w:p w14:paraId="755E4F3B" w14:textId="77777777" w:rsidR="00C36C90" w:rsidRPr="00C863A2" w:rsidRDefault="00C36C90" w:rsidP="00C36C90">
            <w:pPr>
              <w:pStyle w:val="NormalWeb"/>
              <w:spacing w:before="0" w:beforeAutospacing="0" w:after="0" w:afterAutospacing="0"/>
            </w:pPr>
            <w:r w:rsidRPr="00C863A2">
              <w:rPr>
                <w:color w:val="000000" w:themeColor="dark1"/>
                <w:kern w:val="24"/>
              </w:rPr>
              <w:t>136-145mEq/L</w:t>
            </w:r>
          </w:p>
        </w:tc>
      </w:tr>
      <w:tr w:rsidR="00C36C90" w14:paraId="6F944AF0" w14:textId="77777777">
        <w:tc>
          <w:tcPr>
            <w:tcW w:w="3005" w:type="dxa"/>
          </w:tcPr>
          <w:p w14:paraId="6615DB23"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lang w:val="en-US"/>
              </w:rPr>
              <w:t xml:space="preserve">Potassium </w:t>
            </w:r>
          </w:p>
        </w:tc>
        <w:tc>
          <w:tcPr>
            <w:tcW w:w="3005" w:type="dxa"/>
          </w:tcPr>
          <w:p w14:paraId="6F84C60C"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FF0000"/>
                <w:kern w:val="24"/>
                <w:lang w:val="en-US"/>
              </w:rPr>
              <w:t>5.3</w:t>
            </w:r>
            <w:proofErr w:type="spellStart"/>
            <w:r w:rsidRPr="00C863A2">
              <w:rPr>
                <w:rFonts w:ascii="Calibri" w:hAnsi="Calibri" w:cs="Calibri"/>
                <w:color w:val="FF0000"/>
                <w:kern w:val="24"/>
              </w:rPr>
              <w:t>mEq</w:t>
            </w:r>
            <w:proofErr w:type="spellEnd"/>
            <w:r w:rsidRPr="00C863A2">
              <w:rPr>
                <w:rFonts w:ascii="Calibri" w:hAnsi="Calibri" w:cs="Calibri"/>
                <w:color w:val="FF0000"/>
                <w:kern w:val="24"/>
              </w:rPr>
              <w:t>/L</w:t>
            </w:r>
          </w:p>
        </w:tc>
        <w:tc>
          <w:tcPr>
            <w:tcW w:w="3006" w:type="dxa"/>
          </w:tcPr>
          <w:p w14:paraId="53AEAF9F" w14:textId="77777777" w:rsidR="00C36C90" w:rsidRPr="00C863A2" w:rsidRDefault="00C36C90" w:rsidP="00C36C90">
            <w:pPr>
              <w:pStyle w:val="NormalWeb"/>
              <w:spacing w:before="0" w:beforeAutospacing="0" w:after="0" w:afterAutospacing="0"/>
            </w:pPr>
            <w:r w:rsidRPr="00C863A2">
              <w:rPr>
                <w:color w:val="000000" w:themeColor="dark1"/>
                <w:kern w:val="24"/>
              </w:rPr>
              <w:t>3.4-5mEq/L</w:t>
            </w:r>
          </w:p>
        </w:tc>
      </w:tr>
      <w:tr w:rsidR="00C36C90" w14:paraId="414F1B59" w14:textId="77777777">
        <w:tc>
          <w:tcPr>
            <w:tcW w:w="3005" w:type="dxa"/>
          </w:tcPr>
          <w:p w14:paraId="270BD3C6"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lang w:val="en-US"/>
              </w:rPr>
              <w:t xml:space="preserve">Chloride </w:t>
            </w:r>
          </w:p>
        </w:tc>
        <w:tc>
          <w:tcPr>
            <w:tcW w:w="3005" w:type="dxa"/>
          </w:tcPr>
          <w:p w14:paraId="0BC80CB4"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lang w:val="en-US"/>
              </w:rPr>
              <w:t>101</w:t>
            </w:r>
            <w:proofErr w:type="spellStart"/>
            <w:r w:rsidRPr="00C863A2">
              <w:rPr>
                <w:rFonts w:ascii="Calibri" w:hAnsi="Calibri" w:cs="Calibri"/>
                <w:color w:val="000000" w:themeColor="dark1"/>
                <w:kern w:val="24"/>
              </w:rPr>
              <w:t>mEq</w:t>
            </w:r>
            <w:proofErr w:type="spellEnd"/>
            <w:r w:rsidRPr="00C863A2">
              <w:rPr>
                <w:rFonts w:ascii="Calibri" w:hAnsi="Calibri" w:cs="Calibri"/>
                <w:color w:val="000000" w:themeColor="dark1"/>
                <w:kern w:val="24"/>
              </w:rPr>
              <w:t>/L</w:t>
            </w:r>
          </w:p>
        </w:tc>
        <w:tc>
          <w:tcPr>
            <w:tcW w:w="3006" w:type="dxa"/>
          </w:tcPr>
          <w:p w14:paraId="149C0A98" w14:textId="77777777" w:rsidR="00C36C90" w:rsidRPr="00C863A2" w:rsidRDefault="00C36C90" w:rsidP="00C36C90">
            <w:pPr>
              <w:pStyle w:val="NormalWeb"/>
              <w:spacing w:before="0" w:beforeAutospacing="0" w:after="0" w:afterAutospacing="0"/>
            </w:pPr>
            <w:r w:rsidRPr="00C863A2">
              <w:rPr>
                <w:color w:val="000000" w:themeColor="dark1"/>
                <w:kern w:val="24"/>
                <w:lang w:val="en-US"/>
              </w:rPr>
              <w:t>96-106</w:t>
            </w:r>
            <w:proofErr w:type="spellStart"/>
            <w:r w:rsidRPr="00C863A2">
              <w:rPr>
                <w:color w:val="000000" w:themeColor="dark1"/>
                <w:kern w:val="24"/>
              </w:rPr>
              <w:t>mEq</w:t>
            </w:r>
            <w:proofErr w:type="spellEnd"/>
            <w:r w:rsidRPr="00C863A2">
              <w:rPr>
                <w:color w:val="000000" w:themeColor="dark1"/>
                <w:kern w:val="24"/>
              </w:rPr>
              <w:t>/L</w:t>
            </w:r>
          </w:p>
        </w:tc>
      </w:tr>
      <w:tr w:rsidR="00C36C90" w14:paraId="20F39784" w14:textId="77777777">
        <w:tc>
          <w:tcPr>
            <w:tcW w:w="3005" w:type="dxa"/>
          </w:tcPr>
          <w:p w14:paraId="12D8ECAB"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lang w:val="en-US"/>
              </w:rPr>
              <w:t xml:space="preserve">SEROLOGY </w:t>
            </w:r>
          </w:p>
          <w:p w14:paraId="26FC0C9A"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lang w:val="en-US"/>
              </w:rPr>
              <w:t>HIV I and II</w:t>
            </w:r>
          </w:p>
          <w:p w14:paraId="2E7C376E" w14:textId="77777777" w:rsidR="00C36C90" w:rsidRPr="00C863A2" w:rsidRDefault="00C36C90" w:rsidP="00C36C90">
            <w:pPr>
              <w:pStyle w:val="NormalWeb"/>
              <w:spacing w:before="0" w:beforeAutospacing="0" w:after="0" w:afterAutospacing="0"/>
              <w:rPr>
                <w:rFonts w:ascii="Arial" w:hAnsi="Arial" w:cs="Arial"/>
              </w:rPr>
            </w:pPr>
            <w:proofErr w:type="spellStart"/>
            <w:r w:rsidRPr="00C863A2">
              <w:rPr>
                <w:rFonts w:ascii="Calibri" w:hAnsi="Calibri" w:cs="Calibri"/>
                <w:color w:val="000000" w:themeColor="dark1"/>
                <w:kern w:val="24"/>
                <w:lang w:val="en-US"/>
              </w:rPr>
              <w:t>HbsAg</w:t>
            </w:r>
            <w:proofErr w:type="spellEnd"/>
          </w:p>
          <w:p w14:paraId="6E673560"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lang w:val="en-US"/>
              </w:rPr>
              <w:t xml:space="preserve">HCV </w:t>
            </w:r>
          </w:p>
        </w:tc>
        <w:tc>
          <w:tcPr>
            <w:tcW w:w="3005" w:type="dxa"/>
          </w:tcPr>
          <w:p w14:paraId="0877897B" w14:textId="77777777" w:rsidR="00C36C90" w:rsidRDefault="00C36C90" w:rsidP="00C36C90">
            <w:pPr>
              <w:pStyle w:val="NormalWeb"/>
              <w:spacing w:before="0" w:beforeAutospacing="0" w:after="0" w:afterAutospacing="0"/>
              <w:rPr>
                <w:rFonts w:ascii="Calibri" w:hAnsi="Calibri" w:cs="Calibri"/>
                <w:color w:val="000000" w:themeColor="dark1"/>
                <w:kern w:val="24"/>
              </w:rPr>
            </w:pPr>
          </w:p>
          <w:p w14:paraId="6CE1F2D9" w14:textId="77777777" w:rsidR="00C36C90" w:rsidRDefault="00C36C90" w:rsidP="00C36C90">
            <w:pPr>
              <w:pStyle w:val="NormalWeb"/>
              <w:spacing w:before="0" w:beforeAutospacing="0" w:after="0" w:afterAutospacing="0"/>
              <w:rPr>
                <w:rFonts w:ascii="Calibri" w:hAnsi="Calibri" w:cs="Calibri"/>
                <w:color w:val="000000" w:themeColor="dark1"/>
                <w:kern w:val="24"/>
              </w:rPr>
            </w:pPr>
            <w:proofErr w:type="spellStart"/>
            <w:r>
              <w:rPr>
                <w:rFonts w:ascii="Calibri" w:hAnsi="Calibri" w:cs="Calibri"/>
                <w:color w:val="000000" w:themeColor="dark1"/>
                <w:kern w:val="24"/>
              </w:rPr>
              <w:t>Non reactive</w:t>
            </w:r>
            <w:proofErr w:type="spellEnd"/>
          </w:p>
          <w:p w14:paraId="332E4D65"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rPr>
              <w:t xml:space="preserve">Negative </w:t>
            </w:r>
          </w:p>
          <w:p w14:paraId="125BD829"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rPr>
              <w:t xml:space="preserve">Negative </w:t>
            </w:r>
          </w:p>
        </w:tc>
        <w:tc>
          <w:tcPr>
            <w:tcW w:w="3006" w:type="dxa"/>
          </w:tcPr>
          <w:p w14:paraId="688066C6" w14:textId="77777777" w:rsidR="00C36C90" w:rsidRPr="00C863A2" w:rsidRDefault="00C36C90" w:rsidP="00C36C90">
            <w:pPr>
              <w:pStyle w:val="NormalWeb"/>
              <w:spacing w:before="0" w:beforeAutospacing="0" w:after="0" w:afterAutospacing="0"/>
            </w:pPr>
          </w:p>
        </w:tc>
      </w:tr>
      <w:tr w:rsidR="00C36C90" w14:paraId="262E45FB" w14:textId="77777777">
        <w:tc>
          <w:tcPr>
            <w:tcW w:w="3005" w:type="dxa"/>
          </w:tcPr>
          <w:p w14:paraId="3C0877C6"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b/>
                <w:bCs/>
                <w:color w:val="FFFFFF" w:themeColor="light1"/>
                <w:kern w:val="24"/>
                <w:lang w:val="en-US"/>
              </w:rPr>
              <w:t>RBS</w:t>
            </w:r>
          </w:p>
        </w:tc>
        <w:tc>
          <w:tcPr>
            <w:tcW w:w="3005" w:type="dxa"/>
          </w:tcPr>
          <w:p w14:paraId="2BE7B216"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b/>
                <w:bCs/>
                <w:color w:val="FFFFFF" w:themeColor="light1"/>
                <w:kern w:val="24"/>
                <w:lang w:val="en-US"/>
              </w:rPr>
              <w:t>98mg/dl</w:t>
            </w:r>
          </w:p>
        </w:tc>
        <w:tc>
          <w:tcPr>
            <w:tcW w:w="3006" w:type="dxa"/>
          </w:tcPr>
          <w:p w14:paraId="72A7B095" w14:textId="77777777" w:rsidR="00C36C90" w:rsidRPr="00C863A2" w:rsidRDefault="00C36C90" w:rsidP="00C36C90">
            <w:pPr>
              <w:pStyle w:val="NormalWeb"/>
              <w:spacing w:before="0" w:beforeAutospacing="0" w:after="0" w:afterAutospacing="0"/>
            </w:pPr>
            <w:r w:rsidRPr="00C863A2">
              <w:rPr>
                <w:b/>
                <w:bCs/>
                <w:color w:val="FFFFFF" w:themeColor="light1"/>
                <w:kern w:val="24"/>
                <w:lang w:val="en-US"/>
              </w:rPr>
              <w:t>70-140mg/dl</w:t>
            </w:r>
          </w:p>
        </w:tc>
      </w:tr>
      <w:tr w:rsidR="00C36C90" w14:paraId="2BD71D6A" w14:textId="77777777">
        <w:tc>
          <w:tcPr>
            <w:tcW w:w="3005" w:type="dxa"/>
          </w:tcPr>
          <w:p w14:paraId="583F7FC8" w14:textId="77777777" w:rsidR="00C36C90" w:rsidRPr="00C863A2" w:rsidRDefault="00C36C90" w:rsidP="00C36C90">
            <w:pPr>
              <w:pStyle w:val="NormalWeb"/>
              <w:spacing w:before="0" w:beforeAutospacing="0" w:after="0" w:afterAutospacing="0"/>
              <w:rPr>
                <w:rFonts w:ascii="Arial" w:hAnsi="Arial" w:cs="Arial"/>
              </w:rPr>
            </w:pPr>
            <w:r w:rsidRPr="00C863A2">
              <w:rPr>
                <w:color w:val="000000" w:themeColor="dark1"/>
                <w:kern w:val="24"/>
                <w:lang w:val="en-US"/>
              </w:rPr>
              <w:t xml:space="preserve">Serum creatinine </w:t>
            </w:r>
          </w:p>
        </w:tc>
        <w:tc>
          <w:tcPr>
            <w:tcW w:w="3005" w:type="dxa"/>
          </w:tcPr>
          <w:p w14:paraId="1715EE15" w14:textId="77777777" w:rsidR="00C36C90" w:rsidRPr="00C863A2" w:rsidRDefault="00C36C90" w:rsidP="00C36C90">
            <w:pPr>
              <w:pStyle w:val="NormalWeb"/>
              <w:spacing w:before="0" w:beforeAutospacing="0" w:after="0" w:afterAutospacing="0"/>
              <w:rPr>
                <w:rFonts w:ascii="Arial" w:hAnsi="Arial" w:cs="Arial"/>
              </w:rPr>
            </w:pPr>
            <w:r w:rsidRPr="00C863A2">
              <w:rPr>
                <w:color w:val="000000" w:themeColor="dark1"/>
                <w:kern w:val="24"/>
                <w:lang w:val="en-US"/>
              </w:rPr>
              <w:t>0.8mg%</w:t>
            </w:r>
          </w:p>
        </w:tc>
        <w:tc>
          <w:tcPr>
            <w:tcW w:w="3006" w:type="dxa"/>
          </w:tcPr>
          <w:p w14:paraId="3F5B479D" w14:textId="77777777" w:rsidR="00C36C90" w:rsidRPr="00C863A2" w:rsidRDefault="00C36C90" w:rsidP="00C36C90">
            <w:pPr>
              <w:pStyle w:val="NormalWeb"/>
              <w:spacing w:before="0" w:beforeAutospacing="0" w:after="0" w:afterAutospacing="0"/>
            </w:pPr>
            <w:r w:rsidRPr="00C863A2">
              <w:rPr>
                <w:color w:val="000000" w:themeColor="dark1"/>
                <w:kern w:val="24"/>
                <w:lang w:val="en-US"/>
              </w:rPr>
              <w:t>0.6 – 1.4 mg%</w:t>
            </w:r>
          </w:p>
        </w:tc>
      </w:tr>
      <w:tr w:rsidR="00C36C90" w14:paraId="16D1BDBA" w14:textId="77777777">
        <w:tc>
          <w:tcPr>
            <w:tcW w:w="3005" w:type="dxa"/>
          </w:tcPr>
          <w:p w14:paraId="76903B01"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lang w:val="en-US"/>
              </w:rPr>
              <w:t>SERUM ELECTROLYTES</w:t>
            </w:r>
          </w:p>
          <w:p w14:paraId="16348ADB"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lang w:val="en-US"/>
              </w:rPr>
              <w:t xml:space="preserve">Sodium  </w:t>
            </w:r>
          </w:p>
          <w:p w14:paraId="78BF9FD7"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lang w:val="en-US"/>
              </w:rPr>
              <w:t xml:space="preserve"> </w:t>
            </w:r>
          </w:p>
        </w:tc>
        <w:tc>
          <w:tcPr>
            <w:tcW w:w="3005" w:type="dxa"/>
          </w:tcPr>
          <w:p w14:paraId="6A63E25B" w14:textId="77777777" w:rsidR="00C36C90" w:rsidRDefault="00C36C90" w:rsidP="00C36C90">
            <w:pPr>
              <w:pStyle w:val="NormalWeb"/>
              <w:spacing w:before="0" w:beforeAutospacing="0" w:after="0" w:afterAutospacing="0"/>
              <w:rPr>
                <w:rFonts w:ascii="Calibri" w:hAnsi="Calibri" w:cs="Calibri"/>
                <w:color w:val="000000" w:themeColor="dark1"/>
                <w:kern w:val="24"/>
              </w:rPr>
            </w:pPr>
          </w:p>
          <w:p w14:paraId="14EFA297"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rPr>
              <w:t>145mEq/L</w:t>
            </w:r>
          </w:p>
        </w:tc>
        <w:tc>
          <w:tcPr>
            <w:tcW w:w="3006" w:type="dxa"/>
          </w:tcPr>
          <w:p w14:paraId="483D330D" w14:textId="77777777" w:rsidR="00C36C90" w:rsidRDefault="00C36C90" w:rsidP="00C36C90">
            <w:pPr>
              <w:pStyle w:val="NormalWeb"/>
              <w:spacing w:before="0" w:beforeAutospacing="0" w:after="0" w:afterAutospacing="0"/>
              <w:rPr>
                <w:color w:val="000000" w:themeColor="dark1"/>
                <w:kern w:val="24"/>
              </w:rPr>
            </w:pPr>
          </w:p>
          <w:p w14:paraId="6EDC5C67" w14:textId="77777777" w:rsidR="00C36C90" w:rsidRPr="00C863A2" w:rsidRDefault="00C36C90" w:rsidP="00C36C90">
            <w:pPr>
              <w:pStyle w:val="NormalWeb"/>
              <w:spacing w:before="0" w:beforeAutospacing="0" w:after="0" w:afterAutospacing="0"/>
            </w:pPr>
            <w:r w:rsidRPr="00C863A2">
              <w:rPr>
                <w:color w:val="000000" w:themeColor="dark1"/>
                <w:kern w:val="24"/>
              </w:rPr>
              <w:t>136-145mEq/L</w:t>
            </w:r>
          </w:p>
        </w:tc>
      </w:tr>
      <w:tr w:rsidR="00C36C90" w14:paraId="07B5E848" w14:textId="77777777">
        <w:tc>
          <w:tcPr>
            <w:tcW w:w="3005" w:type="dxa"/>
          </w:tcPr>
          <w:p w14:paraId="0768480A"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lang w:val="en-US"/>
              </w:rPr>
              <w:t xml:space="preserve">Potassium </w:t>
            </w:r>
          </w:p>
        </w:tc>
        <w:tc>
          <w:tcPr>
            <w:tcW w:w="3005" w:type="dxa"/>
          </w:tcPr>
          <w:p w14:paraId="46A05557"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FF0000"/>
                <w:kern w:val="24"/>
                <w:lang w:val="en-US"/>
              </w:rPr>
              <w:t>5.3</w:t>
            </w:r>
            <w:proofErr w:type="spellStart"/>
            <w:r w:rsidRPr="00C863A2">
              <w:rPr>
                <w:rFonts w:ascii="Calibri" w:hAnsi="Calibri" w:cs="Calibri"/>
                <w:color w:val="FF0000"/>
                <w:kern w:val="24"/>
              </w:rPr>
              <w:t>mEq</w:t>
            </w:r>
            <w:proofErr w:type="spellEnd"/>
            <w:r w:rsidRPr="00C863A2">
              <w:rPr>
                <w:rFonts w:ascii="Calibri" w:hAnsi="Calibri" w:cs="Calibri"/>
                <w:color w:val="FF0000"/>
                <w:kern w:val="24"/>
              </w:rPr>
              <w:t>/L</w:t>
            </w:r>
          </w:p>
        </w:tc>
        <w:tc>
          <w:tcPr>
            <w:tcW w:w="3006" w:type="dxa"/>
          </w:tcPr>
          <w:p w14:paraId="0FF6BCCE" w14:textId="77777777" w:rsidR="00C36C90" w:rsidRPr="00C863A2" w:rsidRDefault="00C36C90" w:rsidP="00C36C90">
            <w:pPr>
              <w:pStyle w:val="NormalWeb"/>
              <w:spacing w:before="0" w:beforeAutospacing="0" w:after="0" w:afterAutospacing="0"/>
            </w:pPr>
            <w:r w:rsidRPr="00C863A2">
              <w:rPr>
                <w:color w:val="000000" w:themeColor="dark1"/>
                <w:kern w:val="24"/>
              </w:rPr>
              <w:t>3.4-5mEq/L</w:t>
            </w:r>
          </w:p>
        </w:tc>
      </w:tr>
      <w:tr w:rsidR="00C36C90" w14:paraId="7BD0E215" w14:textId="77777777">
        <w:tc>
          <w:tcPr>
            <w:tcW w:w="3005" w:type="dxa"/>
          </w:tcPr>
          <w:p w14:paraId="689CC388"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lang w:val="en-US"/>
              </w:rPr>
              <w:t xml:space="preserve">Chloride </w:t>
            </w:r>
          </w:p>
        </w:tc>
        <w:tc>
          <w:tcPr>
            <w:tcW w:w="3005" w:type="dxa"/>
          </w:tcPr>
          <w:p w14:paraId="61062D25" w14:textId="77777777" w:rsidR="00C36C90" w:rsidRPr="00C863A2" w:rsidRDefault="00C36C90" w:rsidP="00C36C90">
            <w:pPr>
              <w:pStyle w:val="NormalWeb"/>
              <w:spacing w:before="0" w:beforeAutospacing="0" w:after="0" w:afterAutospacing="0"/>
              <w:rPr>
                <w:rFonts w:ascii="Arial" w:hAnsi="Arial" w:cs="Arial"/>
              </w:rPr>
            </w:pPr>
            <w:r w:rsidRPr="00C863A2">
              <w:rPr>
                <w:rFonts w:ascii="Calibri" w:hAnsi="Calibri" w:cs="Calibri"/>
                <w:color w:val="000000" w:themeColor="dark1"/>
                <w:kern w:val="24"/>
                <w:lang w:val="en-US"/>
              </w:rPr>
              <w:t>101</w:t>
            </w:r>
            <w:proofErr w:type="spellStart"/>
            <w:r w:rsidRPr="00C863A2">
              <w:rPr>
                <w:rFonts w:ascii="Calibri" w:hAnsi="Calibri" w:cs="Calibri"/>
                <w:color w:val="000000" w:themeColor="dark1"/>
                <w:kern w:val="24"/>
              </w:rPr>
              <w:t>mEq</w:t>
            </w:r>
            <w:proofErr w:type="spellEnd"/>
            <w:r w:rsidRPr="00C863A2">
              <w:rPr>
                <w:rFonts w:ascii="Calibri" w:hAnsi="Calibri" w:cs="Calibri"/>
                <w:color w:val="000000" w:themeColor="dark1"/>
                <w:kern w:val="24"/>
              </w:rPr>
              <w:t>/L</w:t>
            </w:r>
          </w:p>
        </w:tc>
        <w:tc>
          <w:tcPr>
            <w:tcW w:w="3006" w:type="dxa"/>
          </w:tcPr>
          <w:p w14:paraId="44FEBE21" w14:textId="77777777" w:rsidR="00C36C90" w:rsidRPr="00C863A2" w:rsidRDefault="00C36C90" w:rsidP="00C36C90">
            <w:pPr>
              <w:pStyle w:val="NormalWeb"/>
              <w:spacing w:before="0" w:beforeAutospacing="0" w:after="0" w:afterAutospacing="0"/>
            </w:pPr>
            <w:r w:rsidRPr="00C863A2">
              <w:rPr>
                <w:color w:val="000000" w:themeColor="dark1"/>
                <w:kern w:val="24"/>
                <w:lang w:val="en-US"/>
              </w:rPr>
              <w:t>96-106</w:t>
            </w:r>
            <w:proofErr w:type="spellStart"/>
            <w:r w:rsidRPr="00C863A2">
              <w:rPr>
                <w:color w:val="000000" w:themeColor="dark1"/>
                <w:kern w:val="24"/>
              </w:rPr>
              <w:t>mEq</w:t>
            </w:r>
            <w:proofErr w:type="spellEnd"/>
            <w:r w:rsidRPr="00C863A2">
              <w:rPr>
                <w:color w:val="000000" w:themeColor="dark1"/>
                <w:kern w:val="24"/>
              </w:rPr>
              <w:t>/L</w:t>
            </w:r>
          </w:p>
        </w:tc>
      </w:tr>
      <w:tr w:rsidR="00C36C90" w14:paraId="3981A704" w14:textId="77777777">
        <w:tc>
          <w:tcPr>
            <w:tcW w:w="3005" w:type="dxa"/>
          </w:tcPr>
          <w:p w14:paraId="177E47A0" w14:textId="77777777" w:rsidR="00C36C90" w:rsidRDefault="00C36C90" w:rsidP="00C36C90">
            <w:pPr>
              <w:pStyle w:val="NormalWeb"/>
              <w:spacing w:before="0" w:beforeAutospacing="0" w:after="0" w:afterAutospacing="0"/>
              <w:rPr>
                <w:color w:val="000000" w:themeColor="text1"/>
                <w:kern w:val="24"/>
                <w:lang w:val="en-US"/>
              </w:rPr>
            </w:pPr>
            <w:r w:rsidRPr="00C36C90">
              <w:rPr>
                <w:color w:val="000000" w:themeColor="text1"/>
                <w:kern w:val="24"/>
                <w:lang w:val="en-US"/>
              </w:rPr>
              <w:t>RBS</w:t>
            </w:r>
          </w:p>
          <w:p w14:paraId="129DD09D" w14:textId="6D4D1EB4" w:rsidR="00EC7D19" w:rsidRPr="00C36C90" w:rsidRDefault="00EC7D19" w:rsidP="00C36C90">
            <w:pPr>
              <w:pStyle w:val="NormalWeb"/>
              <w:spacing w:before="0" w:beforeAutospacing="0" w:after="0" w:afterAutospacing="0"/>
              <w:rPr>
                <w:color w:val="000000" w:themeColor="text1"/>
              </w:rPr>
            </w:pPr>
          </w:p>
        </w:tc>
        <w:tc>
          <w:tcPr>
            <w:tcW w:w="3005" w:type="dxa"/>
          </w:tcPr>
          <w:p w14:paraId="4B58E1BD" w14:textId="77777777" w:rsidR="00C36C90" w:rsidRPr="00C36C90" w:rsidRDefault="00C36C90" w:rsidP="00C36C90">
            <w:pPr>
              <w:pStyle w:val="NormalWeb"/>
              <w:spacing w:before="0" w:beforeAutospacing="0" w:after="0" w:afterAutospacing="0"/>
              <w:rPr>
                <w:color w:val="000000" w:themeColor="text1"/>
              </w:rPr>
            </w:pPr>
            <w:r w:rsidRPr="00C36C90">
              <w:rPr>
                <w:color w:val="000000" w:themeColor="text1"/>
                <w:kern w:val="24"/>
                <w:lang w:val="en-US"/>
              </w:rPr>
              <w:t>98mg/dl</w:t>
            </w:r>
          </w:p>
        </w:tc>
        <w:tc>
          <w:tcPr>
            <w:tcW w:w="3006" w:type="dxa"/>
          </w:tcPr>
          <w:p w14:paraId="2BD8ED2C" w14:textId="77777777" w:rsidR="00C36C90" w:rsidRPr="00C36C90" w:rsidRDefault="00C36C90" w:rsidP="00C36C90">
            <w:pPr>
              <w:spacing w:line="276" w:lineRule="auto"/>
              <w:jc w:val="both"/>
              <w:rPr>
                <w:rFonts w:ascii="Times New Roman" w:hAnsi="Times New Roman" w:cs="Times New Roman"/>
                <w:sz w:val="24"/>
                <w:szCs w:val="24"/>
              </w:rPr>
            </w:pPr>
            <w:r w:rsidRPr="00C36C90">
              <w:rPr>
                <w:rFonts w:ascii="Times New Roman" w:hAnsi="Times New Roman" w:cs="Times New Roman"/>
                <w:sz w:val="24"/>
                <w:szCs w:val="24"/>
                <w:lang w:val="en-US"/>
              </w:rPr>
              <w:t>70-140mg/dl</w:t>
            </w:r>
          </w:p>
          <w:p w14:paraId="3C0F7ED6" w14:textId="77777777" w:rsidR="00C36C90" w:rsidRDefault="00C36C90" w:rsidP="00C36C90">
            <w:pPr>
              <w:spacing w:line="276" w:lineRule="auto"/>
              <w:jc w:val="both"/>
              <w:rPr>
                <w:rFonts w:ascii="Times New Roman" w:hAnsi="Times New Roman" w:cs="Times New Roman"/>
                <w:sz w:val="24"/>
                <w:szCs w:val="24"/>
              </w:rPr>
            </w:pPr>
          </w:p>
        </w:tc>
      </w:tr>
      <w:tr w:rsidR="00AA61B2" w14:paraId="7405270C" w14:textId="77777777">
        <w:tc>
          <w:tcPr>
            <w:tcW w:w="3005" w:type="dxa"/>
          </w:tcPr>
          <w:p w14:paraId="7C14CD2F" w14:textId="77777777" w:rsidR="00AA61B2" w:rsidRDefault="00AA61B2" w:rsidP="00AA61B2">
            <w:pPr>
              <w:pStyle w:val="NormalWeb"/>
              <w:spacing w:before="0" w:beforeAutospacing="0" w:after="0" w:afterAutospacing="0"/>
              <w:jc w:val="right"/>
              <w:rPr>
                <w:color w:val="000000" w:themeColor="text1"/>
                <w:kern w:val="24"/>
                <w:lang w:val="en-US"/>
              </w:rPr>
            </w:pPr>
            <w:r>
              <w:rPr>
                <w:color w:val="000000" w:themeColor="text1"/>
                <w:kern w:val="24"/>
                <w:lang w:val="en-US"/>
              </w:rPr>
              <w:t>Thyroid profile</w:t>
            </w:r>
          </w:p>
          <w:p w14:paraId="702388EA" w14:textId="77777777" w:rsidR="00AA61B2" w:rsidRDefault="00AA61B2" w:rsidP="00AA61B2">
            <w:pPr>
              <w:pStyle w:val="NormalWeb"/>
              <w:spacing w:before="0" w:beforeAutospacing="0" w:after="0" w:afterAutospacing="0"/>
              <w:jc w:val="right"/>
              <w:rPr>
                <w:color w:val="000000" w:themeColor="text1"/>
                <w:kern w:val="24"/>
                <w:lang w:val="en-US"/>
              </w:rPr>
            </w:pPr>
            <w:r>
              <w:rPr>
                <w:color w:val="000000" w:themeColor="text1"/>
                <w:kern w:val="24"/>
                <w:lang w:val="en-US"/>
              </w:rPr>
              <w:t>Free T3</w:t>
            </w:r>
          </w:p>
          <w:p w14:paraId="08B42EF8" w14:textId="77777777" w:rsidR="00AA61B2" w:rsidRDefault="00AA61B2" w:rsidP="00AA61B2">
            <w:pPr>
              <w:pStyle w:val="NormalWeb"/>
              <w:spacing w:before="0" w:beforeAutospacing="0" w:after="0" w:afterAutospacing="0"/>
              <w:jc w:val="right"/>
              <w:rPr>
                <w:color w:val="000000" w:themeColor="text1"/>
                <w:kern w:val="24"/>
                <w:lang w:val="en-US"/>
              </w:rPr>
            </w:pPr>
            <w:r>
              <w:rPr>
                <w:color w:val="000000" w:themeColor="text1"/>
                <w:kern w:val="24"/>
                <w:lang w:val="en-US"/>
              </w:rPr>
              <w:t>Free T4</w:t>
            </w:r>
          </w:p>
          <w:p w14:paraId="5DB40E2C" w14:textId="77B0105F" w:rsidR="00AA61B2" w:rsidRPr="00C36C90" w:rsidRDefault="00AA61B2" w:rsidP="00AA61B2">
            <w:pPr>
              <w:pStyle w:val="NormalWeb"/>
              <w:spacing w:before="0" w:beforeAutospacing="0" w:after="0" w:afterAutospacing="0"/>
              <w:jc w:val="right"/>
              <w:rPr>
                <w:color w:val="000000" w:themeColor="text1"/>
                <w:kern w:val="24"/>
                <w:lang w:val="en-US"/>
              </w:rPr>
            </w:pPr>
            <w:r>
              <w:rPr>
                <w:color w:val="000000" w:themeColor="text1"/>
                <w:kern w:val="24"/>
                <w:lang w:val="en-US"/>
              </w:rPr>
              <w:t>TSH</w:t>
            </w:r>
          </w:p>
        </w:tc>
        <w:tc>
          <w:tcPr>
            <w:tcW w:w="3005" w:type="dxa"/>
          </w:tcPr>
          <w:p w14:paraId="7FDEA867" w14:textId="77777777" w:rsidR="00AA61B2" w:rsidRDefault="00AA61B2" w:rsidP="00C36C90">
            <w:pPr>
              <w:pStyle w:val="NormalWeb"/>
              <w:spacing w:before="0" w:beforeAutospacing="0" w:after="0" w:afterAutospacing="0"/>
              <w:rPr>
                <w:color w:val="000000" w:themeColor="text1"/>
                <w:kern w:val="24"/>
                <w:lang w:val="en-US"/>
              </w:rPr>
            </w:pPr>
          </w:p>
          <w:p w14:paraId="569C02D8" w14:textId="77777777" w:rsidR="008A2FC8" w:rsidRDefault="008A2FC8" w:rsidP="00C36C90">
            <w:pPr>
              <w:pStyle w:val="NormalWeb"/>
              <w:spacing w:before="0" w:beforeAutospacing="0" w:after="0" w:afterAutospacing="0"/>
              <w:rPr>
                <w:color w:val="000000" w:themeColor="text1"/>
                <w:kern w:val="24"/>
                <w:lang w:val="en-US"/>
              </w:rPr>
            </w:pPr>
            <w:r>
              <w:rPr>
                <w:color w:val="000000" w:themeColor="text1"/>
                <w:kern w:val="24"/>
                <w:lang w:val="en-US"/>
              </w:rPr>
              <w:t>2.45</w:t>
            </w:r>
          </w:p>
          <w:p w14:paraId="28F7B413" w14:textId="77777777" w:rsidR="008A2FC8" w:rsidRDefault="008A2FC8" w:rsidP="00C36C90">
            <w:pPr>
              <w:pStyle w:val="NormalWeb"/>
              <w:spacing w:before="0" w:beforeAutospacing="0" w:after="0" w:afterAutospacing="0"/>
              <w:rPr>
                <w:color w:val="000000" w:themeColor="text1"/>
                <w:kern w:val="24"/>
                <w:lang w:val="en-US"/>
              </w:rPr>
            </w:pPr>
            <w:r>
              <w:rPr>
                <w:color w:val="000000" w:themeColor="text1"/>
                <w:kern w:val="24"/>
                <w:lang w:val="en-US"/>
              </w:rPr>
              <w:t>0.92</w:t>
            </w:r>
          </w:p>
          <w:p w14:paraId="5F9093CF" w14:textId="6255CC47" w:rsidR="008A2FC8" w:rsidRPr="00C36C90" w:rsidRDefault="008A2FC8" w:rsidP="00C36C90">
            <w:pPr>
              <w:pStyle w:val="NormalWeb"/>
              <w:spacing w:before="0" w:beforeAutospacing="0" w:after="0" w:afterAutospacing="0"/>
              <w:rPr>
                <w:color w:val="000000" w:themeColor="text1"/>
                <w:kern w:val="24"/>
                <w:lang w:val="en-US"/>
              </w:rPr>
            </w:pPr>
            <w:r>
              <w:rPr>
                <w:color w:val="000000" w:themeColor="text1"/>
                <w:kern w:val="24"/>
                <w:lang w:val="en-US"/>
              </w:rPr>
              <w:t>0.33</w:t>
            </w:r>
          </w:p>
        </w:tc>
        <w:tc>
          <w:tcPr>
            <w:tcW w:w="3006" w:type="dxa"/>
          </w:tcPr>
          <w:p w14:paraId="322E96C3" w14:textId="77777777" w:rsidR="00AA61B2" w:rsidRDefault="00AA61B2" w:rsidP="00C36C90">
            <w:pPr>
              <w:spacing w:line="276" w:lineRule="auto"/>
              <w:jc w:val="both"/>
              <w:rPr>
                <w:rFonts w:ascii="Times New Roman" w:hAnsi="Times New Roman" w:cs="Times New Roman"/>
                <w:sz w:val="24"/>
                <w:szCs w:val="24"/>
                <w:lang w:val="en-US"/>
              </w:rPr>
            </w:pPr>
          </w:p>
          <w:p w14:paraId="5EAA2E16" w14:textId="77777777" w:rsidR="008A2FC8" w:rsidRDefault="008A2FC8" w:rsidP="00C36C9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2.02-4.43pg/ml</w:t>
            </w:r>
          </w:p>
          <w:p w14:paraId="50F417FD" w14:textId="77777777" w:rsidR="008A2FC8" w:rsidRDefault="008A2FC8" w:rsidP="00C36C9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0.92-1.66ng/dl</w:t>
            </w:r>
          </w:p>
          <w:p w14:paraId="488366A2" w14:textId="13F7A7D6" w:rsidR="008A2FC8" w:rsidRPr="00C36C90" w:rsidRDefault="008A2FC8" w:rsidP="00C36C9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0.27-4.2mlU/ml</w:t>
            </w:r>
          </w:p>
        </w:tc>
      </w:tr>
    </w:tbl>
    <w:p w14:paraId="3DF12509" w14:textId="77777777" w:rsidR="00C863A2" w:rsidRPr="00C36C90" w:rsidRDefault="00C863A2" w:rsidP="004E0757">
      <w:pPr>
        <w:spacing w:line="276" w:lineRule="auto"/>
        <w:jc w:val="both"/>
        <w:rPr>
          <w:rFonts w:ascii="Times New Roman" w:hAnsi="Times New Roman" w:cs="Times New Roman"/>
          <w:b/>
          <w:bCs/>
          <w:sz w:val="24"/>
          <w:szCs w:val="24"/>
        </w:rPr>
      </w:pPr>
    </w:p>
    <w:p w14:paraId="6726A947" w14:textId="77777777" w:rsidR="00C863A2" w:rsidRDefault="00C36C90" w:rsidP="004E0757">
      <w:pPr>
        <w:spacing w:line="276" w:lineRule="auto"/>
        <w:jc w:val="both"/>
        <w:rPr>
          <w:rFonts w:ascii="Times New Roman" w:hAnsi="Times New Roman" w:cs="Times New Roman"/>
          <w:b/>
          <w:bCs/>
          <w:sz w:val="24"/>
          <w:szCs w:val="24"/>
        </w:rPr>
      </w:pPr>
      <w:r w:rsidRPr="00C36C90">
        <w:rPr>
          <w:rFonts w:ascii="Times New Roman" w:hAnsi="Times New Roman" w:cs="Times New Roman"/>
          <w:b/>
          <w:bCs/>
          <w:sz w:val="24"/>
          <w:szCs w:val="24"/>
        </w:rPr>
        <w:t xml:space="preserve">OTHER SUPPORTING REPORTS </w:t>
      </w:r>
    </w:p>
    <w:p w14:paraId="5138EEEB" w14:textId="77777777" w:rsidR="00C36C90" w:rsidRPr="00C36C90" w:rsidRDefault="00C36C90" w:rsidP="00C36C90">
      <w:pPr>
        <w:spacing w:line="276" w:lineRule="auto"/>
        <w:jc w:val="both"/>
        <w:rPr>
          <w:rFonts w:ascii="Times New Roman" w:hAnsi="Times New Roman" w:cs="Times New Roman"/>
          <w:b/>
          <w:bCs/>
          <w:sz w:val="24"/>
          <w:szCs w:val="24"/>
        </w:rPr>
      </w:pPr>
      <w:r w:rsidRPr="00C36C90">
        <w:rPr>
          <w:rFonts w:ascii="Times New Roman" w:hAnsi="Times New Roman" w:cs="Times New Roman"/>
          <w:b/>
          <w:bCs/>
          <w:sz w:val="24"/>
          <w:szCs w:val="24"/>
          <w:lang w:val="en-US"/>
        </w:rPr>
        <w:t xml:space="preserve">USG OF </w:t>
      </w:r>
      <w:proofErr w:type="gramStart"/>
      <w:r w:rsidRPr="00C36C90">
        <w:rPr>
          <w:rFonts w:ascii="Times New Roman" w:hAnsi="Times New Roman" w:cs="Times New Roman"/>
          <w:b/>
          <w:bCs/>
          <w:sz w:val="24"/>
          <w:szCs w:val="24"/>
          <w:lang w:val="en-US"/>
        </w:rPr>
        <w:t>NECK :</w:t>
      </w:r>
      <w:proofErr w:type="gramEnd"/>
      <w:r w:rsidRPr="00C36C90">
        <w:rPr>
          <w:rFonts w:ascii="Times New Roman" w:hAnsi="Times New Roman" w:cs="Times New Roman"/>
          <w:b/>
          <w:bCs/>
          <w:sz w:val="24"/>
          <w:szCs w:val="24"/>
          <w:lang w:val="en-US"/>
        </w:rPr>
        <w:t xml:space="preserve"> </w:t>
      </w:r>
    </w:p>
    <w:p w14:paraId="10329D51" w14:textId="77777777" w:rsidR="00C36C90" w:rsidRPr="00C36C90" w:rsidRDefault="00C36C90" w:rsidP="00C36C90">
      <w:pPr>
        <w:spacing w:line="276" w:lineRule="auto"/>
        <w:jc w:val="both"/>
        <w:rPr>
          <w:rFonts w:ascii="Times New Roman" w:hAnsi="Times New Roman" w:cs="Times New Roman"/>
          <w:sz w:val="24"/>
          <w:szCs w:val="24"/>
        </w:rPr>
      </w:pPr>
      <w:r w:rsidRPr="00C36C90">
        <w:rPr>
          <w:rFonts w:ascii="Times New Roman" w:hAnsi="Times New Roman" w:cs="Times New Roman"/>
          <w:sz w:val="24"/>
          <w:szCs w:val="24"/>
          <w:lang w:val="en-US"/>
        </w:rPr>
        <w:t xml:space="preserve">Right lobe and </w:t>
      </w:r>
      <w:proofErr w:type="gramStart"/>
      <w:r w:rsidRPr="00C36C90">
        <w:rPr>
          <w:rFonts w:ascii="Times New Roman" w:hAnsi="Times New Roman" w:cs="Times New Roman"/>
          <w:sz w:val="24"/>
          <w:szCs w:val="24"/>
          <w:lang w:val="en-US"/>
        </w:rPr>
        <w:t>Isthmus :</w:t>
      </w:r>
      <w:proofErr w:type="gramEnd"/>
      <w:r w:rsidRPr="00C36C90">
        <w:rPr>
          <w:rFonts w:ascii="Times New Roman" w:hAnsi="Times New Roman" w:cs="Times New Roman"/>
          <w:sz w:val="24"/>
          <w:szCs w:val="24"/>
          <w:lang w:val="en-US"/>
        </w:rPr>
        <w:t xml:space="preserve"> normal in size and echotexture</w:t>
      </w:r>
    </w:p>
    <w:p w14:paraId="00C9EE24" w14:textId="77777777" w:rsidR="00C36C90" w:rsidRPr="00C36C90" w:rsidRDefault="00C36C90" w:rsidP="00C36C90">
      <w:pPr>
        <w:spacing w:line="276" w:lineRule="auto"/>
        <w:jc w:val="both"/>
        <w:rPr>
          <w:rFonts w:ascii="Times New Roman" w:hAnsi="Times New Roman" w:cs="Times New Roman"/>
          <w:sz w:val="24"/>
          <w:szCs w:val="24"/>
        </w:rPr>
      </w:pPr>
      <w:r w:rsidRPr="00C36C90">
        <w:rPr>
          <w:rFonts w:ascii="Times New Roman" w:hAnsi="Times New Roman" w:cs="Times New Roman"/>
          <w:sz w:val="24"/>
          <w:szCs w:val="24"/>
          <w:lang w:val="en-US"/>
        </w:rPr>
        <w:t xml:space="preserve">Left </w:t>
      </w:r>
      <w:proofErr w:type="gramStart"/>
      <w:r w:rsidRPr="00C36C90">
        <w:rPr>
          <w:rFonts w:ascii="Times New Roman" w:hAnsi="Times New Roman" w:cs="Times New Roman"/>
          <w:sz w:val="24"/>
          <w:szCs w:val="24"/>
          <w:lang w:val="en-US"/>
        </w:rPr>
        <w:t>lobe :</w:t>
      </w:r>
      <w:proofErr w:type="gramEnd"/>
      <w:r w:rsidRPr="00C36C90">
        <w:rPr>
          <w:rFonts w:ascii="Times New Roman" w:hAnsi="Times New Roman" w:cs="Times New Roman"/>
          <w:sz w:val="24"/>
          <w:szCs w:val="24"/>
          <w:lang w:val="en-US"/>
        </w:rPr>
        <w:t xml:space="preserve">  Enlarged and shows heterogenous lesion of size 3.5 x 1.5 cm</w:t>
      </w:r>
    </w:p>
    <w:p w14:paraId="5DC19A04" w14:textId="77777777" w:rsidR="00C36C90" w:rsidRDefault="00C36C90" w:rsidP="00C36C90">
      <w:pPr>
        <w:spacing w:line="276" w:lineRule="auto"/>
        <w:jc w:val="both"/>
        <w:rPr>
          <w:rFonts w:ascii="Times New Roman" w:hAnsi="Times New Roman" w:cs="Times New Roman"/>
          <w:sz w:val="24"/>
          <w:szCs w:val="24"/>
          <w:lang w:val="en-US"/>
        </w:rPr>
      </w:pPr>
      <w:r w:rsidRPr="00C36C90">
        <w:rPr>
          <w:rFonts w:ascii="Times New Roman" w:hAnsi="Times New Roman" w:cs="Times New Roman"/>
          <w:sz w:val="24"/>
          <w:szCs w:val="24"/>
          <w:lang w:val="en-US"/>
        </w:rPr>
        <w:t xml:space="preserve">B/L Parotid and submandibular </w:t>
      </w:r>
      <w:proofErr w:type="gramStart"/>
      <w:r w:rsidRPr="00C36C90">
        <w:rPr>
          <w:rFonts w:ascii="Times New Roman" w:hAnsi="Times New Roman" w:cs="Times New Roman"/>
          <w:sz w:val="24"/>
          <w:szCs w:val="24"/>
          <w:lang w:val="en-US"/>
        </w:rPr>
        <w:t>glands :</w:t>
      </w:r>
      <w:proofErr w:type="gramEnd"/>
      <w:r w:rsidRPr="00C36C90">
        <w:rPr>
          <w:rFonts w:ascii="Times New Roman" w:hAnsi="Times New Roman" w:cs="Times New Roman"/>
          <w:sz w:val="24"/>
          <w:szCs w:val="24"/>
          <w:lang w:val="en-US"/>
        </w:rPr>
        <w:t xml:space="preserve"> appear normal</w:t>
      </w:r>
    </w:p>
    <w:p w14:paraId="673E7B78" w14:textId="4FD9C4C4" w:rsidR="00063292" w:rsidRPr="00063292" w:rsidRDefault="00063292" w:rsidP="00C36C90">
      <w:pPr>
        <w:spacing w:line="276" w:lineRule="auto"/>
        <w:jc w:val="both"/>
        <w:rPr>
          <w:rFonts w:ascii="Times New Roman" w:hAnsi="Times New Roman" w:cs="Times New Roman"/>
          <w:sz w:val="24"/>
          <w:szCs w:val="24"/>
        </w:rPr>
      </w:pPr>
      <w:proofErr w:type="gramStart"/>
      <w:r w:rsidRPr="00063292">
        <w:rPr>
          <w:rFonts w:ascii="Times New Roman" w:hAnsi="Times New Roman" w:cs="Times New Roman"/>
          <w:b/>
          <w:bCs/>
          <w:sz w:val="24"/>
          <w:szCs w:val="24"/>
          <w:lang w:val="en-US"/>
        </w:rPr>
        <w:t xml:space="preserve">IMPRESSION </w:t>
      </w:r>
      <w:r w:rsidRPr="00063292">
        <w:rPr>
          <w:rFonts w:ascii="Times New Roman" w:hAnsi="Times New Roman" w:cs="Times New Roman"/>
          <w:sz w:val="24"/>
          <w:szCs w:val="24"/>
          <w:lang w:val="en-US"/>
        </w:rPr>
        <w:t>:</w:t>
      </w:r>
      <w:proofErr w:type="gramEnd"/>
      <w:r w:rsidRPr="00063292">
        <w:rPr>
          <w:rFonts w:ascii="Times New Roman" w:hAnsi="Times New Roman" w:cs="Times New Roman"/>
          <w:sz w:val="24"/>
          <w:szCs w:val="24"/>
          <w:lang w:val="en-US"/>
        </w:rPr>
        <w:t xml:space="preserve"> BENIGN THYROID NODULE IN THE LEFT LOBE</w:t>
      </w:r>
      <w:r w:rsidR="004B7AD4">
        <w:rPr>
          <w:rFonts w:ascii="Times New Roman" w:hAnsi="Times New Roman" w:cs="Times New Roman"/>
          <w:sz w:val="24"/>
          <w:szCs w:val="24"/>
          <w:lang w:val="en-US"/>
        </w:rPr>
        <w:t xml:space="preserve"> </w:t>
      </w:r>
      <w:r w:rsidR="00AA61B2">
        <w:rPr>
          <w:rFonts w:ascii="Times New Roman" w:hAnsi="Times New Roman" w:cs="Times New Roman"/>
          <w:sz w:val="24"/>
          <w:szCs w:val="24"/>
          <w:lang w:val="en-US"/>
        </w:rPr>
        <w:t xml:space="preserve"> (</w:t>
      </w:r>
      <w:r w:rsidR="004B7AD4">
        <w:rPr>
          <w:rFonts w:ascii="Times New Roman" w:hAnsi="Times New Roman" w:cs="Times New Roman"/>
          <w:sz w:val="24"/>
          <w:szCs w:val="24"/>
          <w:lang w:val="en-US"/>
        </w:rPr>
        <w:t>TI-RADS 3</w:t>
      </w:r>
      <w:r w:rsidR="00AA61B2">
        <w:rPr>
          <w:rFonts w:ascii="Times New Roman" w:hAnsi="Times New Roman" w:cs="Times New Roman"/>
          <w:sz w:val="24"/>
          <w:szCs w:val="24"/>
          <w:lang w:val="en-US"/>
        </w:rPr>
        <w:t>)</w:t>
      </w:r>
    </w:p>
    <w:p w14:paraId="6313A51A" w14:textId="77777777" w:rsidR="00EC7D19" w:rsidRPr="00EC7D19" w:rsidRDefault="00EC7D19" w:rsidP="00C36C90">
      <w:pPr>
        <w:spacing w:line="276" w:lineRule="auto"/>
        <w:jc w:val="both"/>
        <w:rPr>
          <w:rFonts w:ascii="Times New Roman" w:hAnsi="Times New Roman" w:cs="Times New Roman"/>
          <w:b/>
          <w:bCs/>
          <w:sz w:val="24"/>
          <w:szCs w:val="24"/>
          <w:lang w:val="en-US"/>
        </w:rPr>
      </w:pPr>
      <w:r w:rsidRPr="00EC7D19">
        <w:rPr>
          <w:rFonts w:ascii="Times New Roman" w:hAnsi="Times New Roman" w:cs="Times New Roman"/>
          <w:b/>
          <w:bCs/>
          <w:sz w:val="24"/>
          <w:szCs w:val="24"/>
          <w:lang w:val="en-US"/>
        </w:rPr>
        <w:t>ENT OPINION:</w:t>
      </w:r>
    </w:p>
    <w:p w14:paraId="03B1AF9D" w14:textId="77777777" w:rsidR="00EC7D19" w:rsidRPr="00EC7D19" w:rsidRDefault="00EC7D19" w:rsidP="00EC7D19">
      <w:pPr>
        <w:numPr>
          <w:ilvl w:val="0"/>
          <w:numId w:val="13"/>
        </w:numPr>
        <w:spacing w:line="276" w:lineRule="auto"/>
        <w:jc w:val="both"/>
        <w:rPr>
          <w:rFonts w:ascii="Times New Roman" w:hAnsi="Times New Roman" w:cs="Times New Roman"/>
          <w:sz w:val="24"/>
          <w:szCs w:val="24"/>
        </w:rPr>
      </w:pPr>
      <w:proofErr w:type="gramStart"/>
      <w:r w:rsidRPr="00EC7D19">
        <w:rPr>
          <w:rFonts w:ascii="Times New Roman" w:hAnsi="Times New Roman" w:cs="Times New Roman"/>
          <w:sz w:val="24"/>
          <w:szCs w:val="24"/>
          <w:lang w:val="en-US"/>
        </w:rPr>
        <w:t>Throat :</w:t>
      </w:r>
      <w:proofErr w:type="gramEnd"/>
      <w:r w:rsidRPr="00EC7D19">
        <w:rPr>
          <w:rFonts w:ascii="Times New Roman" w:hAnsi="Times New Roman" w:cs="Times New Roman"/>
          <w:sz w:val="24"/>
          <w:szCs w:val="24"/>
          <w:lang w:val="en-US"/>
        </w:rPr>
        <w:t xml:space="preserve"> oral cavity : mouth opening adequate </w:t>
      </w:r>
    </w:p>
    <w:p w14:paraId="52AAD35B" w14:textId="77777777" w:rsidR="00EC7D19" w:rsidRPr="00EC7D19" w:rsidRDefault="00EC7D19" w:rsidP="00EC7D19">
      <w:pPr>
        <w:numPr>
          <w:ilvl w:val="0"/>
          <w:numId w:val="13"/>
        </w:numPr>
        <w:spacing w:line="276" w:lineRule="auto"/>
        <w:jc w:val="both"/>
        <w:rPr>
          <w:rFonts w:ascii="Times New Roman" w:hAnsi="Times New Roman" w:cs="Times New Roman"/>
          <w:sz w:val="24"/>
          <w:szCs w:val="24"/>
        </w:rPr>
      </w:pPr>
      <w:proofErr w:type="gramStart"/>
      <w:r w:rsidRPr="00EC7D19">
        <w:rPr>
          <w:rFonts w:ascii="Times New Roman" w:hAnsi="Times New Roman" w:cs="Times New Roman"/>
          <w:sz w:val="24"/>
          <w:szCs w:val="24"/>
          <w:lang w:val="en-US"/>
        </w:rPr>
        <w:t>Oropharynx :</w:t>
      </w:r>
      <w:proofErr w:type="gramEnd"/>
      <w:r w:rsidRPr="00EC7D19">
        <w:rPr>
          <w:rFonts w:ascii="Times New Roman" w:hAnsi="Times New Roman" w:cs="Times New Roman"/>
          <w:sz w:val="24"/>
          <w:szCs w:val="24"/>
          <w:lang w:val="en-US"/>
        </w:rPr>
        <w:t xml:space="preserve"> no abnormality detected</w:t>
      </w:r>
    </w:p>
    <w:p w14:paraId="7E7B222C" w14:textId="77777777" w:rsidR="00EC7D19" w:rsidRDefault="00EC7D19" w:rsidP="00EC7D19">
      <w:pPr>
        <w:numPr>
          <w:ilvl w:val="0"/>
          <w:numId w:val="13"/>
        </w:numPr>
        <w:spacing w:line="276" w:lineRule="auto"/>
        <w:jc w:val="both"/>
        <w:rPr>
          <w:rFonts w:ascii="Times New Roman" w:hAnsi="Times New Roman" w:cs="Times New Roman"/>
          <w:sz w:val="24"/>
          <w:szCs w:val="24"/>
        </w:rPr>
      </w:pPr>
      <w:proofErr w:type="gramStart"/>
      <w:r w:rsidRPr="00EC7D19">
        <w:rPr>
          <w:rFonts w:ascii="Times New Roman" w:hAnsi="Times New Roman" w:cs="Times New Roman"/>
          <w:sz w:val="24"/>
          <w:szCs w:val="24"/>
          <w:lang w:val="en-US"/>
        </w:rPr>
        <w:t>Neck :</w:t>
      </w:r>
      <w:proofErr w:type="gramEnd"/>
      <w:r w:rsidRPr="00EC7D19">
        <w:rPr>
          <w:rFonts w:ascii="Times New Roman" w:hAnsi="Times New Roman" w:cs="Times New Roman"/>
          <w:sz w:val="24"/>
          <w:szCs w:val="24"/>
          <w:lang w:val="en-US"/>
        </w:rPr>
        <w:t xml:space="preserve">  right side –normal</w:t>
      </w:r>
    </w:p>
    <w:p w14:paraId="54DAE333" w14:textId="77777777" w:rsidR="00EC7D19" w:rsidRPr="00EC7D19" w:rsidRDefault="00EC7D19" w:rsidP="00EC7D19">
      <w:pPr>
        <w:spacing w:line="276" w:lineRule="auto"/>
        <w:jc w:val="both"/>
        <w:rPr>
          <w:rFonts w:ascii="Times New Roman" w:hAnsi="Times New Roman" w:cs="Times New Roman"/>
          <w:sz w:val="24"/>
          <w:szCs w:val="24"/>
        </w:rPr>
      </w:pPr>
      <w:r w:rsidRPr="00EC7D19">
        <w:rPr>
          <w:rFonts w:ascii="Times New Roman" w:hAnsi="Times New Roman" w:cs="Times New Roman"/>
          <w:sz w:val="24"/>
          <w:szCs w:val="24"/>
          <w:lang w:val="en-US"/>
        </w:rPr>
        <w:t>left side shows solitary swelling 3 x 1.5</w:t>
      </w:r>
      <w:proofErr w:type="gramStart"/>
      <w:r w:rsidRPr="00EC7D19">
        <w:rPr>
          <w:rFonts w:ascii="Times New Roman" w:hAnsi="Times New Roman" w:cs="Times New Roman"/>
          <w:sz w:val="24"/>
          <w:szCs w:val="24"/>
          <w:lang w:val="en-US"/>
        </w:rPr>
        <w:t>cm ,</w:t>
      </w:r>
      <w:proofErr w:type="gramEnd"/>
      <w:r w:rsidRPr="00EC7D19">
        <w:rPr>
          <w:rFonts w:ascii="Times New Roman" w:hAnsi="Times New Roman" w:cs="Times New Roman"/>
          <w:sz w:val="24"/>
          <w:szCs w:val="24"/>
          <w:lang w:val="en-US"/>
        </w:rPr>
        <w:t xml:space="preserve"> firm in consistency, </w:t>
      </w:r>
      <w:proofErr w:type="spellStart"/>
      <w:r w:rsidRPr="00EC7D19">
        <w:rPr>
          <w:rFonts w:ascii="Times New Roman" w:hAnsi="Times New Roman" w:cs="Times New Roman"/>
          <w:sz w:val="24"/>
          <w:szCs w:val="24"/>
          <w:lang w:val="en-US"/>
        </w:rPr>
        <w:t>non tender</w:t>
      </w:r>
      <w:proofErr w:type="spellEnd"/>
      <w:r w:rsidRPr="00EC7D19">
        <w:rPr>
          <w:rFonts w:ascii="Times New Roman" w:hAnsi="Times New Roman" w:cs="Times New Roman"/>
          <w:sz w:val="24"/>
          <w:szCs w:val="24"/>
          <w:lang w:val="en-US"/>
        </w:rPr>
        <w:t xml:space="preserve">, mobile , move with deglutition , skin over the swelling normal </w:t>
      </w:r>
    </w:p>
    <w:p w14:paraId="6C4B070C" w14:textId="77777777" w:rsidR="00EC7D19" w:rsidRPr="00C36C90" w:rsidRDefault="00EC7D19" w:rsidP="00C36C90">
      <w:pPr>
        <w:spacing w:line="276" w:lineRule="auto"/>
        <w:jc w:val="both"/>
        <w:rPr>
          <w:rFonts w:ascii="Times New Roman" w:hAnsi="Times New Roman" w:cs="Times New Roman"/>
          <w:sz w:val="24"/>
          <w:szCs w:val="24"/>
          <w:lang w:val="en-US"/>
        </w:rPr>
      </w:pPr>
    </w:p>
    <w:p w14:paraId="155A4A4D" w14:textId="77777777" w:rsidR="00C36C90" w:rsidRPr="00C36C90" w:rsidRDefault="00C36C90" w:rsidP="00C36C90">
      <w:pPr>
        <w:spacing w:line="276" w:lineRule="auto"/>
        <w:jc w:val="both"/>
        <w:rPr>
          <w:rFonts w:ascii="Times New Roman" w:hAnsi="Times New Roman" w:cs="Times New Roman"/>
          <w:b/>
          <w:bCs/>
          <w:sz w:val="24"/>
          <w:szCs w:val="24"/>
        </w:rPr>
      </w:pPr>
      <w:proofErr w:type="gramStart"/>
      <w:r w:rsidRPr="00C36C90">
        <w:rPr>
          <w:rFonts w:ascii="Times New Roman" w:hAnsi="Times New Roman" w:cs="Times New Roman"/>
          <w:b/>
          <w:bCs/>
          <w:sz w:val="24"/>
          <w:szCs w:val="24"/>
          <w:lang w:val="en-US"/>
        </w:rPr>
        <w:lastRenderedPageBreak/>
        <w:t>IMPRESSION :</w:t>
      </w:r>
      <w:proofErr w:type="gramEnd"/>
      <w:r w:rsidRPr="00C36C90">
        <w:rPr>
          <w:rFonts w:ascii="Times New Roman" w:hAnsi="Times New Roman" w:cs="Times New Roman"/>
          <w:b/>
          <w:bCs/>
          <w:sz w:val="24"/>
          <w:szCs w:val="24"/>
          <w:lang w:val="en-US"/>
        </w:rPr>
        <w:t xml:space="preserve"> BENIGN THYROID NODULE IN THE LEFT LOBE</w:t>
      </w:r>
    </w:p>
    <w:p w14:paraId="30DE6188" w14:textId="77777777" w:rsidR="000D4A23" w:rsidRDefault="000D4A23" w:rsidP="00C36C90">
      <w:pPr>
        <w:spacing w:line="276" w:lineRule="auto"/>
        <w:jc w:val="both"/>
        <w:rPr>
          <w:rFonts w:ascii="Times New Roman" w:hAnsi="Times New Roman" w:cs="Times New Roman"/>
          <w:b/>
          <w:bCs/>
          <w:sz w:val="24"/>
          <w:szCs w:val="24"/>
          <w:lang w:val="en-US"/>
        </w:rPr>
      </w:pPr>
    </w:p>
    <w:p w14:paraId="4F30656C" w14:textId="77777777" w:rsidR="000D4A23" w:rsidRDefault="000D4A23" w:rsidP="00C36C90">
      <w:pPr>
        <w:spacing w:line="276" w:lineRule="auto"/>
        <w:jc w:val="both"/>
        <w:rPr>
          <w:rFonts w:ascii="Times New Roman" w:hAnsi="Times New Roman" w:cs="Times New Roman"/>
          <w:b/>
          <w:bCs/>
          <w:sz w:val="24"/>
          <w:szCs w:val="24"/>
          <w:lang w:val="en-US"/>
        </w:rPr>
      </w:pPr>
    </w:p>
    <w:p w14:paraId="43E13806" w14:textId="5E5071F3" w:rsidR="00C36C90" w:rsidRPr="00C36C90" w:rsidRDefault="00C36C90" w:rsidP="00C36C90">
      <w:pPr>
        <w:spacing w:line="276" w:lineRule="auto"/>
        <w:jc w:val="both"/>
        <w:rPr>
          <w:rFonts w:ascii="Times New Roman" w:hAnsi="Times New Roman" w:cs="Times New Roman"/>
          <w:b/>
          <w:bCs/>
          <w:sz w:val="24"/>
          <w:szCs w:val="24"/>
        </w:rPr>
      </w:pPr>
      <w:r w:rsidRPr="00C36C90">
        <w:rPr>
          <w:rFonts w:ascii="Times New Roman" w:hAnsi="Times New Roman" w:cs="Times New Roman"/>
          <w:b/>
          <w:bCs/>
          <w:sz w:val="24"/>
          <w:szCs w:val="24"/>
          <w:lang w:val="en-US"/>
        </w:rPr>
        <w:t xml:space="preserve">FNAC </w:t>
      </w:r>
      <w:proofErr w:type="gramStart"/>
      <w:r w:rsidRPr="00C36C90">
        <w:rPr>
          <w:rFonts w:ascii="Times New Roman" w:hAnsi="Times New Roman" w:cs="Times New Roman"/>
          <w:b/>
          <w:bCs/>
          <w:sz w:val="24"/>
          <w:szCs w:val="24"/>
          <w:lang w:val="en-US"/>
        </w:rPr>
        <w:t>REPORT :</w:t>
      </w:r>
      <w:proofErr w:type="gramEnd"/>
      <w:r w:rsidRPr="00C36C90">
        <w:rPr>
          <w:rFonts w:ascii="Times New Roman" w:hAnsi="Times New Roman" w:cs="Times New Roman"/>
          <w:b/>
          <w:bCs/>
          <w:sz w:val="24"/>
          <w:szCs w:val="24"/>
          <w:lang w:val="en-US"/>
        </w:rPr>
        <w:t xml:space="preserve"> </w:t>
      </w:r>
    </w:p>
    <w:p w14:paraId="1F43E9B8" w14:textId="77777777" w:rsidR="00A838A9" w:rsidRDefault="00A838A9" w:rsidP="00C36C90">
      <w:pPr>
        <w:spacing w:line="276" w:lineRule="auto"/>
        <w:jc w:val="both"/>
        <w:rPr>
          <w:rFonts w:ascii="Times New Roman" w:hAnsi="Times New Roman" w:cs="Times New Roman"/>
          <w:sz w:val="24"/>
          <w:szCs w:val="24"/>
          <w:lang w:val="en-US"/>
        </w:rPr>
      </w:pPr>
    </w:p>
    <w:p w14:paraId="322F2608" w14:textId="0B8242A8" w:rsidR="00C36C90" w:rsidRPr="00C36C90" w:rsidRDefault="00C36C90" w:rsidP="00C36C90">
      <w:pPr>
        <w:spacing w:line="276" w:lineRule="auto"/>
        <w:jc w:val="both"/>
        <w:rPr>
          <w:rFonts w:ascii="Times New Roman" w:hAnsi="Times New Roman" w:cs="Times New Roman"/>
          <w:sz w:val="24"/>
          <w:szCs w:val="24"/>
        </w:rPr>
      </w:pPr>
      <w:r w:rsidRPr="00C36C90">
        <w:rPr>
          <w:rFonts w:ascii="Times New Roman" w:hAnsi="Times New Roman" w:cs="Times New Roman"/>
          <w:sz w:val="24"/>
          <w:szCs w:val="24"/>
          <w:lang w:val="en-US"/>
        </w:rPr>
        <w:t>Microscopy Findings:</w:t>
      </w:r>
    </w:p>
    <w:p w14:paraId="55D2D14E" w14:textId="77777777" w:rsidR="00C36C90" w:rsidRPr="00C36C90" w:rsidRDefault="00C36C90" w:rsidP="00C36C90">
      <w:pPr>
        <w:spacing w:line="276" w:lineRule="auto"/>
        <w:jc w:val="both"/>
        <w:rPr>
          <w:rFonts w:ascii="Times New Roman" w:hAnsi="Times New Roman" w:cs="Times New Roman"/>
          <w:sz w:val="24"/>
          <w:szCs w:val="24"/>
        </w:rPr>
      </w:pPr>
      <w:r w:rsidRPr="00C36C90">
        <w:rPr>
          <w:rFonts w:ascii="Times New Roman" w:hAnsi="Times New Roman" w:cs="Times New Roman"/>
          <w:sz w:val="24"/>
          <w:szCs w:val="24"/>
          <w:lang w:val="en-US"/>
        </w:rPr>
        <w:t xml:space="preserve">On aspiration, a blood-mixed aspirate was </w:t>
      </w:r>
      <w:proofErr w:type="gramStart"/>
      <w:r w:rsidRPr="00C36C90">
        <w:rPr>
          <w:rFonts w:ascii="Times New Roman" w:hAnsi="Times New Roman" w:cs="Times New Roman"/>
          <w:sz w:val="24"/>
          <w:szCs w:val="24"/>
          <w:lang w:val="en-US"/>
        </w:rPr>
        <w:t>obtained .</w:t>
      </w:r>
      <w:proofErr w:type="gramEnd"/>
      <w:r w:rsidRPr="00C36C90">
        <w:rPr>
          <w:rFonts w:ascii="Times New Roman" w:hAnsi="Times New Roman" w:cs="Times New Roman"/>
          <w:sz w:val="24"/>
          <w:szCs w:val="24"/>
          <w:lang w:val="en-US"/>
        </w:rPr>
        <w:t xml:space="preserve"> Cellular features </w:t>
      </w:r>
      <w:proofErr w:type="gramStart"/>
      <w:r w:rsidRPr="00C36C90">
        <w:rPr>
          <w:rFonts w:ascii="Times New Roman" w:hAnsi="Times New Roman" w:cs="Times New Roman"/>
          <w:sz w:val="24"/>
          <w:szCs w:val="24"/>
          <w:lang w:val="en-US"/>
        </w:rPr>
        <w:t>observed :</w:t>
      </w:r>
      <w:proofErr w:type="gramEnd"/>
      <w:r w:rsidRPr="00C36C90">
        <w:rPr>
          <w:rFonts w:ascii="Times New Roman" w:hAnsi="Times New Roman" w:cs="Times New Roman"/>
          <w:sz w:val="24"/>
          <w:szCs w:val="24"/>
          <w:lang w:val="en-US"/>
        </w:rPr>
        <w:t xml:space="preserve"> Follicular epithelial cells seen as repetitive follicles . Loose groups, </w:t>
      </w:r>
      <w:proofErr w:type="spellStart"/>
      <w:r w:rsidRPr="00C36C90">
        <w:rPr>
          <w:rFonts w:ascii="Times New Roman" w:hAnsi="Times New Roman" w:cs="Times New Roman"/>
          <w:sz w:val="24"/>
          <w:szCs w:val="24"/>
          <w:lang w:val="en-US"/>
        </w:rPr>
        <w:t>disorganised</w:t>
      </w:r>
      <w:proofErr w:type="spellEnd"/>
      <w:r w:rsidRPr="00C36C90">
        <w:rPr>
          <w:rFonts w:ascii="Times New Roman" w:hAnsi="Times New Roman" w:cs="Times New Roman"/>
          <w:sz w:val="24"/>
          <w:szCs w:val="24"/>
          <w:lang w:val="en-US"/>
        </w:rPr>
        <w:t xml:space="preserve"> clusters, cyst macrophages, and hemosiderin-laden macrophages in colloid background.</w:t>
      </w:r>
    </w:p>
    <w:p w14:paraId="0AF91D2A" w14:textId="6078A0A4" w:rsidR="008A2FC8" w:rsidRDefault="00C36C90" w:rsidP="008A2FC8">
      <w:pPr>
        <w:spacing w:line="276" w:lineRule="auto"/>
        <w:rPr>
          <w:rFonts w:ascii="Times New Roman" w:hAnsi="Times New Roman" w:cs="Times New Roman"/>
          <w:sz w:val="24"/>
          <w:szCs w:val="24"/>
        </w:rPr>
      </w:pPr>
      <w:r w:rsidRPr="00C36C90">
        <w:rPr>
          <w:rFonts w:ascii="Segoe UI Emoji" w:hAnsi="Segoe UI Emoji" w:cs="Segoe UI Emoji"/>
          <w:b/>
          <w:bCs/>
          <w:sz w:val="24"/>
          <w:szCs w:val="24"/>
          <w:lang w:val="en-US"/>
        </w:rPr>
        <w:t>🧾</w:t>
      </w:r>
      <w:r w:rsidRPr="00C36C90">
        <w:rPr>
          <w:rFonts w:ascii="Times New Roman" w:hAnsi="Times New Roman" w:cs="Times New Roman"/>
          <w:b/>
          <w:bCs/>
          <w:sz w:val="24"/>
          <w:szCs w:val="24"/>
          <w:lang w:val="en-US"/>
        </w:rPr>
        <w:t xml:space="preserve"> Impression (Diagnosis</w:t>
      </w:r>
      <w:proofErr w:type="gramStart"/>
      <w:r w:rsidRPr="00C36C90">
        <w:rPr>
          <w:rFonts w:ascii="Times New Roman" w:hAnsi="Times New Roman" w:cs="Times New Roman"/>
          <w:b/>
          <w:bCs/>
          <w:sz w:val="24"/>
          <w:szCs w:val="24"/>
          <w:lang w:val="en-US"/>
        </w:rPr>
        <w:t>):Features</w:t>
      </w:r>
      <w:proofErr w:type="gramEnd"/>
      <w:r w:rsidRPr="00C36C90">
        <w:rPr>
          <w:rFonts w:ascii="Times New Roman" w:hAnsi="Times New Roman" w:cs="Times New Roman"/>
          <w:b/>
          <w:bCs/>
          <w:sz w:val="24"/>
          <w:szCs w:val="24"/>
          <w:lang w:val="en-US"/>
        </w:rPr>
        <w:t xml:space="preserve"> are suggestive of a cystic lesion of the thyroid . A cystic lesion implies that the swelling is at least partly fluid-filled, and in this context, is likely benign.</w:t>
      </w:r>
      <w:r w:rsidR="008A2FC8">
        <w:rPr>
          <w:rFonts w:ascii="Times New Roman" w:hAnsi="Times New Roman" w:cs="Times New Roman"/>
          <w:b/>
          <w:bCs/>
          <w:sz w:val="24"/>
          <w:szCs w:val="24"/>
          <w:lang w:val="en-US"/>
        </w:rPr>
        <w:t xml:space="preserve">  </w:t>
      </w:r>
      <w:proofErr w:type="gramStart"/>
      <w:r w:rsidR="008A2FC8">
        <w:rPr>
          <w:rFonts w:ascii="Times New Roman" w:hAnsi="Times New Roman" w:cs="Times New Roman"/>
          <w:b/>
          <w:bCs/>
          <w:sz w:val="24"/>
          <w:szCs w:val="24"/>
          <w:lang w:val="en-US"/>
        </w:rPr>
        <w:t xml:space="preserve">( </w:t>
      </w:r>
      <w:r w:rsidR="008A2FC8" w:rsidRPr="008A2FC8">
        <w:rPr>
          <w:rFonts w:ascii="Times New Roman" w:hAnsi="Times New Roman" w:cs="Times New Roman"/>
          <w:sz w:val="24"/>
          <w:szCs w:val="24"/>
          <w:lang w:val="en-US"/>
        </w:rPr>
        <w:t>Bethesda</w:t>
      </w:r>
      <w:proofErr w:type="gramEnd"/>
      <w:r w:rsidR="008A2FC8" w:rsidRPr="008A2FC8">
        <w:rPr>
          <w:rFonts w:ascii="Times New Roman" w:hAnsi="Times New Roman" w:cs="Times New Roman"/>
          <w:sz w:val="24"/>
          <w:szCs w:val="24"/>
          <w:lang w:val="en-US"/>
        </w:rPr>
        <w:t xml:space="preserve"> </w:t>
      </w:r>
      <w:r w:rsidR="008A2FC8" w:rsidRPr="008A2FC8">
        <w:rPr>
          <w:rFonts w:ascii="Times New Roman" w:hAnsi="Times New Roman" w:cs="Times New Roman"/>
          <w:sz w:val="24"/>
          <w:szCs w:val="24"/>
        </w:rPr>
        <w:t>Category 3</w:t>
      </w:r>
      <w:r w:rsidR="008A2FC8" w:rsidRPr="00FD103A">
        <w:rPr>
          <w:rFonts w:ascii="Times New Roman" w:hAnsi="Times New Roman" w:cs="Times New Roman"/>
          <w:sz w:val="24"/>
          <w:szCs w:val="24"/>
        </w:rPr>
        <w:t xml:space="preserve">: Atypia of undetermined significance or follicular lesion of undetermined significance </w:t>
      </w:r>
      <w:r w:rsidR="008A2FC8">
        <w:rPr>
          <w:rFonts w:ascii="Times New Roman" w:hAnsi="Times New Roman" w:cs="Times New Roman"/>
          <w:sz w:val="24"/>
          <w:szCs w:val="24"/>
        </w:rPr>
        <w:t>) so the surgeon was planned for the total thyroidectomy</w:t>
      </w:r>
    </w:p>
    <w:p w14:paraId="13B4735B" w14:textId="11E0789A" w:rsidR="00C36C90" w:rsidRPr="00C36C90" w:rsidRDefault="00C36C90" w:rsidP="00C36C90">
      <w:pPr>
        <w:spacing w:line="276" w:lineRule="auto"/>
        <w:jc w:val="both"/>
        <w:rPr>
          <w:rFonts w:ascii="Times New Roman" w:hAnsi="Times New Roman" w:cs="Times New Roman"/>
          <w:b/>
          <w:bCs/>
          <w:sz w:val="24"/>
          <w:szCs w:val="24"/>
        </w:rPr>
      </w:pPr>
    </w:p>
    <w:p w14:paraId="0CBA319E" w14:textId="77777777" w:rsidR="00C36C90" w:rsidRDefault="00EC7D19" w:rsidP="004E0757">
      <w:pPr>
        <w:spacing w:line="276" w:lineRule="auto"/>
        <w:jc w:val="both"/>
        <w:rPr>
          <w:rFonts w:ascii="Times New Roman" w:hAnsi="Times New Roman" w:cs="Times New Roman"/>
          <w:sz w:val="24"/>
          <w:szCs w:val="24"/>
        </w:rPr>
      </w:pPr>
      <w:r w:rsidRPr="00EC7D19">
        <w:rPr>
          <w:rFonts w:ascii="Times New Roman" w:hAnsi="Times New Roman" w:cs="Times New Roman"/>
          <w:sz w:val="24"/>
          <w:szCs w:val="24"/>
        </w:rPr>
        <w:t xml:space="preserve">A 27-year-old female presented with a gradually progressive, painless swelling over the left side of the neck for 2 months, without associated symptoms like difficulty in swallowing, breathing, weight change, or pain. On examination, the swelling was firm, smooth, mobile, and moved with deglutition—suggestive of thyroid origin. Vitals and systemic examination were within normal limits. Lab investigations revealed mild </w:t>
      </w:r>
      <w:proofErr w:type="spellStart"/>
      <w:r w:rsidRPr="00EC7D19">
        <w:rPr>
          <w:rFonts w:ascii="Times New Roman" w:hAnsi="Times New Roman" w:cs="Times New Roman"/>
          <w:sz w:val="24"/>
          <w:szCs w:val="24"/>
        </w:rPr>
        <w:t>anemia</w:t>
      </w:r>
      <w:proofErr w:type="spellEnd"/>
      <w:r w:rsidRPr="00EC7D19">
        <w:rPr>
          <w:rFonts w:ascii="Times New Roman" w:hAnsi="Times New Roman" w:cs="Times New Roman"/>
          <w:sz w:val="24"/>
          <w:szCs w:val="24"/>
        </w:rPr>
        <w:t xml:space="preserve"> (Hb 11 g/dL), </w:t>
      </w:r>
      <w:proofErr w:type="spellStart"/>
      <w:r w:rsidRPr="00EC7D19">
        <w:rPr>
          <w:rFonts w:ascii="Times New Roman" w:hAnsi="Times New Roman" w:cs="Times New Roman"/>
          <w:sz w:val="24"/>
          <w:szCs w:val="24"/>
        </w:rPr>
        <w:t>leukocytosis</w:t>
      </w:r>
      <w:proofErr w:type="spellEnd"/>
      <w:r w:rsidRPr="00EC7D19">
        <w:rPr>
          <w:rFonts w:ascii="Times New Roman" w:hAnsi="Times New Roman" w:cs="Times New Roman"/>
          <w:sz w:val="24"/>
          <w:szCs w:val="24"/>
        </w:rPr>
        <w:t xml:space="preserve"> (WBC 13,920 cells/</w:t>
      </w:r>
      <w:proofErr w:type="spellStart"/>
      <w:r w:rsidRPr="00EC7D19">
        <w:rPr>
          <w:rFonts w:ascii="Times New Roman" w:hAnsi="Times New Roman" w:cs="Times New Roman"/>
          <w:sz w:val="24"/>
          <w:szCs w:val="24"/>
        </w:rPr>
        <w:t>cumm</w:t>
      </w:r>
      <w:proofErr w:type="spellEnd"/>
      <w:r w:rsidRPr="00EC7D19">
        <w:rPr>
          <w:rFonts w:ascii="Times New Roman" w:hAnsi="Times New Roman" w:cs="Times New Roman"/>
          <w:sz w:val="24"/>
          <w:szCs w:val="24"/>
        </w:rPr>
        <w:t xml:space="preserve">), and microcytosis (MCV 75.7 </w:t>
      </w:r>
      <w:proofErr w:type="spellStart"/>
      <w:r w:rsidRPr="00EC7D19">
        <w:rPr>
          <w:rFonts w:ascii="Times New Roman" w:hAnsi="Times New Roman" w:cs="Times New Roman"/>
          <w:sz w:val="24"/>
          <w:szCs w:val="24"/>
        </w:rPr>
        <w:t>fL</w:t>
      </w:r>
      <w:proofErr w:type="spellEnd"/>
      <w:r w:rsidRPr="00EC7D19">
        <w:rPr>
          <w:rFonts w:ascii="Times New Roman" w:hAnsi="Times New Roman" w:cs="Times New Roman"/>
          <w:sz w:val="24"/>
          <w:szCs w:val="24"/>
        </w:rPr>
        <w:t>). Thyroid function tests were within normal limits. Ultrasound showed a heterogeneous lesion (3.5 × 1.5 cm) in the left thyroid lobe. FNAC revealed follicular epithelial cells and hemosiderin-laden macrophages in a colloid background, consistent with a benign cystic thyroid lesion. Overall, the findings are suggestive of a benign cystic thyroid nodule,</w:t>
      </w:r>
      <w:r>
        <w:rPr>
          <w:rFonts w:ascii="Times New Roman" w:hAnsi="Times New Roman" w:cs="Times New Roman"/>
          <w:sz w:val="24"/>
          <w:szCs w:val="24"/>
        </w:rPr>
        <w:t xml:space="preserve"> so the surgeons were decided for the total thyroidectomy.</w:t>
      </w:r>
    </w:p>
    <w:p w14:paraId="48E9204C" w14:textId="77777777" w:rsidR="00D335BF" w:rsidRDefault="00D335BF" w:rsidP="004E0757">
      <w:pPr>
        <w:spacing w:line="276" w:lineRule="auto"/>
        <w:jc w:val="both"/>
        <w:rPr>
          <w:rFonts w:ascii="Times New Roman" w:hAnsi="Times New Roman" w:cs="Times New Roman"/>
          <w:sz w:val="24"/>
          <w:szCs w:val="24"/>
        </w:rPr>
      </w:pPr>
    </w:p>
    <w:p w14:paraId="46D55FC3" w14:textId="77777777" w:rsidR="00D335BF" w:rsidRDefault="00D335BF" w:rsidP="004E0757">
      <w:pPr>
        <w:spacing w:line="276" w:lineRule="auto"/>
        <w:jc w:val="both"/>
        <w:rPr>
          <w:rFonts w:ascii="Times New Roman" w:hAnsi="Times New Roman" w:cs="Times New Roman"/>
          <w:sz w:val="24"/>
          <w:szCs w:val="24"/>
        </w:rPr>
      </w:pPr>
    </w:p>
    <w:p w14:paraId="5E0E3FC8" w14:textId="0816DE52" w:rsidR="000F740F" w:rsidRDefault="00E81BF1" w:rsidP="004E0757">
      <w:pPr>
        <w:spacing w:line="276" w:lineRule="auto"/>
        <w:jc w:val="both"/>
        <w:rPr>
          <w:rFonts w:ascii="Times New Roman" w:hAnsi="Times New Roman" w:cs="Times New Roman"/>
          <w:sz w:val="24"/>
          <w:szCs w:val="24"/>
        </w:rPr>
      </w:pPr>
      <w:r w:rsidRPr="00E81BF1">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0121ADFF" wp14:editId="0426F0BE">
            <wp:simplePos x="0" y="0"/>
            <wp:positionH relativeFrom="margin">
              <wp:posOffset>2997835</wp:posOffset>
            </wp:positionH>
            <wp:positionV relativeFrom="margin">
              <wp:posOffset>3355975</wp:posOffset>
            </wp:positionV>
            <wp:extent cx="3037205" cy="5187950"/>
            <wp:effectExtent l="76200" t="76200" r="125095" b="127000"/>
            <wp:wrapSquare wrapText="bothSides"/>
            <wp:docPr id="3" name="Picture 2">
              <a:extLst xmlns:a="http://schemas.openxmlformats.org/drawingml/2006/main">
                <a:ext uri="{FF2B5EF4-FFF2-40B4-BE49-F238E27FC236}">
                  <a16:creationId xmlns:a16="http://schemas.microsoft.com/office/drawing/2014/main" id="{0F921F78-F129-5406-7AF3-A32A881385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F921F78-F129-5406-7AF3-A32A881385E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7205" cy="5187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0F740F">
        <w:rPr>
          <w:rFonts w:ascii="Times New Roman" w:hAnsi="Times New Roman" w:cs="Times New Roman"/>
          <w:noProof/>
          <w:sz w:val="24"/>
          <w:szCs w:val="24"/>
        </w:rPr>
        <w:drawing>
          <wp:anchor distT="0" distB="0" distL="114300" distR="114300" simplePos="0" relativeHeight="251658240" behindDoc="1" locked="0" layoutInCell="1" allowOverlap="1" wp14:anchorId="5C95F6CE" wp14:editId="002A1F67">
            <wp:simplePos x="0" y="0"/>
            <wp:positionH relativeFrom="margin">
              <wp:posOffset>-140970</wp:posOffset>
            </wp:positionH>
            <wp:positionV relativeFrom="page">
              <wp:posOffset>4271010</wp:posOffset>
            </wp:positionV>
            <wp:extent cx="3216275" cy="5187950"/>
            <wp:effectExtent l="76200" t="76200" r="136525" b="127000"/>
            <wp:wrapTopAndBottom/>
            <wp:docPr id="5" name="Picture 4">
              <a:extLst xmlns:a="http://schemas.openxmlformats.org/drawingml/2006/main">
                <a:ext uri="{FF2B5EF4-FFF2-40B4-BE49-F238E27FC236}">
                  <a16:creationId xmlns:a16="http://schemas.microsoft.com/office/drawing/2014/main" id="{4D001280-2A25-DF6C-7DFF-0525E1927E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D001280-2A25-DF6C-7DFF-0525E1927EF2}"/>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16275" cy="5187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0F740F">
        <w:rPr>
          <w:rFonts w:ascii="Times New Roman" w:hAnsi="Times New Roman" w:cs="Times New Roman"/>
          <w:sz w:val="24"/>
          <w:szCs w:val="24"/>
        </w:rPr>
        <w:t xml:space="preserve"> </w:t>
      </w:r>
    </w:p>
    <w:p w14:paraId="63B1BD23" w14:textId="7428D198" w:rsidR="00E81BF1" w:rsidRPr="009430B1" w:rsidRDefault="00E81BF1" w:rsidP="004E0757">
      <w:pPr>
        <w:spacing w:line="276" w:lineRule="auto"/>
        <w:jc w:val="both"/>
        <w:rPr>
          <w:rFonts w:ascii="Times New Roman" w:hAnsi="Times New Roman" w:cs="Times New Roman"/>
          <w:sz w:val="24"/>
          <w:szCs w:val="24"/>
          <w:vertAlign w:val="superscript"/>
        </w:rPr>
      </w:pPr>
      <w:proofErr w:type="gramStart"/>
      <w:r>
        <w:rPr>
          <w:rFonts w:ascii="Times New Roman" w:hAnsi="Times New Roman" w:cs="Times New Roman"/>
          <w:sz w:val="24"/>
          <w:szCs w:val="24"/>
        </w:rPr>
        <w:t xml:space="preserve">IMAGE </w:t>
      </w:r>
      <w:r w:rsidR="000D4A23">
        <w:rPr>
          <w:rFonts w:ascii="Times New Roman" w:hAnsi="Times New Roman" w:cs="Times New Roman"/>
          <w:sz w:val="24"/>
          <w:szCs w:val="24"/>
        </w:rPr>
        <w:t xml:space="preserve"> :</w:t>
      </w:r>
      <w:proofErr w:type="gramEnd"/>
      <w:r w:rsidR="000D4A23">
        <w:rPr>
          <w:rFonts w:ascii="Times New Roman" w:hAnsi="Times New Roman" w:cs="Times New Roman"/>
          <w:sz w:val="24"/>
          <w:szCs w:val="24"/>
        </w:rPr>
        <w:t xml:space="preserve"> 03 </w:t>
      </w:r>
      <w:r>
        <w:rPr>
          <w:rFonts w:ascii="Times New Roman" w:hAnsi="Times New Roman" w:cs="Times New Roman"/>
          <w:sz w:val="24"/>
          <w:szCs w:val="24"/>
        </w:rPr>
        <w:t xml:space="preserve"> THYROIDECTOMY PROCEDURE</w:t>
      </w:r>
      <w:r w:rsidR="009430B1">
        <w:rPr>
          <w:rFonts w:ascii="Times New Roman" w:hAnsi="Times New Roman" w:cs="Times New Roman"/>
          <w:sz w:val="24"/>
          <w:szCs w:val="24"/>
        </w:rPr>
        <w:t xml:space="preserve"> </w:t>
      </w:r>
      <w:r w:rsidR="009430B1">
        <w:rPr>
          <w:rFonts w:ascii="Times New Roman" w:hAnsi="Times New Roman" w:cs="Times New Roman"/>
          <w:sz w:val="24"/>
          <w:szCs w:val="24"/>
          <w:vertAlign w:val="superscript"/>
        </w:rPr>
        <w:t>11</w:t>
      </w:r>
    </w:p>
    <w:p w14:paraId="34B1CD9E" w14:textId="77777777" w:rsidR="00E81BF1" w:rsidRPr="00E81BF1" w:rsidRDefault="00E81BF1" w:rsidP="00E81BF1">
      <w:pPr>
        <w:spacing w:line="276" w:lineRule="auto"/>
        <w:jc w:val="both"/>
        <w:rPr>
          <w:rFonts w:ascii="Times New Roman" w:hAnsi="Times New Roman" w:cs="Times New Roman"/>
          <w:b/>
          <w:bCs/>
          <w:sz w:val="24"/>
          <w:szCs w:val="24"/>
        </w:rPr>
      </w:pPr>
      <w:r w:rsidRPr="00E81BF1">
        <w:rPr>
          <w:rFonts w:ascii="Times New Roman" w:hAnsi="Times New Roman" w:cs="Times New Roman"/>
          <w:b/>
          <w:bCs/>
          <w:sz w:val="24"/>
          <w:szCs w:val="24"/>
        </w:rPr>
        <w:t>SURGICAL STEPS</w:t>
      </w:r>
    </w:p>
    <w:p w14:paraId="242A0170" w14:textId="77777777" w:rsidR="00E81BF1" w:rsidRPr="00E81BF1" w:rsidRDefault="00E81BF1" w:rsidP="00E81BF1">
      <w:pPr>
        <w:spacing w:line="276" w:lineRule="auto"/>
        <w:jc w:val="both"/>
        <w:rPr>
          <w:rFonts w:ascii="Times New Roman" w:hAnsi="Times New Roman" w:cs="Times New Roman"/>
          <w:b/>
          <w:bCs/>
          <w:sz w:val="24"/>
          <w:szCs w:val="24"/>
        </w:rPr>
      </w:pPr>
      <w:r w:rsidRPr="00E81BF1">
        <w:rPr>
          <w:rFonts w:ascii="Times New Roman" w:hAnsi="Times New Roman" w:cs="Times New Roman"/>
          <w:b/>
          <w:bCs/>
          <w:sz w:val="24"/>
          <w:szCs w:val="24"/>
        </w:rPr>
        <w:t>A. Initial Incision and Exposure</w:t>
      </w:r>
    </w:p>
    <w:p w14:paraId="7A85F3C2" w14:textId="77777777" w:rsidR="00E81BF1" w:rsidRPr="00E81BF1" w:rsidRDefault="00E81BF1" w:rsidP="00E81BF1">
      <w:pPr>
        <w:numPr>
          <w:ilvl w:val="0"/>
          <w:numId w:val="14"/>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 xml:space="preserve">A </w:t>
      </w:r>
      <w:r w:rsidRPr="00E81BF1">
        <w:rPr>
          <w:rFonts w:ascii="Times New Roman" w:hAnsi="Times New Roman" w:cs="Times New Roman"/>
          <w:b/>
          <w:bCs/>
          <w:sz w:val="24"/>
          <w:szCs w:val="24"/>
        </w:rPr>
        <w:t>collar incision</w:t>
      </w:r>
      <w:r w:rsidRPr="00E81BF1">
        <w:rPr>
          <w:rFonts w:ascii="Times New Roman" w:hAnsi="Times New Roman" w:cs="Times New Roman"/>
          <w:sz w:val="24"/>
          <w:szCs w:val="24"/>
        </w:rPr>
        <w:t xml:space="preserve"> is made ~2 cm above the sternal notch.</w:t>
      </w:r>
    </w:p>
    <w:p w14:paraId="7FE56404" w14:textId="77777777" w:rsidR="00E81BF1" w:rsidRPr="00E81BF1" w:rsidRDefault="00E81BF1" w:rsidP="00E81BF1">
      <w:pPr>
        <w:numPr>
          <w:ilvl w:val="0"/>
          <w:numId w:val="14"/>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 xml:space="preserve">Skin, subcutaneous tissue, and </w:t>
      </w:r>
      <w:r w:rsidRPr="00E81BF1">
        <w:rPr>
          <w:rFonts w:ascii="Times New Roman" w:hAnsi="Times New Roman" w:cs="Times New Roman"/>
          <w:b/>
          <w:bCs/>
          <w:sz w:val="24"/>
          <w:szCs w:val="24"/>
        </w:rPr>
        <w:t>strap muscles</w:t>
      </w:r>
      <w:r w:rsidRPr="00E81BF1">
        <w:rPr>
          <w:rFonts w:ascii="Times New Roman" w:hAnsi="Times New Roman" w:cs="Times New Roman"/>
          <w:sz w:val="24"/>
          <w:szCs w:val="24"/>
        </w:rPr>
        <w:t xml:space="preserve"> (sternohyoid and sternothyroid) are dissected to expose the thyroid.</w:t>
      </w:r>
    </w:p>
    <w:p w14:paraId="1E3AE81D" w14:textId="77777777" w:rsidR="00E81BF1" w:rsidRPr="00E81BF1" w:rsidRDefault="00E81BF1" w:rsidP="00E81BF1">
      <w:pPr>
        <w:numPr>
          <w:ilvl w:val="0"/>
          <w:numId w:val="14"/>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Retractors are placed to maintain exposure.</w:t>
      </w:r>
    </w:p>
    <w:p w14:paraId="54E76159" w14:textId="77777777" w:rsidR="00E81BF1" w:rsidRPr="00E81BF1" w:rsidRDefault="00E81BF1" w:rsidP="00E81BF1">
      <w:pPr>
        <w:spacing w:line="276" w:lineRule="auto"/>
        <w:jc w:val="both"/>
        <w:rPr>
          <w:rFonts w:ascii="Times New Roman" w:hAnsi="Times New Roman" w:cs="Times New Roman"/>
          <w:b/>
          <w:bCs/>
          <w:sz w:val="24"/>
          <w:szCs w:val="24"/>
        </w:rPr>
      </w:pPr>
      <w:r w:rsidRPr="00E81BF1">
        <w:rPr>
          <w:rFonts w:ascii="Times New Roman" w:hAnsi="Times New Roman" w:cs="Times New Roman"/>
          <w:b/>
          <w:bCs/>
          <w:sz w:val="24"/>
          <w:szCs w:val="24"/>
        </w:rPr>
        <w:t>B. Midline Separation and Isthmus Division</w:t>
      </w:r>
    </w:p>
    <w:p w14:paraId="4B8E71BE" w14:textId="77777777" w:rsidR="00E81BF1" w:rsidRPr="00E81BF1" w:rsidRDefault="00E81BF1" w:rsidP="00E81BF1">
      <w:pPr>
        <w:numPr>
          <w:ilvl w:val="0"/>
          <w:numId w:val="15"/>
        </w:numPr>
        <w:spacing w:line="276" w:lineRule="auto"/>
        <w:jc w:val="both"/>
        <w:rPr>
          <w:rFonts w:ascii="Times New Roman" w:hAnsi="Times New Roman" w:cs="Times New Roman"/>
          <w:sz w:val="24"/>
          <w:szCs w:val="24"/>
        </w:rPr>
      </w:pPr>
      <w:r w:rsidRPr="00E81BF1">
        <w:rPr>
          <w:rFonts w:ascii="Times New Roman" w:hAnsi="Times New Roman" w:cs="Times New Roman"/>
          <w:b/>
          <w:bCs/>
          <w:sz w:val="24"/>
          <w:szCs w:val="24"/>
        </w:rPr>
        <w:t>Strap muscles</w:t>
      </w:r>
      <w:r w:rsidRPr="00E81BF1">
        <w:rPr>
          <w:rFonts w:ascii="Times New Roman" w:hAnsi="Times New Roman" w:cs="Times New Roman"/>
          <w:sz w:val="24"/>
          <w:szCs w:val="24"/>
        </w:rPr>
        <w:t xml:space="preserve"> are retracted laterally.</w:t>
      </w:r>
    </w:p>
    <w:p w14:paraId="32AE5AC5" w14:textId="77777777" w:rsidR="00E81BF1" w:rsidRPr="00E81BF1" w:rsidRDefault="00E81BF1" w:rsidP="00E81BF1">
      <w:pPr>
        <w:numPr>
          <w:ilvl w:val="0"/>
          <w:numId w:val="15"/>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The midline (</w:t>
      </w:r>
      <w:proofErr w:type="spellStart"/>
      <w:r w:rsidRPr="00E81BF1">
        <w:rPr>
          <w:rFonts w:ascii="Times New Roman" w:hAnsi="Times New Roman" w:cs="Times New Roman"/>
          <w:sz w:val="24"/>
          <w:szCs w:val="24"/>
        </w:rPr>
        <w:t>linea</w:t>
      </w:r>
      <w:proofErr w:type="spellEnd"/>
      <w:r w:rsidRPr="00E81BF1">
        <w:rPr>
          <w:rFonts w:ascii="Times New Roman" w:hAnsi="Times New Roman" w:cs="Times New Roman"/>
          <w:sz w:val="24"/>
          <w:szCs w:val="24"/>
        </w:rPr>
        <w:t xml:space="preserve"> alba) is opened.</w:t>
      </w:r>
    </w:p>
    <w:p w14:paraId="65DCFBC0" w14:textId="77777777" w:rsidR="00E81BF1" w:rsidRPr="00E81BF1" w:rsidRDefault="00E81BF1" w:rsidP="00E81BF1">
      <w:pPr>
        <w:numPr>
          <w:ilvl w:val="0"/>
          <w:numId w:val="15"/>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 xml:space="preserve">The </w:t>
      </w:r>
      <w:r w:rsidRPr="00E81BF1">
        <w:rPr>
          <w:rFonts w:ascii="Times New Roman" w:hAnsi="Times New Roman" w:cs="Times New Roman"/>
          <w:b/>
          <w:bCs/>
          <w:sz w:val="24"/>
          <w:szCs w:val="24"/>
        </w:rPr>
        <w:t>isthmus</w:t>
      </w:r>
      <w:r w:rsidRPr="00E81BF1">
        <w:rPr>
          <w:rFonts w:ascii="Times New Roman" w:hAnsi="Times New Roman" w:cs="Times New Roman"/>
          <w:sz w:val="24"/>
          <w:szCs w:val="24"/>
        </w:rPr>
        <w:t xml:space="preserve"> (connects the two thyroid lobes) is divided for better access.</w:t>
      </w:r>
    </w:p>
    <w:p w14:paraId="69B2D9D3" w14:textId="77777777" w:rsidR="00E81BF1" w:rsidRPr="00E81BF1" w:rsidRDefault="00E81BF1" w:rsidP="00E81BF1">
      <w:pPr>
        <w:spacing w:line="276" w:lineRule="auto"/>
        <w:jc w:val="both"/>
        <w:rPr>
          <w:rFonts w:ascii="Times New Roman" w:hAnsi="Times New Roman" w:cs="Times New Roman"/>
          <w:b/>
          <w:bCs/>
          <w:sz w:val="24"/>
          <w:szCs w:val="24"/>
        </w:rPr>
      </w:pPr>
      <w:r w:rsidRPr="00E81BF1">
        <w:rPr>
          <w:rFonts w:ascii="Times New Roman" w:hAnsi="Times New Roman" w:cs="Times New Roman"/>
          <w:b/>
          <w:bCs/>
          <w:sz w:val="24"/>
          <w:szCs w:val="24"/>
        </w:rPr>
        <w:lastRenderedPageBreak/>
        <w:t>C. Middle Thyroid Vein Ligation</w:t>
      </w:r>
    </w:p>
    <w:p w14:paraId="0D5B7522" w14:textId="77777777" w:rsidR="00E81BF1" w:rsidRPr="00E81BF1" w:rsidRDefault="00E81BF1" w:rsidP="00E81BF1">
      <w:pPr>
        <w:numPr>
          <w:ilvl w:val="0"/>
          <w:numId w:val="16"/>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One thyroid lobe is exposed.</w:t>
      </w:r>
    </w:p>
    <w:p w14:paraId="08A94809" w14:textId="77777777" w:rsidR="00E81BF1" w:rsidRPr="00E81BF1" w:rsidRDefault="00E81BF1" w:rsidP="00E81BF1">
      <w:pPr>
        <w:numPr>
          <w:ilvl w:val="0"/>
          <w:numId w:val="16"/>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 xml:space="preserve">The </w:t>
      </w:r>
      <w:r w:rsidRPr="00E81BF1">
        <w:rPr>
          <w:rFonts w:ascii="Times New Roman" w:hAnsi="Times New Roman" w:cs="Times New Roman"/>
          <w:b/>
          <w:bCs/>
          <w:sz w:val="24"/>
          <w:szCs w:val="24"/>
        </w:rPr>
        <w:t>middle thyroid vein</w:t>
      </w:r>
      <w:r w:rsidRPr="00E81BF1">
        <w:rPr>
          <w:rFonts w:ascii="Times New Roman" w:hAnsi="Times New Roman" w:cs="Times New Roman"/>
          <w:sz w:val="24"/>
          <w:szCs w:val="24"/>
        </w:rPr>
        <w:t xml:space="preserve"> is identified and ligated.</w:t>
      </w:r>
    </w:p>
    <w:p w14:paraId="613D3AF6" w14:textId="77777777" w:rsidR="00E81BF1" w:rsidRPr="00E81BF1" w:rsidRDefault="00E81BF1" w:rsidP="00E81BF1">
      <w:pPr>
        <w:numPr>
          <w:ilvl w:val="0"/>
          <w:numId w:val="16"/>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 xml:space="preserve">The </w:t>
      </w:r>
      <w:r w:rsidRPr="00E81BF1">
        <w:rPr>
          <w:rFonts w:ascii="Times New Roman" w:hAnsi="Times New Roman" w:cs="Times New Roman"/>
          <w:b/>
          <w:bCs/>
          <w:sz w:val="24"/>
          <w:szCs w:val="24"/>
        </w:rPr>
        <w:t>common carotid artery</w:t>
      </w:r>
      <w:r w:rsidRPr="00E81BF1">
        <w:rPr>
          <w:rFonts w:ascii="Times New Roman" w:hAnsi="Times New Roman" w:cs="Times New Roman"/>
          <w:sz w:val="24"/>
          <w:szCs w:val="24"/>
        </w:rPr>
        <w:t xml:space="preserve"> is used as a landmark.</w:t>
      </w:r>
    </w:p>
    <w:p w14:paraId="050BEA54" w14:textId="77777777" w:rsidR="00E81BF1" w:rsidRPr="00E81BF1" w:rsidRDefault="00E81BF1" w:rsidP="00E81BF1">
      <w:pPr>
        <w:spacing w:line="276" w:lineRule="auto"/>
        <w:jc w:val="both"/>
        <w:rPr>
          <w:rFonts w:ascii="Times New Roman" w:hAnsi="Times New Roman" w:cs="Times New Roman"/>
          <w:b/>
          <w:bCs/>
          <w:sz w:val="24"/>
          <w:szCs w:val="24"/>
        </w:rPr>
      </w:pPr>
      <w:r w:rsidRPr="00E81BF1">
        <w:rPr>
          <w:rFonts w:ascii="Times New Roman" w:hAnsi="Times New Roman" w:cs="Times New Roman"/>
          <w:b/>
          <w:bCs/>
          <w:sz w:val="24"/>
          <w:szCs w:val="24"/>
        </w:rPr>
        <w:t>D. Superior Pole Dissection</w:t>
      </w:r>
    </w:p>
    <w:p w14:paraId="35294EC4" w14:textId="77777777" w:rsidR="00E81BF1" w:rsidRPr="00E81BF1" w:rsidRDefault="00E81BF1" w:rsidP="00E81BF1">
      <w:pPr>
        <w:numPr>
          <w:ilvl w:val="0"/>
          <w:numId w:val="17"/>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 xml:space="preserve">The </w:t>
      </w:r>
      <w:r w:rsidRPr="00E81BF1">
        <w:rPr>
          <w:rFonts w:ascii="Times New Roman" w:hAnsi="Times New Roman" w:cs="Times New Roman"/>
          <w:b/>
          <w:bCs/>
          <w:sz w:val="24"/>
          <w:szCs w:val="24"/>
        </w:rPr>
        <w:t>superior pole</w:t>
      </w:r>
      <w:r w:rsidRPr="00E81BF1">
        <w:rPr>
          <w:rFonts w:ascii="Times New Roman" w:hAnsi="Times New Roman" w:cs="Times New Roman"/>
          <w:sz w:val="24"/>
          <w:szCs w:val="24"/>
        </w:rPr>
        <w:t xml:space="preserve"> of the thyroid is mobilized.</w:t>
      </w:r>
    </w:p>
    <w:p w14:paraId="0CBF7C2A" w14:textId="77777777" w:rsidR="00E81BF1" w:rsidRPr="00E81BF1" w:rsidRDefault="00E81BF1" w:rsidP="00E81BF1">
      <w:pPr>
        <w:numPr>
          <w:ilvl w:val="0"/>
          <w:numId w:val="17"/>
        </w:numPr>
        <w:spacing w:line="276" w:lineRule="auto"/>
        <w:jc w:val="both"/>
        <w:rPr>
          <w:rFonts w:ascii="Times New Roman" w:hAnsi="Times New Roman" w:cs="Times New Roman"/>
          <w:sz w:val="24"/>
          <w:szCs w:val="24"/>
        </w:rPr>
      </w:pPr>
      <w:r w:rsidRPr="00E81BF1">
        <w:rPr>
          <w:rFonts w:ascii="Times New Roman" w:hAnsi="Times New Roman" w:cs="Times New Roman"/>
          <w:b/>
          <w:bCs/>
          <w:sz w:val="24"/>
          <w:szCs w:val="24"/>
        </w:rPr>
        <w:t>Superior thyroid vessels</w:t>
      </w:r>
      <w:r w:rsidRPr="00E81BF1">
        <w:rPr>
          <w:rFonts w:ascii="Times New Roman" w:hAnsi="Times New Roman" w:cs="Times New Roman"/>
          <w:sz w:val="24"/>
          <w:szCs w:val="24"/>
        </w:rPr>
        <w:t xml:space="preserve"> are identified and ligated carefully to avoid injury to the </w:t>
      </w:r>
      <w:r w:rsidRPr="00E81BF1">
        <w:rPr>
          <w:rFonts w:ascii="Times New Roman" w:hAnsi="Times New Roman" w:cs="Times New Roman"/>
          <w:b/>
          <w:bCs/>
          <w:sz w:val="24"/>
          <w:szCs w:val="24"/>
        </w:rPr>
        <w:t>external branch of the superior laryngeal nerve</w:t>
      </w:r>
      <w:r w:rsidRPr="00E81BF1">
        <w:rPr>
          <w:rFonts w:ascii="Times New Roman" w:hAnsi="Times New Roman" w:cs="Times New Roman"/>
          <w:sz w:val="24"/>
          <w:szCs w:val="24"/>
        </w:rPr>
        <w:t>.</w:t>
      </w:r>
    </w:p>
    <w:p w14:paraId="290B0B43" w14:textId="77777777" w:rsidR="00E81BF1" w:rsidRPr="00E81BF1" w:rsidRDefault="00E81BF1" w:rsidP="00E81BF1">
      <w:pPr>
        <w:spacing w:line="276" w:lineRule="auto"/>
        <w:jc w:val="both"/>
        <w:rPr>
          <w:rFonts w:ascii="Times New Roman" w:hAnsi="Times New Roman" w:cs="Times New Roman"/>
          <w:b/>
          <w:bCs/>
          <w:sz w:val="24"/>
          <w:szCs w:val="24"/>
        </w:rPr>
      </w:pPr>
      <w:r w:rsidRPr="00E81BF1">
        <w:rPr>
          <w:rFonts w:ascii="Times New Roman" w:hAnsi="Times New Roman" w:cs="Times New Roman"/>
          <w:b/>
          <w:bCs/>
          <w:sz w:val="24"/>
          <w:szCs w:val="24"/>
        </w:rPr>
        <w:t>E. Preservation of Parathyroid Glands and Nerves</w:t>
      </w:r>
    </w:p>
    <w:p w14:paraId="27BBBF11" w14:textId="77777777" w:rsidR="00E81BF1" w:rsidRPr="00E81BF1" w:rsidRDefault="00E81BF1" w:rsidP="00E81BF1">
      <w:pPr>
        <w:numPr>
          <w:ilvl w:val="0"/>
          <w:numId w:val="18"/>
        </w:numPr>
        <w:spacing w:line="276" w:lineRule="auto"/>
        <w:jc w:val="both"/>
        <w:rPr>
          <w:rFonts w:ascii="Times New Roman" w:hAnsi="Times New Roman" w:cs="Times New Roman"/>
          <w:sz w:val="24"/>
          <w:szCs w:val="24"/>
        </w:rPr>
      </w:pPr>
      <w:r w:rsidRPr="00E81BF1">
        <w:rPr>
          <w:rFonts w:ascii="Times New Roman" w:hAnsi="Times New Roman" w:cs="Times New Roman"/>
          <w:b/>
          <w:bCs/>
          <w:sz w:val="24"/>
          <w:szCs w:val="24"/>
        </w:rPr>
        <w:t>Superior and inferior parathyroid glands</w:t>
      </w:r>
      <w:r w:rsidRPr="00E81BF1">
        <w:rPr>
          <w:rFonts w:ascii="Times New Roman" w:hAnsi="Times New Roman" w:cs="Times New Roman"/>
          <w:sz w:val="24"/>
          <w:szCs w:val="24"/>
        </w:rPr>
        <w:t xml:space="preserve"> are identified and preserved along with their blood supply.</w:t>
      </w:r>
    </w:p>
    <w:p w14:paraId="689DABB7" w14:textId="77777777" w:rsidR="00E81BF1" w:rsidRPr="00E81BF1" w:rsidRDefault="00E81BF1" w:rsidP="00E81BF1">
      <w:pPr>
        <w:numPr>
          <w:ilvl w:val="0"/>
          <w:numId w:val="18"/>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 xml:space="preserve">This is critical to prevent </w:t>
      </w:r>
      <w:proofErr w:type="spellStart"/>
      <w:r w:rsidRPr="00E81BF1">
        <w:rPr>
          <w:rFonts w:ascii="Times New Roman" w:hAnsi="Times New Roman" w:cs="Times New Roman"/>
          <w:b/>
          <w:bCs/>
          <w:sz w:val="24"/>
          <w:szCs w:val="24"/>
        </w:rPr>
        <w:t>hypocalcemia</w:t>
      </w:r>
      <w:proofErr w:type="spellEnd"/>
      <w:r w:rsidRPr="00E81BF1">
        <w:rPr>
          <w:rFonts w:ascii="Times New Roman" w:hAnsi="Times New Roman" w:cs="Times New Roman"/>
          <w:sz w:val="24"/>
          <w:szCs w:val="24"/>
        </w:rPr>
        <w:t xml:space="preserve"> post-op.</w:t>
      </w:r>
    </w:p>
    <w:p w14:paraId="03D182B2" w14:textId="77777777" w:rsidR="00E81BF1" w:rsidRPr="00E81BF1" w:rsidRDefault="00E81BF1" w:rsidP="00E81BF1">
      <w:pPr>
        <w:numPr>
          <w:ilvl w:val="0"/>
          <w:numId w:val="18"/>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 xml:space="preserve">The </w:t>
      </w:r>
      <w:r w:rsidRPr="00E81BF1">
        <w:rPr>
          <w:rFonts w:ascii="Times New Roman" w:hAnsi="Times New Roman" w:cs="Times New Roman"/>
          <w:b/>
          <w:bCs/>
          <w:sz w:val="24"/>
          <w:szCs w:val="24"/>
        </w:rPr>
        <w:t>recurrent laryngeal nerve (RLN)</w:t>
      </w:r>
      <w:r w:rsidRPr="00E81BF1">
        <w:rPr>
          <w:rFonts w:ascii="Times New Roman" w:hAnsi="Times New Roman" w:cs="Times New Roman"/>
          <w:sz w:val="24"/>
          <w:szCs w:val="24"/>
        </w:rPr>
        <w:t xml:space="preserve"> is carefully dissected and preserved.</w:t>
      </w:r>
    </w:p>
    <w:p w14:paraId="178F99C5" w14:textId="77777777" w:rsidR="00E81BF1" w:rsidRPr="00E81BF1" w:rsidRDefault="00E81BF1" w:rsidP="00E81BF1">
      <w:pPr>
        <w:spacing w:line="276" w:lineRule="auto"/>
        <w:jc w:val="both"/>
        <w:rPr>
          <w:rFonts w:ascii="Times New Roman" w:hAnsi="Times New Roman" w:cs="Times New Roman"/>
          <w:b/>
          <w:bCs/>
          <w:sz w:val="24"/>
          <w:szCs w:val="24"/>
        </w:rPr>
      </w:pPr>
      <w:r w:rsidRPr="00E81BF1">
        <w:rPr>
          <w:rFonts w:ascii="Times New Roman" w:hAnsi="Times New Roman" w:cs="Times New Roman"/>
          <w:b/>
          <w:bCs/>
          <w:sz w:val="24"/>
          <w:szCs w:val="24"/>
        </w:rPr>
        <w:t>F. Inferior Thyroid Artery Ligation</w:t>
      </w:r>
    </w:p>
    <w:p w14:paraId="7B0AC965" w14:textId="77777777" w:rsidR="00E81BF1" w:rsidRPr="00E81BF1" w:rsidRDefault="00E81BF1" w:rsidP="00E81BF1">
      <w:pPr>
        <w:numPr>
          <w:ilvl w:val="0"/>
          <w:numId w:val="19"/>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 xml:space="preserve">The </w:t>
      </w:r>
      <w:r w:rsidRPr="00E81BF1">
        <w:rPr>
          <w:rFonts w:ascii="Times New Roman" w:hAnsi="Times New Roman" w:cs="Times New Roman"/>
          <w:b/>
          <w:bCs/>
          <w:sz w:val="24"/>
          <w:szCs w:val="24"/>
        </w:rPr>
        <w:t>inferior thyroid artery</w:t>
      </w:r>
      <w:r w:rsidRPr="00E81BF1">
        <w:rPr>
          <w:rFonts w:ascii="Times New Roman" w:hAnsi="Times New Roman" w:cs="Times New Roman"/>
          <w:sz w:val="24"/>
          <w:szCs w:val="24"/>
        </w:rPr>
        <w:t xml:space="preserve"> is ligated.</w:t>
      </w:r>
    </w:p>
    <w:p w14:paraId="67DD15AF" w14:textId="77777777" w:rsidR="00E81BF1" w:rsidRPr="00E81BF1" w:rsidRDefault="00E81BF1" w:rsidP="00E81BF1">
      <w:pPr>
        <w:numPr>
          <w:ilvl w:val="0"/>
          <w:numId w:val="19"/>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Great care is taken to preserve the RLN as it travels near this artery.</w:t>
      </w:r>
    </w:p>
    <w:p w14:paraId="2795CD4B" w14:textId="77777777" w:rsidR="00E81BF1" w:rsidRPr="00E81BF1" w:rsidRDefault="00E81BF1" w:rsidP="00E81BF1">
      <w:pPr>
        <w:spacing w:line="276" w:lineRule="auto"/>
        <w:jc w:val="both"/>
        <w:rPr>
          <w:rFonts w:ascii="Times New Roman" w:hAnsi="Times New Roman" w:cs="Times New Roman"/>
          <w:b/>
          <w:bCs/>
          <w:sz w:val="24"/>
          <w:szCs w:val="24"/>
        </w:rPr>
      </w:pPr>
      <w:r w:rsidRPr="00E81BF1">
        <w:rPr>
          <w:rFonts w:ascii="Times New Roman" w:hAnsi="Times New Roman" w:cs="Times New Roman"/>
          <w:b/>
          <w:bCs/>
          <w:sz w:val="24"/>
          <w:szCs w:val="24"/>
        </w:rPr>
        <w:t>G. Final Mobilization and Gland Removal</w:t>
      </w:r>
    </w:p>
    <w:p w14:paraId="38F16D3F" w14:textId="77777777" w:rsidR="00E81BF1" w:rsidRPr="00E81BF1" w:rsidRDefault="00E81BF1" w:rsidP="00E81BF1">
      <w:pPr>
        <w:numPr>
          <w:ilvl w:val="0"/>
          <w:numId w:val="20"/>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 xml:space="preserve">The </w:t>
      </w:r>
      <w:r w:rsidRPr="00E81BF1">
        <w:rPr>
          <w:rFonts w:ascii="Times New Roman" w:hAnsi="Times New Roman" w:cs="Times New Roman"/>
          <w:b/>
          <w:bCs/>
          <w:sz w:val="24"/>
          <w:szCs w:val="24"/>
        </w:rPr>
        <w:t>Berry’s ligament</w:t>
      </w:r>
      <w:r w:rsidRPr="00E81BF1">
        <w:rPr>
          <w:rFonts w:ascii="Times New Roman" w:hAnsi="Times New Roman" w:cs="Times New Roman"/>
          <w:sz w:val="24"/>
          <w:szCs w:val="24"/>
        </w:rPr>
        <w:t xml:space="preserve"> (attaches thyroid to trachea) is divided.</w:t>
      </w:r>
    </w:p>
    <w:p w14:paraId="20F8C9CE" w14:textId="77777777" w:rsidR="00E81BF1" w:rsidRPr="00103516" w:rsidRDefault="00E81BF1" w:rsidP="00E81BF1">
      <w:pPr>
        <w:numPr>
          <w:ilvl w:val="0"/>
          <w:numId w:val="20"/>
        </w:numPr>
        <w:spacing w:line="276" w:lineRule="auto"/>
        <w:jc w:val="both"/>
        <w:rPr>
          <w:rFonts w:ascii="Times New Roman" w:hAnsi="Times New Roman" w:cs="Times New Roman"/>
          <w:sz w:val="24"/>
          <w:szCs w:val="24"/>
        </w:rPr>
      </w:pPr>
      <w:r w:rsidRPr="00E81BF1">
        <w:rPr>
          <w:rFonts w:ascii="Times New Roman" w:hAnsi="Times New Roman" w:cs="Times New Roman"/>
          <w:sz w:val="24"/>
          <w:szCs w:val="24"/>
        </w:rPr>
        <w:t>This allows the gland to be completely freed and removed.</w:t>
      </w:r>
    </w:p>
    <w:p w14:paraId="036294FE" w14:textId="39FEC899" w:rsidR="00E81BF1" w:rsidRDefault="00E81BF1" w:rsidP="00E81BF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This steps for the total </w:t>
      </w:r>
      <w:proofErr w:type="gramStart"/>
      <w:r>
        <w:rPr>
          <w:rFonts w:ascii="Times New Roman" w:hAnsi="Times New Roman" w:cs="Times New Roman"/>
          <w:sz w:val="24"/>
          <w:szCs w:val="24"/>
        </w:rPr>
        <w:t xml:space="preserve">thyroidectomy </w:t>
      </w:r>
      <w:r w:rsidR="003B4292">
        <w:rPr>
          <w:rFonts w:ascii="Times New Roman" w:hAnsi="Times New Roman" w:cs="Times New Roman"/>
          <w:sz w:val="24"/>
          <w:szCs w:val="24"/>
        </w:rPr>
        <w:t>,</w:t>
      </w:r>
      <w:proofErr w:type="gramEnd"/>
      <w:r w:rsidR="003B4292">
        <w:rPr>
          <w:rFonts w:ascii="Times New Roman" w:hAnsi="Times New Roman" w:cs="Times New Roman"/>
          <w:sz w:val="24"/>
          <w:szCs w:val="24"/>
        </w:rPr>
        <w:t xml:space="preserve"> but for this patient during surgery , the surgeon observed swelling in left lobe of the neck so they did </w:t>
      </w:r>
      <w:r w:rsidR="002C28A9">
        <w:rPr>
          <w:rFonts w:ascii="Times New Roman" w:hAnsi="Times New Roman" w:cs="Times New Roman"/>
          <w:sz w:val="24"/>
          <w:szCs w:val="24"/>
        </w:rPr>
        <w:t xml:space="preserve"> </w:t>
      </w:r>
      <w:r w:rsidR="002C28A9" w:rsidRPr="002C28A9">
        <w:rPr>
          <w:rFonts w:ascii="Times New Roman" w:hAnsi="Times New Roman" w:cs="Times New Roman"/>
          <w:b/>
          <w:bCs/>
          <w:sz w:val="24"/>
          <w:szCs w:val="24"/>
        </w:rPr>
        <w:t>LEFT</w:t>
      </w:r>
      <w:r w:rsidR="002C28A9">
        <w:rPr>
          <w:rFonts w:ascii="Times New Roman" w:hAnsi="Times New Roman" w:cs="Times New Roman"/>
          <w:b/>
          <w:bCs/>
          <w:sz w:val="24"/>
          <w:szCs w:val="24"/>
        </w:rPr>
        <w:t xml:space="preserve"> </w:t>
      </w:r>
      <w:r w:rsidR="003B4292" w:rsidRPr="002C28A9">
        <w:rPr>
          <w:rFonts w:ascii="Times New Roman" w:hAnsi="Times New Roman" w:cs="Times New Roman"/>
          <w:b/>
          <w:bCs/>
          <w:sz w:val="24"/>
          <w:szCs w:val="24"/>
        </w:rPr>
        <w:t>HEMI</w:t>
      </w:r>
      <w:r w:rsidR="003B4292" w:rsidRPr="003B4292">
        <w:rPr>
          <w:rFonts w:ascii="Times New Roman" w:hAnsi="Times New Roman" w:cs="Times New Roman"/>
          <w:b/>
          <w:bCs/>
          <w:sz w:val="24"/>
          <w:szCs w:val="24"/>
        </w:rPr>
        <w:t xml:space="preserve"> THYROIDECTOMY.</w:t>
      </w:r>
      <w:r w:rsidR="003B4292">
        <w:rPr>
          <w:rFonts w:ascii="Times New Roman" w:hAnsi="Times New Roman" w:cs="Times New Roman"/>
          <w:b/>
          <w:bCs/>
          <w:sz w:val="24"/>
          <w:szCs w:val="24"/>
        </w:rPr>
        <w:t xml:space="preserve"> </w:t>
      </w:r>
      <w:r w:rsidR="003B4292">
        <w:rPr>
          <w:rFonts w:ascii="Times New Roman" w:hAnsi="Times New Roman" w:cs="Times New Roman"/>
          <w:sz w:val="24"/>
          <w:szCs w:val="24"/>
        </w:rPr>
        <w:t>And the biopsy was sent for the histopathological examination.</w:t>
      </w:r>
    </w:p>
    <w:p w14:paraId="77FA8DBE" w14:textId="4E8302E4" w:rsidR="00103516" w:rsidRPr="00103516" w:rsidRDefault="001B3D1A" w:rsidP="00103516">
      <w:pPr>
        <w:tabs>
          <w:tab w:val="left" w:pos="630"/>
        </w:tabs>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List </w:t>
      </w:r>
      <w:proofErr w:type="gramStart"/>
      <w:r>
        <w:rPr>
          <w:rFonts w:ascii="Times New Roman" w:hAnsi="Times New Roman" w:cs="Times New Roman"/>
          <w:b/>
          <w:bCs/>
          <w:sz w:val="24"/>
          <w:szCs w:val="24"/>
        </w:rPr>
        <w:t>2 :</w:t>
      </w:r>
      <w:proofErr w:type="gramEnd"/>
      <w:r>
        <w:rPr>
          <w:rFonts w:ascii="Times New Roman" w:hAnsi="Times New Roman" w:cs="Times New Roman"/>
          <w:b/>
          <w:bCs/>
          <w:sz w:val="24"/>
          <w:szCs w:val="24"/>
        </w:rPr>
        <w:t xml:space="preserve"> </w:t>
      </w:r>
      <w:r w:rsidR="00103516" w:rsidRPr="00103516">
        <w:rPr>
          <w:rFonts w:ascii="Times New Roman" w:hAnsi="Times New Roman" w:cs="Times New Roman"/>
          <w:b/>
          <w:bCs/>
          <w:sz w:val="24"/>
          <w:szCs w:val="24"/>
        </w:rPr>
        <w:t xml:space="preserve">TREATMENT CHART </w:t>
      </w:r>
    </w:p>
    <w:tbl>
      <w:tblPr>
        <w:tblStyle w:val="TableGrid"/>
        <w:tblW w:w="0" w:type="auto"/>
        <w:tblLook w:val="04A0" w:firstRow="1" w:lastRow="0" w:firstColumn="1" w:lastColumn="0" w:noHBand="0" w:noVBand="1"/>
      </w:tblPr>
      <w:tblGrid>
        <w:gridCol w:w="2610"/>
        <w:gridCol w:w="1216"/>
        <w:gridCol w:w="1497"/>
        <w:gridCol w:w="1317"/>
        <w:gridCol w:w="792"/>
        <w:gridCol w:w="792"/>
        <w:gridCol w:w="792"/>
      </w:tblGrid>
      <w:tr w:rsidR="00103516" w14:paraId="5757230C" w14:textId="77777777" w:rsidTr="00103516">
        <w:tc>
          <w:tcPr>
            <w:tcW w:w="2610" w:type="dxa"/>
          </w:tcPr>
          <w:p w14:paraId="621C9813" w14:textId="77777777" w:rsidR="00103516" w:rsidRPr="00103516" w:rsidRDefault="00103516" w:rsidP="00103516">
            <w:pPr>
              <w:pStyle w:val="NormalWeb"/>
              <w:spacing w:before="0" w:beforeAutospacing="0" w:after="0" w:afterAutospacing="0"/>
              <w:rPr>
                <w:color w:val="000000" w:themeColor="text1"/>
              </w:rPr>
            </w:pPr>
            <w:r w:rsidRPr="00103516">
              <w:rPr>
                <w:b/>
                <w:bCs/>
                <w:color w:val="000000" w:themeColor="text1"/>
                <w:kern w:val="24"/>
              </w:rPr>
              <w:t>NAME OF MEDICATION</w:t>
            </w:r>
          </w:p>
        </w:tc>
        <w:tc>
          <w:tcPr>
            <w:tcW w:w="1216" w:type="dxa"/>
          </w:tcPr>
          <w:p w14:paraId="7E02FA06" w14:textId="77777777" w:rsidR="00103516" w:rsidRPr="00103516" w:rsidRDefault="00103516" w:rsidP="00103516">
            <w:pPr>
              <w:pStyle w:val="NormalWeb"/>
              <w:spacing w:before="0" w:beforeAutospacing="0" w:after="0" w:afterAutospacing="0"/>
              <w:rPr>
                <w:color w:val="000000" w:themeColor="text1"/>
              </w:rPr>
            </w:pPr>
            <w:r w:rsidRPr="00103516">
              <w:rPr>
                <w:b/>
                <w:bCs/>
                <w:color w:val="000000" w:themeColor="text1"/>
                <w:kern w:val="24"/>
              </w:rPr>
              <w:t>DOSE</w:t>
            </w:r>
          </w:p>
        </w:tc>
        <w:tc>
          <w:tcPr>
            <w:tcW w:w="1497" w:type="dxa"/>
          </w:tcPr>
          <w:p w14:paraId="533EB250" w14:textId="77777777" w:rsidR="00103516" w:rsidRPr="00103516" w:rsidRDefault="00103516" w:rsidP="00103516">
            <w:pPr>
              <w:pStyle w:val="NormalWeb"/>
              <w:spacing w:before="0" w:beforeAutospacing="0" w:after="0" w:afterAutospacing="0"/>
              <w:rPr>
                <w:color w:val="000000" w:themeColor="text1"/>
              </w:rPr>
            </w:pPr>
            <w:r w:rsidRPr="00103516">
              <w:rPr>
                <w:b/>
                <w:bCs/>
                <w:color w:val="000000" w:themeColor="text1"/>
                <w:kern w:val="24"/>
              </w:rPr>
              <w:t>ROUTE</w:t>
            </w:r>
          </w:p>
        </w:tc>
        <w:tc>
          <w:tcPr>
            <w:tcW w:w="1317" w:type="dxa"/>
          </w:tcPr>
          <w:p w14:paraId="274B83E7" w14:textId="77777777" w:rsidR="00103516" w:rsidRPr="00103516" w:rsidRDefault="00103516" w:rsidP="00103516">
            <w:pPr>
              <w:pStyle w:val="NormalWeb"/>
              <w:spacing w:before="0" w:beforeAutospacing="0" w:after="0" w:afterAutospacing="0"/>
              <w:rPr>
                <w:color w:val="000000" w:themeColor="text1"/>
              </w:rPr>
            </w:pPr>
            <w:r w:rsidRPr="00103516">
              <w:rPr>
                <w:b/>
                <w:bCs/>
                <w:color w:val="000000" w:themeColor="text1"/>
                <w:kern w:val="24"/>
              </w:rPr>
              <w:t>FREQ</w:t>
            </w:r>
          </w:p>
        </w:tc>
        <w:tc>
          <w:tcPr>
            <w:tcW w:w="792" w:type="dxa"/>
          </w:tcPr>
          <w:p w14:paraId="170FEA6B" w14:textId="77777777" w:rsidR="00103516" w:rsidRPr="00103516" w:rsidRDefault="00103516" w:rsidP="00103516">
            <w:pPr>
              <w:pStyle w:val="NormalWeb"/>
              <w:spacing w:before="0" w:beforeAutospacing="0" w:after="0" w:afterAutospacing="0"/>
              <w:rPr>
                <w:color w:val="000000" w:themeColor="text1"/>
              </w:rPr>
            </w:pPr>
            <w:r w:rsidRPr="00103516">
              <w:rPr>
                <w:b/>
                <w:bCs/>
                <w:color w:val="000000" w:themeColor="text1"/>
                <w:kern w:val="24"/>
              </w:rPr>
              <w:t>D1</w:t>
            </w:r>
          </w:p>
        </w:tc>
        <w:tc>
          <w:tcPr>
            <w:tcW w:w="792" w:type="dxa"/>
          </w:tcPr>
          <w:p w14:paraId="58A0D8DF" w14:textId="77777777" w:rsidR="00103516" w:rsidRPr="00103516" w:rsidRDefault="00103516" w:rsidP="00103516">
            <w:pPr>
              <w:pStyle w:val="NormalWeb"/>
              <w:spacing w:before="0" w:beforeAutospacing="0" w:after="0" w:afterAutospacing="0"/>
              <w:rPr>
                <w:color w:val="000000" w:themeColor="text1"/>
              </w:rPr>
            </w:pPr>
            <w:r w:rsidRPr="00103516">
              <w:rPr>
                <w:b/>
                <w:bCs/>
                <w:color w:val="000000" w:themeColor="text1"/>
                <w:kern w:val="24"/>
              </w:rPr>
              <w:t>D2</w:t>
            </w:r>
          </w:p>
        </w:tc>
        <w:tc>
          <w:tcPr>
            <w:tcW w:w="792" w:type="dxa"/>
          </w:tcPr>
          <w:p w14:paraId="2DACC039" w14:textId="77777777" w:rsidR="00103516" w:rsidRPr="00103516" w:rsidRDefault="00103516" w:rsidP="00103516">
            <w:pPr>
              <w:pStyle w:val="NormalWeb"/>
              <w:spacing w:before="0" w:beforeAutospacing="0" w:after="0" w:afterAutospacing="0"/>
              <w:rPr>
                <w:color w:val="000000" w:themeColor="text1"/>
              </w:rPr>
            </w:pPr>
            <w:r w:rsidRPr="00103516">
              <w:rPr>
                <w:b/>
                <w:bCs/>
                <w:color w:val="000000" w:themeColor="text1"/>
                <w:kern w:val="24"/>
              </w:rPr>
              <w:t>D3</w:t>
            </w:r>
          </w:p>
        </w:tc>
      </w:tr>
      <w:tr w:rsidR="00103516" w14:paraId="60183DB1" w14:textId="77777777" w:rsidTr="00103516">
        <w:tc>
          <w:tcPr>
            <w:tcW w:w="2610" w:type="dxa"/>
          </w:tcPr>
          <w:p w14:paraId="44E8631E" w14:textId="77777777" w:rsidR="00103516" w:rsidRPr="00103516" w:rsidRDefault="00103516" w:rsidP="00103516">
            <w:pPr>
              <w:pStyle w:val="NormalWeb"/>
              <w:spacing w:before="0" w:beforeAutospacing="0" w:after="0" w:afterAutospacing="0"/>
              <w:rPr>
                <w:color w:val="000000" w:themeColor="text1"/>
              </w:rPr>
            </w:pPr>
            <w:r w:rsidRPr="00103516">
              <w:rPr>
                <w:b/>
                <w:bCs/>
                <w:color w:val="000000" w:themeColor="text1"/>
                <w:kern w:val="24"/>
                <w:lang w:val="en-US"/>
              </w:rPr>
              <w:t>PRE OP</w:t>
            </w:r>
          </w:p>
          <w:p w14:paraId="222F54FC"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 xml:space="preserve">REGULAR DIET </w:t>
            </w:r>
          </w:p>
        </w:tc>
        <w:tc>
          <w:tcPr>
            <w:tcW w:w="1216" w:type="dxa"/>
          </w:tcPr>
          <w:p w14:paraId="0CDC0E48" w14:textId="77777777" w:rsidR="00103516" w:rsidRPr="00103516" w:rsidRDefault="00103516" w:rsidP="00103516">
            <w:pPr>
              <w:rPr>
                <w:rFonts w:ascii="Times New Roman" w:hAnsi="Times New Roman" w:cs="Times New Roman"/>
                <w:color w:val="000000" w:themeColor="text1"/>
                <w:sz w:val="24"/>
                <w:szCs w:val="24"/>
              </w:rPr>
            </w:pPr>
          </w:p>
        </w:tc>
        <w:tc>
          <w:tcPr>
            <w:tcW w:w="1497" w:type="dxa"/>
          </w:tcPr>
          <w:p w14:paraId="711CA59D" w14:textId="77777777" w:rsidR="00103516" w:rsidRPr="00103516" w:rsidRDefault="00103516" w:rsidP="00103516">
            <w:pPr>
              <w:rPr>
                <w:rFonts w:ascii="Times New Roman" w:hAnsi="Times New Roman" w:cs="Times New Roman"/>
                <w:color w:val="000000" w:themeColor="text1"/>
                <w:sz w:val="24"/>
                <w:szCs w:val="24"/>
              </w:rPr>
            </w:pPr>
          </w:p>
        </w:tc>
        <w:tc>
          <w:tcPr>
            <w:tcW w:w="1317" w:type="dxa"/>
          </w:tcPr>
          <w:p w14:paraId="730A607B" w14:textId="77777777" w:rsidR="00103516" w:rsidRPr="00103516" w:rsidRDefault="00103516" w:rsidP="00103516">
            <w:pPr>
              <w:rPr>
                <w:rFonts w:ascii="Times New Roman" w:hAnsi="Times New Roman" w:cs="Times New Roman"/>
                <w:color w:val="000000" w:themeColor="text1"/>
                <w:sz w:val="24"/>
                <w:szCs w:val="24"/>
              </w:rPr>
            </w:pPr>
          </w:p>
        </w:tc>
        <w:tc>
          <w:tcPr>
            <w:tcW w:w="792" w:type="dxa"/>
          </w:tcPr>
          <w:p w14:paraId="702456FA" w14:textId="77777777" w:rsidR="00103516" w:rsidRPr="00103516" w:rsidRDefault="00103516" w:rsidP="00103516">
            <w:pPr>
              <w:pStyle w:val="NormalWeb"/>
              <w:spacing w:before="0" w:beforeAutospacing="0" w:after="0" w:afterAutospacing="0"/>
              <w:rPr>
                <w:color w:val="000000" w:themeColor="text1"/>
              </w:rPr>
            </w:pPr>
            <w:r w:rsidRPr="00103516">
              <w:rPr>
                <w:b/>
                <w:bCs/>
                <w:color w:val="000000" w:themeColor="text1"/>
                <w:kern w:val="24"/>
                <w:lang w:val="en-US"/>
              </w:rPr>
              <w:t>*</w:t>
            </w:r>
          </w:p>
        </w:tc>
        <w:tc>
          <w:tcPr>
            <w:tcW w:w="792" w:type="dxa"/>
          </w:tcPr>
          <w:p w14:paraId="3D299E3F"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b/>
                <w:bCs/>
                <w:color w:val="000000" w:themeColor="text1"/>
                <w:kern w:val="24"/>
                <w:lang w:val="en-US"/>
              </w:rPr>
              <w:t>*</w:t>
            </w:r>
          </w:p>
        </w:tc>
        <w:tc>
          <w:tcPr>
            <w:tcW w:w="792" w:type="dxa"/>
          </w:tcPr>
          <w:p w14:paraId="00A8A03F"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b/>
                <w:bCs/>
                <w:color w:val="000000" w:themeColor="text1"/>
                <w:kern w:val="24"/>
                <w:lang w:val="en-US"/>
              </w:rPr>
              <w:t>*</w:t>
            </w:r>
          </w:p>
        </w:tc>
      </w:tr>
      <w:tr w:rsidR="00103516" w14:paraId="52423115" w14:textId="77777777" w:rsidTr="00103516">
        <w:tc>
          <w:tcPr>
            <w:tcW w:w="2610" w:type="dxa"/>
          </w:tcPr>
          <w:p w14:paraId="1D03A0F8" w14:textId="77777777" w:rsidR="00103516" w:rsidRPr="00103516" w:rsidRDefault="00103516" w:rsidP="00103516">
            <w:pPr>
              <w:pStyle w:val="NormalWeb"/>
              <w:spacing w:before="0" w:beforeAutospacing="0" w:after="0" w:afterAutospacing="0"/>
              <w:rPr>
                <w:color w:val="000000" w:themeColor="text1"/>
              </w:rPr>
            </w:pPr>
            <w:r w:rsidRPr="00103516">
              <w:rPr>
                <w:b/>
                <w:bCs/>
                <w:color w:val="000000" w:themeColor="text1"/>
                <w:kern w:val="24"/>
                <w:lang w:val="en-US"/>
              </w:rPr>
              <w:t>POST OP</w:t>
            </w:r>
          </w:p>
          <w:p w14:paraId="2F431E17"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NBM</w:t>
            </w:r>
          </w:p>
        </w:tc>
        <w:tc>
          <w:tcPr>
            <w:tcW w:w="1216" w:type="dxa"/>
          </w:tcPr>
          <w:p w14:paraId="3CE62396" w14:textId="77777777" w:rsidR="00103516" w:rsidRPr="00103516" w:rsidRDefault="00103516" w:rsidP="00103516">
            <w:pPr>
              <w:rPr>
                <w:rFonts w:ascii="Times New Roman" w:hAnsi="Times New Roman" w:cs="Times New Roman"/>
                <w:color w:val="000000" w:themeColor="text1"/>
                <w:sz w:val="24"/>
                <w:szCs w:val="24"/>
              </w:rPr>
            </w:pPr>
          </w:p>
        </w:tc>
        <w:tc>
          <w:tcPr>
            <w:tcW w:w="1497" w:type="dxa"/>
          </w:tcPr>
          <w:p w14:paraId="63EFF30D" w14:textId="77777777" w:rsidR="00103516" w:rsidRPr="00103516" w:rsidRDefault="00103516" w:rsidP="00103516">
            <w:pPr>
              <w:rPr>
                <w:rFonts w:ascii="Times New Roman" w:hAnsi="Times New Roman" w:cs="Times New Roman"/>
                <w:color w:val="000000" w:themeColor="text1"/>
                <w:sz w:val="24"/>
                <w:szCs w:val="24"/>
              </w:rPr>
            </w:pPr>
          </w:p>
        </w:tc>
        <w:tc>
          <w:tcPr>
            <w:tcW w:w="1317" w:type="dxa"/>
          </w:tcPr>
          <w:p w14:paraId="074C3775" w14:textId="77777777" w:rsidR="00103516" w:rsidRPr="00103516" w:rsidRDefault="00103516" w:rsidP="00103516">
            <w:pPr>
              <w:rPr>
                <w:rFonts w:ascii="Times New Roman" w:hAnsi="Times New Roman" w:cs="Times New Roman"/>
                <w:color w:val="000000" w:themeColor="text1"/>
                <w:sz w:val="24"/>
                <w:szCs w:val="24"/>
              </w:rPr>
            </w:pPr>
          </w:p>
        </w:tc>
        <w:tc>
          <w:tcPr>
            <w:tcW w:w="792" w:type="dxa"/>
          </w:tcPr>
          <w:p w14:paraId="11F82F0A"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color w:val="000000" w:themeColor="text1"/>
                <w:kern w:val="24"/>
              </w:rPr>
              <w:t>*</w:t>
            </w:r>
          </w:p>
        </w:tc>
        <w:tc>
          <w:tcPr>
            <w:tcW w:w="792" w:type="dxa"/>
          </w:tcPr>
          <w:p w14:paraId="79315A90"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color w:val="000000" w:themeColor="text1"/>
                <w:kern w:val="24"/>
                <w:lang w:val="en-US"/>
              </w:rPr>
              <w:t>*</w:t>
            </w:r>
          </w:p>
        </w:tc>
        <w:tc>
          <w:tcPr>
            <w:tcW w:w="792" w:type="dxa"/>
          </w:tcPr>
          <w:p w14:paraId="756C2E89" w14:textId="77777777" w:rsidR="00103516" w:rsidRPr="00103516" w:rsidRDefault="00103516" w:rsidP="00103516">
            <w:pPr>
              <w:rPr>
                <w:rFonts w:ascii="Times New Roman" w:hAnsi="Times New Roman" w:cs="Times New Roman"/>
                <w:color w:val="000000" w:themeColor="text1"/>
                <w:sz w:val="24"/>
                <w:szCs w:val="24"/>
              </w:rPr>
            </w:pPr>
          </w:p>
        </w:tc>
      </w:tr>
      <w:tr w:rsidR="00103516" w14:paraId="12D61063" w14:textId="77777777" w:rsidTr="00103516">
        <w:tc>
          <w:tcPr>
            <w:tcW w:w="2610" w:type="dxa"/>
          </w:tcPr>
          <w:p w14:paraId="5061E172"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 xml:space="preserve">IVF </w:t>
            </w:r>
          </w:p>
        </w:tc>
        <w:tc>
          <w:tcPr>
            <w:tcW w:w="1216" w:type="dxa"/>
          </w:tcPr>
          <w:p w14:paraId="5612C50E"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2pint RL</w:t>
            </w:r>
          </w:p>
          <w:p w14:paraId="291E807B"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 xml:space="preserve">2pint NS </w:t>
            </w:r>
          </w:p>
          <w:p w14:paraId="1233B2B9"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1pint DNS</w:t>
            </w:r>
          </w:p>
        </w:tc>
        <w:tc>
          <w:tcPr>
            <w:tcW w:w="1497" w:type="dxa"/>
          </w:tcPr>
          <w:p w14:paraId="645C13FC"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IV</w:t>
            </w:r>
          </w:p>
        </w:tc>
        <w:tc>
          <w:tcPr>
            <w:tcW w:w="1317" w:type="dxa"/>
          </w:tcPr>
          <w:p w14:paraId="3B778DE7"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@100ml/hr</w:t>
            </w:r>
          </w:p>
        </w:tc>
        <w:tc>
          <w:tcPr>
            <w:tcW w:w="792" w:type="dxa"/>
          </w:tcPr>
          <w:p w14:paraId="748BAB36" w14:textId="77777777" w:rsidR="00103516" w:rsidRPr="00103516" w:rsidRDefault="00103516" w:rsidP="0010351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792" w:type="dxa"/>
          </w:tcPr>
          <w:p w14:paraId="2D341DB8" w14:textId="77777777" w:rsidR="00103516" w:rsidRPr="00103516" w:rsidRDefault="00103516" w:rsidP="00103516">
            <w:pPr>
              <w:rPr>
                <w:rFonts w:ascii="Times New Roman" w:hAnsi="Times New Roman" w:cs="Times New Roman"/>
                <w:color w:val="000000" w:themeColor="text1"/>
                <w:sz w:val="24"/>
                <w:szCs w:val="24"/>
              </w:rPr>
            </w:pPr>
          </w:p>
        </w:tc>
        <w:tc>
          <w:tcPr>
            <w:tcW w:w="792" w:type="dxa"/>
          </w:tcPr>
          <w:p w14:paraId="4364F349" w14:textId="77777777" w:rsidR="00103516" w:rsidRPr="00103516" w:rsidRDefault="00103516" w:rsidP="00103516">
            <w:pPr>
              <w:rPr>
                <w:rFonts w:ascii="Times New Roman" w:hAnsi="Times New Roman" w:cs="Times New Roman"/>
                <w:color w:val="000000" w:themeColor="text1"/>
                <w:sz w:val="24"/>
                <w:szCs w:val="24"/>
              </w:rPr>
            </w:pPr>
          </w:p>
        </w:tc>
      </w:tr>
      <w:tr w:rsidR="00103516" w14:paraId="5595A3E9" w14:textId="77777777" w:rsidTr="00103516">
        <w:tc>
          <w:tcPr>
            <w:tcW w:w="2610" w:type="dxa"/>
          </w:tcPr>
          <w:p w14:paraId="393F69C7"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INJ AMOXICILLIN + CLAVULENIC ACID</w:t>
            </w:r>
          </w:p>
        </w:tc>
        <w:tc>
          <w:tcPr>
            <w:tcW w:w="1216" w:type="dxa"/>
          </w:tcPr>
          <w:p w14:paraId="50C9B987"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1.2g</w:t>
            </w:r>
          </w:p>
        </w:tc>
        <w:tc>
          <w:tcPr>
            <w:tcW w:w="1497" w:type="dxa"/>
          </w:tcPr>
          <w:p w14:paraId="65DF5FC2"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IV</w:t>
            </w:r>
          </w:p>
        </w:tc>
        <w:tc>
          <w:tcPr>
            <w:tcW w:w="1317" w:type="dxa"/>
          </w:tcPr>
          <w:p w14:paraId="45698F03"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1-0-1</w:t>
            </w:r>
          </w:p>
        </w:tc>
        <w:tc>
          <w:tcPr>
            <w:tcW w:w="792" w:type="dxa"/>
          </w:tcPr>
          <w:p w14:paraId="7DA03164"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color w:val="000000" w:themeColor="text1"/>
                <w:kern w:val="24"/>
                <w:lang w:val="en-US"/>
              </w:rPr>
              <w:t>*</w:t>
            </w:r>
          </w:p>
        </w:tc>
        <w:tc>
          <w:tcPr>
            <w:tcW w:w="792" w:type="dxa"/>
          </w:tcPr>
          <w:p w14:paraId="0593B83A"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color w:val="000000" w:themeColor="text1"/>
                <w:kern w:val="24"/>
                <w:lang w:val="en-US"/>
              </w:rPr>
              <w:t>*</w:t>
            </w:r>
          </w:p>
        </w:tc>
        <w:tc>
          <w:tcPr>
            <w:tcW w:w="792" w:type="dxa"/>
          </w:tcPr>
          <w:p w14:paraId="0F0F35F5" w14:textId="77777777" w:rsidR="00103516" w:rsidRPr="00103516" w:rsidRDefault="00103516" w:rsidP="00103516">
            <w:pPr>
              <w:rPr>
                <w:rFonts w:ascii="Times New Roman" w:hAnsi="Times New Roman" w:cs="Times New Roman"/>
                <w:color w:val="000000" w:themeColor="text1"/>
                <w:sz w:val="24"/>
                <w:szCs w:val="24"/>
              </w:rPr>
            </w:pPr>
          </w:p>
        </w:tc>
      </w:tr>
      <w:tr w:rsidR="00103516" w14:paraId="6FF7BB32" w14:textId="77777777" w:rsidTr="00103516">
        <w:tc>
          <w:tcPr>
            <w:tcW w:w="2610" w:type="dxa"/>
          </w:tcPr>
          <w:p w14:paraId="68BE0C6A"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lastRenderedPageBreak/>
              <w:t>INJ METRONIDAZOLE</w:t>
            </w:r>
          </w:p>
        </w:tc>
        <w:tc>
          <w:tcPr>
            <w:tcW w:w="1216" w:type="dxa"/>
          </w:tcPr>
          <w:p w14:paraId="5DEF387D"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500mg</w:t>
            </w:r>
          </w:p>
        </w:tc>
        <w:tc>
          <w:tcPr>
            <w:tcW w:w="1497" w:type="dxa"/>
          </w:tcPr>
          <w:p w14:paraId="3D570886"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IV</w:t>
            </w:r>
          </w:p>
        </w:tc>
        <w:tc>
          <w:tcPr>
            <w:tcW w:w="1317" w:type="dxa"/>
          </w:tcPr>
          <w:p w14:paraId="4EEED2D9"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1-1-1</w:t>
            </w:r>
          </w:p>
        </w:tc>
        <w:tc>
          <w:tcPr>
            <w:tcW w:w="792" w:type="dxa"/>
          </w:tcPr>
          <w:p w14:paraId="3B1BA453"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color w:val="000000" w:themeColor="text1"/>
                <w:kern w:val="24"/>
                <w:lang w:val="en-US"/>
              </w:rPr>
              <w:t>*</w:t>
            </w:r>
          </w:p>
        </w:tc>
        <w:tc>
          <w:tcPr>
            <w:tcW w:w="792" w:type="dxa"/>
          </w:tcPr>
          <w:p w14:paraId="2E7BE7A9"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color w:val="000000" w:themeColor="text1"/>
                <w:kern w:val="24"/>
                <w:lang w:val="en-US"/>
              </w:rPr>
              <w:t>*</w:t>
            </w:r>
          </w:p>
        </w:tc>
        <w:tc>
          <w:tcPr>
            <w:tcW w:w="792" w:type="dxa"/>
          </w:tcPr>
          <w:p w14:paraId="6272FA43" w14:textId="77777777" w:rsidR="00103516" w:rsidRPr="00103516" w:rsidRDefault="00103516" w:rsidP="00103516">
            <w:pPr>
              <w:rPr>
                <w:rFonts w:ascii="Times New Roman" w:hAnsi="Times New Roman" w:cs="Times New Roman"/>
                <w:color w:val="000000" w:themeColor="text1"/>
                <w:sz w:val="24"/>
                <w:szCs w:val="24"/>
              </w:rPr>
            </w:pPr>
          </w:p>
        </w:tc>
      </w:tr>
      <w:tr w:rsidR="00103516" w14:paraId="1DEE0BF7" w14:textId="77777777" w:rsidTr="00103516">
        <w:tc>
          <w:tcPr>
            <w:tcW w:w="2610" w:type="dxa"/>
          </w:tcPr>
          <w:p w14:paraId="0DD56BB9"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INJ PANTOPRAZOLE</w:t>
            </w:r>
          </w:p>
        </w:tc>
        <w:tc>
          <w:tcPr>
            <w:tcW w:w="1216" w:type="dxa"/>
          </w:tcPr>
          <w:p w14:paraId="4F9243BD"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40mg</w:t>
            </w:r>
          </w:p>
        </w:tc>
        <w:tc>
          <w:tcPr>
            <w:tcW w:w="1497" w:type="dxa"/>
          </w:tcPr>
          <w:p w14:paraId="393D97F5"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IV</w:t>
            </w:r>
          </w:p>
        </w:tc>
        <w:tc>
          <w:tcPr>
            <w:tcW w:w="1317" w:type="dxa"/>
          </w:tcPr>
          <w:p w14:paraId="0AFB53DF"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1-0-0</w:t>
            </w:r>
          </w:p>
        </w:tc>
        <w:tc>
          <w:tcPr>
            <w:tcW w:w="792" w:type="dxa"/>
          </w:tcPr>
          <w:p w14:paraId="66CD3886"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color w:val="000000" w:themeColor="text1"/>
                <w:kern w:val="24"/>
                <w:lang w:val="en-US"/>
              </w:rPr>
              <w:t>*</w:t>
            </w:r>
          </w:p>
        </w:tc>
        <w:tc>
          <w:tcPr>
            <w:tcW w:w="792" w:type="dxa"/>
          </w:tcPr>
          <w:p w14:paraId="69FE5474"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color w:val="000000" w:themeColor="text1"/>
                <w:kern w:val="24"/>
                <w:lang w:val="en-US"/>
              </w:rPr>
              <w:t>*</w:t>
            </w:r>
          </w:p>
        </w:tc>
        <w:tc>
          <w:tcPr>
            <w:tcW w:w="792" w:type="dxa"/>
          </w:tcPr>
          <w:p w14:paraId="5CFAD5EF" w14:textId="77777777" w:rsidR="00103516" w:rsidRPr="00103516" w:rsidRDefault="00103516" w:rsidP="00103516">
            <w:pPr>
              <w:rPr>
                <w:rFonts w:ascii="Times New Roman" w:hAnsi="Times New Roman" w:cs="Times New Roman"/>
                <w:color w:val="000000" w:themeColor="text1"/>
                <w:sz w:val="24"/>
                <w:szCs w:val="24"/>
              </w:rPr>
            </w:pPr>
          </w:p>
        </w:tc>
      </w:tr>
      <w:tr w:rsidR="00103516" w14:paraId="20252188" w14:textId="77777777" w:rsidTr="00103516">
        <w:tc>
          <w:tcPr>
            <w:tcW w:w="2610" w:type="dxa"/>
          </w:tcPr>
          <w:p w14:paraId="504DC9E9"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INJ PARACETAMOL</w:t>
            </w:r>
          </w:p>
        </w:tc>
        <w:tc>
          <w:tcPr>
            <w:tcW w:w="1216" w:type="dxa"/>
          </w:tcPr>
          <w:p w14:paraId="5347DEEA"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1gm</w:t>
            </w:r>
          </w:p>
        </w:tc>
        <w:tc>
          <w:tcPr>
            <w:tcW w:w="1497" w:type="dxa"/>
          </w:tcPr>
          <w:p w14:paraId="073F86BC"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IV</w:t>
            </w:r>
          </w:p>
        </w:tc>
        <w:tc>
          <w:tcPr>
            <w:tcW w:w="1317" w:type="dxa"/>
          </w:tcPr>
          <w:p w14:paraId="2B2097F7"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1-0-1</w:t>
            </w:r>
          </w:p>
        </w:tc>
        <w:tc>
          <w:tcPr>
            <w:tcW w:w="792" w:type="dxa"/>
          </w:tcPr>
          <w:p w14:paraId="1C72A504"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color w:val="000000" w:themeColor="text1"/>
                <w:kern w:val="24"/>
                <w:lang w:val="en-US"/>
              </w:rPr>
              <w:t>*</w:t>
            </w:r>
          </w:p>
        </w:tc>
        <w:tc>
          <w:tcPr>
            <w:tcW w:w="792" w:type="dxa"/>
          </w:tcPr>
          <w:p w14:paraId="75314C76"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color w:val="000000" w:themeColor="text1"/>
                <w:kern w:val="24"/>
                <w:lang w:val="en-US"/>
              </w:rPr>
              <w:t>*</w:t>
            </w:r>
          </w:p>
        </w:tc>
        <w:tc>
          <w:tcPr>
            <w:tcW w:w="792" w:type="dxa"/>
          </w:tcPr>
          <w:p w14:paraId="7F4F4C0A" w14:textId="77777777" w:rsidR="00103516" w:rsidRPr="00103516" w:rsidRDefault="00103516" w:rsidP="00103516">
            <w:pPr>
              <w:rPr>
                <w:rFonts w:ascii="Times New Roman" w:hAnsi="Times New Roman" w:cs="Times New Roman"/>
                <w:color w:val="000000" w:themeColor="text1"/>
                <w:sz w:val="24"/>
                <w:szCs w:val="24"/>
              </w:rPr>
            </w:pPr>
          </w:p>
        </w:tc>
      </w:tr>
      <w:tr w:rsidR="00103516" w14:paraId="12E7BB92" w14:textId="77777777" w:rsidTr="00103516">
        <w:tc>
          <w:tcPr>
            <w:tcW w:w="2610" w:type="dxa"/>
          </w:tcPr>
          <w:p w14:paraId="4B8428A9"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INJ ONDANSETRON</w:t>
            </w:r>
          </w:p>
        </w:tc>
        <w:tc>
          <w:tcPr>
            <w:tcW w:w="1216" w:type="dxa"/>
          </w:tcPr>
          <w:p w14:paraId="2818B576"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4mg</w:t>
            </w:r>
          </w:p>
        </w:tc>
        <w:tc>
          <w:tcPr>
            <w:tcW w:w="1497" w:type="dxa"/>
          </w:tcPr>
          <w:p w14:paraId="56F63014"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IV</w:t>
            </w:r>
          </w:p>
        </w:tc>
        <w:tc>
          <w:tcPr>
            <w:tcW w:w="1317" w:type="dxa"/>
          </w:tcPr>
          <w:p w14:paraId="3D9F62A8"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SOS</w:t>
            </w:r>
          </w:p>
        </w:tc>
        <w:tc>
          <w:tcPr>
            <w:tcW w:w="792" w:type="dxa"/>
          </w:tcPr>
          <w:p w14:paraId="26989662"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color w:val="000000" w:themeColor="text1"/>
                <w:kern w:val="24"/>
                <w:lang w:val="en-US"/>
              </w:rPr>
              <w:t>*</w:t>
            </w:r>
          </w:p>
        </w:tc>
        <w:tc>
          <w:tcPr>
            <w:tcW w:w="792" w:type="dxa"/>
          </w:tcPr>
          <w:p w14:paraId="46CDEECA"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color w:val="000000" w:themeColor="text1"/>
                <w:kern w:val="24"/>
                <w:lang w:val="en-US"/>
              </w:rPr>
              <w:t>*</w:t>
            </w:r>
          </w:p>
        </w:tc>
        <w:tc>
          <w:tcPr>
            <w:tcW w:w="792" w:type="dxa"/>
          </w:tcPr>
          <w:p w14:paraId="654E9645" w14:textId="77777777" w:rsidR="00103516" w:rsidRPr="00103516" w:rsidRDefault="00103516" w:rsidP="00103516">
            <w:pPr>
              <w:rPr>
                <w:rFonts w:ascii="Times New Roman" w:hAnsi="Times New Roman" w:cs="Times New Roman"/>
                <w:color w:val="000000" w:themeColor="text1"/>
                <w:sz w:val="24"/>
                <w:szCs w:val="24"/>
              </w:rPr>
            </w:pPr>
          </w:p>
        </w:tc>
      </w:tr>
      <w:tr w:rsidR="00103516" w14:paraId="494F382A" w14:textId="77777777" w:rsidTr="00103516">
        <w:tc>
          <w:tcPr>
            <w:tcW w:w="2610" w:type="dxa"/>
          </w:tcPr>
          <w:p w14:paraId="5F139618"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INJ DICLOFENAC</w:t>
            </w:r>
          </w:p>
        </w:tc>
        <w:tc>
          <w:tcPr>
            <w:tcW w:w="1216" w:type="dxa"/>
          </w:tcPr>
          <w:p w14:paraId="0D72108E"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 xml:space="preserve">50mg in 100ml NS </w:t>
            </w:r>
          </w:p>
        </w:tc>
        <w:tc>
          <w:tcPr>
            <w:tcW w:w="1497" w:type="dxa"/>
          </w:tcPr>
          <w:p w14:paraId="6BF1D866"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Infusion</w:t>
            </w:r>
          </w:p>
        </w:tc>
        <w:tc>
          <w:tcPr>
            <w:tcW w:w="1317" w:type="dxa"/>
          </w:tcPr>
          <w:p w14:paraId="38079F77" w14:textId="77777777" w:rsidR="00103516" w:rsidRPr="00103516" w:rsidRDefault="00103516" w:rsidP="00103516">
            <w:pPr>
              <w:pStyle w:val="NormalWeb"/>
              <w:spacing w:before="0" w:beforeAutospacing="0" w:after="0" w:afterAutospacing="0"/>
              <w:rPr>
                <w:color w:val="000000" w:themeColor="text1"/>
              </w:rPr>
            </w:pPr>
            <w:r w:rsidRPr="00103516">
              <w:rPr>
                <w:color w:val="000000" w:themeColor="text1"/>
                <w:kern w:val="24"/>
                <w:lang w:val="en-US"/>
              </w:rPr>
              <w:t>1-0-1</w:t>
            </w:r>
          </w:p>
        </w:tc>
        <w:tc>
          <w:tcPr>
            <w:tcW w:w="792" w:type="dxa"/>
          </w:tcPr>
          <w:p w14:paraId="177D6CFA"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color w:val="000000" w:themeColor="text1"/>
                <w:kern w:val="24"/>
                <w:lang w:val="en-US"/>
              </w:rPr>
              <w:t>*</w:t>
            </w:r>
          </w:p>
        </w:tc>
        <w:tc>
          <w:tcPr>
            <w:tcW w:w="792" w:type="dxa"/>
          </w:tcPr>
          <w:p w14:paraId="41CA7701" w14:textId="77777777" w:rsidR="00103516" w:rsidRPr="00103516" w:rsidRDefault="00103516" w:rsidP="00103516">
            <w:pPr>
              <w:pStyle w:val="NormalWeb"/>
              <w:spacing w:before="0" w:beforeAutospacing="0" w:after="0" w:afterAutospacing="0"/>
              <w:rPr>
                <w:color w:val="000000" w:themeColor="text1"/>
              </w:rPr>
            </w:pPr>
            <w:r w:rsidRPr="00103516">
              <w:rPr>
                <w:rFonts w:eastAsiaTheme="minorEastAsia"/>
                <w:color w:val="000000" w:themeColor="text1"/>
                <w:kern w:val="24"/>
                <w:lang w:val="en-US"/>
              </w:rPr>
              <w:t>*</w:t>
            </w:r>
          </w:p>
        </w:tc>
        <w:tc>
          <w:tcPr>
            <w:tcW w:w="792" w:type="dxa"/>
          </w:tcPr>
          <w:p w14:paraId="0F444672" w14:textId="77777777" w:rsidR="00103516" w:rsidRPr="00103516" w:rsidRDefault="00103516" w:rsidP="00103516">
            <w:pPr>
              <w:rPr>
                <w:rFonts w:ascii="Times New Roman" w:hAnsi="Times New Roman" w:cs="Times New Roman"/>
                <w:color w:val="000000" w:themeColor="text1"/>
                <w:sz w:val="24"/>
                <w:szCs w:val="24"/>
              </w:rPr>
            </w:pPr>
          </w:p>
        </w:tc>
      </w:tr>
    </w:tbl>
    <w:p w14:paraId="7F2A784C" w14:textId="77777777" w:rsidR="00103516" w:rsidRPr="00E81BF1" w:rsidRDefault="00103516" w:rsidP="00E81BF1">
      <w:pPr>
        <w:spacing w:line="276" w:lineRule="auto"/>
        <w:jc w:val="both"/>
        <w:rPr>
          <w:rFonts w:ascii="Times New Roman" w:hAnsi="Times New Roman" w:cs="Times New Roman"/>
          <w:sz w:val="24"/>
          <w:szCs w:val="24"/>
        </w:rPr>
      </w:pPr>
    </w:p>
    <w:p w14:paraId="1B560209" w14:textId="47811225" w:rsidR="00E81BF1" w:rsidRDefault="007161A6" w:rsidP="007161A6">
      <w:pPr>
        <w:spacing w:line="276" w:lineRule="auto"/>
        <w:jc w:val="both"/>
        <w:rPr>
          <w:rFonts w:ascii="Times New Roman" w:hAnsi="Times New Roman" w:cs="Times New Roman"/>
          <w:sz w:val="24"/>
          <w:szCs w:val="24"/>
        </w:rPr>
      </w:pPr>
      <w:r w:rsidRPr="007161A6">
        <w:rPr>
          <w:rFonts w:ascii="Times New Roman" w:hAnsi="Times New Roman" w:cs="Times New Roman"/>
          <w:sz w:val="24"/>
          <w:szCs w:val="24"/>
        </w:rPr>
        <w:t xml:space="preserve">Following </w:t>
      </w:r>
      <w:r w:rsidR="002C28A9">
        <w:rPr>
          <w:rFonts w:ascii="Times New Roman" w:hAnsi="Times New Roman" w:cs="Times New Roman"/>
          <w:sz w:val="24"/>
          <w:szCs w:val="24"/>
        </w:rPr>
        <w:t xml:space="preserve">left </w:t>
      </w:r>
      <w:r w:rsidRPr="007161A6">
        <w:rPr>
          <w:rFonts w:ascii="Times New Roman" w:hAnsi="Times New Roman" w:cs="Times New Roman"/>
          <w:sz w:val="24"/>
          <w:szCs w:val="24"/>
        </w:rPr>
        <w:t xml:space="preserve">hemi-thyroidectomy, the patient was placed NBM (nil by mouth) to prevent aspiration during the immediate post-operative period. Intravenous fluids including Ringer Lactate (RL), Normal Saline (NS), and Dextrose Normal Saline (DNS) were administered at 100 ml/hr to maintain hydration, electrolyte balance, and energy supply. </w:t>
      </w:r>
      <w:r w:rsidRPr="007161A6">
        <w:rPr>
          <w:rFonts w:ascii="Times New Roman" w:hAnsi="Times New Roman" w:cs="Times New Roman"/>
          <w:b/>
          <w:bCs/>
          <w:sz w:val="24"/>
          <w:szCs w:val="24"/>
        </w:rPr>
        <w:t>Inj. Amoxicillin + Clavulanic Acid (1.2 g IV BID)</w:t>
      </w:r>
      <w:r w:rsidRPr="007161A6">
        <w:rPr>
          <w:rFonts w:ascii="Times New Roman" w:hAnsi="Times New Roman" w:cs="Times New Roman"/>
          <w:sz w:val="24"/>
          <w:szCs w:val="24"/>
        </w:rPr>
        <w:t xml:space="preserve"> was given as a broad-spectrum antibiotic to prevent surgical site infection; amoxicillin inhibits bacterial cell wall synthesis, while clavulanic acid inactivates beta-lactamase enzymes. </w:t>
      </w:r>
      <w:r w:rsidRPr="007161A6">
        <w:rPr>
          <w:rFonts w:ascii="Times New Roman" w:hAnsi="Times New Roman" w:cs="Times New Roman"/>
          <w:b/>
          <w:bCs/>
          <w:sz w:val="24"/>
          <w:szCs w:val="24"/>
        </w:rPr>
        <w:t>Inj. Metronidazole (500 mg IV TID)</w:t>
      </w:r>
      <w:r w:rsidRPr="007161A6">
        <w:rPr>
          <w:rFonts w:ascii="Times New Roman" w:hAnsi="Times New Roman" w:cs="Times New Roman"/>
          <w:sz w:val="24"/>
          <w:szCs w:val="24"/>
        </w:rPr>
        <w:t xml:space="preserve"> was added to cover anaerobic organisms by disrupting DNA synthesis in bacteria. </w:t>
      </w:r>
      <w:r w:rsidRPr="007161A6">
        <w:rPr>
          <w:rFonts w:ascii="Times New Roman" w:hAnsi="Times New Roman" w:cs="Times New Roman"/>
          <w:b/>
          <w:bCs/>
          <w:sz w:val="24"/>
          <w:szCs w:val="24"/>
        </w:rPr>
        <w:t>Inj. Pantoprazole (40 mg IV OD)</w:t>
      </w:r>
      <w:r w:rsidRPr="007161A6">
        <w:rPr>
          <w:rFonts w:ascii="Times New Roman" w:hAnsi="Times New Roman" w:cs="Times New Roman"/>
          <w:sz w:val="24"/>
          <w:szCs w:val="24"/>
        </w:rPr>
        <w:t xml:space="preserve">, a proton pump inhibitor, was prescribed to reduce gastric acid secretion and prevent stress-related mucosal damage or gastritis. </w:t>
      </w:r>
      <w:r w:rsidRPr="007161A6">
        <w:rPr>
          <w:rFonts w:ascii="Times New Roman" w:hAnsi="Times New Roman" w:cs="Times New Roman"/>
          <w:b/>
          <w:bCs/>
          <w:sz w:val="24"/>
          <w:szCs w:val="24"/>
        </w:rPr>
        <w:t>Inj. Paracetamol (1 g IV BID)</w:t>
      </w:r>
      <w:r w:rsidRPr="007161A6">
        <w:rPr>
          <w:rFonts w:ascii="Times New Roman" w:hAnsi="Times New Roman" w:cs="Times New Roman"/>
          <w:sz w:val="24"/>
          <w:szCs w:val="24"/>
        </w:rPr>
        <w:t xml:space="preserve"> provided analgesia and antipyretic effect through central inhibition of prostaglandin synthesis. </w:t>
      </w:r>
      <w:r w:rsidRPr="007161A6">
        <w:rPr>
          <w:rFonts w:ascii="Times New Roman" w:hAnsi="Times New Roman" w:cs="Times New Roman"/>
          <w:b/>
          <w:bCs/>
          <w:sz w:val="24"/>
          <w:szCs w:val="24"/>
        </w:rPr>
        <w:t>Inj. Ondansetron (4 mg IV SOS)</w:t>
      </w:r>
      <w:r w:rsidRPr="007161A6">
        <w:rPr>
          <w:rFonts w:ascii="Times New Roman" w:hAnsi="Times New Roman" w:cs="Times New Roman"/>
          <w:sz w:val="24"/>
          <w:szCs w:val="24"/>
        </w:rPr>
        <w:t xml:space="preserve">, a 5-HT3 receptor antagonist, was prescribed to manage postoperative nausea and vomiting by blocking serotonin receptors in the chemoreceptor trigger zone. </w:t>
      </w:r>
      <w:r w:rsidRPr="007161A6">
        <w:rPr>
          <w:rFonts w:ascii="Times New Roman" w:hAnsi="Times New Roman" w:cs="Times New Roman"/>
          <w:b/>
          <w:bCs/>
          <w:sz w:val="24"/>
          <w:szCs w:val="24"/>
        </w:rPr>
        <w:t>Inj. Diclofenac (50 mg in 100 ml NS IV BID)</w:t>
      </w:r>
      <w:r w:rsidRPr="007161A6">
        <w:rPr>
          <w:rFonts w:ascii="Times New Roman" w:hAnsi="Times New Roman" w:cs="Times New Roman"/>
          <w:sz w:val="24"/>
          <w:szCs w:val="24"/>
        </w:rPr>
        <w:t>, a non-steroidal anti-inflammatory drug (NSAID), was administered via infusion to provide additional analgesia by inhibiting cyclooxygenase (COX) enzymes and reducing prostaglandin production, thereby alleviating pain and inflammation. Together, this regimen ensures optimal post-operative care, reduces the risk of complications, and supports smooth recovery.</w:t>
      </w:r>
    </w:p>
    <w:p w14:paraId="4D98C1A6" w14:textId="77777777" w:rsidR="007161A6" w:rsidRDefault="007161A6" w:rsidP="007161A6">
      <w:pPr>
        <w:spacing w:line="276" w:lineRule="auto"/>
        <w:jc w:val="both"/>
        <w:rPr>
          <w:rFonts w:ascii="Times New Roman" w:hAnsi="Times New Roman" w:cs="Times New Roman"/>
          <w:sz w:val="24"/>
          <w:szCs w:val="24"/>
          <w:lang w:val="en-US"/>
        </w:rPr>
      </w:pPr>
      <w:r w:rsidRPr="007161A6">
        <w:rPr>
          <w:rFonts w:ascii="Times New Roman" w:hAnsi="Times New Roman" w:cs="Times New Roman"/>
          <w:sz w:val="24"/>
          <w:szCs w:val="24"/>
          <w:lang w:val="en-US"/>
        </w:rPr>
        <w:t>Drain removed on 15/04/</w:t>
      </w:r>
      <w:proofErr w:type="gramStart"/>
      <w:r w:rsidRPr="007161A6">
        <w:rPr>
          <w:rFonts w:ascii="Times New Roman" w:hAnsi="Times New Roman" w:cs="Times New Roman"/>
          <w:sz w:val="24"/>
          <w:szCs w:val="24"/>
          <w:lang w:val="en-US"/>
        </w:rPr>
        <w:t>25 .</w:t>
      </w:r>
      <w:proofErr w:type="gramEnd"/>
      <w:r w:rsidRPr="007161A6">
        <w:rPr>
          <w:rFonts w:ascii="Times New Roman" w:hAnsi="Times New Roman" w:cs="Times New Roman"/>
          <w:sz w:val="24"/>
          <w:szCs w:val="24"/>
          <w:lang w:val="en-US"/>
        </w:rPr>
        <w:t xml:space="preserve"> Patient is hemodynamically stable symptomatically better hence being discharged with the following advice. </w:t>
      </w:r>
    </w:p>
    <w:p w14:paraId="7849E7D9" w14:textId="66D9290C" w:rsidR="007161A6" w:rsidRDefault="001B3D1A" w:rsidP="007161A6">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List </w:t>
      </w:r>
      <w:proofErr w:type="gramStart"/>
      <w:r>
        <w:rPr>
          <w:rFonts w:ascii="Times New Roman" w:hAnsi="Times New Roman" w:cs="Times New Roman"/>
          <w:b/>
          <w:bCs/>
          <w:sz w:val="24"/>
          <w:szCs w:val="24"/>
          <w:lang w:val="en-US"/>
        </w:rPr>
        <w:t>3 :</w:t>
      </w:r>
      <w:proofErr w:type="gramEnd"/>
      <w:r>
        <w:rPr>
          <w:rFonts w:ascii="Times New Roman" w:hAnsi="Times New Roman" w:cs="Times New Roman"/>
          <w:b/>
          <w:bCs/>
          <w:sz w:val="24"/>
          <w:szCs w:val="24"/>
          <w:lang w:val="en-US"/>
        </w:rPr>
        <w:t xml:space="preserve"> </w:t>
      </w:r>
      <w:r w:rsidR="007161A6" w:rsidRPr="007161A6">
        <w:rPr>
          <w:rFonts w:ascii="Times New Roman" w:hAnsi="Times New Roman" w:cs="Times New Roman"/>
          <w:b/>
          <w:bCs/>
          <w:sz w:val="24"/>
          <w:szCs w:val="24"/>
          <w:lang w:val="en-US"/>
        </w:rPr>
        <w:t xml:space="preserve">DISCHARGE MEDICATION </w:t>
      </w:r>
    </w:p>
    <w:tbl>
      <w:tblPr>
        <w:tblStyle w:val="TableGrid"/>
        <w:tblW w:w="0" w:type="auto"/>
        <w:tblLook w:val="04A0" w:firstRow="1" w:lastRow="0" w:firstColumn="1" w:lastColumn="0" w:noHBand="0" w:noVBand="1"/>
      </w:tblPr>
      <w:tblGrid>
        <w:gridCol w:w="2254"/>
        <w:gridCol w:w="2254"/>
        <w:gridCol w:w="2254"/>
        <w:gridCol w:w="2254"/>
      </w:tblGrid>
      <w:tr w:rsidR="007161A6" w14:paraId="283DE699" w14:textId="77777777">
        <w:tc>
          <w:tcPr>
            <w:tcW w:w="2254" w:type="dxa"/>
          </w:tcPr>
          <w:p w14:paraId="46507B46" w14:textId="77777777" w:rsidR="007161A6" w:rsidRDefault="00491E8E" w:rsidP="007161A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Name of medication </w:t>
            </w:r>
          </w:p>
        </w:tc>
        <w:tc>
          <w:tcPr>
            <w:tcW w:w="2254" w:type="dxa"/>
          </w:tcPr>
          <w:p w14:paraId="1896079F" w14:textId="77777777" w:rsidR="007161A6" w:rsidRDefault="00491E8E" w:rsidP="007161A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Dose </w:t>
            </w:r>
          </w:p>
        </w:tc>
        <w:tc>
          <w:tcPr>
            <w:tcW w:w="2254" w:type="dxa"/>
          </w:tcPr>
          <w:p w14:paraId="4EAF1469" w14:textId="77777777" w:rsidR="007161A6" w:rsidRDefault="00491E8E" w:rsidP="007161A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Route </w:t>
            </w:r>
          </w:p>
        </w:tc>
        <w:tc>
          <w:tcPr>
            <w:tcW w:w="2254" w:type="dxa"/>
          </w:tcPr>
          <w:p w14:paraId="2DAEDC15" w14:textId="77777777" w:rsidR="007161A6" w:rsidRDefault="00491E8E" w:rsidP="007161A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r>
      <w:tr w:rsidR="00491E8E" w14:paraId="2BF12333" w14:textId="77777777" w:rsidTr="00946DF8">
        <w:tc>
          <w:tcPr>
            <w:tcW w:w="9016" w:type="dxa"/>
            <w:gridSpan w:val="4"/>
          </w:tcPr>
          <w:p w14:paraId="69C454AB" w14:textId="77777777" w:rsidR="00491E8E" w:rsidRPr="00491E8E" w:rsidRDefault="00491E8E" w:rsidP="007161A6">
            <w:pPr>
              <w:spacing w:line="276" w:lineRule="auto"/>
              <w:jc w:val="both"/>
              <w:rPr>
                <w:rFonts w:ascii="Times New Roman" w:hAnsi="Times New Roman" w:cs="Times New Roman"/>
                <w:sz w:val="24"/>
                <w:szCs w:val="24"/>
              </w:rPr>
            </w:pPr>
            <w:r w:rsidRPr="00491E8E">
              <w:rPr>
                <w:rFonts w:ascii="Times New Roman" w:hAnsi="Times New Roman" w:cs="Times New Roman"/>
                <w:sz w:val="24"/>
                <w:szCs w:val="24"/>
              </w:rPr>
              <w:t xml:space="preserve">Regular diet </w:t>
            </w:r>
          </w:p>
        </w:tc>
      </w:tr>
      <w:tr w:rsidR="007161A6" w14:paraId="27B39E40" w14:textId="77777777">
        <w:tc>
          <w:tcPr>
            <w:tcW w:w="2254" w:type="dxa"/>
          </w:tcPr>
          <w:p w14:paraId="5CE037C3" w14:textId="77777777" w:rsidR="007161A6" w:rsidRPr="007161A6" w:rsidRDefault="007161A6" w:rsidP="007161A6">
            <w:pPr>
              <w:pStyle w:val="NormalWeb"/>
              <w:spacing w:before="0" w:beforeAutospacing="0" w:after="0" w:afterAutospacing="0"/>
              <w:rPr>
                <w:color w:val="000000" w:themeColor="text1"/>
              </w:rPr>
            </w:pPr>
            <w:r w:rsidRPr="007161A6">
              <w:rPr>
                <w:color w:val="000000" w:themeColor="text1"/>
                <w:kern w:val="24"/>
              </w:rPr>
              <w:t xml:space="preserve">TAB AMOXICLAV </w:t>
            </w:r>
          </w:p>
        </w:tc>
        <w:tc>
          <w:tcPr>
            <w:tcW w:w="2254" w:type="dxa"/>
          </w:tcPr>
          <w:p w14:paraId="20C824AF" w14:textId="77777777" w:rsidR="007161A6" w:rsidRPr="00491E8E" w:rsidRDefault="007161A6" w:rsidP="007161A6">
            <w:pPr>
              <w:pStyle w:val="NormalWeb"/>
              <w:spacing w:before="0" w:beforeAutospacing="0" w:after="0" w:afterAutospacing="0"/>
              <w:rPr>
                <w:color w:val="000000" w:themeColor="text1"/>
              </w:rPr>
            </w:pPr>
            <w:r w:rsidRPr="00491E8E">
              <w:rPr>
                <w:color w:val="000000" w:themeColor="text1"/>
                <w:kern w:val="24"/>
                <w:lang w:val="en-US"/>
              </w:rPr>
              <w:t>6</w:t>
            </w:r>
            <w:r w:rsidRPr="00491E8E">
              <w:rPr>
                <w:color w:val="000000" w:themeColor="text1"/>
                <w:kern w:val="24"/>
              </w:rPr>
              <w:t>25mg</w:t>
            </w:r>
          </w:p>
        </w:tc>
        <w:tc>
          <w:tcPr>
            <w:tcW w:w="2254" w:type="dxa"/>
          </w:tcPr>
          <w:p w14:paraId="3934162E" w14:textId="77777777" w:rsidR="007161A6" w:rsidRPr="00491E8E" w:rsidRDefault="007161A6" w:rsidP="007161A6">
            <w:pPr>
              <w:pStyle w:val="NormalWeb"/>
              <w:spacing w:before="0" w:beforeAutospacing="0" w:after="0" w:afterAutospacing="0"/>
              <w:rPr>
                <w:color w:val="000000" w:themeColor="text1"/>
              </w:rPr>
            </w:pPr>
            <w:r w:rsidRPr="00491E8E">
              <w:rPr>
                <w:color w:val="000000" w:themeColor="text1"/>
                <w:kern w:val="24"/>
              </w:rPr>
              <w:t>PO</w:t>
            </w:r>
          </w:p>
        </w:tc>
        <w:tc>
          <w:tcPr>
            <w:tcW w:w="2254" w:type="dxa"/>
          </w:tcPr>
          <w:p w14:paraId="1E43BCED" w14:textId="77777777" w:rsidR="007161A6" w:rsidRPr="007161A6" w:rsidRDefault="007161A6" w:rsidP="007161A6">
            <w:pPr>
              <w:pStyle w:val="NormalWeb"/>
              <w:spacing w:before="0" w:beforeAutospacing="0" w:after="0" w:afterAutospacing="0"/>
              <w:rPr>
                <w:color w:val="000000" w:themeColor="text1"/>
              </w:rPr>
            </w:pPr>
            <w:r w:rsidRPr="007161A6">
              <w:rPr>
                <w:color w:val="000000" w:themeColor="text1"/>
                <w:kern w:val="24"/>
              </w:rPr>
              <w:t>1-0-1 for 5 days</w:t>
            </w:r>
          </w:p>
        </w:tc>
      </w:tr>
      <w:tr w:rsidR="007161A6" w14:paraId="624BC2C9" w14:textId="77777777">
        <w:tc>
          <w:tcPr>
            <w:tcW w:w="2254" w:type="dxa"/>
          </w:tcPr>
          <w:p w14:paraId="30CAC209" w14:textId="77777777" w:rsidR="007161A6" w:rsidRPr="007161A6" w:rsidRDefault="007161A6" w:rsidP="007161A6">
            <w:pPr>
              <w:pStyle w:val="NormalWeb"/>
              <w:spacing w:before="0" w:beforeAutospacing="0" w:after="0" w:afterAutospacing="0"/>
              <w:rPr>
                <w:color w:val="000000" w:themeColor="text1"/>
              </w:rPr>
            </w:pPr>
            <w:r w:rsidRPr="007161A6">
              <w:rPr>
                <w:color w:val="000000" w:themeColor="text1"/>
                <w:kern w:val="24"/>
                <w:lang w:val="en-US"/>
              </w:rPr>
              <w:t>TAB PCT</w:t>
            </w:r>
          </w:p>
        </w:tc>
        <w:tc>
          <w:tcPr>
            <w:tcW w:w="2254" w:type="dxa"/>
          </w:tcPr>
          <w:p w14:paraId="6D82A35E" w14:textId="77777777" w:rsidR="007161A6" w:rsidRPr="00491E8E" w:rsidRDefault="007161A6" w:rsidP="007161A6">
            <w:pPr>
              <w:pStyle w:val="NormalWeb"/>
              <w:spacing w:before="0" w:beforeAutospacing="0" w:after="0" w:afterAutospacing="0"/>
              <w:rPr>
                <w:color w:val="000000" w:themeColor="text1"/>
              </w:rPr>
            </w:pPr>
            <w:r w:rsidRPr="00491E8E">
              <w:rPr>
                <w:color w:val="000000" w:themeColor="text1"/>
                <w:kern w:val="24"/>
                <w:lang w:val="en-US"/>
              </w:rPr>
              <w:t>500mg</w:t>
            </w:r>
          </w:p>
        </w:tc>
        <w:tc>
          <w:tcPr>
            <w:tcW w:w="2254" w:type="dxa"/>
          </w:tcPr>
          <w:p w14:paraId="47C22DA8" w14:textId="77777777" w:rsidR="007161A6" w:rsidRPr="00491E8E" w:rsidRDefault="007161A6" w:rsidP="007161A6">
            <w:pPr>
              <w:pStyle w:val="NormalWeb"/>
              <w:spacing w:before="0" w:beforeAutospacing="0" w:after="0" w:afterAutospacing="0"/>
              <w:rPr>
                <w:color w:val="000000" w:themeColor="text1"/>
              </w:rPr>
            </w:pPr>
            <w:r w:rsidRPr="00491E8E">
              <w:rPr>
                <w:color w:val="000000" w:themeColor="text1"/>
                <w:kern w:val="24"/>
                <w:lang w:val="en-US"/>
              </w:rPr>
              <w:t>PO</w:t>
            </w:r>
          </w:p>
        </w:tc>
        <w:tc>
          <w:tcPr>
            <w:tcW w:w="2254" w:type="dxa"/>
          </w:tcPr>
          <w:p w14:paraId="7F5E5E12" w14:textId="77777777" w:rsidR="007161A6" w:rsidRPr="007161A6" w:rsidRDefault="007161A6" w:rsidP="007161A6">
            <w:pPr>
              <w:pStyle w:val="NormalWeb"/>
              <w:spacing w:before="0" w:beforeAutospacing="0" w:after="0" w:afterAutospacing="0"/>
              <w:rPr>
                <w:color w:val="000000" w:themeColor="text1"/>
              </w:rPr>
            </w:pPr>
            <w:r w:rsidRPr="007161A6">
              <w:rPr>
                <w:color w:val="000000" w:themeColor="text1"/>
                <w:kern w:val="24"/>
                <w:lang w:val="en-US"/>
              </w:rPr>
              <w:t xml:space="preserve">1-0-1 for 5 days </w:t>
            </w:r>
          </w:p>
        </w:tc>
      </w:tr>
      <w:tr w:rsidR="007161A6" w14:paraId="501A400E" w14:textId="77777777">
        <w:tc>
          <w:tcPr>
            <w:tcW w:w="2254" w:type="dxa"/>
          </w:tcPr>
          <w:p w14:paraId="0F7C88BE" w14:textId="77777777" w:rsidR="007161A6" w:rsidRPr="007161A6" w:rsidRDefault="007161A6" w:rsidP="007161A6">
            <w:pPr>
              <w:pStyle w:val="NormalWeb"/>
              <w:spacing w:before="0" w:beforeAutospacing="0" w:after="0" w:afterAutospacing="0"/>
              <w:rPr>
                <w:color w:val="000000" w:themeColor="text1"/>
              </w:rPr>
            </w:pPr>
            <w:r w:rsidRPr="007161A6">
              <w:rPr>
                <w:color w:val="000000" w:themeColor="text1"/>
                <w:kern w:val="24"/>
                <w:lang w:val="en-US"/>
              </w:rPr>
              <w:t xml:space="preserve">TAB PANTOP </w:t>
            </w:r>
          </w:p>
        </w:tc>
        <w:tc>
          <w:tcPr>
            <w:tcW w:w="2254" w:type="dxa"/>
          </w:tcPr>
          <w:p w14:paraId="37968DD5" w14:textId="77777777" w:rsidR="007161A6" w:rsidRPr="00491E8E" w:rsidRDefault="007161A6" w:rsidP="007161A6">
            <w:pPr>
              <w:pStyle w:val="NormalWeb"/>
              <w:spacing w:before="0" w:beforeAutospacing="0" w:after="0" w:afterAutospacing="0"/>
              <w:rPr>
                <w:color w:val="000000" w:themeColor="text1"/>
              </w:rPr>
            </w:pPr>
            <w:r w:rsidRPr="00491E8E">
              <w:rPr>
                <w:color w:val="000000" w:themeColor="text1"/>
                <w:kern w:val="24"/>
              </w:rPr>
              <w:t>40mg</w:t>
            </w:r>
          </w:p>
        </w:tc>
        <w:tc>
          <w:tcPr>
            <w:tcW w:w="2254" w:type="dxa"/>
          </w:tcPr>
          <w:p w14:paraId="25CBEFAF" w14:textId="77777777" w:rsidR="007161A6" w:rsidRPr="00491E8E" w:rsidRDefault="007161A6" w:rsidP="007161A6">
            <w:pPr>
              <w:pStyle w:val="NormalWeb"/>
              <w:spacing w:before="0" w:beforeAutospacing="0" w:after="0" w:afterAutospacing="0"/>
              <w:rPr>
                <w:color w:val="000000" w:themeColor="text1"/>
              </w:rPr>
            </w:pPr>
            <w:r w:rsidRPr="00491E8E">
              <w:rPr>
                <w:color w:val="000000" w:themeColor="text1"/>
                <w:kern w:val="24"/>
              </w:rPr>
              <w:t>PO</w:t>
            </w:r>
          </w:p>
        </w:tc>
        <w:tc>
          <w:tcPr>
            <w:tcW w:w="2254" w:type="dxa"/>
          </w:tcPr>
          <w:p w14:paraId="1BB6D51B" w14:textId="77777777" w:rsidR="007161A6" w:rsidRPr="007161A6" w:rsidRDefault="007161A6" w:rsidP="007161A6">
            <w:pPr>
              <w:pStyle w:val="NormalWeb"/>
              <w:spacing w:before="0" w:beforeAutospacing="0" w:after="0" w:afterAutospacing="0"/>
              <w:rPr>
                <w:color w:val="000000" w:themeColor="text1"/>
              </w:rPr>
            </w:pPr>
            <w:r w:rsidRPr="007161A6">
              <w:rPr>
                <w:color w:val="000000" w:themeColor="text1"/>
                <w:kern w:val="24"/>
              </w:rPr>
              <w:t xml:space="preserve">1-0-0 for 5 days </w:t>
            </w:r>
          </w:p>
        </w:tc>
      </w:tr>
      <w:tr w:rsidR="00491E8E" w14:paraId="4E78BB00" w14:textId="77777777" w:rsidTr="00C153D8">
        <w:tc>
          <w:tcPr>
            <w:tcW w:w="9016" w:type="dxa"/>
            <w:gridSpan w:val="4"/>
          </w:tcPr>
          <w:p w14:paraId="1A182B5C" w14:textId="2649693F" w:rsidR="00491E8E" w:rsidRPr="00491E8E" w:rsidRDefault="00491E8E" w:rsidP="00491E8E">
            <w:pPr>
              <w:spacing w:line="276" w:lineRule="auto"/>
              <w:jc w:val="both"/>
              <w:rPr>
                <w:rFonts w:ascii="Times New Roman" w:hAnsi="Times New Roman" w:cs="Times New Roman"/>
                <w:sz w:val="24"/>
                <w:szCs w:val="24"/>
              </w:rPr>
            </w:pPr>
            <w:r w:rsidRPr="00491E8E">
              <w:rPr>
                <w:rFonts w:ascii="Times New Roman" w:hAnsi="Times New Roman" w:cs="Times New Roman"/>
                <w:sz w:val="24"/>
                <w:szCs w:val="24"/>
                <w:lang w:val="en-US"/>
              </w:rPr>
              <w:t xml:space="preserve">To review in surgery C unit on </w:t>
            </w:r>
            <w:proofErr w:type="gramStart"/>
            <w:r w:rsidRPr="00491E8E">
              <w:rPr>
                <w:rFonts w:ascii="Times New Roman" w:hAnsi="Times New Roman" w:cs="Times New Roman"/>
                <w:sz w:val="24"/>
                <w:szCs w:val="24"/>
                <w:lang w:val="en-US"/>
              </w:rPr>
              <w:t>Wednesday  OPD</w:t>
            </w:r>
            <w:proofErr w:type="gramEnd"/>
            <w:r w:rsidRPr="00491E8E">
              <w:rPr>
                <w:rFonts w:ascii="Times New Roman" w:hAnsi="Times New Roman" w:cs="Times New Roman"/>
                <w:sz w:val="24"/>
                <w:szCs w:val="24"/>
                <w:lang w:val="en-US"/>
              </w:rPr>
              <w:t xml:space="preserve"> after  </w:t>
            </w:r>
            <w:r w:rsidR="002C28A9">
              <w:rPr>
                <w:rFonts w:ascii="Times New Roman" w:hAnsi="Times New Roman" w:cs="Times New Roman"/>
                <w:sz w:val="24"/>
                <w:szCs w:val="24"/>
                <w:lang w:val="en-US"/>
              </w:rPr>
              <w:t>3</w:t>
            </w:r>
            <w:r w:rsidRPr="00491E8E">
              <w:rPr>
                <w:rFonts w:ascii="Times New Roman" w:hAnsi="Times New Roman" w:cs="Times New Roman"/>
                <w:sz w:val="24"/>
                <w:szCs w:val="24"/>
                <w:lang w:val="en-US"/>
              </w:rPr>
              <w:t>week</w:t>
            </w:r>
            <w:r w:rsidR="002C28A9">
              <w:rPr>
                <w:rFonts w:ascii="Times New Roman" w:hAnsi="Times New Roman" w:cs="Times New Roman"/>
                <w:sz w:val="24"/>
                <w:szCs w:val="24"/>
                <w:lang w:val="en-US"/>
              </w:rPr>
              <w:t xml:space="preserve">s with TFT and Serum Calcium </w:t>
            </w:r>
          </w:p>
          <w:p w14:paraId="2C442CD5" w14:textId="55DABE88" w:rsidR="00491E8E" w:rsidRPr="00491E8E" w:rsidRDefault="002C28A9" w:rsidP="007161A6">
            <w:pPr>
              <w:spacing w:line="276" w:lineRule="auto"/>
              <w:jc w:val="both"/>
              <w:rPr>
                <w:rFonts w:ascii="Times New Roman" w:hAnsi="Times New Roman" w:cs="Times New Roman"/>
                <w:sz w:val="24"/>
                <w:szCs w:val="24"/>
              </w:rPr>
            </w:pPr>
            <w:r>
              <w:rPr>
                <w:rFonts w:ascii="Times New Roman" w:hAnsi="Times New Roman" w:cs="Times New Roman"/>
                <w:sz w:val="24"/>
                <w:szCs w:val="24"/>
              </w:rPr>
              <w:t>To rule any hypothyroidism /hypocalcaemia</w:t>
            </w:r>
          </w:p>
        </w:tc>
      </w:tr>
    </w:tbl>
    <w:p w14:paraId="08AABDC1" w14:textId="77777777" w:rsidR="007161A6" w:rsidRDefault="007161A6" w:rsidP="007161A6">
      <w:pPr>
        <w:spacing w:line="276" w:lineRule="auto"/>
        <w:jc w:val="both"/>
        <w:rPr>
          <w:rFonts w:ascii="Times New Roman" w:hAnsi="Times New Roman" w:cs="Times New Roman"/>
          <w:b/>
          <w:bCs/>
          <w:sz w:val="24"/>
          <w:szCs w:val="24"/>
        </w:rPr>
      </w:pPr>
    </w:p>
    <w:p w14:paraId="193E44EC" w14:textId="77777777" w:rsidR="00803C90" w:rsidRPr="007161A6" w:rsidRDefault="00803C90" w:rsidP="007161A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04E6C0DE" w14:textId="736DC4F7" w:rsidR="004E1023" w:rsidRDefault="00803C90" w:rsidP="004E1023">
      <w:pPr>
        <w:spacing w:line="276" w:lineRule="auto"/>
        <w:jc w:val="both"/>
        <w:rPr>
          <w:rFonts w:ascii="Times New Roman" w:hAnsi="Times New Roman" w:cs="Times New Roman"/>
          <w:sz w:val="24"/>
          <w:szCs w:val="24"/>
        </w:rPr>
      </w:pPr>
      <w:r w:rsidRPr="00EC7D19">
        <w:rPr>
          <w:rFonts w:ascii="Times New Roman" w:hAnsi="Times New Roman" w:cs="Times New Roman"/>
          <w:sz w:val="24"/>
          <w:szCs w:val="24"/>
        </w:rPr>
        <w:t xml:space="preserve">A 27-year-old female presented with a gradually progressive, painless swelling over the left side of the neck for 2 months, without associated symptoms like difficulty in swallowing, breathing, weight change, or pain. On examination, the swelling was firm, smooth, mobile, and </w:t>
      </w:r>
      <w:r w:rsidRPr="00EC7D19">
        <w:rPr>
          <w:rFonts w:ascii="Times New Roman" w:hAnsi="Times New Roman" w:cs="Times New Roman"/>
          <w:sz w:val="24"/>
          <w:szCs w:val="24"/>
        </w:rPr>
        <w:lastRenderedPageBreak/>
        <w:t>moved with deglutition</w:t>
      </w:r>
      <w:r>
        <w:rPr>
          <w:rFonts w:ascii="Times New Roman" w:hAnsi="Times New Roman" w:cs="Times New Roman"/>
          <w:sz w:val="24"/>
          <w:szCs w:val="24"/>
        </w:rPr>
        <w:t xml:space="preserve">, so the surgeon was advised to take a report of thyroid profile </w:t>
      </w:r>
      <w:r w:rsidR="00063292">
        <w:rPr>
          <w:rFonts w:ascii="Times New Roman" w:hAnsi="Times New Roman" w:cs="Times New Roman"/>
          <w:sz w:val="24"/>
          <w:szCs w:val="24"/>
        </w:rPr>
        <w:t xml:space="preserve">, which was normal so advise for USG of Neck : which suggesting : </w:t>
      </w:r>
      <w:r w:rsidR="00063292" w:rsidRPr="00063292">
        <w:rPr>
          <w:lang w:val="en-US"/>
        </w:rPr>
        <w:t>BENIGN THYROID NODULE IN THE LEFT LOBE</w:t>
      </w:r>
      <w:r w:rsidR="00063292">
        <w:rPr>
          <w:lang w:val="en-US"/>
        </w:rPr>
        <w:t xml:space="preserve">, </w:t>
      </w:r>
      <w:r w:rsidR="00063292" w:rsidRPr="00063292">
        <w:rPr>
          <w:rFonts w:ascii="Times New Roman" w:hAnsi="Times New Roman" w:cs="Times New Roman"/>
          <w:sz w:val="24"/>
          <w:szCs w:val="24"/>
        </w:rPr>
        <w:t xml:space="preserve">Based on the ultrasound findings and applying the TI-RADS (Thyroid Imaging Reporting and Data System) criteria, the thyroid lesion in the left lobe measures 3.5 x 1.5 cm and appears heterogeneous in echotexture. This suggests a mixed cystic and solid composition (1 point) with likely hypoechoic echogenicity (2 points). The lesion shape is presumed wider-than-tall (0 points), with smooth margins (0 points), and no mention of echogenic foci (0 points). The total TI-RADS score is therefore 3, placing it in the </w:t>
      </w:r>
      <w:r w:rsidR="00063292" w:rsidRPr="00063292">
        <w:rPr>
          <w:rFonts w:ascii="Times New Roman" w:hAnsi="Times New Roman" w:cs="Times New Roman"/>
          <w:b/>
          <w:bCs/>
          <w:sz w:val="24"/>
          <w:szCs w:val="24"/>
        </w:rPr>
        <w:t>TR3 category</w:t>
      </w:r>
      <w:r w:rsidR="00063292" w:rsidRPr="00063292">
        <w:rPr>
          <w:rFonts w:ascii="Times New Roman" w:hAnsi="Times New Roman" w:cs="Times New Roman"/>
          <w:sz w:val="24"/>
          <w:szCs w:val="24"/>
        </w:rPr>
        <w:t xml:space="preserve">, which indicates a </w:t>
      </w:r>
      <w:r w:rsidR="00063292" w:rsidRPr="00063292">
        <w:rPr>
          <w:rFonts w:ascii="Times New Roman" w:hAnsi="Times New Roman" w:cs="Times New Roman"/>
          <w:b/>
          <w:bCs/>
          <w:sz w:val="24"/>
          <w:szCs w:val="24"/>
        </w:rPr>
        <w:t>mildly suspicious</w:t>
      </w:r>
      <w:r w:rsidR="00063292" w:rsidRPr="00063292">
        <w:rPr>
          <w:rFonts w:ascii="Times New Roman" w:hAnsi="Times New Roman" w:cs="Times New Roman"/>
          <w:sz w:val="24"/>
          <w:szCs w:val="24"/>
        </w:rPr>
        <w:t xml:space="preserve"> nodule. According to TI-RADS guidelines, for a TR3 nodule measuring 2.5 cm or more, </w:t>
      </w:r>
      <w:r w:rsidR="00063292" w:rsidRPr="00063292">
        <w:rPr>
          <w:rFonts w:ascii="Times New Roman" w:hAnsi="Times New Roman" w:cs="Times New Roman"/>
          <w:b/>
          <w:bCs/>
          <w:sz w:val="24"/>
          <w:szCs w:val="24"/>
        </w:rPr>
        <w:t>fine needle aspiration (FNA)</w:t>
      </w:r>
      <w:r w:rsidR="00063292" w:rsidRPr="00063292">
        <w:rPr>
          <w:rFonts w:ascii="Times New Roman" w:hAnsi="Times New Roman" w:cs="Times New Roman"/>
          <w:sz w:val="24"/>
          <w:szCs w:val="24"/>
        </w:rPr>
        <w:t xml:space="preserve"> is recommended. Given the lesion size of 3.5 cm, FNA</w:t>
      </w:r>
      <w:r w:rsidR="00063292">
        <w:rPr>
          <w:rFonts w:ascii="Times New Roman" w:hAnsi="Times New Roman" w:cs="Times New Roman"/>
          <w:sz w:val="24"/>
          <w:szCs w:val="24"/>
        </w:rPr>
        <w:t>C</w:t>
      </w:r>
      <w:r w:rsidR="00063292" w:rsidRPr="00063292">
        <w:rPr>
          <w:rFonts w:ascii="Times New Roman" w:hAnsi="Times New Roman" w:cs="Times New Roman"/>
          <w:sz w:val="24"/>
          <w:szCs w:val="24"/>
        </w:rPr>
        <w:t xml:space="preserve"> would be indicated in this case for further </w:t>
      </w:r>
      <w:proofErr w:type="gramStart"/>
      <w:r w:rsidR="00063292" w:rsidRPr="00063292">
        <w:rPr>
          <w:rFonts w:ascii="Times New Roman" w:hAnsi="Times New Roman" w:cs="Times New Roman"/>
          <w:sz w:val="24"/>
          <w:szCs w:val="24"/>
        </w:rPr>
        <w:t>evaluation</w:t>
      </w:r>
      <w:r w:rsidR="00063292">
        <w:rPr>
          <w:rFonts w:ascii="Times New Roman" w:hAnsi="Times New Roman" w:cs="Times New Roman"/>
          <w:sz w:val="24"/>
          <w:szCs w:val="24"/>
        </w:rPr>
        <w:t xml:space="preserve"> ,</w:t>
      </w:r>
      <w:proofErr w:type="gramEnd"/>
      <w:r w:rsidR="00063292">
        <w:rPr>
          <w:rFonts w:ascii="Times New Roman" w:hAnsi="Times New Roman" w:cs="Times New Roman"/>
          <w:sz w:val="24"/>
          <w:szCs w:val="24"/>
        </w:rPr>
        <w:t xml:space="preserve"> so the surgeon   advised the FNAC , impression was : </w:t>
      </w:r>
      <w:r w:rsidR="00063292" w:rsidRPr="00C36C90">
        <w:rPr>
          <w:rFonts w:ascii="Times New Roman" w:hAnsi="Times New Roman" w:cs="Times New Roman"/>
          <w:b/>
          <w:bCs/>
          <w:sz w:val="24"/>
          <w:szCs w:val="24"/>
          <w:lang w:val="en-US"/>
        </w:rPr>
        <w:t>Features are suggestive of a cystic lesion of the thyroid . A cystic lesion implies that the swelling is at least partly fluid-filled, and in this context, is likely benign.</w:t>
      </w:r>
      <w:r w:rsidR="00063292">
        <w:rPr>
          <w:rFonts w:ascii="Times New Roman" w:hAnsi="Times New Roman" w:cs="Times New Roman"/>
          <w:b/>
          <w:bCs/>
          <w:sz w:val="24"/>
          <w:szCs w:val="24"/>
          <w:lang w:val="en-US"/>
        </w:rPr>
        <w:t xml:space="preserve"> </w:t>
      </w:r>
      <w:r w:rsidR="00063292">
        <w:rPr>
          <w:rFonts w:ascii="Times New Roman" w:hAnsi="Times New Roman" w:cs="Times New Roman"/>
          <w:sz w:val="24"/>
          <w:szCs w:val="24"/>
          <w:lang w:val="en-US"/>
        </w:rPr>
        <w:t>even the FNAC not confirmed the benign tumor , it given as query so the surgeons are decided to go for total thyroidectomy , but during surgery the</w:t>
      </w:r>
      <w:r w:rsidR="00434A03">
        <w:rPr>
          <w:rFonts w:ascii="Times New Roman" w:hAnsi="Times New Roman" w:cs="Times New Roman"/>
          <w:sz w:val="24"/>
          <w:szCs w:val="24"/>
          <w:lang w:val="en-US"/>
        </w:rPr>
        <w:t xml:space="preserve">y observed swelling only left lobe of the thyroid gland so they did the </w:t>
      </w:r>
      <w:r w:rsidR="002C28A9">
        <w:rPr>
          <w:rFonts w:ascii="Times New Roman" w:hAnsi="Times New Roman" w:cs="Times New Roman"/>
          <w:sz w:val="24"/>
          <w:szCs w:val="24"/>
          <w:lang w:val="en-US"/>
        </w:rPr>
        <w:t xml:space="preserve"> Left </w:t>
      </w:r>
      <w:r w:rsidR="00434A03">
        <w:rPr>
          <w:rFonts w:ascii="Times New Roman" w:hAnsi="Times New Roman" w:cs="Times New Roman"/>
          <w:sz w:val="24"/>
          <w:szCs w:val="24"/>
          <w:lang w:val="en-US"/>
        </w:rPr>
        <w:t xml:space="preserve">hemithyroidectomy and sent this biopsy to pathology department for histopathological examination  to see for </w:t>
      </w:r>
      <w:r w:rsidR="00434A03" w:rsidRPr="00CA53FC">
        <w:rPr>
          <w:rFonts w:ascii="Times New Roman" w:hAnsi="Times New Roman" w:cs="Times New Roman"/>
          <w:sz w:val="24"/>
          <w:szCs w:val="24"/>
          <w:lang w:val="en-US"/>
        </w:rPr>
        <w:t>vascular invasion and capsular invasion</w:t>
      </w:r>
      <w:r w:rsidR="00434A03">
        <w:rPr>
          <w:rFonts w:ascii="Times New Roman" w:hAnsi="Times New Roman" w:cs="Times New Roman"/>
          <w:sz w:val="24"/>
          <w:szCs w:val="24"/>
          <w:lang w:val="en-US"/>
        </w:rPr>
        <w:t xml:space="preserve"> if it is present they which conclude follicular carcinoma and they call back the patient and perform total thyroidectomy if it is negative </w:t>
      </w:r>
      <w:r w:rsidR="004E1023">
        <w:rPr>
          <w:rFonts w:ascii="Times New Roman" w:hAnsi="Times New Roman" w:cs="Times New Roman"/>
          <w:sz w:val="24"/>
          <w:szCs w:val="24"/>
          <w:lang w:val="en-US"/>
        </w:rPr>
        <w:t xml:space="preserve">no further treatment , </w:t>
      </w:r>
      <w:r w:rsidR="004E1023" w:rsidRPr="007161A6">
        <w:rPr>
          <w:rFonts w:ascii="Times New Roman" w:hAnsi="Times New Roman" w:cs="Times New Roman"/>
          <w:sz w:val="24"/>
          <w:szCs w:val="24"/>
        </w:rPr>
        <w:t xml:space="preserve">Following hemi-thyroidectomy, the patient was placed NBM (nil by mouth) to prevent aspiration during the immediate post-operative period. Intravenous fluids including Ringer Lactate (RL), Normal Saline (NS), and Dextrose Normal Saline (DNS) were administered at 100 ml/hr to maintain hydration, electrolyte balance, and energy supply. </w:t>
      </w:r>
      <w:r w:rsidR="004E1023" w:rsidRPr="007161A6">
        <w:rPr>
          <w:rFonts w:ascii="Times New Roman" w:hAnsi="Times New Roman" w:cs="Times New Roman"/>
          <w:b/>
          <w:bCs/>
          <w:sz w:val="24"/>
          <w:szCs w:val="24"/>
        </w:rPr>
        <w:t>Inj. Amoxicillin + Clavulanic Acid (1.2 g IV BID)</w:t>
      </w:r>
      <w:r w:rsidR="004E1023" w:rsidRPr="007161A6">
        <w:rPr>
          <w:rFonts w:ascii="Times New Roman" w:hAnsi="Times New Roman" w:cs="Times New Roman"/>
          <w:sz w:val="24"/>
          <w:szCs w:val="24"/>
        </w:rPr>
        <w:t xml:space="preserve"> was given as a broad-spectrum antibiotic to prevent surgical site infection; amoxicillin inhibits bacterial cell wall synthesis, while clavulanic acid inactivates beta-lactamase enzymes. </w:t>
      </w:r>
      <w:r w:rsidR="004E1023" w:rsidRPr="007161A6">
        <w:rPr>
          <w:rFonts w:ascii="Times New Roman" w:hAnsi="Times New Roman" w:cs="Times New Roman"/>
          <w:b/>
          <w:bCs/>
          <w:sz w:val="24"/>
          <w:szCs w:val="24"/>
        </w:rPr>
        <w:t>Inj. Metronidazole (500 mg IV TID)</w:t>
      </w:r>
      <w:r w:rsidR="004E1023" w:rsidRPr="007161A6">
        <w:rPr>
          <w:rFonts w:ascii="Times New Roman" w:hAnsi="Times New Roman" w:cs="Times New Roman"/>
          <w:sz w:val="24"/>
          <w:szCs w:val="24"/>
        </w:rPr>
        <w:t xml:space="preserve"> was added to cover anaerobic organisms by disrupting DNA synthesis in bacteria. </w:t>
      </w:r>
      <w:r w:rsidR="004E1023" w:rsidRPr="007161A6">
        <w:rPr>
          <w:rFonts w:ascii="Times New Roman" w:hAnsi="Times New Roman" w:cs="Times New Roman"/>
          <w:b/>
          <w:bCs/>
          <w:sz w:val="24"/>
          <w:szCs w:val="24"/>
        </w:rPr>
        <w:t>Inj. Pantoprazole (40 mg IV OD)</w:t>
      </w:r>
      <w:r w:rsidR="004E1023" w:rsidRPr="007161A6">
        <w:rPr>
          <w:rFonts w:ascii="Times New Roman" w:hAnsi="Times New Roman" w:cs="Times New Roman"/>
          <w:sz w:val="24"/>
          <w:szCs w:val="24"/>
        </w:rPr>
        <w:t xml:space="preserve">, a proton pump inhibitor, was prescribed to reduce gastric acid secretion and prevent stress-related mucosal damage or gastritis. </w:t>
      </w:r>
      <w:r w:rsidR="004E1023" w:rsidRPr="007161A6">
        <w:rPr>
          <w:rFonts w:ascii="Times New Roman" w:hAnsi="Times New Roman" w:cs="Times New Roman"/>
          <w:b/>
          <w:bCs/>
          <w:sz w:val="24"/>
          <w:szCs w:val="24"/>
        </w:rPr>
        <w:t>Inj. Paracetamol (1 g IV BID)</w:t>
      </w:r>
      <w:r w:rsidR="004E1023" w:rsidRPr="007161A6">
        <w:rPr>
          <w:rFonts w:ascii="Times New Roman" w:hAnsi="Times New Roman" w:cs="Times New Roman"/>
          <w:sz w:val="24"/>
          <w:szCs w:val="24"/>
        </w:rPr>
        <w:t xml:space="preserve"> provided analgesia and antipyretic effect through central inhibition of prostaglandin synthesis. </w:t>
      </w:r>
      <w:r w:rsidR="004E1023" w:rsidRPr="007161A6">
        <w:rPr>
          <w:rFonts w:ascii="Times New Roman" w:hAnsi="Times New Roman" w:cs="Times New Roman"/>
          <w:b/>
          <w:bCs/>
          <w:sz w:val="24"/>
          <w:szCs w:val="24"/>
        </w:rPr>
        <w:t>Inj. Ondansetron (4 mg IV SOS)</w:t>
      </w:r>
      <w:r w:rsidR="004E1023" w:rsidRPr="007161A6">
        <w:rPr>
          <w:rFonts w:ascii="Times New Roman" w:hAnsi="Times New Roman" w:cs="Times New Roman"/>
          <w:sz w:val="24"/>
          <w:szCs w:val="24"/>
        </w:rPr>
        <w:t xml:space="preserve">, a 5-HT3 receptor antagonist, was prescribed to manage postoperative nausea and vomiting by blocking serotonin receptors in the chemoreceptor trigger zone. </w:t>
      </w:r>
      <w:r w:rsidR="004E1023" w:rsidRPr="007161A6">
        <w:rPr>
          <w:rFonts w:ascii="Times New Roman" w:hAnsi="Times New Roman" w:cs="Times New Roman"/>
          <w:b/>
          <w:bCs/>
          <w:sz w:val="24"/>
          <w:szCs w:val="24"/>
        </w:rPr>
        <w:t>Inj. Diclofenac (50 mg in 100 ml NS IV BID)</w:t>
      </w:r>
      <w:r w:rsidR="004E1023" w:rsidRPr="007161A6">
        <w:rPr>
          <w:rFonts w:ascii="Times New Roman" w:hAnsi="Times New Roman" w:cs="Times New Roman"/>
          <w:sz w:val="24"/>
          <w:szCs w:val="24"/>
        </w:rPr>
        <w:t>, a non-steroidal anti-inflammatory drug (NSAID), was administered via infusion to provide additional analgesia by inhibiting cyclooxygenase (COX) enzymes and reducing prostaglandin production, thereby alleviating pain and inflammation. Together, this regimen ensures optimal post-operative care, reduces the risk of complications, and supports smooth recovery.</w:t>
      </w:r>
    </w:p>
    <w:p w14:paraId="2381C1CB" w14:textId="77777777" w:rsidR="004E1023" w:rsidRDefault="004E1023" w:rsidP="004E1023">
      <w:pPr>
        <w:spacing w:line="276" w:lineRule="auto"/>
        <w:jc w:val="both"/>
        <w:rPr>
          <w:rFonts w:ascii="Times New Roman" w:hAnsi="Times New Roman" w:cs="Times New Roman"/>
          <w:sz w:val="24"/>
          <w:szCs w:val="24"/>
          <w:lang w:val="en-US"/>
        </w:rPr>
      </w:pPr>
      <w:r w:rsidRPr="007161A6">
        <w:rPr>
          <w:rFonts w:ascii="Times New Roman" w:hAnsi="Times New Roman" w:cs="Times New Roman"/>
          <w:sz w:val="24"/>
          <w:szCs w:val="24"/>
          <w:lang w:val="en-US"/>
        </w:rPr>
        <w:t>Drain removed on 15/04/</w:t>
      </w:r>
      <w:proofErr w:type="gramStart"/>
      <w:r w:rsidRPr="007161A6">
        <w:rPr>
          <w:rFonts w:ascii="Times New Roman" w:hAnsi="Times New Roman" w:cs="Times New Roman"/>
          <w:sz w:val="24"/>
          <w:szCs w:val="24"/>
          <w:lang w:val="en-US"/>
        </w:rPr>
        <w:t>25 .</w:t>
      </w:r>
      <w:proofErr w:type="gramEnd"/>
      <w:r w:rsidRPr="007161A6">
        <w:rPr>
          <w:rFonts w:ascii="Times New Roman" w:hAnsi="Times New Roman" w:cs="Times New Roman"/>
          <w:sz w:val="24"/>
          <w:szCs w:val="24"/>
          <w:lang w:val="en-US"/>
        </w:rPr>
        <w:t xml:space="preserve"> Patient is hemodynamically stable symptomatically better hence being discharged with the following advice. </w:t>
      </w:r>
    </w:p>
    <w:p w14:paraId="43F4449D" w14:textId="77777777" w:rsidR="00815BA7" w:rsidRDefault="00815BA7" w:rsidP="004E1023">
      <w:pPr>
        <w:spacing w:line="276" w:lineRule="auto"/>
        <w:jc w:val="both"/>
        <w:rPr>
          <w:rFonts w:ascii="Times New Roman" w:hAnsi="Times New Roman" w:cs="Times New Roman"/>
          <w:sz w:val="24"/>
          <w:szCs w:val="24"/>
          <w:lang w:val="en-US"/>
        </w:rPr>
      </w:pPr>
    </w:p>
    <w:p w14:paraId="5DB97798" w14:textId="77777777" w:rsidR="000D4A23" w:rsidRDefault="000D4A23" w:rsidP="004E1023">
      <w:pPr>
        <w:spacing w:line="276" w:lineRule="auto"/>
        <w:jc w:val="both"/>
        <w:rPr>
          <w:rFonts w:ascii="Times New Roman" w:hAnsi="Times New Roman" w:cs="Times New Roman"/>
          <w:b/>
          <w:bCs/>
          <w:sz w:val="24"/>
          <w:szCs w:val="24"/>
          <w:lang w:val="en-US"/>
        </w:rPr>
      </w:pPr>
    </w:p>
    <w:p w14:paraId="0CFE4186" w14:textId="77777777" w:rsidR="000D4A23" w:rsidRDefault="000D4A23" w:rsidP="004E1023">
      <w:pPr>
        <w:spacing w:line="276" w:lineRule="auto"/>
        <w:jc w:val="both"/>
        <w:rPr>
          <w:rFonts w:ascii="Times New Roman" w:hAnsi="Times New Roman" w:cs="Times New Roman"/>
          <w:b/>
          <w:bCs/>
          <w:sz w:val="24"/>
          <w:szCs w:val="24"/>
          <w:lang w:val="en-US"/>
        </w:rPr>
      </w:pPr>
    </w:p>
    <w:p w14:paraId="0CF919E6" w14:textId="2F2DD983" w:rsidR="00815BA7" w:rsidRPr="00B328BC" w:rsidRDefault="00815BA7" w:rsidP="004E1023">
      <w:pPr>
        <w:spacing w:line="276" w:lineRule="auto"/>
        <w:jc w:val="both"/>
        <w:rPr>
          <w:rFonts w:ascii="Times New Roman" w:hAnsi="Times New Roman" w:cs="Times New Roman"/>
          <w:b/>
          <w:bCs/>
          <w:sz w:val="24"/>
          <w:szCs w:val="24"/>
          <w:lang w:val="en-US"/>
        </w:rPr>
      </w:pPr>
      <w:proofErr w:type="gramStart"/>
      <w:r w:rsidRPr="00B328BC">
        <w:rPr>
          <w:rFonts w:ascii="Times New Roman" w:hAnsi="Times New Roman" w:cs="Times New Roman"/>
          <w:b/>
          <w:bCs/>
          <w:sz w:val="24"/>
          <w:szCs w:val="24"/>
          <w:lang w:val="en-US"/>
        </w:rPr>
        <w:lastRenderedPageBreak/>
        <w:t>CONCLUSION :</w:t>
      </w:r>
      <w:proofErr w:type="gramEnd"/>
    </w:p>
    <w:p w14:paraId="4B633E62" w14:textId="77777777" w:rsidR="00994CB4" w:rsidRDefault="00815BA7" w:rsidP="00003169">
      <w:pPr>
        <w:spacing w:line="276" w:lineRule="auto"/>
        <w:jc w:val="both"/>
        <w:rPr>
          <w:rFonts w:ascii="Times New Roman" w:hAnsi="Times New Roman" w:cs="Times New Roman"/>
          <w:sz w:val="24"/>
          <w:szCs w:val="24"/>
        </w:rPr>
      </w:pPr>
      <w:r w:rsidRPr="00815BA7">
        <w:rPr>
          <w:rFonts w:ascii="Times New Roman" w:hAnsi="Times New Roman" w:cs="Times New Roman"/>
          <w:sz w:val="24"/>
          <w:szCs w:val="24"/>
        </w:rPr>
        <w:t>This case report presents a 27-year-old female with a solitary thyroid nodule in the left lobe of the thyroid gland, who underwent hemi-thyroidectomy after evaluation. Clinical examination, thyroid profile, and imaging (ultrasound) indicated a benign, heterogeneous lesion with a TI-RADS score of 3, warranting FNAC. Cytology suggested a cystic lesion, but due to inconclusive confirmation of benignity and the lesion size, surgery was advised. Intraoperatively, the swelling was confined to the left lobe, leading to hemi-thyroidectomy. Postoperative care was appropriately managed with antibiotics, analgesics, and supportive measures. Histopathology was sent for confirmation of malignancy or adenoma. This case highlights the role of TI-RADS and FNAC in guiding management, the importance of intraoperative judgment, and the need for histological correlation to establish a definitive diagnosis and guide further treatment if necessary.</w:t>
      </w:r>
    </w:p>
    <w:p w14:paraId="30D8364A" w14:textId="77777777" w:rsidR="00472F6E" w:rsidRDefault="00472F6E" w:rsidP="00003169">
      <w:pPr>
        <w:spacing w:line="276" w:lineRule="auto"/>
        <w:jc w:val="both"/>
        <w:rPr>
          <w:rFonts w:ascii="Times New Roman" w:hAnsi="Times New Roman" w:cs="Times New Roman"/>
          <w:sz w:val="24"/>
          <w:szCs w:val="24"/>
        </w:rPr>
      </w:pPr>
    </w:p>
    <w:p w14:paraId="1553335D" w14:textId="22E5EF45" w:rsidR="00F5276D" w:rsidRPr="00F5276D" w:rsidRDefault="00F5276D" w:rsidP="00F5276D">
      <w:pPr>
        <w:spacing w:line="276" w:lineRule="auto"/>
        <w:jc w:val="both"/>
        <w:rPr>
          <w:rFonts w:ascii="Times New Roman" w:hAnsi="Times New Roman" w:cs="Times New Roman"/>
          <w:b/>
          <w:bCs/>
          <w:sz w:val="24"/>
          <w:szCs w:val="24"/>
        </w:rPr>
      </w:pPr>
      <w:r w:rsidRPr="00F5276D">
        <w:rPr>
          <w:rFonts w:ascii="Times New Roman" w:hAnsi="Times New Roman" w:cs="Times New Roman"/>
          <w:b/>
          <w:bCs/>
          <w:sz w:val="24"/>
          <w:szCs w:val="24"/>
        </w:rPr>
        <w:t xml:space="preserve">DECLARATIONS </w:t>
      </w:r>
    </w:p>
    <w:p w14:paraId="2085974A" w14:textId="77777777" w:rsidR="00F5276D" w:rsidRPr="00F5276D" w:rsidRDefault="00F5276D" w:rsidP="00F5276D">
      <w:pPr>
        <w:spacing w:line="276" w:lineRule="auto"/>
        <w:jc w:val="both"/>
        <w:rPr>
          <w:rFonts w:ascii="Times New Roman" w:hAnsi="Times New Roman" w:cs="Times New Roman"/>
          <w:sz w:val="24"/>
          <w:szCs w:val="24"/>
        </w:rPr>
      </w:pPr>
      <w:r w:rsidRPr="00F5276D">
        <w:rPr>
          <w:rFonts w:ascii="Times New Roman" w:hAnsi="Times New Roman" w:cs="Times New Roman"/>
          <w:sz w:val="24"/>
          <w:szCs w:val="24"/>
        </w:rPr>
        <w:t xml:space="preserve">Ethics approval and consent to participate </w:t>
      </w:r>
    </w:p>
    <w:p w14:paraId="4F69B174" w14:textId="77777777" w:rsidR="00F5276D" w:rsidRPr="00F5276D" w:rsidRDefault="00F5276D" w:rsidP="00F5276D">
      <w:pPr>
        <w:spacing w:line="276" w:lineRule="auto"/>
        <w:jc w:val="both"/>
        <w:rPr>
          <w:rFonts w:ascii="Times New Roman" w:hAnsi="Times New Roman" w:cs="Times New Roman"/>
          <w:sz w:val="24"/>
          <w:szCs w:val="24"/>
        </w:rPr>
      </w:pPr>
      <w:r w:rsidRPr="00F5276D">
        <w:rPr>
          <w:rFonts w:ascii="Times New Roman" w:hAnsi="Times New Roman" w:cs="Times New Roman"/>
          <w:sz w:val="24"/>
          <w:szCs w:val="24"/>
        </w:rPr>
        <w:t xml:space="preserve">Ethics approval was not required for this case report as per the institutional policy. Written informed consent for participation was obtained from the patient. </w:t>
      </w:r>
    </w:p>
    <w:p w14:paraId="2A711BFA" w14:textId="77777777" w:rsidR="00472F6E" w:rsidRDefault="00472F6E" w:rsidP="00F5276D">
      <w:pPr>
        <w:spacing w:line="276" w:lineRule="auto"/>
        <w:jc w:val="both"/>
        <w:rPr>
          <w:rFonts w:ascii="Times New Roman" w:hAnsi="Times New Roman" w:cs="Times New Roman"/>
          <w:b/>
          <w:bCs/>
          <w:sz w:val="24"/>
          <w:szCs w:val="24"/>
        </w:rPr>
      </w:pPr>
    </w:p>
    <w:p w14:paraId="69C5EDB3" w14:textId="77777777" w:rsidR="00472F6E" w:rsidRDefault="00472F6E" w:rsidP="00F5276D">
      <w:pPr>
        <w:spacing w:line="276" w:lineRule="auto"/>
        <w:jc w:val="both"/>
        <w:rPr>
          <w:rFonts w:ascii="Times New Roman" w:hAnsi="Times New Roman" w:cs="Times New Roman"/>
          <w:b/>
          <w:bCs/>
          <w:sz w:val="24"/>
          <w:szCs w:val="24"/>
        </w:rPr>
      </w:pPr>
    </w:p>
    <w:p w14:paraId="61C9E02A" w14:textId="504B09DB" w:rsidR="00F5276D" w:rsidRPr="00F5276D" w:rsidRDefault="00F5276D" w:rsidP="00F5276D">
      <w:pPr>
        <w:spacing w:line="276" w:lineRule="auto"/>
        <w:jc w:val="both"/>
        <w:rPr>
          <w:rFonts w:ascii="Times New Roman" w:hAnsi="Times New Roman" w:cs="Times New Roman"/>
          <w:b/>
          <w:bCs/>
          <w:sz w:val="24"/>
          <w:szCs w:val="24"/>
        </w:rPr>
      </w:pPr>
      <w:r w:rsidRPr="00F5276D">
        <w:rPr>
          <w:rFonts w:ascii="Times New Roman" w:hAnsi="Times New Roman" w:cs="Times New Roman"/>
          <w:b/>
          <w:bCs/>
          <w:sz w:val="24"/>
          <w:szCs w:val="24"/>
        </w:rPr>
        <w:t xml:space="preserve">CONSENT FOR PUBLICATION </w:t>
      </w:r>
    </w:p>
    <w:p w14:paraId="3E8B71E7" w14:textId="77777777" w:rsidR="00F5276D" w:rsidRPr="00F5276D" w:rsidRDefault="00F5276D" w:rsidP="00F5276D">
      <w:pPr>
        <w:spacing w:line="276" w:lineRule="auto"/>
        <w:jc w:val="both"/>
        <w:rPr>
          <w:rFonts w:ascii="Times New Roman" w:hAnsi="Times New Roman" w:cs="Times New Roman"/>
          <w:sz w:val="24"/>
          <w:szCs w:val="24"/>
        </w:rPr>
      </w:pPr>
      <w:r w:rsidRPr="00F5276D">
        <w:rPr>
          <w:rFonts w:ascii="Times New Roman" w:hAnsi="Times New Roman" w:cs="Times New Roman"/>
          <w:sz w:val="24"/>
          <w:szCs w:val="24"/>
        </w:rPr>
        <w:t>Written informed consent was obtained from the patient for publication of this case report and any accompanying clinical data and images. A copy of the signed consent form is available for review by the editorial office upon request.</w:t>
      </w:r>
    </w:p>
    <w:p w14:paraId="7FE1077C" w14:textId="6792B410" w:rsidR="00F5276D" w:rsidRPr="00F5276D" w:rsidRDefault="00F5276D" w:rsidP="00F5276D">
      <w:pPr>
        <w:spacing w:line="276" w:lineRule="auto"/>
        <w:jc w:val="both"/>
        <w:rPr>
          <w:rFonts w:ascii="Times New Roman" w:hAnsi="Times New Roman" w:cs="Times New Roman"/>
          <w:b/>
          <w:bCs/>
          <w:sz w:val="24"/>
          <w:szCs w:val="24"/>
        </w:rPr>
      </w:pPr>
      <w:r w:rsidRPr="00F5276D">
        <w:rPr>
          <w:rFonts w:ascii="Times New Roman" w:hAnsi="Times New Roman" w:cs="Times New Roman"/>
          <w:b/>
          <w:bCs/>
          <w:sz w:val="24"/>
          <w:szCs w:val="24"/>
        </w:rPr>
        <w:t>AVAILABILITY OF DATA AND MATERIALS</w:t>
      </w:r>
    </w:p>
    <w:p w14:paraId="596323B2" w14:textId="674C9445" w:rsidR="00F5276D" w:rsidRPr="00F5276D" w:rsidRDefault="00F5276D" w:rsidP="00F5276D">
      <w:pPr>
        <w:spacing w:line="276" w:lineRule="auto"/>
        <w:jc w:val="both"/>
        <w:rPr>
          <w:rFonts w:ascii="Times New Roman" w:hAnsi="Times New Roman" w:cs="Times New Roman"/>
          <w:sz w:val="24"/>
          <w:szCs w:val="24"/>
        </w:rPr>
      </w:pPr>
      <w:r w:rsidRPr="00F5276D">
        <w:rPr>
          <w:rFonts w:ascii="Times New Roman" w:hAnsi="Times New Roman" w:cs="Times New Roman"/>
          <w:sz w:val="24"/>
          <w:szCs w:val="24"/>
        </w:rPr>
        <w:t xml:space="preserve"> All data generated or analysed during this case report are included in this published article.</w:t>
      </w:r>
    </w:p>
    <w:p w14:paraId="348D6929" w14:textId="77777777" w:rsidR="00F5276D" w:rsidRDefault="00F5276D" w:rsidP="00003169">
      <w:pPr>
        <w:spacing w:line="276" w:lineRule="auto"/>
        <w:jc w:val="both"/>
        <w:rPr>
          <w:rFonts w:ascii="Times New Roman" w:hAnsi="Times New Roman" w:cs="Times New Roman"/>
          <w:b/>
          <w:bCs/>
          <w:sz w:val="24"/>
          <w:szCs w:val="24"/>
        </w:rPr>
      </w:pPr>
      <w:bookmarkStart w:id="0" w:name="_GoBack"/>
      <w:bookmarkEnd w:id="0"/>
    </w:p>
    <w:p w14:paraId="5ECA6665" w14:textId="77777777" w:rsidR="001B3D1A" w:rsidRDefault="001B3D1A" w:rsidP="001B3D1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FULL FORM OF THE ABBREVATIONS</w:t>
      </w:r>
    </w:p>
    <w:tbl>
      <w:tblPr>
        <w:tblStyle w:val="TableGrid"/>
        <w:tblW w:w="0" w:type="auto"/>
        <w:tblLook w:val="04A0" w:firstRow="1" w:lastRow="0" w:firstColumn="1" w:lastColumn="0" w:noHBand="0" w:noVBand="1"/>
      </w:tblPr>
      <w:tblGrid>
        <w:gridCol w:w="9016"/>
      </w:tblGrid>
      <w:tr w:rsidR="001B3D1A" w:rsidRPr="00B328BC" w14:paraId="1466C17B" w14:textId="77777777" w:rsidTr="00756B6A">
        <w:tc>
          <w:tcPr>
            <w:tcW w:w="9016" w:type="dxa"/>
          </w:tcPr>
          <w:p w14:paraId="15C7286E" w14:textId="77777777" w:rsidR="001B3D1A" w:rsidRPr="00B328BC" w:rsidRDefault="001B3D1A" w:rsidP="00756B6A">
            <w:pPr>
              <w:spacing w:line="276" w:lineRule="auto"/>
              <w:rPr>
                <w:rFonts w:ascii="Times New Roman" w:hAnsi="Times New Roman" w:cs="Times New Roman"/>
                <w:sz w:val="24"/>
                <w:szCs w:val="24"/>
              </w:rPr>
            </w:pPr>
            <w:proofErr w:type="gramStart"/>
            <w:r w:rsidRPr="00B328BC">
              <w:rPr>
                <w:rFonts w:ascii="Times New Roman" w:hAnsi="Times New Roman" w:cs="Times New Roman"/>
                <w:sz w:val="24"/>
                <w:szCs w:val="24"/>
              </w:rPr>
              <w:t>HOPC :</w:t>
            </w:r>
            <w:proofErr w:type="gramEnd"/>
            <w:r w:rsidRPr="00B328BC">
              <w:rPr>
                <w:rFonts w:ascii="Times New Roman" w:hAnsi="Times New Roman" w:cs="Times New Roman"/>
                <w:sz w:val="24"/>
                <w:szCs w:val="24"/>
              </w:rPr>
              <w:t xml:space="preserve"> history of present complaints</w:t>
            </w:r>
          </w:p>
        </w:tc>
      </w:tr>
      <w:tr w:rsidR="001B3D1A" w:rsidRPr="00B328BC" w14:paraId="7553B128" w14:textId="77777777" w:rsidTr="00756B6A">
        <w:tc>
          <w:tcPr>
            <w:tcW w:w="9016" w:type="dxa"/>
          </w:tcPr>
          <w:p w14:paraId="45194408" w14:textId="77777777" w:rsidR="001B3D1A" w:rsidRPr="00B328BC" w:rsidRDefault="001B3D1A" w:rsidP="00756B6A">
            <w:pPr>
              <w:spacing w:line="276" w:lineRule="auto"/>
              <w:rPr>
                <w:rFonts w:ascii="Times New Roman" w:hAnsi="Times New Roman" w:cs="Times New Roman"/>
                <w:sz w:val="24"/>
                <w:szCs w:val="24"/>
              </w:rPr>
            </w:pPr>
            <w:proofErr w:type="gramStart"/>
            <w:r w:rsidRPr="00B328BC">
              <w:rPr>
                <w:rFonts w:ascii="Times New Roman" w:hAnsi="Times New Roman" w:cs="Times New Roman"/>
                <w:sz w:val="24"/>
                <w:szCs w:val="24"/>
              </w:rPr>
              <w:t>PWAN :</w:t>
            </w:r>
            <w:proofErr w:type="gramEnd"/>
            <w:r w:rsidRPr="00B328BC">
              <w:rPr>
                <w:rFonts w:ascii="Times New Roman" w:hAnsi="Times New Roman" w:cs="Times New Roman"/>
                <w:sz w:val="24"/>
                <w:szCs w:val="24"/>
              </w:rPr>
              <w:t xml:space="preserve"> patient was apparently normal</w:t>
            </w:r>
          </w:p>
        </w:tc>
      </w:tr>
      <w:tr w:rsidR="001B3D1A" w:rsidRPr="00B328BC" w14:paraId="3A2EDCBB" w14:textId="77777777" w:rsidTr="00756B6A">
        <w:tc>
          <w:tcPr>
            <w:tcW w:w="9016" w:type="dxa"/>
          </w:tcPr>
          <w:p w14:paraId="26C04BF6" w14:textId="77777777" w:rsidR="001B3D1A" w:rsidRPr="00B328BC" w:rsidRDefault="001B3D1A" w:rsidP="00756B6A">
            <w:pPr>
              <w:spacing w:line="276" w:lineRule="auto"/>
              <w:rPr>
                <w:rFonts w:ascii="Times New Roman" w:hAnsi="Times New Roman" w:cs="Times New Roman"/>
                <w:sz w:val="24"/>
                <w:szCs w:val="24"/>
              </w:rPr>
            </w:pPr>
            <w:r w:rsidRPr="00B328BC">
              <w:rPr>
                <w:rFonts w:ascii="Times New Roman" w:hAnsi="Times New Roman" w:cs="Times New Roman"/>
                <w:sz w:val="24"/>
                <w:szCs w:val="24"/>
              </w:rPr>
              <w:t>N/K/C/</w:t>
            </w:r>
            <w:proofErr w:type="gramStart"/>
            <w:r w:rsidRPr="00B328BC">
              <w:rPr>
                <w:rFonts w:ascii="Times New Roman" w:hAnsi="Times New Roman" w:cs="Times New Roman"/>
                <w:sz w:val="24"/>
                <w:szCs w:val="24"/>
              </w:rPr>
              <w:t>O :</w:t>
            </w:r>
            <w:proofErr w:type="gramEnd"/>
            <w:r w:rsidRPr="00B328BC">
              <w:rPr>
                <w:rFonts w:ascii="Times New Roman" w:hAnsi="Times New Roman" w:cs="Times New Roman"/>
                <w:sz w:val="24"/>
                <w:szCs w:val="24"/>
              </w:rPr>
              <w:t xml:space="preserve"> Not a known case of</w:t>
            </w:r>
          </w:p>
        </w:tc>
      </w:tr>
      <w:tr w:rsidR="001B3D1A" w:rsidRPr="00B328BC" w14:paraId="757F5AA9" w14:textId="77777777" w:rsidTr="00756B6A">
        <w:tc>
          <w:tcPr>
            <w:tcW w:w="9016" w:type="dxa"/>
          </w:tcPr>
          <w:p w14:paraId="32D6CCE6" w14:textId="77777777" w:rsidR="001B3D1A" w:rsidRPr="00B328BC" w:rsidRDefault="001B3D1A" w:rsidP="00756B6A">
            <w:pPr>
              <w:spacing w:line="276" w:lineRule="auto"/>
              <w:rPr>
                <w:rFonts w:ascii="Times New Roman" w:hAnsi="Times New Roman" w:cs="Times New Roman"/>
                <w:sz w:val="24"/>
                <w:szCs w:val="24"/>
              </w:rPr>
            </w:pPr>
            <w:r w:rsidRPr="00B328BC">
              <w:rPr>
                <w:rFonts w:ascii="Times New Roman" w:hAnsi="Times New Roman" w:cs="Times New Roman"/>
                <w:sz w:val="24"/>
                <w:szCs w:val="24"/>
              </w:rPr>
              <w:t>T2</w:t>
            </w:r>
            <w:proofErr w:type="gramStart"/>
            <w:r w:rsidRPr="00B328BC">
              <w:rPr>
                <w:rFonts w:ascii="Times New Roman" w:hAnsi="Times New Roman" w:cs="Times New Roman"/>
                <w:sz w:val="24"/>
                <w:szCs w:val="24"/>
              </w:rPr>
              <w:t>DM :</w:t>
            </w:r>
            <w:proofErr w:type="gramEnd"/>
            <w:r w:rsidRPr="00B328BC">
              <w:rPr>
                <w:rFonts w:ascii="Times New Roman" w:hAnsi="Times New Roman" w:cs="Times New Roman"/>
                <w:sz w:val="24"/>
                <w:szCs w:val="24"/>
              </w:rPr>
              <w:t xml:space="preserve"> type 2 diabetes mellitus</w:t>
            </w:r>
          </w:p>
        </w:tc>
      </w:tr>
      <w:tr w:rsidR="001B3D1A" w:rsidRPr="00B328BC" w14:paraId="113C9983" w14:textId="77777777" w:rsidTr="00756B6A">
        <w:tc>
          <w:tcPr>
            <w:tcW w:w="9016" w:type="dxa"/>
          </w:tcPr>
          <w:p w14:paraId="31C5EDB2" w14:textId="77777777" w:rsidR="001B3D1A" w:rsidRPr="00B328BC" w:rsidRDefault="001B3D1A" w:rsidP="00756B6A">
            <w:pPr>
              <w:spacing w:line="276" w:lineRule="auto"/>
              <w:rPr>
                <w:rFonts w:ascii="Times New Roman" w:hAnsi="Times New Roman" w:cs="Times New Roman"/>
                <w:sz w:val="24"/>
                <w:szCs w:val="24"/>
              </w:rPr>
            </w:pPr>
            <w:proofErr w:type="gramStart"/>
            <w:r w:rsidRPr="00B328BC">
              <w:rPr>
                <w:rFonts w:ascii="Times New Roman" w:hAnsi="Times New Roman" w:cs="Times New Roman"/>
                <w:sz w:val="24"/>
                <w:szCs w:val="24"/>
              </w:rPr>
              <w:t>HTN :</w:t>
            </w:r>
            <w:proofErr w:type="gramEnd"/>
            <w:r w:rsidRPr="00B328BC">
              <w:rPr>
                <w:rFonts w:ascii="Times New Roman" w:hAnsi="Times New Roman" w:cs="Times New Roman"/>
                <w:sz w:val="24"/>
                <w:szCs w:val="24"/>
              </w:rPr>
              <w:t xml:space="preserve"> hypertension</w:t>
            </w:r>
          </w:p>
        </w:tc>
      </w:tr>
      <w:tr w:rsidR="001B3D1A" w:rsidRPr="00B328BC" w14:paraId="306DEEE8" w14:textId="77777777" w:rsidTr="00756B6A">
        <w:tc>
          <w:tcPr>
            <w:tcW w:w="9016" w:type="dxa"/>
          </w:tcPr>
          <w:p w14:paraId="5CD9F3E1" w14:textId="77777777" w:rsidR="001B3D1A" w:rsidRPr="00B328BC" w:rsidRDefault="001B3D1A" w:rsidP="00756B6A">
            <w:pPr>
              <w:spacing w:line="276" w:lineRule="auto"/>
              <w:rPr>
                <w:rFonts w:ascii="Times New Roman" w:hAnsi="Times New Roman" w:cs="Times New Roman"/>
                <w:sz w:val="24"/>
                <w:szCs w:val="24"/>
              </w:rPr>
            </w:pPr>
            <w:proofErr w:type="gramStart"/>
            <w:r w:rsidRPr="00B328BC">
              <w:rPr>
                <w:rFonts w:ascii="Times New Roman" w:hAnsi="Times New Roman" w:cs="Times New Roman"/>
                <w:sz w:val="24"/>
                <w:szCs w:val="24"/>
              </w:rPr>
              <w:t>PICCLE :</w:t>
            </w:r>
            <w:proofErr w:type="gramEnd"/>
            <w:r w:rsidRPr="00B328BC">
              <w:rPr>
                <w:rFonts w:ascii="Times New Roman" w:hAnsi="Times New Roman" w:cs="Times New Roman"/>
                <w:sz w:val="24"/>
                <w:szCs w:val="24"/>
              </w:rPr>
              <w:t xml:space="preserve"> pallor/icterus/clubbing/cyanosis/lymphadenopathy/oedema</w:t>
            </w:r>
          </w:p>
        </w:tc>
      </w:tr>
      <w:tr w:rsidR="001B3D1A" w:rsidRPr="00B328BC" w14:paraId="4D5C207E" w14:textId="77777777" w:rsidTr="00756B6A">
        <w:tc>
          <w:tcPr>
            <w:tcW w:w="9016" w:type="dxa"/>
          </w:tcPr>
          <w:p w14:paraId="047310E7" w14:textId="77777777" w:rsidR="001B3D1A" w:rsidRPr="00B328BC" w:rsidRDefault="001B3D1A" w:rsidP="00756B6A">
            <w:pPr>
              <w:spacing w:line="276" w:lineRule="auto"/>
              <w:rPr>
                <w:rFonts w:ascii="Times New Roman" w:hAnsi="Times New Roman" w:cs="Times New Roman"/>
                <w:sz w:val="24"/>
                <w:szCs w:val="24"/>
              </w:rPr>
            </w:pPr>
            <w:proofErr w:type="gramStart"/>
            <w:r w:rsidRPr="00B328BC">
              <w:rPr>
                <w:rFonts w:ascii="Times New Roman" w:hAnsi="Times New Roman" w:cs="Times New Roman"/>
                <w:sz w:val="24"/>
                <w:szCs w:val="24"/>
              </w:rPr>
              <w:t>BP :</w:t>
            </w:r>
            <w:proofErr w:type="gramEnd"/>
            <w:r w:rsidRPr="00B328BC">
              <w:rPr>
                <w:rFonts w:ascii="Times New Roman" w:hAnsi="Times New Roman" w:cs="Times New Roman"/>
                <w:sz w:val="24"/>
                <w:szCs w:val="24"/>
              </w:rPr>
              <w:t xml:space="preserve"> blood pressure</w:t>
            </w:r>
          </w:p>
        </w:tc>
      </w:tr>
      <w:tr w:rsidR="001B3D1A" w:rsidRPr="00B328BC" w14:paraId="4FE05F7C" w14:textId="77777777" w:rsidTr="00756B6A">
        <w:tc>
          <w:tcPr>
            <w:tcW w:w="9016" w:type="dxa"/>
          </w:tcPr>
          <w:p w14:paraId="625772EA" w14:textId="77777777" w:rsidR="001B3D1A" w:rsidRPr="00B328BC" w:rsidRDefault="001B3D1A" w:rsidP="00756B6A">
            <w:pPr>
              <w:spacing w:line="276" w:lineRule="auto"/>
              <w:rPr>
                <w:rFonts w:ascii="Times New Roman" w:hAnsi="Times New Roman" w:cs="Times New Roman"/>
                <w:sz w:val="24"/>
                <w:szCs w:val="24"/>
              </w:rPr>
            </w:pPr>
            <w:proofErr w:type="gramStart"/>
            <w:r w:rsidRPr="00B328BC">
              <w:rPr>
                <w:rFonts w:ascii="Times New Roman" w:hAnsi="Times New Roman" w:cs="Times New Roman"/>
                <w:sz w:val="24"/>
                <w:szCs w:val="24"/>
              </w:rPr>
              <w:t>PR :</w:t>
            </w:r>
            <w:proofErr w:type="gramEnd"/>
            <w:r w:rsidRPr="00B328BC">
              <w:rPr>
                <w:rFonts w:ascii="Times New Roman" w:hAnsi="Times New Roman" w:cs="Times New Roman"/>
                <w:sz w:val="24"/>
                <w:szCs w:val="24"/>
              </w:rPr>
              <w:t xml:space="preserve"> pulse rate</w:t>
            </w:r>
          </w:p>
        </w:tc>
      </w:tr>
      <w:tr w:rsidR="001B3D1A" w:rsidRPr="00B328BC" w14:paraId="61911CBA" w14:textId="77777777" w:rsidTr="00756B6A">
        <w:tc>
          <w:tcPr>
            <w:tcW w:w="9016" w:type="dxa"/>
          </w:tcPr>
          <w:p w14:paraId="6DBC0823" w14:textId="77777777" w:rsidR="001B3D1A" w:rsidRPr="00B328BC" w:rsidRDefault="001B3D1A" w:rsidP="00756B6A">
            <w:pPr>
              <w:spacing w:line="276" w:lineRule="auto"/>
              <w:rPr>
                <w:rFonts w:ascii="Times New Roman" w:hAnsi="Times New Roman" w:cs="Times New Roman"/>
                <w:sz w:val="24"/>
                <w:szCs w:val="24"/>
              </w:rPr>
            </w:pPr>
            <w:r w:rsidRPr="00B328BC">
              <w:rPr>
                <w:rFonts w:ascii="Times New Roman" w:hAnsi="Times New Roman" w:cs="Times New Roman"/>
                <w:sz w:val="24"/>
                <w:szCs w:val="24"/>
              </w:rPr>
              <w:t>Spo</w:t>
            </w:r>
            <w:proofErr w:type="gramStart"/>
            <w:r w:rsidRPr="00B328BC">
              <w:rPr>
                <w:rFonts w:ascii="Times New Roman" w:hAnsi="Times New Roman" w:cs="Times New Roman"/>
                <w:sz w:val="24"/>
                <w:szCs w:val="24"/>
              </w:rPr>
              <w:t>2 :</w:t>
            </w:r>
            <w:proofErr w:type="gramEnd"/>
            <w:r w:rsidRPr="00B328BC">
              <w:rPr>
                <w:rFonts w:ascii="Times New Roman" w:hAnsi="Times New Roman" w:cs="Times New Roman"/>
                <w:sz w:val="24"/>
                <w:szCs w:val="24"/>
              </w:rPr>
              <w:t xml:space="preserve"> saturation</w:t>
            </w:r>
          </w:p>
        </w:tc>
      </w:tr>
      <w:tr w:rsidR="001B3D1A" w:rsidRPr="00B328BC" w14:paraId="25773921" w14:textId="77777777" w:rsidTr="00756B6A">
        <w:tc>
          <w:tcPr>
            <w:tcW w:w="9016" w:type="dxa"/>
          </w:tcPr>
          <w:p w14:paraId="1707E8B6" w14:textId="77777777" w:rsidR="001B3D1A" w:rsidRPr="00B328BC" w:rsidRDefault="001B3D1A" w:rsidP="00756B6A">
            <w:pPr>
              <w:spacing w:line="276" w:lineRule="auto"/>
              <w:rPr>
                <w:rFonts w:ascii="Times New Roman" w:hAnsi="Times New Roman" w:cs="Times New Roman"/>
                <w:sz w:val="24"/>
                <w:szCs w:val="24"/>
              </w:rPr>
            </w:pPr>
            <w:proofErr w:type="gramStart"/>
            <w:r w:rsidRPr="00B328BC">
              <w:rPr>
                <w:rFonts w:ascii="Times New Roman" w:hAnsi="Times New Roman" w:cs="Times New Roman"/>
                <w:sz w:val="24"/>
                <w:szCs w:val="24"/>
              </w:rPr>
              <w:lastRenderedPageBreak/>
              <w:t>CVS :</w:t>
            </w:r>
            <w:proofErr w:type="gramEnd"/>
            <w:r w:rsidRPr="00B328BC">
              <w:rPr>
                <w:rFonts w:ascii="Times New Roman" w:hAnsi="Times New Roman" w:cs="Times New Roman"/>
                <w:sz w:val="24"/>
                <w:szCs w:val="24"/>
              </w:rPr>
              <w:t xml:space="preserve"> cardiovascular system</w:t>
            </w:r>
          </w:p>
        </w:tc>
      </w:tr>
      <w:tr w:rsidR="001B3D1A" w:rsidRPr="00B328BC" w14:paraId="07378794" w14:textId="77777777" w:rsidTr="00756B6A">
        <w:tc>
          <w:tcPr>
            <w:tcW w:w="9016" w:type="dxa"/>
          </w:tcPr>
          <w:p w14:paraId="69D76481" w14:textId="77777777" w:rsidR="001B3D1A" w:rsidRPr="00B328BC" w:rsidRDefault="001B3D1A" w:rsidP="00756B6A">
            <w:pPr>
              <w:spacing w:line="276" w:lineRule="auto"/>
              <w:rPr>
                <w:rFonts w:ascii="Times New Roman" w:hAnsi="Times New Roman" w:cs="Times New Roman"/>
                <w:sz w:val="24"/>
                <w:szCs w:val="24"/>
              </w:rPr>
            </w:pPr>
            <w:proofErr w:type="gramStart"/>
            <w:r w:rsidRPr="00B328BC">
              <w:rPr>
                <w:rFonts w:ascii="Times New Roman" w:hAnsi="Times New Roman" w:cs="Times New Roman"/>
                <w:sz w:val="24"/>
                <w:szCs w:val="24"/>
              </w:rPr>
              <w:t>CNS :</w:t>
            </w:r>
            <w:proofErr w:type="gramEnd"/>
            <w:r w:rsidRPr="00B328BC">
              <w:rPr>
                <w:rFonts w:ascii="Times New Roman" w:hAnsi="Times New Roman" w:cs="Times New Roman"/>
                <w:sz w:val="24"/>
                <w:szCs w:val="24"/>
              </w:rPr>
              <w:t xml:space="preserve"> central nervous system</w:t>
            </w:r>
            <w:r w:rsidRPr="00B328BC">
              <w:rPr>
                <w:rFonts w:ascii="Times New Roman" w:hAnsi="Times New Roman" w:cs="Times New Roman"/>
                <w:sz w:val="24"/>
                <w:szCs w:val="24"/>
              </w:rPr>
              <w:br/>
              <w:t>RS : respiratory system</w:t>
            </w:r>
          </w:p>
        </w:tc>
      </w:tr>
      <w:tr w:rsidR="001B3D1A" w:rsidRPr="00B328BC" w14:paraId="0415F319" w14:textId="77777777" w:rsidTr="00756B6A">
        <w:tc>
          <w:tcPr>
            <w:tcW w:w="9016" w:type="dxa"/>
          </w:tcPr>
          <w:p w14:paraId="7858DCA7" w14:textId="77777777" w:rsidR="001B3D1A" w:rsidRPr="00B328BC" w:rsidRDefault="001B3D1A" w:rsidP="00756B6A">
            <w:pPr>
              <w:spacing w:line="276" w:lineRule="auto"/>
              <w:rPr>
                <w:rFonts w:ascii="Times New Roman" w:hAnsi="Times New Roman" w:cs="Times New Roman"/>
                <w:sz w:val="24"/>
                <w:szCs w:val="24"/>
              </w:rPr>
            </w:pPr>
            <w:r w:rsidRPr="00B328BC">
              <w:rPr>
                <w:rFonts w:ascii="Times New Roman" w:hAnsi="Times New Roman" w:cs="Times New Roman"/>
                <w:sz w:val="24"/>
                <w:szCs w:val="24"/>
              </w:rPr>
              <w:t>P/</w:t>
            </w:r>
            <w:proofErr w:type="gramStart"/>
            <w:r w:rsidRPr="00B328BC">
              <w:rPr>
                <w:rFonts w:ascii="Times New Roman" w:hAnsi="Times New Roman" w:cs="Times New Roman"/>
                <w:sz w:val="24"/>
                <w:szCs w:val="24"/>
              </w:rPr>
              <w:t>A :</w:t>
            </w:r>
            <w:proofErr w:type="gramEnd"/>
            <w:r w:rsidRPr="00B328BC">
              <w:rPr>
                <w:rFonts w:ascii="Times New Roman" w:hAnsi="Times New Roman" w:cs="Times New Roman"/>
                <w:sz w:val="24"/>
                <w:szCs w:val="24"/>
              </w:rPr>
              <w:t xml:space="preserve"> per abdomen</w:t>
            </w:r>
          </w:p>
        </w:tc>
      </w:tr>
      <w:tr w:rsidR="001B3D1A" w:rsidRPr="00B328BC" w14:paraId="1998DE61" w14:textId="77777777" w:rsidTr="00756B6A">
        <w:tc>
          <w:tcPr>
            <w:tcW w:w="9016" w:type="dxa"/>
          </w:tcPr>
          <w:p w14:paraId="591BC672" w14:textId="77777777" w:rsidR="001B3D1A" w:rsidRPr="00B328BC" w:rsidRDefault="001B3D1A" w:rsidP="00756B6A">
            <w:pPr>
              <w:spacing w:line="276" w:lineRule="auto"/>
              <w:rPr>
                <w:rFonts w:ascii="Times New Roman" w:hAnsi="Times New Roman" w:cs="Times New Roman"/>
                <w:sz w:val="24"/>
                <w:szCs w:val="24"/>
              </w:rPr>
            </w:pPr>
            <w:proofErr w:type="gramStart"/>
            <w:r w:rsidRPr="00B328BC">
              <w:rPr>
                <w:rFonts w:ascii="Times New Roman" w:hAnsi="Times New Roman" w:cs="Times New Roman"/>
                <w:sz w:val="24"/>
                <w:szCs w:val="24"/>
              </w:rPr>
              <w:t>IOC :</w:t>
            </w:r>
            <w:proofErr w:type="gramEnd"/>
            <w:r w:rsidRPr="00B328BC">
              <w:rPr>
                <w:rFonts w:ascii="Times New Roman" w:hAnsi="Times New Roman" w:cs="Times New Roman"/>
                <w:sz w:val="24"/>
                <w:szCs w:val="24"/>
              </w:rPr>
              <w:t xml:space="preserve"> investigation of choice</w:t>
            </w:r>
          </w:p>
        </w:tc>
      </w:tr>
      <w:tr w:rsidR="001B3D1A" w:rsidRPr="00B328BC" w14:paraId="18D27646" w14:textId="77777777" w:rsidTr="00756B6A">
        <w:tc>
          <w:tcPr>
            <w:tcW w:w="9016" w:type="dxa"/>
          </w:tcPr>
          <w:p w14:paraId="1897F659" w14:textId="77777777" w:rsidR="001B3D1A" w:rsidRPr="00B328BC" w:rsidRDefault="001B3D1A" w:rsidP="00756B6A">
            <w:pPr>
              <w:spacing w:line="276" w:lineRule="auto"/>
              <w:rPr>
                <w:rFonts w:ascii="Times New Roman" w:hAnsi="Times New Roman" w:cs="Times New Roman"/>
                <w:sz w:val="24"/>
                <w:szCs w:val="24"/>
              </w:rPr>
            </w:pPr>
            <w:proofErr w:type="gramStart"/>
            <w:r w:rsidRPr="00B328BC">
              <w:rPr>
                <w:rFonts w:ascii="Times New Roman" w:hAnsi="Times New Roman" w:cs="Times New Roman"/>
                <w:sz w:val="24"/>
                <w:szCs w:val="24"/>
              </w:rPr>
              <w:t>FTC :</w:t>
            </w:r>
            <w:proofErr w:type="gramEnd"/>
            <w:r w:rsidRPr="00B328BC">
              <w:rPr>
                <w:rFonts w:ascii="Times New Roman" w:hAnsi="Times New Roman" w:cs="Times New Roman"/>
                <w:sz w:val="24"/>
                <w:szCs w:val="24"/>
              </w:rPr>
              <w:t xml:space="preserve"> follicular thyroid carcinoma</w:t>
            </w:r>
            <w:r>
              <w:rPr>
                <w:rFonts w:ascii="Times New Roman" w:hAnsi="Times New Roman" w:cs="Times New Roman"/>
                <w:sz w:val="24"/>
                <w:szCs w:val="24"/>
              </w:rPr>
              <w:t>1</w:t>
            </w:r>
          </w:p>
        </w:tc>
      </w:tr>
      <w:tr w:rsidR="001B3D1A" w:rsidRPr="00B328BC" w14:paraId="4B32B64C" w14:textId="77777777" w:rsidTr="00756B6A">
        <w:tc>
          <w:tcPr>
            <w:tcW w:w="9016" w:type="dxa"/>
          </w:tcPr>
          <w:p w14:paraId="5D1008E9" w14:textId="77777777" w:rsidR="001B3D1A" w:rsidRPr="00B328BC" w:rsidRDefault="001B3D1A" w:rsidP="00756B6A">
            <w:pPr>
              <w:spacing w:line="276" w:lineRule="auto"/>
              <w:rPr>
                <w:rFonts w:ascii="Times New Roman" w:hAnsi="Times New Roman" w:cs="Times New Roman"/>
                <w:sz w:val="24"/>
                <w:szCs w:val="24"/>
              </w:rPr>
            </w:pPr>
            <w:proofErr w:type="gramStart"/>
            <w:r w:rsidRPr="00B328BC">
              <w:rPr>
                <w:rFonts w:ascii="Times New Roman" w:hAnsi="Times New Roman" w:cs="Times New Roman"/>
                <w:sz w:val="24"/>
                <w:szCs w:val="24"/>
              </w:rPr>
              <w:t>PTC :</w:t>
            </w:r>
            <w:proofErr w:type="gramEnd"/>
            <w:r w:rsidRPr="00B328BC">
              <w:rPr>
                <w:rFonts w:ascii="Times New Roman" w:hAnsi="Times New Roman" w:cs="Times New Roman"/>
                <w:sz w:val="24"/>
                <w:szCs w:val="24"/>
              </w:rPr>
              <w:t xml:space="preserve"> papillary thyroid carcinoma</w:t>
            </w:r>
          </w:p>
        </w:tc>
      </w:tr>
      <w:tr w:rsidR="001B3D1A" w:rsidRPr="00B328BC" w14:paraId="5481B5E9" w14:textId="77777777" w:rsidTr="00756B6A">
        <w:tc>
          <w:tcPr>
            <w:tcW w:w="9016" w:type="dxa"/>
          </w:tcPr>
          <w:p w14:paraId="738871C6" w14:textId="77777777" w:rsidR="001B3D1A" w:rsidRPr="00B328BC" w:rsidRDefault="001B3D1A" w:rsidP="00756B6A">
            <w:pPr>
              <w:spacing w:line="276" w:lineRule="auto"/>
              <w:rPr>
                <w:rFonts w:ascii="Times New Roman" w:hAnsi="Times New Roman" w:cs="Times New Roman"/>
                <w:sz w:val="24"/>
                <w:szCs w:val="24"/>
              </w:rPr>
            </w:pPr>
            <w:proofErr w:type="gramStart"/>
            <w:r w:rsidRPr="00B328BC">
              <w:rPr>
                <w:rFonts w:ascii="Times New Roman" w:hAnsi="Times New Roman" w:cs="Times New Roman"/>
                <w:sz w:val="24"/>
                <w:szCs w:val="24"/>
              </w:rPr>
              <w:t>MTC :</w:t>
            </w:r>
            <w:proofErr w:type="gramEnd"/>
            <w:r w:rsidRPr="00B328BC">
              <w:rPr>
                <w:rFonts w:ascii="Times New Roman" w:hAnsi="Times New Roman" w:cs="Times New Roman"/>
                <w:sz w:val="24"/>
                <w:szCs w:val="24"/>
              </w:rPr>
              <w:t xml:space="preserve"> medullary thyroid carcinoma</w:t>
            </w:r>
          </w:p>
        </w:tc>
      </w:tr>
      <w:tr w:rsidR="001B3D1A" w:rsidRPr="00B328BC" w14:paraId="39E73945" w14:textId="77777777" w:rsidTr="00756B6A">
        <w:tc>
          <w:tcPr>
            <w:tcW w:w="9016" w:type="dxa"/>
          </w:tcPr>
          <w:p w14:paraId="0F2C8496" w14:textId="77777777" w:rsidR="001B3D1A" w:rsidRPr="00B328BC" w:rsidRDefault="001B3D1A" w:rsidP="00756B6A">
            <w:pPr>
              <w:spacing w:line="276" w:lineRule="auto"/>
              <w:rPr>
                <w:rFonts w:ascii="Times New Roman" w:hAnsi="Times New Roman" w:cs="Times New Roman"/>
                <w:sz w:val="24"/>
                <w:szCs w:val="24"/>
              </w:rPr>
            </w:pPr>
            <w:proofErr w:type="gramStart"/>
            <w:r w:rsidRPr="00B328BC">
              <w:rPr>
                <w:rFonts w:ascii="Times New Roman" w:hAnsi="Times New Roman" w:cs="Times New Roman"/>
                <w:sz w:val="24"/>
                <w:szCs w:val="24"/>
              </w:rPr>
              <w:t>ATC :</w:t>
            </w:r>
            <w:proofErr w:type="gramEnd"/>
            <w:r w:rsidRPr="00B328BC">
              <w:rPr>
                <w:rFonts w:ascii="Times New Roman" w:hAnsi="Times New Roman" w:cs="Times New Roman"/>
                <w:sz w:val="24"/>
                <w:szCs w:val="24"/>
              </w:rPr>
              <w:t xml:space="preserve"> anaplastic thyroid carcinoma</w:t>
            </w:r>
          </w:p>
        </w:tc>
      </w:tr>
      <w:tr w:rsidR="001B3D1A" w14:paraId="17F4F497" w14:textId="77777777" w:rsidTr="00756B6A">
        <w:tc>
          <w:tcPr>
            <w:tcW w:w="9016" w:type="dxa"/>
          </w:tcPr>
          <w:p w14:paraId="768CF08B" w14:textId="77777777" w:rsidR="001B3D1A" w:rsidRDefault="001B3D1A" w:rsidP="00756B6A">
            <w:pPr>
              <w:spacing w:line="276" w:lineRule="auto"/>
              <w:rPr>
                <w:rFonts w:ascii="Times New Roman" w:hAnsi="Times New Roman" w:cs="Times New Roman"/>
                <w:sz w:val="24"/>
                <w:szCs w:val="24"/>
              </w:rPr>
            </w:pPr>
            <w:proofErr w:type="gramStart"/>
            <w:r w:rsidRPr="00B328BC">
              <w:rPr>
                <w:rFonts w:ascii="Times New Roman" w:hAnsi="Times New Roman" w:cs="Times New Roman"/>
                <w:sz w:val="24"/>
                <w:szCs w:val="24"/>
              </w:rPr>
              <w:t>FNAC :</w:t>
            </w:r>
            <w:proofErr w:type="gramEnd"/>
            <w:r w:rsidRPr="00B328BC">
              <w:rPr>
                <w:rFonts w:ascii="Times New Roman" w:hAnsi="Times New Roman" w:cs="Times New Roman"/>
                <w:sz w:val="24"/>
                <w:szCs w:val="24"/>
              </w:rPr>
              <w:t xml:space="preserve"> fine needle aspiration cytology</w:t>
            </w:r>
          </w:p>
        </w:tc>
      </w:tr>
    </w:tbl>
    <w:p w14:paraId="407595D1" w14:textId="77777777" w:rsidR="00F5276D" w:rsidRDefault="00F5276D" w:rsidP="00003169">
      <w:pPr>
        <w:spacing w:line="276" w:lineRule="auto"/>
        <w:jc w:val="both"/>
        <w:rPr>
          <w:rFonts w:ascii="Times New Roman" w:hAnsi="Times New Roman" w:cs="Times New Roman"/>
          <w:b/>
          <w:bCs/>
          <w:sz w:val="24"/>
          <w:szCs w:val="24"/>
        </w:rPr>
      </w:pPr>
    </w:p>
    <w:p w14:paraId="47449200" w14:textId="77777777" w:rsidR="00B328BC" w:rsidRDefault="00B328BC" w:rsidP="00003169">
      <w:pPr>
        <w:spacing w:line="276" w:lineRule="auto"/>
        <w:jc w:val="both"/>
        <w:rPr>
          <w:rFonts w:ascii="Times New Roman" w:hAnsi="Times New Roman" w:cs="Times New Roman"/>
          <w:sz w:val="24"/>
          <w:szCs w:val="24"/>
        </w:rPr>
      </w:pPr>
    </w:p>
    <w:p w14:paraId="2CA1EF02" w14:textId="77777777" w:rsidR="00B328BC" w:rsidRDefault="00B328BC" w:rsidP="00B328BC">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REFERENCES :</w:t>
      </w:r>
      <w:proofErr w:type="gramEnd"/>
      <w:r>
        <w:rPr>
          <w:rFonts w:ascii="Times New Roman" w:hAnsi="Times New Roman" w:cs="Times New Roman"/>
          <w:sz w:val="24"/>
          <w:szCs w:val="24"/>
        </w:rPr>
        <w:t xml:space="preserve"> </w:t>
      </w:r>
    </w:p>
    <w:p w14:paraId="5B5AE482" w14:textId="77777777" w:rsidR="00B328BC" w:rsidRPr="002D6474" w:rsidRDefault="00B328BC" w:rsidP="00843161">
      <w:pPr>
        <w:pStyle w:val="ListParagraph"/>
        <w:numPr>
          <w:ilvl w:val="3"/>
          <w:numId w:val="24"/>
        </w:numPr>
        <w:spacing w:line="276" w:lineRule="auto"/>
        <w:jc w:val="both"/>
        <w:rPr>
          <w:rFonts w:ascii="Arial" w:eastAsia="Times New Roman" w:hAnsi="Arial" w:cs="Arial"/>
          <w:kern w:val="0"/>
          <w:sz w:val="20"/>
          <w:szCs w:val="20"/>
          <w:lang w:eastAsia="en-IN"/>
          <w14:ligatures w14:val="none"/>
        </w:rPr>
      </w:pPr>
      <w:proofErr w:type="spellStart"/>
      <w:r w:rsidRPr="002D6474">
        <w:rPr>
          <w:rFonts w:ascii="Arial" w:eastAsia="Times New Roman" w:hAnsi="Arial" w:cs="Arial"/>
          <w:kern w:val="0"/>
          <w:sz w:val="20"/>
          <w:szCs w:val="20"/>
          <w:lang w:eastAsia="en-IN"/>
          <w14:ligatures w14:val="none"/>
        </w:rPr>
        <w:t>Bomeli</w:t>
      </w:r>
      <w:proofErr w:type="spellEnd"/>
      <w:r w:rsidRPr="002D6474">
        <w:rPr>
          <w:rFonts w:ascii="Arial" w:eastAsia="Times New Roman" w:hAnsi="Arial" w:cs="Arial"/>
          <w:kern w:val="0"/>
          <w:sz w:val="20"/>
          <w:szCs w:val="20"/>
          <w:lang w:eastAsia="en-IN"/>
          <w14:ligatures w14:val="none"/>
        </w:rPr>
        <w:t xml:space="preserve"> SR, LeBeau SO, Ferris RL. Evaluation of a thyroid nodule. Otolaryngologic Clinics of North America. 2010 Apr;43(2):229.</w:t>
      </w:r>
    </w:p>
    <w:p w14:paraId="48FD45B0" w14:textId="77777777" w:rsidR="00B328BC" w:rsidRPr="002D6474" w:rsidRDefault="002D6474" w:rsidP="00843161">
      <w:pPr>
        <w:pStyle w:val="ListParagraph"/>
        <w:numPr>
          <w:ilvl w:val="3"/>
          <w:numId w:val="24"/>
        </w:numPr>
        <w:spacing w:line="276" w:lineRule="auto"/>
        <w:jc w:val="both"/>
        <w:rPr>
          <w:rFonts w:ascii="Times New Roman" w:hAnsi="Times New Roman" w:cs="Times New Roman"/>
          <w:sz w:val="24"/>
          <w:szCs w:val="24"/>
        </w:rPr>
      </w:pPr>
      <w:r w:rsidRPr="002D6474">
        <w:rPr>
          <w:rFonts w:ascii="Times New Roman" w:hAnsi="Times New Roman" w:cs="Times New Roman"/>
          <w:sz w:val="24"/>
          <w:szCs w:val="24"/>
        </w:rPr>
        <w:t>Levine RA. Current guidelines for the management of thyroid nodules. Endocrine Practice. 2012 Jul 1;18(4):596.</w:t>
      </w:r>
    </w:p>
    <w:p w14:paraId="37675172" w14:textId="77777777" w:rsidR="002D6474" w:rsidRPr="002D6474" w:rsidRDefault="002D6474" w:rsidP="00843161">
      <w:pPr>
        <w:pStyle w:val="ListParagraph"/>
        <w:numPr>
          <w:ilvl w:val="3"/>
          <w:numId w:val="24"/>
        </w:numPr>
        <w:spacing w:line="276" w:lineRule="auto"/>
        <w:jc w:val="both"/>
        <w:rPr>
          <w:rFonts w:ascii="Times New Roman" w:hAnsi="Times New Roman" w:cs="Times New Roman"/>
          <w:sz w:val="24"/>
          <w:szCs w:val="24"/>
        </w:rPr>
      </w:pPr>
      <w:r w:rsidRPr="002D6474">
        <w:rPr>
          <w:rFonts w:ascii="Times New Roman" w:hAnsi="Times New Roman" w:cs="Times New Roman"/>
          <w:sz w:val="24"/>
          <w:szCs w:val="24"/>
        </w:rPr>
        <w:t>Bookshelf NC. A service of the national library of medicine, National Institutes of Health. Stat Pearls; Stat Pearls Publishing: Treasure Island, FL, USA. 2020.</w:t>
      </w:r>
    </w:p>
    <w:p w14:paraId="11AC5A75" w14:textId="77777777" w:rsidR="002D6474" w:rsidRPr="002D6474" w:rsidRDefault="002D6474" w:rsidP="00843161">
      <w:pPr>
        <w:pStyle w:val="ListParagraph"/>
        <w:numPr>
          <w:ilvl w:val="3"/>
          <w:numId w:val="24"/>
        </w:numPr>
        <w:spacing w:line="276" w:lineRule="auto"/>
        <w:jc w:val="both"/>
        <w:rPr>
          <w:rFonts w:ascii="Times New Roman" w:hAnsi="Times New Roman" w:cs="Times New Roman"/>
          <w:sz w:val="24"/>
          <w:szCs w:val="24"/>
        </w:rPr>
      </w:pPr>
      <w:proofErr w:type="spellStart"/>
      <w:r w:rsidRPr="002D6474">
        <w:rPr>
          <w:rFonts w:ascii="Times New Roman" w:hAnsi="Times New Roman" w:cs="Times New Roman"/>
          <w:sz w:val="24"/>
          <w:szCs w:val="24"/>
        </w:rPr>
        <w:t>Pemayun</w:t>
      </w:r>
      <w:proofErr w:type="spellEnd"/>
      <w:r w:rsidRPr="002D6474">
        <w:rPr>
          <w:rFonts w:ascii="Times New Roman" w:hAnsi="Times New Roman" w:cs="Times New Roman"/>
          <w:sz w:val="24"/>
          <w:szCs w:val="24"/>
        </w:rPr>
        <w:t xml:space="preserve"> TG. Current diagnosis and management of thyroid nodules. Acta Med </w:t>
      </w:r>
      <w:proofErr w:type="spellStart"/>
      <w:r w:rsidRPr="002D6474">
        <w:rPr>
          <w:rFonts w:ascii="Times New Roman" w:hAnsi="Times New Roman" w:cs="Times New Roman"/>
          <w:sz w:val="24"/>
          <w:szCs w:val="24"/>
        </w:rPr>
        <w:t>Indones</w:t>
      </w:r>
      <w:proofErr w:type="spellEnd"/>
      <w:r w:rsidRPr="002D6474">
        <w:rPr>
          <w:rFonts w:ascii="Times New Roman" w:hAnsi="Times New Roman" w:cs="Times New Roman"/>
          <w:sz w:val="24"/>
          <w:szCs w:val="24"/>
        </w:rPr>
        <w:t>. 2016 Jul 1;48(3):247-57.</w:t>
      </w:r>
    </w:p>
    <w:p w14:paraId="1C16FE64" w14:textId="77777777" w:rsidR="002D6474" w:rsidRPr="002D6474" w:rsidRDefault="002D6474" w:rsidP="00843161">
      <w:pPr>
        <w:pStyle w:val="ListParagraph"/>
        <w:numPr>
          <w:ilvl w:val="3"/>
          <w:numId w:val="24"/>
        </w:numPr>
        <w:spacing w:line="276" w:lineRule="auto"/>
        <w:jc w:val="both"/>
        <w:rPr>
          <w:rFonts w:ascii="Times New Roman" w:hAnsi="Times New Roman" w:cs="Times New Roman"/>
          <w:sz w:val="24"/>
          <w:szCs w:val="24"/>
        </w:rPr>
      </w:pPr>
      <w:r w:rsidRPr="002D6474">
        <w:rPr>
          <w:rFonts w:ascii="Times New Roman" w:hAnsi="Times New Roman" w:cs="Times New Roman"/>
          <w:sz w:val="24"/>
          <w:szCs w:val="24"/>
        </w:rPr>
        <w:t>Dean DS, Gharib H. Epidemiology of thyroid nodules. Best practice &amp; research Clinical endocrinology &amp; metabolism. 2008 Dec 1;22(6):901-11.</w:t>
      </w:r>
    </w:p>
    <w:p w14:paraId="392A0B89" w14:textId="77777777" w:rsidR="002D6474" w:rsidRPr="002D6474" w:rsidRDefault="002D6474" w:rsidP="00843161">
      <w:pPr>
        <w:pStyle w:val="ListParagraph"/>
        <w:numPr>
          <w:ilvl w:val="3"/>
          <w:numId w:val="24"/>
        </w:numPr>
        <w:spacing w:line="276" w:lineRule="auto"/>
        <w:jc w:val="both"/>
        <w:rPr>
          <w:rFonts w:ascii="Times New Roman" w:hAnsi="Times New Roman" w:cs="Times New Roman"/>
          <w:sz w:val="24"/>
          <w:szCs w:val="24"/>
        </w:rPr>
      </w:pPr>
      <w:r w:rsidRPr="002D6474">
        <w:rPr>
          <w:rFonts w:ascii="Times New Roman" w:hAnsi="Times New Roman" w:cs="Times New Roman"/>
          <w:sz w:val="24"/>
          <w:szCs w:val="24"/>
        </w:rPr>
        <w:t xml:space="preserve">Abdi H, </w:t>
      </w:r>
      <w:proofErr w:type="spellStart"/>
      <w:r w:rsidRPr="002D6474">
        <w:rPr>
          <w:rFonts w:ascii="Times New Roman" w:hAnsi="Times New Roman" w:cs="Times New Roman"/>
          <w:sz w:val="24"/>
          <w:szCs w:val="24"/>
        </w:rPr>
        <w:t>Amouzegar</w:t>
      </w:r>
      <w:proofErr w:type="spellEnd"/>
      <w:r w:rsidRPr="002D6474">
        <w:rPr>
          <w:rFonts w:ascii="Times New Roman" w:hAnsi="Times New Roman" w:cs="Times New Roman"/>
          <w:sz w:val="24"/>
          <w:szCs w:val="24"/>
        </w:rPr>
        <w:t xml:space="preserve"> A, Azizi F. Antithyroid drugs. Iranian journal of pharmaceutical research: IJPR. 2019;18(Suppl1):1.</w:t>
      </w:r>
    </w:p>
    <w:p w14:paraId="1D094C01" w14:textId="77777777" w:rsidR="002D6474" w:rsidRPr="002D6474" w:rsidRDefault="002D6474" w:rsidP="00843161">
      <w:pPr>
        <w:pStyle w:val="ListParagraph"/>
        <w:numPr>
          <w:ilvl w:val="3"/>
          <w:numId w:val="24"/>
        </w:numPr>
        <w:spacing w:line="276" w:lineRule="auto"/>
        <w:jc w:val="both"/>
        <w:rPr>
          <w:rFonts w:ascii="Times New Roman" w:hAnsi="Times New Roman" w:cs="Times New Roman"/>
          <w:sz w:val="24"/>
          <w:szCs w:val="24"/>
        </w:rPr>
      </w:pPr>
      <w:r w:rsidRPr="002D6474">
        <w:rPr>
          <w:rFonts w:ascii="Times New Roman" w:hAnsi="Times New Roman" w:cs="Times New Roman"/>
          <w:sz w:val="24"/>
          <w:szCs w:val="24"/>
        </w:rPr>
        <w:t>Tan H, Li Z, Li N, Qian J, Fan F, Zhong H, Feng J, Xu H, Li Z. Thyroid imaging reporting and data system combined with Bethesda classification in qualitative thyroid nodule diagnosis. Medicine. 2019 Dec 1;98(50</w:t>
      </w:r>
      <w:proofErr w:type="gramStart"/>
      <w:r w:rsidRPr="002D6474">
        <w:rPr>
          <w:rFonts w:ascii="Times New Roman" w:hAnsi="Times New Roman" w:cs="Times New Roman"/>
          <w:sz w:val="24"/>
          <w:szCs w:val="24"/>
        </w:rPr>
        <w:t>):e</w:t>
      </w:r>
      <w:proofErr w:type="gramEnd"/>
      <w:r w:rsidRPr="002D6474">
        <w:rPr>
          <w:rFonts w:ascii="Times New Roman" w:hAnsi="Times New Roman" w:cs="Times New Roman"/>
          <w:sz w:val="24"/>
          <w:szCs w:val="24"/>
        </w:rPr>
        <w:t>18320.</w:t>
      </w:r>
    </w:p>
    <w:p w14:paraId="08B595E9" w14:textId="77777777" w:rsidR="002D6474" w:rsidRPr="002D6474" w:rsidRDefault="002D6474" w:rsidP="00843161">
      <w:pPr>
        <w:pStyle w:val="ListParagraph"/>
        <w:numPr>
          <w:ilvl w:val="3"/>
          <w:numId w:val="24"/>
        </w:numPr>
        <w:spacing w:line="276" w:lineRule="auto"/>
        <w:jc w:val="both"/>
        <w:rPr>
          <w:rFonts w:ascii="Times New Roman" w:hAnsi="Times New Roman" w:cs="Times New Roman"/>
          <w:sz w:val="24"/>
          <w:szCs w:val="24"/>
        </w:rPr>
      </w:pPr>
      <w:r w:rsidRPr="002D6474">
        <w:rPr>
          <w:rFonts w:ascii="Times New Roman" w:hAnsi="Times New Roman" w:cs="Times New Roman"/>
          <w:sz w:val="24"/>
          <w:szCs w:val="24"/>
        </w:rPr>
        <w:t xml:space="preserve">Tessler FN, Middleton WD, Grant EG, Hoang JK, Berland LL, </w:t>
      </w:r>
      <w:proofErr w:type="spellStart"/>
      <w:r w:rsidRPr="002D6474">
        <w:rPr>
          <w:rFonts w:ascii="Times New Roman" w:hAnsi="Times New Roman" w:cs="Times New Roman"/>
          <w:sz w:val="24"/>
          <w:szCs w:val="24"/>
        </w:rPr>
        <w:t>Teefey</w:t>
      </w:r>
      <w:proofErr w:type="spellEnd"/>
      <w:r w:rsidRPr="002D6474">
        <w:rPr>
          <w:rFonts w:ascii="Times New Roman" w:hAnsi="Times New Roman" w:cs="Times New Roman"/>
          <w:sz w:val="24"/>
          <w:szCs w:val="24"/>
        </w:rPr>
        <w:t xml:space="preserve"> SA, </w:t>
      </w:r>
      <w:proofErr w:type="spellStart"/>
      <w:r w:rsidRPr="002D6474">
        <w:rPr>
          <w:rFonts w:ascii="Times New Roman" w:hAnsi="Times New Roman" w:cs="Times New Roman"/>
          <w:sz w:val="24"/>
          <w:szCs w:val="24"/>
        </w:rPr>
        <w:t>Cronan</w:t>
      </w:r>
      <w:proofErr w:type="spellEnd"/>
      <w:r w:rsidRPr="002D6474">
        <w:rPr>
          <w:rFonts w:ascii="Times New Roman" w:hAnsi="Times New Roman" w:cs="Times New Roman"/>
          <w:sz w:val="24"/>
          <w:szCs w:val="24"/>
        </w:rPr>
        <w:t xml:space="preserve"> JJ, Beland MD, Desser TS, Frates MC, Hammers LW. ACR thyroid imaging, reporting and data system (TI-RADS): white paper of the ACR TI-RADS committee. Journal of the American college of radiology. 2017 May 1;14(5):587-95.</w:t>
      </w:r>
    </w:p>
    <w:p w14:paraId="3944D36D" w14:textId="77777777" w:rsidR="002D6474" w:rsidRPr="002D6474" w:rsidRDefault="002D6474" w:rsidP="00843161">
      <w:pPr>
        <w:pStyle w:val="ListParagraph"/>
        <w:numPr>
          <w:ilvl w:val="3"/>
          <w:numId w:val="24"/>
        </w:numPr>
        <w:spacing w:line="276" w:lineRule="auto"/>
        <w:jc w:val="both"/>
        <w:rPr>
          <w:rFonts w:ascii="Times New Roman" w:hAnsi="Times New Roman" w:cs="Times New Roman"/>
          <w:sz w:val="24"/>
          <w:szCs w:val="24"/>
        </w:rPr>
      </w:pPr>
      <w:r w:rsidRPr="002D6474">
        <w:rPr>
          <w:rFonts w:ascii="Times New Roman" w:hAnsi="Times New Roman" w:cs="Times New Roman"/>
          <w:sz w:val="24"/>
          <w:szCs w:val="24"/>
        </w:rPr>
        <w:t xml:space="preserve">Cooper DS, Doherty GM, Haugen BR, Kloos RT, Lee SL, Mandel SJ, </w:t>
      </w:r>
      <w:proofErr w:type="spellStart"/>
      <w:r w:rsidRPr="002D6474">
        <w:rPr>
          <w:rFonts w:ascii="Times New Roman" w:hAnsi="Times New Roman" w:cs="Times New Roman"/>
          <w:sz w:val="24"/>
          <w:szCs w:val="24"/>
        </w:rPr>
        <w:t>Mazzaferri</w:t>
      </w:r>
      <w:proofErr w:type="spellEnd"/>
      <w:r w:rsidRPr="002D6474">
        <w:rPr>
          <w:rFonts w:ascii="Times New Roman" w:hAnsi="Times New Roman" w:cs="Times New Roman"/>
          <w:sz w:val="24"/>
          <w:szCs w:val="24"/>
        </w:rPr>
        <w:t xml:space="preserve"> EL, McIver B, Sherman SI, Tuttle RM. Management guidelines for patients with thyroid nodules and differentiated thyroid cancer: The American Thyroid Association Guidelines Taskforce. Thyroid. 2006 Feb 1;16(2):109-42.</w:t>
      </w:r>
    </w:p>
    <w:p w14:paraId="206FD6E3" w14:textId="249828D2" w:rsidR="002D6474" w:rsidRPr="00AE490C" w:rsidRDefault="009C0EA9" w:rsidP="00843161">
      <w:pPr>
        <w:pStyle w:val="ListParagraph"/>
        <w:numPr>
          <w:ilvl w:val="3"/>
          <w:numId w:val="24"/>
        </w:numPr>
        <w:spacing w:line="276" w:lineRule="auto"/>
        <w:jc w:val="both"/>
        <w:rPr>
          <w:rFonts w:ascii="Times New Roman" w:hAnsi="Times New Roman" w:cs="Times New Roman"/>
          <w:sz w:val="24"/>
          <w:szCs w:val="24"/>
        </w:rPr>
      </w:pPr>
      <w:hyperlink r:id="rId11" w:history="1">
        <w:r w:rsidR="002D6474" w:rsidRPr="00CE399F">
          <w:rPr>
            <w:rStyle w:val="Hyperlink"/>
            <w:rFonts w:ascii="Times New Roman" w:hAnsi="Times New Roman" w:cs="Times New Roman"/>
            <w:sz w:val="24"/>
            <w:szCs w:val="24"/>
            <w:lang w:val="en-US"/>
          </w:rPr>
          <w:t>https://step1.medbullets.com/endocrine/109022/solitary-thyroid-nodule</w:t>
        </w:r>
      </w:hyperlink>
    </w:p>
    <w:p w14:paraId="691B4EA0" w14:textId="2C642956" w:rsidR="00AE490C" w:rsidRPr="002D6474" w:rsidRDefault="009C0EA9" w:rsidP="00843161">
      <w:pPr>
        <w:pStyle w:val="ListParagraph"/>
        <w:numPr>
          <w:ilvl w:val="3"/>
          <w:numId w:val="24"/>
        </w:numPr>
        <w:spacing w:line="276" w:lineRule="auto"/>
        <w:jc w:val="both"/>
        <w:rPr>
          <w:rFonts w:ascii="Times New Roman" w:hAnsi="Times New Roman" w:cs="Times New Roman"/>
          <w:sz w:val="24"/>
          <w:szCs w:val="24"/>
        </w:rPr>
      </w:pPr>
      <w:hyperlink r:id="rId12" w:history="1">
        <w:r w:rsidR="00AE490C" w:rsidRPr="00904776">
          <w:rPr>
            <w:rStyle w:val="Hyperlink"/>
            <w:rFonts w:ascii="Times New Roman" w:hAnsi="Times New Roman" w:cs="Times New Roman"/>
            <w:sz w:val="24"/>
            <w:szCs w:val="24"/>
          </w:rPr>
          <w:t>https://meetingarchive.ami.org/2020/project/total-thyroidectomy/</w:t>
        </w:r>
      </w:hyperlink>
      <w:r w:rsidR="00AE490C">
        <w:rPr>
          <w:rFonts w:ascii="Times New Roman" w:hAnsi="Times New Roman" w:cs="Times New Roman"/>
          <w:sz w:val="24"/>
          <w:szCs w:val="24"/>
        </w:rPr>
        <w:t xml:space="preserve"> </w:t>
      </w:r>
    </w:p>
    <w:p w14:paraId="7D939794" w14:textId="77777777" w:rsidR="00B328BC" w:rsidRPr="00B328BC" w:rsidRDefault="00B328BC" w:rsidP="00B328BC">
      <w:pPr>
        <w:pStyle w:val="ListParagraph"/>
        <w:spacing w:line="276" w:lineRule="auto"/>
        <w:rPr>
          <w:rFonts w:ascii="Times New Roman" w:hAnsi="Times New Roman" w:cs="Times New Roman"/>
          <w:b/>
          <w:bCs/>
          <w:sz w:val="24"/>
          <w:szCs w:val="24"/>
        </w:rPr>
      </w:pPr>
    </w:p>
    <w:p w14:paraId="222B1628" w14:textId="77777777" w:rsidR="00B328BC" w:rsidRDefault="00B328BC" w:rsidP="00B328BC">
      <w:pPr>
        <w:spacing w:line="276" w:lineRule="auto"/>
        <w:jc w:val="both"/>
        <w:rPr>
          <w:rFonts w:ascii="Times New Roman" w:hAnsi="Times New Roman" w:cs="Times New Roman"/>
          <w:b/>
          <w:bCs/>
          <w:sz w:val="24"/>
          <w:szCs w:val="24"/>
        </w:rPr>
      </w:pPr>
    </w:p>
    <w:p w14:paraId="69FDCD14" w14:textId="77777777" w:rsidR="00B328BC" w:rsidRDefault="00B328BC" w:rsidP="00B328BC">
      <w:pPr>
        <w:spacing w:line="276" w:lineRule="auto"/>
        <w:jc w:val="both"/>
        <w:rPr>
          <w:rFonts w:ascii="Times New Roman" w:hAnsi="Times New Roman" w:cs="Times New Roman"/>
          <w:b/>
          <w:bCs/>
          <w:sz w:val="24"/>
          <w:szCs w:val="24"/>
        </w:rPr>
      </w:pPr>
    </w:p>
    <w:p w14:paraId="48B15C38" w14:textId="77777777" w:rsidR="00B328BC" w:rsidRDefault="00B328BC" w:rsidP="00B328BC">
      <w:pPr>
        <w:spacing w:line="276" w:lineRule="auto"/>
        <w:jc w:val="both"/>
        <w:rPr>
          <w:rFonts w:ascii="Times New Roman" w:hAnsi="Times New Roman" w:cs="Times New Roman"/>
          <w:b/>
          <w:bCs/>
          <w:sz w:val="24"/>
          <w:szCs w:val="24"/>
        </w:rPr>
      </w:pPr>
    </w:p>
    <w:p w14:paraId="572BB605" w14:textId="77777777" w:rsidR="00B328BC" w:rsidRPr="00B328BC" w:rsidRDefault="00B328BC" w:rsidP="00B328BC">
      <w:pPr>
        <w:spacing w:line="276" w:lineRule="auto"/>
        <w:jc w:val="both"/>
        <w:rPr>
          <w:rFonts w:ascii="Times New Roman" w:hAnsi="Times New Roman" w:cs="Times New Roman"/>
          <w:b/>
          <w:bCs/>
          <w:sz w:val="24"/>
          <w:szCs w:val="24"/>
        </w:rPr>
      </w:pPr>
    </w:p>
    <w:p w14:paraId="42F2CA50" w14:textId="77777777" w:rsidR="00B328BC" w:rsidRPr="00B328BC" w:rsidRDefault="00B328BC" w:rsidP="00B328BC">
      <w:pPr>
        <w:spacing w:line="276" w:lineRule="auto"/>
        <w:jc w:val="both"/>
        <w:rPr>
          <w:rFonts w:ascii="Times New Roman" w:hAnsi="Times New Roman" w:cs="Times New Roman"/>
          <w:b/>
          <w:bCs/>
          <w:sz w:val="24"/>
          <w:szCs w:val="24"/>
        </w:rPr>
      </w:pPr>
    </w:p>
    <w:sectPr w:rsidR="00B328BC" w:rsidRPr="00B328B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A6197" w14:textId="77777777" w:rsidR="009C0EA9" w:rsidRDefault="009C0EA9" w:rsidP="0084291C">
      <w:pPr>
        <w:spacing w:after="0" w:line="240" w:lineRule="auto"/>
      </w:pPr>
      <w:r>
        <w:separator/>
      </w:r>
    </w:p>
  </w:endnote>
  <w:endnote w:type="continuationSeparator" w:id="0">
    <w:p w14:paraId="079EF63C" w14:textId="77777777" w:rsidR="009C0EA9" w:rsidRDefault="009C0EA9" w:rsidP="00842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1E3D4" w14:textId="77777777" w:rsidR="00055497" w:rsidRDefault="00055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C4F9D" w14:textId="77777777" w:rsidR="00055497" w:rsidRDefault="00055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EA564" w14:textId="77777777" w:rsidR="00055497" w:rsidRDefault="00055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898F8" w14:textId="77777777" w:rsidR="009C0EA9" w:rsidRDefault="009C0EA9" w:rsidP="0084291C">
      <w:pPr>
        <w:spacing w:after="0" w:line="240" w:lineRule="auto"/>
      </w:pPr>
      <w:r>
        <w:separator/>
      </w:r>
    </w:p>
  </w:footnote>
  <w:footnote w:type="continuationSeparator" w:id="0">
    <w:p w14:paraId="1C650D3F" w14:textId="77777777" w:rsidR="009C0EA9" w:rsidRDefault="009C0EA9" w:rsidP="00842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D1D32" w14:textId="5D3BA492" w:rsidR="00055497" w:rsidRDefault="00055497">
    <w:pPr>
      <w:pStyle w:val="Header"/>
    </w:pPr>
    <w:r>
      <w:rPr>
        <w:noProof/>
      </w:rPr>
      <w:pict w14:anchorId="0105F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807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D0F46" w14:textId="70B66E58" w:rsidR="00055497" w:rsidRDefault="00055497">
    <w:pPr>
      <w:pStyle w:val="Header"/>
    </w:pPr>
    <w:r>
      <w:rPr>
        <w:noProof/>
      </w:rPr>
      <w:pict w14:anchorId="766DE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807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1EEC6" w14:textId="067F1CA0" w:rsidR="00055497" w:rsidRDefault="00055497">
    <w:pPr>
      <w:pStyle w:val="Header"/>
    </w:pPr>
    <w:r>
      <w:rPr>
        <w:noProof/>
      </w:rPr>
      <w:pict w14:anchorId="12815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807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D3773"/>
    <w:multiLevelType w:val="hybridMultilevel"/>
    <w:tmpl w:val="0D446CB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0EA74ABD"/>
    <w:multiLevelType w:val="hybridMultilevel"/>
    <w:tmpl w:val="FDDA598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9757F6"/>
    <w:multiLevelType w:val="hybridMultilevel"/>
    <w:tmpl w:val="CA686E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5D0E13"/>
    <w:multiLevelType w:val="hybridMultilevel"/>
    <w:tmpl w:val="45289E0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9EF093A"/>
    <w:multiLevelType w:val="hybridMultilevel"/>
    <w:tmpl w:val="303AAD1C"/>
    <w:lvl w:ilvl="0" w:tplc="7C927606">
      <w:start w:val="1"/>
      <w:numFmt w:val="bullet"/>
      <w:lvlText w:val="•"/>
      <w:lvlJc w:val="left"/>
      <w:pPr>
        <w:tabs>
          <w:tab w:val="num" w:pos="720"/>
        </w:tabs>
        <w:ind w:left="720" w:hanging="360"/>
      </w:pPr>
      <w:rPr>
        <w:rFonts w:ascii="Arial" w:hAnsi="Arial" w:hint="default"/>
      </w:rPr>
    </w:lvl>
    <w:lvl w:ilvl="1" w:tplc="391AFFBE" w:tentative="1">
      <w:start w:val="1"/>
      <w:numFmt w:val="bullet"/>
      <w:lvlText w:val="•"/>
      <w:lvlJc w:val="left"/>
      <w:pPr>
        <w:tabs>
          <w:tab w:val="num" w:pos="1440"/>
        </w:tabs>
        <w:ind w:left="1440" w:hanging="360"/>
      </w:pPr>
      <w:rPr>
        <w:rFonts w:ascii="Arial" w:hAnsi="Arial" w:hint="default"/>
      </w:rPr>
    </w:lvl>
    <w:lvl w:ilvl="2" w:tplc="E78A568E" w:tentative="1">
      <w:start w:val="1"/>
      <w:numFmt w:val="bullet"/>
      <w:lvlText w:val="•"/>
      <w:lvlJc w:val="left"/>
      <w:pPr>
        <w:tabs>
          <w:tab w:val="num" w:pos="2160"/>
        </w:tabs>
        <w:ind w:left="2160" w:hanging="360"/>
      </w:pPr>
      <w:rPr>
        <w:rFonts w:ascii="Arial" w:hAnsi="Arial" w:hint="default"/>
      </w:rPr>
    </w:lvl>
    <w:lvl w:ilvl="3" w:tplc="F7C60080" w:tentative="1">
      <w:start w:val="1"/>
      <w:numFmt w:val="bullet"/>
      <w:lvlText w:val="•"/>
      <w:lvlJc w:val="left"/>
      <w:pPr>
        <w:tabs>
          <w:tab w:val="num" w:pos="2880"/>
        </w:tabs>
        <w:ind w:left="2880" w:hanging="360"/>
      </w:pPr>
      <w:rPr>
        <w:rFonts w:ascii="Arial" w:hAnsi="Arial" w:hint="default"/>
      </w:rPr>
    </w:lvl>
    <w:lvl w:ilvl="4" w:tplc="776A9BF0" w:tentative="1">
      <w:start w:val="1"/>
      <w:numFmt w:val="bullet"/>
      <w:lvlText w:val="•"/>
      <w:lvlJc w:val="left"/>
      <w:pPr>
        <w:tabs>
          <w:tab w:val="num" w:pos="3600"/>
        </w:tabs>
        <w:ind w:left="3600" w:hanging="360"/>
      </w:pPr>
      <w:rPr>
        <w:rFonts w:ascii="Arial" w:hAnsi="Arial" w:hint="default"/>
      </w:rPr>
    </w:lvl>
    <w:lvl w:ilvl="5" w:tplc="B8D0B99C" w:tentative="1">
      <w:start w:val="1"/>
      <w:numFmt w:val="bullet"/>
      <w:lvlText w:val="•"/>
      <w:lvlJc w:val="left"/>
      <w:pPr>
        <w:tabs>
          <w:tab w:val="num" w:pos="4320"/>
        </w:tabs>
        <w:ind w:left="4320" w:hanging="360"/>
      </w:pPr>
      <w:rPr>
        <w:rFonts w:ascii="Arial" w:hAnsi="Arial" w:hint="default"/>
      </w:rPr>
    </w:lvl>
    <w:lvl w:ilvl="6" w:tplc="27C03D5E" w:tentative="1">
      <w:start w:val="1"/>
      <w:numFmt w:val="bullet"/>
      <w:lvlText w:val="•"/>
      <w:lvlJc w:val="left"/>
      <w:pPr>
        <w:tabs>
          <w:tab w:val="num" w:pos="5040"/>
        </w:tabs>
        <w:ind w:left="5040" w:hanging="360"/>
      </w:pPr>
      <w:rPr>
        <w:rFonts w:ascii="Arial" w:hAnsi="Arial" w:hint="default"/>
      </w:rPr>
    </w:lvl>
    <w:lvl w:ilvl="7" w:tplc="98CE7C76" w:tentative="1">
      <w:start w:val="1"/>
      <w:numFmt w:val="bullet"/>
      <w:lvlText w:val="•"/>
      <w:lvlJc w:val="left"/>
      <w:pPr>
        <w:tabs>
          <w:tab w:val="num" w:pos="5760"/>
        </w:tabs>
        <w:ind w:left="5760" w:hanging="360"/>
      </w:pPr>
      <w:rPr>
        <w:rFonts w:ascii="Arial" w:hAnsi="Arial" w:hint="default"/>
      </w:rPr>
    </w:lvl>
    <w:lvl w:ilvl="8" w:tplc="2D8002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DB2CBB"/>
    <w:multiLevelType w:val="multilevel"/>
    <w:tmpl w:val="2D8A8C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11157"/>
    <w:multiLevelType w:val="multilevel"/>
    <w:tmpl w:val="D7EA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407F4"/>
    <w:multiLevelType w:val="hybridMultilevel"/>
    <w:tmpl w:val="AD2E66A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BCE422B"/>
    <w:multiLevelType w:val="hybridMultilevel"/>
    <w:tmpl w:val="F8880F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E73C79"/>
    <w:multiLevelType w:val="multilevel"/>
    <w:tmpl w:val="41026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D7CBA"/>
    <w:multiLevelType w:val="hybridMultilevel"/>
    <w:tmpl w:val="962ED8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8E567B1"/>
    <w:multiLevelType w:val="hybridMultilevel"/>
    <w:tmpl w:val="686EC0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C8615B5"/>
    <w:multiLevelType w:val="multilevel"/>
    <w:tmpl w:val="D2D8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57540"/>
    <w:multiLevelType w:val="multilevel"/>
    <w:tmpl w:val="C526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CF36DA"/>
    <w:multiLevelType w:val="hybridMultilevel"/>
    <w:tmpl w:val="25CA14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EC334A"/>
    <w:multiLevelType w:val="multilevel"/>
    <w:tmpl w:val="91CA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C11D2"/>
    <w:multiLevelType w:val="hybridMultilevel"/>
    <w:tmpl w:val="BAA4D5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10C096E"/>
    <w:multiLevelType w:val="hybridMultilevel"/>
    <w:tmpl w:val="D6E0D0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73C69FE"/>
    <w:multiLevelType w:val="multilevel"/>
    <w:tmpl w:val="FF0E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87F87"/>
    <w:multiLevelType w:val="multilevel"/>
    <w:tmpl w:val="4996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323B3"/>
    <w:multiLevelType w:val="hybridMultilevel"/>
    <w:tmpl w:val="844025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52793A"/>
    <w:multiLevelType w:val="hybridMultilevel"/>
    <w:tmpl w:val="C07E227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2AF2834"/>
    <w:multiLevelType w:val="multilevel"/>
    <w:tmpl w:val="02D4F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15204"/>
    <w:multiLevelType w:val="multilevel"/>
    <w:tmpl w:val="60CC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59758F"/>
    <w:multiLevelType w:val="hybridMultilevel"/>
    <w:tmpl w:val="90800952"/>
    <w:lvl w:ilvl="0" w:tplc="CE24F478">
      <w:start w:val="1"/>
      <w:numFmt w:val="bullet"/>
      <w:lvlText w:val="•"/>
      <w:lvlJc w:val="left"/>
      <w:pPr>
        <w:tabs>
          <w:tab w:val="num" w:pos="720"/>
        </w:tabs>
        <w:ind w:left="720" w:hanging="360"/>
      </w:pPr>
      <w:rPr>
        <w:rFonts w:ascii="Arial" w:hAnsi="Arial" w:hint="default"/>
      </w:rPr>
    </w:lvl>
    <w:lvl w:ilvl="1" w:tplc="58901450" w:tentative="1">
      <w:start w:val="1"/>
      <w:numFmt w:val="bullet"/>
      <w:lvlText w:val="•"/>
      <w:lvlJc w:val="left"/>
      <w:pPr>
        <w:tabs>
          <w:tab w:val="num" w:pos="1440"/>
        </w:tabs>
        <w:ind w:left="1440" w:hanging="360"/>
      </w:pPr>
      <w:rPr>
        <w:rFonts w:ascii="Arial" w:hAnsi="Arial" w:hint="default"/>
      </w:rPr>
    </w:lvl>
    <w:lvl w:ilvl="2" w:tplc="C3B8DBEA" w:tentative="1">
      <w:start w:val="1"/>
      <w:numFmt w:val="bullet"/>
      <w:lvlText w:val="•"/>
      <w:lvlJc w:val="left"/>
      <w:pPr>
        <w:tabs>
          <w:tab w:val="num" w:pos="2160"/>
        </w:tabs>
        <w:ind w:left="2160" w:hanging="360"/>
      </w:pPr>
      <w:rPr>
        <w:rFonts w:ascii="Arial" w:hAnsi="Arial" w:hint="default"/>
      </w:rPr>
    </w:lvl>
    <w:lvl w:ilvl="3" w:tplc="3E7ED94C" w:tentative="1">
      <w:start w:val="1"/>
      <w:numFmt w:val="bullet"/>
      <w:lvlText w:val="•"/>
      <w:lvlJc w:val="left"/>
      <w:pPr>
        <w:tabs>
          <w:tab w:val="num" w:pos="2880"/>
        </w:tabs>
        <w:ind w:left="2880" w:hanging="360"/>
      </w:pPr>
      <w:rPr>
        <w:rFonts w:ascii="Arial" w:hAnsi="Arial" w:hint="default"/>
      </w:rPr>
    </w:lvl>
    <w:lvl w:ilvl="4" w:tplc="C53664B4" w:tentative="1">
      <w:start w:val="1"/>
      <w:numFmt w:val="bullet"/>
      <w:lvlText w:val="•"/>
      <w:lvlJc w:val="left"/>
      <w:pPr>
        <w:tabs>
          <w:tab w:val="num" w:pos="3600"/>
        </w:tabs>
        <w:ind w:left="3600" w:hanging="360"/>
      </w:pPr>
      <w:rPr>
        <w:rFonts w:ascii="Arial" w:hAnsi="Arial" w:hint="default"/>
      </w:rPr>
    </w:lvl>
    <w:lvl w:ilvl="5" w:tplc="D086527A" w:tentative="1">
      <w:start w:val="1"/>
      <w:numFmt w:val="bullet"/>
      <w:lvlText w:val="•"/>
      <w:lvlJc w:val="left"/>
      <w:pPr>
        <w:tabs>
          <w:tab w:val="num" w:pos="4320"/>
        </w:tabs>
        <w:ind w:left="4320" w:hanging="360"/>
      </w:pPr>
      <w:rPr>
        <w:rFonts w:ascii="Arial" w:hAnsi="Arial" w:hint="default"/>
      </w:rPr>
    </w:lvl>
    <w:lvl w:ilvl="6" w:tplc="80884790" w:tentative="1">
      <w:start w:val="1"/>
      <w:numFmt w:val="bullet"/>
      <w:lvlText w:val="•"/>
      <w:lvlJc w:val="left"/>
      <w:pPr>
        <w:tabs>
          <w:tab w:val="num" w:pos="5040"/>
        </w:tabs>
        <w:ind w:left="5040" w:hanging="360"/>
      </w:pPr>
      <w:rPr>
        <w:rFonts w:ascii="Arial" w:hAnsi="Arial" w:hint="default"/>
      </w:rPr>
    </w:lvl>
    <w:lvl w:ilvl="7" w:tplc="AD123372" w:tentative="1">
      <w:start w:val="1"/>
      <w:numFmt w:val="bullet"/>
      <w:lvlText w:val="•"/>
      <w:lvlJc w:val="left"/>
      <w:pPr>
        <w:tabs>
          <w:tab w:val="num" w:pos="5760"/>
        </w:tabs>
        <w:ind w:left="5760" w:hanging="360"/>
      </w:pPr>
      <w:rPr>
        <w:rFonts w:ascii="Arial" w:hAnsi="Arial" w:hint="default"/>
      </w:rPr>
    </w:lvl>
    <w:lvl w:ilvl="8" w:tplc="EE6E812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AC0E94"/>
    <w:multiLevelType w:val="hybridMultilevel"/>
    <w:tmpl w:val="7916A5AE"/>
    <w:lvl w:ilvl="0" w:tplc="FD0EB4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4AB10CD"/>
    <w:multiLevelType w:val="multilevel"/>
    <w:tmpl w:val="6F56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354885"/>
    <w:multiLevelType w:val="multilevel"/>
    <w:tmpl w:val="D01C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B245EC"/>
    <w:multiLevelType w:val="multilevel"/>
    <w:tmpl w:val="4CD61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2"/>
  </w:num>
  <w:num w:numId="3">
    <w:abstractNumId w:val="13"/>
  </w:num>
  <w:num w:numId="4">
    <w:abstractNumId w:val="9"/>
  </w:num>
  <w:num w:numId="5">
    <w:abstractNumId w:val="28"/>
  </w:num>
  <w:num w:numId="6">
    <w:abstractNumId w:val="23"/>
  </w:num>
  <w:num w:numId="7">
    <w:abstractNumId w:val="5"/>
  </w:num>
  <w:num w:numId="8">
    <w:abstractNumId w:val="3"/>
  </w:num>
  <w:num w:numId="9">
    <w:abstractNumId w:val="7"/>
  </w:num>
  <w:num w:numId="10">
    <w:abstractNumId w:val="1"/>
  </w:num>
  <w:num w:numId="11">
    <w:abstractNumId w:val="0"/>
  </w:num>
  <w:num w:numId="12">
    <w:abstractNumId w:val="10"/>
  </w:num>
  <w:num w:numId="13">
    <w:abstractNumId w:val="24"/>
  </w:num>
  <w:num w:numId="14">
    <w:abstractNumId w:val="15"/>
  </w:num>
  <w:num w:numId="15">
    <w:abstractNumId w:val="6"/>
  </w:num>
  <w:num w:numId="16">
    <w:abstractNumId w:val="26"/>
  </w:num>
  <w:num w:numId="17">
    <w:abstractNumId w:val="18"/>
  </w:num>
  <w:num w:numId="18">
    <w:abstractNumId w:val="19"/>
  </w:num>
  <w:num w:numId="19">
    <w:abstractNumId w:val="27"/>
  </w:num>
  <w:num w:numId="20">
    <w:abstractNumId w:val="12"/>
  </w:num>
  <w:num w:numId="21">
    <w:abstractNumId w:val="4"/>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1"/>
  </w:num>
  <w:num w:numId="27">
    <w:abstractNumId w:val="16"/>
  </w:num>
  <w:num w:numId="28">
    <w:abstractNumId w:val="1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69"/>
    <w:rsid w:val="00001676"/>
    <w:rsid w:val="00003169"/>
    <w:rsid w:val="0000758C"/>
    <w:rsid w:val="00055497"/>
    <w:rsid w:val="00063292"/>
    <w:rsid w:val="000D4A23"/>
    <w:rsid w:val="000F740F"/>
    <w:rsid w:val="00103516"/>
    <w:rsid w:val="001264A1"/>
    <w:rsid w:val="001367A6"/>
    <w:rsid w:val="0014576A"/>
    <w:rsid w:val="00186168"/>
    <w:rsid w:val="001B3D1A"/>
    <w:rsid w:val="001C23F2"/>
    <w:rsid w:val="001D683B"/>
    <w:rsid w:val="00235884"/>
    <w:rsid w:val="0023732A"/>
    <w:rsid w:val="002736FC"/>
    <w:rsid w:val="00277385"/>
    <w:rsid w:val="002A5EBF"/>
    <w:rsid w:val="002B32EA"/>
    <w:rsid w:val="002B7519"/>
    <w:rsid w:val="002C28A9"/>
    <w:rsid w:val="002D060B"/>
    <w:rsid w:val="002D6474"/>
    <w:rsid w:val="00340B1D"/>
    <w:rsid w:val="003562AC"/>
    <w:rsid w:val="003A1383"/>
    <w:rsid w:val="003B4292"/>
    <w:rsid w:val="004041E5"/>
    <w:rsid w:val="00406A4A"/>
    <w:rsid w:val="00434A03"/>
    <w:rsid w:val="00446773"/>
    <w:rsid w:val="0046159F"/>
    <w:rsid w:val="00466354"/>
    <w:rsid w:val="00472F6E"/>
    <w:rsid w:val="00491E8E"/>
    <w:rsid w:val="004B7AD4"/>
    <w:rsid w:val="004E0757"/>
    <w:rsid w:val="004E1023"/>
    <w:rsid w:val="00552822"/>
    <w:rsid w:val="005E37D2"/>
    <w:rsid w:val="0060200F"/>
    <w:rsid w:val="0062097C"/>
    <w:rsid w:val="00687198"/>
    <w:rsid w:val="00693A98"/>
    <w:rsid w:val="00693CB9"/>
    <w:rsid w:val="007161A6"/>
    <w:rsid w:val="0072119F"/>
    <w:rsid w:val="007400D2"/>
    <w:rsid w:val="00755B6F"/>
    <w:rsid w:val="00794A48"/>
    <w:rsid w:val="007A5013"/>
    <w:rsid w:val="00803C90"/>
    <w:rsid w:val="00815BA7"/>
    <w:rsid w:val="0084291C"/>
    <w:rsid w:val="00843161"/>
    <w:rsid w:val="00897FDE"/>
    <w:rsid w:val="008A2FC8"/>
    <w:rsid w:val="008B21E7"/>
    <w:rsid w:val="008B6C3A"/>
    <w:rsid w:val="008E0F2F"/>
    <w:rsid w:val="009430B1"/>
    <w:rsid w:val="00943354"/>
    <w:rsid w:val="00994CB4"/>
    <w:rsid w:val="009C0EA9"/>
    <w:rsid w:val="009D40A9"/>
    <w:rsid w:val="009D48EB"/>
    <w:rsid w:val="00A676E3"/>
    <w:rsid w:val="00A838A9"/>
    <w:rsid w:val="00A913E5"/>
    <w:rsid w:val="00AA61B2"/>
    <w:rsid w:val="00AC3175"/>
    <w:rsid w:val="00AE490C"/>
    <w:rsid w:val="00AF16C5"/>
    <w:rsid w:val="00B328BC"/>
    <w:rsid w:val="00B46BF0"/>
    <w:rsid w:val="00B46D3D"/>
    <w:rsid w:val="00B80EF1"/>
    <w:rsid w:val="00C06B55"/>
    <w:rsid w:val="00C30F73"/>
    <w:rsid w:val="00C36C90"/>
    <w:rsid w:val="00C43F8B"/>
    <w:rsid w:val="00C70537"/>
    <w:rsid w:val="00C73523"/>
    <w:rsid w:val="00C863A2"/>
    <w:rsid w:val="00CA2A68"/>
    <w:rsid w:val="00CA53FC"/>
    <w:rsid w:val="00CC1D63"/>
    <w:rsid w:val="00D335BF"/>
    <w:rsid w:val="00DB3A7B"/>
    <w:rsid w:val="00E743A6"/>
    <w:rsid w:val="00E81BF1"/>
    <w:rsid w:val="00E873A5"/>
    <w:rsid w:val="00E87CA9"/>
    <w:rsid w:val="00E92228"/>
    <w:rsid w:val="00EA6732"/>
    <w:rsid w:val="00EB2E20"/>
    <w:rsid w:val="00EC7D19"/>
    <w:rsid w:val="00F30233"/>
    <w:rsid w:val="00F32403"/>
    <w:rsid w:val="00F5276D"/>
    <w:rsid w:val="00F5548A"/>
    <w:rsid w:val="00FD103A"/>
    <w:rsid w:val="00FD3723"/>
    <w:rsid w:val="00FD42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D7F956"/>
  <w15:chartTrackingRefBased/>
  <w15:docId w15:val="{65620386-EAA6-4A7E-A3C3-71D7CE4D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031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1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1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1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1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031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1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31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3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169"/>
    <w:rPr>
      <w:rFonts w:eastAsiaTheme="majorEastAsia" w:cstheme="majorBidi"/>
      <w:color w:val="272727" w:themeColor="text1" w:themeTint="D8"/>
    </w:rPr>
  </w:style>
  <w:style w:type="paragraph" w:styleId="Title">
    <w:name w:val="Title"/>
    <w:basedOn w:val="Normal"/>
    <w:next w:val="Normal"/>
    <w:link w:val="TitleChar"/>
    <w:uiPriority w:val="10"/>
    <w:qFormat/>
    <w:rsid w:val="00003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169"/>
    <w:pPr>
      <w:spacing w:before="160"/>
      <w:jc w:val="center"/>
    </w:pPr>
    <w:rPr>
      <w:i/>
      <w:iCs/>
      <w:color w:val="404040" w:themeColor="text1" w:themeTint="BF"/>
    </w:rPr>
  </w:style>
  <w:style w:type="character" w:customStyle="1" w:styleId="QuoteChar">
    <w:name w:val="Quote Char"/>
    <w:basedOn w:val="DefaultParagraphFont"/>
    <w:link w:val="Quote"/>
    <w:uiPriority w:val="29"/>
    <w:rsid w:val="00003169"/>
    <w:rPr>
      <w:i/>
      <w:iCs/>
      <w:color w:val="404040" w:themeColor="text1" w:themeTint="BF"/>
    </w:rPr>
  </w:style>
  <w:style w:type="paragraph" w:styleId="ListParagraph">
    <w:name w:val="List Paragraph"/>
    <w:basedOn w:val="Normal"/>
    <w:uiPriority w:val="34"/>
    <w:qFormat/>
    <w:rsid w:val="00003169"/>
    <w:pPr>
      <w:ind w:left="720"/>
      <w:contextualSpacing/>
    </w:pPr>
  </w:style>
  <w:style w:type="character" w:styleId="IntenseEmphasis">
    <w:name w:val="Intense Emphasis"/>
    <w:basedOn w:val="DefaultParagraphFont"/>
    <w:uiPriority w:val="21"/>
    <w:qFormat/>
    <w:rsid w:val="00003169"/>
    <w:rPr>
      <w:i/>
      <w:iCs/>
      <w:color w:val="2F5496" w:themeColor="accent1" w:themeShade="BF"/>
    </w:rPr>
  </w:style>
  <w:style w:type="paragraph" w:styleId="IntenseQuote">
    <w:name w:val="Intense Quote"/>
    <w:basedOn w:val="Normal"/>
    <w:next w:val="Normal"/>
    <w:link w:val="IntenseQuoteChar"/>
    <w:uiPriority w:val="30"/>
    <w:qFormat/>
    <w:rsid w:val="00003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169"/>
    <w:rPr>
      <w:i/>
      <w:iCs/>
      <w:color w:val="2F5496" w:themeColor="accent1" w:themeShade="BF"/>
    </w:rPr>
  </w:style>
  <w:style w:type="character" w:styleId="IntenseReference">
    <w:name w:val="Intense Reference"/>
    <w:basedOn w:val="DefaultParagraphFont"/>
    <w:uiPriority w:val="32"/>
    <w:qFormat/>
    <w:rsid w:val="00003169"/>
    <w:rPr>
      <w:b/>
      <w:bCs/>
      <w:smallCaps/>
      <w:color w:val="2F5496" w:themeColor="accent1" w:themeShade="BF"/>
      <w:spacing w:val="5"/>
    </w:rPr>
  </w:style>
  <w:style w:type="table" w:styleId="TableGrid">
    <w:name w:val="Table Grid"/>
    <w:basedOn w:val="TableNormal"/>
    <w:uiPriority w:val="39"/>
    <w:rsid w:val="00E87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7CA9"/>
    <w:rPr>
      <w:b/>
      <w:bCs/>
    </w:rPr>
  </w:style>
  <w:style w:type="paragraph" w:styleId="NormalWeb">
    <w:name w:val="Normal (Web)"/>
    <w:basedOn w:val="Normal"/>
    <w:uiPriority w:val="99"/>
    <w:unhideWhenUsed/>
    <w:rsid w:val="00E87CA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sr-only">
    <w:name w:val="sr-only"/>
    <w:basedOn w:val="DefaultParagraphFont"/>
    <w:rsid w:val="00E87CA9"/>
  </w:style>
  <w:style w:type="paragraph" w:styleId="Header">
    <w:name w:val="header"/>
    <w:basedOn w:val="Normal"/>
    <w:link w:val="HeaderChar"/>
    <w:uiPriority w:val="99"/>
    <w:unhideWhenUsed/>
    <w:rsid w:val="00842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91C"/>
  </w:style>
  <w:style w:type="paragraph" w:styleId="Footer">
    <w:name w:val="footer"/>
    <w:basedOn w:val="Normal"/>
    <w:link w:val="FooterChar"/>
    <w:uiPriority w:val="99"/>
    <w:unhideWhenUsed/>
    <w:rsid w:val="00842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91C"/>
  </w:style>
  <w:style w:type="character" w:styleId="Hyperlink">
    <w:name w:val="Hyperlink"/>
    <w:basedOn w:val="DefaultParagraphFont"/>
    <w:uiPriority w:val="99"/>
    <w:unhideWhenUsed/>
    <w:rsid w:val="004041E5"/>
    <w:rPr>
      <w:color w:val="0563C1" w:themeColor="hyperlink"/>
      <w:u w:val="single"/>
    </w:rPr>
  </w:style>
  <w:style w:type="character" w:styleId="UnresolvedMention">
    <w:name w:val="Unresolved Mention"/>
    <w:basedOn w:val="DefaultParagraphFont"/>
    <w:uiPriority w:val="99"/>
    <w:semiHidden/>
    <w:unhideWhenUsed/>
    <w:rsid w:val="00404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196">
      <w:bodyDiv w:val="1"/>
      <w:marLeft w:val="0"/>
      <w:marRight w:val="0"/>
      <w:marTop w:val="0"/>
      <w:marBottom w:val="0"/>
      <w:divBdr>
        <w:top w:val="none" w:sz="0" w:space="0" w:color="auto"/>
        <w:left w:val="none" w:sz="0" w:space="0" w:color="auto"/>
        <w:bottom w:val="none" w:sz="0" w:space="0" w:color="auto"/>
        <w:right w:val="none" w:sz="0" w:space="0" w:color="auto"/>
      </w:divBdr>
    </w:div>
    <w:div w:id="131874316">
      <w:bodyDiv w:val="1"/>
      <w:marLeft w:val="0"/>
      <w:marRight w:val="0"/>
      <w:marTop w:val="0"/>
      <w:marBottom w:val="0"/>
      <w:divBdr>
        <w:top w:val="none" w:sz="0" w:space="0" w:color="auto"/>
        <w:left w:val="none" w:sz="0" w:space="0" w:color="auto"/>
        <w:bottom w:val="none" w:sz="0" w:space="0" w:color="auto"/>
        <w:right w:val="none" w:sz="0" w:space="0" w:color="auto"/>
      </w:divBdr>
    </w:div>
    <w:div w:id="242954289">
      <w:bodyDiv w:val="1"/>
      <w:marLeft w:val="0"/>
      <w:marRight w:val="0"/>
      <w:marTop w:val="0"/>
      <w:marBottom w:val="0"/>
      <w:divBdr>
        <w:top w:val="none" w:sz="0" w:space="0" w:color="auto"/>
        <w:left w:val="none" w:sz="0" w:space="0" w:color="auto"/>
        <w:bottom w:val="none" w:sz="0" w:space="0" w:color="auto"/>
        <w:right w:val="none" w:sz="0" w:space="0" w:color="auto"/>
      </w:divBdr>
    </w:div>
    <w:div w:id="252055750">
      <w:bodyDiv w:val="1"/>
      <w:marLeft w:val="0"/>
      <w:marRight w:val="0"/>
      <w:marTop w:val="0"/>
      <w:marBottom w:val="0"/>
      <w:divBdr>
        <w:top w:val="none" w:sz="0" w:space="0" w:color="auto"/>
        <w:left w:val="none" w:sz="0" w:space="0" w:color="auto"/>
        <w:bottom w:val="none" w:sz="0" w:space="0" w:color="auto"/>
        <w:right w:val="none" w:sz="0" w:space="0" w:color="auto"/>
      </w:divBdr>
    </w:div>
    <w:div w:id="298732074">
      <w:bodyDiv w:val="1"/>
      <w:marLeft w:val="0"/>
      <w:marRight w:val="0"/>
      <w:marTop w:val="0"/>
      <w:marBottom w:val="0"/>
      <w:divBdr>
        <w:top w:val="none" w:sz="0" w:space="0" w:color="auto"/>
        <w:left w:val="none" w:sz="0" w:space="0" w:color="auto"/>
        <w:bottom w:val="none" w:sz="0" w:space="0" w:color="auto"/>
        <w:right w:val="none" w:sz="0" w:space="0" w:color="auto"/>
      </w:divBdr>
      <w:divsChild>
        <w:div w:id="719205443">
          <w:marLeft w:val="0"/>
          <w:marRight w:val="0"/>
          <w:marTop w:val="0"/>
          <w:marBottom w:val="0"/>
          <w:divBdr>
            <w:top w:val="none" w:sz="0" w:space="0" w:color="auto"/>
            <w:left w:val="none" w:sz="0" w:space="0" w:color="auto"/>
            <w:bottom w:val="none" w:sz="0" w:space="0" w:color="auto"/>
            <w:right w:val="none" w:sz="0" w:space="0" w:color="auto"/>
          </w:divBdr>
        </w:div>
      </w:divsChild>
    </w:div>
    <w:div w:id="372854337">
      <w:bodyDiv w:val="1"/>
      <w:marLeft w:val="0"/>
      <w:marRight w:val="0"/>
      <w:marTop w:val="0"/>
      <w:marBottom w:val="0"/>
      <w:divBdr>
        <w:top w:val="none" w:sz="0" w:space="0" w:color="auto"/>
        <w:left w:val="none" w:sz="0" w:space="0" w:color="auto"/>
        <w:bottom w:val="none" w:sz="0" w:space="0" w:color="auto"/>
        <w:right w:val="none" w:sz="0" w:space="0" w:color="auto"/>
      </w:divBdr>
    </w:div>
    <w:div w:id="473714054">
      <w:bodyDiv w:val="1"/>
      <w:marLeft w:val="0"/>
      <w:marRight w:val="0"/>
      <w:marTop w:val="0"/>
      <w:marBottom w:val="0"/>
      <w:divBdr>
        <w:top w:val="none" w:sz="0" w:space="0" w:color="auto"/>
        <w:left w:val="none" w:sz="0" w:space="0" w:color="auto"/>
        <w:bottom w:val="none" w:sz="0" w:space="0" w:color="auto"/>
        <w:right w:val="none" w:sz="0" w:space="0" w:color="auto"/>
      </w:divBdr>
    </w:div>
    <w:div w:id="490681547">
      <w:bodyDiv w:val="1"/>
      <w:marLeft w:val="0"/>
      <w:marRight w:val="0"/>
      <w:marTop w:val="0"/>
      <w:marBottom w:val="0"/>
      <w:divBdr>
        <w:top w:val="none" w:sz="0" w:space="0" w:color="auto"/>
        <w:left w:val="none" w:sz="0" w:space="0" w:color="auto"/>
        <w:bottom w:val="none" w:sz="0" w:space="0" w:color="auto"/>
        <w:right w:val="none" w:sz="0" w:space="0" w:color="auto"/>
      </w:divBdr>
    </w:div>
    <w:div w:id="525949552">
      <w:bodyDiv w:val="1"/>
      <w:marLeft w:val="0"/>
      <w:marRight w:val="0"/>
      <w:marTop w:val="0"/>
      <w:marBottom w:val="0"/>
      <w:divBdr>
        <w:top w:val="none" w:sz="0" w:space="0" w:color="auto"/>
        <w:left w:val="none" w:sz="0" w:space="0" w:color="auto"/>
        <w:bottom w:val="none" w:sz="0" w:space="0" w:color="auto"/>
        <w:right w:val="none" w:sz="0" w:space="0" w:color="auto"/>
      </w:divBdr>
      <w:divsChild>
        <w:div w:id="351885652">
          <w:marLeft w:val="360"/>
          <w:marRight w:val="0"/>
          <w:marTop w:val="200"/>
          <w:marBottom w:val="0"/>
          <w:divBdr>
            <w:top w:val="none" w:sz="0" w:space="0" w:color="auto"/>
            <w:left w:val="none" w:sz="0" w:space="0" w:color="auto"/>
            <w:bottom w:val="none" w:sz="0" w:space="0" w:color="auto"/>
            <w:right w:val="none" w:sz="0" w:space="0" w:color="auto"/>
          </w:divBdr>
        </w:div>
      </w:divsChild>
    </w:div>
    <w:div w:id="605768286">
      <w:bodyDiv w:val="1"/>
      <w:marLeft w:val="0"/>
      <w:marRight w:val="0"/>
      <w:marTop w:val="0"/>
      <w:marBottom w:val="0"/>
      <w:divBdr>
        <w:top w:val="none" w:sz="0" w:space="0" w:color="auto"/>
        <w:left w:val="none" w:sz="0" w:space="0" w:color="auto"/>
        <w:bottom w:val="none" w:sz="0" w:space="0" w:color="auto"/>
        <w:right w:val="none" w:sz="0" w:space="0" w:color="auto"/>
      </w:divBdr>
    </w:div>
    <w:div w:id="657424149">
      <w:bodyDiv w:val="1"/>
      <w:marLeft w:val="0"/>
      <w:marRight w:val="0"/>
      <w:marTop w:val="0"/>
      <w:marBottom w:val="0"/>
      <w:divBdr>
        <w:top w:val="none" w:sz="0" w:space="0" w:color="auto"/>
        <w:left w:val="none" w:sz="0" w:space="0" w:color="auto"/>
        <w:bottom w:val="none" w:sz="0" w:space="0" w:color="auto"/>
        <w:right w:val="none" w:sz="0" w:space="0" w:color="auto"/>
      </w:divBdr>
    </w:div>
    <w:div w:id="673339105">
      <w:bodyDiv w:val="1"/>
      <w:marLeft w:val="0"/>
      <w:marRight w:val="0"/>
      <w:marTop w:val="0"/>
      <w:marBottom w:val="0"/>
      <w:divBdr>
        <w:top w:val="none" w:sz="0" w:space="0" w:color="auto"/>
        <w:left w:val="none" w:sz="0" w:space="0" w:color="auto"/>
        <w:bottom w:val="none" w:sz="0" w:space="0" w:color="auto"/>
        <w:right w:val="none" w:sz="0" w:space="0" w:color="auto"/>
      </w:divBdr>
      <w:divsChild>
        <w:div w:id="2049527106">
          <w:marLeft w:val="0"/>
          <w:marRight w:val="0"/>
          <w:marTop w:val="0"/>
          <w:marBottom w:val="0"/>
          <w:divBdr>
            <w:top w:val="none" w:sz="0" w:space="0" w:color="auto"/>
            <w:left w:val="none" w:sz="0" w:space="0" w:color="auto"/>
            <w:bottom w:val="none" w:sz="0" w:space="0" w:color="auto"/>
            <w:right w:val="none" w:sz="0" w:space="0" w:color="auto"/>
          </w:divBdr>
          <w:divsChild>
            <w:div w:id="424766725">
              <w:marLeft w:val="0"/>
              <w:marRight w:val="0"/>
              <w:marTop w:val="0"/>
              <w:marBottom w:val="0"/>
              <w:divBdr>
                <w:top w:val="none" w:sz="0" w:space="0" w:color="auto"/>
                <w:left w:val="none" w:sz="0" w:space="0" w:color="auto"/>
                <w:bottom w:val="none" w:sz="0" w:space="0" w:color="auto"/>
                <w:right w:val="none" w:sz="0" w:space="0" w:color="auto"/>
              </w:divBdr>
              <w:divsChild>
                <w:div w:id="324943393">
                  <w:marLeft w:val="0"/>
                  <w:marRight w:val="0"/>
                  <w:marTop w:val="0"/>
                  <w:marBottom w:val="0"/>
                  <w:divBdr>
                    <w:top w:val="none" w:sz="0" w:space="0" w:color="auto"/>
                    <w:left w:val="none" w:sz="0" w:space="0" w:color="auto"/>
                    <w:bottom w:val="none" w:sz="0" w:space="0" w:color="auto"/>
                    <w:right w:val="none" w:sz="0" w:space="0" w:color="auto"/>
                  </w:divBdr>
                  <w:divsChild>
                    <w:div w:id="1188061241">
                      <w:marLeft w:val="0"/>
                      <w:marRight w:val="0"/>
                      <w:marTop w:val="0"/>
                      <w:marBottom w:val="0"/>
                      <w:divBdr>
                        <w:top w:val="none" w:sz="0" w:space="0" w:color="auto"/>
                        <w:left w:val="none" w:sz="0" w:space="0" w:color="auto"/>
                        <w:bottom w:val="none" w:sz="0" w:space="0" w:color="auto"/>
                        <w:right w:val="none" w:sz="0" w:space="0" w:color="auto"/>
                      </w:divBdr>
                      <w:divsChild>
                        <w:div w:id="1290891844">
                          <w:marLeft w:val="0"/>
                          <w:marRight w:val="0"/>
                          <w:marTop w:val="0"/>
                          <w:marBottom w:val="0"/>
                          <w:divBdr>
                            <w:top w:val="none" w:sz="0" w:space="0" w:color="auto"/>
                            <w:left w:val="none" w:sz="0" w:space="0" w:color="auto"/>
                            <w:bottom w:val="none" w:sz="0" w:space="0" w:color="auto"/>
                            <w:right w:val="none" w:sz="0" w:space="0" w:color="auto"/>
                          </w:divBdr>
                          <w:divsChild>
                            <w:div w:id="1613319199">
                              <w:marLeft w:val="0"/>
                              <w:marRight w:val="0"/>
                              <w:marTop w:val="0"/>
                              <w:marBottom w:val="0"/>
                              <w:divBdr>
                                <w:top w:val="none" w:sz="0" w:space="0" w:color="auto"/>
                                <w:left w:val="none" w:sz="0" w:space="0" w:color="auto"/>
                                <w:bottom w:val="none" w:sz="0" w:space="0" w:color="auto"/>
                                <w:right w:val="none" w:sz="0" w:space="0" w:color="auto"/>
                              </w:divBdr>
                              <w:divsChild>
                                <w:div w:id="362824381">
                                  <w:marLeft w:val="0"/>
                                  <w:marRight w:val="0"/>
                                  <w:marTop w:val="0"/>
                                  <w:marBottom w:val="0"/>
                                  <w:divBdr>
                                    <w:top w:val="none" w:sz="0" w:space="0" w:color="auto"/>
                                    <w:left w:val="none" w:sz="0" w:space="0" w:color="auto"/>
                                    <w:bottom w:val="none" w:sz="0" w:space="0" w:color="auto"/>
                                    <w:right w:val="none" w:sz="0" w:space="0" w:color="auto"/>
                                  </w:divBdr>
                                  <w:divsChild>
                                    <w:div w:id="961882643">
                                      <w:marLeft w:val="0"/>
                                      <w:marRight w:val="0"/>
                                      <w:marTop w:val="0"/>
                                      <w:marBottom w:val="0"/>
                                      <w:divBdr>
                                        <w:top w:val="none" w:sz="0" w:space="0" w:color="auto"/>
                                        <w:left w:val="none" w:sz="0" w:space="0" w:color="auto"/>
                                        <w:bottom w:val="none" w:sz="0" w:space="0" w:color="auto"/>
                                        <w:right w:val="none" w:sz="0" w:space="0" w:color="auto"/>
                                      </w:divBdr>
                                      <w:divsChild>
                                        <w:div w:id="1431319734">
                                          <w:marLeft w:val="0"/>
                                          <w:marRight w:val="0"/>
                                          <w:marTop w:val="0"/>
                                          <w:marBottom w:val="0"/>
                                          <w:divBdr>
                                            <w:top w:val="none" w:sz="0" w:space="0" w:color="auto"/>
                                            <w:left w:val="none" w:sz="0" w:space="0" w:color="auto"/>
                                            <w:bottom w:val="none" w:sz="0" w:space="0" w:color="auto"/>
                                            <w:right w:val="none" w:sz="0" w:space="0" w:color="auto"/>
                                          </w:divBdr>
                                          <w:divsChild>
                                            <w:div w:id="862133692">
                                              <w:marLeft w:val="0"/>
                                              <w:marRight w:val="0"/>
                                              <w:marTop w:val="0"/>
                                              <w:marBottom w:val="0"/>
                                              <w:divBdr>
                                                <w:top w:val="none" w:sz="0" w:space="0" w:color="auto"/>
                                                <w:left w:val="none" w:sz="0" w:space="0" w:color="auto"/>
                                                <w:bottom w:val="none" w:sz="0" w:space="0" w:color="auto"/>
                                                <w:right w:val="none" w:sz="0" w:space="0" w:color="auto"/>
                                              </w:divBdr>
                                              <w:divsChild>
                                                <w:div w:id="2050302306">
                                                  <w:marLeft w:val="0"/>
                                                  <w:marRight w:val="0"/>
                                                  <w:marTop w:val="0"/>
                                                  <w:marBottom w:val="0"/>
                                                  <w:divBdr>
                                                    <w:top w:val="none" w:sz="0" w:space="0" w:color="auto"/>
                                                    <w:left w:val="none" w:sz="0" w:space="0" w:color="auto"/>
                                                    <w:bottom w:val="none" w:sz="0" w:space="0" w:color="auto"/>
                                                    <w:right w:val="none" w:sz="0" w:space="0" w:color="auto"/>
                                                  </w:divBdr>
                                                  <w:divsChild>
                                                    <w:div w:id="436222509">
                                                      <w:marLeft w:val="0"/>
                                                      <w:marRight w:val="0"/>
                                                      <w:marTop w:val="0"/>
                                                      <w:marBottom w:val="0"/>
                                                      <w:divBdr>
                                                        <w:top w:val="none" w:sz="0" w:space="0" w:color="auto"/>
                                                        <w:left w:val="none" w:sz="0" w:space="0" w:color="auto"/>
                                                        <w:bottom w:val="none" w:sz="0" w:space="0" w:color="auto"/>
                                                        <w:right w:val="none" w:sz="0" w:space="0" w:color="auto"/>
                                                      </w:divBdr>
                                                      <w:divsChild>
                                                        <w:div w:id="1353798215">
                                                          <w:marLeft w:val="0"/>
                                                          <w:marRight w:val="0"/>
                                                          <w:marTop w:val="0"/>
                                                          <w:marBottom w:val="0"/>
                                                          <w:divBdr>
                                                            <w:top w:val="none" w:sz="0" w:space="0" w:color="auto"/>
                                                            <w:left w:val="none" w:sz="0" w:space="0" w:color="auto"/>
                                                            <w:bottom w:val="none" w:sz="0" w:space="0" w:color="auto"/>
                                                            <w:right w:val="none" w:sz="0" w:space="0" w:color="auto"/>
                                                          </w:divBdr>
                                                          <w:divsChild>
                                                            <w:div w:id="15813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479755">
                                      <w:marLeft w:val="0"/>
                                      <w:marRight w:val="0"/>
                                      <w:marTop w:val="0"/>
                                      <w:marBottom w:val="0"/>
                                      <w:divBdr>
                                        <w:top w:val="none" w:sz="0" w:space="0" w:color="auto"/>
                                        <w:left w:val="none" w:sz="0" w:space="0" w:color="auto"/>
                                        <w:bottom w:val="none" w:sz="0" w:space="0" w:color="auto"/>
                                        <w:right w:val="none" w:sz="0" w:space="0" w:color="auto"/>
                                      </w:divBdr>
                                      <w:divsChild>
                                        <w:div w:id="11093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209774">
          <w:marLeft w:val="0"/>
          <w:marRight w:val="0"/>
          <w:marTop w:val="0"/>
          <w:marBottom w:val="0"/>
          <w:divBdr>
            <w:top w:val="none" w:sz="0" w:space="0" w:color="auto"/>
            <w:left w:val="none" w:sz="0" w:space="0" w:color="auto"/>
            <w:bottom w:val="none" w:sz="0" w:space="0" w:color="auto"/>
            <w:right w:val="none" w:sz="0" w:space="0" w:color="auto"/>
          </w:divBdr>
          <w:divsChild>
            <w:div w:id="1467972357">
              <w:marLeft w:val="0"/>
              <w:marRight w:val="0"/>
              <w:marTop w:val="0"/>
              <w:marBottom w:val="0"/>
              <w:divBdr>
                <w:top w:val="none" w:sz="0" w:space="0" w:color="auto"/>
                <w:left w:val="none" w:sz="0" w:space="0" w:color="auto"/>
                <w:bottom w:val="none" w:sz="0" w:space="0" w:color="auto"/>
                <w:right w:val="none" w:sz="0" w:space="0" w:color="auto"/>
              </w:divBdr>
              <w:divsChild>
                <w:div w:id="447966168">
                  <w:marLeft w:val="0"/>
                  <w:marRight w:val="0"/>
                  <w:marTop w:val="0"/>
                  <w:marBottom w:val="0"/>
                  <w:divBdr>
                    <w:top w:val="none" w:sz="0" w:space="0" w:color="auto"/>
                    <w:left w:val="none" w:sz="0" w:space="0" w:color="auto"/>
                    <w:bottom w:val="none" w:sz="0" w:space="0" w:color="auto"/>
                    <w:right w:val="none" w:sz="0" w:space="0" w:color="auto"/>
                  </w:divBdr>
                  <w:divsChild>
                    <w:div w:id="2129859853">
                      <w:marLeft w:val="0"/>
                      <w:marRight w:val="0"/>
                      <w:marTop w:val="0"/>
                      <w:marBottom w:val="0"/>
                      <w:divBdr>
                        <w:top w:val="none" w:sz="0" w:space="0" w:color="auto"/>
                        <w:left w:val="none" w:sz="0" w:space="0" w:color="auto"/>
                        <w:bottom w:val="none" w:sz="0" w:space="0" w:color="auto"/>
                        <w:right w:val="none" w:sz="0" w:space="0" w:color="auto"/>
                      </w:divBdr>
                      <w:divsChild>
                        <w:div w:id="1141581420">
                          <w:marLeft w:val="0"/>
                          <w:marRight w:val="0"/>
                          <w:marTop w:val="0"/>
                          <w:marBottom w:val="0"/>
                          <w:divBdr>
                            <w:top w:val="none" w:sz="0" w:space="0" w:color="auto"/>
                            <w:left w:val="none" w:sz="0" w:space="0" w:color="auto"/>
                            <w:bottom w:val="none" w:sz="0" w:space="0" w:color="auto"/>
                            <w:right w:val="none" w:sz="0" w:space="0" w:color="auto"/>
                          </w:divBdr>
                          <w:divsChild>
                            <w:div w:id="738670247">
                              <w:marLeft w:val="0"/>
                              <w:marRight w:val="0"/>
                              <w:marTop w:val="0"/>
                              <w:marBottom w:val="0"/>
                              <w:divBdr>
                                <w:top w:val="none" w:sz="0" w:space="0" w:color="auto"/>
                                <w:left w:val="none" w:sz="0" w:space="0" w:color="auto"/>
                                <w:bottom w:val="none" w:sz="0" w:space="0" w:color="auto"/>
                                <w:right w:val="none" w:sz="0" w:space="0" w:color="auto"/>
                              </w:divBdr>
                              <w:divsChild>
                                <w:div w:id="732195248">
                                  <w:marLeft w:val="0"/>
                                  <w:marRight w:val="0"/>
                                  <w:marTop w:val="0"/>
                                  <w:marBottom w:val="0"/>
                                  <w:divBdr>
                                    <w:top w:val="none" w:sz="0" w:space="0" w:color="auto"/>
                                    <w:left w:val="none" w:sz="0" w:space="0" w:color="auto"/>
                                    <w:bottom w:val="none" w:sz="0" w:space="0" w:color="auto"/>
                                    <w:right w:val="none" w:sz="0" w:space="0" w:color="auto"/>
                                  </w:divBdr>
                                  <w:divsChild>
                                    <w:div w:id="310527919">
                                      <w:marLeft w:val="0"/>
                                      <w:marRight w:val="0"/>
                                      <w:marTop w:val="0"/>
                                      <w:marBottom w:val="0"/>
                                      <w:divBdr>
                                        <w:top w:val="none" w:sz="0" w:space="0" w:color="auto"/>
                                        <w:left w:val="none" w:sz="0" w:space="0" w:color="auto"/>
                                        <w:bottom w:val="none" w:sz="0" w:space="0" w:color="auto"/>
                                        <w:right w:val="none" w:sz="0" w:space="0" w:color="auto"/>
                                      </w:divBdr>
                                      <w:divsChild>
                                        <w:div w:id="1125706">
                                          <w:marLeft w:val="0"/>
                                          <w:marRight w:val="0"/>
                                          <w:marTop w:val="0"/>
                                          <w:marBottom w:val="0"/>
                                          <w:divBdr>
                                            <w:top w:val="none" w:sz="0" w:space="0" w:color="auto"/>
                                            <w:left w:val="none" w:sz="0" w:space="0" w:color="auto"/>
                                            <w:bottom w:val="none" w:sz="0" w:space="0" w:color="auto"/>
                                            <w:right w:val="none" w:sz="0" w:space="0" w:color="auto"/>
                                          </w:divBdr>
                                          <w:divsChild>
                                            <w:div w:id="291248807">
                                              <w:marLeft w:val="0"/>
                                              <w:marRight w:val="0"/>
                                              <w:marTop w:val="0"/>
                                              <w:marBottom w:val="0"/>
                                              <w:divBdr>
                                                <w:top w:val="none" w:sz="0" w:space="0" w:color="auto"/>
                                                <w:left w:val="none" w:sz="0" w:space="0" w:color="auto"/>
                                                <w:bottom w:val="none" w:sz="0" w:space="0" w:color="auto"/>
                                                <w:right w:val="none" w:sz="0" w:space="0" w:color="auto"/>
                                              </w:divBdr>
                                              <w:divsChild>
                                                <w:div w:id="1612125196">
                                                  <w:marLeft w:val="0"/>
                                                  <w:marRight w:val="0"/>
                                                  <w:marTop w:val="0"/>
                                                  <w:marBottom w:val="0"/>
                                                  <w:divBdr>
                                                    <w:top w:val="none" w:sz="0" w:space="0" w:color="auto"/>
                                                    <w:left w:val="none" w:sz="0" w:space="0" w:color="auto"/>
                                                    <w:bottom w:val="none" w:sz="0" w:space="0" w:color="auto"/>
                                                    <w:right w:val="none" w:sz="0" w:space="0" w:color="auto"/>
                                                  </w:divBdr>
                                                  <w:divsChild>
                                                    <w:div w:id="448665384">
                                                      <w:marLeft w:val="0"/>
                                                      <w:marRight w:val="0"/>
                                                      <w:marTop w:val="0"/>
                                                      <w:marBottom w:val="0"/>
                                                      <w:divBdr>
                                                        <w:top w:val="none" w:sz="0" w:space="0" w:color="auto"/>
                                                        <w:left w:val="none" w:sz="0" w:space="0" w:color="auto"/>
                                                        <w:bottom w:val="none" w:sz="0" w:space="0" w:color="auto"/>
                                                        <w:right w:val="none" w:sz="0" w:space="0" w:color="auto"/>
                                                      </w:divBdr>
                                                      <w:divsChild>
                                                        <w:div w:id="95029236">
                                                          <w:marLeft w:val="0"/>
                                                          <w:marRight w:val="0"/>
                                                          <w:marTop w:val="0"/>
                                                          <w:marBottom w:val="0"/>
                                                          <w:divBdr>
                                                            <w:top w:val="none" w:sz="0" w:space="0" w:color="auto"/>
                                                            <w:left w:val="none" w:sz="0" w:space="0" w:color="auto"/>
                                                            <w:bottom w:val="none" w:sz="0" w:space="0" w:color="auto"/>
                                                            <w:right w:val="none" w:sz="0" w:space="0" w:color="auto"/>
                                                          </w:divBdr>
                                                          <w:divsChild>
                                                            <w:div w:id="282663754">
                                                              <w:marLeft w:val="0"/>
                                                              <w:marRight w:val="0"/>
                                                              <w:marTop w:val="0"/>
                                                              <w:marBottom w:val="0"/>
                                                              <w:divBdr>
                                                                <w:top w:val="none" w:sz="0" w:space="0" w:color="auto"/>
                                                                <w:left w:val="none" w:sz="0" w:space="0" w:color="auto"/>
                                                                <w:bottom w:val="none" w:sz="0" w:space="0" w:color="auto"/>
                                                                <w:right w:val="none" w:sz="0" w:space="0" w:color="auto"/>
                                                              </w:divBdr>
                                                              <w:divsChild>
                                                                <w:div w:id="1825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9509117">
      <w:bodyDiv w:val="1"/>
      <w:marLeft w:val="0"/>
      <w:marRight w:val="0"/>
      <w:marTop w:val="0"/>
      <w:marBottom w:val="0"/>
      <w:divBdr>
        <w:top w:val="none" w:sz="0" w:space="0" w:color="auto"/>
        <w:left w:val="none" w:sz="0" w:space="0" w:color="auto"/>
        <w:bottom w:val="none" w:sz="0" w:space="0" w:color="auto"/>
        <w:right w:val="none" w:sz="0" w:space="0" w:color="auto"/>
      </w:divBdr>
    </w:div>
    <w:div w:id="744449272">
      <w:bodyDiv w:val="1"/>
      <w:marLeft w:val="0"/>
      <w:marRight w:val="0"/>
      <w:marTop w:val="0"/>
      <w:marBottom w:val="0"/>
      <w:divBdr>
        <w:top w:val="none" w:sz="0" w:space="0" w:color="auto"/>
        <w:left w:val="none" w:sz="0" w:space="0" w:color="auto"/>
        <w:bottom w:val="none" w:sz="0" w:space="0" w:color="auto"/>
        <w:right w:val="none" w:sz="0" w:space="0" w:color="auto"/>
      </w:divBdr>
      <w:divsChild>
        <w:div w:id="1916358196">
          <w:marLeft w:val="360"/>
          <w:marRight w:val="0"/>
          <w:marTop w:val="200"/>
          <w:marBottom w:val="0"/>
          <w:divBdr>
            <w:top w:val="none" w:sz="0" w:space="0" w:color="auto"/>
            <w:left w:val="none" w:sz="0" w:space="0" w:color="auto"/>
            <w:bottom w:val="none" w:sz="0" w:space="0" w:color="auto"/>
            <w:right w:val="none" w:sz="0" w:space="0" w:color="auto"/>
          </w:divBdr>
        </w:div>
        <w:div w:id="862519454">
          <w:marLeft w:val="360"/>
          <w:marRight w:val="0"/>
          <w:marTop w:val="200"/>
          <w:marBottom w:val="0"/>
          <w:divBdr>
            <w:top w:val="none" w:sz="0" w:space="0" w:color="auto"/>
            <w:left w:val="none" w:sz="0" w:space="0" w:color="auto"/>
            <w:bottom w:val="none" w:sz="0" w:space="0" w:color="auto"/>
            <w:right w:val="none" w:sz="0" w:space="0" w:color="auto"/>
          </w:divBdr>
        </w:div>
        <w:div w:id="1610578567">
          <w:marLeft w:val="360"/>
          <w:marRight w:val="0"/>
          <w:marTop w:val="200"/>
          <w:marBottom w:val="0"/>
          <w:divBdr>
            <w:top w:val="none" w:sz="0" w:space="0" w:color="auto"/>
            <w:left w:val="none" w:sz="0" w:space="0" w:color="auto"/>
            <w:bottom w:val="none" w:sz="0" w:space="0" w:color="auto"/>
            <w:right w:val="none" w:sz="0" w:space="0" w:color="auto"/>
          </w:divBdr>
        </w:div>
      </w:divsChild>
    </w:div>
    <w:div w:id="778648897">
      <w:bodyDiv w:val="1"/>
      <w:marLeft w:val="0"/>
      <w:marRight w:val="0"/>
      <w:marTop w:val="0"/>
      <w:marBottom w:val="0"/>
      <w:divBdr>
        <w:top w:val="none" w:sz="0" w:space="0" w:color="auto"/>
        <w:left w:val="none" w:sz="0" w:space="0" w:color="auto"/>
        <w:bottom w:val="none" w:sz="0" w:space="0" w:color="auto"/>
        <w:right w:val="none" w:sz="0" w:space="0" w:color="auto"/>
      </w:divBdr>
      <w:divsChild>
        <w:div w:id="770930736">
          <w:marLeft w:val="0"/>
          <w:marRight w:val="0"/>
          <w:marTop w:val="0"/>
          <w:marBottom w:val="0"/>
          <w:divBdr>
            <w:top w:val="none" w:sz="0" w:space="0" w:color="auto"/>
            <w:left w:val="none" w:sz="0" w:space="0" w:color="auto"/>
            <w:bottom w:val="none" w:sz="0" w:space="0" w:color="auto"/>
            <w:right w:val="none" w:sz="0" w:space="0" w:color="auto"/>
          </w:divBdr>
          <w:divsChild>
            <w:div w:id="2022511288">
              <w:marLeft w:val="0"/>
              <w:marRight w:val="0"/>
              <w:marTop w:val="0"/>
              <w:marBottom w:val="0"/>
              <w:divBdr>
                <w:top w:val="none" w:sz="0" w:space="0" w:color="auto"/>
                <w:left w:val="none" w:sz="0" w:space="0" w:color="auto"/>
                <w:bottom w:val="none" w:sz="0" w:space="0" w:color="auto"/>
                <w:right w:val="none" w:sz="0" w:space="0" w:color="auto"/>
              </w:divBdr>
              <w:divsChild>
                <w:div w:id="1778137045">
                  <w:marLeft w:val="0"/>
                  <w:marRight w:val="0"/>
                  <w:marTop w:val="0"/>
                  <w:marBottom w:val="0"/>
                  <w:divBdr>
                    <w:top w:val="none" w:sz="0" w:space="0" w:color="auto"/>
                    <w:left w:val="none" w:sz="0" w:space="0" w:color="auto"/>
                    <w:bottom w:val="none" w:sz="0" w:space="0" w:color="auto"/>
                    <w:right w:val="none" w:sz="0" w:space="0" w:color="auto"/>
                  </w:divBdr>
                  <w:divsChild>
                    <w:div w:id="739401674">
                      <w:marLeft w:val="0"/>
                      <w:marRight w:val="0"/>
                      <w:marTop w:val="0"/>
                      <w:marBottom w:val="0"/>
                      <w:divBdr>
                        <w:top w:val="none" w:sz="0" w:space="0" w:color="auto"/>
                        <w:left w:val="none" w:sz="0" w:space="0" w:color="auto"/>
                        <w:bottom w:val="none" w:sz="0" w:space="0" w:color="auto"/>
                        <w:right w:val="none" w:sz="0" w:space="0" w:color="auto"/>
                      </w:divBdr>
                      <w:divsChild>
                        <w:div w:id="992101922">
                          <w:marLeft w:val="0"/>
                          <w:marRight w:val="0"/>
                          <w:marTop w:val="0"/>
                          <w:marBottom w:val="0"/>
                          <w:divBdr>
                            <w:top w:val="none" w:sz="0" w:space="0" w:color="auto"/>
                            <w:left w:val="none" w:sz="0" w:space="0" w:color="auto"/>
                            <w:bottom w:val="none" w:sz="0" w:space="0" w:color="auto"/>
                            <w:right w:val="none" w:sz="0" w:space="0" w:color="auto"/>
                          </w:divBdr>
                          <w:divsChild>
                            <w:div w:id="2013070928">
                              <w:marLeft w:val="0"/>
                              <w:marRight w:val="0"/>
                              <w:marTop w:val="0"/>
                              <w:marBottom w:val="0"/>
                              <w:divBdr>
                                <w:top w:val="none" w:sz="0" w:space="0" w:color="auto"/>
                                <w:left w:val="none" w:sz="0" w:space="0" w:color="auto"/>
                                <w:bottom w:val="none" w:sz="0" w:space="0" w:color="auto"/>
                                <w:right w:val="none" w:sz="0" w:space="0" w:color="auto"/>
                              </w:divBdr>
                              <w:divsChild>
                                <w:div w:id="368647937">
                                  <w:marLeft w:val="0"/>
                                  <w:marRight w:val="0"/>
                                  <w:marTop w:val="0"/>
                                  <w:marBottom w:val="0"/>
                                  <w:divBdr>
                                    <w:top w:val="none" w:sz="0" w:space="0" w:color="auto"/>
                                    <w:left w:val="none" w:sz="0" w:space="0" w:color="auto"/>
                                    <w:bottom w:val="none" w:sz="0" w:space="0" w:color="auto"/>
                                    <w:right w:val="none" w:sz="0" w:space="0" w:color="auto"/>
                                  </w:divBdr>
                                  <w:divsChild>
                                    <w:div w:id="1578859966">
                                      <w:marLeft w:val="0"/>
                                      <w:marRight w:val="0"/>
                                      <w:marTop w:val="0"/>
                                      <w:marBottom w:val="0"/>
                                      <w:divBdr>
                                        <w:top w:val="none" w:sz="0" w:space="0" w:color="auto"/>
                                        <w:left w:val="none" w:sz="0" w:space="0" w:color="auto"/>
                                        <w:bottom w:val="none" w:sz="0" w:space="0" w:color="auto"/>
                                        <w:right w:val="none" w:sz="0" w:space="0" w:color="auto"/>
                                      </w:divBdr>
                                      <w:divsChild>
                                        <w:div w:id="1796757089">
                                          <w:marLeft w:val="0"/>
                                          <w:marRight w:val="0"/>
                                          <w:marTop w:val="0"/>
                                          <w:marBottom w:val="0"/>
                                          <w:divBdr>
                                            <w:top w:val="none" w:sz="0" w:space="0" w:color="auto"/>
                                            <w:left w:val="none" w:sz="0" w:space="0" w:color="auto"/>
                                            <w:bottom w:val="none" w:sz="0" w:space="0" w:color="auto"/>
                                            <w:right w:val="none" w:sz="0" w:space="0" w:color="auto"/>
                                          </w:divBdr>
                                          <w:divsChild>
                                            <w:div w:id="756826409">
                                              <w:marLeft w:val="0"/>
                                              <w:marRight w:val="0"/>
                                              <w:marTop w:val="0"/>
                                              <w:marBottom w:val="0"/>
                                              <w:divBdr>
                                                <w:top w:val="none" w:sz="0" w:space="0" w:color="auto"/>
                                                <w:left w:val="none" w:sz="0" w:space="0" w:color="auto"/>
                                                <w:bottom w:val="none" w:sz="0" w:space="0" w:color="auto"/>
                                                <w:right w:val="none" w:sz="0" w:space="0" w:color="auto"/>
                                              </w:divBdr>
                                              <w:divsChild>
                                                <w:div w:id="1715738106">
                                                  <w:marLeft w:val="0"/>
                                                  <w:marRight w:val="0"/>
                                                  <w:marTop w:val="0"/>
                                                  <w:marBottom w:val="0"/>
                                                  <w:divBdr>
                                                    <w:top w:val="none" w:sz="0" w:space="0" w:color="auto"/>
                                                    <w:left w:val="none" w:sz="0" w:space="0" w:color="auto"/>
                                                    <w:bottom w:val="none" w:sz="0" w:space="0" w:color="auto"/>
                                                    <w:right w:val="none" w:sz="0" w:space="0" w:color="auto"/>
                                                  </w:divBdr>
                                                  <w:divsChild>
                                                    <w:div w:id="389235446">
                                                      <w:marLeft w:val="0"/>
                                                      <w:marRight w:val="0"/>
                                                      <w:marTop w:val="0"/>
                                                      <w:marBottom w:val="0"/>
                                                      <w:divBdr>
                                                        <w:top w:val="none" w:sz="0" w:space="0" w:color="auto"/>
                                                        <w:left w:val="none" w:sz="0" w:space="0" w:color="auto"/>
                                                        <w:bottom w:val="none" w:sz="0" w:space="0" w:color="auto"/>
                                                        <w:right w:val="none" w:sz="0" w:space="0" w:color="auto"/>
                                                      </w:divBdr>
                                                      <w:divsChild>
                                                        <w:div w:id="1160467085">
                                                          <w:marLeft w:val="0"/>
                                                          <w:marRight w:val="0"/>
                                                          <w:marTop w:val="0"/>
                                                          <w:marBottom w:val="0"/>
                                                          <w:divBdr>
                                                            <w:top w:val="none" w:sz="0" w:space="0" w:color="auto"/>
                                                            <w:left w:val="none" w:sz="0" w:space="0" w:color="auto"/>
                                                            <w:bottom w:val="none" w:sz="0" w:space="0" w:color="auto"/>
                                                            <w:right w:val="none" w:sz="0" w:space="0" w:color="auto"/>
                                                          </w:divBdr>
                                                          <w:divsChild>
                                                            <w:div w:id="1748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569306">
                                      <w:marLeft w:val="0"/>
                                      <w:marRight w:val="0"/>
                                      <w:marTop w:val="0"/>
                                      <w:marBottom w:val="0"/>
                                      <w:divBdr>
                                        <w:top w:val="none" w:sz="0" w:space="0" w:color="auto"/>
                                        <w:left w:val="none" w:sz="0" w:space="0" w:color="auto"/>
                                        <w:bottom w:val="none" w:sz="0" w:space="0" w:color="auto"/>
                                        <w:right w:val="none" w:sz="0" w:space="0" w:color="auto"/>
                                      </w:divBdr>
                                      <w:divsChild>
                                        <w:div w:id="2434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402550">
          <w:marLeft w:val="0"/>
          <w:marRight w:val="0"/>
          <w:marTop w:val="0"/>
          <w:marBottom w:val="0"/>
          <w:divBdr>
            <w:top w:val="none" w:sz="0" w:space="0" w:color="auto"/>
            <w:left w:val="none" w:sz="0" w:space="0" w:color="auto"/>
            <w:bottom w:val="none" w:sz="0" w:space="0" w:color="auto"/>
            <w:right w:val="none" w:sz="0" w:space="0" w:color="auto"/>
          </w:divBdr>
          <w:divsChild>
            <w:div w:id="290526465">
              <w:marLeft w:val="0"/>
              <w:marRight w:val="0"/>
              <w:marTop w:val="0"/>
              <w:marBottom w:val="0"/>
              <w:divBdr>
                <w:top w:val="none" w:sz="0" w:space="0" w:color="auto"/>
                <w:left w:val="none" w:sz="0" w:space="0" w:color="auto"/>
                <w:bottom w:val="none" w:sz="0" w:space="0" w:color="auto"/>
                <w:right w:val="none" w:sz="0" w:space="0" w:color="auto"/>
              </w:divBdr>
              <w:divsChild>
                <w:div w:id="625739290">
                  <w:marLeft w:val="0"/>
                  <w:marRight w:val="0"/>
                  <w:marTop w:val="0"/>
                  <w:marBottom w:val="0"/>
                  <w:divBdr>
                    <w:top w:val="none" w:sz="0" w:space="0" w:color="auto"/>
                    <w:left w:val="none" w:sz="0" w:space="0" w:color="auto"/>
                    <w:bottom w:val="none" w:sz="0" w:space="0" w:color="auto"/>
                    <w:right w:val="none" w:sz="0" w:space="0" w:color="auto"/>
                  </w:divBdr>
                  <w:divsChild>
                    <w:div w:id="430004434">
                      <w:marLeft w:val="0"/>
                      <w:marRight w:val="0"/>
                      <w:marTop w:val="0"/>
                      <w:marBottom w:val="0"/>
                      <w:divBdr>
                        <w:top w:val="none" w:sz="0" w:space="0" w:color="auto"/>
                        <w:left w:val="none" w:sz="0" w:space="0" w:color="auto"/>
                        <w:bottom w:val="none" w:sz="0" w:space="0" w:color="auto"/>
                        <w:right w:val="none" w:sz="0" w:space="0" w:color="auto"/>
                      </w:divBdr>
                      <w:divsChild>
                        <w:div w:id="1032654326">
                          <w:marLeft w:val="0"/>
                          <w:marRight w:val="0"/>
                          <w:marTop w:val="0"/>
                          <w:marBottom w:val="0"/>
                          <w:divBdr>
                            <w:top w:val="none" w:sz="0" w:space="0" w:color="auto"/>
                            <w:left w:val="none" w:sz="0" w:space="0" w:color="auto"/>
                            <w:bottom w:val="none" w:sz="0" w:space="0" w:color="auto"/>
                            <w:right w:val="none" w:sz="0" w:space="0" w:color="auto"/>
                          </w:divBdr>
                          <w:divsChild>
                            <w:div w:id="1279996252">
                              <w:marLeft w:val="0"/>
                              <w:marRight w:val="0"/>
                              <w:marTop w:val="0"/>
                              <w:marBottom w:val="0"/>
                              <w:divBdr>
                                <w:top w:val="none" w:sz="0" w:space="0" w:color="auto"/>
                                <w:left w:val="none" w:sz="0" w:space="0" w:color="auto"/>
                                <w:bottom w:val="none" w:sz="0" w:space="0" w:color="auto"/>
                                <w:right w:val="none" w:sz="0" w:space="0" w:color="auto"/>
                              </w:divBdr>
                              <w:divsChild>
                                <w:div w:id="1765223255">
                                  <w:marLeft w:val="0"/>
                                  <w:marRight w:val="0"/>
                                  <w:marTop w:val="0"/>
                                  <w:marBottom w:val="0"/>
                                  <w:divBdr>
                                    <w:top w:val="none" w:sz="0" w:space="0" w:color="auto"/>
                                    <w:left w:val="none" w:sz="0" w:space="0" w:color="auto"/>
                                    <w:bottom w:val="none" w:sz="0" w:space="0" w:color="auto"/>
                                    <w:right w:val="none" w:sz="0" w:space="0" w:color="auto"/>
                                  </w:divBdr>
                                  <w:divsChild>
                                    <w:div w:id="340013729">
                                      <w:marLeft w:val="0"/>
                                      <w:marRight w:val="0"/>
                                      <w:marTop w:val="0"/>
                                      <w:marBottom w:val="0"/>
                                      <w:divBdr>
                                        <w:top w:val="none" w:sz="0" w:space="0" w:color="auto"/>
                                        <w:left w:val="none" w:sz="0" w:space="0" w:color="auto"/>
                                        <w:bottom w:val="none" w:sz="0" w:space="0" w:color="auto"/>
                                        <w:right w:val="none" w:sz="0" w:space="0" w:color="auto"/>
                                      </w:divBdr>
                                      <w:divsChild>
                                        <w:div w:id="1932591231">
                                          <w:marLeft w:val="0"/>
                                          <w:marRight w:val="0"/>
                                          <w:marTop w:val="0"/>
                                          <w:marBottom w:val="0"/>
                                          <w:divBdr>
                                            <w:top w:val="none" w:sz="0" w:space="0" w:color="auto"/>
                                            <w:left w:val="none" w:sz="0" w:space="0" w:color="auto"/>
                                            <w:bottom w:val="none" w:sz="0" w:space="0" w:color="auto"/>
                                            <w:right w:val="none" w:sz="0" w:space="0" w:color="auto"/>
                                          </w:divBdr>
                                          <w:divsChild>
                                            <w:div w:id="149565837">
                                              <w:marLeft w:val="0"/>
                                              <w:marRight w:val="0"/>
                                              <w:marTop w:val="0"/>
                                              <w:marBottom w:val="0"/>
                                              <w:divBdr>
                                                <w:top w:val="none" w:sz="0" w:space="0" w:color="auto"/>
                                                <w:left w:val="none" w:sz="0" w:space="0" w:color="auto"/>
                                                <w:bottom w:val="none" w:sz="0" w:space="0" w:color="auto"/>
                                                <w:right w:val="none" w:sz="0" w:space="0" w:color="auto"/>
                                              </w:divBdr>
                                              <w:divsChild>
                                                <w:div w:id="1565339224">
                                                  <w:marLeft w:val="0"/>
                                                  <w:marRight w:val="0"/>
                                                  <w:marTop w:val="0"/>
                                                  <w:marBottom w:val="0"/>
                                                  <w:divBdr>
                                                    <w:top w:val="none" w:sz="0" w:space="0" w:color="auto"/>
                                                    <w:left w:val="none" w:sz="0" w:space="0" w:color="auto"/>
                                                    <w:bottom w:val="none" w:sz="0" w:space="0" w:color="auto"/>
                                                    <w:right w:val="none" w:sz="0" w:space="0" w:color="auto"/>
                                                  </w:divBdr>
                                                  <w:divsChild>
                                                    <w:div w:id="949161764">
                                                      <w:marLeft w:val="0"/>
                                                      <w:marRight w:val="0"/>
                                                      <w:marTop w:val="0"/>
                                                      <w:marBottom w:val="0"/>
                                                      <w:divBdr>
                                                        <w:top w:val="none" w:sz="0" w:space="0" w:color="auto"/>
                                                        <w:left w:val="none" w:sz="0" w:space="0" w:color="auto"/>
                                                        <w:bottom w:val="none" w:sz="0" w:space="0" w:color="auto"/>
                                                        <w:right w:val="none" w:sz="0" w:space="0" w:color="auto"/>
                                                      </w:divBdr>
                                                      <w:divsChild>
                                                        <w:div w:id="73599542">
                                                          <w:marLeft w:val="0"/>
                                                          <w:marRight w:val="0"/>
                                                          <w:marTop w:val="0"/>
                                                          <w:marBottom w:val="0"/>
                                                          <w:divBdr>
                                                            <w:top w:val="none" w:sz="0" w:space="0" w:color="auto"/>
                                                            <w:left w:val="none" w:sz="0" w:space="0" w:color="auto"/>
                                                            <w:bottom w:val="none" w:sz="0" w:space="0" w:color="auto"/>
                                                            <w:right w:val="none" w:sz="0" w:space="0" w:color="auto"/>
                                                          </w:divBdr>
                                                          <w:divsChild>
                                                            <w:div w:id="1606812262">
                                                              <w:marLeft w:val="0"/>
                                                              <w:marRight w:val="0"/>
                                                              <w:marTop w:val="0"/>
                                                              <w:marBottom w:val="0"/>
                                                              <w:divBdr>
                                                                <w:top w:val="none" w:sz="0" w:space="0" w:color="auto"/>
                                                                <w:left w:val="none" w:sz="0" w:space="0" w:color="auto"/>
                                                                <w:bottom w:val="none" w:sz="0" w:space="0" w:color="auto"/>
                                                                <w:right w:val="none" w:sz="0" w:space="0" w:color="auto"/>
                                                              </w:divBdr>
                                                              <w:divsChild>
                                                                <w:div w:id="19005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2058981">
      <w:bodyDiv w:val="1"/>
      <w:marLeft w:val="0"/>
      <w:marRight w:val="0"/>
      <w:marTop w:val="0"/>
      <w:marBottom w:val="0"/>
      <w:divBdr>
        <w:top w:val="none" w:sz="0" w:space="0" w:color="auto"/>
        <w:left w:val="none" w:sz="0" w:space="0" w:color="auto"/>
        <w:bottom w:val="none" w:sz="0" w:space="0" w:color="auto"/>
        <w:right w:val="none" w:sz="0" w:space="0" w:color="auto"/>
      </w:divBdr>
    </w:div>
    <w:div w:id="818882491">
      <w:bodyDiv w:val="1"/>
      <w:marLeft w:val="0"/>
      <w:marRight w:val="0"/>
      <w:marTop w:val="0"/>
      <w:marBottom w:val="0"/>
      <w:divBdr>
        <w:top w:val="none" w:sz="0" w:space="0" w:color="auto"/>
        <w:left w:val="none" w:sz="0" w:space="0" w:color="auto"/>
        <w:bottom w:val="none" w:sz="0" w:space="0" w:color="auto"/>
        <w:right w:val="none" w:sz="0" w:space="0" w:color="auto"/>
      </w:divBdr>
      <w:divsChild>
        <w:div w:id="1891528129">
          <w:marLeft w:val="0"/>
          <w:marRight w:val="0"/>
          <w:marTop w:val="0"/>
          <w:marBottom w:val="0"/>
          <w:divBdr>
            <w:top w:val="none" w:sz="0" w:space="0" w:color="auto"/>
            <w:left w:val="none" w:sz="0" w:space="0" w:color="auto"/>
            <w:bottom w:val="none" w:sz="0" w:space="0" w:color="auto"/>
            <w:right w:val="none" w:sz="0" w:space="0" w:color="auto"/>
          </w:divBdr>
        </w:div>
      </w:divsChild>
    </w:div>
    <w:div w:id="851339054">
      <w:bodyDiv w:val="1"/>
      <w:marLeft w:val="0"/>
      <w:marRight w:val="0"/>
      <w:marTop w:val="0"/>
      <w:marBottom w:val="0"/>
      <w:divBdr>
        <w:top w:val="none" w:sz="0" w:space="0" w:color="auto"/>
        <w:left w:val="none" w:sz="0" w:space="0" w:color="auto"/>
        <w:bottom w:val="none" w:sz="0" w:space="0" w:color="auto"/>
        <w:right w:val="none" w:sz="0" w:space="0" w:color="auto"/>
      </w:divBdr>
    </w:div>
    <w:div w:id="861435439">
      <w:bodyDiv w:val="1"/>
      <w:marLeft w:val="0"/>
      <w:marRight w:val="0"/>
      <w:marTop w:val="0"/>
      <w:marBottom w:val="0"/>
      <w:divBdr>
        <w:top w:val="none" w:sz="0" w:space="0" w:color="auto"/>
        <w:left w:val="none" w:sz="0" w:space="0" w:color="auto"/>
        <w:bottom w:val="none" w:sz="0" w:space="0" w:color="auto"/>
        <w:right w:val="none" w:sz="0" w:space="0" w:color="auto"/>
      </w:divBdr>
    </w:div>
    <w:div w:id="1096704584">
      <w:bodyDiv w:val="1"/>
      <w:marLeft w:val="0"/>
      <w:marRight w:val="0"/>
      <w:marTop w:val="0"/>
      <w:marBottom w:val="0"/>
      <w:divBdr>
        <w:top w:val="none" w:sz="0" w:space="0" w:color="auto"/>
        <w:left w:val="none" w:sz="0" w:space="0" w:color="auto"/>
        <w:bottom w:val="none" w:sz="0" w:space="0" w:color="auto"/>
        <w:right w:val="none" w:sz="0" w:space="0" w:color="auto"/>
      </w:divBdr>
    </w:div>
    <w:div w:id="1114666500">
      <w:bodyDiv w:val="1"/>
      <w:marLeft w:val="0"/>
      <w:marRight w:val="0"/>
      <w:marTop w:val="0"/>
      <w:marBottom w:val="0"/>
      <w:divBdr>
        <w:top w:val="none" w:sz="0" w:space="0" w:color="auto"/>
        <w:left w:val="none" w:sz="0" w:space="0" w:color="auto"/>
        <w:bottom w:val="none" w:sz="0" w:space="0" w:color="auto"/>
        <w:right w:val="none" w:sz="0" w:space="0" w:color="auto"/>
      </w:divBdr>
      <w:divsChild>
        <w:div w:id="806167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839961">
      <w:bodyDiv w:val="1"/>
      <w:marLeft w:val="0"/>
      <w:marRight w:val="0"/>
      <w:marTop w:val="0"/>
      <w:marBottom w:val="0"/>
      <w:divBdr>
        <w:top w:val="none" w:sz="0" w:space="0" w:color="auto"/>
        <w:left w:val="none" w:sz="0" w:space="0" w:color="auto"/>
        <w:bottom w:val="none" w:sz="0" w:space="0" w:color="auto"/>
        <w:right w:val="none" w:sz="0" w:space="0" w:color="auto"/>
      </w:divBdr>
      <w:divsChild>
        <w:div w:id="1235316093">
          <w:marLeft w:val="0"/>
          <w:marRight w:val="0"/>
          <w:marTop w:val="0"/>
          <w:marBottom w:val="0"/>
          <w:divBdr>
            <w:top w:val="none" w:sz="0" w:space="0" w:color="auto"/>
            <w:left w:val="none" w:sz="0" w:space="0" w:color="auto"/>
            <w:bottom w:val="none" w:sz="0" w:space="0" w:color="auto"/>
            <w:right w:val="none" w:sz="0" w:space="0" w:color="auto"/>
          </w:divBdr>
          <w:divsChild>
            <w:div w:id="18931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40497">
      <w:bodyDiv w:val="1"/>
      <w:marLeft w:val="0"/>
      <w:marRight w:val="0"/>
      <w:marTop w:val="0"/>
      <w:marBottom w:val="0"/>
      <w:divBdr>
        <w:top w:val="none" w:sz="0" w:space="0" w:color="auto"/>
        <w:left w:val="none" w:sz="0" w:space="0" w:color="auto"/>
        <w:bottom w:val="none" w:sz="0" w:space="0" w:color="auto"/>
        <w:right w:val="none" w:sz="0" w:space="0" w:color="auto"/>
      </w:divBdr>
      <w:divsChild>
        <w:div w:id="671957998">
          <w:marLeft w:val="0"/>
          <w:marRight w:val="0"/>
          <w:marTop w:val="0"/>
          <w:marBottom w:val="0"/>
          <w:divBdr>
            <w:top w:val="none" w:sz="0" w:space="0" w:color="auto"/>
            <w:left w:val="none" w:sz="0" w:space="0" w:color="auto"/>
            <w:bottom w:val="none" w:sz="0" w:space="0" w:color="auto"/>
            <w:right w:val="none" w:sz="0" w:space="0" w:color="auto"/>
          </w:divBdr>
        </w:div>
      </w:divsChild>
    </w:div>
    <w:div w:id="1292516637">
      <w:bodyDiv w:val="1"/>
      <w:marLeft w:val="0"/>
      <w:marRight w:val="0"/>
      <w:marTop w:val="0"/>
      <w:marBottom w:val="0"/>
      <w:divBdr>
        <w:top w:val="none" w:sz="0" w:space="0" w:color="auto"/>
        <w:left w:val="none" w:sz="0" w:space="0" w:color="auto"/>
        <w:bottom w:val="none" w:sz="0" w:space="0" w:color="auto"/>
        <w:right w:val="none" w:sz="0" w:space="0" w:color="auto"/>
      </w:divBdr>
    </w:div>
    <w:div w:id="1336304637">
      <w:bodyDiv w:val="1"/>
      <w:marLeft w:val="0"/>
      <w:marRight w:val="0"/>
      <w:marTop w:val="0"/>
      <w:marBottom w:val="0"/>
      <w:divBdr>
        <w:top w:val="none" w:sz="0" w:space="0" w:color="auto"/>
        <w:left w:val="none" w:sz="0" w:space="0" w:color="auto"/>
        <w:bottom w:val="none" w:sz="0" w:space="0" w:color="auto"/>
        <w:right w:val="none" w:sz="0" w:space="0" w:color="auto"/>
      </w:divBdr>
    </w:div>
    <w:div w:id="1399599175">
      <w:bodyDiv w:val="1"/>
      <w:marLeft w:val="0"/>
      <w:marRight w:val="0"/>
      <w:marTop w:val="0"/>
      <w:marBottom w:val="0"/>
      <w:divBdr>
        <w:top w:val="none" w:sz="0" w:space="0" w:color="auto"/>
        <w:left w:val="none" w:sz="0" w:space="0" w:color="auto"/>
        <w:bottom w:val="none" w:sz="0" w:space="0" w:color="auto"/>
        <w:right w:val="none" w:sz="0" w:space="0" w:color="auto"/>
      </w:divBdr>
    </w:div>
    <w:div w:id="1408456898">
      <w:bodyDiv w:val="1"/>
      <w:marLeft w:val="0"/>
      <w:marRight w:val="0"/>
      <w:marTop w:val="0"/>
      <w:marBottom w:val="0"/>
      <w:divBdr>
        <w:top w:val="none" w:sz="0" w:space="0" w:color="auto"/>
        <w:left w:val="none" w:sz="0" w:space="0" w:color="auto"/>
        <w:bottom w:val="none" w:sz="0" w:space="0" w:color="auto"/>
        <w:right w:val="none" w:sz="0" w:space="0" w:color="auto"/>
      </w:divBdr>
    </w:div>
    <w:div w:id="1415586828">
      <w:bodyDiv w:val="1"/>
      <w:marLeft w:val="0"/>
      <w:marRight w:val="0"/>
      <w:marTop w:val="0"/>
      <w:marBottom w:val="0"/>
      <w:divBdr>
        <w:top w:val="none" w:sz="0" w:space="0" w:color="auto"/>
        <w:left w:val="none" w:sz="0" w:space="0" w:color="auto"/>
        <w:bottom w:val="none" w:sz="0" w:space="0" w:color="auto"/>
        <w:right w:val="none" w:sz="0" w:space="0" w:color="auto"/>
      </w:divBdr>
      <w:divsChild>
        <w:div w:id="1664628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720768">
      <w:bodyDiv w:val="1"/>
      <w:marLeft w:val="0"/>
      <w:marRight w:val="0"/>
      <w:marTop w:val="0"/>
      <w:marBottom w:val="0"/>
      <w:divBdr>
        <w:top w:val="none" w:sz="0" w:space="0" w:color="auto"/>
        <w:left w:val="none" w:sz="0" w:space="0" w:color="auto"/>
        <w:bottom w:val="none" w:sz="0" w:space="0" w:color="auto"/>
        <w:right w:val="none" w:sz="0" w:space="0" w:color="auto"/>
      </w:divBdr>
    </w:div>
    <w:div w:id="1550335808">
      <w:bodyDiv w:val="1"/>
      <w:marLeft w:val="0"/>
      <w:marRight w:val="0"/>
      <w:marTop w:val="0"/>
      <w:marBottom w:val="0"/>
      <w:divBdr>
        <w:top w:val="none" w:sz="0" w:space="0" w:color="auto"/>
        <w:left w:val="none" w:sz="0" w:space="0" w:color="auto"/>
        <w:bottom w:val="none" w:sz="0" w:space="0" w:color="auto"/>
        <w:right w:val="none" w:sz="0" w:space="0" w:color="auto"/>
      </w:divBdr>
    </w:div>
    <w:div w:id="1579972606">
      <w:bodyDiv w:val="1"/>
      <w:marLeft w:val="0"/>
      <w:marRight w:val="0"/>
      <w:marTop w:val="0"/>
      <w:marBottom w:val="0"/>
      <w:divBdr>
        <w:top w:val="none" w:sz="0" w:space="0" w:color="auto"/>
        <w:left w:val="none" w:sz="0" w:space="0" w:color="auto"/>
        <w:bottom w:val="none" w:sz="0" w:space="0" w:color="auto"/>
        <w:right w:val="none" w:sz="0" w:space="0" w:color="auto"/>
      </w:divBdr>
    </w:div>
    <w:div w:id="1580024064">
      <w:bodyDiv w:val="1"/>
      <w:marLeft w:val="0"/>
      <w:marRight w:val="0"/>
      <w:marTop w:val="0"/>
      <w:marBottom w:val="0"/>
      <w:divBdr>
        <w:top w:val="none" w:sz="0" w:space="0" w:color="auto"/>
        <w:left w:val="none" w:sz="0" w:space="0" w:color="auto"/>
        <w:bottom w:val="none" w:sz="0" w:space="0" w:color="auto"/>
        <w:right w:val="none" w:sz="0" w:space="0" w:color="auto"/>
      </w:divBdr>
      <w:divsChild>
        <w:div w:id="610625679">
          <w:marLeft w:val="0"/>
          <w:marRight w:val="0"/>
          <w:marTop w:val="0"/>
          <w:marBottom w:val="0"/>
          <w:divBdr>
            <w:top w:val="none" w:sz="0" w:space="0" w:color="auto"/>
            <w:left w:val="none" w:sz="0" w:space="0" w:color="auto"/>
            <w:bottom w:val="none" w:sz="0" w:space="0" w:color="auto"/>
            <w:right w:val="none" w:sz="0" w:space="0" w:color="auto"/>
          </w:divBdr>
        </w:div>
      </w:divsChild>
    </w:div>
    <w:div w:id="1695034374">
      <w:bodyDiv w:val="1"/>
      <w:marLeft w:val="0"/>
      <w:marRight w:val="0"/>
      <w:marTop w:val="0"/>
      <w:marBottom w:val="0"/>
      <w:divBdr>
        <w:top w:val="none" w:sz="0" w:space="0" w:color="auto"/>
        <w:left w:val="none" w:sz="0" w:space="0" w:color="auto"/>
        <w:bottom w:val="none" w:sz="0" w:space="0" w:color="auto"/>
        <w:right w:val="none" w:sz="0" w:space="0" w:color="auto"/>
      </w:divBdr>
      <w:divsChild>
        <w:div w:id="1624000127">
          <w:marLeft w:val="0"/>
          <w:marRight w:val="0"/>
          <w:marTop w:val="0"/>
          <w:marBottom w:val="0"/>
          <w:divBdr>
            <w:top w:val="none" w:sz="0" w:space="0" w:color="auto"/>
            <w:left w:val="none" w:sz="0" w:space="0" w:color="auto"/>
            <w:bottom w:val="none" w:sz="0" w:space="0" w:color="auto"/>
            <w:right w:val="none" w:sz="0" w:space="0" w:color="auto"/>
          </w:divBdr>
        </w:div>
      </w:divsChild>
    </w:div>
    <w:div w:id="1721516158">
      <w:bodyDiv w:val="1"/>
      <w:marLeft w:val="0"/>
      <w:marRight w:val="0"/>
      <w:marTop w:val="0"/>
      <w:marBottom w:val="0"/>
      <w:divBdr>
        <w:top w:val="none" w:sz="0" w:space="0" w:color="auto"/>
        <w:left w:val="none" w:sz="0" w:space="0" w:color="auto"/>
        <w:bottom w:val="none" w:sz="0" w:space="0" w:color="auto"/>
        <w:right w:val="none" w:sz="0" w:space="0" w:color="auto"/>
      </w:divBdr>
    </w:div>
    <w:div w:id="1724519149">
      <w:bodyDiv w:val="1"/>
      <w:marLeft w:val="0"/>
      <w:marRight w:val="0"/>
      <w:marTop w:val="0"/>
      <w:marBottom w:val="0"/>
      <w:divBdr>
        <w:top w:val="none" w:sz="0" w:space="0" w:color="auto"/>
        <w:left w:val="none" w:sz="0" w:space="0" w:color="auto"/>
        <w:bottom w:val="none" w:sz="0" w:space="0" w:color="auto"/>
        <w:right w:val="none" w:sz="0" w:space="0" w:color="auto"/>
      </w:divBdr>
      <w:divsChild>
        <w:div w:id="1544246720">
          <w:marLeft w:val="0"/>
          <w:marRight w:val="0"/>
          <w:marTop w:val="0"/>
          <w:marBottom w:val="0"/>
          <w:divBdr>
            <w:top w:val="none" w:sz="0" w:space="0" w:color="auto"/>
            <w:left w:val="none" w:sz="0" w:space="0" w:color="auto"/>
            <w:bottom w:val="none" w:sz="0" w:space="0" w:color="auto"/>
            <w:right w:val="none" w:sz="0" w:space="0" w:color="auto"/>
          </w:divBdr>
        </w:div>
      </w:divsChild>
    </w:div>
    <w:div w:id="1767730435">
      <w:bodyDiv w:val="1"/>
      <w:marLeft w:val="0"/>
      <w:marRight w:val="0"/>
      <w:marTop w:val="0"/>
      <w:marBottom w:val="0"/>
      <w:divBdr>
        <w:top w:val="none" w:sz="0" w:space="0" w:color="auto"/>
        <w:left w:val="none" w:sz="0" w:space="0" w:color="auto"/>
        <w:bottom w:val="none" w:sz="0" w:space="0" w:color="auto"/>
        <w:right w:val="none" w:sz="0" w:space="0" w:color="auto"/>
      </w:divBdr>
    </w:div>
    <w:div w:id="1821187308">
      <w:bodyDiv w:val="1"/>
      <w:marLeft w:val="0"/>
      <w:marRight w:val="0"/>
      <w:marTop w:val="0"/>
      <w:marBottom w:val="0"/>
      <w:divBdr>
        <w:top w:val="none" w:sz="0" w:space="0" w:color="auto"/>
        <w:left w:val="none" w:sz="0" w:space="0" w:color="auto"/>
        <w:bottom w:val="none" w:sz="0" w:space="0" w:color="auto"/>
        <w:right w:val="none" w:sz="0" w:space="0" w:color="auto"/>
      </w:divBdr>
      <w:divsChild>
        <w:div w:id="921256603">
          <w:marLeft w:val="0"/>
          <w:marRight w:val="0"/>
          <w:marTop w:val="0"/>
          <w:marBottom w:val="0"/>
          <w:divBdr>
            <w:top w:val="none" w:sz="0" w:space="0" w:color="auto"/>
            <w:left w:val="none" w:sz="0" w:space="0" w:color="auto"/>
            <w:bottom w:val="none" w:sz="0" w:space="0" w:color="auto"/>
            <w:right w:val="none" w:sz="0" w:space="0" w:color="auto"/>
          </w:divBdr>
          <w:divsChild>
            <w:div w:id="12925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0091">
      <w:bodyDiv w:val="1"/>
      <w:marLeft w:val="0"/>
      <w:marRight w:val="0"/>
      <w:marTop w:val="0"/>
      <w:marBottom w:val="0"/>
      <w:divBdr>
        <w:top w:val="none" w:sz="0" w:space="0" w:color="auto"/>
        <w:left w:val="none" w:sz="0" w:space="0" w:color="auto"/>
        <w:bottom w:val="none" w:sz="0" w:space="0" w:color="auto"/>
        <w:right w:val="none" w:sz="0" w:space="0" w:color="auto"/>
      </w:divBdr>
    </w:div>
    <w:div w:id="1998066435">
      <w:bodyDiv w:val="1"/>
      <w:marLeft w:val="0"/>
      <w:marRight w:val="0"/>
      <w:marTop w:val="0"/>
      <w:marBottom w:val="0"/>
      <w:divBdr>
        <w:top w:val="none" w:sz="0" w:space="0" w:color="auto"/>
        <w:left w:val="none" w:sz="0" w:space="0" w:color="auto"/>
        <w:bottom w:val="none" w:sz="0" w:space="0" w:color="auto"/>
        <w:right w:val="none" w:sz="0" w:space="0" w:color="auto"/>
      </w:divBdr>
      <w:divsChild>
        <w:div w:id="226306713">
          <w:marLeft w:val="0"/>
          <w:marRight w:val="0"/>
          <w:marTop w:val="0"/>
          <w:marBottom w:val="0"/>
          <w:divBdr>
            <w:top w:val="none" w:sz="0" w:space="0" w:color="auto"/>
            <w:left w:val="none" w:sz="0" w:space="0" w:color="auto"/>
            <w:bottom w:val="none" w:sz="0" w:space="0" w:color="auto"/>
            <w:right w:val="none" w:sz="0" w:space="0" w:color="auto"/>
          </w:divBdr>
        </w:div>
      </w:divsChild>
    </w:div>
    <w:div w:id="2138178403">
      <w:bodyDiv w:val="1"/>
      <w:marLeft w:val="0"/>
      <w:marRight w:val="0"/>
      <w:marTop w:val="0"/>
      <w:marBottom w:val="0"/>
      <w:divBdr>
        <w:top w:val="none" w:sz="0" w:space="0" w:color="auto"/>
        <w:left w:val="none" w:sz="0" w:space="0" w:color="auto"/>
        <w:bottom w:val="none" w:sz="0" w:space="0" w:color="auto"/>
        <w:right w:val="none" w:sz="0" w:space="0" w:color="auto"/>
      </w:divBdr>
      <w:divsChild>
        <w:div w:id="980115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meetingarchive.ami.org/2020/project/total-thyroidectom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p1.medbullets.com/endocrine/109022/solitary-thyroid-nodul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17</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Bhavani K</dc:creator>
  <cp:keywords/>
  <dc:description/>
  <cp:lastModifiedBy>SDI 1084</cp:lastModifiedBy>
  <cp:revision>46</cp:revision>
  <cp:lastPrinted>2025-07-20T07:52:00Z</cp:lastPrinted>
  <dcterms:created xsi:type="dcterms:W3CDTF">2025-07-16T02:59:00Z</dcterms:created>
  <dcterms:modified xsi:type="dcterms:W3CDTF">2025-11-01T12:16:00Z</dcterms:modified>
</cp:coreProperties>
</file>