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C678C" w14:textId="064D6B89" w:rsidR="00BC0004" w:rsidRDefault="00BC0004" w:rsidP="00BC0004">
      <w:pPr>
        <w:rPr>
          <w:rFonts w:ascii="Times New Roman" w:hAnsi="Times New Roman" w:cs="Times New Roman"/>
          <w:b/>
          <w:bCs/>
          <w:sz w:val="32"/>
          <w:szCs w:val="32"/>
        </w:rPr>
      </w:pPr>
      <w:r w:rsidRPr="00C82394">
        <w:rPr>
          <w:rFonts w:ascii="Times New Roman" w:hAnsi="Times New Roman" w:cs="Times New Roman"/>
          <w:b/>
          <w:bCs/>
          <w:sz w:val="32"/>
          <w:szCs w:val="32"/>
        </w:rPr>
        <w:t>Assessing the Impact of Climate Change on Black Pepper (</w:t>
      </w:r>
      <w:r w:rsidRPr="00C82394">
        <w:rPr>
          <w:rFonts w:ascii="Times New Roman" w:hAnsi="Times New Roman" w:cs="Times New Roman"/>
          <w:b/>
          <w:bCs/>
          <w:i/>
          <w:iCs/>
          <w:sz w:val="32"/>
          <w:szCs w:val="32"/>
        </w:rPr>
        <w:t>Piper nigrum</w:t>
      </w:r>
      <w:r w:rsidRPr="00C82394">
        <w:rPr>
          <w:rFonts w:ascii="Times New Roman" w:hAnsi="Times New Roman" w:cs="Times New Roman"/>
          <w:b/>
          <w:bCs/>
          <w:sz w:val="32"/>
          <w:szCs w:val="32"/>
        </w:rPr>
        <w:t xml:space="preserve"> L.) Distribution in Kerala through </w:t>
      </w:r>
      <w:proofErr w:type="spellStart"/>
      <w:r w:rsidRPr="00C82394">
        <w:rPr>
          <w:rFonts w:ascii="Times New Roman" w:hAnsi="Times New Roman" w:cs="Times New Roman"/>
          <w:b/>
          <w:bCs/>
          <w:sz w:val="32"/>
          <w:szCs w:val="32"/>
        </w:rPr>
        <w:t>MaxEnt</w:t>
      </w:r>
      <w:proofErr w:type="spellEnd"/>
      <w:r w:rsidRPr="00C82394">
        <w:rPr>
          <w:rFonts w:ascii="Times New Roman" w:hAnsi="Times New Roman" w:cs="Times New Roman"/>
          <w:b/>
          <w:bCs/>
          <w:sz w:val="32"/>
          <w:szCs w:val="32"/>
        </w:rPr>
        <w:t xml:space="preserve"> Modelling</w:t>
      </w:r>
    </w:p>
    <w:p w14:paraId="68849F16" w14:textId="77777777" w:rsidR="00090293" w:rsidRPr="00C82394" w:rsidRDefault="00090293" w:rsidP="00BC0004">
      <w:pPr>
        <w:rPr>
          <w:rFonts w:ascii="Times New Roman" w:hAnsi="Times New Roman" w:cs="Times New Roman"/>
          <w:b/>
          <w:bCs/>
          <w:sz w:val="32"/>
          <w:szCs w:val="32"/>
        </w:rPr>
      </w:pPr>
    </w:p>
    <w:p w14:paraId="1AC596D7" w14:textId="29387353" w:rsidR="007E2EEC" w:rsidRDefault="00672DF0" w:rsidP="005E4AE8">
      <w:pPr>
        <w:jc w:val="both"/>
        <w:rPr>
          <w:rFonts w:ascii="Times New Roman" w:hAnsi="Times New Roman" w:cs="Times New Roman"/>
          <w:b/>
          <w:bCs/>
        </w:rPr>
      </w:pPr>
      <w:r>
        <w:rPr>
          <w:rFonts w:ascii="Times New Roman" w:hAnsi="Times New Roman" w:cs="Times New Roman"/>
          <w:b/>
          <w:bCs/>
        </w:rPr>
        <w:t>Abstract</w:t>
      </w:r>
    </w:p>
    <w:p w14:paraId="0FDA7F14" w14:textId="52D071AE" w:rsidR="00965D29" w:rsidRPr="00965D29" w:rsidRDefault="00965D29" w:rsidP="005E4AE8">
      <w:pPr>
        <w:jc w:val="both"/>
        <w:rPr>
          <w:rFonts w:ascii="Times New Roman" w:hAnsi="Times New Roman" w:cs="Times New Roman"/>
        </w:rPr>
      </w:pPr>
      <w:r w:rsidRPr="00965D29">
        <w:rPr>
          <w:rFonts w:ascii="Times New Roman" w:hAnsi="Times New Roman" w:cs="Times New Roman"/>
        </w:rPr>
        <w:t>Black pepper (</w:t>
      </w:r>
      <w:r w:rsidRPr="00965D29">
        <w:rPr>
          <w:rFonts w:ascii="Times New Roman" w:hAnsi="Times New Roman" w:cs="Times New Roman"/>
          <w:i/>
          <w:iCs/>
        </w:rPr>
        <w:t>Piper nigrum</w:t>
      </w:r>
      <w:r w:rsidRPr="00965D29">
        <w:rPr>
          <w:rFonts w:ascii="Times New Roman" w:hAnsi="Times New Roman" w:cs="Times New Roman"/>
        </w:rPr>
        <w:t xml:space="preserve"> L.) is an important spice crop of Kerala, whose productivity depends on climatic variation. The present study assesses the current and future climatic suitability of black pepper in Kerala using the </w:t>
      </w:r>
      <w:proofErr w:type="spellStart"/>
      <w:r w:rsidRPr="00965D29">
        <w:rPr>
          <w:rFonts w:ascii="Times New Roman" w:hAnsi="Times New Roman" w:cs="Times New Roman"/>
        </w:rPr>
        <w:t>MaxEnt</w:t>
      </w:r>
      <w:proofErr w:type="spellEnd"/>
      <w:r w:rsidRPr="00965D29">
        <w:rPr>
          <w:rFonts w:ascii="Times New Roman" w:hAnsi="Times New Roman" w:cs="Times New Roman"/>
        </w:rPr>
        <w:t xml:space="preserve"> model. Nineteen bioclimatic variables from the CHELSA database and topographic variables were used to predict the distribution of the species, and seven uncorrelated bioclimatic variables and four topographic variables were selected to run the model under current and future climate scenarios, SSP1-2.6, SSP 3-7.0, and SSP5-8.5 for the mid-century (2041-2070) and end-century (2071-2100) time periods. Model output was reclassified with a 0.38 threshold to demarcate suitable and unsuitable areas. Spatial suitability distribution was </w:t>
      </w:r>
      <w:proofErr w:type="spellStart"/>
      <w:r w:rsidRPr="00965D29">
        <w:rPr>
          <w:rFonts w:ascii="Times New Roman" w:hAnsi="Times New Roman" w:cs="Times New Roman"/>
        </w:rPr>
        <w:t>analyzed</w:t>
      </w:r>
      <w:proofErr w:type="spellEnd"/>
      <w:r w:rsidRPr="00965D29">
        <w:rPr>
          <w:rFonts w:ascii="Times New Roman" w:hAnsi="Times New Roman" w:cs="Times New Roman"/>
        </w:rPr>
        <w:t xml:space="preserve"> across twenty-three </w:t>
      </w:r>
      <w:proofErr w:type="spellStart"/>
      <w:r w:rsidRPr="00965D29">
        <w:rPr>
          <w:rFonts w:ascii="Times New Roman" w:hAnsi="Times New Roman" w:cs="Times New Roman"/>
        </w:rPr>
        <w:t>Agro</w:t>
      </w:r>
      <w:proofErr w:type="spellEnd"/>
      <w:r w:rsidRPr="00965D29">
        <w:rPr>
          <w:rFonts w:ascii="Times New Roman" w:hAnsi="Times New Roman" w:cs="Times New Roman"/>
        </w:rPr>
        <w:t>-Ecological Units of Kerala to quantify area gain, loss, and no-change regions. The results showed a significant shift in suitable areas under high-emission scenarios, especially in lowland AEUs, indicating the potential contraction of suitable zones due to climate change. The study points to the vulnerability of traditional pepper-growing areas and emphasizes the need to adopt adaptive management strategies along with climate-resilient varietal selection for sustainable black pepper cultivation in Kerala.</w:t>
      </w:r>
    </w:p>
    <w:p w14:paraId="419FC02A" w14:textId="10DC9772" w:rsidR="00672DF0" w:rsidRPr="00672DF0" w:rsidRDefault="00672DF0" w:rsidP="00672DF0">
      <w:pPr>
        <w:pStyle w:val="ListParagraph"/>
        <w:numPr>
          <w:ilvl w:val="0"/>
          <w:numId w:val="1"/>
        </w:numPr>
        <w:jc w:val="both"/>
        <w:rPr>
          <w:rFonts w:ascii="Times New Roman" w:hAnsi="Times New Roman" w:cs="Times New Roman"/>
          <w:b/>
          <w:bCs/>
        </w:rPr>
      </w:pPr>
      <w:r>
        <w:rPr>
          <w:rFonts w:ascii="Times New Roman" w:hAnsi="Times New Roman" w:cs="Times New Roman"/>
          <w:b/>
          <w:bCs/>
        </w:rPr>
        <w:t>Introduction</w:t>
      </w:r>
    </w:p>
    <w:p w14:paraId="2572AF00" w14:textId="54A8B297"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Black pepper, </w:t>
      </w:r>
      <w:r w:rsidRPr="00965D29">
        <w:rPr>
          <w:rFonts w:ascii="Times New Roman" w:hAnsi="Times New Roman" w:cs="Times New Roman"/>
          <w:i/>
          <w:iCs/>
        </w:rPr>
        <w:t>Piper nigrum</w:t>
      </w:r>
      <w:r w:rsidRPr="005E4AE8">
        <w:rPr>
          <w:rFonts w:ascii="Times New Roman" w:hAnsi="Times New Roman" w:cs="Times New Roman"/>
        </w:rPr>
        <w:t xml:space="preserve"> L., known as the </w:t>
      </w:r>
      <w:r w:rsidR="00E321A9">
        <w:rPr>
          <w:rFonts w:ascii="Times New Roman" w:hAnsi="Times New Roman" w:cs="Times New Roman"/>
        </w:rPr>
        <w:t>‘</w:t>
      </w:r>
      <w:r w:rsidRPr="005E4AE8">
        <w:rPr>
          <w:rFonts w:ascii="Times New Roman" w:hAnsi="Times New Roman" w:cs="Times New Roman"/>
        </w:rPr>
        <w:t>King of Spices</w:t>
      </w:r>
      <w:r w:rsidR="00E321A9">
        <w:rPr>
          <w:rFonts w:ascii="Times New Roman" w:hAnsi="Times New Roman" w:cs="Times New Roman"/>
        </w:rPr>
        <w:t>’</w:t>
      </w:r>
      <w:r w:rsidR="00D9279B">
        <w:rPr>
          <w:rFonts w:ascii="Times New Roman" w:hAnsi="Times New Roman" w:cs="Times New Roman"/>
        </w:rPr>
        <w:t xml:space="preserve"> </w:t>
      </w:r>
      <w:r w:rsidRPr="005E4AE8">
        <w:rPr>
          <w:rFonts w:ascii="Times New Roman" w:hAnsi="Times New Roman" w:cs="Times New Roman"/>
        </w:rPr>
        <w:t xml:space="preserve">is one of the important export-oriented crops of India and has historical and economic importance in Kerala State. As the </w:t>
      </w:r>
      <w:proofErr w:type="spellStart"/>
      <w:r w:rsidRPr="005E4AE8">
        <w:rPr>
          <w:rFonts w:ascii="Times New Roman" w:hAnsi="Times New Roman" w:cs="Times New Roman"/>
        </w:rPr>
        <w:t>center</w:t>
      </w:r>
      <w:proofErr w:type="spellEnd"/>
      <w:r w:rsidRPr="005E4AE8">
        <w:rPr>
          <w:rFonts w:ascii="Times New Roman" w:hAnsi="Times New Roman" w:cs="Times New Roman"/>
        </w:rPr>
        <w:t xml:space="preserve"> of origin, Kerala contributes a major share to the national production of the crop. In Kerala, cultivation of pepper is concentrated in the humid midland and highland zones (Ravindran, 2000). Black pepper is highly sensitive to climate conditions and grows well in warm, humid tropical climates with annual rainfall ranging from 1250 to 2000 mm at an average temperature of about 28 °C</w:t>
      </w:r>
      <w:r w:rsidR="00E321A9">
        <w:rPr>
          <w:rFonts w:ascii="Times New Roman" w:hAnsi="Times New Roman" w:cs="Times New Roman"/>
        </w:rPr>
        <w:t xml:space="preserve"> (Spices Board India, 2009).</w:t>
      </w:r>
      <w:r w:rsidRPr="005E4AE8">
        <w:rPr>
          <w:rFonts w:ascii="Times New Roman" w:hAnsi="Times New Roman" w:cs="Times New Roman"/>
        </w:rPr>
        <w:t xml:space="preserve"> However, due to its perennial nature and a poor root system, it is very sensitive to temperature and rainfall variations. In Kerala, studies have reported that for every 1 °C rise in maximum/minimum temperature, there was about a 2.5% decline in yield (Nair</w:t>
      </w:r>
      <w:r w:rsidRPr="008261EE">
        <w:rPr>
          <w:rFonts w:ascii="Times New Roman" w:hAnsi="Times New Roman" w:cs="Times New Roman"/>
          <w:i/>
          <w:iCs/>
        </w:rPr>
        <w:t xml:space="preserve"> et al</w:t>
      </w:r>
      <w:r w:rsidRPr="005E4AE8">
        <w:rPr>
          <w:rFonts w:ascii="Times New Roman" w:hAnsi="Times New Roman" w:cs="Times New Roman"/>
        </w:rPr>
        <w:t>., 2021). Such risks are projected to increase under climate change. According to the Intergovernmental Panel on Climate Change, IPCC, 2022, along with the intensification of warming trends, changing monsoon rainfall will probably result in a decline in climatic suitability for sensitive crops, especially in South Asia. Over Kerala, a shift in monsoon patterns and rising temperatures is projected to affect traditional pepper-growing areas. Sen</w:t>
      </w:r>
      <w:r w:rsidRPr="008261EE">
        <w:rPr>
          <w:rFonts w:ascii="Times New Roman" w:hAnsi="Times New Roman" w:cs="Times New Roman"/>
          <w:i/>
          <w:iCs/>
        </w:rPr>
        <w:t xml:space="preserve"> et al</w:t>
      </w:r>
      <w:r w:rsidRPr="005E4AE8">
        <w:rPr>
          <w:rFonts w:ascii="Times New Roman" w:hAnsi="Times New Roman" w:cs="Times New Roman"/>
        </w:rPr>
        <w:t xml:space="preserve">., 2016 using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w:t>
      </w:r>
      <w:proofErr w:type="spellStart"/>
      <w:r w:rsidRPr="005E4AE8">
        <w:rPr>
          <w:rFonts w:ascii="Times New Roman" w:hAnsi="Times New Roman" w:cs="Times New Roman"/>
        </w:rPr>
        <w:t>modeling</w:t>
      </w:r>
      <w:proofErr w:type="spellEnd"/>
      <w:r w:rsidRPr="005E4AE8">
        <w:rPr>
          <w:rFonts w:ascii="Times New Roman" w:hAnsi="Times New Roman" w:cs="Times New Roman"/>
        </w:rPr>
        <w:t xml:space="preserve"> showed that climate change would contract the suitable habitat of P. nigrum in the Western Ghats. This further underlined the need to identify future refugia and vulnerable zones.</w:t>
      </w:r>
    </w:p>
    <w:p w14:paraId="3BB0669F" w14:textId="7DA81447" w:rsidR="000045FB" w:rsidRPr="005E4AE8" w:rsidRDefault="00672DF0" w:rsidP="005E4AE8">
      <w:pPr>
        <w:jc w:val="both"/>
        <w:rPr>
          <w:rFonts w:ascii="Times New Roman" w:hAnsi="Times New Roman" w:cs="Times New Roman"/>
        </w:rPr>
      </w:pPr>
      <w:r>
        <w:rPr>
          <w:rFonts w:ascii="Times New Roman" w:hAnsi="Times New Roman" w:cs="Times New Roman"/>
        </w:rPr>
        <w:t>Species Distribution Models (</w:t>
      </w:r>
      <w:r w:rsidR="000045FB" w:rsidRPr="005E4AE8">
        <w:rPr>
          <w:rFonts w:ascii="Times New Roman" w:hAnsi="Times New Roman" w:cs="Times New Roman"/>
        </w:rPr>
        <w:t>SDMs</w:t>
      </w:r>
      <w:r>
        <w:rPr>
          <w:rFonts w:ascii="Times New Roman" w:hAnsi="Times New Roman" w:cs="Times New Roman"/>
        </w:rPr>
        <w:t>)</w:t>
      </w:r>
      <w:r w:rsidR="000045FB" w:rsidRPr="005E4AE8">
        <w:rPr>
          <w:rFonts w:ascii="Times New Roman" w:hAnsi="Times New Roman" w:cs="Times New Roman"/>
        </w:rPr>
        <w:t xml:space="preserve">are now widely used to assess current and future habitat suitability based on environmental parameters. Of these, the </w:t>
      </w:r>
      <w:proofErr w:type="spellStart"/>
      <w:r w:rsidR="000045FB" w:rsidRPr="005E4AE8">
        <w:rPr>
          <w:rFonts w:ascii="Times New Roman" w:hAnsi="Times New Roman" w:cs="Times New Roman"/>
        </w:rPr>
        <w:t>MaxEnt</w:t>
      </w:r>
      <w:proofErr w:type="spellEnd"/>
      <w:r w:rsidR="000045FB" w:rsidRPr="005E4AE8">
        <w:rPr>
          <w:rFonts w:ascii="Times New Roman" w:hAnsi="Times New Roman" w:cs="Times New Roman"/>
        </w:rPr>
        <w:t xml:space="preserve"> model has become one of </w:t>
      </w:r>
      <w:r w:rsidR="000045FB" w:rsidRPr="005E4AE8">
        <w:rPr>
          <w:rFonts w:ascii="Times New Roman" w:hAnsi="Times New Roman" w:cs="Times New Roman"/>
        </w:rPr>
        <w:lastRenderedPageBreak/>
        <w:t xml:space="preserve">the preferred tools for </w:t>
      </w:r>
      <w:proofErr w:type="spellStart"/>
      <w:r w:rsidR="000045FB" w:rsidRPr="005E4AE8">
        <w:rPr>
          <w:rFonts w:ascii="Times New Roman" w:hAnsi="Times New Roman" w:cs="Times New Roman"/>
        </w:rPr>
        <w:t>modeling</w:t>
      </w:r>
      <w:proofErr w:type="spellEnd"/>
      <w:r w:rsidR="000045FB" w:rsidRPr="005E4AE8">
        <w:rPr>
          <w:rFonts w:ascii="Times New Roman" w:hAnsi="Times New Roman" w:cs="Times New Roman"/>
        </w:rPr>
        <w:t xml:space="preserve"> potential distributions using presence-only occurrence data (Phillips</w:t>
      </w:r>
      <w:r w:rsidR="000045FB" w:rsidRPr="008261EE">
        <w:rPr>
          <w:rFonts w:ascii="Times New Roman" w:hAnsi="Times New Roman" w:cs="Times New Roman"/>
          <w:i/>
          <w:iCs/>
        </w:rPr>
        <w:t xml:space="preserve"> et al</w:t>
      </w:r>
      <w:r w:rsidR="000045FB" w:rsidRPr="005E4AE8">
        <w:rPr>
          <w:rFonts w:ascii="Times New Roman" w:hAnsi="Times New Roman" w:cs="Times New Roman"/>
        </w:rPr>
        <w:t xml:space="preserve">., 2006). </w:t>
      </w:r>
      <w:proofErr w:type="spellStart"/>
      <w:r w:rsidR="000045FB" w:rsidRPr="005E4AE8">
        <w:rPr>
          <w:rFonts w:ascii="Times New Roman" w:hAnsi="Times New Roman" w:cs="Times New Roman"/>
        </w:rPr>
        <w:t>MaxEnt</w:t>
      </w:r>
      <w:proofErr w:type="spellEnd"/>
      <w:r w:rsidR="000045FB" w:rsidRPr="005E4AE8">
        <w:rPr>
          <w:rFonts w:ascii="Times New Roman" w:hAnsi="Times New Roman" w:cs="Times New Roman"/>
        </w:rPr>
        <w:t xml:space="preserve"> works well with limited data, handles complex variable interactions, and has been applied in ecological and agricultural contexts such as </w:t>
      </w:r>
      <w:proofErr w:type="spellStart"/>
      <w:r w:rsidR="000045FB" w:rsidRPr="005E4AE8">
        <w:rPr>
          <w:rFonts w:ascii="Times New Roman" w:hAnsi="Times New Roman" w:cs="Times New Roman"/>
        </w:rPr>
        <w:t>modeling</w:t>
      </w:r>
      <w:proofErr w:type="spellEnd"/>
      <w:r w:rsidR="000045FB" w:rsidRPr="005E4AE8">
        <w:rPr>
          <w:rFonts w:ascii="Times New Roman" w:hAnsi="Times New Roman" w:cs="Times New Roman"/>
        </w:rPr>
        <w:t xml:space="preserve"> crop suitability under climate change scenarios.</w:t>
      </w:r>
    </w:p>
    <w:p w14:paraId="795DB082"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But added to this is the spatial complexity brought in by Kerala's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diversity. The state is divided into five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Zones and 23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Units, distinct in soil, climate, elevation, and land use combinations, according to the Kerala Agricultural University, 2019. These classes provide a good input in regional agricultural planning, besides providing a good framework for suitability analysis at a localized scale. Thus, the present study aims to assess the current climatic suitability of black pepper in Kerala by using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and the CHELSA-derived 19 bioclimatic variables, project future suitability under three Shared Socioeconomic Pathways viz., SSP1–2.6, SSP3–7.0, SSP5–8.5 for mid-century (2041–2070) and end-century (2071–2100), and detect zones of stability, loss, or gain in suitability, with implications for climate adaptation in pepper-growing regions. These findings will support regional policy, crop planning, and adaptive management strategies for sustaining black pepper cultivation in a changing climate.</w:t>
      </w:r>
    </w:p>
    <w:p w14:paraId="11727CC5"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2. Materials and Methodology</w:t>
      </w:r>
    </w:p>
    <w:p w14:paraId="70294989" w14:textId="22771E90" w:rsidR="000045FB" w:rsidRPr="005E4AE8" w:rsidRDefault="000045FB" w:rsidP="005E4AE8">
      <w:pPr>
        <w:jc w:val="both"/>
        <w:rPr>
          <w:rFonts w:ascii="Times New Roman" w:hAnsi="Times New Roman" w:cs="Times New Roman"/>
        </w:rPr>
      </w:pPr>
      <w:bookmarkStart w:id="0" w:name="_Hlk213485327"/>
      <w:r w:rsidRPr="005E4AE8">
        <w:rPr>
          <w:rFonts w:ascii="Times New Roman" w:hAnsi="Times New Roman" w:cs="Times New Roman"/>
        </w:rPr>
        <w:t>2.1.</w:t>
      </w:r>
      <w:r w:rsidR="00E321A9">
        <w:rPr>
          <w:rFonts w:ascii="Times New Roman" w:hAnsi="Times New Roman" w:cs="Times New Roman"/>
        </w:rPr>
        <w:t xml:space="preserve"> </w:t>
      </w:r>
      <w:r w:rsidRPr="005E4AE8">
        <w:rPr>
          <w:rFonts w:ascii="Times New Roman" w:hAnsi="Times New Roman" w:cs="Times New Roman"/>
        </w:rPr>
        <w:t>Study area</w:t>
      </w:r>
    </w:p>
    <w:p w14:paraId="7AF700E8" w14:textId="194BA01F" w:rsidR="000045FB" w:rsidRPr="005E4AE8" w:rsidRDefault="000045FB" w:rsidP="005E4AE8">
      <w:pPr>
        <w:jc w:val="both"/>
        <w:rPr>
          <w:rFonts w:ascii="Times New Roman" w:hAnsi="Times New Roman" w:cs="Times New Roman"/>
        </w:rPr>
      </w:pPr>
      <w:r w:rsidRPr="005E4AE8">
        <w:rPr>
          <w:rFonts w:ascii="Times New Roman" w:hAnsi="Times New Roman" w:cs="Times New Roman"/>
        </w:rPr>
        <w:t>The study area, Kerala, lies between 8°17′–12°47′ N latitude and 74°52′–77°24′ E longitude along the southwestern coast of India, representing a total geographical area of 38,863 km². This state falls under a humid tropical monsoon climate with an average annual rainfall of about 2891 mm, distributed mainly during the southwest (June–September) and northeast (October–December) monsoons</w:t>
      </w:r>
      <w:r w:rsidR="00672DF0">
        <w:rPr>
          <w:rFonts w:ascii="Times New Roman" w:hAnsi="Times New Roman" w:cs="Times New Roman"/>
        </w:rPr>
        <w:t xml:space="preserve"> (IMD</w:t>
      </w:r>
      <w:r w:rsidR="00FC4812">
        <w:rPr>
          <w:rFonts w:ascii="Times New Roman" w:hAnsi="Times New Roman" w:cs="Times New Roman"/>
        </w:rPr>
        <w:t xml:space="preserve">, </w:t>
      </w:r>
      <w:r w:rsidR="00672DF0">
        <w:rPr>
          <w:rFonts w:ascii="Times New Roman" w:hAnsi="Times New Roman" w:cs="Times New Roman"/>
        </w:rPr>
        <w:t>2025)</w:t>
      </w:r>
      <w:r w:rsidRPr="005E4AE8">
        <w:rPr>
          <w:rFonts w:ascii="Times New Roman" w:hAnsi="Times New Roman" w:cs="Times New Roman"/>
        </w:rPr>
        <w:t>. Its terrain exhibits a steep west–east gradient from coastal lowlands to high-altitude regions of the Western Ghats.</w:t>
      </w:r>
    </w:p>
    <w:p w14:paraId="70EAB319" w14:textId="7A274574"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For agroclimatic planning, Kerala was delineated into five </w:t>
      </w:r>
      <w:proofErr w:type="spellStart"/>
      <w:r w:rsidRPr="005E4AE8">
        <w:rPr>
          <w:rFonts w:ascii="Times New Roman" w:hAnsi="Times New Roman" w:cs="Times New Roman"/>
        </w:rPr>
        <w:t>Agro</w:t>
      </w:r>
      <w:proofErr w:type="spellEnd"/>
      <w:r w:rsidRPr="005E4AE8">
        <w:rPr>
          <w:rFonts w:ascii="Times New Roman" w:hAnsi="Times New Roman" w:cs="Times New Roman"/>
        </w:rPr>
        <w:t xml:space="preserve">-Ecological Zones (AEZ) and twenty-three </w:t>
      </w:r>
      <w:proofErr w:type="spellStart"/>
      <w:r w:rsidRPr="005E4AE8">
        <w:rPr>
          <w:rFonts w:ascii="Times New Roman" w:hAnsi="Times New Roman" w:cs="Times New Roman"/>
        </w:rPr>
        <w:t>Agro</w:t>
      </w:r>
      <w:proofErr w:type="spellEnd"/>
      <w:r w:rsidRPr="005E4AE8">
        <w:rPr>
          <w:rFonts w:ascii="Times New Roman" w:hAnsi="Times New Roman" w:cs="Times New Roman"/>
        </w:rPr>
        <w:t>-Ecological Units (AEUs) based on soil type, topography, and climatic features (</w:t>
      </w:r>
      <w:r w:rsidR="00982B31">
        <w:rPr>
          <w:rFonts w:ascii="Times New Roman" w:hAnsi="Times New Roman" w:cs="Times New Roman"/>
        </w:rPr>
        <w:t xml:space="preserve">Kerala State Planning Board). </w:t>
      </w:r>
      <w:r w:rsidRPr="005E4AE8">
        <w:rPr>
          <w:rFonts w:ascii="Times New Roman" w:hAnsi="Times New Roman" w:cs="Times New Roman"/>
        </w:rPr>
        <w:t xml:space="preserve">These range from coastal plains to midlands and highlands, representing diverse climatic regimes that significantly affect crop suitability and management. </w:t>
      </w:r>
    </w:p>
    <w:p w14:paraId="76E5B8CB"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2.2. Occurrence Data</w:t>
      </w:r>
    </w:p>
    <w:p w14:paraId="65EF478B" w14:textId="75C6E303" w:rsidR="000045FB" w:rsidRPr="005E4AE8" w:rsidRDefault="000045FB" w:rsidP="005E4AE8">
      <w:pPr>
        <w:jc w:val="both"/>
        <w:rPr>
          <w:rFonts w:ascii="Times New Roman" w:hAnsi="Times New Roman" w:cs="Times New Roman"/>
        </w:rPr>
      </w:pPr>
      <w:r w:rsidRPr="005E4AE8">
        <w:rPr>
          <w:rFonts w:ascii="Times New Roman" w:hAnsi="Times New Roman" w:cs="Times New Roman"/>
        </w:rPr>
        <w:t>Presence data of black pepper cultivation locations were collected from various field locations of Idukki, Kannur, Wayanad, and Thrissur along with open-source databases like Global Biodiversity Information Facility</w:t>
      </w:r>
      <w:r w:rsidR="00C12C5A">
        <w:rPr>
          <w:rFonts w:ascii="Times New Roman" w:hAnsi="Times New Roman" w:cs="Times New Roman"/>
        </w:rPr>
        <w:t xml:space="preserve"> database </w:t>
      </w:r>
      <w:r w:rsidRPr="005E4AE8">
        <w:rPr>
          <w:rFonts w:ascii="Times New Roman" w:hAnsi="Times New Roman" w:cs="Times New Roman"/>
        </w:rPr>
        <w:t>(</w:t>
      </w:r>
      <w:r w:rsidR="00A50346">
        <w:rPr>
          <w:rFonts w:ascii="Times New Roman" w:hAnsi="Times New Roman" w:cs="Times New Roman"/>
        </w:rPr>
        <w:t xml:space="preserve">GBIF, 2025) </w:t>
      </w:r>
      <w:r w:rsidRPr="005E4AE8">
        <w:rPr>
          <w:rFonts w:ascii="Times New Roman" w:hAnsi="Times New Roman" w:cs="Times New Roman"/>
        </w:rPr>
        <w:t xml:space="preserve">and </w:t>
      </w:r>
      <w:proofErr w:type="spellStart"/>
      <w:r w:rsidRPr="005E4AE8">
        <w:rPr>
          <w:rFonts w:ascii="Times New Roman" w:hAnsi="Times New Roman" w:cs="Times New Roman"/>
        </w:rPr>
        <w:t>inaturalist</w:t>
      </w:r>
      <w:proofErr w:type="spellEnd"/>
      <w:r w:rsidRPr="005E4AE8">
        <w:rPr>
          <w:rFonts w:ascii="Times New Roman" w:hAnsi="Times New Roman" w:cs="Times New Roman"/>
        </w:rPr>
        <w:t xml:space="preserve">. Duplicate records and points falling outside Kerala were removed. To reduce spatial sampling bias and spatial autocorrelation, occurrence points were subjected to spatial thinning at 1 km resolution using the </w:t>
      </w:r>
      <w:proofErr w:type="spellStart"/>
      <w:r w:rsidRPr="005E4AE8">
        <w:rPr>
          <w:rFonts w:ascii="Times New Roman" w:hAnsi="Times New Roman" w:cs="Times New Roman"/>
        </w:rPr>
        <w:t>spThin</w:t>
      </w:r>
      <w:proofErr w:type="spellEnd"/>
      <w:r w:rsidRPr="005E4AE8">
        <w:rPr>
          <w:rFonts w:ascii="Times New Roman" w:hAnsi="Times New Roman" w:cs="Times New Roman"/>
        </w:rPr>
        <w:t xml:space="preserve"> package in R</w:t>
      </w:r>
      <w:r w:rsidR="00806820">
        <w:rPr>
          <w:rFonts w:ascii="Times New Roman" w:hAnsi="Times New Roman" w:cs="Times New Roman"/>
        </w:rPr>
        <w:t>,</w:t>
      </w:r>
      <w:r w:rsidRPr="005E4AE8">
        <w:rPr>
          <w:rFonts w:ascii="Times New Roman" w:hAnsi="Times New Roman" w:cs="Times New Roman"/>
        </w:rPr>
        <w:t xml:space="preserve"> Aiello-</w:t>
      </w:r>
      <w:proofErr w:type="spellStart"/>
      <w:r w:rsidRPr="005E4AE8">
        <w:rPr>
          <w:rFonts w:ascii="Times New Roman" w:hAnsi="Times New Roman" w:cs="Times New Roman"/>
        </w:rPr>
        <w:t>Lammens</w:t>
      </w:r>
      <w:proofErr w:type="spellEnd"/>
      <w:r w:rsidRPr="008261EE">
        <w:rPr>
          <w:rFonts w:ascii="Times New Roman" w:hAnsi="Times New Roman" w:cs="Times New Roman"/>
          <w:i/>
          <w:iCs/>
        </w:rPr>
        <w:t xml:space="preserve"> et al</w:t>
      </w:r>
      <w:r w:rsidRPr="005E4AE8">
        <w:rPr>
          <w:rFonts w:ascii="Times New Roman" w:hAnsi="Times New Roman" w:cs="Times New Roman"/>
        </w:rPr>
        <w:t>. (2015). The final dataset consisted of 184 thinned occurrence points used for model calibration and validation.</w:t>
      </w:r>
    </w:p>
    <w:p w14:paraId="27988CD1"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2.3. Environmental Variables</w:t>
      </w:r>
    </w:p>
    <w:p w14:paraId="225F084B" w14:textId="70C3458D" w:rsidR="000045FB" w:rsidRPr="005E4AE8" w:rsidRDefault="000045FB" w:rsidP="005E4AE8">
      <w:pPr>
        <w:jc w:val="both"/>
        <w:rPr>
          <w:rFonts w:ascii="Times New Roman" w:hAnsi="Times New Roman" w:cs="Times New Roman"/>
        </w:rPr>
      </w:pPr>
      <w:r w:rsidRPr="005E4AE8">
        <w:rPr>
          <w:rFonts w:ascii="Times New Roman" w:hAnsi="Times New Roman" w:cs="Times New Roman"/>
        </w:rPr>
        <w:lastRenderedPageBreak/>
        <w:t>Nineteen bioclimatic variables, bio1 to bio19, which were temperature and precipitation-related, from CHELSA v2.1 for the period 1981-2010 at 30 arc-second (~1 km²) resolution (Karger</w:t>
      </w:r>
      <w:r w:rsidRPr="008261EE">
        <w:rPr>
          <w:rFonts w:ascii="Times New Roman" w:hAnsi="Times New Roman" w:cs="Times New Roman"/>
          <w:i/>
          <w:iCs/>
        </w:rPr>
        <w:t xml:space="preserve"> et al</w:t>
      </w:r>
      <w:r w:rsidRPr="005E4AE8">
        <w:rPr>
          <w:rFonts w:ascii="Times New Roman" w:hAnsi="Times New Roman" w:cs="Times New Roman"/>
        </w:rPr>
        <w:t>., 2017)</w:t>
      </w:r>
      <w:r w:rsidR="00806820">
        <w:rPr>
          <w:rFonts w:ascii="Times New Roman" w:hAnsi="Times New Roman" w:cs="Times New Roman"/>
        </w:rPr>
        <w:t xml:space="preserve"> were downloaded.</w:t>
      </w:r>
      <w:r w:rsidRPr="005E4AE8">
        <w:rPr>
          <w:rFonts w:ascii="Times New Roman" w:hAnsi="Times New Roman" w:cs="Times New Roman"/>
        </w:rPr>
        <w:t xml:space="preserve"> Topographic variables such as elevation, slope, and aspect were derived from </w:t>
      </w:r>
      <w:r w:rsidR="00BC0004">
        <w:rPr>
          <w:rFonts w:ascii="Times New Roman" w:hAnsi="Times New Roman" w:cs="Times New Roman"/>
        </w:rPr>
        <w:t>Digital Elevation Model (</w:t>
      </w:r>
      <w:r w:rsidR="00BC0004" w:rsidRPr="005E4AE8">
        <w:rPr>
          <w:rFonts w:ascii="Times New Roman" w:hAnsi="Times New Roman" w:cs="Times New Roman"/>
        </w:rPr>
        <w:t>DEM</w:t>
      </w:r>
      <w:r w:rsidR="00BC0004">
        <w:rPr>
          <w:rFonts w:ascii="Times New Roman" w:hAnsi="Times New Roman" w:cs="Times New Roman"/>
        </w:rPr>
        <w:t>)</w:t>
      </w:r>
      <w:r w:rsidRPr="005E4AE8">
        <w:rPr>
          <w:rFonts w:ascii="Times New Roman" w:hAnsi="Times New Roman" w:cs="Times New Roman"/>
        </w:rPr>
        <w:t xml:space="preserve"> using the </w:t>
      </w:r>
      <w:r w:rsidR="00BC0004">
        <w:rPr>
          <w:rFonts w:ascii="Times New Roman" w:hAnsi="Times New Roman" w:cs="Times New Roman"/>
        </w:rPr>
        <w:t>Shuttle Radar Topography Mission (</w:t>
      </w:r>
      <w:r w:rsidRPr="005E4AE8">
        <w:rPr>
          <w:rFonts w:ascii="Times New Roman" w:hAnsi="Times New Roman" w:cs="Times New Roman"/>
        </w:rPr>
        <w:t>SRTM</w:t>
      </w:r>
      <w:r w:rsidR="00BC0004">
        <w:rPr>
          <w:rFonts w:ascii="Times New Roman" w:hAnsi="Times New Roman" w:cs="Times New Roman"/>
        </w:rPr>
        <w:t>)</w:t>
      </w:r>
      <w:r w:rsidRPr="005E4AE8">
        <w:rPr>
          <w:rFonts w:ascii="Times New Roman" w:hAnsi="Times New Roman" w:cs="Times New Roman"/>
        </w:rPr>
        <w:t xml:space="preserve"> dataset, while aspect was further transformed into </w:t>
      </w:r>
      <w:proofErr w:type="spellStart"/>
      <w:r w:rsidRPr="005E4AE8">
        <w:rPr>
          <w:rFonts w:ascii="Times New Roman" w:hAnsi="Times New Roman" w:cs="Times New Roman"/>
        </w:rPr>
        <w:t>eastness</w:t>
      </w:r>
      <w:proofErr w:type="spellEnd"/>
      <w:r w:rsidRPr="005E4AE8">
        <w:rPr>
          <w:rFonts w:ascii="Times New Roman" w:hAnsi="Times New Roman" w:cs="Times New Roman"/>
        </w:rPr>
        <w:t xml:space="preserve"> and </w:t>
      </w:r>
      <w:proofErr w:type="spellStart"/>
      <w:r w:rsidRPr="005E4AE8">
        <w:rPr>
          <w:rFonts w:ascii="Times New Roman" w:hAnsi="Times New Roman" w:cs="Times New Roman"/>
        </w:rPr>
        <w:t>northness</w:t>
      </w:r>
      <w:proofErr w:type="spellEnd"/>
      <w:r w:rsidRPr="005E4AE8">
        <w:rPr>
          <w:rFonts w:ascii="Times New Roman" w:hAnsi="Times New Roman" w:cs="Times New Roman"/>
        </w:rPr>
        <w:t xml:space="preserve"> layers to capture directional effects on plant growth. Pearson's correlation analysis was carried out using the terra package in R to avoid multicollinearity among variables. When |r| ≥ 0.75, only one biologically meaningful variable was retained among pairs of variables. The final predictor set consisted of 11 bioclimatic variables: Bio1</w:t>
      </w:r>
      <w:r w:rsidR="005C08D0">
        <w:rPr>
          <w:rFonts w:ascii="Times New Roman" w:hAnsi="Times New Roman" w:cs="Times New Roman"/>
        </w:rPr>
        <w:t>(annual mean temperature)</w:t>
      </w:r>
      <w:r w:rsidRPr="005E4AE8">
        <w:rPr>
          <w:rFonts w:ascii="Times New Roman" w:hAnsi="Times New Roman" w:cs="Times New Roman"/>
        </w:rPr>
        <w:t>, Bio5</w:t>
      </w:r>
      <w:r w:rsidR="005C08D0">
        <w:rPr>
          <w:rFonts w:ascii="Times New Roman" w:hAnsi="Times New Roman" w:cs="Times New Roman"/>
        </w:rPr>
        <w:t>(maximum temperature of warmest month)</w:t>
      </w:r>
      <w:r w:rsidRPr="005E4AE8">
        <w:rPr>
          <w:rFonts w:ascii="Times New Roman" w:hAnsi="Times New Roman" w:cs="Times New Roman"/>
        </w:rPr>
        <w:t>, Bio7</w:t>
      </w:r>
      <w:r w:rsidR="005C08D0">
        <w:rPr>
          <w:rFonts w:ascii="Times New Roman" w:hAnsi="Times New Roman" w:cs="Times New Roman"/>
        </w:rPr>
        <w:t xml:space="preserve"> (temperature annual range)</w:t>
      </w:r>
      <w:r w:rsidRPr="005E4AE8">
        <w:rPr>
          <w:rFonts w:ascii="Times New Roman" w:hAnsi="Times New Roman" w:cs="Times New Roman"/>
        </w:rPr>
        <w:t>, Bio13</w:t>
      </w:r>
      <w:r w:rsidR="005C08D0">
        <w:rPr>
          <w:rFonts w:ascii="Times New Roman" w:hAnsi="Times New Roman" w:cs="Times New Roman"/>
        </w:rPr>
        <w:t>(precipitation of wettest month)</w:t>
      </w:r>
      <w:r w:rsidRPr="005E4AE8">
        <w:rPr>
          <w:rFonts w:ascii="Times New Roman" w:hAnsi="Times New Roman" w:cs="Times New Roman"/>
        </w:rPr>
        <w:t>, Bio15</w:t>
      </w:r>
      <w:r w:rsidR="005C08D0">
        <w:rPr>
          <w:rFonts w:ascii="Times New Roman" w:hAnsi="Times New Roman" w:cs="Times New Roman"/>
        </w:rPr>
        <w:t xml:space="preserve"> (precipitation seasonality)</w:t>
      </w:r>
      <w:r w:rsidRPr="005E4AE8">
        <w:rPr>
          <w:rFonts w:ascii="Times New Roman" w:hAnsi="Times New Roman" w:cs="Times New Roman"/>
        </w:rPr>
        <w:t>, Bio17</w:t>
      </w:r>
      <w:r w:rsidR="005C08D0">
        <w:rPr>
          <w:rFonts w:ascii="Times New Roman" w:hAnsi="Times New Roman" w:cs="Times New Roman"/>
        </w:rPr>
        <w:t>(precipitation of driest quarter)</w:t>
      </w:r>
      <w:r w:rsidRPr="005E4AE8">
        <w:rPr>
          <w:rFonts w:ascii="Times New Roman" w:hAnsi="Times New Roman" w:cs="Times New Roman"/>
        </w:rPr>
        <w:t>, Bio18</w:t>
      </w:r>
      <w:r w:rsidR="005C08D0">
        <w:rPr>
          <w:rFonts w:ascii="Times New Roman" w:hAnsi="Times New Roman" w:cs="Times New Roman"/>
        </w:rPr>
        <w:t>(precipitation of warmest quarter)</w:t>
      </w:r>
      <w:r w:rsidRPr="005E4AE8">
        <w:rPr>
          <w:rFonts w:ascii="Times New Roman" w:hAnsi="Times New Roman" w:cs="Times New Roman"/>
        </w:rPr>
        <w:t xml:space="preserve">, elevation, slope, </w:t>
      </w:r>
      <w:proofErr w:type="spellStart"/>
      <w:r w:rsidRPr="005E4AE8">
        <w:rPr>
          <w:rFonts w:ascii="Times New Roman" w:hAnsi="Times New Roman" w:cs="Times New Roman"/>
        </w:rPr>
        <w:t>northness</w:t>
      </w:r>
      <w:proofErr w:type="spellEnd"/>
      <w:r w:rsidRPr="005E4AE8">
        <w:rPr>
          <w:rFonts w:ascii="Times New Roman" w:hAnsi="Times New Roman" w:cs="Times New Roman"/>
        </w:rPr>
        <w:t xml:space="preserve">, and </w:t>
      </w:r>
      <w:proofErr w:type="spellStart"/>
      <w:r w:rsidRPr="005E4AE8">
        <w:rPr>
          <w:rFonts w:ascii="Times New Roman" w:hAnsi="Times New Roman" w:cs="Times New Roman"/>
        </w:rPr>
        <w:t>eastness</w:t>
      </w:r>
      <w:proofErr w:type="spellEnd"/>
      <w:r w:rsidRPr="005E4AE8">
        <w:rPr>
          <w:rFonts w:ascii="Times New Roman" w:hAnsi="Times New Roman" w:cs="Times New Roman"/>
        </w:rPr>
        <w:t>.</w:t>
      </w:r>
    </w:p>
    <w:p w14:paraId="32CDDAF9" w14:textId="77777777" w:rsidR="000045FB" w:rsidRPr="005E4AE8" w:rsidRDefault="000045FB" w:rsidP="005E4AE8">
      <w:pPr>
        <w:jc w:val="both"/>
        <w:rPr>
          <w:rFonts w:ascii="Times New Roman" w:hAnsi="Times New Roman" w:cs="Times New Roman"/>
        </w:rPr>
      </w:pPr>
      <w:r w:rsidRPr="005E4AE8">
        <w:rPr>
          <w:rFonts w:ascii="Times New Roman" w:hAnsi="Times New Roman" w:cs="Times New Roman"/>
        </w:rPr>
        <w:t xml:space="preserve">Mid-century (2041–2070) and end-century (2071–2100) future climate projections were extracted for two Shared Socioeconomic Pathways — SSP1-2.6 (low emission) and SSP5-8.5 (high emission) for the state from five CMIP6 Global Climate Models: GFDL-ESM4, IPSL-CM6A-LR, MPI-ESM1-2-HR, MRI-ESM2-0, and UKESM1-0-LL. To ensure that all spatial data are in a consistent format before </w:t>
      </w:r>
      <w:proofErr w:type="spellStart"/>
      <w:r w:rsidRPr="005E4AE8">
        <w:rPr>
          <w:rFonts w:ascii="Times New Roman" w:hAnsi="Times New Roman" w:cs="Times New Roman"/>
        </w:rPr>
        <w:t>modeling</w:t>
      </w:r>
      <w:proofErr w:type="spellEnd"/>
      <w:r w:rsidRPr="005E4AE8">
        <w:rPr>
          <w:rFonts w:ascii="Times New Roman" w:hAnsi="Times New Roman" w:cs="Times New Roman"/>
        </w:rPr>
        <w:t>, all raster layers were clipped to the Kerala boundary and projected to a common spatial resolution and extent in WGS 84/ UTM zone 42S using ESRI ArcGIS 10.8.</w:t>
      </w:r>
    </w:p>
    <w:p w14:paraId="505482D0"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2.4 Maxent modelling</w:t>
      </w:r>
    </w:p>
    <w:p w14:paraId="552B403A"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The Maximum Entropy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algorithm (version 3.4.4) was employed to model the potential distribution of black pepper using presence-only data (Phillips </w:t>
      </w:r>
      <w:r w:rsidRPr="001A0EC4">
        <w:rPr>
          <w:rFonts w:ascii="Times New Roman" w:hAnsi="Times New Roman" w:cs="Times New Roman"/>
          <w:i/>
          <w:iCs/>
        </w:rPr>
        <w:t>et al</w:t>
      </w:r>
      <w:r w:rsidRPr="005E4AE8">
        <w:rPr>
          <w:rFonts w:ascii="Times New Roman" w:hAnsi="Times New Roman" w:cs="Times New Roman"/>
        </w:rPr>
        <w:t xml:space="preserve">., 2006). </w:t>
      </w:r>
      <w:proofErr w:type="spellStart"/>
      <w:r w:rsidRPr="005E4AE8">
        <w:rPr>
          <w:rFonts w:ascii="Times New Roman" w:hAnsi="Times New Roman" w:cs="Times New Roman"/>
        </w:rPr>
        <w:t>MaxEnt</w:t>
      </w:r>
      <w:proofErr w:type="spellEnd"/>
      <w:r w:rsidRPr="005E4AE8">
        <w:rPr>
          <w:rFonts w:ascii="Times New Roman" w:hAnsi="Times New Roman" w:cs="Times New Roman"/>
        </w:rPr>
        <w:t xml:space="preserve"> estimates the probability distribution of species occurrence by maximizing entropy subject to environmental constraints derived from the input data.</w:t>
      </w:r>
    </w:p>
    <w:p w14:paraId="774BC2AA" w14:textId="2C3E487F" w:rsidR="005E4AE8" w:rsidRPr="005E4AE8" w:rsidRDefault="005E4AE8" w:rsidP="005E4AE8">
      <w:pPr>
        <w:jc w:val="both"/>
        <w:rPr>
          <w:rFonts w:ascii="Times New Roman" w:hAnsi="Times New Roman" w:cs="Times New Roman"/>
        </w:rPr>
      </w:pPr>
      <w:r w:rsidRPr="005E4AE8">
        <w:rPr>
          <w:rFonts w:ascii="Times New Roman" w:hAnsi="Times New Roman" w:cs="Times New Roman"/>
        </w:rPr>
        <w:t xml:space="preserve">Model calibration was carried out with 75% of occurrence data for training and 25% for testing. Default regularization settings and </w:t>
      </w:r>
      <w:proofErr w:type="spellStart"/>
      <w:r w:rsidRPr="005E4AE8">
        <w:rPr>
          <w:rFonts w:ascii="Times New Roman" w:hAnsi="Times New Roman" w:cs="Times New Roman"/>
        </w:rPr>
        <w:t>cloglog</w:t>
      </w:r>
      <w:proofErr w:type="spellEnd"/>
      <w:r w:rsidRPr="005E4AE8">
        <w:rPr>
          <w:rFonts w:ascii="Times New Roman" w:hAnsi="Times New Roman" w:cs="Times New Roman"/>
        </w:rPr>
        <w:t xml:space="preserve"> output were used, along with 10 replicates (cross-validation). The maximum number of background points was set to 10,000. 5,000 iterations were done with the convergence threshold set to 1 × 10</w:t>
      </w:r>
      <w:r w:rsidRPr="005E4AE8">
        <w:rPr>
          <w:rFonts w:ascii="Times New Roman" w:hAnsi="Times New Roman" w:cs="Times New Roman"/>
          <w:vertAlign w:val="superscript"/>
        </w:rPr>
        <w:t>-6</w:t>
      </w:r>
      <w:r w:rsidRPr="005E4AE8">
        <w:rPr>
          <w:rFonts w:ascii="Times New Roman" w:hAnsi="Times New Roman" w:cs="Times New Roman"/>
        </w:rPr>
        <w:t xml:space="preserve">. A </w:t>
      </w:r>
      <w:proofErr w:type="spellStart"/>
      <w:r w:rsidRPr="005E4AE8">
        <w:rPr>
          <w:rFonts w:ascii="Times New Roman" w:hAnsi="Times New Roman" w:cs="Times New Roman"/>
        </w:rPr>
        <w:t>Jackknife</w:t>
      </w:r>
      <w:proofErr w:type="spellEnd"/>
      <w:r w:rsidRPr="005E4AE8">
        <w:rPr>
          <w:rFonts w:ascii="Times New Roman" w:hAnsi="Times New Roman" w:cs="Times New Roman"/>
        </w:rPr>
        <w:t xml:space="preserve"> test was performed to evaluate the variable importance. Model performance was evaluated using the AUC, which stands for Area under the curve. AUC is a threshold-independent metric used to measure the models' ability to distinguish between random and background points. It is the area under the curve of the receiver operating characteristic plot. The ROC plot has the false-positive error rate on the x-axis, that is, 1 - specificity, versus the true positive rate on the y-axis, that is sensitivity, based on each possible value of threshold probability. It ranges from 0.5 to 1.0, where a value of 0.5 can be interpreted as random predictions and values above 0.5 indicate a performance better than random. Projections for the future climate change scenarios were done for the best performing model present in the scenario.</w:t>
      </w:r>
    </w:p>
    <w:p w14:paraId="3077EC8B" w14:textId="77777777" w:rsidR="005E4AE8" w:rsidRPr="005E4AE8" w:rsidRDefault="005E4AE8" w:rsidP="005E4AE8">
      <w:pPr>
        <w:jc w:val="both"/>
        <w:rPr>
          <w:rFonts w:ascii="Times New Roman" w:hAnsi="Times New Roman" w:cs="Times New Roman"/>
        </w:rPr>
      </w:pPr>
      <w:r w:rsidRPr="005E4AE8">
        <w:rPr>
          <w:rFonts w:ascii="Times New Roman" w:hAnsi="Times New Roman" w:cs="Times New Roman"/>
        </w:rPr>
        <w:t xml:space="preserve">Resulting continuous logistic outputs were reclassified into binary maps of suitable/unsuitable using a threshold value of 0.38, which corresponds to the maximum training sensitivity plus </w:t>
      </w:r>
      <w:r w:rsidRPr="005E4AE8">
        <w:rPr>
          <w:rFonts w:ascii="Times New Roman" w:hAnsi="Times New Roman" w:cs="Times New Roman"/>
        </w:rPr>
        <w:lastRenderedPageBreak/>
        <w:t xml:space="preserve">specificity criterion as identified by Liu </w:t>
      </w:r>
      <w:r w:rsidRPr="008261EE">
        <w:rPr>
          <w:rFonts w:ascii="Times New Roman" w:hAnsi="Times New Roman" w:cs="Times New Roman"/>
          <w:i/>
          <w:iCs/>
        </w:rPr>
        <w:t>et al</w:t>
      </w:r>
      <w:r w:rsidRPr="005E4AE8">
        <w:rPr>
          <w:rFonts w:ascii="Times New Roman" w:hAnsi="Times New Roman" w:cs="Times New Roman"/>
        </w:rPr>
        <w:t>. (2005). These binary suitability maps were then used for further applications of spatial overlay and area computation.</w:t>
      </w:r>
    </w:p>
    <w:p w14:paraId="03BA62D9" w14:textId="0B896C0E" w:rsidR="005E4AE8" w:rsidRPr="005E4AE8" w:rsidRDefault="005E4AE8" w:rsidP="005E4AE8">
      <w:pPr>
        <w:jc w:val="both"/>
        <w:rPr>
          <w:rFonts w:ascii="Times New Roman" w:hAnsi="Times New Roman" w:cs="Times New Roman"/>
        </w:rPr>
      </w:pPr>
      <w:r w:rsidRPr="005E4AE8">
        <w:rPr>
          <w:rFonts w:ascii="Times New Roman" w:hAnsi="Times New Roman" w:cs="Times New Roman"/>
        </w:rPr>
        <w:t>2.5. Zonal and Area Analysis</w:t>
      </w:r>
    </w:p>
    <w:p w14:paraId="206EC3D9" w14:textId="0DDBC514" w:rsidR="005E4AE8" w:rsidRPr="005E4AE8" w:rsidRDefault="005E4AE8" w:rsidP="005E4AE8">
      <w:pPr>
        <w:jc w:val="both"/>
        <w:rPr>
          <w:rFonts w:ascii="Times New Roman" w:hAnsi="Times New Roman" w:cs="Times New Roman"/>
        </w:rPr>
      </w:pPr>
      <w:r w:rsidRPr="005E4AE8">
        <w:rPr>
          <w:rFonts w:ascii="Times New Roman" w:hAnsi="Times New Roman" w:cs="Times New Roman"/>
        </w:rPr>
        <w:t>The current and future binary suitability maps were overlaid with AEU shapefiles in ArcGIS 10.8. Raster-to-polygon conversion was carried out to delineate suitable regions, and the Calculate Geometry</w:t>
      </w:r>
      <w:r w:rsidR="001A1E5F">
        <w:rPr>
          <w:rFonts w:ascii="Times New Roman" w:hAnsi="Times New Roman" w:cs="Times New Roman"/>
        </w:rPr>
        <w:t xml:space="preserve"> </w:t>
      </w:r>
      <w:r w:rsidRPr="005E4AE8">
        <w:rPr>
          <w:rFonts w:ascii="Times New Roman" w:hAnsi="Times New Roman" w:cs="Times New Roman"/>
        </w:rPr>
        <w:t>tool was used to compute area (km²) within each AEU. Thereafter, areas were categorized into gain, loss, and no-change classes by comparing current and future suitability layers using raster calculator and reclassification tools.</w:t>
      </w:r>
    </w:p>
    <w:p w14:paraId="20B595C5" w14:textId="545C2B54" w:rsidR="002A19FD" w:rsidRDefault="005E4AE8" w:rsidP="005E4AE8">
      <w:pPr>
        <w:jc w:val="both"/>
        <w:rPr>
          <w:rFonts w:ascii="Times New Roman" w:hAnsi="Times New Roman" w:cs="Times New Roman"/>
        </w:rPr>
      </w:pPr>
      <w:r w:rsidRPr="005E4AE8">
        <w:rPr>
          <w:rFonts w:ascii="Times New Roman" w:hAnsi="Times New Roman" w:cs="Times New Roman"/>
        </w:rPr>
        <w:t>Area change statistics were summarized in Microsoft Excel, and spatial patterns were visualized through map layouts prepared in ArcGIS. The workflow ensured quantification of climate-induced changes in black pepper suitability across distinct agroecological domains, providing a fine-scale assessment of regional vulnerability and adaptation potential.</w:t>
      </w:r>
    </w:p>
    <w:bookmarkEnd w:id="0"/>
    <w:p w14:paraId="4AC4C16A" w14:textId="65C89BE5" w:rsidR="003E6E1C" w:rsidRPr="00672DF0" w:rsidRDefault="003E6E1C" w:rsidP="00672DF0">
      <w:pPr>
        <w:pStyle w:val="ListParagraph"/>
        <w:numPr>
          <w:ilvl w:val="0"/>
          <w:numId w:val="2"/>
        </w:numPr>
        <w:jc w:val="both"/>
        <w:rPr>
          <w:rFonts w:ascii="Times New Roman" w:hAnsi="Times New Roman" w:cs="Times New Roman"/>
        </w:rPr>
      </w:pPr>
      <w:r w:rsidRPr="00672DF0">
        <w:rPr>
          <w:rFonts w:ascii="Times New Roman" w:hAnsi="Times New Roman" w:cs="Times New Roman"/>
        </w:rPr>
        <w:t>Results and Discussion</w:t>
      </w:r>
    </w:p>
    <w:p w14:paraId="793CE136" w14:textId="0F31BCB0" w:rsidR="003E6E1C" w:rsidRPr="00672DF0" w:rsidRDefault="003E6E1C" w:rsidP="00672DF0">
      <w:pPr>
        <w:pStyle w:val="ListParagraph"/>
        <w:numPr>
          <w:ilvl w:val="1"/>
          <w:numId w:val="2"/>
        </w:numPr>
        <w:jc w:val="both"/>
        <w:rPr>
          <w:rFonts w:ascii="Times New Roman" w:hAnsi="Times New Roman" w:cs="Times New Roman"/>
        </w:rPr>
      </w:pPr>
      <w:r w:rsidRPr="00672DF0">
        <w:rPr>
          <w:rFonts w:ascii="Times New Roman" w:hAnsi="Times New Roman" w:cs="Times New Roman"/>
        </w:rPr>
        <w:t xml:space="preserve">Maxent </w:t>
      </w:r>
      <w:r w:rsidR="00BC0004" w:rsidRPr="00672DF0">
        <w:rPr>
          <w:rFonts w:ascii="Times New Roman" w:hAnsi="Times New Roman" w:cs="Times New Roman"/>
        </w:rPr>
        <w:t>model performance</w:t>
      </w:r>
      <w:r w:rsidRPr="00672DF0">
        <w:rPr>
          <w:rFonts w:ascii="Times New Roman" w:hAnsi="Times New Roman" w:cs="Times New Roman"/>
        </w:rPr>
        <w:t xml:space="preserve"> and environmental variable an</w:t>
      </w:r>
      <w:r w:rsidR="00BC0004">
        <w:rPr>
          <w:rFonts w:ascii="Times New Roman" w:hAnsi="Times New Roman" w:cs="Times New Roman"/>
        </w:rPr>
        <w:t>al</w:t>
      </w:r>
      <w:r w:rsidRPr="00672DF0">
        <w:rPr>
          <w:rFonts w:ascii="Times New Roman" w:hAnsi="Times New Roman" w:cs="Times New Roman"/>
        </w:rPr>
        <w:t>ysis</w:t>
      </w:r>
    </w:p>
    <w:p w14:paraId="2F98CF6D" w14:textId="4A8A3851" w:rsidR="003E6E1C" w:rsidRPr="003E6E1C" w:rsidRDefault="003E6E1C" w:rsidP="003E6E1C">
      <w:pPr>
        <w:jc w:val="both"/>
        <w:rPr>
          <w:rFonts w:ascii="Times New Roman" w:hAnsi="Times New Roman" w:cs="Times New Roman"/>
        </w:rPr>
      </w:pPr>
      <w:r w:rsidRPr="003E6E1C">
        <w:rPr>
          <w:rFonts w:ascii="Times New Roman" w:hAnsi="Times New Roman" w:cs="Times New Roman"/>
        </w:rPr>
        <w:t xml:space="preserve">The </w:t>
      </w:r>
      <w:proofErr w:type="spellStart"/>
      <w:r w:rsidRPr="003E6E1C">
        <w:rPr>
          <w:rFonts w:ascii="Times New Roman" w:hAnsi="Times New Roman" w:cs="Times New Roman"/>
        </w:rPr>
        <w:t>MaxEnt</w:t>
      </w:r>
      <w:proofErr w:type="spellEnd"/>
      <w:r w:rsidRPr="003E6E1C">
        <w:rPr>
          <w:rFonts w:ascii="Times New Roman" w:hAnsi="Times New Roman" w:cs="Times New Roman"/>
        </w:rPr>
        <w:t xml:space="preserve"> species distribution model exhibited high predictive accuracy for </w:t>
      </w:r>
      <w:r w:rsidRPr="00965D29">
        <w:rPr>
          <w:rFonts w:ascii="Times New Roman" w:hAnsi="Times New Roman" w:cs="Times New Roman"/>
          <w:i/>
          <w:iCs/>
        </w:rPr>
        <w:t>Piper nigrum</w:t>
      </w:r>
      <w:r w:rsidRPr="003E6E1C">
        <w:rPr>
          <w:rFonts w:ascii="Times New Roman" w:hAnsi="Times New Roman" w:cs="Times New Roman"/>
        </w:rPr>
        <w:t>'s current climatic suitability in Kerala. Calibration with a 10-fold cross-validation across 10 replicates resulted in an average test AUC of 0.910 (±0.026) (</w:t>
      </w:r>
      <w:r w:rsidR="00982B31">
        <w:rPr>
          <w:rFonts w:ascii="Times New Roman" w:hAnsi="Times New Roman" w:cs="Times New Roman"/>
        </w:rPr>
        <w:t>Fig.</w:t>
      </w:r>
      <w:r w:rsidRPr="003E6E1C">
        <w:rPr>
          <w:rFonts w:ascii="Times New Roman" w:hAnsi="Times New Roman" w:cs="Times New Roman"/>
        </w:rPr>
        <w:t xml:space="preserve"> 1). The high value of AUC indicates that the model has strong discriminatory ability; that is, 91% of the time, it will correctly identify suitable conditions over unsuitable ones. The low standard deviation suggests that variations across folds were minimal and overfitting was limited, thus providing confidence in projections under future climate scenarios.</w:t>
      </w:r>
    </w:p>
    <w:p w14:paraId="145A575A" w14:textId="68C5CF7D" w:rsidR="003E6E1C" w:rsidRPr="003E6E1C" w:rsidRDefault="003E6E1C" w:rsidP="003E6E1C">
      <w:pPr>
        <w:jc w:val="both"/>
        <w:rPr>
          <w:rFonts w:ascii="Times New Roman" w:hAnsi="Times New Roman" w:cs="Times New Roman"/>
        </w:rPr>
      </w:pPr>
      <w:r w:rsidRPr="003E6E1C">
        <w:rPr>
          <w:rFonts w:ascii="Times New Roman" w:hAnsi="Times New Roman" w:cs="Times New Roman"/>
        </w:rPr>
        <w:t xml:space="preserve">For converting the continuous </w:t>
      </w:r>
      <w:proofErr w:type="spellStart"/>
      <w:r w:rsidRPr="003E6E1C">
        <w:rPr>
          <w:rFonts w:ascii="Times New Roman" w:hAnsi="Times New Roman" w:cs="Times New Roman"/>
        </w:rPr>
        <w:t>MaxEnt</w:t>
      </w:r>
      <w:proofErr w:type="spellEnd"/>
      <w:r w:rsidRPr="003E6E1C">
        <w:rPr>
          <w:rFonts w:ascii="Times New Roman" w:hAnsi="Times New Roman" w:cs="Times New Roman"/>
        </w:rPr>
        <w:t xml:space="preserve"> output into a binary classification of suitable versus unsuitable, a threshold of 0.38 was chosen based on the MTSS criterion and the current suitability map of Kerala was prepared (Fig.</w:t>
      </w:r>
      <w:r w:rsidR="00982B31">
        <w:rPr>
          <w:rFonts w:ascii="Times New Roman" w:hAnsi="Times New Roman" w:cs="Times New Roman"/>
        </w:rPr>
        <w:t>2</w:t>
      </w:r>
      <w:r w:rsidRPr="003E6E1C">
        <w:rPr>
          <w:rFonts w:ascii="Times New Roman" w:hAnsi="Times New Roman" w:cs="Times New Roman"/>
        </w:rPr>
        <w:t>). This threshold was selected because it offered a more critical balance between omission and commission errors for agricultural decision-making and spatial planning. The binary conversion allows for zonal analysis and the quantification of area changes under climate scenarios in a more interpretable way.</w:t>
      </w:r>
    </w:p>
    <w:p w14:paraId="68D5C77F" w14:textId="79605947" w:rsidR="003E6E1C" w:rsidRPr="003E6E1C" w:rsidRDefault="003E6E1C" w:rsidP="003E6E1C">
      <w:pPr>
        <w:jc w:val="both"/>
        <w:rPr>
          <w:rFonts w:ascii="Times New Roman" w:hAnsi="Times New Roman" w:cs="Times New Roman"/>
        </w:rPr>
      </w:pPr>
      <w:r w:rsidRPr="003E6E1C">
        <w:rPr>
          <w:rFonts w:ascii="Times New Roman" w:hAnsi="Times New Roman" w:cs="Times New Roman"/>
        </w:rPr>
        <w:t>Based on the contribution analysis, environmental variables related to precipitation were dominant factors in determining black pepper suitability and collectively contributed 73.2% towards the model predictive power. Of those, Bio13 (Precipitation of Wettest Month) was the most influential single predictor accounting for 42.0% of total contribution</w:t>
      </w:r>
      <w:r w:rsidR="00E321A9">
        <w:rPr>
          <w:rFonts w:ascii="Times New Roman" w:hAnsi="Times New Roman" w:cs="Times New Roman"/>
        </w:rPr>
        <w:t xml:space="preserve"> </w:t>
      </w:r>
      <w:r w:rsidR="00982B31">
        <w:rPr>
          <w:rFonts w:ascii="Times New Roman" w:hAnsi="Times New Roman" w:cs="Times New Roman"/>
        </w:rPr>
        <w:t xml:space="preserve">(Table </w:t>
      </w:r>
      <w:r w:rsidR="002F1505">
        <w:rPr>
          <w:rFonts w:ascii="Times New Roman" w:hAnsi="Times New Roman" w:cs="Times New Roman"/>
        </w:rPr>
        <w:t>2</w:t>
      </w:r>
      <w:r w:rsidRPr="003E6E1C">
        <w:rPr>
          <w:rFonts w:ascii="Times New Roman" w:hAnsi="Times New Roman" w:cs="Times New Roman"/>
        </w:rPr>
        <w:t>).</w:t>
      </w:r>
    </w:p>
    <w:p w14:paraId="6C534EFE" w14:textId="77777777" w:rsidR="003E6E1C" w:rsidRPr="003E6E1C" w:rsidRDefault="003E6E1C" w:rsidP="003E6E1C">
      <w:pPr>
        <w:jc w:val="both"/>
        <w:rPr>
          <w:rFonts w:ascii="Times New Roman" w:hAnsi="Times New Roman" w:cs="Times New Roman"/>
        </w:rPr>
      </w:pPr>
      <w:r w:rsidRPr="003E6E1C">
        <w:rPr>
          <w:rFonts w:ascii="Times New Roman" w:hAnsi="Times New Roman" w:cs="Times New Roman"/>
        </w:rPr>
        <w:t xml:space="preserve">Bio17 (Precipitation of Driest Quarter) contributed 19.8% to model performance and was identified via </w:t>
      </w:r>
      <w:proofErr w:type="spellStart"/>
      <w:r w:rsidRPr="003E6E1C">
        <w:rPr>
          <w:rFonts w:ascii="Times New Roman" w:hAnsi="Times New Roman" w:cs="Times New Roman"/>
        </w:rPr>
        <w:t>jackknife</w:t>
      </w:r>
      <w:proofErr w:type="spellEnd"/>
      <w:r w:rsidRPr="003E6E1C">
        <w:rPr>
          <w:rFonts w:ascii="Times New Roman" w:hAnsi="Times New Roman" w:cs="Times New Roman"/>
        </w:rPr>
        <w:t xml:space="preserve"> analysis as containing the most unique information: its omission resulted in the largest drop in training gain. This indicates that dry-season moisture availability is a critical limiting factor for pepper distribution, likely due to its influence on flowering and berry development. Bio18 (Precipitation of Warmest Quarter) also provided significant explanatory power (11.4%), likely reflecting the monsoonal rainfall regime during the peak growing season.</w:t>
      </w:r>
    </w:p>
    <w:p w14:paraId="530A49C7" w14:textId="31159EDE" w:rsidR="003E6E1C" w:rsidRPr="003E6E1C" w:rsidRDefault="003E6E1C" w:rsidP="003E6E1C">
      <w:pPr>
        <w:jc w:val="both"/>
        <w:rPr>
          <w:rFonts w:ascii="Times New Roman" w:hAnsi="Times New Roman" w:cs="Times New Roman"/>
        </w:rPr>
      </w:pPr>
      <w:r w:rsidRPr="003E6E1C">
        <w:rPr>
          <w:rFonts w:ascii="Times New Roman" w:hAnsi="Times New Roman" w:cs="Times New Roman"/>
        </w:rPr>
        <w:lastRenderedPageBreak/>
        <w:t xml:space="preserve">The temperature-related variables, although important in a secondary but complementary role, contributed to 22.1%. Bio1 corresponded to Annual Mean Temperature, which is representative of the general thermal suitability of the landscape at 11.0%. However, its permutation importance was considerably higher (33.5%), indicating a latent effect exerted by it that is masked by variable collinearity. Bio7 corresponded to the Temperature Annual Range with a </w:t>
      </w:r>
      <w:r w:rsidR="00BC0004" w:rsidRPr="003E6E1C">
        <w:rPr>
          <w:rFonts w:ascii="Times New Roman" w:hAnsi="Times New Roman" w:cs="Times New Roman"/>
        </w:rPr>
        <w:t>meagre</w:t>
      </w:r>
      <w:r w:rsidRPr="003E6E1C">
        <w:rPr>
          <w:rFonts w:ascii="Times New Roman" w:hAnsi="Times New Roman" w:cs="Times New Roman"/>
        </w:rPr>
        <w:t xml:space="preserve"> percent contribution of 3.4% yet with very high permutation importance of 36.4%, thus indicating it plays a critical role in capturing inter-seasonal thermal variability, which influences physiological thresholds. Bio5 pertains to Maximum Temperature of the Warmest Month, contributing 7.7%, and likely reflects thermal extremes relevant to pepper's phenological stress thresholds during summer months.</w:t>
      </w:r>
    </w:p>
    <w:p w14:paraId="4CBD3986" w14:textId="77777777" w:rsidR="003E6E1C" w:rsidRPr="003E6E1C" w:rsidRDefault="003E6E1C" w:rsidP="003E6E1C">
      <w:pPr>
        <w:jc w:val="both"/>
        <w:rPr>
          <w:rFonts w:ascii="Times New Roman" w:hAnsi="Times New Roman" w:cs="Times New Roman"/>
        </w:rPr>
      </w:pPr>
      <w:r w:rsidRPr="003E6E1C">
        <w:rPr>
          <w:rFonts w:ascii="Times New Roman" w:hAnsi="Times New Roman" w:cs="Times New Roman"/>
        </w:rPr>
        <w:t>Topographic predictors contributed marginally to the model but added important nuance, accounting for less than 3.5%. Digital Elevation Model accounted for 1.1%, reflecting indirect climatic influences such as lapse-rate-driven temperature gradients. Slope accounted for 1.4%, and was likely capturing microclimatic and soil moisture retention variations linked to terrain-driven drainage patterns.</w:t>
      </w:r>
    </w:p>
    <w:p w14:paraId="1254A88B" w14:textId="56F67BE7" w:rsidR="003E6E1C" w:rsidRDefault="003E6E1C" w:rsidP="003E6E1C">
      <w:pPr>
        <w:jc w:val="both"/>
        <w:rPr>
          <w:rFonts w:ascii="Times New Roman" w:hAnsi="Times New Roman" w:cs="Times New Roman"/>
        </w:rPr>
      </w:pPr>
      <w:r w:rsidRPr="003E6E1C">
        <w:rPr>
          <w:rFonts w:ascii="Times New Roman" w:hAnsi="Times New Roman" w:cs="Times New Roman"/>
        </w:rPr>
        <w:t xml:space="preserve">These patterns were further corroborated by the results of the </w:t>
      </w:r>
      <w:proofErr w:type="spellStart"/>
      <w:r w:rsidRPr="003E6E1C">
        <w:rPr>
          <w:rFonts w:ascii="Times New Roman" w:hAnsi="Times New Roman" w:cs="Times New Roman"/>
        </w:rPr>
        <w:t>jackknife</w:t>
      </w:r>
      <w:proofErr w:type="spellEnd"/>
      <w:r w:rsidRPr="003E6E1C">
        <w:rPr>
          <w:rFonts w:ascii="Times New Roman" w:hAnsi="Times New Roman" w:cs="Times New Roman"/>
        </w:rPr>
        <w:t xml:space="preserve"> test (Fig. 3). Of all factors taken in isolation, Bio13 provided the highest training gain, confirming it as the single most informative variable. On the other hand, removing Bio17 decreased the gain more than any other variable, further emphasizing its uniqueness and irreplaceability in the context of black pepper suitability </w:t>
      </w:r>
      <w:r w:rsidR="00BC0004" w:rsidRPr="003E6E1C">
        <w:rPr>
          <w:rFonts w:ascii="Times New Roman" w:hAnsi="Times New Roman" w:cs="Times New Roman"/>
        </w:rPr>
        <w:t>modelling</w:t>
      </w:r>
      <w:r w:rsidRPr="003E6E1C">
        <w:rPr>
          <w:rFonts w:ascii="Times New Roman" w:hAnsi="Times New Roman" w:cs="Times New Roman"/>
        </w:rPr>
        <w:t>.</w:t>
      </w:r>
    </w:p>
    <w:p w14:paraId="23555D01" w14:textId="77777777" w:rsidR="0070595D" w:rsidRDefault="0070595D" w:rsidP="003E6E1C">
      <w:pPr>
        <w:jc w:val="both"/>
        <w:rPr>
          <w:rFonts w:ascii="Times New Roman" w:hAnsi="Times New Roman" w:cs="Times New Roman"/>
        </w:rPr>
      </w:pPr>
    </w:p>
    <w:p w14:paraId="01859833" w14:textId="5C23D04C" w:rsidR="0070595D" w:rsidRDefault="00982B31" w:rsidP="003E6E1C">
      <w:pPr>
        <w:jc w:val="both"/>
        <w:rPr>
          <w:rFonts w:ascii="Times New Roman" w:hAnsi="Times New Roman" w:cs="Times New Roman"/>
        </w:rPr>
      </w:pPr>
      <w:r>
        <w:rPr>
          <w:noProof/>
        </w:rPr>
        <w:drawing>
          <wp:anchor distT="0" distB="0" distL="114300" distR="114300" simplePos="0" relativeHeight="251660288" behindDoc="0" locked="0" layoutInCell="1" allowOverlap="1" wp14:anchorId="55AD5C68" wp14:editId="25519E5F">
            <wp:simplePos x="0" y="0"/>
            <wp:positionH relativeFrom="column">
              <wp:posOffset>-434962</wp:posOffset>
            </wp:positionH>
            <wp:positionV relativeFrom="paragraph">
              <wp:posOffset>604</wp:posOffset>
            </wp:positionV>
            <wp:extent cx="3395345" cy="2444115"/>
            <wp:effectExtent l="0" t="0" r="0" b="0"/>
            <wp:wrapSquare wrapText="bothSides"/>
            <wp:docPr id="851362259" name="Picture 18"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2259" name="Picture 18" descr="A graph with a blue li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5345" cy="2444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2336" behindDoc="0" locked="0" layoutInCell="1" allowOverlap="1" wp14:anchorId="69BA3ECA" wp14:editId="75CCCFE8">
            <wp:simplePos x="0" y="0"/>
            <wp:positionH relativeFrom="column">
              <wp:posOffset>3650735</wp:posOffset>
            </wp:positionH>
            <wp:positionV relativeFrom="paragraph">
              <wp:posOffset>307</wp:posOffset>
            </wp:positionV>
            <wp:extent cx="2026920" cy="2623185"/>
            <wp:effectExtent l="0" t="0" r="0" b="5715"/>
            <wp:wrapSquare wrapText="bothSides"/>
            <wp:docPr id="583596414" name="Picture 17"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96414" name="Picture 17" descr="A map of the indian ocea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2623185"/>
                    </a:xfrm>
                    <a:prstGeom prst="rect">
                      <a:avLst/>
                    </a:prstGeom>
                  </pic:spPr>
                </pic:pic>
              </a:graphicData>
            </a:graphic>
            <wp14:sizeRelH relativeFrom="margin">
              <wp14:pctWidth>0</wp14:pctWidth>
            </wp14:sizeRelH>
            <wp14:sizeRelV relativeFrom="margin">
              <wp14:pctHeight>0</wp14:pctHeight>
            </wp14:sizeRelV>
          </wp:anchor>
        </w:drawing>
      </w:r>
    </w:p>
    <w:p w14:paraId="4C4E9E67" w14:textId="0C722FBD" w:rsidR="0070595D" w:rsidRDefault="0070595D" w:rsidP="003E6E1C">
      <w:pPr>
        <w:jc w:val="both"/>
        <w:rPr>
          <w:rFonts w:ascii="Times New Roman" w:hAnsi="Times New Roman" w:cs="Times New Roman"/>
        </w:rPr>
      </w:pPr>
    </w:p>
    <w:p w14:paraId="7F033817" w14:textId="6C0712ED" w:rsidR="0070595D" w:rsidRDefault="0070595D" w:rsidP="003E6E1C">
      <w:pPr>
        <w:jc w:val="both"/>
        <w:rPr>
          <w:rFonts w:ascii="Times New Roman" w:hAnsi="Times New Roman" w:cs="Times New Roman"/>
        </w:rPr>
      </w:pPr>
    </w:p>
    <w:p w14:paraId="444B11A9" w14:textId="50649E97" w:rsidR="0070595D" w:rsidRDefault="0070595D" w:rsidP="003E6E1C">
      <w:pPr>
        <w:jc w:val="both"/>
        <w:rPr>
          <w:rFonts w:ascii="Times New Roman" w:hAnsi="Times New Roman" w:cs="Times New Roman"/>
        </w:rPr>
      </w:pPr>
    </w:p>
    <w:p w14:paraId="5B422B6D" w14:textId="68E69873" w:rsidR="0070595D" w:rsidRDefault="0070595D" w:rsidP="003E6E1C">
      <w:pPr>
        <w:jc w:val="both"/>
        <w:rPr>
          <w:rFonts w:ascii="Times New Roman" w:hAnsi="Times New Roman" w:cs="Times New Roman"/>
        </w:rPr>
      </w:pPr>
    </w:p>
    <w:p w14:paraId="60E2BF28" w14:textId="70EA4E95" w:rsidR="0070595D" w:rsidRDefault="0070595D" w:rsidP="003E6E1C">
      <w:pPr>
        <w:jc w:val="both"/>
        <w:rPr>
          <w:rFonts w:ascii="Times New Roman" w:hAnsi="Times New Roman" w:cs="Times New Roman"/>
        </w:rPr>
      </w:pPr>
    </w:p>
    <w:p w14:paraId="3B166EC2" w14:textId="74F3B1A8" w:rsidR="0070595D" w:rsidRDefault="0070595D" w:rsidP="003E6E1C">
      <w:pPr>
        <w:jc w:val="both"/>
        <w:rPr>
          <w:rFonts w:ascii="Times New Roman" w:hAnsi="Times New Roman" w:cs="Times New Roman"/>
        </w:rPr>
      </w:pPr>
    </w:p>
    <w:p w14:paraId="34E0F51F" w14:textId="5C6D21D7" w:rsidR="0070595D" w:rsidRDefault="00982B31"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C37B312" wp14:editId="1E525882">
                <wp:simplePos x="0" y="0"/>
                <wp:positionH relativeFrom="column">
                  <wp:posOffset>-403225</wp:posOffset>
                </wp:positionH>
                <wp:positionV relativeFrom="paragraph">
                  <wp:posOffset>374015</wp:posOffset>
                </wp:positionV>
                <wp:extent cx="3458845" cy="1404620"/>
                <wp:effectExtent l="0" t="0" r="273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404620"/>
                        </a:xfrm>
                        <a:prstGeom prst="rect">
                          <a:avLst/>
                        </a:prstGeom>
                        <a:solidFill>
                          <a:srgbClr val="FFFFFF"/>
                        </a:solidFill>
                        <a:ln w="9525">
                          <a:solidFill>
                            <a:schemeClr val="tx1"/>
                          </a:solidFill>
                          <a:miter lim="800000"/>
                          <a:headEnd/>
                          <a:tailEnd/>
                        </a:ln>
                      </wps:spPr>
                      <wps:txbx>
                        <w:txbxContent>
                          <w:p w14:paraId="10340C2A" w14:textId="77777777" w:rsidR="0070595D" w:rsidRPr="0070595D" w:rsidRDefault="0070595D" w:rsidP="0070595D">
                            <w:pPr>
                              <w:jc w:val="both"/>
                              <w:rPr>
                                <w:rFonts w:ascii="Times New Roman" w:hAnsi="Times New Roman" w:cs="Times New Roman"/>
                              </w:rPr>
                            </w:pPr>
                            <w:r w:rsidRPr="0070595D">
                              <w:rPr>
                                <w:rFonts w:ascii="Times New Roman" w:hAnsi="Times New Roman" w:cs="Times New Roman"/>
                              </w:rPr>
                              <w:t>Figure 1. Receiver operating characteristic (</w:t>
                            </w:r>
                            <w:proofErr w:type="gramStart"/>
                            <w:r w:rsidRPr="0070595D">
                              <w:rPr>
                                <w:rFonts w:ascii="Times New Roman" w:hAnsi="Times New Roman" w:cs="Times New Roman"/>
                              </w:rPr>
                              <w:t>ROC )</w:t>
                            </w:r>
                            <w:proofErr w:type="gramEnd"/>
                            <w:r w:rsidRPr="0070595D">
                              <w:rPr>
                                <w:rFonts w:ascii="Times New Roman" w:hAnsi="Times New Roman" w:cs="Times New Roman"/>
                              </w:rPr>
                              <w:t xml:space="preserve"> curve and AUC value averaged over 10 replicate runs for period 1981 to 2010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7B312" id="_x0000_t202" coordsize="21600,21600" o:spt="202" path="m,l,21600r21600,l21600,xe">
                <v:stroke joinstyle="miter"/>
                <v:path gradientshapeok="t" o:connecttype="rect"/>
              </v:shapetype>
              <v:shape id="Text Box 2" o:spid="_x0000_s1026" type="#_x0000_t202" style="position:absolute;left:0;text-align:left;margin-left:-31.75pt;margin-top:29.45pt;width:272.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" strokecolor="black [3213]">
                <v:textbox style="mso-fit-shape-to-text:t">
                  <w:txbxContent>
                    <w:p w14:paraId="10340C2A" w14:textId="77777777" w:rsidR="0070595D" w:rsidRPr="0070595D" w:rsidRDefault="0070595D" w:rsidP="0070595D">
                      <w:pPr>
                        <w:jc w:val="both"/>
                        <w:rPr>
                          <w:rFonts w:ascii="Times New Roman" w:hAnsi="Times New Roman" w:cs="Times New Roman"/>
                        </w:rPr>
                      </w:pPr>
                      <w:r w:rsidRPr="0070595D">
                        <w:rPr>
                          <w:rFonts w:ascii="Times New Roman" w:hAnsi="Times New Roman" w:cs="Times New Roman"/>
                        </w:rPr>
                        <w:t>Figure 1. Receiver operating characteristic (</w:t>
                      </w:r>
                      <w:proofErr w:type="gramStart"/>
                      <w:r w:rsidRPr="0070595D">
                        <w:rPr>
                          <w:rFonts w:ascii="Times New Roman" w:hAnsi="Times New Roman" w:cs="Times New Roman"/>
                        </w:rPr>
                        <w:t>ROC )</w:t>
                      </w:r>
                      <w:proofErr w:type="gramEnd"/>
                      <w:r w:rsidRPr="0070595D">
                        <w:rPr>
                          <w:rFonts w:ascii="Times New Roman" w:hAnsi="Times New Roman" w:cs="Times New Roman"/>
                        </w:rPr>
                        <w:t xml:space="preserve"> curve and AUC value averaged over 10 replicate runs for period 1981 to 2010</w:t>
                      </w:r>
                    </w:p>
                  </w:txbxContent>
                </v:textbox>
                <w10:wrap type="square"/>
              </v:shape>
            </w:pict>
          </mc:Fallback>
        </mc:AlternateContent>
      </w:r>
    </w:p>
    <w:p w14:paraId="6B4ED391" w14:textId="7AC3AE3E" w:rsidR="0070595D" w:rsidRDefault="00982B31"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8BF8991" wp14:editId="6E0F549F">
                <wp:simplePos x="0" y="0"/>
                <wp:positionH relativeFrom="column">
                  <wp:posOffset>3568336</wp:posOffset>
                </wp:positionH>
                <wp:positionV relativeFrom="paragraph">
                  <wp:posOffset>242499</wp:posOffset>
                </wp:positionV>
                <wp:extent cx="2360930" cy="1404620"/>
                <wp:effectExtent l="0" t="0" r="22860" b="11430"/>
                <wp:wrapSquare wrapText="bothSides"/>
                <wp:docPr id="16767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2ED50E5" w14:textId="3FBD8406" w:rsidR="00982B31" w:rsidRPr="00982B31" w:rsidRDefault="00982B31" w:rsidP="00982B31">
                            <w:pPr>
                              <w:rPr>
                                <w:rFonts w:ascii="Times New Roman" w:hAnsi="Times New Roman" w:cs="Times New Roman"/>
                              </w:rPr>
                            </w:pPr>
                            <w:r w:rsidRPr="00982B31">
                              <w:rPr>
                                <w:rFonts w:ascii="Times New Roman" w:hAnsi="Times New Roman" w:cs="Times New Roman"/>
                              </w:rPr>
                              <w:t>Figure 2. Black pepper current suitable and unsuitable areas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BF8991" id="_x0000_s1027" type="#_x0000_t202" style="position:absolute;left:0;text-align:left;margin-left:280.95pt;margin-top:19.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">
                <v:textbox style="mso-fit-shape-to-text:t">
                  <w:txbxContent>
                    <w:p w14:paraId="22ED50E5" w14:textId="3FBD8406" w:rsidR="00982B31" w:rsidRPr="00982B31" w:rsidRDefault="00982B31" w:rsidP="00982B31">
                      <w:pPr>
                        <w:rPr>
                          <w:rFonts w:ascii="Times New Roman" w:hAnsi="Times New Roman" w:cs="Times New Roman"/>
                        </w:rPr>
                      </w:pPr>
                      <w:r w:rsidRPr="00982B31">
                        <w:rPr>
                          <w:rFonts w:ascii="Times New Roman" w:hAnsi="Times New Roman" w:cs="Times New Roman"/>
                        </w:rPr>
                        <w:t>Figure 2. Black pepper current suitable and unsuitable areas</w:t>
                      </w:r>
                    </w:p>
                  </w:txbxContent>
                </v:textbox>
                <w10:wrap type="square"/>
              </v:shape>
            </w:pict>
          </mc:Fallback>
        </mc:AlternateContent>
      </w:r>
    </w:p>
    <w:p w14:paraId="7BE51F92" w14:textId="7F771CC3" w:rsidR="0070595D" w:rsidRDefault="0070595D" w:rsidP="003E6E1C">
      <w:pPr>
        <w:jc w:val="both"/>
        <w:rPr>
          <w:rFonts w:ascii="Times New Roman" w:hAnsi="Times New Roman" w:cs="Times New Roman"/>
        </w:rPr>
      </w:pPr>
    </w:p>
    <w:p w14:paraId="33FE8F8D" w14:textId="72AB1BD7" w:rsidR="0070595D" w:rsidRDefault="0070595D" w:rsidP="003E6E1C">
      <w:pPr>
        <w:jc w:val="both"/>
        <w:rPr>
          <w:rFonts w:ascii="Times New Roman" w:hAnsi="Times New Roman" w:cs="Times New Roman"/>
        </w:rPr>
      </w:pPr>
    </w:p>
    <w:p w14:paraId="157055B3" w14:textId="77777777" w:rsidR="00994215" w:rsidRDefault="00994215" w:rsidP="003E6E1C">
      <w:pPr>
        <w:jc w:val="both"/>
        <w:rPr>
          <w:rFonts w:ascii="Times New Roman" w:hAnsi="Times New Roman" w:cs="Times New Roman"/>
        </w:rPr>
      </w:pPr>
    </w:p>
    <w:tbl>
      <w:tblPr>
        <w:tblStyle w:val="TableGrid"/>
        <w:tblW w:w="5804" w:type="dxa"/>
        <w:tblLook w:val="04A0" w:firstRow="1" w:lastRow="0" w:firstColumn="1" w:lastColumn="0" w:noHBand="0" w:noVBand="1"/>
      </w:tblPr>
      <w:tblGrid>
        <w:gridCol w:w="3015"/>
        <w:gridCol w:w="2789"/>
      </w:tblGrid>
      <w:tr w:rsidR="00E127F7" w:rsidRPr="00E127F7" w14:paraId="4108DF8F" w14:textId="77777777" w:rsidTr="00364CB9">
        <w:trPr>
          <w:trHeight w:val="290"/>
        </w:trPr>
        <w:tc>
          <w:tcPr>
            <w:tcW w:w="5804" w:type="dxa"/>
            <w:gridSpan w:val="2"/>
            <w:noWrap/>
            <w:hideMark/>
          </w:tcPr>
          <w:p w14:paraId="43CA4013" w14:textId="1B4853D3" w:rsidR="00E127F7" w:rsidRPr="00E127F7" w:rsidRDefault="00E127F7" w:rsidP="00965D29">
            <w:pPr>
              <w:jc w:val="center"/>
              <w:rPr>
                <w:rFonts w:ascii="Times New Roman" w:eastAsia="Times New Roman" w:hAnsi="Times New Roman" w:cs="Times New Roman"/>
                <w:b/>
                <w:bCs/>
                <w:kern w:val="0"/>
                <w:lang w:eastAsia="en-IN"/>
                <w14:ligatures w14:val="none"/>
              </w:rPr>
            </w:pPr>
            <w:r w:rsidRPr="00965D29">
              <w:rPr>
                <w:rFonts w:ascii="Times New Roman" w:eastAsia="Times New Roman" w:hAnsi="Times New Roman" w:cs="Times New Roman"/>
                <w:b/>
                <w:bCs/>
                <w:kern w:val="0"/>
                <w:lang w:eastAsia="en-IN"/>
                <w14:ligatures w14:val="none"/>
              </w:rPr>
              <w:t>Agroecological units (AEUs)</w:t>
            </w:r>
          </w:p>
        </w:tc>
      </w:tr>
      <w:tr w:rsidR="00E127F7" w:rsidRPr="00E127F7" w14:paraId="47483567" w14:textId="77777777" w:rsidTr="00E127F7">
        <w:trPr>
          <w:trHeight w:val="290"/>
        </w:trPr>
        <w:tc>
          <w:tcPr>
            <w:tcW w:w="3015" w:type="dxa"/>
            <w:noWrap/>
            <w:hideMark/>
          </w:tcPr>
          <w:p w14:paraId="0C7555C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lastRenderedPageBreak/>
              <w:t>AEU 1 Southern Coastal Plain</w:t>
            </w:r>
          </w:p>
        </w:tc>
        <w:tc>
          <w:tcPr>
            <w:tcW w:w="2789" w:type="dxa"/>
            <w:noWrap/>
            <w:hideMark/>
          </w:tcPr>
          <w:p w14:paraId="0C69860C"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13 Northern Foothills</w:t>
            </w:r>
          </w:p>
        </w:tc>
      </w:tr>
      <w:tr w:rsidR="00E127F7" w:rsidRPr="00E127F7" w14:paraId="3AE2F543" w14:textId="77777777" w:rsidTr="00E127F7">
        <w:trPr>
          <w:trHeight w:val="290"/>
        </w:trPr>
        <w:tc>
          <w:tcPr>
            <w:tcW w:w="3015" w:type="dxa"/>
            <w:noWrap/>
            <w:hideMark/>
          </w:tcPr>
          <w:p w14:paraId="38358F5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 Northern Coastal Plain</w:t>
            </w:r>
          </w:p>
        </w:tc>
        <w:tc>
          <w:tcPr>
            <w:tcW w:w="2789" w:type="dxa"/>
            <w:noWrap/>
            <w:hideMark/>
          </w:tcPr>
          <w:p w14:paraId="79C94ED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14 Southern High Hills</w:t>
            </w:r>
          </w:p>
        </w:tc>
      </w:tr>
      <w:tr w:rsidR="00E127F7" w:rsidRPr="00E127F7" w14:paraId="1CC19BA3" w14:textId="77777777" w:rsidTr="00E127F7">
        <w:trPr>
          <w:trHeight w:val="290"/>
        </w:trPr>
        <w:tc>
          <w:tcPr>
            <w:tcW w:w="3015" w:type="dxa"/>
            <w:noWrap/>
            <w:hideMark/>
          </w:tcPr>
          <w:p w14:paraId="2FE7CCC1"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3 </w:t>
            </w:r>
            <w:proofErr w:type="spellStart"/>
            <w:r w:rsidRPr="00E127F7">
              <w:rPr>
                <w:rFonts w:ascii="Times New Roman" w:eastAsia="Times New Roman" w:hAnsi="Times New Roman" w:cs="Times New Roman"/>
                <w:color w:val="000000"/>
                <w:kern w:val="0"/>
                <w:lang w:eastAsia="en-IN"/>
                <w14:ligatures w14:val="none"/>
              </w:rPr>
              <w:t>Onattukara</w:t>
            </w:r>
            <w:proofErr w:type="spellEnd"/>
            <w:r w:rsidRPr="00E127F7">
              <w:rPr>
                <w:rFonts w:ascii="Times New Roman" w:eastAsia="Times New Roman" w:hAnsi="Times New Roman" w:cs="Times New Roman"/>
                <w:color w:val="000000"/>
                <w:kern w:val="0"/>
                <w:lang w:eastAsia="en-IN"/>
                <w14:ligatures w14:val="none"/>
              </w:rPr>
              <w:t xml:space="preserve"> Sandy Plain</w:t>
            </w:r>
          </w:p>
        </w:tc>
        <w:tc>
          <w:tcPr>
            <w:tcW w:w="2789" w:type="dxa"/>
            <w:noWrap/>
            <w:hideMark/>
          </w:tcPr>
          <w:p w14:paraId="6AA6D18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15 Northern High Hills</w:t>
            </w:r>
          </w:p>
        </w:tc>
      </w:tr>
      <w:tr w:rsidR="00E127F7" w:rsidRPr="00E127F7" w14:paraId="4463B517" w14:textId="77777777" w:rsidTr="00E127F7">
        <w:trPr>
          <w:trHeight w:val="290"/>
        </w:trPr>
        <w:tc>
          <w:tcPr>
            <w:tcW w:w="3015" w:type="dxa"/>
            <w:noWrap/>
            <w:hideMark/>
          </w:tcPr>
          <w:p w14:paraId="4A7C8365"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4 </w:t>
            </w:r>
            <w:proofErr w:type="spellStart"/>
            <w:r w:rsidRPr="00E127F7">
              <w:rPr>
                <w:rFonts w:ascii="Times New Roman" w:eastAsia="Times New Roman" w:hAnsi="Times New Roman" w:cs="Times New Roman"/>
                <w:color w:val="000000"/>
                <w:kern w:val="0"/>
                <w:lang w:eastAsia="en-IN"/>
                <w14:ligatures w14:val="none"/>
              </w:rPr>
              <w:t>Kuttanad</w:t>
            </w:r>
            <w:proofErr w:type="spellEnd"/>
          </w:p>
        </w:tc>
        <w:tc>
          <w:tcPr>
            <w:tcW w:w="2789" w:type="dxa"/>
            <w:noWrap/>
            <w:hideMark/>
          </w:tcPr>
          <w:p w14:paraId="25C9A8F6"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16 </w:t>
            </w:r>
            <w:proofErr w:type="spellStart"/>
            <w:r w:rsidRPr="00E127F7">
              <w:rPr>
                <w:rFonts w:ascii="Times New Roman" w:eastAsia="Times New Roman" w:hAnsi="Times New Roman" w:cs="Times New Roman"/>
                <w:color w:val="000000"/>
                <w:kern w:val="0"/>
                <w:lang w:eastAsia="en-IN"/>
                <w14:ligatures w14:val="none"/>
              </w:rPr>
              <w:t>Kumily</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70F21442" w14:textId="77777777" w:rsidTr="00E127F7">
        <w:trPr>
          <w:trHeight w:val="290"/>
        </w:trPr>
        <w:tc>
          <w:tcPr>
            <w:tcW w:w="3015" w:type="dxa"/>
            <w:noWrap/>
            <w:hideMark/>
          </w:tcPr>
          <w:p w14:paraId="40271763"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5 </w:t>
            </w:r>
            <w:proofErr w:type="spellStart"/>
            <w:r w:rsidRPr="00E127F7">
              <w:rPr>
                <w:rFonts w:ascii="Times New Roman" w:eastAsia="Times New Roman" w:hAnsi="Times New Roman" w:cs="Times New Roman"/>
                <w:color w:val="000000"/>
                <w:kern w:val="0"/>
                <w:lang w:eastAsia="en-IN"/>
                <w14:ligatures w14:val="none"/>
              </w:rPr>
              <w:t>Pokkali</w:t>
            </w:r>
            <w:proofErr w:type="spellEnd"/>
            <w:r w:rsidRPr="00E127F7">
              <w:rPr>
                <w:rFonts w:ascii="Times New Roman" w:eastAsia="Times New Roman" w:hAnsi="Times New Roman" w:cs="Times New Roman"/>
                <w:color w:val="000000"/>
                <w:kern w:val="0"/>
                <w:lang w:eastAsia="en-IN"/>
                <w14:ligatures w14:val="none"/>
              </w:rPr>
              <w:t xml:space="preserve"> Lands</w:t>
            </w:r>
          </w:p>
        </w:tc>
        <w:tc>
          <w:tcPr>
            <w:tcW w:w="2789" w:type="dxa"/>
            <w:noWrap/>
            <w:hideMark/>
          </w:tcPr>
          <w:p w14:paraId="36B8F740"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17 </w:t>
            </w:r>
            <w:proofErr w:type="spellStart"/>
            <w:r w:rsidRPr="00E127F7">
              <w:rPr>
                <w:rFonts w:ascii="Times New Roman" w:eastAsia="Times New Roman" w:hAnsi="Times New Roman" w:cs="Times New Roman"/>
                <w:color w:val="000000"/>
                <w:kern w:val="0"/>
                <w:lang w:eastAsia="en-IN"/>
                <w14:ligatures w14:val="none"/>
              </w:rPr>
              <w:t>Marayur</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0F836F93" w14:textId="77777777" w:rsidTr="00E127F7">
        <w:trPr>
          <w:trHeight w:val="290"/>
        </w:trPr>
        <w:tc>
          <w:tcPr>
            <w:tcW w:w="3015" w:type="dxa"/>
            <w:noWrap/>
            <w:hideMark/>
          </w:tcPr>
          <w:p w14:paraId="12002928"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6 </w:t>
            </w:r>
            <w:proofErr w:type="spellStart"/>
            <w:r w:rsidRPr="00E127F7">
              <w:rPr>
                <w:rFonts w:ascii="Times New Roman" w:eastAsia="Times New Roman" w:hAnsi="Times New Roman" w:cs="Times New Roman"/>
                <w:color w:val="000000"/>
                <w:kern w:val="0"/>
                <w:lang w:eastAsia="en-IN"/>
                <w14:ligatures w14:val="none"/>
              </w:rPr>
              <w:t>Kole</w:t>
            </w:r>
            <w:proofErr w:type="spellEnd"/>
            <w:r w:rsidRPr="00E127F7">
              <w:rPr>
                <w:rFonts w:ascii="Times New Roman" w:eastAsia="Times New Roman" w:hAnsi="Times New Roman" w:cs="Times New Roman"/>
                <w:color w:val="000000"/>
                <w:kern w:val="0"/>
                <w:lang w:eastAsia="en-IN"/>
                <w14:ligatures w14:val="none"/>
              </w:rPr>
              <w:t xml:space="preserve"> Lands</w:t>
            </w:r>
          </w:p>
        </w:tc>
        <w:tc>
          <w:tcPr>
            <w:tcW w:w="2789" w:type="dxa"/>
            <w:noWrap/>
            <w:hideMark/>
          </w:tcPr>
          <w:p w14:paraId="2B379CB4"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18 </w:t>
            </w:r>
            <w:proofErr w:type="spellStart"/>
            <w:r w:rsidRPr="00E127F7">
              <w:rPr>
                <w:rFonts w:ascii="Times New Roman" w:eastAsia="Times New Roman" w:hAnsi="Times New Roman" w:cs="Times New Roman"/>
                <w:color w:val="000000"/>
                <w:kern w:val="0"/>
                <w:lang w:eastAsia="en-IN"/>
                <w14:ligatures w14:val="none"/>
              </w:rPr>
              <w:t>Attappady</w:t>
            </w:r>
            <w:proofErr w:type="spellEnd"/>
            <w:r w:rsidRPr="00E127F7">
              <w:rPr>
                <w:rFonts w:ascii="Times New Roman" w:eastAsia="Times New Roman" w:hAnsi="Times New Roman" w:cs="Times New Roman"/>
                <w:color w:val="000000"/>
                <w:kern w:val="0"/>
                <w:lang w:eastAsia="en-IN"/>
                <w14:ligatures w14:val="none"/>
              </w:rPr>
              <w:t xml:space="preserve"> Hills</w:t>
            </w:r>
          </w:p>
        </w:tc>
      </w:tr>
      <w:tr w:rsidR="00E127F7" w:rsidRPr="00E127F7" w14:paraId="4F785560" w14:textId="77777777" w:rsidTr="00E127F7">
        <w:trPr>
          <w:trHeight w:val="290"/>
        </w:trPr>
        <w:tc>
          <w:tcPr>
            <w:tcW w:w="3015" w:type="dxa"/>
            <w:noWrap/>
            <w:hideMark/>
          </w:tcPr>
          <w:p w14:paraId="405C0723"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7 </w:t>
            </w:r>
            <w:proofErr w:type="spellStart"/>
            <w:r w:rsidRPr="00E127F7">
              <w:rPr>
                <w:rFonts w:ascii="Times New Roman" w:eastAsia="Times New Roman" w:hAnsi="Times New Roman" w:cs="Times New Roman"/>
                <w:color w:val="000000"/>
                <w:kern w:val="0"/>
                <w:lang w:eastAsia="en-IN"/>
                <w14:ligatures w14:val="none"/>
              </w:rPr>
              <w:t>Kaipad</w:t>
            </w:r>
            <w:proofErr w:type="spellEnd"/>
            <w:r w:rsidRPr="00E127F7">
              <w:rPr>
                <w:rFonts w:ascii="Times New Roman" w:eastAsia="Times New Roman" w:hAnsi="Times New Roman" w:cs="Times New Roman"/>
                <w:color w:val="000000"/>
                <w:kern w:val="0"/>
                <w:lang w:eastAsia="en-IN"/>
                <w14:ligatures w14:val="none"/>
              </w:rPr>
              <w:t xml:space="preserve"> Lands</w:t>
            </w:r>
          </w:p>
        </w:tc>
        <w:tc>
          <w:tcPr>
            <w:tcW w:w="2789" w:type="dxa"/>
            <w:noWrap/>
            <w:hideMark/>
          </w:tcPr>
          <w:p w14:paraId="258A8E0D"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 xml:space="preserve">AEU 19 </w:t>
            </w:r>
            <w:proofErr w:type="spellStart"/>
            <w:r w:rsidRPr="00E127F7">
              <w:rPr>
                <w:rFonts w:ascii="Times New Roman" w:eastAsia="Times New Roman" w:hAnsi="Times New Roman" w:cs="Times New Roman"/>
                <w:color w:val="000000"/>
                <w:kern w:val="0"/>
                <w:lang w:eastAsia="en-IN"/>
                <w14:ligatures w14:val="none"/>
              </w:rPr>
              <w:t>Attappady</w:t>
            </w:r>
            <w:proofErr w:type="spellEnd"/>
            <w:r w:rsidRPr="00E127F7">
              <w:rPr>
                <w:rFonts w:ascii="Times New Roman" w:eastAsia="Times New Roman" w:hAnsi="Times New Roman" w:cs="Times New Roman"/>
                <w:color w:val="000000"/>
                <w:kern w:val="0"/>
                <w:lang w:eastAsia="en-IN"/>
                <w14:ligatures w14:val="none"/>
              </w:rPr>
              <w:t xml:space="preserve"> Dry Hills</w:t>
            </w:r>
          </w:p>
        </w:tc>
      </w:tr>
      <w:tr w:rsidR="00E127F7" w:rsidRPr="00E127F7" w14:paraId="28C084BA" w14:textId="77777777" w:rsidTr="00E127F7">
        <w:trPr>
          <w:trHeight w:val="290"/>
        </w:trPr>
        <w:tc>
          <w:tcPr>
            <w:tcW w:w="3015" w:type="dxa"/>
            <w:noWrap/>
            <w:hideMark/>
          </w:tcPr>
          <w:p w14:paraId="567016BF"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8 Southern Laterites</w:t>
            </w:r>
          </w:p>
        </w:tc>
        <w:tc>
          <w:tcPr>
            <w:tcW w:w="2789" w:type="dxa"/>
            <w:noWrap/>
            <w:hideMark/>
          </w:tcPr>
          <w:p w14:paraId="2525732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20 Wayanad Central Hills</w:t>
            </w:r>
          </w:p>
        </w:tc>
      </w:tr>
      <w:tr w:rsidR="00E127F7" w:rsidRPr="00E127F7" w14:paraId="15358D47" w14:textId="77777777" w:rsidTr="00E127F7">
        <w:trPr>
          <w:trHeight w:val="290"/>
        </w:trPr>
        <w:tc>
          <w:tcPr>
            <w:tcW w:w="3015" w:type="dxa"/>
            <w:noWrap/>
            <w:hideMark/>
          </w:tcPr>
          <w:p w14:paraId="7CB0A550"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9 Southern Coastal Laterites</w:t>
            </w:r>
          </w:p>
        </w:tc>
        <w:tc>
          <w:tcPr>
            <w:tcW w:w="2789" w:type="dxa"/>
            <w:noWrap/>
            <w:hideMark/>
          </w:tcPr>
          <w:p w14:paraId="1FC2F4C9"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21 Wayanad Eastern Hills</w:t>
            </w:r>
          </w:p>
        </w:tc>
      </w:tr>
      <w:tr w:rsidR="00E127F7" w:rsidRPr="00E127F7" w14:paraId="0E1801BA" w14:textId="77777777" w:rsidTr="00E127F7">
        <w:trPr>
          <w:trHeight w:val="290"/>
        </w:trPr>
        <w:tc>
          <w:tcPr>
            <w:tcW w:w="3015" w:type="dxa"/>
            <w:noWrap/>
            <w:hideMark/>
          </w:tcPr>
          <w:p w14:paraId="4279907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10 Northern Coastal Laterites</w:t>
            </w:r>
          </w:p>
        </w:tc>
        <w:tc>
          <w:tcPr>
            <w:tcW w:w="2789" w:type="dxa"/>
            <w:noWrap/>
            <w:hideMark/>
          </w:tcPr>
          <w:p w14:paraId="4CA9185A"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22 Palakkad Central Plains</w:t>
            </w:r>
          </w:p>
        </w:tc>
      </w:tr>
      <w:tr w:rsidR="00E127F7" w:rsidRPr="00E127F7" w14:paraId="1AF1F99B" w14:textId="77777777" w:rsidTr="00E127F7">
        <w:trPr>
          <w:trHeight w:val="290"/>
        </w:trPr>
        <w:tc>
          <w:tcPr>
            <w:tcW w:w="3015" w:type="dxa"/>
            <w:noWrap/>
            <w:hideMark/>
          </w:tcPr>
          <w:p w14:paraId="4A06E58E"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11 Northern Laterite</w:t>
            </w:r>
          </w:p>
        </w:tc>
        <w:tc>
          <w:tcPr>
            <w:tcW w:w="2789" w:type="dxa"/>
            <w:noWrap/>
            <w:hideMark/>
          </w:tcPr>
          <w:p w14:paraId="05A16024"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23 Palakkad Eastern Plains</w:t>
            </w:r>
          </w:p>
        </w:tc>
      </w:tr>
      <w:tr w:rsidR="00E127F7" w:rsidRPr="00E127F7" w14:paraId="621D54D5" w14:textId="77777777" w:rsidTr="00E127F7">
        <w:trPr>
          <w:trHeight w:val="290"/>
        </w:trPr>
        <w:tc>
          <w:tcPr>
            <w:tcW w:w="5804" w:type="dxa"/>
            <w:gridSpan w:val="2"/>
            <w:noWrap/>
            <w:hideMark/>
          </w:tcPr>
          <w:p w14:paraId="50016F72" w14:textId="77777777" w:rsidR="00E127F7" w:rsidRPr="00E127F7" w:rsidRDefault="00E127F7" w:rsidP="00E127F7">
            <w:pPr>
              <w:rPr>
                <w:rFonts w:ascii="Times New Roman" w:eastAsia="Times New Roman" w:hAnsi="Times New Roman" w:cs="Times New Roman"/>
                <w:color w:val="000000"/>
                <w:kern w:val="0"/>
                <w:lang w:eastAsia="en-IN"/>
                <w14:ligatures w14:val="none"/>
              </w:rPr>
            </w:pPr>
            <w:r w:rsidRPr="00E127F7">
              <w:rPr>
                <w:rFonts w:ascii="Times New Roman" w:eastAsia="Times New Roman" w:hAnsi="Times New Roman" w:cs="Times New Roman"/>
                <w:color w:val="000000"/>
                <w:kern w:val="0"/>
                <w:lang w:eastAsia="en-IN"/>
                <w14:ligatures w14:val="none"/>
              </w:rPr>
              <w:t>AEU 12 Southern and Central Foothills</w:t>
            </w:r>
          </w:p>
        </w:tc>
      </w:tr>
    </w:tbl>
    <w:p w14:paraId="083EEFEA" w14:textId="0012D483" w:rsidR="00994215" w:rsidRDefault="00965D29"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3BEC1A49" wp14:editId="7BA5B50C">
                <wp:simplePos x="0" y="0"/>
                <wp:positionH relativeFrom="column">
                  <wp:posOffset>31750</wp:posOffset>
                </wp:positionH>
                <wp:positionV relativeFrom="paragraph">
                  <wp:posOffset>95250</wp:posOffset>
                </wp:positionV>
                <wp:extent cx="3644900" cy="1404620"/>
                <wp:effectExtent l="0" t="0" r="12700" b="13970"/>
                <wp:wrapSquare wrapText="bothSides"/>
                <wp:docPr id="97124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404620"/>
                        </a:xfrm>
                        <a:prstGeom prst="rect">
                          <a:avLst/>
                        </a:prstGeom>
                        <a:solidFill>
                          <a:srgbClr val="FFFFFF"/>
                        </a:solidFill>
                        <a:ln w="9525">
                          <a:solidFill>
                            <a:srgbClr val="000000"/>
                          </a:solidFill>
                          <a:miter lim="800000"/>
                          <a:headEnd/>
                          <a:tailEnd/>
                        </a:ln>
                      </wps:spPr>
                      <wps:txbx>
                        <w:txbxContent>
                          <w:p w14:paraId="79CE83F8" w14:textId="28A80323" w:rsidR="00965D29" w:rsidRPr="00982B31" w:rsidRDefault="00965D29" w:rsidP="00965D29">
                            <w:pPr>
                              <w:jc w:val="center"/>
                              <w:rPr>
                                <w:rFonts w:ascii="Times New Roman" w:hAnsi="Times New Roman" w:cs="Times New Roman"/>
                              </w:rPr>
                            </w:pPr>
                            <w:r w:rsidRPr="00982B31">
                              <w:rPr>
                                <w:rFonts w:ascii="Times New Roman" w:hAnsi="Times New Roman" w:cs="Times New Roman"/>
                              </w:rPr>
                              <w:t xml:space="preserve">Table </w:t>
                            </w:r>
                            <w:r w:rsidR="002F1505">
                              <w:rPr>
                                <w:rFonts w:ascii="Times New Roman" w:hAnsi="Times New Roman" w:cs="Times New Roman"/>
                              </w:rPr>
                              <w:t>1</w:t>
                            </w:r>
                            <w:r w:rsidRPr="00982B31">
                              <w:rPr>
                                <w:rFonts w:ascii="Times New Roman" w:hAnsi="Times New Roman" w:cs="Times New Roman"/>
                              </w:rPr>
                              <w:t xml:space="preserve">: </w:t>
                            </w:r>
                            <w:r>
                              <w:rPr>
                                <w:rFonts w:ascii="Times New Roman" w:hAnsi="Times New Roman" w:cs="Times New Roman"/>
                              </w:rPr>
                              <w:t>List of Agroecological units of Kerala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C1A49" id="_x0000_s1028" type="#_x0000_t202" style="position:absolute;left:0;text-align:left;margin-left:2.5pt;margin-top:7.5pt;width:287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">
                <v:textbox style="mso-fit-shape-to-text:t">
                  <w:txbxContent>
                    <w:p w14:paraId="79CE83F8" w14:textId="28A80323" w:rsidR="00965D29" w:rsidRPr="00982B31" w:rsidRDefault="00965D29" w:rsidP="00965D29">
                      <w:pPr>
                        <w:jc w:val="center"/>
                        <w:rPr>
                          <w:rFonts w:ascii="Times New Roman" w:hAnsi="Times New Roman" w:cs="Times New Roman"/>
                        </w:rPr>
                      </w:pPr>
                      <w:r w:rsidRPr="00982B31">
                        <w:rPr>
                          <w:rFonts w:ascii="Times New Roman" w:hAnsi="Times New Roman" w:cs="Times New Roman"/>
                        </w:rPr>
                        <w:t xml:space="preserve">Table </w:t>
                      </w:r>
                      <w:r w:rsidR="002F1505">
                        <w:rPr>
                          <w:rFonts w:ascii="Times New Roman" w:hAnsi="Times New Roman" w:cs="Times New Roman"/>
                        </w:rPr>
                        <w:t>1</w:t>
                      </w:r>
                      <w:r w:rsidRPr="00982B31">
                        <w:rPr>
                          <w:rFonts w:ascii="Times New Roman" w:hAnsi="Times New Roman" w:cs="Times New Roman"/>
                        </w:rPr>
                        <w:t xml:space="preserve">: </w:t>
                      </w:r>
                      <w:r>
                        <w:rPr>
                          <w:rFonts w:ascii="Times New Roman" w:hAnsi="Times New Roman" w:cs="Times New Roman"/>
                        </w:rPr>
                        <w:t>List of Agroecological units of Kerala</w:t>
                      </w:r>
                    </w:p>
                  </w:txbxContent>
                </v:textbox>
                <w10:wrap type="square"/>
              </v:shape>
            </w:pict>
          </mc:Fallback>
        </mc:AlternateContent>
      </w:r>
    </w:p>
    <w:p w14:paraId="27C7AAE9" w14:textId="1110C451" w:rsidR="00994215" w:rsidRDefault="00994215" w:rsidP="003E6E1C">
      <w:pPr>
        <w:jc w:val="both"/>
        <w:rPr>
          <w:rFonts w:ascii="Times New Roman" w:hAnsi="Times New Roman" w:cs="Times New Roman"/>
        </w:rPr>
      </w:pPr>
    </w:p>
    <w:p w14:paraId="6A28D934" w14:textId="77777777" w:rsidR="00C82394" w:rsidRDefault="00C82394" w:rsidP="003E6E1C">
      <w:pPr>
        <w:jc w:val="both"/>
        <w:rPr>
          <w:rFonts w:ascii="Times New Roman" w:hAnsi="Times New Roman" w:cs="Times New Roman"/>
        </w:rPr>
      </w:pPr>
    </w:p>
    <w:p w14:paraId="71F2F1D2" w14:textId="7EC517A4" w:rsidR="0070595D" w:rsidRDefault="00982B31" w:rsidP="003E6E1C">
      <w:pPr>
        <w:jc w:val="both"/>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54890D01" wp14:editId="3B076CB9">
                <wp:simplePos x="0" y="0"/>
                <wp:positionH relativeFrom="column">
                  <wp:posOffset>0</wp:posOffset>
                </wp:positionH>
                <wp:positionV relativeFrom="paragraph">
                  <wp:posOffset>2526030</wp:posOffset>
                </wp:positionV>
                <wp:extent cx="5716270" cy="1404620"/>
                <wp:effectExtent l="0" t="0" r="17780" b="20955"/>
                <wp:wrapSquare wrapText="bothSides"/>
                <wp:docPr id="73584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4620"/>
                        </a:xfrm>
                        <a:prstGeom prst="rect">
                          <a:avLst/>
                        </a:prstGeom>
                        <a:solidFill>
                          <a:srgbClr val="FFFFFF"/>
                        </a:solidFill>
                        <a:ln w="9525">
                          <a:solidFill>
                            <a:srgbClr val="000000"/>
                          </a:solidFill>
                          <a:miter lim="800000"/>
                          <a:headEnd/>
                          <a:tailEnd/>
                        </a:ln>
                      </wps:spPr>
                      <wps:txbx>
                        <w:txbxContent>
                          <w:p w14:paraId="581A2C8C" w14:textId="4EF6BF57" w:rsidR="00982B31" w:rsidRPr="00982B31" w:rsidRDefault="00982B31" w:rsidP="00982B31">
                            <w:pPr>
                              <w:jc w:val="center"/>
                              <w:rPr>
                                <w:rFonts w:ascii="Times New Roman" w:hAnsi="Times New Roman" w:cs="Times New Roman"/>
                              </w:rPr>
                            </w:pPr>
                            <w:r w:rsidRPr="00982B31">
                              <w:rPr>
                                <w:rFonts w:ascii="Times New Roman" w:hAnsi="Times New Roman" w:cs="Times New Roman"/>
                              </w:rPr>
                              <w:t xml:space="preserve">Table </w:t>
                            </w:r>
                            <w:r w:rsidR="002F1505">
                              <w:rPr>
                                <w:rFonts w:ascii="Times New Roman" w:hAnsi="Times New Roman" w:cs="Times New Roman"/>
                              </w:rPr>
                              <w:t>2</w:t>
                            </w:r>
                            <w:r w:rsidRPr="00982B31">
                              <w:rPr>
                                <w:rFonts w:ascii="Times New Roman" w:hAnsi="Times New Roman" w:cs="Times New Roman"/>
                              </w:rPr>
                              <w:t>: Relative contributions of the environmental vari</w:t>
                            </w:r>
                            <w:r w:rsidR="00534A0F">
                              <w:rPr>
                                <w:rFonts w:ascii="Times New Roman" w:hAnsi="Times New Roman" w:cs="Times New Roman"/>
                              </w:rPr>
                              <w:t>a</w:t>
                            </w:r>
                            <w:r w:rsidRPr="00982B31">
                              <w:rPr>
                                <w:rFonts w:ascii="Times New Roman" w:hAnsi="Times New Roman" w:cs="Times New Roman"/>
                              </w:rPr>
                              <w:t>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90D01" id="_x0000_s1029" type="#_x0000_t202" style="position:absolute;left:0;text-align:left;margin-left:0;margin-top:198.9pt;width:450.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">
                <v:textbox style="mso-fit-shape-to-text:t">
                  <w:txbxContent>
                    <w:p w14:paraId="581A2C8C" w14:textId="4EF6BF57" w:rsidR="00982B31" w:rsidRPr="00982B31" w:rsidRDefault="00982B31" w:rsidP="00982B31">
                      <w:pPr>
                        <w:jc w:val="center"/>
                        <w:rPr>
                          <w:rFonts w:ascii="Times New Roman" w:hAnsi="Times New Roman" w:cs="Times New Roman"/>
                        </w:rPr>
                      </w:pPr>
                      <w:r w:rsidRPr="00982B31">
                        <w:rPr>
                          <w:rFonts w:ascii="Times New Roman" w:hAnsi="Times New Roman" w:cs="Times New Roman"/>
                        </w:rPr>
                        <w:t xml:space="preserve">Table </w:t>
                      </w:r>
                      <w:r w:rsidR="002F1505">
                        <w:rPr>
                          <w:rFonts w:ascii="Times New Roman" w:hAnsi="Times New Roman" w:cs="Times New Roman"/>
                        </w:rPr>
                        <w:t>2</w:t>
                      </w:r>
                      <w:r w:rsidRPr="00982B31">
                        <w:rPr>
                          <w:rFonts w:ascii="Times New Roman" w:hAnsi="Times New Roman" w:cs="Times New Roman"/>
                        </w:rPr>
                        <w:t>: Relative contributions of the environmental vari</w:t>
                      </w:r>
                      <w:r w:rsidR="00534A0F">
                        <w:rPr>
                          <w:rFonts w:ascii="Times New Roman" w:hAnsi="Times New Roman" w:cs="Times New Roman"/>
                        </w:rPr>
                        <w:t>a</w:t>
                      </w:r>
                      <w:r w:rsidRPr="00982B31">
                        <w:rPr>
                          <w:rFonts w:ascii="Times New Roman" w:hAnsi="Times New Roman" w:cs="Times New Roman"/>
                        </w:rPr>
                        <w:t>bles</w:t>
                      </w:r>
                    </w:p>
                  </w:txbxContent>
                </v:textbox>
                <w10:wrap type="square"/>
              </v:shape>
            </w:pict>
          </mc:Fallback>
        </mc:AlternateContent>
      </w:r>
    </w:p>
    <w:tbl>
      <w:tblPr>
        <w:tblStyle w:val="TableGrid"/>
        <w:tblpPr w:leftFromText="180" w:rightFromText="180" w:vertAnchor="text" w:horzAnchor="margin" w:tblpY="15"/>
        <w:tblW w:w="0" w:type="auto"/>
        <w:tblLook w:val="04A0" w:firstRow="1" w:lastRow="0" w:firstColumn="1" w:lastColumn="0" w:noHBand="0" w:noVBand="1"/>
      </w:tblPr>
      <w:tblGrid>
        <w:gridCol w:w="3005"/>
        <w:gridCol w:w="3005"/>
        <w:gridCol w:w="3006"/>
      </w:tblGrid>
      <w:tr w:rsidR="00982B31" w14:paraId="03E38BED" w14:textId="77777777" w:rsidTr="00982B31">
        <w:tc>
          <w:tcPr>
            <w:tcW w:w="3005" w:type="dxa"/>
          </w:tcPr>
          <w:p w14:paraId="3CAFC442" w14:textId="77777777" w:rsidR="00982B31" w:rsidRPr="00534A0F" w:rsidRDefault="00982B31" w:rsidP="00982B31">
            <w:pPr>
              <w:jc w:val="both"/>
              <w:rPr>
                <w:rFonts w:ascii="Times New Roman" w:hAnsi="Times New Roman" w:cs="Times New Roman"/>
                <w:b/>
                <w:bCs/>
              </w:rPr>
            </w:pPr>
            <w:r w:rsidRPr="00534A0F">
              <w:rPr>
                <w:rFonts w:ascii="Times New Roman" w:hAnsi="Times New Roman" w:cs="Times New Roman"/>
                <w:b/>
                <w:bCs/>
              </w:rPr>
              <w:t>Variable</w:t>
            </w:r>
          </w:p>
        </w:tc>
        <w:tc>
          <w:tcPr>
            <w:tcW w:w="3005" w:type="dxa"/>
          </w:tcPr>
          <w:p w14:paraId="3E08EFCB" w14:textId="72308763" w:rsidR="00982B31" w:rsidRPr="00534A0F" w:rsidRDefault="00982B31" w:rsidP="00982B31">
            <w:pPr>
              <w:jc w:val="both"/>
              <w:rPr>
                <w:rFonts w:ascii="Times New Roman" w:hAnsi="Times New Roman" w:cs="Times New Roman"/>
                <w:b/>
                <w:bCs/>
              </w:rPr>
            </w:pPr>
            <w:r w:rsidRPr="00534A0F">
              <w:rPr>
                <w:rFonts w:ascii="Times New Roman" w:hAnsi="Times New Roman" w:cs="Times New Roman"/>
                <w:b/>
                <w:bCs/>
              </w:rPr>
              <w:t>Percent contribution</w:t>
            </w:r>
          </w:p>
        </w:tc>
        <w:tc>
          <w:tcPr>
            <w:tcW w:w="3006" w:type="dxa"/>
          </w:tcPr>
          <w:p w14:paraId="77E41416" w14:textId="7BBDB63F" w:rsidR="00982B31" w:rsidRPr="00534A0F" w:rsidRDefault="00982B31" w:rsidP="00982B31">
            <w:pPr>
              <w:jc w:val="both"/>
              <w:rPr>
                <w:rFonts w:ascii="Times New Roman" w:hAnsi="Times New Roman" w:cs="Times New Roman"/>
                <w:b/>
                <w:bCs/>
              </w:rPr>
            </w:pPr>
            <w:r w:rsidRPr="00534A0F">
              <w:rPr>
                <w:rFonts w:ascii="Times New Roman" w:hAnsi="Times New Roman" w:cs="Times New Roman"/>
                <w:b/>
                <w:bCs/>
              </w:rPr>
              <w:t>Permutation importance</w:t>
            </w:r>
          </w:p>
        </w:tc>
      </w:tr>
      <w:tr w:rsidR="00982B31" w14:paraId="3829D1E4" w14:textId="77777777" w:rsidTr="00982B31">
        <w:tc>
          <w:tcPr>
            <w:tcW w:w="3005" w:type="dxa"/>
          </w:tcPr>
          <w:p w14:paraId="4B7BC75B" w14:textId="2555F22C" w:rsidR="00982B31" w:rsidRDefault="00982B31" w:rsidP="00982B31">
            <w:pPr>
              <w:jc w:val="both"/>
              <w:rPr>
                <w:rFonts w:ascii="Times New Roman" w:hAnsi="Times New Roman" w:cs="Times New Roman"/>
              </w:rPr>
            </w:pPr>
            <w:r>
              <w:rPr>
                <w:rFonts w:ascii="Times New Roman" w:hAnsi="Times New Roman" w:cs="Times New Roman"/>
              </w:rPr>
              <w:t>bio13</w:t>
            </w:r>
          </w:p>
        </w:tc>
        <w:tc>
          <w:tcPr>
            <w:tcW w:w="3005" w:type="dxa"/>
          </w:tcPr>
          <w:p w14:paraId="669BDA1A" w14:textId="03415D60" w:rsidR="00982B31" w:rsidRDefault="00982B31" w:rsidP="00982B31">
            <w:pPr>
              <w:jc w:val="both"/>
              <w:rPr>
                <w:rFonts w:ascii="Times New Roman" w:hAnsi="Times New Roman" w:cs="Times New Roman"/>
              </w:rPr>
            </w:pPr>
            <w:r>
              <w:rPr>
                <w:rFonts w:ascii="Times New Roman" w:hAnsi="Times New Roman" w:cs="Times New Roman"/>
              </w:rPr>
              <w:t>42</w:t>
            </w:r>
          </w:p>
        </w:tc>
        <w:tc>
          <w:tcPr>
            <w:tcW w:w="3006" w:type="dxa"/>
          </w:tcPr>
          <w:p w14:paraId="040B14CE" w14:textId="77777777" w:rsidR="00982B31" w:rsidRDefault="00982B31" w:rsidP="00982B31">
            <w:pPr>
              <w:jc w:val="both"/>
              <w:rPr>
                <w:rFonts w:ascii="Times New Roman" w:hAnsi="Times New Roman" w:cs="Times New Roman"/>
              </w:rPr>
            </w:pPr>
            <w:r>
              <w:rPr>
                <w:rFonts w:ascii="Times New Roman" w:hAnsi="Times New Roman" w:cs="Times New Roman"/>
              </w:rPr>
              <w:t>10</w:t>
            </w:r>
          </w:p>
        </w:tc>
      </w:tr>
      <w:tr w:rsidR="00982B31" w14:paraId="3AA4D33D" w14:textId="77777777" w:rsidTr="00982B31">
        <w:tc>
          <w:tcPr>
            <w:tcW w:w="3005" w:type="dxa"/>
          </w:tcPr>
          <w:p w14:paraId="3765F45E" w14:textId="77777777" w:rsidR="00982B31" w:rsidRDefault="00982B31" w:rsidP="00982B31">
            <w:pPr>
              <w:jc w:val="both"/>
              <w:rPr>
                <w:rFonts w:ascii="Times New Roman" w:hAnsi="Times New Roman" w:cs="Times New Roman"/>
              </w:rPr>
            </w:pPr>
            <w:r>
              <w:rPr>
                <w:rFonts w:ascii="Times New Roman" w:hAnsi="Times New Roman" w:cs="Times New Roman"/>
              </w:rPr>
              <w:t>bio17</w:t>
            </w:r>
          </w:p>
        </w:tc>
        <w:tc>
          <w:tcPr>
            <w:tcW w:w="3005" w:type="dxa"/>
          </w:tcPr>
          <w:p w14:paraId="5D5C7A23" w14:textId="77777777" w:rsidR="00982B31" w:rsidRDefault="00982B31" w:rsidP="00982B31">
            <w:pPr>
              <w:jc w:val="both"/>
              <w:rPr>
                <w:rFonts w:ascii="Times New Roman" w:hAnsi="Times New Roman" w:cs="Times New Roman"/>
              </w:rPr>
            </w:pPr>
            <w:r>
              <w:rPr>
                <w:rFonts w:ascii="Times New Roman" w:hAnsi="Times New Roman" w:cs="Times New Roman"/>
              </w:rPr>
              <w:t>19.8</w:t>
            </w:r>
          </w:p>
        </w:tc>
        <w:tc>
          <w:tcPr>
            <w:tcW w:w="3006" w:type="dxa"/>
          </w:tcPr>
          <w:p w14:paraId="3FC66F33" w14:textId="77777777" w:rsidR="00982B31" w:rsidRDefault="00982B31" w:rsidP="00982B31">
            <w:pPr>
              <w:jc w:val="both"/>
              <w:rPr>
                <w:rFonts w:ascii="Times New Roman" w:hAnsi="Times New Roman" w:cs="Times New Roman"/>
              </w:rPr>
            </w:pPr>
            <w:r>
              <w:rPr>
                <w:rFonts w:ascii="Times New Roman" w:hAnsi="Times New Roman" w:cs="Times New Roman"/>
              </w:rPr>
              <w:t>10.3</w:t>
            </w:r>
          </w:p>
        </w:tc>
      </w:tr>
      <w:tr w:rsidR="00982B31" w14:paraId="219516AB" w14:textId="77777777" w:rsidTr="00982B31">
        <w:tc>
          <w:tcPr>
            <w:tcW w:w="3005" w:type="dxa"/>
          </w:tcPr>
          <w:p w14:paraId="6048B196" w14:textId="77777777" w:rsidR="00982B31" w:rsidRDefault="00982B31" w:rsidP="00982B31">
            <w:pPr>
              <w:jc w:val="both"/>
              <w:rPr>
                <w:rFonts w:ascii="Times New Roman" w:hAnsi="Times New Roman" w:cs="Times New Roman"/>
              </w:rPr>
            </w:pPr>
            <w:r>
              <w:rPr>
                <w:rFonts w:ascii="Times New Roman" w:hAnsi="Times New Roman" w:cs="Times New Roman"/>
              </w:rPr>
              <w:t>bio18</w:t>
            </w:r>
          </w:p>
        </w:tc>
        <w:tc>
          <w:tcPr>
            <w:tcW w:w="3005" w:type="dxa"/>
          </w:tcPr>
          <w:p w14:paraId="5FD1ACF2" w14:textId="77777777" w:rsidR="00982B31" w:rsidRDefault="00982B31" w:rsidP="00982B31">
            <w:pPr>
              <w:jc w:val="both"/>
              <w:rPr>
                <w:rFonts w:ascii="Times New Roman" w:hAnsi="Times New Roman" w:cs="Times New Roman"/>
              </w:rPr>
            </w:pPr>
            <w:r>
              <w:rPr>
                <w:rFonts w:ascii="Times New Roman" w:hAnsi="Times New Roman" w:cs="Times New Roman"/>
              </w:rPr>
              <w:t>11.4</w:t>
            </w:r>
          </w:p>
        </w:tc>
        <w:tc>
          <w:tcPr>
            <w:tcW w:w="3006" w:type="dxa"/>
          </w:tcPr>
          <w:p w14:paraId="09E49782" w14:textId="77777777" w:rsidR="00982B31" w:rsidRDefault="00982B31" w:rsidP="00982B31">
            <w:pPr>
              <w:jc w:val="both"/>
              <w:rPr>
                <w:rFonts w:ascii="Times New Roman" w:hAnsi="Times New Roman" w:cs="Times New Roman"/>
              </w:rPr>
            </w:pPr>
            <w:r>
              <w:rPr>
                <w:rFonts w:ascii="Times New Roman" w:hAnsi="Times New Roman" w:cs="Times New Roman"/>
              </w:rPr>
              <w:t>0.1</w:t>
            </w:r>
          </w:p>
        </w:tc>
      </w:tr>
      <w:tr w:rsidR="00982B31" w14:paraId="6D1FF13A" w14:textId="77777777" w:rsidTr="00982B31">
        <w:tc>
          <w:tcPr>
            <w:tcW w:w="3005" w:type="dxa"/>
          </w:tcPr>
          <w:p w14:paraId="6F9359B0" w14:textId="77777777" w:rsidR="00982B31" w:rsidRDefault="00982B31" w:rsidP="00982B31">
            <w:pPr>
              <w:jc w:val="both"/>
              <w:rPr>
                <w:rFonts w:ascii="Times New Roman" w:hAnsi="Times New Roman" w:cs="Times New Roman"/>
              </w:rPr>
            </w:pPr>
            <w:r>
              <w:rPr>
                <w:rFonts w:ascii="Times New Roman" w:hAnsi="Times New Roman" w:cs="Times New Roman"/>
              </w:rPr>
              <w:t>bio1</w:t>
            </w:r>
          </w:p>
        </w:tc>
        <w:tc>
          <w:tcPr>
            <w:tcW w:w="3005" w:type="dxa"/>
          </w:tcPr>
          <w:p w14:paraId="02E49E4A" w14:textId="77777777" w:rsidR="00982B31" w:rsidRDefault="00982B31" w:rsidP="00982B31">
            <w:pPr>
              <w:jc w:val="both"/>
              <w:rPr>
                <w:rFonts w:ascii="Times New Roman" w:hAnsi="Times New Roman" w:cs="Times New Roman"/>
              </w:rPr>
            </w:pPr>
            <w:r>
              <w:rPr>
                <w:rFonts w:ascii="Times New Roman" w:hAnsi="Times New Roman" w:cs="Times New Roman"/>
              </w:rPr>
              <w:t>11</w:t>
            </w:r>
          </w:p>
        </w:tc>
        <w:tc>
          <w:tcPr>
            <w:tcW w:w="3006" w:type="dxa"/>
          </w:tcPr>
          <w:p w14:paraId="17993F59" w14:textId="77777777" w:rsidR="00982B31" w:rsidRDefault="00982B31" w:rsidP="00982B31">
            <w:pPr>
              <w:jc w:val="both"/>
              <w:rPr>
                <w:rFonts w:ascii="Times New Roman" w:hAnsi="Times New Roman" w:cs="Times New Roman"/>
              </w:rPr>
            </w:pPr>
            <w:r>
              <w:rPr>
                <w:rFonts w:ascii="Times New Roman" w:hAnsi="Times New Roman" w:cs="Times New Roman"/>
              </w:rPr>
              <w:t>33.5</w:t>
            </w:r>
          </w:p>
        </w:tc>
      </w:tr>
      <w:tr w:rsidR="00982B31" w14:paraId="74A49D95" w14:textId="77777777" w:rsidTr="00982B31">
        <w:tc>
          <w:tcPr>
            <w:tcW w:w="3005" w:type="dxa"/>
          </w:tcPr>
          <w:p w14:paraId="7D76423E" w14:textId="77777777" w:rsidR="00982B31" w:rsidRDefault="00982B31" w:rsidP="00982B31">
            <w:pPr>
              <w:jc w:val="both"/>
              <w:rPr>
                <w:rFonts w:ascii="Times New Roman" w:hAnsi="Times New Roman" w:cs="Times New Roman"/>
              </w:rPr>
            </w:pPr>
            <w:r>
              <w:rPr>
                <w:rFonts w:ascii="Times New Roman" w:hAnsi="Times New Roman" w:cs="Times New Roman"/>
              </w:rPr>
              <w:t>bio5</w:t>
            </w:r>
          </w:p>
        </w:tc>
        <w:tc>
          <w:tcPr>
            <w:tcW w:w="3005" w:type="dxa"/>
          </w:tcPr>
          <w:p w14:paraId="3CD82E3F" w14:textId="77777777" w:rsidR="00982B31" w:rsidRDefault="00982B31" w:rsidP="00982B31">
            <w:pPr>
              <w:jc w:val="both"/>
              <w:rPr>
                <w:rFonts w:ascii="Times New Roman" w:hAnsi="Times New Roman" w:cs="Times New Roman"/>
              </w:rPr>
            </w:pPr>
            <w:r>
              <w:rPr>
                <w:rFonts w:ascii="Times New Roman" w:hAnsi="Times New Roman" w:cs="Times New Roman"/>
              </w:rPr>
              <w:t>7.7</w:t>
            </w:r>
          </w:p>
        </w:tc>
        <w:tc>
          <w:tcPr>
            <w:tcW w:w="3006" w:type="dxa"/>
          </w:tcPr>
          <w:p w14:paraId="4C730C1D" w14:textId="77777777" w:rsidR="00982B31" w:rsidRDefault="00982B31" w:rsidP="00982B31">
            <w:pPr>
              <w:jc w:val="both"/>
              <w:rPr>
                <w:rFonts w:ascii="Times New Roman" w:hAnsi="Times New Roman" w:cs="Times New Roman"/>
              </w:rPr>
            </w:pPr>
            <w:r>
              <w:rPr>
                <w:rFonts w:ascii="Times New Roman" w:hAnsi="Times New Roman" w:cs="Times New Roman"/>
              </w:rPr>
              <w:t>0.7</w:t>
            </w:r>
          </w:p>
        </w:tc>
      </w:tr>
      <w:tr w:rsidR="00982B31" w14:paraId="3BC65CDF" w14:textId="77777777" w:rsidTr="00982B31">
        <w:tc>
          <w:tcPr>
            <w:tcW w:w="3005" w:type="dxa"/>
          </w:tcPr>
          <w:p w14:paraId="6A3E504B" w14:textId="77777777" w:rsidR="00982B31" w:rsidRDefault="00982B31" w:rsidP="00982B31">
            <w:pPr>
              <w:jc w:val="both"/>
              <w:rPr>
                <w:rFonts w:ascii="Times New Roman" w:hAnsi="Times New Roman" w:cs="Times New Roman"/>
              </w:rPr>
            </w:pPr>
            <w:r>
              <w:rPr>
                <w:rFonts w:ascii="Times New Roman" w:hAnsi="Times New Roman" w:cs="Times New Roman"/>
              </w:rPr>
              <w:t>bio7</w:t>
            </w:r>
          </w:p>
        </w:tc>
        <w:tc>
          <w:tcPr>
            <w:tcW w:w="3005" w:type="dxa"/>
          </w:tcPr>
          <w:p w14:paraId="739B2E20" w14:textId="77777777" w:rsidR="00982B31" w:rsidRDefault="00982B31" w:rsidP="00982B31">
            <w:pPr>
              <w:jc w:val="both"/>
              <w:rPr>
                <w:rFonts w:ascii="Times New Roman" w:hAnsi="Times New Roman" w:cs="Times New Roman"/>
              </w:rPr>
            </w:pPr>
            <w:r>
              <w:rPr>
                <w:rFonts w:ascii="Times New Roman" w:hAnsi="Times New Roman" w:cs="Times New Roman"/>
              </w:rPr>
              <w:t>3.4</w:t>
            </w:r>
          </w:p>
        </w:tc>
        <w:tc>
          <w:tcPr>
            <w:tcW w:w="3006" w:type="dxa"/>
          </w:tcPr>
          <w:p w14:paraId="23457C82" w14:textId="77777777" w:rsidR="00982B31" w:rsidRDefault="00982B31" w:rsidP="00982B31">
            <w:pPr>
              <w:jc w:val="both"/>
              <w:rPr>
                <w:rFonts w:ascii="Times New Roman" w:hAnsi="Times New Roman" w:cs="Times New Roman"/>
              </w:rPr>
            </w:pPr>
            <w:r>
              <w:rPr>
                <w:rFonts w:ascii="Times New Roman" w:hAnsi="Times New Roman" w:cs="Times New Roman"/>
              </w:rPr>
              <w:t>36.4</w:t>
            </w:r>
          </w:p>
        </w:tc>
      </w:tr>
      <w:tr w:rsidR="00982B31" w14:paraId="0DC847EB" w14:textId="77777777" w:rsidTr="00982B31">
        <w:tc>
          <w:tcPr>
            <w:tcW w:w="3005" w:type="dxa"/>
          </w:tcPr>
          <w:p w14:paraId="43E5A217" w14:textId="77777777" w:rsidR="00982B31" w:rsidRDefault="00982B31" w:rsidP="00982B31">
            <w:pPr>
              <w:jc w:val="both"/>
              <w:rPr>
                <w:rFonts w:ascii="Times New Roman" w:hAnsi="Times New Roman" w:cs="Times New Roman"/>
              </w:rPr>
            </w:pPr>
            <w:r>
              <w:rPr>
                <w:rFonts w:ascii="Times New Roman" w:hAnsi="Times New Roman" w:cs="Times New Roman"/>
              </w:rPr>
              <w:t>bio15</w:t>
            </w:r>
          </w:p>
        </w:tc>
        <w:tc>
          <w:tcPr>
            <w:tcW w:w="3005" w:type="dxa"/>
          </w:tcPr>
          <w:p w14:paraId="5B882658" w14:textId="77777777" w:rsidR="00982B31" w:rsidRDefault="00982B31" w:rsidP="00982B31">
            <w:pPr>
              <w:jc w:val="both"/>
              <w:rPr>
                <w:rFonts w:ascii="Times New Roman" w:hAnsi="Times New Roman" w:cs="Times New Roman"/>
              </w:rPr>
            </w:pPr>
            <w:r>
              <w:rPr>
                <w:rFonts w:ascii="Times New Roman" w:hAnsi="Times New Roman" w:cs="Times New Roman"/>
              </w:rPr>
              <w:t>1.6</w:t>
            </w:r>
          </w:p>
        </w:tc>
        <w:tc>
          <w:tcPr>
            <w:tcW w:w="3006" w:type="dxa"/>
          </w:tcPr>
          <w:p w14:paraId="1133DD95" w14:textId="77777777" w:rsidR="00982B31" w:rsidRDefault="00982B31" w:rsidP="00982B31">
            <w:pPr>
              <w:jc w:val="both"/>
              <w:rPr>
                <w:rFonts w:ascii="Times New Roman" w:hAnsi="Times New Roman" w:cs="Times New Roman"/>
              </w:rPr>
            </w:pPr>
            <w:r>
              <w:rPr>
                <w:rFonts w:ascii="Times New Roman" w:hAnsi="Times New Roman" w:cs="Times New Roman"/>
              </w:rPr>
              <w:t>6.7</w:t>
            </w:r>
          </w:p>
        </w:tc>
      </w:tr>
      <w:tr w:rsidR="00982B31" w14:paraId="614AE370" w14:textId="77777777" w:rsidTr="00982B31">
        <w:tc>
          <w:tcPr>
            <w:tcW w:w="3005" w:type="dxa"/>
          </w:tcPr>
          <w:p w14:paraId="577BAAFB" w14:textId="77777777" w:rsidR="00982B31" w:rsidRDefault="00982B31" w:rsidP="00982B31">
            <w:pPr>
              <w:jc w:val="both"/>
              <w:rPr>
                <w:rFonts w:ascii="Times New Roman" w:hAnsi="Times New Roman" w:cs="Times New Roman"/>
              </w:rPr>
            </w:pPr>
            <w:r>
              <w:rPr>
                <w:rFonts w:ascii="Times New Roman" w:hAnsi="Times New Roman" w:cs="Times New Roman"/>
              </w:rPr>
              <w:t>Slope</w:t>
            </w:r>
          </w:p>
        </w:tc>
        <w:tc>
          <w:tcPr>
            <w:tcW w:w="3005" w:type="dxa"/>
          </w:tcPr>
          <w:p w14:paraId="3E5B4A42" w14:textId="77777777" w:rsidR="00982B31" w:rsidRDefault="00982B31" w:rsidP="00982B31">
            <w:pPr>
              <w:jc w:val="both"/>
              <w:rPr>
                <w:rFonts w:ascii="Times New Roman" w:hAnsi="Times New Roman" w:cs="Times New Roman"/>
              </w:rPr>
            </w:pPr>
            <w:r>
              <w:rPr>
                <w:rFonts w:ascii="Times New Roman" w:hAnsi="Times New Roman" w:cs="Times New Roman"/>
              </w:rPr>
              <w:t>1.4</w:t>
            </w:r>
          </w:p>
        </w:tc>
        <w:tc>
          <w:tcPr>
            <w:tcW w:w="3006" w:type="dxa"/>
          </w:tcPr>
          <w:p w14:paraId="4F3C8F1B" w14:textId="77777777" w:rsidR="00982B31" w:rsidRDefault="00982B31" w:rsidP="00982B31">
            <w:pPr>
              <w:jc w:val="both"/>
              <w:rPr>
                <w:rFonts w:ascii="Times New Roman" w:hAnsi="Times New Roman" w:cs="Times New Roman"/>
              </w:rPr>
            </w:pPr>
            <w:r>
              <w:rPr>
                <w:rFonts w:ascii="Times New Roman" w:hAnsi="Times New Roman" w:cs="Times New Roman"/>
              </w:rPr>
              <w:t>1.3</w:t>
            </w:r>
          </w:p>
        </w:tc>
      </w:tr>
      <w:tr w:rsidR="00982B31" w14:paraId="5DD31D5B" w14:textId="77777777" w:rsidTr="00982B31">
        <w:tc>
          <w:tcPr>
            <w:tcW w:w="3005" w:type="dxa"/>
          </w:tcPr>
          <w:p w14:paraId="1104175B" w14:textId="77777777" w:rsidR="00982B31" w:rsidRDefault="00982B31" w:rsidP="00982B31">
            <w:pPr>
              <w:jc w:val="both"/>
              <w:rPr>
                <w:rFonts w:ascii="Times New Roman" w:hAnsi="Times New Roman" w:cs="Times New Roman"/>
              </w:rPr>
            </w:pPr>
            <w:r>
              <w:rPr>
                <w:rFonts w:ascii="Times New Roman" w:hAnsi="Times New Roman" w:cs="Times New Roman"/>
              </w:rPr>
              <w:t>Elevation (DEM)</w:t>
            </w:r>
          </w:p>
        </w:tc>
        <w:tc>
          <w:tcPr>
            <w:tcW w:w="3005" w:type="dxa"/>
          </w:tcPr>
          <w:p w14:paraId="6500C577" w14:textId="77777777" w:rsidR="00982B31" w:rsidRDefault="00982B31" w:rsidP="00982B31">
            <w:pPr>
              <w:jc w:val="both"/>
              <w:rPr>
                <w:rFonts w:ascii="Times New Roman" w:hAnsi="Times New Roman" w:cs="Times New Roman"/>
              </w:rPr>
            </w:pPr>
            <w:r>
              <w:rPr>
                <w:rFonts w:ascii="Times New Roman" w:hAnsi="Times New Roman" w:cs="Times New Roman"/>
              </w:rPr>
              <w:t>1.1</w:t>
            </w:r>
          </w:p>
        </w:tc>
        <w:tc>
          <w:tcPr>
            <w:tcW w:w="3006" w:type="dxa"/>
          </w:tcPr>
          <w:p w14:paraId="69A4440A" w14:textId="77777777" w:rsidR="00982B31" w:rsidRDefault="00982B31" w:rsidP="00982B31">
            <w:pPr>
              <w:jc w:val="both"/>
              <w:rPr>
                <w:rFonts w:ascii="Times New Roman" w:hAnsi="Times New Roman" w:cs="Times New Roman"/>
              </w:rPr>
            </w:pPr>
            <w:r>
              <w:rPr>
                <w:rFonts w:ascii="Times New Roman" w:hAnsi="Times New Roman" w:cs="Times New Roman"/>
              </w:rPr>
              <w:t>0.6</w:t>
            </w:r>
          </w:p>
        </w:tc>
      </w:tr>
      <w:tr w:rsidR="00982B31" w14:paraId="64E057B5" w14:textId="77777777" w:rsidTr="00982B31">
        <w:tc>
          <w:tcPr>
            <w:tcW w:w="3005" w:type="dxa"/>
          </w:tcPr>
          <w:p w14:paraId="071A1137" w14:textId="77777777" w:rsidR="00982B31" w:rsidRDefault="00982B31" w:rsidP="00982B31">
            <w:pPr>
              <w:jc w:val="both"/>
              <w:rPr>
                <w:rFonts w:ascii="Times New Roman" w:hAnsi="Times New Roman" w:cs="Times New Roman"/>
              </w:rPr>
            </w:pPr>
            <w:proofErr w:type="spellStart"/>
            <w:r>
              <w:rPr>
                <w:rFonts w:ascii="Times New Roman" w:hAnsi="Times New Roman" w:cs="Times New Roman"/>
              </w:rPr>
              <w:t>Eastness</w:t>
            </w:r>
            <w:proofErr w:type="spellEnd"/>
          </w:p>
        </w:tc>
        <w:tc>
          <w:tcPr>
            <w:tcW w:w="3005" w:type="dxa"/>
          </w:tcPr>
          <w:p w14:paraId="0E1326B4" w14:textId="77777777" w:rsidR="00982B31" w:rsidRDefault="00982B31" w:rsidP="00982B31">
            <w:pPr>
              <w:jc w:val="both"/>
              <w:rPr>
                <w:rFonts w:ascii="Times New Roman" w:hAnsi="Times New Roman" w:cs="Times New Roman"/>
              </w:rPr>
            </w:pPr>
            <w:r>
              <w:rPr>
                <w:rFonts w:ascii="Times New Roman" w:hAnsi="Times New Roman" w:cs="Times New Roman"/>
              </w:rPr>
              <w:t>0.5</w:t>
            </w:r>
          </w:p>
        </w:tc>
        <w:tc>
          <w:tcPr>
            <w:tcW w:w="3006" w:type="dxa"/>
          </w:tcPr>
          <w:p w14:paraId="0FC071F4" w14:textId="77777777" w:rsidR="00982B31" w:rsidRDefault="00982B31" w:rsidP="00982B31">
            <w:pPr>
              <w:jc w:val="both"/>
              <w:rPr>
                <w:rFonts w:ascii="Times New Roman" w:hAnsi="Times New Roman" w:cs="Times New Roman"/>
              </w:rPr>
            </w:pPr>
            <w:r>
              <w:rPr>
                <w:rFonts w:ascii="Times New Roman" w:hAnsi="Times New Roman" w:cs="Times New Roman"/>
              </w:rPr>
              <w:t>0.2</w:t>
            </w:r>
          </w:p>
        </w:tc>
      </w:tr>
      <w:tr w:rsidR="00982B31" w14:paraId="0623A2AA" w14:textId="77777777" w:rsidTr="00982B31">
        <w:tc>
          <w:tcPr>
            <w:tcW w:w="3005" w:type="dxa"/>
          </w:tcPr>
          <w:p w14:paraId="0D91B231" w14:textId="77777777" w:rsidR="00982B31" w:rsidRDefault="00982B31" w:rsidP="00982B31">
            <w:pPr>
              <w:jc w:val="both"/>
              <w:rPr>
                <w:rFonts w:ascii="Times New Roman" w:hAnsi="Times New Roman" w:cs="Times New Roman"/>
              </w:rPr>
            </w:pPr>
            <w:proofErr w:type="spellStart"/>
            <w:r>
              <w:rPr>
                <w:rFonts w:ascii="Times New Roman" w:hAnsi="Times New Roman" w:cs="Times New Roman"/>
              </w:rPr>
              <w:t>Northness</w:t>
            </w:r>
            <w:proofErr w:type="spellEnd"/>
          </w:p>
        </w:tc>
        <w:tc>
          <w:tcPr>
            <w:tcW w:w="3005" w:type="dxa"/>
          </w:tcPr>
          <w:p w14:paraId="296DC9CF" w14:textId="77777777" w:rsidR="00982B31" w:rsidRDefault="00982B31" w:rsidP="00982B31">
            <w:pPr>
              <w:jc w:val="both"/>
              <w:rPr>
                <w:rFonts w:ascii="Times New Roman" w:hAnsi="Times New Roman" w:cs="Times New Roman"/>
              </w:rPr>
            </w:pPr>
            <w:r>
              <w:rPr>
                <w:rFonts w:ascii="Times New Roman" w:hAnsi="Times New Roman" w:cs="Times New Roman"/>
              </w:rPr>
              <w:t>0.1</w:t>
            </w:r>
          </w:p>
        </w:tc>
        <w:tc>
          <w:tcPr>
            <w:tcW w:w="3006" w:type="dxa"/>
          </w:tcPr>
          <w:p w14:paraId="73E3D307" w14:textId="47EC6F8E" w:rsidR="00982B31" w:rsidRDefault="00982B31" w:rsidP="00982B31">
            <w:pPr>
              <w:jc w:val="both"/>
              <w:rPr>
                <w:rFonts w:ascii="Times New Roman" w:hAnsi="Times New Roman" w:cs="Times New Roman"/>
              </w:rPr>
            </w:pPr>
            <w:r>
              <w:rPr>
                <w:rFonts w:ascii="Times New Roman" w:hAnsi="Times New Roman" w:cs="Times New Roman"/>
              </w:rPr>
              <w:t>0.3</w:t>
            </w:r>
          </w:p>
        </w:tc>
      </w:tr>
    </w:tbl>
    <w:p w14:paraId="2D00DCB1" w14:textId="6D09E8B3" w:rsidR="0070595D" w:rsidRDefault="00982B31" w:rsidP="00982B31">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2AF40CCA" wp14:editId="3030FD7C">
            <wp:extent cx="3906520" cy="2109503"/>
            <wp:effectExtent l="0" t="0" r="0" b="5080"/>
            <wp:docPr id="1467016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16999" name="Picture 1467016999"/>
                    <pic:cNvPicPr/>
                  </pic:nvPicPr>
                  <pic:blipFill>
                    <a:blip r:embed="rId9">
                      <a:extLst>
                        <a:ext uri="{28A0092B-C50C-407E-A947-70E740481C1C}">
                          <a14:useLocalDpi xmlns:a14="http://schemas.microsoft.com/office/drawing/2010/main" val="0"/>
                        </a:ext>
                      </a:extLst>
                    </a:blip>
                    <a:stretch>
                      <a:fillRect/>
                    </a:stretch>
                  </pic:blipFill>
                  <pic:spPr>
                    <a:xfrm>
                      <a:off x="0" y="0"/>
                      <a:ext cx="3926015" cy="2120030"/>
                    </a:xfrm>
                    <a:prstGeom prst="rect">
                      <a:avLst/>
                    </a:prstGeom>
                  </pic:spPr>
                </pic:pic>
              </a:graphicData>
            </a:graphic>
          </wp:inline>
        </w:drawing>
      </w:r>
    </w:p>
    <w:p w14:paraId="7D560FB1" w14:textId="6D1A843D" w:rsidR="00982B31" w:rsidRDefault="00982B31" w:rsidP="003E6E1C">
      <w:pPr>
        <w:jc w:val="both"/>
        <w:rPr>
          <w:rFonts w:ascii="Times New Roman" w:hAnsi="Times New Roman" w:cs="Times New Roman"/>
        </w:rPr>
      </w:pPr>
      <w:r>
        <w:rPr>
          <w:rFonts w:ascii="Times New Roman" w:hAnsi="Times New Roman" w:cs="Times New Roman"/>
        </w:rPr>
        <w:t xml:space="preserve">                          Figure 3. Results of </w:t>
      </w:r>
      <w:proofErr w:type="spellStart"/>
      <w:r>
        <w:rPr>
          <w:rFonts w:ascii="Times New Roman" w:hAnsi="Times New Roman" w:cs="Times New Roman"/>
        </w:rPr>
        <w:t>jackknife</w:t>
      </w:r>
      <w:proofErr w:type="spellEnd"/>
      <w:r>
        <w:rPr>
          <w:rFonts w:ascii="Times New Roman" w:hAnsi="Times New Roman" w:cs="Times New Roman"/>
        </w:rPr>
        <w:t xml:space="preserve"> test of variable importance</w:t>
      </w:r>
    </w:p>
    <w:p w14:paraId="6DE2C2EB" w14:textId="77777777" w:rsidR="00965D29" w:rsidRPr="003E6E1C" w:rsidRDefault="00965D29" w:rsidP="003E6E1C">
      <w:pPr>
        <w:jc w:val="both"/>
        <w:rPr>
          <w:rFonts w:ascii="Times New Roman" w:hAnsi="Times New Roman" w:cs="Times New Roman"/>
        </w:rPr>
      </w:pPr>
    </w:p>
    <w:p w14:paraId="7186EF78" w14:textId="32067319" w:rsidR="005221AB" w:rsidRPr="0070595D" w:rsidRDefault="005221AB" w:rsidP="0070595D">
      <w:pPr>
        <w:pStyle w:val="ListParagraph"/>
        <w:numPr>
          <w:ilvl w:val="1"/>
          <w:numId w:val="2"/>
        </w:numPr>
        <w:jc w:val="both"/>
        <w:rPr>
          <w:rFonts w:ascii="Times New Roman" w:hAnsi="Times New Roman" w:cs="Times New Roman"/>
        </w:rPr>
      </w:pPr>
      <w:r w:rsidRPr="0070595D">
        <w:rPr>
          <w:rFonts w:ascii="Times New Roman" w:hAnsi="Times New Roman" w:cs="Times New Roman"/>
        </w:rPr>
        <w:t>Projected Impacts of Climate Change on Black Pepper Distribution</w:t>
      </w:r>
    </w:p>
    <w:p w14:paraId="609DBC49" w14:textId="2EB81E3E" w:rsidR="005221AB" w:rsidRPr="00672DF0" w:rsidRDefault="005221AB" w:rsidP="00672DF0">
      <w:pPr>
        <w:pStyle w:val="ListParagraph"/>
        <w:numPr>
          <w:ilvl w:val="2"/>
          <w:numId w:val="2"/>
        </w:numPr>
        <w:jc w:val="both"/>
        <w:rPr>
          <w:rFonts w:ascii="Times New Roman" w:hAnsi="Times New Roman" w:cs="Times New Roman"/>
        </w:rPr>
      </w:pPr>
      <w:r w:rsidRPr="00672DF0">
        <w:rPr>
          <w:rFonts w:ascii="Times New Roman" w:hAnsi="Times New Roman" w:cs="Times New Roman"/>
        </w:rPr>
        <w:t>Baseline suitability (1981-2010)</w:t>
      </w:r>
    </w:p>
    <w:p w14:paraId="1E4D39BA" w14:textId="10E193EA"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Presently, most of Kerala is suitable for black pepper cultivation, with highest suitable areas falling under Southern High Hills (AEU 14, 5257.9 km²), Northern High Hills (AEU 15, 5041.2 km²), Northern Laterite (AEU 11, 4600.0 km²), Southern Coastal Laterites (AEU 9, 3749.4 km²), Southern and Central Foothills (AEU 12, 2655.5 km²), </w:t>
      </w:r>
      <w:proofErr w:type="spellStart"/>
      <w:r w:rsidR="00965D29">
        <w:rPr>
          <w:rFonts w:ascii="Times New Roman" w:hAnsi="Times New Roman" w:cs="Times New Roman"/>
        </w:rPr>
        <w:t>K</w:t>
      </w:r>
      <w:r w:rsidRPr="005221AB">
        <w:rPr>
          <w:rFonts w:ascii="Times New Roman" w:hAnsi="Times New Roman" w:cs="Times New Roman"/>
        </w:rPr>
        <w:t>umily</w:t>
      </w:r>
      <w:proofErr w:type="spellEnd"/>
      <w:r w:rsidRPr="005221AB">
        <w:rPr>
          <w:rFonts w:ascii="Times New Roman" w:hAnsi="Times New Roman" w:cs="Times New Roman"/>
        </w:rPr>
        <w:t xml:space="preserve"> hills (AEU16, 1320.91km²). These AEUs have a high proportion of their total area classified as suitable. In contrast, the smaller hills and valleys like </w:t>
      </w:r>
      <w:proofErr w:type="spellStart"/>
      <w:r w:rsidRPr="005221AB">
        <w:rPr>
          <w:rFonts w:ascii="Times New Roman" w:hAnsi="Times New Roman" w:cs="Times New Roman"/>
        </w:rPr>
        <w:t>Marayur</w:t>
      </w:r>
      <w:proofErr w:type="spellEnd"/>
      <w:r w:rsidRPr="005221AB">
        <w:rPr>
          <w:rFonts w:ascii="Times New Roman" w:hAnsi="Times New Roman" w:cs="Times New Roman"/>
        </w:rPr>
        <w:t xml:space="preserve"> Hill, occupying areas in the rain shadow regions, represent low or very low areas, such as AEU 17, 158.5 km² out of 298.4 km², having a much larger fraction of unsuitable area, 46.89%. Waterlogged basins, such as </w:t>
      </w:r>
      <w:proofErr w:type="spellStart"/>
      <w:r w:rsidRPr="005221AB">
        <w:rPr>
          <w:rFonts w:ascii="Times New Roman" w:hAnsi="Times New Roman" w:cs="Times New Roman"/>
        </w:rPr>
        <w:t>Pokkali</w:t>
      </w:r>
      <w:proofErr w:type="spellEnd"/>
      <w:r w:rsidRPr="005221AB">
        <w:rPr>
          <w:rFonts w:ascii="Times New Roman" w:hAnsi="Times New Roman" w:cs="Times New Roman"/>
        </w:rPr>
        <w:t xml:space="preserve"> and </w:t>
      </w:r>
      <w:proofErr w:type="spellStart"/>
      <w:r w:rsidRPr="005221AB">
        <w:rPr>
          <w:rFonts w:ascii="Times New Roman" w:hAnsi="Times New Roman" w:cs="Times New Roman"/>
        </w:rPr>
        <w:t>Kaipad</w:t>
      </w:r>
      <w:proofErr w:type="spellEnd"/>
      <w:r w:rsidRPr="005221AB">
        <w:rPr>
          <w:rFonts w:ascii="Times New Roman" w:hAnsi="Times New Roman" w:cs="Times New Roman"/>
        </w:rPr>
        <w:t xml:space="preserve"> lands, also exhibit reduced suitability, with larger percentages of unsuitable area, such as </w:t>
      </w:r>
      <w:proofErr w:type="spellStart"/>
      <w:r w:rsidRPr="005221AB">
        <w:rPr>
          <w:rFonts w:ascii="Times New Roman" w:hAnsi="Times New Roman" w:cs="Times New Roman"/>
        </w:rPr>
        <w:t>Pokkali</w:t>
      </w:r>
      <w:proofErr w:type="spellEnd"/>
      <w:r w:rsidRPr="005221AB">
        <w:rPr>
          <w:rFonts w:ascii="Times New Roman" w:hAnsi="Times New Roman" w:cs="Times New Roman"/>
        </w:rPr>
        <w:t xml:space="preserve"> Lands at 36.5% unsuitable. These AEUs are likely beset by problems such as waterlogging, salinity, or extreme variations in hydrology that make cultivation of black pepper difficult despite suitable temperature regimes. This reflects the reasons why flat, water-prone areas today are relatively less suitable, despite </w:t>
      </w:r>
      <w:proofErr w:type="spellStart"/>
      <w:r w:rsidRPr="005221AB">
        <w:rPr>
          <w:rFonts w:ascii="Times New Roman" w:hAnsi="Times New Roman" w:cs="Times New Roman"/>
        </w:rPr>
        <w:t>favorable</w:t>
      </w:r>
      <w:proofErr w:type="spellEnd"/>
      <w:r w:rsidRPr="005221AB">
        <w:rPr>
          <w:rFonts w:ascii="Times New Roman" w:hAnsi="Times New Roman" w:cs="Times New Roman"/>
        </w:rPr>
        <w:t xml:space="preserve"> climatic variables.</w:t>
      </w:r>
    </w:p>
    <w:p w14:paraId="13AC5C0E" w14:textId="6D89321C" w:rsidR="005221AB" w:rsidRPr="00672DF0" w:rsidRDefault="005221AB" w:rsidP="00672DF0">
      <w:pPr>
        <w:pStyle w:val="ListParagraph"/>
        <w:numPr>
          <w:ilvl w:val="2"/>
          <w:numId w:val="2"/>
        </w:numPr>
        <w:jc w:val="both"/>
        <w:rPr>
          <w:rFonts w:ascii="Times New Roman" w:hAnsi="Times New Roman" w:cs="Times New Roman"/>
        </w:rPr>
      </w:pPr>
      <w:r w:rsidRPr="00672DF0">
        <w:rPr>
          <w:rFonts w:ascii="Times New Roman" w:hAnsi="Times New Roman" w:cs="Times New Roman"/>
        </w:rPr>
        <w:t>Future scenarios</w:t>
      </w:r>
    </w:p>
    <w:p w14:paraId="56544380"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In this mid-century scenario of the SSP1-2.6 (2041–2070), black pepper is highly suitable in a wide area in Kerala because it has </w:t>
      </w:r>
      <w:proofErr w:type="spellStart"/>
      <w:r w:rsidRPr="005221AB">
        <w:rPr>
          <w:rFonts w:ascii="Times New Roman" w:hAnsi="Times New Roman" w:cs="Times New Roman"/>
        </w:rPr>
        <w:t>favorable</w:t>
      </w:r>
      <w:proofErr w:type="spellEnd"/>
      <w:r w:rsidRPr="005221AB">
        <w:rPr>
          <w:rFonts w:ascii="Times New Roman" w:hAnsi="Times New Roman" w:cs="Times New Roman"/>
        </w:rPr>
        <w:t xml:space="preserve"> bioclimatic factors, including moderate annual mean temperature (bio1 ~ 26.5–27°C), maximal warm month temperature (bio5 ~30–33°C), substantial precipitation during the wettest month (bio13 &gt; 660 mm), moderate rainfall seasonality (bio15 ~790–950), and adequate rainfall during the driest quarter (bio17 &gt; 440 mm). These areas consist of AEUs such as the Northern and Southern High Hills (AEUs 14, 15), Northern Laterite (AEU 11), and Southern &amp; Central Foothills (AEU 12), which collectively have the largest current and projected suitable cultivation zones.</w:t>
      </w:r>
    </w:p>
    <w:p w14:paraId="79AE6B19"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Suitability declines markedly in lowland AEUs, such as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and coastal plains, where climatic factors increase temperature bio1 and bio5 beyond 30°C and rainfall seasonality is higher (bio15), pushing the conditions outside optimal ranges for black pepper. These areas </w:t>
      </w:r>
      <w:r w:rsidRPr="005221AB">
        <w:rPr>
          <w:rFonts w:ascii="Times New Roman" w:hAnsi="Times New Roman" w:cs="Times New Roman"/>
        </w:rPr>
        <w:lastRenderedPageBreak/>
        <w:t>have recorded a considerable loss of suitability area, thus corroborating the shifts that are driven by climatic factors. However, there are some scattered gains in mid-elevation zones where borderline current conditions are slightly improved by warming trends.</w:t>
      </w:r>
    </w:p>
    <w:p w14:paraId="334FA9F9" w14:textId="456EFAED"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Topographical factors of moderate elevation and gentle slopes in </w:t>
      </w:r>
      <w:r w:rsidR="00BC0004" w:rsidRPr="005221AB">
        <w:rPr>
          <w:rFonts w:ascii="Times New Roman" w:hAnsi="Times New Roman" w:cs="Times New Roman"/>
        </w:rPr>
        <w:t>favoured</w:t>
      </w:r>
      <w:r w:rsidRPr="005221AB">
        <w:rPr>
          <w:rFonts w:ascii="Times New Roman" w:hAnsi="Times New Roman" w:cs="Times New Roman"/>
        </w:rPr>
        <w:t xml:space="preserve"> AEUs offer beneficial microclimate buffering, which allows for the retention of soil moisture and avoidance of waterlogging, further supporting suitable conditions.</w:t>
      </w:r>
    </w:p>
    <w:p w14:paraId="5BF5330F" w14:textId="77777777"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In SSP370, for the mid-century climate scenario, black pepper suitability contracts drastically in Kerala compared to the present-day distribution. Major traditional pepper growing AEUs along the coast and lowlands, like Southern Coastal Plain (AEU 1), Northern Coastal Plain (AEU 2), and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become nearly unsuitable, with negligible future suitable area between 0 to 0.85 km². Losses are quite heavy in these regions: over 542 km² in AEU 1 and 1251 km² in AEU 2.</w:t>
      </w:r>
    </w:p>
    <w:p w14:paraId="68B4ADB3" w14:textId="30EDC7DD" w:rsidR="005221AB" w:rsidRPr="005221AB" w:rsidRDefault="005221AB" w:rsidP="005221AB">
      <w:pPr>
        <w:jc w:val="both"/>
        <w:rPr>
          <w:rFonts w:ascii="Times New Roman" w:hAnsi="Times New Roman" w:cs="Times New Roman"/>
        </w:rPr>
      </w:pPr>
      <w:r w:rsidRPr="005221AB">
        <w:rPr>
          <w:rFonts w:ascii="Times New Roman" w:hAnsi="Times New Roman" w:cs="Times New Roman"/>
        </w:rPr>
        <w:t xml:space="preserve">In contrast, few AEUs record small gains or persistence of suitability; it is most interior hill AEUs that show limited but nonzero area gains. In coastal AEUs, maximum temperatures are rising (bio5), and rainfall seasonality is increasing (bio15) with declines in dry-quarter precipitation (bio17), undermining black pepper's growth. On the other hand, limited gains in certain interior or higher altitude AEUs (High hills) are associated with warming temperatures that are bringing bio1 and bio5 into a more </w:t>
      </w:r>
      <w:r w:rsidR="00BC0004" w:rsidRPr="005221AB">
        <w:rPr>
          <w:rFonts w:ascii="Times New Roman" w:hAnsi="Times New Roman" w:cs="Times New Roman"/>
        </w:rPr>
        <w:t>favourable</w:t>
      </w:r>
      <w:r w:rsidRPr="005221AB">
        <w:rPr>
          <w:rFonts w:ascii="Times New Roman" w:hAnsi="Times New Roman" w:cs="Times New Roman"/>
        </w:rPr>
        <w:t xml:space="preserve"> range for pepper physiology.</w:t>
      </w:r>
    </w:p>
    <w:p w14:paraId="76789167" w14:textId="77777777" w:rsidR="005221AB" w:rsidRDefault="005221AB" w:rsidP="005221AB">
      <w:pPr>
        <w:jc w:val="both"/>
        <w:rPr>
          <w:rFonts w:ascii="Times New Roman" w:hAnsi="Times New Roman" w:cs="Times New Roman"/>
        </w:rPr>
      </w:pPr>
      <w:r w:rsidRPr="005221AB">
        <w:rPr>
          <w:rFonts w:ascii="Times New Roman" w:hAnsi="Times New Roman" w:cs="Times New Roman"/>
        </w:rPr>
        <w:t xml:space="preserve">Mid-century (2041–2070) projections indicate the drastically contracted suitability of black pepper across Kerala in the event of a high emission SSP585 scenario. The coastal and lowland AEUs are projected to experience complete loss of suitability. Zero future suitability can be seen in the southern Coastal Plain (AEU 1), Northern Coastal Plain (AEU 2), </w:t>
      </w:r>
      <w:proofErr w:type="spellStart"/>
      <w:r w:rsidRPr="005221AB">
        <w:rPr>
          <w:rFonts w:ascii="Times New Roman" w:hAnsi="Times New Roman" w:cs="Times New Roman"/>
        </w:rPr>
        <w:t>Onattukara</w:t>
      </w:r>
      <w:proofErr w:type="spellEnd"/>
      <w:r w:rsidRPr="005221AB">
        <w:rPr>
          <w:rFonts w:ascii="Times New Roman" w:hAnsi="Times New Roman" w:cs="Times New Roman"/>
        </w:rPr>
        <w:t xml:space="preserve"> Sandy Plain (AEU 3), and </w:t>
      </w:r>
      <w:proofErr w:type="spellStart"/>
      <w:r w:rsidRPr="005221AB">
        <w:rPr>
          <w:rFonts w:ascii="Times New Roman" w:hAnsi="Times New Roman" w:cs="Times New Roman"/>
        </w:rPr>
        <w:t>Kuttanad</w:t>
      </w:r>
      <w:proofErr w:type="spellEnd"/>
      <w:r w:rsidRPr="005221AB">
        <w:rPr>
          <w:rFonts w:ascii="Times New Roman" w:hAnsi="Times New Roman" w:cs="Times New Roman"/>
        </w:rPr>
        <w:t xml:space="preserve"> (AEU 4) with totals ranging from 536 to 1,313 km². These losses in suitability are driven by elevated annual mean temperatures that lie above the optimum for black pepper. Maximum temperatures of the warmest month reach 32.1–34.8°C, while rainfall seasonality remains high with precipitation in the driest quarter reaching as low as 267–450 mm. Laterite and foothill zones are also projected to experience severe losses in suitability. Northern and southern Foothills lose 3,733.147 km², Southern coastal Laterites lose 3,749.423 km², and the northern laterites lose 4,534.94 km². Suitability retention or gain among hills and high-elevation AEUs under SSP585 can be seen. Southern high hills (AEU 14) have maintained the largest suitable area at 3,231.17 km² with gains of 101.94 km². Bio1 ranges from 24.56 to 26.28°C and bio5 ranges from 32 to 34°C. The Northern high hills maintain 2,498.76 km² with 66.82 km² of gains. </w:t>
      </w:r>
      <w:proofErr w:type="spellStart"/>
      <w:r w:rsidRPr="005221AB">
        <w:rPr>
          <w:rFonts w:ascii="Times New Roman" w:hAnsi="Times New Roman" w:cs="Times New Roman"/>
        </w:rPr>
        <w:t>Kumily</w:t>
      </w:r>
      <w:proofErr w:type="spellEnd"/>
      <w:r w:rsidRPr="005221AB">
        <w:rPr>
          <w:rFonts w:ascii="Times New Roman" w:hAnsi="Times New Roman" w:cs="Times New Roman"/>
        </w:rPr>
        <w:t xml:space="preserve"> hills (AEU 19) show 1,260.94 km² of suitable area with minimal gains of 5.996 km². Wayanad Central Hills (AEU 20) and the Wayanad eastern hills (AEU 21) are resilient with 739.26 and 627 km², respectively.</w:t>
      </w:r>
    </w:p>
    <w:p w14:paraId="4FA72181" w14:textId="5BC701AC"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Under the low-emission SSP126 scenario for late-century, black pepper suitability in Kerala presents relatively better outcomes compared to higher emission scenarios. The primary suitable regions concentrate in Kerala's high-altitude and midland zones which includes Southern High Hills (AEU 14): Maintains the largest suitable area at 3,913.04 km² with substantial gains of 376.91 km², driven by </w:t>
      </w:r>
      <w:r w:rsidR="00BC0004" w:rsidRPr="00672DF0">
        <w:rPr>
          <w:rFonts w:ascii="Times New Roman" w:hAnsi="Times New Roman" w:cs="Times New Roman"/>
        </w:rPr>
        <w:t>favourable</w:t>
      </w:r>
      <w:r w:rsidRPr="00672DF0">
        <w:rPr>
          <w:rFonts w:ascii="Times New Roman" w:hAnsi="Times New Roman" w:cs="Times New Roman"/>
        </w:rPr>
        <w:t xml:space="preserve"> thermal conditions (bio1: 24.67°C, bio5: 32.69°C) and excellent moisture availability (bio17: 1,511.82 mm). Northern High Hills (AEU </w:t>
      </w:r>
      <w:r w:rsidRPr="00672DF0">
        <w:rPr>
          <w:rFonts w:ascii="Times New Roman" w:hAnsi="Times New Roman" w:cs="Times New Roman"/>
        </w:rPr>
        <w:lastRenderedPageBreak/>
        <w:t xml:space="preserve">15): Retains 3,863.35 km² suitable area with gains of 108.79 km², supported by moderate temperatures (bio1: 26.69°C) and adequate dry season precipitation (bio17: 474.19 mm). Northern Laterite (AEU 11): Shows 1,890.56 km² suitable area, representing significant potential despite losses of 2,704.35 km². </w:t>
      </w:r>
      <w:proofErr w:type="spellStart"/>
      <w:r w:rsidRPr="00672DF0">
        <w:rPr>
          <w:rFonts w:ascii="Times New Roman" w:hAnsi="Times New Roman" w:cs="Times New Roman"/>
        </w:rPr>
        <w:t>Kumily</w:t>
      </w:r>
      <w:proofErr w:type="spellEnd"/>
      <w:r w:rsidRPr="00672DF0">
        <w:rPr>
          <w:rFonts w:ascii="Times New Roman" w:hAnsi="Times New Roman" w:cs="Times New Roman"/>
        </w:rPr>
        <w:t xml:space="preserve"> Hills (AEU 16): Demonstrates strong suitability with 1,294.35 km² and modest gains (36.83 km²), reflecting cooler microclimates (bio1: 22.52°C, bio5: 30.61°C). The projection indicates a pronounced elevation-dependent redistribution, with high-altitude zones (&gt;1,000 m elevation) becoming the sole viable cultivation zones. Southern and Northern High Hills together account for 7,776 km² (53.5% of total suitable area), establishing them as critical resilience zones. This elevation-driven pattern reflects topographic modulation of temperature and precipitation, providing climatic buffering unavailable in lowlands.</w:t>
      </w:r>
    </w:p>
    <w:p w14:paraId="59BD3F55" w14:textId="77777777" w:rsidR="00672DF0" w:rsidRPr="00672DF0" w:rsidRDefault="00672DF0" w:rsidP="00672DF0">
      <w:pPr>
        <w:jc w:val="both"/>
        <w:rPr>
          <w:rFonts w:ascii="Times New Roman" w:hAnsi="Times New Roman" w:cs="Times New Roman"/>
        </w:rPr>
      </w:pPr>
      <w:r w:rsidRPr="00672DF0">
        <w:rPr>
          <w:rFonts w:ascii="Times New Roman" w:hAnsi="Times New Roman" w:cs="Times New Roman"/>
        </w:rPr>
        <w:t>In the late century, under the intermediate-emission SSP370 scenario, black pepper suitability in Kerala experiences severe contraction. In all, the total suitable area is projected to be 8,058.2 km², with modest gains of 364.06 km²; only 5 AEUs (14, 15, 16, 20, 21) retain any meaningful suitability. While temperature effects are rather broad on suitability, moisture limitations show extreme spatial variability. Coastal Plains and Palakkad present bio17 values &lt;450 mm, unviable, while Highland zones maintain &gt;1,100 mm, viable. This geographic specificity underlines that future adaptation needs to focus on high-elevation, high-precipitation zones, with limited alternatives in lowland cultivation without large investments in irrigation infrastructure.</w:t>
      </w:r>
    </w:p>
    <w:p w14:paraId="3A99EFAE" w14:textId="596DFCE7" w:rsidR="001E590F" w:rsidRPr="00106820" w:rsidRDefault="00672DF0" w:rsidP="001E590F">
      <w:pPr>
        <w:jc w:val="both"/>
        <w:rPr>
          <w:rFonts w:ascii="Times New Roman" w:hAnsi="Times New Roman" w:cs="Times New Roman"/>
        </w:rPr>
      </w:pPr>
      <w:r w:rsidRPr="00672DF0">
        <w:rPr>
          <w:rFonts w:ascii="Times New Roman" w:hAnsi="Times New Roman" w:cs="Times New Roman"/>
        </w:rPr>
        <w:t xml:space="preserve">Under the high-emission SSP585 scenario for late-century (2071–2100), black pepper suitability in Kerala experiences catastrophic collapse. The projected total suitable area is 5,126.01 km² with minimal gains of 209.02 km². Only Southern High Hills (1,662 km²) and Northern High Hills (1,446 km²) retain meaningful suitability, jointly accounting for 60.6% of the remaining viable area. This extreme geographic concentration means that black pepper cultivation becomes economically unviable across 95% of current growing regions. Farmers who cannot access high-elevation zones face existential economic collapse. Whereas in previous analyses, suitability was codetermined by both temperature and moisture, under </w:t>
      </w:r>
      <w:r w:rsidR="001E590F" w:rsidRPr="00106820">
        <w:rPr>
          <w:rFonts w:ascii="Times New Roman" w:hAnsi="Times New Roman" w:cs="Times New Roman"/>
        </w:rPr>
        <w:t>SSP585 reveals moisture as the primary constraint in coastal zones (bio17= 262</w:t>
      </w:r>
      <w:r w:rsidR="001E590F">
        <w:rPr>
          <w:rFonts w:ascii="Times New Roman" w:hAnsi="Times New Roman" w:cs="Times New Roman"/>
        </w:rPr>
        <w:t xml:space="preserve"> - </w:t>
      </w:r>
      <w:r w:rsidR="001E590F" w:rsidRPr="00106820">
        <w:rPr>
          <w:rFonts w:ascii="Times New Roman" w:hAnsi="Times New Roman" w:cs="Times New Roman"/>
        </w:rPr>
        <w:t>445 mm = severe drought), while even temperature-resilient highland zones become moisture-limited (bio17 declines to 413–425 mm in some zones). Remaining zones maintain viability only because of exceptional moisture concentrations (bio17 &gt; 1,200 mm in Southern High Hills).</w:t>
      </w:r>
    </w:p>
    <w:p w14:paraId="0B383778" w14:textId="07B12652" w:rsidR="00672DF0" w:rsidRPr="001E590F" w:rsidRDefault="00672DF0" w:rsidP="001E590F">
      <w:pPr>
        <w:pStyle w:val="ListParagraph"/>
        <w:numPr>
          <w:ilvl w:val="0"/>
          <w:numId w:val="2"/>
        </w:numPr>
        <w:jc w:val="both"/>
        <w:rPr>
          <w:rFonts w:ascii="Times New Roman" w:hAnsi="Times New Roman" w:cs="Times New Roman"/>
        </w:rPr>
      </w:pPr>
      <w:r w:rsidRPr="001E590F">
        <w:rPr>
          <w:rFonts w:ascii="Times New Roman" w:hAnsi="Times New Roman" w:cs="Times New Roman"/>
        </w:rPr>
        <w:t>Conclusion</w:t>
      </w:r>
    </w:p>
    <w:p w14:paraId="06B4B743" w14:textId="31316CAD"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In this study, the </w:t>
      </w:r>
      <w:proofErr w:type="spellStart"/>
      <w:r w:rsidRPr="00672DF0">
        <w:rPr>
          <w:rFonts w:ascii="Times New Roman" w:hAnsi="Times New Roman" w:cs="Times New Roman"/>
        </w:rPr>
        <w:t>MaxEnt</w:t>
      </w:r>
      <w:proofErr w:type="spellEnd"/>
      <w:r w:rsidRPr="00672DF0">
        <w:rPr>
          <w:rFonts w:ascii="Times New Roman" w:hAnsi="Times New Roman" w:cs="Times New Roman"/>
        </w:rPr>
        <w:t xml:space="preserve"> </w:t>
      </w:r>
      <w:r w:rsidR="00340D31" w:rsidRPr="00672DF0">
        <w:rPr>
          <w:rFonts w:ascii="Times New Roman" w:hAnsi="Times New Roman" w:cs="Times New Roman"/>
        </w:rPr>
        <w:t>modelling</w:t>
      </w:r>
      <w:r w:rsidRPr="00672DF0">
        <w:rPr>
          <w:rFonts w:ascii="Times New Roman" w:hAnsi="Times New Roman" w:cs="Times New Roman"/>
        </w:rPr>
        <w:t xml:space="preserve"> framework was used to evaluate current and future (under multiple climate change scenarios) climatic suitability maps for black pepper </w:t>
      </w:r>
      <w:r w:rsidRPr="00965D29">
        <w:rPr>
          <w:rFonts w:ascii="Times New Roman" w:hAnsi="Times New Roman" w:cs="Times New Roman"/>
          <w:i/>
          <w:iCs/>
        </w:rPr>
        <w:t>Piper nigrum</w:t>
      </w:r>
      <w:r w:rsidRPr="00672DF0">
        <w:rPr>
          <w:rFonts w:ascii="Times New Roman" w:hAnsi="Times New Roman" w:cs="Times New Roman"/>
        </w:rPr>
        <w:t xml:space="preserve"> L across Kerala's 23 </w:t>
      </w:r>
      <w:r w:rsidR="00340D31" w:rsidRPr="00672DF0">
        <w:rPr>
          <w:rFonts w:ascii="Times New Roman" w:hAnsi="Times New Roman" w:cs="Times New Roman"/>
        </w:rPr>
        <w:t>Argo</w:t>
      </w:r>
      <w:r w:rsidRPr="00672DF0">
        <w:rPr>
          <w:rFonts w:ascii="Times New Roman" w:hAnsi="Times New Roman" w:cs="Times New Roman"/>
        </w:rPr>
        <w:t>-Ecological Units. The results clearly indicate that though a considerable part of the state is suitable for raising pepper, especially in areas falling in mid- and high-elevation regions, the projected climate change would alter the spatial pattern of suitability significantly.</w:t>
      </w:r>
    </w:p>
    <w:p w14:paraId="5DE72F73" w14:textId="79E402F3" w:rsidR="00672DF0" w:rsidRPr="00672DF0" w:rsidRDefault="00672DF0" w:rsidP="00672DF0">
      <w:pPr>
        <w:jc w:val="both"/>
        <w:rPr>
          <w:rFonts w:ascii="Times New Roman" w:hAnsi="Times New Roman" w:cs="Times New Roman"/>
        </w:rPr>
      </w:pPr>
      <w:r w:rsidRPr="00672DF0">
        <w:rPr>
          <w:rFonts w:ascii="Times New Roman" w:hAnsi="Times New Roman" w:cs="Times New Roman"/>
        </w:rPr>
        <w:t xml:space="preserve">Results under mid-century and end-century projections, especially the high-emission SSP3–7.0 and SSP5–8.5 scenarios, indicate that Kerala will face a significant contraction of suitable </w:t>
      </w:r>
      <w:r w:rsidRPr="00672DF0">
        <w:rPr>
          <w:rFonts w:ascii="Times New Roman" w:hAnsi="Times New Roman" w:cs="Times New Roman"/>
        </w:rPr>
        <w:lastRenderedPageBreak/>
        <w:t xml:space="preserve">areas. Temperature rise and increased seasonality in rainfall are expected to drive the loss of suitability in the lowland and coastal AEUs. Contrasting this, high-elevation AEUs, especially the Southern and Northern High Hills (AEUs 14 and 15), consistently appear as climatic refugia with </w:t>
      </w:r>
      <w:r w:rsidR="00340D31" w:rsidRPr="00672DF0">
        <w:rPr>
          <w:rFonts w:ascii="Times New Roman" w:hAnsi="Times New Roman" w:cs="Times New Roman"/>
        </w:rPr>
        <w:t>favourable</w:t>
      </w:r>
      <w:r w:rsidRPr="00672DF0">
        <w:rPr>
          <w:rFonts w:ascii="Times New Roman" w:hAnsi="Times New Roman" w:cs="Times New Roman"/>
        </w:rPr>
        <w:t xml:space="preserve"> thermal and moisture conditions.</w:t>
      </w:r>
    </w:p>
    <w:p w14:paraId="09142BC4" w14:textId="77777777" w:rsidR="00672DF0" w:rsidRPr="00672DF0" w:rsidRDefault="00672DF0" w:rsidP="00672DF0">
      <w:pPr>
        <w:jc w:val="both"/>
        <w:rPr>
          <w:rFonts w:ascii="Times New Roman" w:hAnsi="Times New Roman" w:cs="Times New Roman"/>
        </w:rPr>
      </w:pPr>
      <w:r w:rsidRPr="00672DF0">
        <w:rPr>
          <w:rFonts w:ascii="Times New Roman" w:hAnsi="Times New Roman" w:cs="Times New Roman"/>
        </w:rPr>
        <w:t>Analysis reveals that bio17, the precipitation of the driest quarter, and bio1, bio5, and bio7, representing annual thermal stability, are among the most important environmental predictors of pepper suitability. Increased dry-season moisture deficits, even in previously wet areas, may become the dominant constraint to pepper under future climate regimes.</w:t>
      </w:r>
    </w:p>
    <w:p w14:paraId="35519610" w14:textId="35429D5B" w:rsidR="00534A0F" w:rsidRDefault="00672DF0" w:rsidP="00672DF0">
      <w:pPr>
        <w:jc w:val="both"/>
        <w:rPr>
          <w:rFonts w:ascii="Times New Roman" w:hAnsi="Times New Roman" w:cs="Times New Roman"/>
        </w:rPr>
      </w:pPr>
      <w:r w:rsidRPr="00672DF0">
        <w:rPr>
          <w:rFonts w:ascii="Times New Roman" w:hAnsi="Times New Roman" w:cs="Times New Roman"/>
        </w:rPr>
        <w:t>From a policy and planning perspective, these findings underline the need for proactive adaptation strategies, including the promotion of climate-resilient cultivars, elevation-specific planting guidelines, microclimate management through agroforestry, and region-specific agroecological zoning approaches. High-resolution spatial mode</w:t>
      </w:r>
      <w:r w:rsidR="00340D31">
        <w:rPr>
          <w:rFonts w:ascii="Times New Roman" w:hAnsi="Times New Roman" w:cs="Times New Roman"/>
        </w:rPr>
        <w:t>l</w:t>
      </w:r>
      <w:r w:rsidRPr="00672DF0">
        <w:rPr>
          <w:rFonts w:ascii="Times New Roman" w:hAnsi="Times New Roman" w:cs="Times New Roman"/>
        </w:rPr>
        <w:t>ling, as used in this study, provides a key decision-support tool for securing the long-term sustainability of black pepper cultivation under a changing climate.</w:t>
      </w:r>
    </w:p>
    <w:p w14:paraId="0DBD0CBD" w14:textId="0046CB6D" w:rsidR="00335A68" w:rsidRDefault="00335A68" w:rsidP="00672DF0">
      <w:pPr>
        <w:jc w:val="both"/>
        <w:rPr>
          <w:rFonts w:ascii="Times New Roman" w:hAnsi="Times New Roman" w:cs="Times New Roman"/>
        </w:rPr>
      </w:pPr>
      <w:r>
        <w:rPr>
          <w:rFonts w:ascii="Times New Roman" w:hAnsi="Times New Roman" w:cs="Times New Roman"/>
        </w:rPr>
        <w:t>Disclaimer (Artificial intelligence)</w:t>
      </w:r>
    </w:p>
    <w:p w14:paraId="34A2AFDC" w14:textId="6DA047CF" w:rsidR="00335A68" w:rsidRDefault="00335A68" w:rsidP="00672DF0">
      <w:pPr>
        <w:jc w:val="both"/>
        <w:rPr>
          <w:rFonts w:ascii="Times New Roman" w:hAnsi="Times New Roman" w:cs="Times New Roman"/>
        </w:rPr>
      </w:pPr>
      <w:r>
        <w:rPr>
          <w:rFonts w:ascii="Times New Roman" w:hAnsi="Times New Roman" w:cs="Times New Roman"/>
        </w:rPr>
        <w:t>Author(s) hereby declare that no generative AI technologies such as large language models (</w:t>
      </w:r>
      <w:proofErr w:type="spellStart"/>
      <w:r>
        <w:rPr>
          <w:rFonts w:ascii="Times New Roman" w:hAnsi="Times New Roman" w:cs="Times New Roman"/>
        </w:rPr>
        <w:t>ChatGPT</w:t>
      </w:r>
      <w:proofErr w:type="spellEnd"/>
      <w:r>
        <w:rPr>
          <w:rFonts w:ascii="Times New Roman" w:hAnsi="Times New Roman" w:cs="Times New Roman"/>
        </w:rPr>
        <w:t xml:space="preserve">, </w:t>
      </w:r>
      <w:proofErr w:type="gramStart"/>
      <w:r>
        <w:rPr>
          <w:rFonts w:ascii="Times New Roman" w:hAnsi="Times New Roman" w:cs="Times New Roman"/>
        </w:rPr>
        <w:t>COPILOT,  etc</w:t>
      </w:r>
      <w:proofErr w:type="gramEnd"/>
      <w:r>
        <w:rPr>
          <w:rFonts w:ascii="Times New Roman" w:hAnsi="Times New Roman" w:cs="Times New Roman"/>
        </w:rPr>
        <w:t>) and text to image generators have been used during the writing or editing of manuscript.</w:t>
      </w:r>
    </w:p>
    <w:p w14:paraId="4DE2F7C9" w14:textId="2352E7CF" w:rsidR="00534A0F" w:rsidRDefault="00534A0F" w:rsidP="00534A0F">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5E08AF7C" wp14:editId="423E854C">
            <wp:simplePos x="0" y="0"/>
            <wp:positionH relativeFrom="column">
              <wp:posOffset>2045615</wp:posOffset>
            </wp:positionH>
            <wp:positionV relativeFrom="paragraph">
              <wp:posOffset>227965</wp:posOffset>
            </wp:positionV>
            <wp:extent cx="1936750" cy="2506345"/>
            <wp:effectExtent l="0" t="0" r="6350" b="8255"/>
            <wp:wrapSquare wrapText="bothSides"/>
            <wp:docPr id="1917210652" name="Picture 12"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10652" name="Picture 12" descr="A map of the se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6750" cy="2506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0528" behindDoc="0" locked="0" layoutInCell="1" allowOverlap="1" wp14:anchorId="518AEFCD" wp14:editId="0039BE19">
            <wp:simplePos x="0" y="0"/>
            <wp:positionH relativeFrom="column">
              <wp:posOffset>4194175</wp:posOffset>
            </wp:positionH>
            <wp:positionV relativeFrom="paragraph">
              <wp:posOffset>219075</wp:posOffset>
            </wp:positionV>
            <wp:extent cx="1917700" cy="2481580"/>
            <wp:effectExtent l="0" t="0" r="6350" b="0"/>
            <wp:wrapSquare wrapText="bothSides"/>
            <wp:docPr id="194270608" name="Picture 13"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0608" name="Picture 13" descr="A map of the se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7700" cy="24815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9504" behindDoc="0" locked="0" layoutInCell="1" allowOverlap="1" wp14:anchorId="71C0D2CD" wp14:editId="17D923A9">
            <wp:simplePos x="0" y="0"/>
            <wp:positionH relativeFrom="column">
              <wp:posOffset>-32385</wp:posOffset>
            </wp:positionH>
            <wp:positionV relativeFrom="paragraph">
              <wp:posOffset>259715</wp:posOffset>
            </wp:positionV>
            <wp:extent cx="1885950" cy="2440940"/>
            <wp:effectExtent l="0" t="0" r="0" b="0"/>
            <wp:wrapSquare wrapText="bothSides"/>
            <wp:docPr id="948935922" name="Picture 11"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35922" name="Picture 11" descr="A map of the sea&#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950" cy="24409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Mid-century (2041-2070) suitability maps</w:t>
      </w:r>
    </w:p>
    <w:p w14:paraId="07D062A1" w14:textId="77777777" w:rsidR="00534A0F" w:rsidRDefault="00534A0F" w:rsidP="00534A0F">
      <w:pPr>
        <w:jc w:val="center"/>
        <w:rPr>
          <w:rFonts w:ascii="Times New Roman" w:hAnsi="Times New Roman" w:cs="Times New Roman"/>
        </w:rPr>
      </w:pPr>
    </w:p>
    <w:p w14:paraId="67E4CBC9" w14:textId="5C1AAFDC" w:rsidR="00534A0F" w:rsidRDefault="001E590F" w:rsidP="005C08D0">
      <w:pPr>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5648" behindDoc="0" locked="0" layoutInCell="1" allowOverlap="1" wp14:anchorId="50917140" wp14:editId="7239505A">
            <wp:simplePos x="0" y="0"/>
            <wp:positionH relativeFrom="column">
              <wp:posOffset>2192020</wp:posOffset>
            </wp:positionH>
            <wp:positionV relativeFrom="paragraph">
              <wp:posOffset>307535</wp:posOffset>
            </wp:positionV>
            <wp:extent cx="1902460" cy="2463165"/>
            <wp:effectExtent l="0" t="0" r="2540" b="0"/>
            <wp:wrapSquare wrapText="bothSides"/>
            <wp:docPr id="110531540" name="Picture 15"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1540" name="Picture 15" descr="A map of the sea&#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2460" cy="2463165"/>
                    </a:xfrm>
                    <a:prstGeom prst="rect">
                      <a:avLst/>
                    </a:prstGeom>
                  </pic:spPr>
                </pic:pic>
              </a:graphicData>
            </a:graphic>
            <wp14:sizeRelH relativeFrom="margin">
              <wp14:pctWidth>0</wp14:pctWidth>
            </wp14:sizeRelH>
            <wp14:sizeRelV relativeFrom="margin">
              <wp14:pctHeight>0</wp14:pctHeight>
            </wp14:sizeRelV>
          </wp:anchor>
        </w:drawing>
      </w:r>
      <w:r w:rsidR="00534A0F">
        <w:rPr>
          <w:rFonts w:ascii="Times New Roman" w:hAnsi="Times New Roman" w:cs="Times New Roman"/>
        </w:rPr>
        <w:t>End-century (2070-2100) suitability maps</w:t>
      </w:r>
      <w:r w:rsidR="00534A0F">
        <w:rPr>
          <w:rFonts w:ascii="Times New Roman" w:hAnsi="Times New Roman" w:cs="Times New Roman"/>
          <w:noProof/>
        </w:rPr>
        <w:drawing>
          <wp:anchor distT="0" distB="0" distL="114300" distR="114300" simplePos="0" relativeHeight="251674624" behindDoc="0" locked="0" layoutInCell="1" allowOverlap="1" wp14:anchorId="3A931365" wp14:editId="44ECF381">
            <wp:simplePos x="0" y="0"/>
            <wp:positionH relativeFrom="column">
              <wp:posOffset>4273550</wp:posOffset>
            </wp:positionH>
            <wp:positionV relativeFrom="paragraph">
              <wp:posOffset>306470</wp:posOffset>
            </wp:positionV>
            <wp:extent cx="1882140" cy="2435860"/>
            <wp:effectExtent l="0" t="0" r="3810" b="2540"/>
            <wp:wrapSquare wrapText="bothSides"/>
            <wp:docPr id="1449484405" name="Picture 16"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84405" name="Picture 16" descr="A map of the sea&#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2140" cy="2435860"/>
                    </a:xfrm>
                    <a:prstGeom prst="rect">
                      <a:avLst/>
                    </a:prstGeom>
                  </pic:spPr>
                </pic:pic>
              </a:graphicData>
            </a:graphic>
            <wp14:sizeRelH relativeFrom="margin">
              <wp14:pctWidth>0</wp14:pctWidth>
            </wp14:sizeRelH>
            <wp14:sizeRelV relativeFrom="margin">
              <wp14:pctHeight>0</wp14:pctHeight>
            </wp14:sizeRelV>
          </wp:anchor>
        </w:drawing>
      </w:r>
    </w:p>
    <w:p w14:paraId="4F6AD59B" w14:textId="2F37EF67" w:rsidR="00534A0F" w:rsidRDefault="00534A0F" w:rsidP="00534A0F">
      <w:pPr>
        <w:jc w:val="both"/>
        <w:rPr>
          <w:rFonts w:ascii="Times New Roman" w:hAnsi="Times New Roman" w:cs="Times New Roman"/>
        </w:rPr>
      </w:pPr>
      <w:r>
        <w:rPr>
          <w:rFonts w:ascii="Times New Roman" w:hAnsi="Times New Roman" w:cs="Times New Roman"/>
          <w:noProof/>
        </w:rPr>
        <w:drawing>
          <wp:inline distT="0" distB="0" distL="0" distR="0" wp14:anchorId="5C4E5D67" wp14:editId="05958645">
            <wp:extent cx="1931110" cy="2499148"/>
            <wp:effectExtent l="0" t="0" r="0" b="0"/>
            <wp:docPr id="931833683" name="Picture 14"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33683" name="Picture 14" descr="A map of the sea&#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47284" cy="2520080"/>
                    </a:xfrm>
                    <a:prstGeom prst="rect">
                      <a:avLst/>
                    </a:prstGeom>
                  </pic:spPr>
                </pic:pic>
              </a:graphicData>
            </a:graphic>
          </wp:inline>
        </w:drawing>
      </w:r>
    </w:p>
    <w:p w14:paraId="1320AEF6" w14:textId="6F4D5A7E" w:rsidR="00534A0F" w:rsidRDefault="001E590F" w:rsidP="00534A0F">
      <w:pPr>
        <w:jc w:val="center"/>
        <w:rPr>
          <w:rFonts w:ascii="Times New Roman" w:hAnsi="Times New Roman" w:cs="Times New Roman"/>
        </w:rPr>
      </w:pPr>
      <w:r w:rsidRPr="0073367C">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67EB81F8" wp14:editId="2E53B793">
                <wp:simplePos x="0" y="0"/>
                <wp:positionH relativeFrom="column">
                  <wp:posOffset>375187</wp:posOffset>
                </wp:positionH>
                <wp:positionV relativeFrom="paragraph">
                  <wp:posOffset>40640</wp:posOffset>
                </wp:positionV>
                <wp:extent cx="5473065" cy="1404620"/>
                <wp:effectExtent l="0" t="0" r="13335" b="20955"/>
                <wp:wrapSquare wrapText="bothSides"/>
                <wp:docPr id="2131276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404620"/>
                        </a:xfrm>
                        <a:prstGeom prst="rect">
                          <a:avLst/>
                        </a:prstGeom>
                        <a:solidFill>
                          <a:srgbClr val="FFFFFF"/>
                        </a:solidFill>
                        <a:ln w="9525">
                          <a:solidFill>
                            <a:srgbClr val="000000"/>
                          </a:solidFill>
                          <a:miter lim="800000"/>
                          <a:headEnd/>
                          <a:tailEnd/>
                        </a:ln>
                      </wps:spPr>
                      <wps:txbx>
                        <w:txbxContent>
                          <w:p w14:paraId="54812D65" w14:textId="0364BFB9" w:rsidR="00534A0F" w:rsidRPr="00534A0F" w:rsidRDefault="00534A0F" w:rsidP="00534A0F">
                            <w:pPr>
                              <w:jc w:val="center"/>
                              <w:rPr>
                                <w:rFonts w:ascii="Times New Roman" w:hAnsi="Times New Roman" w:cs="Times New Roman"/>
                              </w:rPr>
                            </w:pPr>
                            <w:r>
                              <w:rPr>
                                <w:rFonts w:ascii="Times New Roman" w:hAnsi="Times New Roman" w:cs="Times New Roman"/>
                              </w:rPr>
                              <w:t xml:space="preserve">Figure 4. </w:t>
                            </w:r>
                            <w:r w:rsidRPr="00534A0F">
                              <w:rPr>
                                <w:rFonts w:ascii="Times New Roman" w:hAnsi="Times New Roman" w:cs="Times New Roman"/>
                              </w:rPr>
                              <w:t>Black pepper future suitability under climate change scenarios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B81F8" id="_x0000_s1030" type="#_x0000_t202" style="position:absolute;left:0;text-align:left;margin-left:29.55pt;margin-top:3.2pt;width:430.9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">
                <v:textbox style="mso-fit-shape-to-text:t">
                  <w:txbxContent>
                    <w:p w14:paraId="54812D65" w14:textId="0364BFB9" w:rsidR="00534A0F" w:rsidRPr="00534A0F" w:rsidRDefault="00534A0F" w:rsidP="00534A0F">
                      <w:pPr>
                        <w:jc w:val="center"/>
                        <w:rPr>
                          <w:rFonts w:ascii="Times New Roman" w:hAnsi="Times New Roman" w:cs="Times New Roman"/>
                        </w:rPr>
                      </w:pPr>
                      <w:r>
                        <w:rPr>
                          <w:rFonts w:ascii="Times New Roman" w:hAnsi="Times New Roman" w:cs="Times New Roman"/>
                        </w:rPr>
                        <w:t xml:space="preserve">Figure 4. </w:t>
                      </w:r>
                      <w:r w:rsidRPr="00534A0F">
                        <w:rPr>
                          <w:rFonts w:ascii="Times New Roman" w:hAnsi="Times New Roman" w:cs="Times New Roman"/>
                        </w:rPr>
                        <w:t>Black pepper future suitability under climate change scenarios</w:t>
                      </w:r>
                    </w:p>
                  </w:txbxContent>
                </v:textbox>
                <w10:wrap type="square"/>
              </v:shape>
            </w:pict>
          </mc:Fallback>
        </mc:AlternateContent>
      </w:r>
    </w:p>
    <w:p w14:paraId="018A6378" w14:textId="77777777" w:rsidR="005C08D0" w:rsidRPr="005C08D0" w:rsidRDefault="005C08D0" w:rsidP="005C08D0">
      <w:pPr>
        <w:rPr>
          <w:rFonts w:ascii="Times New Roman" w:hAnsi="Times New Roman" w:cs="Times New Roman"/>
        </w:rPr>
      </w:pPr>
    </w:p>
    <w:p w14:paraId="22284337" w14:textId="77777777" w:rsidR="005C08D0" w:rsidRDefault="005C08D0" w:rsidP="005C08D0">
      <w:pPr>
        <w:rPr>
          <w:rFonts w:ascii="Times New Roman" w:hAnsi="Times New Roman" w:cs="Times New Roman"/>
        </w:rPr>
      </w:pPr>
    </w:p>
    <w:p w14:paraId="169ED627" w14:textId="77777777" w:rsidR="005C08D0" w:rsidRDefault="005C08D0" w:rsidP="005C08D0">
      <w:pPr>
        <w:rPr>
          <w:rFonts w:ascii="Times New Roman" w:hAnsi="Times New Roman" w:cs="Times New Roman"/>
        </w:rPr>
      </w:pPr>
    </w:p>
    <w:p w14:paraId="40639C08" w14:textId="77777777" w:rsidR="00C82394" w:rsidRDefault="00C82394" w:rsidP="005C08D0">
      <w:pPr>
        <w:rPr>
          <w:rFonts w:ascii="Times New Roman" w:hAnsi="Times New Roman" w:cs="Times New Roman"/>
        </w:rPr>
      </w:pPr>
      <w:bookmarkStart w:id="1" w:name="_GoBack"/>
      <w:bookmarkEnd w:id="1"/>
    </w:p>
    <w:p w14:paraId="0DD0CAE9" w14:textId="1AF4E78C" w:rsidR="005C08D0" w:rsidRDefault="005C08D0" w:rsidP="005C08D0">
      <w:pPr>
        <w:rPr>
          <w:rFonts w:ascii="Times New Roman" w:hAnsi="Times New Roman" w:cs="Times New Roman"/>
        </w:rPr>
      </w:pPr>
      <w:r>
        <w:rPr>
          <w:rFonts w:ascii="Times New Roman" w:hAnsi="Times New Roman" w:cs="Times New Roman"/>
        </w:rPr>
        <w:t>References</w:t>
      </w:r>
    </w:p>
    <w:p w14:paraId="438F0CE5" w14:textId="056754BE" w:rsidR="00340D31" w:rsidRDefault="005C08D0" w:rsidP="005C08D0">
      <w:pPr>
        <w:jc w:val="both"/>
        <w:rPr>
          <w:rFonts w:ascii="Times New Roman" w:hAnsi="Times New Roman" w:cs="Times New Roman"/>
        </w:rPr>
      </w:pPr>
      <w:r w:rsidRPr="00FB5161">
        <w:rPr>
          <w:rFonts w:ascii="Times New Roman" w:hAnsi="Times New Roman" w:cs="Times New Roman"/>
        </w:rPr>
        <w:t>Aiello-</w:t>
      </w:r>
      <w:proofErr w:type="spellStart"/>
      <w:r w:rsidRPr="00FB5161">
        <w:rPr>
          <w:rFonts w:ascii="Times New Roman" w:hAnsi="Times New Roman" w:cs="Times New Roman"/>
        </w:rPr>
        <w:t>Lammens</w:t>
      </w:r>
      <w:proofErr w:type="spellEnd"/>
      <w:r w:rsidRPr="00FB5161">
        <w:rPr>
          <w:rFonts w:ascii="Times New Roman" w:hAnsi="Times New Roman" w:cs="Times New Roman"/>
        </w:rPr>
        <w:t xml:space="preserve">, M. E., </w:t>
      </w:r>
      <w:proofErr w:type="spellStart"/>
      <w:r w:rsidRPr="00FB5161">
        <w:rPr>
          <w:rFonts w:ascii="Times New Roman" w:hAnsi="Times New Roman" w:cs="Times New Roman"/>
        </w:rPr>
        <w:t>Boria</w:t>
      </w:r>
      <w:proofErr w:type="spellEnd"/>
      <w:r w:rsidRPr="00FB5161">
        <w:rPr>
          <w:rFonts w:ascii="Times New Roman" w:hAnsi="Times New Roman" w:cs="Times New Roman"/>
        </w:rPr>
        <w:t xml:space="preserve">, R. A., </w:t>
      </w:r>
      <w:proofErr w:type="spellStart"/>
      <w:r w:rsidRPr="00FB5161">
        <w:rPr>
          <w:rFonts w:ascii="Times New Roman" w:hAnsi="Times New Roman" w:cs="Times New Roman"/>
        </w:rPr>
        <w:t>Radosavljevic</w:t>
      </w:r>
      <w:proofErr w:type="spellEnd"/>
      <w:r w:rsidRPr="00FB5161">
        <w:rPr>
          <w:rFonts w:ascii="Times New Roman" w:hAnsi="Times New Roman" w:cs="Times New Roman"/>
        </w:rPr>
        <w:t xml:space="preserve">, A., </w:t>
      </w:r>
      <w:proofErr w:type="spellStart"/>
      <w:r w:rsidRPr="00FB5161">
        <w:rPr>
          <w:rFonts w:ascii="Times New Roman" w:hAnsi="Times New Roman" w:cs="Times New Roman"/>
        </w:rPr>
        <w:t>Vilela</w:t>
      </w:r>
      <w:proofErr w:type="spellEnd"/>
      <w:r w:rsidRPr="00FB5161">
        <w:rPr>
          <w:rFonts w:ascii="Times New Roman" w:hAnsi="Times New Roman" w:cs="Times New Roman"/>
        </w:rPr>
        <w:t xml:space="preserve">, B., &amp; Anderson, R. P. (2015). </w:t>
      </w:r>
      <w:proofErr w:type="spellStart"/>
      <w:r w:rsidRPr="00FB5161">
        <w:rPr>
          <w:rFonts w:ascii="Times New Roman" w:hAnsi="Times New Roman" w:cs="Times New Roman"/>
        </w:rPr>
        <w:t>spThin</w:t>
      </w:r>
      <w:proofErr w:type="spellEnd"/>
      <w:r w:rsidRPr="00FB5161">
        <w:rPr>
          <w:rFonts w:ascii="Times New Roman" w:hAnsi="Times New Roman" w:cs="Times New Roman"/>
        </w:rPr>
        <w:t xml:space="preserve">: An R package for spatial thinning of species occurrence records for use in ecological niche models. </w:t>
      </w:r>
      <w:proofErr w:type="spellStart"/>
      <w:r w:rsidRPr="00FB5161">
        <w:rPr>
          <w:rFonts w:ascii="Times New Roman" w:hAnsi="Times New Roman" w:cs="Times New Roman"/>
          <w:i/>
          <w:iCs/>
        </w:rPr>
        <w:t>Ecography</w:t>
      </w:r>
      <w:proofErr w:type="spellEnd"/>
      <w:r w:rsidRPr="00FB5161">
        <w:rPr>
          <w:rFonts w:ascii="Times New Roman" w:hAnsi="Times New Roman" w:cs="Times New Roman"/>
          <w:i/>
          <w:iCs/>
        </w:rPr>
        <w:t>, 38</w:t>
      </w:r>
      <w:r w:rsidRPr="00FB5161">
        <w:rPr>
          <w:rFonts w:ascii="Times New Roman" w:hAnsi="Times New Roman" w:cs="Times New Roman"/>
        </w:rPr>
        <w:t>(5), 541–545.</w:t>
      </w:r>
    </w:p>
    <w:p w14:paraId="1D12DC4B" w14:textId="7358BC4B" w:rsidR="00340D31" w:rsidRPr="00FB5161" w:rsidRDefault="00340D31" w:rsidP="005C08D0">
      <w:pPr>
        <w:jc w:val="both"/>
        <w:rPr>
          <w:rFonts w:ascii="Times New Roman" w:hAnsi="Times New Roman" w:cs="Times New Roman"/>
        </w:rPr>
      </w:pPr>
      <w:r w:rsidRPr="00340D31">
        <w:rPr>
          <w:rFonts w:ascii="Times New Roman" w:hAnsi="Times New Roman" w:cs="Times New Roman"/>
        </w:rPr>
        <w:t>GBIF. 202</w:t>
      </w:r>
      <w:r>
        <w:rPr>
          <w:rFonts w:ascii="Times New Roman" w:hAnsi="Times New Roman" w:cs="Times New Roman"/>
        </w:rPr>
        <w:t>5</w:t>
      </w:r>
      <w:r w:rsidRPr="00340D31">
        <w:rPr>
          <w:rFonts w:ascii="Times New Roman" w:hAnsi="Times New Roman" w:cs="Times New Roman"/>
        </w:rPr>
        <w:t>. Available at:</w:t>
      </w:r>
      <w:r>
        <w:rPr>
          <w:rFonts w:ascii="Times New Roman" w:hAnsi="Times New Roman" w:cs="Times New Roman"/>
        </w:rPr>
        <w:t xml:space="preserve"> </w:t>
      </w:r>
      <w:hyperlink r:id="rId16" w:tgtFrame="_new" w:history="1">
        <w:r w:rsidRPr="00FB5161">
          <w:rPr>
            <w:rStyle w:val="Hyperlink"/>
            <w:rFonts w:ascii="Times New Roman" w:hAnsi="Times New Roman" w:cs="Times New Roman"/>
          </w:rPr>
          <w:t>https://doi.org/10.15468/dl.k3yzgj</w:t>
        </w:r>
      </w:hyperlink>
      <w:r w:rsidRPr="00340D31">
        <w:rPr>
          <w:rFonts w:ascii="Times New Roman" w:hAnsi="Times New Roman" w:cs="Times New Roman"/>
        </w:rPr>
        <w:t xml:space="preserve"> . [Date accessed: </w:t>
      </w:r>
      <w:r>
        <w:rPr>
          <w:rFonts w:ascii="Times New Roman" w:hAnsi="Times New Roman" w:cs="Times New Roman"/>
        </w:rPr>
        <w:t>13</w:t>
      </w:r>
      <w:r w:rsidRPr="00340D31">
        <w:rPr>
          <w:rFonts w:ascii="Times New Roman" w:hAnsi="Times New Roman" w:cs="Times New Roman"/>
        </w:rPr>
        <w:t xml:space="preserve"> </w:t>
      </w:r>
      <w:r>
        <w:rPr>
          <w:rFonts w:ascii="Times New Roman" w:hAnsi="Times New Roman" w:cs="Times New Roman"/>
        </w:rPr>
        <w:t xml:space="preserve">July </w:t>
      </w:r>
      <w:r w:rsidRPr="00340D31">
        <w:rPr>
          <w:rFonts w:ascii="Times New Roman" w:hAnsi="Times New Roman" w:cs="Times New Roman"/>
        </w:rPr>
        <w:t>202</w:t>
      </w:r>
      <w:r>
        <w:rPr>
          <w:rFonts w:ascii="Times New Roman" w:hAnsi="Times New Roman" w:cs="Times New Roman"/>
        </w:rPr>
        <w:t>5</w:t>
      </w:r>
      <w:r w:rsidRPr="00340D31">
        <w:rPr>
          <w:rFonts w:ascii="Times New Roman" w:hAnsi="Times New Roman" w:cs="Times New Roman"/>
        </w:rPr>
        <w:t>].</w:t>
      </w:r>
    </w:p>
    <w:p w14:paraId="00F2ABE2"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India Meteorological Department. (2025). </w:t>
      </w:r>
      <w:r w:rsidRPr="00FB5161">
        <w:rPr>
          <w:rFonts w:ascii="Times New Roman" w:hAnsi="Times New Roman" w:cs="Times New Roman"/>
          <w:i/>
          <w:iCs/>
        </w:rPr>
        <w:t>Annual Climate Summary 2024.</w:t>
      </w:r>
      <w:r w:rsidRPr="00FB5161">
        <w:rPr>
          <w:rFonts w:ascii="Times New Roman" w:hAnsi="Times New Roman" w:cs="Times New Roman"/>
        </w:rPr>
        <w:t xml:space="preserve">Ministry of Earth Sciences, Government of India. </w:t>
      </w:r>
      <w:hyperlink r:id="rId17" w:tgtFrame="_new" w:history="1">
        <w:r w:rsidRPr="00FB5161">
          <w:rPr>
            <w:rStyle w:val="Hyperlink"/>
            <w:rFonts w:ascii="Times New Roman" w:hAnsi="Times New Roman" w:cs="Times New Roman"/>
          </w:rPr>
          <w:t>https://internal.imd.gov.in/press_release/20250115_pr_3554.pdf</w:t>
        </w:r>
      </w:hyperlink>
    </w:p>
    <w:p w14:paraId="78B8B991"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Intergovernmental Panel on Climate Change (IPCC). (2022). </w:t>
      </w:r>
      <w:r w:rsidRPr="00FB5161">
        <w:rPr>
          <w:rFonts w:ascii="Times New Roman" w:hAnsi="Times New Roman" w:cs="Times New Roman"/>
          <w:i/>
          <w:iCs/>
        </w:rPr>
        <w:t>Climate Change 2022: Impacts, Adaptation and Vulnerability</w:t>
      </w:r>
      <w:r w:rsidRPr="00FB5161">
        <w:rPr>
          <w:rFonts w:ascii="Times New Roman" w:hAnsi="Times New Roman" w:cs="Times New Roman"/>
        </w:rPr>
        <w:t>. Contribution of Working Group II to the Sixth Assessment Report. Cambridge University Press.</w:t>
      </w:r>
    </w:p>
    <w:p w14:paraId="61B3DFEB"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Karger, D. N., Conrad, O., </w:t>
      </w:r>
      <w:proofErr w:type="spellStart"/>
      <w:r w:rsidRPr="00FB5161">
        <w:rPr>
          <w:rFonts w:ascii="Times New Roman" w:hAnsi="Times New Roman" w:cs="Times New Roman"/>
        </w:rPr>
        <w:t>Böhner</w:t>
      </w:r>
      <w:proofErr w:type="spellEnd"/>
      <w:r w:rsidRPr="00FB5161">
        <w:rPr>
          <w:rFonts w:ascii="Times New Roman" w:hAnsi="Times New Roman" w:cs="Times New Roman"/>
        </w:rPr>
        <w:t xml:space="preserve">, J., </w:t>
      </w:r>
      <w:proofErr w:type="spellStart"/>
      <w:r w:rsidRPr="00FB5161">
        <w:rPr>
          <w:rFonts w:ascii="Times New Roman" w:hAnsi="Times New Roman" w:cs="Times New Roman"/>
        </w:rPr>
        <w:t>Kawohl</w:t>
      </w:r>
      <w:proofErr w:type="spellEnd"/>
      <w:r w:rsidRPr="00FB5161">
        <w:rPr>
          <w:rFonts w:ascii="Times New Roman" w:hAnsi="Times New Roman" w:cs="Times New Roman"/>
        </w:rPr>
        <w:t xml:space="preserve">, T., </w:t>
      </w:r>
      <w:proofErr w:type="spellStart"/>
      <w:r w:rsidRPr="00FB5161">
        <w:rPr>
          <w:rFonts w:ascii="Times New Roman" w:hAnsi="Times New Roman" w:cs="Times New Roman"/>
        </w:rPr>
        <w:t>Kreft</w:t>
      </w:r>
      <w:proofErr w:type="spellEnd"/>
      <w:r w:rsidRPr="00FB5161">
        <w:rPr>
          <w:rFonts w:ascii="Times New Roman" w:hAnsi="Times New Roman" w:cs="Times New Roman"/>
        </w:rPr>
        <w:t>, H., Soria-</w:t>
      </w:r>
      <w:proofErr w:type="spellStart"/>
      <w:r w:rsidRPr="00FB5161">
        <w:rPr>
          <w:rFonts w:ascii="Times New Roman" w:hAnsi="Times New Roman" w:cs="Times New Roman"/>
        </w:rPr>
        <w:t>Auza</w:t>
      </w:r>
      <w:proofErr w:type="spellEnd"/>
      <w:r w:rsidRPr="00FB5161">
        <w:rPr>
          <w:rFonts w:ascii="Times New Roman" w:hAnsi="Times New Roman" w:cs="Times New Roman"/>
        </w:rPr>
        <w:t xml:space="preserve">, R. W., Zimmermann, N. E., Linder, H. P., &amp; Kessler, M. (2017). </w:t>
      </w:r>
      <w:proofErr w:type="spellStart"/>
      <w:r w:rsidRPr="00FB5161">
        <w:rPr>
          <w:rFonts w:ascii="Times New Roman" w:hAnsi="Times New Roman" w:cs="Times New Roman"/>
        </w:rPr>
        <w:t>Climatologies</w:t>
      </w:r>
      <w:proofErr w:type="spellEnd"/>
      <w:r w:rsidRPr="00FB5161">
        <w:rPr>
          <w:rFonts w:ascii="Times New Roman" w:hAnsi="Times New Roman" w:cs="Times New Roman"/>
        </w:rPr>
        <w:t xml:space="preserve"> at high resolution for the Earth’s land surface areas (CHELSA V1.2): Bioclimatic variables for ecological and biogeographical modelling. </w:t>
      </w:r>
      <w:r w:rsidRPr="00FB5161">
        <w:rPr>
          <w:rFonts w:ascii="Times New Roman" w:hAnsi="Times New Roman" w:cs="Times New Roman"/>
          <w:i/>
          <w:iCs/>
        </w:rPr>
        <w:t>Scientific Data, 4</w:t>
      </w:r>
      <w:r w:rsidRPr="00FB5161">
        <w:rPr>
          <w:rFonts w:ascii="Times New Roman" w:hAnsi="Times New Roman" w:cs="Times New Roman"/>
        </w:rPr>
        <w:t>, 170122.</w:t>
      </w:r>
    </w:p>
    <w:p w14:paraId="4CA2237F"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Kerala State Planning Board. (n.d.). Agriculture. In Kerala State Planning Board Annual Report. Available at: </w:t>
      </w:r>
      <w:hyperlink r:id="rId18" w:tgtFrame="_blank" w:history="1">
        <w:r w:rsidRPr="00FB5161">
          <w:rPr>
            <w:rStyle w:val="Hyperlink"/>
            <w:rFonts w:ascii="Times New Roman" w:hAnsi="Times New Roman" w:cs="Times New Roman"/>
          </w:rPr>
          <w:t>https://spb.kerala.gov.in/sites/default/files/inline-files/1.1Agriculture.pdf</w:t>
        </w:r>
      </w:hyperlink>
      <w:r w:rsidRPr="00FB5161">
        <w:rPr>
          <w:rFonts w:ascii="Times New Roman" w:hAnsi="Times New Roman" w:cs="Times New Roman"/>
        </w:rPr>
        <w:t> (Accessed: September 7, 2025).</w:t>
      </w:r>
    </w:p>
    <w:p w14:paraId="033892E9"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lastRenderedPageBreak/>
        <w:t xml:space="preserve">Liu, C., Berry, P. M., Dawson, T. P., &amp; Pearson, R. G. (2005). Selecting thresholds of occurrence in the prediction of species distributions. </w:t>
      </w:r>
      <w:proofErr w:type="spellStart"/>
      <w:r w:rsidRPr="00FB5161">
        <w:rPr>
          <w:rFonts w:ascii="Times New Roman" w:hAnsi="Times New Roman" w:cs="Times New Roman"/>
          <w:i/>
          <w:iCs/>
        </w:rPr>
        <w:t>Ecography</w:t>
      </w:r>
      <w:proofErr w:type="spellEnd"/>
      <w:r w:rsidRPr="00FB5161">
        <w:rPr>
          <w:rFonts w:ascii="Times New Roman" w:hAnsi="Times New Roman" w:cs="Times New Roman"/>
          <w:i/>
          <w:iCs/>
        </w:rPr>
        <w:t>, 28</w:t>
      </w:r>
      <w:r w:rsidRPr="00FB5161">
        <w:rPr>
          <w:rFonts w:ascii="Times New Roman" w:hAnsi="Times New Roman" w:cs="Times New Roman"/>
        </w:rPr>
        <w:t>(3), 385–393.</w:t>
      </w:r>
    </w:p>
    <w:p w14:paraId="2C68AAF8" w14:textId="77777777" w:rsidR="005C08D0" w:rsidRPr="00FB5161" w:rsidRDefault="005C08D0" w:rsidP="005C08D0">
      <w:pPr>
        <w:jc w:val="both"/>
        <w:rPr>
          <w:rFonts w:ascii="Times New Roman" w:hAnsi="Times New Roman" w:cs="Times New Roman"/>
        </w:rPr>
      </w:pPr>
      <w:r w:rsidRPr="00104345">
        <w:rPr>
          <w:rFonts w:ascii="Times New Roman" w:hAnsi="Times New Roman" w:cs="Times New Roman"/>
        </w:rPr>
        <w:t xml:space="preserve">Nair, N. S., </w:t>
      </w:r>
      <w:proofErr w:type="spellStart"/>
      <w:r w:rsidRPr="00104345">
        <w:rPr>
          <w:rFonts w:ascii="Times New Roman" w:hAnsi="Times New Roman" w:cs="Times New Roman"/>
        </w:rPr>
        <w:t>Thilagavathi</w:t>
      </w:r>
      <w:proofErr w:type="spellEnd"/>
      <w:r w:rsidRPr="00104345">
        <w:rPr>
          <w:rFonts w:ascii="Times New Roman" w:hAnsi="Times New Roman" w:cs="Times New Roman"/>
        </w:rPr>
        <w:t xml:space="preserve">, M., </w:t>
      </w:r>
      <w:proofErr w:type="spellStart"/>
      <w:r w:rsidRPr="00104345">
        <w:rPr>
          <w:rFonts w:ascii="Times New Roman" w:hAnsi="Times New Roman" w:cs="Times New Roman"/>
        </w:rPr>
        <w:t>Prahadeeswaran</w:t>
      </w:r>
      <w:proofErr w:type="spellEnd"/>
      <w:r w:rsidRPr="00104345">
        <w:rPr>
          <w:rFonts w:ascii="Times New Roman" w:hAnsi="Times New Roman" w:cs="Times New Roman"/>
        </w:rPr>
        <w:t xml:space="preserve">, M., &amp; </w:t>
      </w:r>
      <w:proofErr w:type="spellStart"/>
      <w:r w:rsidRPr="00104345">
        <w:rPr>
          <w:rFonts w:ascii="Times New Roman" w:hAnsi="Times New Roman" w:cs="Times New Roman"/>
        </w:rPr>
        <w:t>Duraisamy</w:t>
      </w:r>
      <w:proofErr w:type="spellEnd"/>
      <w:r w:rsidRPr="00104345">
        <w:rPr>
          <w:rFonts w:ascii="Times New Roman" w:hAnsi="Times New Roman" w:cs="Times New Roman"/>
        </w:rPr>
        <w:t xml:space="preserve">, M. R. (2021). Role of major weather parameters in the production of black pepper in Kerala. </w:t>
      </w:r>
      <w:r w:rsidRPr="00104345">
        <w:rPr>
          <w:rFonts w:ascii="Times New Roman" w:hAnsi="Times New Roman" w:cs="Times New Roman"/>
          <w:i/>
          <w:iCs/>
        </w:rPr>
        <w:t>Asian Journal of Agricultural Extension, Economics &amp; Sociology</w:t>
      </w:r>
      <w:r w:rsidRPr="00104345">
        <w:rPr>
          <w:rFonts w:ascii="Times New Roman" w:hAnsi="Times New Roman" w:cs="Times New Roman"/>
        </w:rPr>
        <w:t>, 39(11), 259–267</w:t>
      </w:r>
    </w:p>
    <w:p w14:paraId="4673BA05"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Phillips, S. J., Anderson, R. P., &amp; </w:t>
      </w:r>
      <w:proofErr w:type="spellStart"/>
      <w:r w:rsidRPr="00FB5161">
        <w:rPr>
          <w:rFonts w:ascii="Times New Roman" w:hAnsi="Times New Roman" w:cs="Times New Roman"/>
        </w:rPr>
        <w:t>Schapire</w:t>
      </w:r>
      <w:proofErr w:type="spellEnd"/>
      <w:r w:rsidRPr="00FB5161">
        <w:rPr>
          <w:rFonts w:ascii="Times New Roman" w:hAnsi="Times New Roman" w:cs="Times New Roman"/>
        </w:rPr>
        <w:t xml:space="preserve">, R. E. (2006). Maximum entropy </w:t>
      </w:r>
      <w:proofErr w:type="spellStart"/>
      <w:r w:rsidRPr="00FB5161">
        <w:rPr>
          <w:rFonts w:ascii="Times New Roman" w:hAnsi="Times New Roman" w:cs="Times New Roman"/>
        </w:rPr>
        <w:t>modeling</w:t>
      </w:r>
      <w:proofErr w:type="spellEnd"/>
      <w:r w:rsidRPr="00FB5161">
        <w:rPr>
          <w:rFonts w:ascii="Times New Roman" w:hAnsi="Times New Roman" w:cs="Times New Roman"/>
        </w:rPr>
        <w:t xml:space="preserve"> of species geographic distributions. </w:t>
      </w:r>
      <w:r w:rsidRPr="00FB5161">
        <w:rPr>
          <w:rFonts w:ascii="Times New Roman" w:hAnsi="Times New Roman" w:cs="Times New Roman"/>
          <w:i/>
          <w:iCs/>
        </w:rPr>
        <w:t>Ecological Modelling, 190</w:t>
      </w:r>
      <w:r w:rsidRPr="00FB5161">
        <w:rPr>
          <w:rFonts w:ascii="Times New Roman" w:hAnsi="Times New Roman" w:cs="Times New Roman"/>
        </w:rPr>
        <w:t>(3–4), 231–259.</w:t>
      </w:r>
    </w:p>
    <w:p w14:paraId="60B43F0F" w14:textId="77777777" w:rsidR="005C08D0" w:rsidRPr="00FB5161" w:rsidRDefault="005C08D0" w:rsidP="005C08D0">
      <w:pPr>
        <w:jc w:val="both"/>
        <w:rPr>
          <w:rFonts w:ascii="Times New Roman" w:hAnsi="Times New Roman" w:cs="Times New Roman"/>
        </w:rPr>
      </w:pPr>
      <w:r w:rsidRPr="00FB5161">
        <w:rPr>
          <w:rFonts w:ascii="Times New Roman" w:hAnsi="Times New Roman" w:cs="Times New Roman"/>
        </w:rPr>
        <w:t xml:space="preserve">Ravindran P N. 2000. Black pepper: </w:t>
      </w:r>
      <w:r w:rsidRPr="00965D29">
        <w:rPr>
          <w:rFonts w:ascii="Times New Roman" w:hAnsi="Times New Roman" w:cs="Times New Roman"/>
          <w:i/>
          <w:iCs/>
        </w:rPr>
        <w:t>Piper nigrum</w:t>
      </w:r>
      <w:r w:rsidRPr="00FB5161">
        <w:rPr>
          <w:rFonts w:ascii="Times New Roman" w:hAnsi="Times New Roman" w:cs="Times New Roman"/>
        </w:rPr>
        <w:t>. Harwood academic publishers, New Jersey. pp. 1-10.</w:t>
      </w:r>
    </w:p>
    <w:p w14:paraId="7DE41C34" w14:textId="77777777" w:rsidR="005C08D0" w:rsidRDefault="005C08D0" w:rsidP="005C08D0">
      <w:pPr>
        <w:autoSpaceDE w:val="0"/>
        <w:autoSpaceDN w:val="0"/>
        <w:jc w:val="both"/>
        <w:rPr>
          <w:rFonts w:ascii="Times New Roman" w:hAnsi="Times New Roman" w:cs="Times New Roman"/>
        </w:rPr>
      </w:pPr>
      <w:r w:rsidRPr="00FB5161">
        <w:rPr>
          <w:rFonts w:ascii="Times New Roman" w:hAnsi="Times New Roman" w:cs="Times New Roman"/>
          <w:color w:val="000000"/>
        </w:rPr>
        <w:t xml:space="preserve">Sen, S., </w:t>
      </w:r>
      <w:proofErr w:type="spellStart"/>
      <w:r w:rsidRPr="00FB5161">
        <w:rPr>
          <w:rFonts w:ascii="Times New Roman" w:hAnsi="Times New Roman" w:cs="Times New Roman"/>
          <w:color w:val="000000"/>
        </w:rPr>
        <w:t>Gode</w:t>
      </w:r>
      <w:proofErr w:type="spellEnd"/>
      <w:r w:rsidRPr="00FB5161">
        <w:rPr>
          <w:rFonts w:ascii="Times New Roman" w:hAnsi="Times New Roman" w:cs="Times New Roman"/>
          <w:color w:val="000000"/>
        </w:rPr>
        <w:t xml:space="preserve">, A., </w:t>
      </w:r>
      <w:proofErr w:type="spellStart"/>
      <w:r w:rsidRPr="00FB5161">
        <w:rPr>
          <w:rFonts w:ascii="Times New Roman" w:hAnsi="Times New Roman" w:cs="Times New Roman"/>
          <w:color w:val="000000"/>
        </w:rPr>
        <w:t>Ramanujam</w:t>
      </w:r>
      <w:proofErr w:type="spellEnd"/>
      <w:r w:rsidRPr="00FB5161">
        <w:rPr>
          <w:rFonts w:ascii="Times New Roman" w:hAnsi="Times New Roman" w:cs="Times New Roman"/>
          <w:color w:val="000000"/>
        </w:rPr>
        <w:t xml:space="preserve">, S., </w:t>
      </w:r>
      <w:proofErr w:type="spellStart"/>
      <w:r w:rsidRPr="00FB5161">
        <w:rPr>
          <w:rFonts w:ascii="Times New Roman" w:hAnsi="Times New Roman" w:cs="Times New Roman"/>
          <w:color w:val="000000"/>
        </w:rPr>
        <w:t>Ravikanth</w:t>
      </w:r>
      <w:proofErr w:type="spellEnd"/>
      <w:r w:rsidRPr="00FB5161">
        <w:rPr>
          <w:rFonts w:ascii="Times New Roman" w:hAnsi="Times New Roman" w:cs="Times New Roman"/>
          <w:color w:val="000000"/>
        </w:rPr>
        <w:t xml:space="preserve">, G., &amp; Aravind, N. A. (2016). </w:t>
      </w:r>
      <w:proofErr w:type="spellStart"/>
      <w:r w:rsidRPr="00FB5161">
        <w:rPr>
          <w:rFonts w:ascii="Times New Roman" w:hAnsi="Times New Roman" w:cs="Times New Roman"/>
          <w:color w:val="000000"/>
        </w:rPr>
        <w:t>Modeling</w:t>
      </w:r>
      <w:proofErr w:type="spellEnd"/>
      <w:r w:rsidRPr="00FB5161">
        <w:rPr>
          <w:rFonts w:ascii="Times New Roman" w:hAnsi="Times New Roman" w:cs="Times New Roman"/>
          <w:color w:val="000000"/>
        </w:rPr>
        <w:t xml:space="preserve"> the impact of climate change on wild </w:t>
      </w:r>
      <w:r w:rsidRPr="00965D29">
        <w:rPr>
          <w:rFonts w:ascii="Times New Roman" w:hAnsi="Times New Roman" w:cs="Times New Roman"/>
          <w:i/>
          <w:iCs/>
          <w:color w:val="000000"/>
        </w:rPr>
        <w:t>Piper nigrum</w:t>
      </w:r>
      <w:r w:rsidRPr="00FB5161">
        <w:rPr>
          <w:rFonts w:ascii="Times New Roman" w:hAnsi="Times New Roman" w:cs="Times New Roman"/>
          <w:color w:val="000000"/>
        </w:rPr>
        <w:t xml:space="preserve"> (Black Pepper) in Western Ghats, India using ecological niche models. </w:t>
      </w:r>
      <w:r w:rsidRPr="00FB5161">
        <w:rPr>
          <w:rFonts w:ascii="Times New Roman" w:hAnsi="Times New Roman" w:cs="Times New Roman"/>
          <w:i/>
          <w:iCs/>
          <w:color w:val="000000"/>
        </w:rPr>
        <w:t>Journal of Plant Research</w:t>
      </w:r>
      <w:r w:rsidRPr="00FB5161">
        <w:rPr>
          <w:rFonts w:ascii="Times New Roman" w:hAnsi="Times New Roman" w:cs="Times New Roman"/>
          <w:color w:val="000000"/>
        </w:rPr>
        <w:t xml:space="preserve">, </w:t>
      </w:r>
      <w:r w:rsidRPr="00FB5161">
        <w:rPr>
          <w:rFonts w:ascii="Times New Roman" w:hAnsi="Times New Roman" w:cs="Times New Roman"/>
          <w:i/>
          <w:iCs/>
          <w:color w:val="000000"/>
        </w:rPr>
        <w:t>129</w:t>
      </w:r>
      <w:r w:rsidRPr="00FB5161">
        <w:rPr>
          <w:rFonts w:ascii="Times New Roman" w:hAnsi="Times New Roman" w:cs="Times New Roman"/>
          <w:color w:val="000000"/>
        </w:rPr>
        <w:t xml:space="preserve">(6), 1033–1040. </w:t>
      </w:r>
      <w:hyperlink r:id="rId19" w:history="1">
        <w:r w:rsidRPr="00FB5161">
          <w:rPr>
            <w:rStyle w:val="Hyperlink"/>
            <w:rFonts w:ascii="Times New Roman" w:hAnsi="Times New Roman" w:cs="Times New Roman"/>
          </w:rPr>
          <w:t>https://doi.org/10.1007/s10265-016-0859-3</w:t>
        </w:r>
      </w:hyperlink>
    </w:p>
    <w:p w14:paraId="6418DBB6" w14:textId="4DAE0F37" w:rsidR="00E321A9" w:rsidRPr="00FB5161" w:rsidRDefault="00E321A9" w:rsidP="005C08D0">
      <w:pPr>
        <w:autoSpaceDE w:val="0"/>
        <w:autoSpaceDN w:val="0"/>
        <w:jc w:val="both"/>
        <w:rPr>
          <w:rFonts w:ascii="Times New Roman" w:hAnsi="Times New Roman" w:cs="Times New Roman"/>
          <w:color w:val="000000"/>
        </w:rPr>
      </w:pPr>
      <w:r w:rsidRPr="00E321A9">
        <w:rPr>
          <w:rFonts w:ascii="Times New Roman" w:hAnsi="Times New Roman" w:cs="Times New Roman"/>
          <w:color w:val="000000"/>
        </w:rPr>
        <w:t xml:space="preserve">Spices Board India. (2019). </w:t>
      </w:r>
      <w:r w:rsidRPr="00E321A9">
        <w:rPr>
          <w:rFonts w:ascii="Times New Roman" w:hAnsi="Times New Roman" w:cs="Times New Roman"/>
          <w:i/>
          <w:iCs/>
          <w:color w:val="000000"/>
        </w:rPr>
        <w:t>Cultivation practices for pepper</w:t>
      </w:r>
      <w:r w:rsidRPr="00E321A9">
        <w:rPr>
          <w:rFonts w:ascii="Times New Roman" w:hAnsi="Times New Roman" w:cs="Times New Roman"/>
          <w:color w:val="000000"/>
        </w:rPr>
        <w:t xml:space="preserve">. Ministry of Commerce and Industry, Government of India. </w:t>
      </w:r>
      <w:hyperlink r:id="rId20" w:tgtFrame="_new" w:history="1">
        <w:r w:rsidRPr="00E321A9">
          <w:rPr>
            <w:rStyle w:val="Hyperlink"/>
            <w:rFonts w:ascii="Times New Roman" w:hAnsi="Times New Roman" w:cs="Times New Roman"/>
          </w:rPr>
          <w:t>https://www.indianspices.com/sites/default/files/cultivation_practices-pepper_1.pdf</w:t>
        </w:r>
      </w:hyperlink>
    </w:p>
    <w:p w14:paraId="3369EC2A" w14:textId="77777777" w:rsidR="005C08D0" w:rsidRPr="005C08D0" w:rsidRDefault="005C08D0" w:rsidP="005C08D0">
      <w:pPr>
        <w:rPr>
          <w:rFonts w:ascii="Times New Roman" w:hAnsi="Times New Roman" w:cs="Times New Roman"/>
        </w:rPr>
      </w:pPr>
    </w:p>
    <w:sectPr w:rsidR="005C08D0" w:rsidRPr="005C08D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5351" w14:textId="77777777" w:rsidR="00FF658B" w:rsidRDefault="00FF658B" w:rsidP="00260542">
      <w:pPr>
        <w:spacing w:after="0" w:line="240" w:lineRule="auto"/>
      </w:pPr>
      <w:r>
        <w:separator/>
      </w:r>
    </w:p>
  </w:endnote>
  <w:endnote w:type="continuationSeparator" w:id="0">
    <w:p w14:paraId="2E560395" w14:textId="77777777" w:rsidR="00FF658B" w:rsidRDefault="00FF658B" w:rsidP="0026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CD92" w14:textId="77777777" w:rsidR="00260542" w:rsidRDefault="00260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CF1E" w14:textId="77777777" w:rsidR="00260542" w:rsidRDefault="00260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D55F" w14:textId="77777777" w:rsidR="00260542" w:rsidRDefault="0026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34E8" w14:textId="77777777" w:rsidR="00FF658B" w:rsidRDefault="00FF658B" w:rsidP="00260542">
      <w:pPr>
        <w:spacing w:after="0" w:line="240" w:lineRule="auto"/>
      </w:pPr>
      <w:r>
        <w:separator/>
      </w:r>
    </w:p>
  </w:footnote>
  <w:footnote w:type="continuationSeparator" w:id="0">
    <w:p w14:paraId="7CB1B943" w14:textId="77777777" w:rsidR="00FF658B" w:rsidRDefault="00FF658B" w:rsidP="0026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B1C" w14:textId="320B2CD4" w:rsidR="00260542" w:rsidRDefault="00260542">
    <w:pPr>
      <w:pStyle w:val="Header"/>
    </w:pPr>
    <w:r>
      <w:rPr>
        <w:noProof/>
      </w:rPr>
      <w:pict w14:anchorId="106FF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D957" w14:textId="0F33D671" w:rsidR="00260542" w:rsidRDefault="00260542">
    <w:pPr>
      <w:pStyle w:val="Header"/>
    </w:pPr>
    <w:r>
      <w:rPr>
        <w:noProof/>
      </w:rPr>
      <w:pict w14:anchorId="6AB07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2906" w14:textId="5EE142B5" w:rsidR="00260542" w:rsidRDefault="00260542">
    <w:pPr>
      <w:pStyle w:val="Header"/>
    </w:pPr>
    <w:r>
      <w:rPr>
        <w:noProof/>
      </w:rPr>
      <w:pict w14:anchorId="4C07B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15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B33C2"/>
    <w:multiLevelType w:val="multilevel"/>
    <w:tmpl w:val="7144C6F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B27A13"/>
    <w:multiLevelType w:val="hybridMultilevel"/>
    <w:tmpl w:val="2E76A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5E"/>
    <w:rsid w:val="000045FB"/>
    <w:rsid w:val="00090293"/>
    <w:rsid w:val="001A0EC4"/>
    <w:rsid w:val="001A1E5F"/>
    <w:rsid w:val="001E2145"/>
    <w:rsid w:val="001E590F"/>
    <w:rsid w:val="001E6DF6"/>
    <w:rsid w:val="00214B5A"/>
    <w:rsid w:val="00260542"/>
    <w:rsid w:val="0026244F"/>
    <w:rsid w:val="002A19FD"/>
    <w:rsid w:val="002F1505"/>
    <w:rsid w:val="00335A68"/>
    <w:rsid w:val="00340D31"/>
    <w:rsid w:val="003863EB"/>
    <w:rsid w:val="003B1168"/>
    <w:rsid w:val="003E6E1C"/>
    <w:rsid w:val="00421BEA"/>
    <w:rsid w:val="005221AB"/>
    <w:rsid w:val="00534A0F"/>
    <w:rsid w:val="005B6DB0"/>
    <w:rsid w:val="005C08D0"/>
    <w:rsid w:val="005E4AE8"/>
    <w:rsid w:val="00672DF0"/>
    <w:rsid w:val="006853A8"/>
    <w:rsid w:val="00693BB5"/>
    <w:rsid w:val="0070595D"/>
    <w:rsid w:val="007E2EEC"/>
    <w:rsid w:val="00806820"/>
    <w:rsid w:val="00820508"/>
    <w:rsid w:val="008261EE"/>
    <w:rsid w:val="00882EF0"/>
    <w:rsid w:val="00964A5E"/>
    <w:rsid w:val="00965D29"/>
    <w:rsid w:val="00982B31"/>
    <w:rsid w:val="00994215"/>
    <w:rsid w:val="00A35922"/>
    <w:rsid w:val="00A50346"/>
    <w:rsid w:val="00BC0004"/>
    <w:rsid w:val="00C12C5A"/>
    <w:rsid w:val="00C82394"/>
    <w:rsid w:val="00D9279B"/>
    <w:rsid w:val="00E127F7"/>
    <w:rsid w:val="00E321A9"/>
    <w:rsid w:val="00F217B2"/>
    <w:rsid w:val="00F765E3"/>
    <w:rsid w:val="00FB5C0C"/>
    <w:rsid w:val="00FC4812"/>
    <w:rsid w:val="00FF6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767F3"/>
  <w15:chartTrackingRefBased/>
  <w15:docId w15:val="{2059DC4A-A05E-4AA0-AD73-8203C084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6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5E"/>
    <w:rPr>
      <w:rFonts w:eastAsiaTheme="majorEastAsia" w:cstheme="majorBidi"/>
      <w:color w:val="272727" w:themeColor="text1" w:themeTint="D8"/>
    </w:rPr>
  </w:style>
  <w:style w:type="paragraph" w:styleId="Title">
    <w:name w:val="Title"/>
    <w:basedOn w:val="Normal"/>
    <w:next w:val="Normal"/>
    <w:link w:val="TitleChar"/>
    <w:uiPriority w:val="10"/>
    <w:qFormat/>
    <w:rsid w:val="0096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5E"/>
    <w:pPr>
      <w:spacing w:before="160"/>
      <w:jc w:val="center"/>
    </w:pPr>
    <w:rPr>
      <w:i/>
      <w:iCs/>
      <w:color w:val="404040" w:themeColor="text1" w:themeTint="BF"/>
    </w:rPr>
  </w:style>
  <w:style w:type="character" w:customStyle="1" w:styleId="QuoteChar">
    <w:name w:val="Quote Char"/>
    <w:basedOn w:val="DefaultParagraphFont"/>
    <w:link w:val="Quote"/>
    <w:uiPriority w:val="29"/>
    <w:rsid w:val="00964A5E"/>
    <w:rPr>
      <w:i/>
      <w:iCs/>
      <w:color w:val="404040" w:themeColor="text1" w:themeTint="BF"/>
    </w:rPr>
  </w:style>
  <w:style w:type="paragraph" w:styleId="ListParagraph">
    <w:name w:val="List Paragraph"/>
    <w:basedOn w:val="Normal"/>
    <w:uiPriority w:val="34"/>
    <w:qFormat/>
    <w:rsid w:val="00964A5E"/>
    <w:pPr>
      <w:ind w:left="720"/>
      <w:contextualSpacing/>
    </w:pPr>
  </w:style>
  <w:style w:type="character" w:styleId="IntenseEmphasis">
    <w:name w:val="Intense Emphasis"/>
    <w:basedOn w:val="DefaultParagraphFont"/>
    <w:uiPriority w:val="21"/>
    <w:qFormat/>
    <w:rsid w:val="00964A5E"/>
    <w:rPr>
      <w:i/>
      <w:iCs/>
      <w:color w:val="0F4761" w:themeColor="accent1" w:themeShade="BF"/>
    </w:rPr>
  </w:style>
  <w:style w:type="paragraph" w:styleId="IntenseQuote">
    <w:name w:val="Intense Quote"/>
    <w:basedOn w:val="Normal"/>
    <w:next w:val="Normal"/>
    <w:link w:val="IntenseQuoteChar"/>
    <w:uiPriority w:val="30"/>
    <w:qFormat/>
    <w:rsid w:val="0096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A5E"/>
    <w:rPr>
      <w:i/>
      <w:iCs/>
      <w:color w:val="0F4761" w:themeColor="accent1" w:themeShade="BF"/>
    </w:rPr>
  </w:style>
  <w:style w:type="character" w:styleId="IntenseReference">
    <w:name w:val="Intense Reference"/>
    <w:basedOn w:val="DefaultParagraphFont"/>
    <w:uiPriority w:val="32"/>
    <w:qFormat/>
    <w:rsid w:val="00964A5E"/>
    <w:rPr>
      <w:b/>
      <w:bCs/>
      <w:smallCaps/>
      <w:color w:val="0F4761" w:themeColor="accent1" w:themeShade="BF"/>
      <w:spacing w:val="5"/>
    </w:rPr>
  </w:style>
  <w:style w:type="character" w:styleId="Hyperlink">
    <w:name w:val="Hyperlink"/>
    <w:basedOn w:val="DefaultParagraphFont"/>
    <w:uiPriority w:val="99"/>
    <w:unhideWhenUsed/>
    <w:rsid w:val="00FC4812"/>
    <w:rPr>
      <w:color w:val="467886" w:themeColor="hyperlink"/>
      <w:u w:val="single"/>
    </w:rPr>
  </w:style>
  <w:style w:type="character" w:styleId="UnresolvedMention">
    <w:name w:val="Unresolved Mention"/>
    <w:basedOn w:val="DefaultParagraphFont"/>
    <w:uiPriority w:val="99"/>
    <w:semiHidden/>
    <w:unhideWhenUsed/>
    <w:rsid w:val="00FC4812"/>
    <w:rPr>
      <w:color w:val="605E5C"/>
      <w:shd w:val="clear" w:color="auto" w:fill="E1DFDD"/>
    </w:rPr>
  </w:style>
  <w:style w:type="table" w:styleId="TableGrid">
    <w:name w:val="Table Grid"/>
    <w:basedOn w:val="TableNormal"/>
    <w:uiPriority w:val="39"/>
    <w:rsid w:val="009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42"/>
  </w:style>
  <w:style w:type="paragraph" w:styleId="Footer">
    <w:name w:val="footer"/>
    <w:basedOn w:val="Normal"/>
    <w:link w:val="FooterChar"/>
    <w:uiPriority w:val="99"/>
    <w:unhideWhenUsed/>
    <w:rsid w:val="0026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spb.kerala.gov.in/sites/default/files/inline-files/1.1Agriculture.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internal.imd.gov.in/press_release/20250115_pr_3554.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5468/dl.k3yzgj" TargetMode="External"/><Relationship Id="rId20" Type="http://schemas.openxmlformats.org/officeDocument/2006/relationships/hyperlink" Target="https://www.indianspices.com/sites/default/files/cultivation_practices-pepper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007/s10265-016-0859-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12</Pages>
  <Words>4331</Words>
  <Characters>24689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lakshmi</dc:creator>
  <cp:keywords/>
  <dc:description/>
  <cp:lastModifiedBy>SDI 1084</cp:lastModifiedBy>
  <cp:revision>27</cp:revision>
  <dcterms:created xsi:type="dcterms:W3CDTF">2025-11-06T22:36:00Z</dcterms:created>
  <dcterms:modified xsi:type="dcterms:W3CDTF">2025-11-11T06:36:00Z</dcterms:modified>
</cp:coreProperties>
</file>