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B9D7C" w14:textId="77777777" w:rsidR="00EC3679" w:rsidRDefault="00EC3679" w:rsidP="00507393">
      <w:pPr>
        <w:pStyle w:val="NormalWeb"/>
        <w:spacing w:before="0" w:beforeAutospacing="0" w:after="0" w:afterAutospacing="0" w:line="276" w:lineRule="auto"/>
        <w:jc w:val="both"/>
        <w:rPr>
          <w:rFonts w:ascii="Arial" w:eastAsiaTheme="minorHAnsi" w:hAnsi="Arial" w:cs="Arial"/>
          <w:b/>
          <w:bCs/>
          <w:iCs/>
          <w:sz w:val="36"/>
          <w:szCs w:val="36"/>
          <w:lang w:val="en-US" w:eastAsia="en-US"/>
        </w:rPr>
      </w:pPr>
      <w:bookmarkStart w:id="0" w:name="_Hlk212378746"/>
      <w:bookmarkStart w:id="1" w:name="_Toc194534460"/>
      <w:bookmarkStart w:id="2" w:name="_Toc193852458"/>
      <w:r w:rsidRPr="00EC3679">
        <w:rPr>
          <w:rFonts w:ascii="Arial" w:eastAsiaTheme="minorHAnsi" w:hAnsi="Arial" w:cs="Arial"/>
          <w:b/>
          <w:bCs/>
          <w:iCs/>
          <w:sz w:val="36"/>
          <w:szCs w:val="36"/>
          <w:lang w:val="en-US" w:eastAsia="en-US"/>
        </w:rPr>
        <w:t xml:space="preserve">Original Research Article </w:t>
      </w:r>
    </w:p>
    <w:p w14:paraId="0E7744DF" w14:textId="77777777" w:rsidR="00EC3679" w:rsidRDefault="00EC3679" w:rsidP="00507393">
      <w:pPr>
        <w:pStyle w:val="NormalWeb"/>
        <w:spacing w:before="0" w:beforeAutospacing="0" w:after="0" w:afterAutospacing="0" w:line="276" w:lineRule="auto"/>
        <w:jc w:val="both"/>
        <w:rPr>
          <w:rFonts w:ascii="Arial" w:eastAsiaTheme="minorHAnsi" w:hAnsi="Arial" w:cs="Arial"/>
          <w:b/>
          <w:bCs/>
          <w:iCs/>
          <w:sz w:val="36"/>
          <w:szCs w:val="36"/>
          <w:lang w:val="en-US" w:eastAsia="en-US"/>
        </w:rPr>
      </w:pPr>
    </w:p>
    <w:p w14:paraId="6447DF4E" w14:textId="1CA559EB" w:rsidR="00507393" w:rsidRDefault="00507393" w:rsidP="00507393">
      <w:pPr>
        <w:pStyle w:val="NormalWeb"/>
        <w:spacing w:before="0" w:beforeAutospacing="0" w:after="0" w:afterAutospacing="0" w:line="276" w:lineRule="auto"/>
        <w:jc w:val="both"/>
        <w:rPr>
          <w:rFonts w:ascii="Arial" w:eastAsiaTheme="minorHAnsi" w:hAnsi="Arial" w:cs="Arial"/>
          <w:b/>
          <w:bCs/>
          <w:iCs/>
          <w:sz w:val="36"/>
          <w:szCs w:val="36"/>
          <w:lang w:val="en-US" w:eastAsia="en-US"/>
        </w:rPr>
      </w:pPr>
      <w:proofErr w:type="spellStart"/>
      <w:r w:rsidRPr="00890A0B">
        <w:rPr>
          <w:rFonts w:ascii="Arial" w:eastAsiaTheme="minorHAnsi" w:hAnsi="Arial" w:cs="Arial"/>
          <w:b/>
          <w:bCs/>
          <w:iCs/>
          <w:sz w:val="36"/>
          <w:szCs w:val="36"/>
          <w:lang w:val="en-US" w:eastAsia="en-US"/>
        </w:rPr>
        <w:t>Characterisation</w:t>
      </w:r>
      <w:proofErr w:type="spellEnd"/>
      <w:r w:rsidRPr="00890A0B">
        <w:rPr>
          <w:rFonts w:ascii="Arial" w:eastAsiaTheme="minorHAnsi" w:hAnsi="Arial" w:cs="Arial"/>
          <w:b/>
          <w:bCs/>
          <w:iCs/>
          <w:sz w:val="36"/>
          <w:szCs w:val="36"/>
          <w:lang w:val="en-US" w:eastAsia="en-US"/>
        </w:rPr>
        <w:t xml:space="preserve"> and Energy </w:t>
      </w:r>
      <w:proofErr w:type="spellStart"/>
      <w:r w:rsidRPr="00890A0B">
        <w:rPr>
          <w:rFonts w:ascii="Arial" w:eastAsiaTheme="minorHAnsi" w:hAnsi="Arial" w:cs="Arial"/>
          <w:b/>
          <w:bCs/>
          <w:iCs/>
          <w:sz w:val="36"/>
          <w:szCs w:val="36"/>
          <w:lang w:val="en-US" w:eastAsia="en-US"/>
        </w:rPr>
        <w:t>Valorisation</w:t>
      </w:r>
      <w:proofErr w:type="spellEnd"/>
      <w:r w:rsidRPr="00890A0B">
        <w:rPr>
          <w:rFonts w:ascii="Arial" w:eastAsiaTheme="minorHAnsi" w:hAnsi="Arial" w:cs="Arial"/>
          <w:b/>
          <w:bCs/>
          <w:iCs/>
          <w:sz w:val="36"/>
          <w:szCs w:val="36"/>
          <w:lang w:val="en-US" w:eastAsia="en-US"/>
        </w:rPr>
        <w:t xml:space="preserve"> Trials of Septic Tank Sludge from Urban Areas: A Case Study of Abomey-</w:t>
      </w:r>
      <w:proofErr w:type="spellStart"/>
      <w:r w:rsidRPr="00890A0B">
        <w:rPr>
          <w:rFonts w:ascii="Arial" w:eastAsiaTheme="minorHAnsi" w:hAnsi="Arial" w:cs="Arial"/>
          <w:b/>
          <w:bCs/>
          <w:iCs/>
          <w:sz w:val="36"/>
          <w:szCs w:val="36"/>
          <w:lang w:val="en-US" w:eastAsia="en-US"/>
        </w:rPr>
        <w:t>Calavi</w:t>
      </w:r>
      <w:proofErr w:type="spellEnd"/>
      <w:r w:rsidRPr="00890A0B">
        <w:rPr>
          <w:rFonts w:ascii="Arial" w:eastAsiaTheme="minorHAnsi" w:hAnsi="Arial" w:cs="Arial"/>
          <w:b/>
          <w:bCs/>
          <w:iCs/>
          <w:sz w:val="36"/>
          <w:szCs w:val="36"/>
          <w:lang w:val="en-US" w:eastAsia="en-US"/>
        </w:rPr>
        <w:t xml:space="preserve"> in Benin</w:t>
      </w:r>
    </w:p>
    <w:p w14:paraId="344E8DDA" w14:textId="77777777" w:rsidR="00890A0B" w:rsidRPr="00890A0B" w:rsidRDefault="00890A0B" w:rsidP="00507393">
      <w:pPr>
        <w:pStyle w:val="NormalWeb"/>
        <w:spacing w:before="0" w:beforeAutospacing="0" w:after="0" w:afterAutospacing="0" w:line="276" w:lineRule="auto"/>
        <w:jc w:val="both"/>
        <w:rPr>
          <w:rFonts w:ascii="Arial" w:eastAsiaTheme="minorHAnsi" w:hAnsi="Arial" w:cs="Arial"/>
          <w:b/>
          <w:bCs/>
          <w:iCs/>
          <w:sz w:val="36"/>
          <w:szCs w:val="36"/>
          <w:lang w:val="en-US" w:eastAsia="en-US"/>
        </w:rPr>
      </w:pPr>
    </w:p>
    <w:bookmarkEnd w:id="0"/>
    <w:p w14:paraId="45C0D810" w14:textId="2E713E77" w:rsidR="003D39D8" w:rsidRDefault="003D39D8" w:rsidP="000F4475">
      <w:pPr>
        <w:jc w:val="both"/>
        <w:rPr>
          <w:rFonts w:ascii="Times New Roman" w:hAnsi="Times New Roman" w:cs="Times New Roman"/>
          <w:b/>
          <w:bCs/>
          <w:sz w:val="28"/>
          <w:szCs w:val="24"/>
          <w:lang w:val="en-US"/>
        </w:rPr>
      </w:pPr>
    </w:p>
    <w:p w14:paraId="49763525" w14:textId="77777777" w:rsidR="0022472E" w:rsidRDefault="0022472E" w:rsidP="000F4475">
      <w:pPr>
        <w:jc w:val="both"/>
        <w:rPr>
          <w:rFonts w:ascii="Times New Roman" w:hAnsi="Times New Roman" w:cs="Times New Roman"/>
          <w:b/>
          <w:bCs/>
          <w:sz w:val="28"/>
          <w:szCs w:val="24"/>
          <w:lang w:val="en-US"/>
        </w:rPr>
      </w:pPr>
    </w:p>
    <w:p w14:paraId="122DA72C" w14:textId="77777777" w:rsidR="000F4475" w:rsidRPr="003D39D8" w:rsidRDefault="000F4475" w:rsidP="000F4475">
      <w:pPr>
        <w:spacing w:after="0" w:line="360" w:lineRule="auto"/>
        <w:jc w:val="both"/>
        <w:rPr>
          <w:rFonts w:ascii="Arial" w:hAnsi="Arial" w:cs="Arial"/>
          <w:b/>
          <w:bCs/>
          <w:lang w:val="en-US"/>
        </w:rPr>
      </w:pPr>
      <w:r w:rsidRPr="003D39D8">
        <w:rPr>
          <w:rFonts w:ascii="Arial" w:hAnsi="Arial" w:cs="Arial"/>
          <w:b/>
          <w:bCs/>
          <w:lang w:val="en-US"/>
        </w:rPr>
        <w:t>Abstract</w:t>
      </w:r>
    </w:p>
    <w:bookmarkEnd w:id="1"/>
    <w:p w14:paraId="7C72EFCA" w14:textId="77777777" w:rsidR="00D36DB8" w:rsidRDefault="008C1C8E" w:rsidP="000F4475">
      <w:pPr>
        <w:pStyle w:val="NormalWeb"/>
        <w:spacing w:before="0" w:beforeAutospacing="0" w:after="0" w:afterAutospacing="0" w:line="360" w:lineRule="auto"/>
        <w:jc w:val="both"/>
        <w:rPr>
          <w:lang w:val="en-US"/>
        </w:rPr>
      </w:pPr>
      <w:r w:rsidRPr="003D39D8">
        <w:rPr>
          <w:rFonts w:ascii="Arial" w:hAnsi="Arial" w:cs="Arial"/>
          <w:b/>
          <w:sz w:val="22"/>
          <w:szCs w:val="22"/>
          <w:lang w:val="en-US"/>
        </w:rPr>
        <w:t>Introduction</w:t>
      </w:r>
      <w:r>
        <w:rPr>
          <w:lang w:val="en-US"/>
        </w:rPr>
        <w:t xml:space="preserve">: </w:t>
      </w:r>
      <w:r w:rsidR="000F4475" w:rsidRPr="000F4475">
        <w:rPr>
          <w:lang w:val="en-US"/>
        </w:rPr>
        <w:t xml:space="preserve">Population growth is accompanied by a significant increase in waste production of all kinds, including that from latrines, which raises serious health and environmental issues. Furthermore, in today’s energy-intensive lifestyle, the exploration and </w:t>
      </w:r>
      <w:proofErr w:type="spellStart"/>
      <w:r w:rsidR="000F4475" w:rsidRPr="000F4475">
        <w:rPr>
          <w:lang w:val="en-US"/>
        </w:rPr>
        <w:t>utilisation</w:t>
      </w:r>
      <w:proofErr w:type="spellEnd"/>
      <w:r w:rsidR="000F4475" w:rsidRPr="000F4475">
        <w:rPr>
          <w:lang w:val="en-US"/>
        </w:rPr>
        <w:t xml:space="preserve"> of new renewable, sustainable, and environmentally friendly energy sources is imperative. </w:t>
      </w:r>
    </w:p>
    <w:p w14:paraId="60660A0C" w14:textId="77777777" w:rsidR="00CA500A" w:rsidRDefault="008C1C8E" w:rsidP="000F4475">
      <w:pPr>
        <w:pStyle w:val="NormalWeb"/>
        <w:spacing w:before="0" w:beforeAutospacing="0" w:after="0" w:afterAutospacing="0" w:line="360" w:lineRule="auto"/>
        <w:jc w:val="both"/>
        <w:rPr>
          <w:lang w:val="en-US"/>
        </w:rPr>
      </w:pPr>
      <w:r w:rsidRPr="003D39D8">
        <w:rPr>
          <w:rFonts w:ascii="Arial" w:hAnsi="Arial" w:cs="Arial"/>
          <w:b/>
          <w:sz w:val="22"/>
          <w:szCs w:val="22"/>
          <w:lang w:val="en-US"/>
        </w:rPr>
        <w:t>Aims</w:t>
      </w:r>
      <w:r w:rsidRPr="008C1C8E">
        <w:rPr>
          <w:b/>
          <w:lang w:val="en-US"/>
        </w:rPr>
        <w:t>:</w:t>
      </w:r>
      <w:r>
        <w:rPr>
          <w:lang w:val="en-US"/>
        </w:rPr>
        <w:t xml:space="preserve"> </w:t>
      </w:r>
      <w:r w:rsidR="000F4475" w:rsidRPr="000F4475">
        <w:rPr>
          <w:lang w:val="en-US"/>
        </w:rPr>
        <w:t xml:space="preserve">This study aims to explore the potential for energy recovery (biogas) from septic tank sludge in Benin. </w:t>
      </w:r>
    </w:p>
    <w:p w14:paraId="459C5D54" w14:textId="77777777" w:rsidR="00CA500A" w:rsidRPr="00CA500A" w:rsidRDefault="00CA500A" w:rsidP="000F4475">
      <w:pPr>
        <w:pStyle w:val="NormalWeb"/>
        <w:spacing w:before="0" w:beforeAutospacing="0" w:after="0" w:afterAutospacing="0" w:line="360" w:lineRule="auto"/>
        <w:jc w:val="both"/>
        <w:rPr>
          <w:b/>
          <w:lang w:val="en-US"/>
        </w:rPr>
      </w:pPr>
      <w:proofErr w:type="gramStart"/>
      <w:r w:rsidRPr="003D39D8">
        <w:rPr>
          <w:rFonts w:ascii="Arial" w:hAnsi="Arial" w:cs="Arial"/>
          <w:b/>
          <w:sz w:val="22"/>
          <w:szCs w:val="22"/>
          <w:lang w:val="en-US"/>
        </w:rPr>
        <w:t>Place  and</w:t>
      </w:r>
      <w:proofErr w:type="gramEnd"/>
      <w:r w:rsidRPr="003D39D8">
        <w:rPr>
          <w:rFonts w:ascii="Arial" w:hAnsi="Arial" w:cs="Arial"/>
          <w:b/>
          <w:sz w:val="22"/>
          <w:szCs w:val="22"/>
          <w:lang w:val="en-US"/>
        </w:rPr>
        <w:t xml:space="preserve">  Duration  of  Study</w:t>
      </w:r>
      <w:r>
        <w:rPr>
          <w:b/>
          <w:lang w:val="en-US"/>
        </w:rPr>
        <w:t xml:space="preserve">: </w:t>
      </w:r>
      <w:r w:rsidRPr="000F4475">
        <w:rPr>
          <w:lang w:val="en-US"/>
        </w:rPr>
        <w:t xml:space="preserve">Liquid sludge samples were collected from 29 May to 2 June 2023 at the Sludge Treatment Station (STS) in </w:t>
      </w:r>
      <w:proofErr w:type="spellStart"/>
      <w:r w:rsidRPr="000F4475">
        <w:rPr>
          <w:lang w:val="en-US"/>
        </w:rPr>
        <w:t>Adjagbo</w:t>
      </w:r>
      <w:proofErr w:type="spellEnd"/>
      <w:r w:rsidRPr="000F4475">
        <w:rPr>
          <w:lang w:val="en-US"/>
        </w:rPr>
        <w:t>, within the commune of Abomey-</w:t>
      </w:r>
      <w:proofErr w:type="spellStart"/>
      <w:r w:rsidRPr="000F4475">
        <w:rPr>
          <w:lang w:val="en-US"/>
        </w:rPr>
        <w:t>Calavi</w:t>
      </w:r>
      <w:proofErr w:type="spellEnd"/>
      <w:r w:rsidRPr="000F4475">
        <w:rPr>
          <w:lang w:val="en-US"/>
        </w:rPr>
        <w:t>.</w:t>
      </w:r>
    </w:p>
    <w:p w14:paraId="1AB539BB" w14:textId="77777777" w:rsidR="00CA500A" w:rsidRDefault="00CA500A" w:rsidP="000F4475">
      <w:pPr>
        <w:pStyle w:val="NormalWeb"/>
        <w:spacing w:before="0" w:beforeAutospacing="0" w:after="0" w:afterAutospacing="0" w:line="360" w:lineRule="auto"/>
        <w:jc w:val="both"/>
        <w:rPr>
          <w:lang w:val="en-US"/>
        </w:rPr>
      </w:pPr>
      <w:r w:rsidRPr="003D39D8">
        <w:rPr>
          <w:rFonts w:ascii="Arial" w:hAnsi="Arial" w:cs="Arial"/>
          <w:b/>
          <w:sz w:val="22"/>
          <w:szCs w:val="22"/>
          <w:lang w:val="en-US"/>
        </w:rPr>
        <w:t>Methodology</w:t>
      </w:r>
      <w:r w:rsidR="003D39D8" w:rsidRPr="003D39D8">
        <w:rPr>
          <w:rFonts w:ascii="Arial" w:hAnsi="Arial" w:cs="Arial"/>
          <w:b/>
          <w:sz w:val="22"/>
          <w:szCs w:val="22"/>
          <w:lang w:val="en-US"/>
        </w:rPr>
        <w:t>:</w:t>
      </w:r>
      <w:r>
        <w:rPr>
          <w:lang w:val="en-US"/>
        </w:rPr>
        <w:t xml:space="preserve"> </w:t>
      </w:r>
      <w:r w:rsidR="00D36DB8">
        <w:rPr>
          <w:lang w:val="en-US"/>
        </w:rPr>
        <w:t>S</w:t>
      </w:r>
      <w:r w:rsidR="000F4475" w:rsidRPr="000F4475">
        <w:rPr>
          <w:lang w:val="en-US"/>
        </w:rPr>
        <w:t xml:space="preserve">ludge is subjected to anaerobic co-digestion with simple fruit waste and in the presence of iron filings. The process lasted between 17 and 24 days, depending on the composition of the digester. </w:t>
      </w:r>
    </w:p>
    <w:p w14:paraId="35748916" w14:textId="77777777" w:rsidR="00D36DB8" w:rsidRDefault="00CA500A" w:rsidP="000F4475">
      <w:pPr>
        <w:pStyle w:val="NormalWeb"/>
        <w:spacing w:before="0" w:beforeAutospacing="0" w:after="0" w:afterAutospacing="0" w:line="360" w:lineRule="auto"/>
        <w:jc w:val="both"/>
        <w:rPr>
          <w:lang w:val="en-US"/>
        </w:rPr>
      </w:pPr>
      <w:r w:rsidRPr="003D39D8">
        <w:rPr>
          <w:rFonts w:ascii="Arial" w:hAnsi="Arial" w:cs="Arial"/>
          <w:b/>
          <w:sz w:val="22"/>
          <w:szCs w:val="22"/>
          <w:lang w:val="en-US"/>
        </w:rPr>
        <w:t>Results:</w:t>
      </w:r>
      <w:r>
        <w:rPr>
          <w:lang w:val="en-US"/>
        </w:rPr>
        <w:t xml:space="preserve"> </w:t>
      </w:r>
      <w:r w:rsidR="000F4475" w:rsidRPr="000F4475">
        <w:rPr>
          <w:lang w:val="en-US"/>
        </w:rPr>
        <w:t>The raw biogas obtained comprises methane and carbon dioxide in proportions ranging from 55.2% to 65.3% and 34.7% to 44.8% for simple co-digestion, respectively, and between 60.82% and 71.35% and 28.65% to 39.18% in the presence of iron filings.</w:t>
      </w:r>
    </w:p>
    <w:p w14:paraId="52BBD5C7" w14:textId="77777777" w:rsidR="00D36DB8" w:rsidRDefault="000F4475" w:rsidP="000F4475">
      <w:pPr>
        <w:pStyle w:val="NormalWeb"/>
        <w:spacing w:before="0" w:beforeAutospacing="0" w:after="0" w:afterAutospacing="0" w:line="360" w:lineRule="auto"/>
        <w:jc w:val="both"/>
        <w:rPr>
          <w:lang w:val="en-US"/>
        </w:rPr>
      </w:pPr>
      <w:r w:rsidRPr="000F4475">
        <w:rPr>
          <w:lang w:val="en-US"/>
        </w:rPr>
        <w:t xml:space="preserve"> The results demonstrated the effectiveness of iron filings in biogas production and a reduction in process duration during co-digestion compared to simple digestion of fruit waste. </w:t>
      </w:r>
    </w:p>
    <w:p w14:paraId="0B050365" w14:textId="77777777" w:rsidR="000F4475" w:rsidRPr="000F4475" w:rsidRDefault="00CA500A" w:rsidP="000F4475">
      <w:pPr>
        <w:pStyle w:val="NormalWeb"/>
        <w:spacing w:before="0" w:beforeAutospacing="0" w:after="0" w:afterAutospacing="0" w:line="360" w:lineRule="auto"/>
        <w:jc w:val="both"/>
        <w:rPr>
          <w:lang w:val="en-US"/>
        </w:rPr>
      </w:pPr>
      <w:r w:rsidRPr="003D39D8">
        <w:rPr>
          <w:rFonts w:ascii="Arial" w:hAnsi="Arial" w:cs="Arial"/>
          <w:b/>
          <w:sz w:val="22"/>
          <w:szCs w:val="22"/>
          <w:lang w:val="en-US"/>
        </w:rPr>
        <w:t>Conclusion</w:t>
      </w:r>
      <w:r w:rsidRPr="003D39D8">
        <w:rPr>
          <w:rFonts w:ascii="Arial" w:hAnsi="Arial" w:cs="Arial"/>
          <w:sz w:val="22"/>
          <w:szCs w:val="22"/>
          <w:lang w:val="en-US"/>
        </w:rPr>
        <w:t>:</w:t>
      </w:r>
      <w:r>
        <w:rPr>
          <w:lang w:val="en-US"/>
        </w:rPr>
        <w:t xml:space="preserve"> </w:t>
      </w:r>
      <w:r w:rsidR="000F4475" w:rsidRPr="000F4475">
        <w:rPr>
          <w:lang w:val="en-US"/>
        </w:rPr>
        <w:t xml:space="preserve">This study provides avenues for exploring the </w:t>
      </w:r>
      <w:proofErr w:type="spellStart"/>
      <w:r w:rsidR="000F4475" w:rsidRPr="000F4475">
        <w:rPr>
          <w:lang w:val="en-US"/>
        </w:rPr>
        <w:t>valorisation</w:t>
      </w:r>
      <w:proofErr w:type="spellEnd"/>
      <w:r w:rsidR="000F4475" w:rsidRPr="000F4475">
        <w:rPr>
          <w:lang w:val="en-US"/>
        </w:rPr>
        <w:t xml:space="preserve"> of sludge into renewable energy and considers the use of biodigesters in households as an alternative to conventional septic tanks.</w:t>
      </w:r>
    </w:p>
    <w:p w14:paraId="5A5FF3D6" w14:textId="3814A528" w:rsidR="000F4475" w:rsidRDefault="000F4475" w:rsidP="000F4475">
      <w:pPr>
        <w:pStyle w:val="NormalWeb"/>
        <w:spacing w:before="0" w:beforeAutospacing="0" w:after="0" w:afterAutospacing="0" w:line="360" w:lineRule="auto"/>
        <w:jc w:val="both"/>
        <w:rPr>
          <w:lang w:val="en-US"/>
        </w:rPr>
      </w:pPr>
      <w:r w:rsidRPr="003D39D8">
        <w:rPr>
          <w:rFonts w:ascii="Arial" w:eastAsiaTheme="majorEastAsia" w:hAnsi="Arial" w:cs="Arial"/>
          <w:b/>
          <w:bCs/>
          <w:sz w:val="22"/>
          <w:szCs w:val="22"/>
          <w:lang w:val="en-US"/>
        </w:rPr>
        <w:t>Keywords</w:t>
      </w:r>
      <w:r w:rsidRPr="003D39D8">
        <w:rPr>
          <w:rFonts w:ascii="Arial" w:eastAsiaTheme="majorEastAsia" w:hAnsi="Arial" w:cs="Arial"/>
          <w:bCs/>
          <w:sz w:val="22"/>
          <w:szCs w:val="22"/>
          <w:lang w:val="en-US"/>
        </w:rPr>
        <w:t>:</w:t>
      </w:r>
      <w:r w:rsidRPr="000F4475">
        <w:rPr>
          <w:lang w:val="en-US"/>
        </w:rPr>
        <w:t xml:space="preserve"> Sludge, anaerobic co-digestion, biogas, </w:t>
      </w:r>
      <w:proofErr w:type="spellStart"/>
      <w:r w:rsidRPr="000F4475">
        <w:rPr>
          <w:lang w:val="en-US"/>
        </w:rPr>
        <w:t>valorisation</w:t>
      </w:r>
      <w:proofErr w:type="spellEnd"/>
      <w:r w:rsidRPr="000F4475">
        <w:rPr>
          <w:lang w:val="en-US"/>
        </w:rPr>
        <w:t>, Benin.</w:t>
      </w:r>
    </w:p>
    <w:p w14:paraId="0B10B7C4" w14:textId="1B669194" w:rsidR="0022472E" w:rsidRDefault="0022472E" w:rsidP="000F4475">
      <w:pPr>
        <w:pStyle w:val="NormalWeb"/>
        <w:spacing w:before="0" w:beforeAutospacing="0" w:after="0" w:afterAutospacing="0" w:line="360" w:lineRule="auto"/>
        <w:jc w:val="both"/>
        <w:rPr>
          <w:lang w:val="en-US"/>
        </w:rPr>
      </w:pPr>
    </w:p>
    <w:p w14:paraId="48EB9728" w14:textId="77777777" w:rsidR="0022472E" w:rsidRDefault="0022472E" w:rsidP="000F4475">
      <w:pPr>
        <w:pStyle w:val="NormalWeb"/>
        <w:spacing w:before="0" w:beforeAutospacing="0" w:after="0" w:afterAutospacing="0" w:line="360" w:lineRule="auto"/>
        <w:jc w:val="both"/>
        <w:rPr>
          <w:lang w:val="en-US"/>
        </w:rPr>
      </w:pPr>
    </w:p>
    <w:p w14:paraId="2E1A30C9" w14:textId="77777777" w:rsidR="003D39D8" w:rsidRPr="000F4475" w:rsidRDefault="003D39D8" w:rsidP="000F4475">
      <w:pPr>
        <w:pStyle w:val="NormalWeb"/>
        <w:spacing w:before="0" w:beforeAutospacing="0" w:after="0" w:afterAutospacing="0" w:line="360" w:lineRule="auto"/>
        <w:jc w:val="both"/>
        <w:rPr>
          <w:lang w:val="en-US"/>
        </w:rPr>
      </w:pPr>
    </w:p>
    <w:p w14:paraId="3DCE52E8" w14:textId="77777777" w:rsidR="000F4475" w:rsidRPr="00CA500A" w:rsidRDefault="000F4475" w:rsidP="00CA500A">
      <w:pPr>
        <w:pStyle w:val="NormalWeb"/>
        <w:numPr>
          <w:ilvl w:val="0"/>
          <w:numId w:val="7"/>
        </w:numPr>
        <w:spacing w:before="0" w:beforeAutospacing="0" w:after="0" w:afterAutospacing="0" w:line="360" w:lineRule="auto"/>
        <w:jc w:val="both"/>
        <w:rPr>
          <w:rFonts w:ascii="Arial" w:hAnsi="Arial" w:cs="Arial"/>
          <w:b/>
          <w:sz w:val="22"/>
          <w:szCs w:val="22"/>
          <w:lang w:val="en-US"/>
        </w:rPr>
      </w:pPr>
      <w:r w:rsidRPr="00CA500A">
        <w:rPr>
          <w:rFonts w:ascii="Arial" w:eastAsiaTheme="majorEastAsia" w:hAnsi="Arial" w:cs="Arial"/>
          <w:b/>
          <w:bCs/>
          <w:sz w:val="22"/>
          <w:szCs w:val="22"/>
          <w:lang w:val="en-US"/>
        </w:rPr>
        <w:t>Introduction</w:t>
      </w:r>
    </w:p>
    <w:p w14:paraId="2F4F577D" w14:textId="77777777" w:rsidR="00C03E20" w:rsidRPr="00CA500A" w:rsidRDefault="000F4475" w:rsidP="000F4475">
      <w:pPr>
        <w:pStyle w:val="NormalWeb"/>
        <w:spacing w:before="0" w:beforeAutospacing="0" w:after="0" w:afterAutospacing="0" w:line="360" w:lineRule="auto"/>
        <w:jc w:val="both"/>
        <w:rPr>
          <w:rFonts w:ascii="Arial" w:hAnsi="Arial" w:cs="Arial"/>
          <w:sz w:val="20"/>
          <w:szCs w:val="20"/>
          <w:lang w:val="en-US"/>
        </w:rPr>
      </w:pPr>
      <w:r w:rsidRPr="00CA500A">
        <w:rPr>
          <w:rFonts w:ascii="Arial" w:hAnsi="Arial" w:cs="Arial"/>
          <w:sz w:val="20"/>
          <w:szCs w:val="20"/>
          <w:lang w:val="en-US"/>
        </w:rPr>
        <w:t xml:space="preserve">Urban areas in all countries, particularly those in the developing </w:t>
      </w:r>
      <w:r w:rsidR="00C03E20" w:rsidRPr="00CA500A">
        <w:rPr>
          <w:rFonts w:ascii="Arial" w:hAnsi="Arial" w:cs="Arial"/>
          <w:sz w:val="20"/>
          <w:szCs w:val="20"/>
          <w:lang w:val="en-US"/>
        </w:rPr>
        <w:t>nations</w:t>
      </w:r>
      <w:r w:rsidRPr="00CA500A">
        <w:rPr>
          <w:rFonts w:ascii="Arial" w:hAnsi="Arial" w:cs="Arial"/>
          <w:sz w:val="20"/>
          <w:szCs w:val="20"/>
          <w:lang w:val="en-US"/>
        </w:rPr>
        <w:t>, have faced significant challenges in managing population growth in recent decades</w:t>
      </w:r>
      <w:r w:rsidR="00D36DB8" w:rsidRPr="00CA500A">
        <w:rPr>
          <w:rFonts w:ascii="Arial" w:hAnsi="Arial" w:cs="Arial"/>
          <w:sz w:val="20"/>
          <w:szCs w:val="20"/>
          <w:lang w:val="en-US"/>
        </w:rPr>
        <w:t xml:space="preserve"> </w:t>
      </w:r>
      <w:r w:rsidRPr="00CA500A">
        <w:rPr>
          <w:rFonts w:ascii="Arial" w:hAnsi="Arial" w:cs="Arial"/>
          <w:sz w:val="20"/>
          <w:szCs w:val="20"/>
          <w:lang w:val="en-US"/>
        </w:rPr>
        <w:t>one of humanity's greatest challenges</w:t>
      </w:r>
      <w:r w:rsidR="006C1F68">
        <w:rPr>
          <w:rFonts w:ascii="Arial" w:hAnsi="Arial" w:cs="Arial"/>
          <w:sz w:val="20"/>
          <w:szCs w:val="20"/>
          <w:lang w:val="en-US"/>
        </w:rPr>
        <w:t xml:space="preserve"> </w:t>
      </w:r>
      <w:r w:rsidR="006C1F68">
        <w:rPr>
          <w:rFonts w:ascii="Arial" w:hAnsi="Arial" w:cs="Arial"/>
          <w:sz w:val="20"/>
          <w:szCs w:val="20"/>
          <w:lang w:val="en-US"/>
        </w:rPr>
        <w:fldChar w:fldCharType="begin"/>
      </w:r>
      <w:r w:rsidR="006C1F68">
        <w:rPr>
          <w:rFonts w:ascii="Arial" w:hAnsi="Arial" w:cs="Arial"/>
          <w:sz w:val="20"/>
          <w:szCs w:val="20"/>
          <w:lang w:val="en-US"/>
        </w:rPr>
        <w:instrText xml:space="preserve"> ADDIN ZOTERO_ITEM CSL_CITATION {"citationID":"ieumDx7z","properties":{"formattedCitation":"(Guengant and May, 2011)","plainCitation":"(Guengant and May, 2011)","noteIndex":0},"citationItems":[{"id":295,"uris":["http://zotero.org/users/9694973/items/4J337ADT"],"itemData":{"id":295,"type":"article-journal","abstract":"RésuméLa population mondiale dépassera les 7 milliards d’habitants vers fin octobre 2011. Cette annonce, fort médiatisée, a eu le mérite d’attirer à nouveau l’attention internationale sur les questions démographiques. Celles-ci continuent à interpeller les décideurs et les agences de développement, particulièrement en Afrique subsaharienne.","container-title":"Études","DOI":"10.3917/etu.4154.0305","ISSN":"0014-1941","issue":"10","journalAbbreviation":"Études","language":"fr","note":"publisher-place: Paris\npublisher: S.E.R.","page":"305-316","source":"Cairn.info","title":"L'Afrique subsaharienne dans la démographie mondiale","URL":"https://www.cairn.info/revue-etudes-2011-10-page-305.htm","volume":"415","author":[{"family":"Guengant","given":"Jean-Pierre"},{"family":"May","given":"John F."}],"accessed":{"date-parts":[["2023",4,15]]},"issued":{"date-parts":[["2011"]]}}}],"schema":"https://github.com/citation-style-language/schema/raw/master/csl-citation.json"} </w:instrText>
      </w:r>
      <w:r w:rsidR="006C1F68">
        <w:rPr>
          <w:rFonts w:ascii="Arial" w:hAnsi="Arial" w:cs="Arial"/>
          <w:sz w:val="20"/>
          <w:szCs w:val="20"/>
          <w:lang w:val="en-US"/>
        </w:rPr>
        <w:fldChar w:fldCharType="separate"/>
      </w:r>
      <w:r w:rsidR="006C1F68" w:rsidRPr="0044624A">
        <w:rPr>
          <w:rFonts w:ascii="Arial" w:hAnsi="Arial" w:cs="Arial"/>
          <w:sz w:val="20"/>
          <w:lang w:val="en-US"/>
        </w:rPr>
        <w:t>(Guengant and May, 2011)</w:t>
      </w:r>
      <w:r w:rsidR="006C1F68">
        <w:rPr>
          <w:rFonts w:ascii="Arial" w:hAnsi="Arial" w:cs="Arial"/>
          <w:sz w:val="20"/>
          <w:szCs w:val="20"/>
          <w:lang w:val="en-US"/>
        </w:rPr>
        <w:fldChar w:fldCharType="end"/>
      </w:r>
      <w:r w:rsidRPr="00CA500A">
        <w:rPr>
          <w:rFonts w:ascii="Arial" w:hAnsi="Arial" w:cs="Arial"/>
          <w:sz w:val="20"/>
          <w:szCs w:val="20"/>
          <w:lang w:val="en-US"/>
        </w:rPr>
        <w:t>. This demographic increase has resulted in a substantial rise in waste production, with household waste contributing notably to health and environmental problems</w:t>
      </w:r>
      <w:r w:rsidR="006C1F68">
        <w:rPr>
          <w:rFonts w:ascii="Arial" w:hAnsi="Arial" w:cs="Arial"/>
          <w:sz w:val="20"/>
          <w:szCs w:val="20"/>
          <w:lang w:val="en-US"/>
        </w:rPr>
        <w:t xml:space="preserve"> </w:t>
      </w:r>
      <w:r w:rsidR="006C1F68">
        <w:rPr>
          <w:rFonts w:ascii="Arial" w:hAnsi="Arial" w:cs="Arial"/>
          <w:sz w:val="20"/>
          <w:szCs w:val="20"/>
          <w:lang w:val="en-US"/>
        </w:rPr>
        <w:fldChar w:fldCharType="begin"/>
      </w:r>
      <w:r w:rsidR="006C1F68">
        <w:rPr>
          <w:rFonts w:ascii="Arial" w:hAnsi="Arial" w:cs="Arial"/>
          <w:sz w:val="20"/>
          <w:szCs w:val="20"/>
          <w:lang w:val="en-US"/>
        </w:rPr>
        <w:instrText xml:space="preserve"> ADDIN ZOTERO_ITEM CSL_CITATION {"citationID":"45VlR7MG","properties":{"formattedCitation":"(Gashaw, 2014)","plainCitation":"(Gashaw, 2014)","noteIndex":0},"citationItems":[{"id":81,"uris":["http://zotero.org/users/9694973/items/L7GE59UX"],"itemData":{"id":81,"type":"article-journal","container-title":"American Journal of Applied Chemistry","DOI":"10.11648/j.ajac.20140204.12","ISSN":"2330-8753","issue":"4","journalAbbreviation":"AJAC","language":"en","page":"55","source":"DOI.org (Crossref)","title":"Anaerobic Co-Digestion of Biodegradable Municipal Solid Waste with Human Excreta for Biogas Production: A Review","title-short":"Anaerobic Co-Digestion of Biodegradable Municipal Solid Waste with Human Excreta for Biogas Production","URL":"http://www.sciencepublishinggroup.com/journal/paperinfo.aspx?journalid=227&amp;doi=10.11648/j.ajac.20140204.12","volume":"2","author":[{"family":"Gashaw","given":"Alemayehu"}],"accessed":{"date-parts":[["2022",7,19]]},"issued":{"date-parts":[["2014"]]}}}],"schema":"https://github.com/citation-style-language/schema/raw/master/csl-citation.json"} </w:instrText>
      </w:r>
      <w:r w:rsidR="006C1F68">
        <w:rPr>
          <w:rFonts w:ascii="Arial" w:hAnsi="Arial" w:cs="Arial"/>
          <w:sz w:val="20"/>
          <w:szCs w:val="20"/>
          <w:lang w:val="en-US"/>
        </w:rPr>
        <w:fldChar w:fldCharType="separate"/>
      </w:r>
      <w:r w:rsidR="006C1F68" w:rsidRPr="0044624A">
        <w:rPr>
          <w:rFonts w:ascii="Arial" w:hAnsi="Arial" w:cs="Arial"/>
          <w:sz w:val="20"/>
          <w:lang w:val="en-US"/>
        </w:rPr>
        <w:t>(Gashaw, 2014)</w:t>
      </w:r>
      <w:r w:rsidR="006C1F68">
        <w:rPr>
          <w:rFonts w:ascii="Arial" w:hAnsi="Arial" w:cs="Arial"/>
          <w:sz w:val="20"/>
          <w:szCs w:val="20"/>
          <w:lang w:val="en-US"/>
        </w:rPr>
        <w:fldChar w:fldCharType="end"/>
      </w:r>
      <w:r w:rsidRPr="00CA500A">
        <w:rPr>
          <w:rFonts w:ascii="Arial" w:hAnsi="Arial" w:cs="Arial"/>
          <w:sz w:val="20"/>
          <w:szCs w:val="20"/>
          <w:lang w:val="en-US"/>
        </w:rPr>
        <w:t xml:space="preserve">. Among these wastes, septic tank sludge stands out as a neglected aspect of urban sanitation, posing a considerable challenge for management. This environmental issue concerns all stakeholders within the community. According to research conducted by </w:t>
      </w:r>
      <w:proofErr w:type="spellStart"/>
      <w:r w:rsidRPr="00CA500A">
        <w:rPr>
          <w:rFonts w:ascii="Arial" w:hAnsi="Arial" w:cs="Arial"/>
          <w:sz w:val="20"/>
          <w:szCs w:val="20"/>
          <w:lang w:val="en-US"/>
        </w:rPr>
        <w:t>Topanou</w:t>
      </w:r>
      <w:proofErr w:type="spellEnd"/>
      <w:r w:rsidRPr="00CA500A">
        <w:rPr>
          <w:rFonts w:ascii="Arial" w:hAnsi="Arial" w:cs="Arial"/>
          <w:sz w:val="20"/>
          <w:szCs w:val="20"/>
          <w:lang w:val="en-US"/>
        </w:rPr>
        <w:t xml:space="preserve"> et al. in 2024, septic tanks and latrines in the commune of Abomey-</w:t>
      </w:r>
      <w:proofErr w:type="spellStart"/>
      <w:r w:rsidRPr="00CA500A">
        <w:rPr>
          <w:rFonts w:ascii="Arial" w:hAnsi="Arial" w:cs="Arial"/>
          <w:sz w:val="20"/>
          <w:szCs w:val="20"/>
          <w:lang w:val="en-US"/>
        </w:rPr>
        <w:t>Calavi</w:t>
      </w:r>
      <w:proofErr w:type="spellEnd"/>
      <w:r w:rsidRPr="00CA500A">
        <w:rPr>
          <w:rFonts w:ascii="Arial" w:hAnsi="Arial" w:cs="Arial"/>
          <w:sz w:val="20"/>
          <w:szCs w:val="20"/>
          <w:lang w:val="en-US"/>
        </w:rPr>
        <w:t xml:space="preserve"> (Benin) are often emptied only when completely full, subsequently emitting foul-smelling gaseous products</w:t>
      </w:r>
      <w:r w:rsidR="00F37E09">
        <w:rPr>
          <w:rFonts w:ascii="Arial" w:hAnsi="Arial" w:cs="Arial"/>
          <w:sz w:val="20"/>
          <w:szCs w:val="20"/>
          <w:lang w:val="en-US"/>
        </w:rPr>
        <w:t xml:space="preserve"> </w:t>
      </w:r>
      <w:r w:rsidR="00F37E09">
        <w:rPr>
          <w:rFonts w:ascii="Arial" w:hAnsi="Arial" w:cs="Arial"/>
          <w:sz w:val="20"/>
          <w:szCs w:val="20"/>
          <w:lang w:val="en-US"/>
        </w:rPr>
        <w:fldChar w:fldCharType="begin"/>
      </w:r>
      <w:r w:rsidR="00F37E09">
        <w:rPr>
          <w:rFonts w:ascii="Arial" w:hAnsi="Arial" w:cs="Arial"/>
          <w:sz w:val="20"/>
          <w:szCs w:val="20"/>
          <w:lang w:val="en-US"/>
        </w:rPr>
        <w:instrText xml:space="preserve"> ADDIN ZOTERO_ITEM CSL_CITATION {"citationID":"LOZC3jjT","properties":{"formattedCitation":"(Topanou et al., 2024)","plainCitation":"(Topanou et al., 2024)","noteIndex":0},"citationItems":[{"id":911,"uris":["http://zotero.org/users/9694973/items/9PR5T6JS"],"itemData":{"id":911,"type":"article-journal","container-title":"Journal of Environmental Protection","DOI":"10.4236/jep.2024.157044","ISSN":"2152-2197, 2152-2219","issue":"07","journalAbbreviation":"JEP","page":"767-780","source":"DOI.org (Crossref)","title":"Uncovering the Challenges of Faecal Sludge Management in Benin&amp;#8217;s Urban Hubs: The Cases of Abomey-Calavi and Natitingou","title-short":"Uncovering the Challenges of Faecal Sludge Management in Benin&amp;#8217;s Urban Hubs","URL":"https://www.scirp.org/journal/doi.aspx?doi=10.4236/jep.2024.157044","volume":"15","author":[{"family":"Topanou","given":"Nikita"},{"family":"Agbatchi","given":"Blaise"},{"family":"Gbaguidi","given":"Gouvidé Jean"},{"family":"Fatombi","given":"Jacques"},{"family":"Tchobo","given":"Fidèle Paul"}],"accessed":{"date-parts":[["2024",10,1]]},"issued":{"date-parts":[["2024"]]}}}],"schema":"https://github.com/citation-style-language/schema/raw/master/csl-citation.json"} </w:instrText>
      </w:r>
      <w:r w:rsidR="00F37E09">
        <w:rPr>
          <w:rFonts w:ascii="Arial" w:hAnsi="Arial" w:cs="Arial"/>
          <w:sz w:val="20"/>
          <w:szCs w:val="20"/>
          <w:lang w:val="en-US"/>
        </w:rPr>
        <w:fldChar w:fldCharType="separate"/>
      </w:r>
      <w:r w:rsidR="00F37E09" w:rsidRPr="0044624A">
        <w:rPr>
          <w:rFonts w:ascii="Arial" w:hAnsi="Arial" w:cs="Arial"/>
          <w:sz w:val="20"/>
          <w:lang w:val="en-US"/>
        </w:rPr>
        <w:t>(Topanou et al., 2024)</w:t>
      </w:r>
      <w:r w:rsidR="00F37E09">
        <w:rPr>
          <w:rFonts w:ascii="Arial" w:hAnsi="Arial" w:cs="Arial"/>
          <w:sz w:val="20"/>
          <w:szCs w:val="20"/>
          <w:lang w:val="en-US"/>
        </w:rPr>
        <w:fldChar w:fldCharType="end"/>
      </w:r>
      <w:r w:rsidRPr="00CA500A">
        <w:rPr>
          <w:rFonts w:ascii="Arial" w:hAnsi="Arial" w:cs="Arial"/>
          <w:sz w:val="20"/>
          <w:szCs w:val="20"/>
          <w:lang w:val="en-US"/>
        </w:rPr>
        <w:t>. The organic matter settling in the tank undergoes biological transformation through anaerobic processes (liquefaction, acidogenesis, acetogenesis, and methanogenesis), during which numerous reduced compounds dissolve in the liquid phase, releasing volatile compounds, notably carbon dioxide and methane</w:t>
      </w:r>
      <w:r w:rsidR="00F37E09">
        <w:rPr>
          <w:rFonts w:ascii="Arial" w:hAnsi="Arial" w:cs="Arial"/>
          <w:sz w:val="20"/>
          <w:szCs w:val="20"/>
          <w:lang w:val="en-US"/>
        </w:rPr>
        <w:t xml:space="preserve"> </w:t>
      </w:r>
      <w:r w:rsidR="00F37E09">
        <w:rPr>
          <w:rFonts w:ascii="Arial" w:hAnsi="Arial" w:cs="Arial"/>
          <w:sz w:val="20"/>
          <w:szCs w:val="20"/>
          <w:lang w:val="en-US"/>
        </w:rPr>
        <w:fldChar w:fldCharType="begin"/>
      </w:r>
      <w:r w:rsidR="00F37E09">
        <w:rPr>
          <w:rFonts w:ascii="Arial" w:hAnsi="Arial" w:cs="Arial"/>
          <w:sz w:val="20"/>
          <w:szCs w:val="20"/>
          <w:lang w:val="en-US"/>
        </w:rPr>
        <w:instrText xml:space="preserve"> ADDIN ZOTERO_ITEM CSL_CITATION {"citationID":"RVnESs9X","properties":{"formattedCitation":"(Jean-Pierre et al., 2009)","plainCitation":"(Jean-Pierre et al., 2009)","noteIndex":0},"citationItems":[{"id":16,"uris":["http://zotero.org/users/9694973/items/2A2Y3N2U"],"itemData":{"id":16,"type":"document","title":"Guide technique sur les Matières de Vidange issues de l’assainissement non collectif : Caractérisation, collecte et traitements envisageables.","author":[{"family":"Jean-Pierre","given":"Canler"},{"family":"Jean-Marc Perret","given":""},{"family":"Clément Crétollier","given":""},{"family":"Paul Le Pimpec","given":""},{"family":"Stéphane Troesch","given":""},{"family":"Mickaël Mesnier","given":""}],"issued":{"date-parts":[["2009"]]}}}],"schema":"https://github.com/citation-style-language/schema/raw/master/csl-citation.json"} </w:instrText>
      </w:r>
      <w:r w:rsidR="00F37E09">
        <w:rPr>
          <w:rFonts w:ascii="Arial" w:hAnsi="Arial" w:cs="Arial"/>
          <w:sz w:val="20"/>
          <w:szCs w:val="20"/>
          <w:lang w:val="en-US"/>
        </w:rPr>
        <w:fldChar w:fldCharType="separate"/>
      </w:r>
      <w:r w:rsidR="00F37E09" w:rsidRPr="0044624A">
        <w:rPr>
          <w:rFonts w:ascii="Arial" w:hAnsi="Arial" w:cs="Arial"/>
          <w:sz w:val="20"/>
          <w:lang w:val="en-US"/>
        </w:rPr>
        <w:t>(Jean-Pierre et al., 2009)</w:t>
      </w:r>
      <w:r w:rsidR="00F37E09">
        <w:rPr>
          <w:rFonts w:ascii="Arial" w:hAnsi="Arial" w:cs="Arial"/>
          <w:sz w:val="20"/>
          <w:szCs w:val="20"/>
          <w:lang w:val="en-US"/>
        </w:rPr>
        <w:fldChar w:fldCharType="end"/>
      </w:r>
      <w:r w:rsidRPr="00CA500A">
        <w:rPr>
          <w:rFonts w:ascii="Arial" w:hAnsi="Arial" w:cs="Arial"/>
          <w:sz w:val="20"/>
          <w:szCs w:val="20"/>
          <w:lang w:val="en-US"/>
        </w:rPr>
        <w:t>. Furthermore, the release of large quantities of carbon dioxide and methane</w:t>
      </w:r>
      <w:r w:rsidR="00D36DB8" w:rsidRPr="00CA500A">
        <w:rPr>
          <w:rFonts w:ascii="Arial" w:hAnsi="Arial" w:cs="Arial"/>
          <w:sz w:val="20"/>
          <w:szCs w:val="20"/>
          <w:lang w:val="en-US"/>
        </w:rPr>
        <w:t xml:space="preserve"> </w:t>
      </w:r>
      <w:r w:rsidRPr="00CA500A">
        <w:rPr>
          <w:rFonts w:ascii="Arial" w:hAnsi="Arial" w:cs="Arial"/>
          <w:sz w:val="20"/>
          <w:szCs w:val="20"/>
          <w:lang w:val="en-US"/>
        </w:rPr>
        <w:t>potent greenhouse gases</w:t>
      </w:r>
      <w:r w:rsidR="00D36DB8" w:rsidRPr="00CA500A">
        <w:rPr>
          <w:rFonts w:ascii="Arial" w:hAnsi="Arial" w:cs="Arial"/>
          <w:sz w:val="20"/>
          <w:szCs w:val="20"/>
          <w:lang w:val="en-US"/>
        </w:rPr>
        <w:t xml:space="preserve"> </w:t>
      </w:r>
      <w:r w:rsidRPr="00CA500A">
        <w:rPr>
          <w:rFonts w:ascii="Arial" w:hAnsi="Arial" w:cs="Arial"/>
          <w:sz w:val="20"/>
          <w:szCs w:val="20"/>
          <w:lang w:val="en-US"/>
        </w:rPr>
        <w:t>into the environment during the decomposition of these wastes significantly contributes to global warming. In today’s energy-intensive lifestyle, the exploration of new renewable and sustainable energy sources is essential.</w:t>
      </w:r>
    </w:p>
    <w:p w14:paraId="11DC1BA6" w14:textId="77777777" w:rsidR="000F4475" w:rsidRPr="00CA500A" w:rsidRDefault="000F4475" w:rsidP="000F4475">
      <w:pPr>
        <w:pStyle w:val="NormalWeb"/>
        <w:spacing w:before="0" w:beforeAutospacing="0" w:after="0" w:afterAutospacing="0" w:line="360" w:lineRule="auto"/>
        <w:jc w:val="both"/>
        <w:rPr>
          <w:rFonts w:ascii="Arial" w:hAnsi="Arial" w:cs="Arial"/>
          <w:sz w:val="20"/>
          <w:szCs w:val="20"/>
          <w:lang w:val="en-US"/>
        </w:rPr>
      </w:pPr>
      <w:r w:rsidRPr="00CA500A">
        <w:rPr>
          <w:rFonts w:ascii="Arial" w:hAnsi="Arial" w:cs="Arial"/>
          <w:sz w:val="20"/>
          <w:szCs w:val="20"/>
          <w:lang w:val="en-US"/>
        </w:rPr>
        <w:t xml:space="preserve"> By 2040, the world is projected to have a population of 9 to 10 billion, necessitating adequate energy and material provision. The majority of residents in developing countries lack regular access to advanced energy forms, such as electricity, and thus rely heavily on solid fuels, such as firewood, to meet basic energy needs such as cooking and lighting. Environmental, regulatory, and societal considerations have led to the emergence of the idea that all types of waste should be viewed as a resource to be exploited. According to </w:t>
      </w:r>
      <w:proofErr w:type="spellStart"/>
      <w:r w:rsidRPr="00CA500A">
        <w:rPr>
          <w:rFonts w:ascii="Arial" w:hAnsi="Arial" w:cs="Arial"/>
          <w:sz w:val="20"/>
          <w:szCs w:val="20"/>
          <w:lang w:val="en-US"/>
        </w:rPr>
        <w:t>d’Arras</w:t>
      </w:r>
      <w:proofErr w:type="spellEnd"/>
      <w:r w:rsidRPr="00CA500A">
        <w:rPr>
          <w:rFonts w:ascii="Arial" w:hAnsi="Arial" w:cs="Arial"/>
          <w:sz w:val="20"/>
          <w:szCs w:val="20"/>
          <w:lang w:val="en-US"/>
        </w:rPr>
        <w:t xml:space="preserve">, waste should be </w:t>
      </w:r>
      <w:proofErr w:type="spellStart"/>
      <w:r w:rsidRPr="00CA500A">
        <w:rPr>
          <w:rFonts w:ascii="Arial" w:hAnsi="Arial" w:cs="Arial"/>
          <w:sz w:val="20"/>
          <w:szCs w:val="20"/>
          <w:lang w:val="en-US"/>
        </w:rPr>
        <w:t>utilised</w:t>
      </w:r>
      <w:proofErr w:type="spellEnd"/>
      <w:r w:rsidRPr="00CA500A">
        <w:rPr>
          <w:rFonts w:ascii="Arial" w:hAnsi="Arial" w:cs="Arial"/>
          <w:sz w:val="20"/>
          <w:szCs w:val="20"/>
          <w:lang w:val="en-US"/>
        </w:rPr>
        <w:t xml:space="preserve"> to its fullest potential; thus, its </w:t>
      </w:r>
      <w:proofErr w:type="spellStart"/>
      <w:r w:rsidRPr="00CA500A">
        <w:rPr>
          <w:rFonts w:ascii="Arial" w:hAnsi="Arial" w:cs="Arial"/>
          <w:sz w:val="20"/>
          <w:szCs w:val="20"/>
          <w:lang w:val="en-US"/>
        </w:rPr>
        <w:t>valorisation</w:t>
      </w:r>
      <w:proofErr w:type="spellEnd"/>
      <w:r w:rsidRPr="00CA500A">
        <w:rPr>
          <w:rFonts w:ascii="Arial" w:hAnsi="Arial" w:cs="Arial"/>
          <w:sz w:val="20"/>
          <w:szCs w:val="20"/>
          <w:lang w:val="en-US"/>
        </w:rPr>
        <w:t xml:space="preserve"> is not only beneficial but necessary</w:t>
      </w:r>
      <w:r w:rsidR="00F37E09">
        <w:rPr>
          <w:rFonts w:ascii="Arial" w:hAnsi="Arial" w:cs="Arial"/>
          <w:sz w:val="20"/>
          <w:szCs w:val="20"/>
          <w:lang w:val="en-US"/>
        </w:rPr>
        <w:t xml:space="preserve"> </w:t>
      </w:r>
      <w:r w:rsidR="00F37E09">
        <w:rPr>
          <w:rFonts w:ascii="Arial" w:hAnsi="Arial" w:cs="Arial"/>
          <w:sz w:val="20"/>
          <w:szCs w:val="20"/>
          <w:lang w:val="en-US"/>
        </w:rPr>
        <w:fldChar w:fldCharType="begin"/>
      </w:r>
      <w:r w:rsidR="00F37E09">
        <w:rPr>
          <w:rFonts w:ascii="Arial" w:hAnsi="Arial" w:cs="Arial"/>
          <w:sz w:val="20"/>
          <w:szCs w:val="20"/>
          <w:lang w:val="en-US"/>
        </w:rPr>
        <w:instrText xml:space="preserve"> ADDIN ZOTERO_ITEM CSL_CITATION {"citationID":"Xs2cdDjw","properties":{"formattedCitation":"(d\\uc0\\u8217{}Arras, 2008; Sefouhi et al., 2010)","plainCitation":"(d’Arras, 2008; Sefouhi et al., 2010)","noteIndex":0},"citationItems":[{"id":34,"uris":["http://zotero.org/users/9694973/items/6RK4Z744"],"itemData":{"id":34,"type":"article-journal","container-title":"Annales des Mines - Réalités industrielles","DOI":"10.3917/rindu.084.0042","ISSN":"1148-7941, 2271-7978","issue":"4","language":"fr","page":"42","source":"DOI.org (Crossref)","title":"Les déchets, sur la voie de l'économie circulaire","URL":"http://www.cairn.info/revue-realites-industrielles1-2008-4-page-42.htm","volume":"Novembre 2008","author":[{"family":"Arras","given":"Diane","non-dropping-particle":"d’"}],"accessed":{"date-parts":[["2022",8,25]]},"issued":{"date-parts":[["2008"]]}}},{"id":28,"uris":["http://zotero.org/users/9694973/items/TYYJG2WJ"],"itemData":{"id":28,"type":"article-journal","abstract":"Conséquence de notre mode de vie, les déchets ne cessent de croître en quantité, en complexité, voire en nocivité. Une prise de conscience conduit les pouvoirs publics et l’ensemble des partenaires concernés (industriels, collectivités locales et pouvoirs publics notamment) à mettre en place des politiques pour une meilleure gestion des déchets, en cherchant à maîtriser les impacts environnementaux et sanitaires sur toute la chaîne allant de leur production à leur élimination.\nCette étude est centrée sur les déchets ménagers et assimilés dont le ramassage relève du service public (responsabilité de la commune). Alors que, pour l’essentiel, ces déchets sont mis en décharge, ils pourraient être en grande partie recyclés.\nEn Algérie, la gestion des déchets ménagers solides s’inscrit dans un schéma assez sommaire, allant de la production des déchets à leur regroupement sur un site de décharge ; c’est, entre autres, le cas de la ville de Batna. Notre étude a porté d’abord sur une caractérisation des déchets ménagers produits, pour proposer un type de traitement adéquat (recyclage, compostage, incinération ou enfouissement sanitaire), cela dans une perspective d’un développement durable.","container-title":"Environnement, Ingénierie &amp; Développement","DOI":"10.4267/dechets-sciences-techniques.2994","note":"publisher: Episciences","page":"11-15","source":"HAL Archives Ouvertes","title":"Etude pour une gestion durable des déchets ménagers de la ville de Batna (Algérie)","URL":"https://hal.archives-ouvertes.fr/hal-03172928","volume":"N°58 - Avril 2010","author":[{"family":"Sefouhi","given":"Linda"},{"family":"Kalla","given":"Mahdi"},{"family":"Aouragh","given":"Leila"}],"accessed":{"date-parts":[["2022",8,25]]},"issued":{"date-parts":[["2010",4]]}}}],"schema":"https://github.com/citation-style-language/schema/raw/master/csl-citation.json"} </w:instrText>
      </w:r>
      <w:r w:rsidR="00F37E09">
        <w:rPr>
          <w:rFonts w:ascii="Arial" w:hAnsi="Arial" w:cs="Arial"/>
          <w:sz w:val="20"/>
          <w:szCs w:val="20"/>
          <w:lang w:val="en-US"/>
        </w:rPr>
        <w:fldChar w:fldCharType="separate"/>
      </w:r>
      <w:r w:rsidR="00F37E09" w:rsidRPr="0044624A">
        <w:rPr>
          <w:rFonts w:ascii="Arial" w:hAnsi="Arial" w:cs="Arial"/>
          <w:sz w:val="20"/>
          <w:lang w:val="en-US"/>
        </w:rPr>
        <w:t>(d’Arras, 2008; Sefouhi et al., 2010)</w:t>
      </w:r>
      <w:r w:rsidR="00F37E09">
        <w:rPr>
          <w:rFonts w:ascii="Arial" w:hAnsi="Arial" w:cs="Arial"/>
          <w:sz w:val="20"/>
          <w:szCs w:val="20"/>
          <w:lang w:val="en-US"/>
        </w:rPr>
        <w:fldChar w:fldCharType="end"/>
      </w:r>
      <w:r w:rsidRPr="00CA500A">
        <w:rPr>
          <w:rFonts w:ascii="Arial" w:hAnsi="Arial" w:cs="Arial"/>
          <w:sz w:val="20"/>
          <w:szCs w:val="20"/>
          <w:lang w:val="en-US"/>
        </w:rPr>
        <w:t>. Consequently, it is feasible to transform waste into a genuine secondary raw material. Establishing such a virtuous cycle is a demanding yet modern objective, providing a sustainable alternative to waste management challenges</w:t>
      </w:r>
      <w:r w:rsidR="00F37E09">
        <w:rPr>
          <w:rFonts w:ascii="Arial" w:hAnsi="Arial" w:cs="Arial"/>
          <w:sz w:val="20"/>
          <w:szCs w:val="20"/>
          <w:lang w:val="en-US"/>
        </w:rPr>
        <w:t xml:space="preserve"> </w:t>
      </w:r>
      <w:r w:rsidR="00F37E09">
        <w:rPr>
          <w:rFonts w:ascii="Arial" w:hAnsi="Arial" w:cs="Arial"/>
          <w:sz w:val="20"/>
          <w:szCs w:val="20"/>
          <w:lang w:val="en-US"/>
        </w:rPr>
        <w:fldChar w:fldCharType="begin"/>
      </w:r>
      <w:r w:rsidR="00F37E09">
        <w:rPr>
          <w:rFonts w:ascii="Arial" w:hAnsi="Arial" w:cs="Arial"/>
          <w:sz w:val="20"/>
          <w:szCs w:val="20"/>
          <w:lang w:val="en-US"/>
        </w:rPr>
        <w:instrText xml:space="preserve"> ADDIN ZOTERO_ITEM CSL_CITATION {"citationID":"o1RIiZyl","properties":{"formattedCitation":"(Bensmail and Touzi, 2012; Ignace et al., 2016)","plainCitation":"(Bensmail and Touzi, 2012; Ignace et al., 2016)","noteIndex":0},"citationItems":[{"id":20,"uris":["http://zotero.org/users/9694973/items/35IJ2PNM"],"itemData":{"id":20,"type":"article-journal","container-title":"Journal of Scientific Research","issue":"3","language":"fr","page":"19-23","source":"Zotero","title":"Valorisation de la biomasse à des fins énergétiques : Contribution de la production de biogaz au développement durable","volume":"1","author":[{"family":"Bensmail","given":"L"},{"family":"Touzi","given":"A"}],"issued":{"date-parts":[["2012"]]}}},{"id":680,"uris":["http://zotero.org/users/9694973/items/NH3VCPXH"],"itemData":{"id":680,"type":"article-journal","abstract":"The management of sewage sludge remains a great challenge in developing countries; as it hinder the development mainly in the big towns. Here we have conducted the anaerobic digestion experiment for recovering methane gas from sewage sludge. Iron power (IP) was applied and its impact of methane yield was investigated. Results showed that sewage sludge is a reservoir of energy in the form of methane gas. Methane recovery was greatly improved by adding IP in the AD reactor, as up to 141917.5 mL kg-1 VS could be recovered when IP is properly used compared to 98783.4 mL kg-1 VS in the blank. More specifically, methane yield was upgraded by 9.2%, 28.6% and 43.6% respectively at the dose rate of 0.3 g IP, 1 g IP and 3 g IP in 300 g of sludge (wet weight). Results also show that over dose concentration of IP (addition of 6 g IP) exercises a strong negative impact on AD process and methane yield.","container-title":"International Research Journal of Environment Sciences","journalAbbreviation":"International Research Journal of Environment Sciences","page":"2319-1414","source":"ResearchGate","title":"Biogas Recovery from Sewage Sludge during Anaerobic Digestion Process: Effect of Iron powder on Methane yield","title-short":"Biogas Recovery from Sewage Sludge during Anaerobic Digestion Process","volume":"5","author":[{"family":"Ignace","given":"Agani"},{"family":"Suanon","given":"Fidèle"},{"family":"Dimon","given":"Biaou"},{"family":"Yovo Franck, Lyde Tomètin, Daouda Mama, Eni Azandegbe","given":""}],"issued":{"date-parts":[["2016",2,1]]}}}],"schema":"https://github.com/citation-style-language/schema/raw/master/csl-citation.json"} </w:instrText>
      </w:r>
      <w:r w:rsidR="00F37E09">
        <w:rPr>
          <w:rFonts w:ascii="Arial" w:hAnsi="Arial" w:cs="Arial"/>
          <w:sz w:val="20"/>
          <w:szCs w:val="20"/>
          <w:lang w:val="en-US"/>
        </w:rPr>
        <w:fldChar w:fldCharType="separate"/>
      </w:r>
      <w:r w:rsidR="00F37E09" w:rsidRPr="0044624A">
        <w:rPr>
          <w:rFonts w:ascii="Arial" w:hAnsi="Arial" w:cs="Arial"/>
          <w:sz w:val="20"/>
          <w:lang w:val="en-US"/>
        </w:rPr>
        <w:t>(Bensmail and Touzi, 2012; Ignace et al., 2016)</w:t>
      </w:r>
      <w:r w:rsidR="00F37E09">
        <w:rPr>
          <w:rFonts w:ascii="Arial" w:hAnsi="Arial" w:cs="Arial"/>
          <w:sz w:val="20"/>
          <w:szCs w:val="20"/>
          <w:lang w:val="en-US"/>
        </w:rPr>
        <w:fldChar w:fldCharType="end"/>
      </w:r>
      <w:r w:rsidRPr="00CA500A">
        <w:rPr>
          <w:rFonts w:ascii="Arial" w:hAnsi="Arial" w:cs="Arial"/>
          <w:sz w:val="20"/>
          <w:szCs w:val="20"/>
          <w:lang w:val="en-US"/>
        </w:rPr>
        <w:t xml:space="preserve">. Managing, </w:t>
      </w:r>
      <w:proofErr w:type="spellStart"/>
      <w:r w:rsidRPr="00CA500A">
        <w:rPr>
          <w:rFonts w:ascii="Arial" w:hAnsi="Arial" w:cs="Arial"/>
          <w:sz w:val="20"/>
          <w:szCs w:val="20"/>
          <w:lang w:val="en-US"/>
        </w:rPr>
        <w:t>optimising</w:t>
      </w:r>
      <w:proofErr w:type="spellEnd"/>
      <w:r w:rsidRPr="00CA500A">
        <w:rPr>
          <w:rFonts w:ascii="Arial" w:hAnsi="Arial" w:cs="Arial"/>
          <w:sz w:val="20"/>
          <w:szCs w:val="20"/>
          <w:lang w:val="en-US"/>
        </w:rPr>
        <w:t xml:space="preserve">, and </w:t>
      </w:r>
      <w:proofErr w:type="spellStart"/>
      <w:r w:rsidRPr="00CA500A">
        <w:rPr>
          <w:rFonts w:ascii="Arial" w:hAnsi="Arial" w:cs="Arial"/>
          <w:sz w:val="20"/>
          <w:szCs w:val="20"/>
          <w:lang w:val="en-US"/>
        </w:rPr>
        <w:t>valorising</w:t>
      </w:r>
      <w:proofErr w:type="spellEnd"/>
      <w:r w:rsidRPr="00CA500A">
        <w:rPr>
          <w:rFonts w:ascii="Arial" w:hAnsi="Arial" w:cs="Arial"/>
          <w:sz w:val="20"/>
          <w:szCs w:val="20"/>
          <w:lang w:val="en-US"/>
        </w:rPr>
        <w:t xml:space="preserve"> waste have become commitments to the future</w:t>
      </w:r>
      <w:r w:rsidR="00F36AE2">
        <w:rPr>
          <w:rFonts w:ascii="Arial" w:hAnsi="Arial" w:cs="Arial"/>
          <w:sz w:val="20"/>
          <w:szCs w:val="20"/>
          <w:lang w:val="en-US"/>
        </w:rPr>
        <w:t xml:space="preserve"> </w:t>
      </w:r>
      <w:r w:rsidR="00F36AE2">
        <w:rPr>
          <w:rFonts w:ascii="Arial" w:hAnsi="Arial" w:cs="Arial"/>
          <w:sz w:val="20"/>
          <w:szCs w:val="20"/>
          <w:lang w:val="en-US"/>
        </w:rPr>
        <w:fldChar w:fldCharType="begin"/>
      </w:r>
      <w:r w:rsidR="00F36AE2">
        <w:rPr>
          <w:rFonts w:ascii="Arial" w:hAnsi="Arial" w:cs="Arial"/>
          <w:sz w:val="20"/>
          <w:szCs w:val="20"/>
          <w:lang w:val="en-US"/>
        </w:rPr>
        <w:instrText xml:space="preserve"> ADDIN ZOTERO_ITEM CSL_CITATION {"citationID":"ngM1sRx7","properties":{"formattedCitation":"(d\\uc0\\u8217{}Arras, 2008)","plainCitation":"(d’Arras, 2008)","noteIndex":0},"citationItems":[{"id":34,"uris":["http://zotero.org/users/9694973/items/6RK4Z744"],"itemData":{"id":34,"type":"article-journal","container-title":"Annales des Mines - Réalités industrielles","DOI":"10.3917/rindu.084.0042","ISSN":"1148-7941, 2271-7978","issue":"4","language":"fr","page":"42","source":"DOI.org (Crossref)","title":"Les déchets, sur la voie de l'économie circulaire","URL":"http://www.cairn.info/revue-realites-industrielles1-2008-4-page-42.htm","volume":"Novembre 2008","author":[{"family":"Arras","given":"Diane","non-dropping-particle":"d’"}],"accessed":{"date-parts":[["2022",8,25]]},"issued":{"date-parts":[["2008"]]}}}],"schema":"https://github.com/citation-style-language/schema/raw/master/csl-citation.json"} </w:instrText>
      </w:r>
      <w:r w:rsidR="00F36AE2">
        <w:rPr>
          <w:rFonts w:ascii="Arial" w:hAnsi="Arial" w:cs="Arial"/>
          <w:sz w:val="20"/>
          <w:szCs w:val="20"/>
          <w:lang w:val="en-US"/>
        </w:rPr>
        <w:fldChar w:fldCharType="separate"/>
      </w:r>
      <w:r w:rsidR="00F36AE2" w:rsidRPr="0044624A">
        <w:rPr>
          <w:rFonts w:ascii="Arial" w:hAnsi="Arial" w:cs="Arial"/>
          <w:sz w:val="20"/>
          <w:lang w:val="en-US"/>
        </w:rPr>
        <w:t>(d’Arras, 2008)</w:t>
      </w:r>
      <w:r w:rsidR="00F36AE2">
        <w:rPr>
          <w:rFonts w:ascii="Arial" w:hAnsi="Arial" w:cs="Arial"/>
          <w:sz w:val="20"/>
          <w:szCs w:val="20"/>
          <w:lang w:val="en-US"/>
        </w:rPr>
        <w:fldChar w:fldCharType="end"/>
      </w:r>
      <w:r w:rsidRPr="00CA500A">
        <w:rPr>
          <w:rFonts w:ascii="Arial" w:hAnsi="Arial" w:cs="Arial"/>
          <w:sz w:val="20"/>
          <w:szCs w:val="20"/>
          <w:lang w:val="en-US"/>
        </w:rPr>
        <w:t>.</w:t>
      </w:r>
    </w:p>
    <w:p w14:paraId="441D5C7D" w14:textId="77777777" w:rsidR="000F4475" w:rsidRPr="00CA500A" w:rsidRDefault="000F4475" w:rsidP="000F4475">
      <w:pPr>
        <w:pStyle w:val="NormalWeb"/>
        <w:spacing w:before="0" w:beforeAutospacing="0" w:after="0" w:afterAutospacing="0" w:line="360" w:lineRule="auto"/>
        <w:jc w:val="both"/>
        <w:rPr>
          <w:rFonts w:ascii="Arial" w:hAnsi="Arial" w:cs="Arial"/>
          <w:sz w:val="20"/>
          <w:szCs w:val="20"/>
          <w:lang w:val="en-US"/>
        </w:rPr>
      </w:pPr>
      <w:r w:rsidRPr="00CA500A">
        <w:rPr>
          <w:rFonts w:ascii="Arial" w:hAnsi="Arial" w:cs="Arial"/>
          <w:sz w:val="20"/>
          <w:szCs w:val="20"/>
          <w:lang w:val="en-US"/>
        </w:rPr>
        <w:t>Moreover, numerous studies indicate that poor management of septic tank sludge and other types of waste is responsible for various nuisances, including aesthetic and olfactory issues, and the increasing detection of groundwater contamination has prompted the development of the concept of aquifer vulnerability to pollution</w:t>
      </w:r>
      <w:r w:rsidR="00F36AE2">
        <w:rPr>
          <w:rFonts w:ascii="Arial" w:hAnsi="Arial" w:cs="Arial"/>
          <w:sz w:val="20"/>
          <w:szCs w:val="20"/>
          <w:lang w:val="en-US"/>
        </w:rPr>
        <w:t xml:space="preserve"> </w:t>
      </w:r>
      <w:r w:rsidR="00F36AE2">
        <w:rPr>
          <w:rFonts w:ascii="Arial" w:hAnsi="Arial" w:cs="Arial"/>
          <w:sz w:val="20"/>
          <w:szCs w:val="20"/>
          <w:lang w:val="en-US"/>
        </w:rPr>
        <w:fldChar w:fldCharType="begin"/>
      </w:r>
      <w:r w:rsidR="00F36AE2">
        <w:rPr>
          <w:rFonts w:ascii="Arial" w:hAnsi="Arial" w:cs="Arial"/>
          <w:sz w:val="20"/>
          <w:szCs w:val="20"/>
          <w:lang w:val="en-US"/>
        </w:rPr>
        <w:instrText xml:space="preserve"> ADDIN ZOTERO_ITEM CSL_CITATION {"citationID":"KIAcgpft","properties":{"formattedCitation":"(Alraggad et al., 2012; Poromna et al., 2022)","plainCitation":"(Alraggad et al., 2012; Poromna et al., 2022)","noteIndex":0},"citationItems":[{"id":304,"uris":["http://zotero.org/users/9694973/items/8XAXVZKK"],"itemData":{"id":304,"type":"article-journal","container-title":"Journal of Water Resource and Protection","DOI":"10.4236/jwarp.2012.43016","ISSN":"1945-3094, 1945-3108","issue":"03","journalAbbreviation":"JWARP","page":"133-139","source":"DOI.org (Crossref)","title":"Vulnerability of Groundwater System in Central Jordan Valley/Pollution Indicators and Decontamination Process","URL":"http://www.scirp.org/journal/doi.aspx?DOI=10.4236/jwarp.2012.43016","volume":"04","author":[{"family":"Alraggad","given":"Marwan"},{"family":"Al-Saleh","given":"Sahar"},{"family":"Al-Amoush","given":"Hani"},{"family":"Jasem","given":"Alsharifa Hind"},{"family":"Isied","given":"Dawoud"}],"accessed":{"date-parts":[["2023",4,18]]},"issued":{"date-parts":[["2012"]]}}},{"id":12,"uris":["http://zotero.org/users/9694973/items/SDXK28FC"],"itemData":{"id":12,"type":"article-journal","container-title":"European Scientific Journal, ESJ","DOI":"https://doi.org/10.19044/esj.2022.v18n21p208","issue":"21","page":"208-244","title":"Evaluation de la Vulnérabilité des Nappes Phréatiques à la  Pollution engendrée par la Mauvaise Gestion des boues de Vidange dans la Ville d’Aného au Togo","volume":"18","author":[{"family":"Poromna","given":"H."},{"family":"Gado","given":"A.R."},{"family":"Kangni-Dossou","given":"M."},{"family":"Gnandi","given":"K."},{"family":"Ameyapoh","given":"Y."}],"issued":{"date-parts":[["2022"]]}}}],"schema":"https://github.com/citation-style-language/schema/raw/master/csl-citation.json"} </w:instrText>
      </w:r>
      <w:r w:rsidR="00F36AE2">
        <w:rPr>
          <w:rFonts w:ascii="Arial" w:hAnsi="Arial" w:cs="Arial"/>
          <w:sz w:val="20"/>
          <w:szCs w:val="20"/>
          <w:lang w:val="en-US"/>
        </w:rPr>
        <w:fldChar w:fldCharType="separate"/>
      </w:r>
      <w:r w:rsidR="00F36AE2" w:rsidRPr="0044624A">
        <w:rPr>
          <w:rFonts w:ascii="Arial" w:hAnsi="Arial" w:cs="Arial"/>
          <w:sz w:val="20"/>
          <w:lang w:val="en-US"/>
        </w:rPr>
        <w:t>(Alraggad et al., 2012; Poromna et al., 2022)</w:t>
      </w:r>
      <w:r w:rsidR="00F36AE2">
        <w:rPr>
          <w:rFonts w:ascii="Arial" w:hAnsi="Arial" w:cs="Arial"/>
          <w:sz w:val="20"/>
          <w:szCs w:val="20"/>
          <w:lang w:val="en-US"/>
        </w:rPr>
        <w:fldChar w:fldCharType="end"/>
      </w:r>
      <w:r w:rsidRPr="00CA500A">
        <w:rPr>
          <w:rFonts w:ascii="Arial" w:hAnsi="Arial" w:cs="Arial"/>
          <w:sz w:val="20"/>
          <w:szCs w:val="20"/>
          <w:lang w:val="en-US"/>
        </w:rPr>
        <w:t>. Benin, a West African country with a population exceeding thirteen million in 2023, is not exempt from these challenges</w:t>
      </w:r>
      <w:r w:rsidR="002079AD">
        <w:rPr>
          <w:rFonts w:ascii="Arial" w:hAnsi="Arial" w:cs="Arial"/>
          <w:sz w:val="20"/>
          <w:szCs w:val="20"/>
          <w:lang w:val="en-US"/>
        </w:rPr>
        <w:t xml:space="preserve"> </w:t>
      </w:r>
      <w:r w:rsidR="002079AD">
        <w:rPr>
          <w:rFonts w:ascii="Arial" w:hAnsi="Arial" w:cs="Arial"/>
          <w:sz w:val="20"/>
          <w:szCs w:val="20"/>
          <w:lang w:val="en-US"/>
        </w:rPr>
        <w:fldChar w:fldCharType="begin"/>
      </w:r>
      <w:r w:rsidR="002079AD">
        <w:rPr>
          <w:rFonts w:ascii="Arial" w:hAnsi="Arial" w:cs="Arial"/>
          <w:sz w:val="20"/>
          <w:szCs w:val="20"/>
          <w:lang w:val="en-US"/>
        </w:rPr>
        <w:instrText xml:space="preserve"> ADDIN ZOTERO_ITEM CSL_CITATION {"citationID":"RLqYhssF","properties":{"formattedCitation":"(INSAE, 2023)","plainCitation":"(INSAE, 2023)","noteIndex":0},"citationItems":[{"id":293,"uris":["http://zotero.org/users/9694973/items/GPINZPC8"],"itemData":{"id":293,"type":"webpage","abstract":"Le Bénin, officiellement la République du Bénin et anciennement le Dahomey, est un pays d’Afrique de l’Ouest bordé par le Niger, le Burkina Faso, le Nigéria et le Togo. Malgré sa petite taille…","container-title":"ZAKWELI","language":"fr-FR","title":"La population du Bénin en 2023","URL":"https://www.zakweli.com/population-benin/","author":[{"family":"INSAE","given":""}],"accessed":{"date-parts":[["2023",4,15]]},"issued":{"date-parts":[["2023",1,25]]}}}],"schema":"https://github.com/citation-style-language/schema/raw/master/csl-citation.json"} </w:instrText>
      </w:r>
      <w:r w:rsidR="002079AD">
        <w:rPr>
          <w:rFonts w:ascii="Arial" w:hAnsi="Arial" w:cs="Arial"/>
          <w:sz w:val="20"/>
          <w:szCs w:val="20"/>
          <w:lang w:val="en-US"/>
        </w:rPr>
        <w:fldChar w:fldCharType="separate"/>
      </w:r>
      <w:r w:rsidR="002079AD" w:rsidRPr="0044624A">
        <w:rPr>
          <w:rFonts w:ascii="Arial" w:hAnsi="Arial" w:cs="Arial"/>
          <w:sz w:val="20"/>
          <w:lang w:val="en-US"/>
        </w:rPr>
        <w:t>(INSAE, 2023)</w:t>
      </w:r>
      <w:r w:rsidR="002079AD">
        <w:rPr>
          <w:rFonts w:ascii="Arial" w:hAnsi="Arial" w:cs="Arial"/>
          <w:sz w:val="20"/>
          <w:szCs w:val="20"/>
          <w:lang w:val="en-US"/>
        </w:rPr>
        <w:fldChar w:fldCharType="end"/>
      </w:r>
      <w:r w:rsidRPr="00CA500A">
        <w:rPr>
          <w:rFonts w:ascii="Arial" w:hAnsi="Arial" w:cs="Arial"/>
          <w:sz w:val="20"/>
          <w:szCs w:val="20"/>
          <w:lang w:val="en-US"/>
        </w:rPr>
        <w:t xml:space="preserve">. However, well-structured management of septic tank sludge can lead to the production of bioenergy and agricultural </w:t>
      </w:r>
      <w:proofErr w:type="spellStart"/>
      <w:r w:rsidRPr="00CA500A">
        <w:rPr>
          <w:rFonts w:ascii="Arial" w:hAnsi="Arial" w:cs="Arial"/>
          <w:sz w:val="20"/>
          <w:szCs w:val="20"/>
          <w:lang w:val="en-US"/>
        </w:rPr>
        <w:t>fertilisers</w:t>
      </w:r>
      <w:proofErr w:type="spellEnd"/>
      <w:r w:rsidRPr="00CA500A">
        <w:rPr>
          <w:rFonts w:ascii="Arial" w:hAnsi="Arial" w:cs="Arial"/>
          <w:sz w:val="20"/>
          <w:szCs w:val="20"/>
          <w:lang w:val="en-US"/>
        </w:rPr>
        <w:t>. Acknowledging the significant role of the energy sector</w:t>
      </w:r>
      <w:r w:rsidR="00C03E20" w:rsidRPr="00CA500A">
        <w:rPr>
          <w:rFonts w:ascii="Arial" w:hAnsi="Arial" w:cs="Arial"/>
          <w:sz w:val="20"/>
          <w:szCs w:val="20"/>
          <w:lang w:val="en-US"/>
        </w:rPr>
        <w:t xml:space="preserve"> </w:t>
      </w:r>
      <w:r w:rsidRPr="00CA500A">
        <w:rPr>
          <w:rFonts w:ascii="Arial" w:hAnsi="Arial" w:cs="Arial"/>
          <w:sz w:val="20"/>
          <w:szCs w:val="20"/>
          <w:lang w:val="en-US"/>
        </w:rPr>
        <w:t>whose primary challenge is to ensure an energy transition for sustainable economic and social development</w:t>
      </w:r>
      <w:r w:rsidR="00C03E20" w:rsidRPr="00CA500A">
        <w:rPr>
          <w:rFonts w:ascii="Arial" w:hAnsi="Arial" w:cs="Arial"/>
          <w:sz w:val="20"/>
          <w:szCs w:val="20"/>
          <w:lang w:val="en-US"/>
        </w:rPr>
        <w:t xml:space="preserve"> </w:t>
      </w:r>
      <w:r w:rsidRPr="00CA500A">
        <w:rPr>
          <w:rFonts w:ascii="Arial" w:hAnsi="Arial" w:cs="Arial"/>
          <w:sz w:val="20"/>
          <w:szCs w:val="20"/>
          <w:lang w:val="en-US"/>
        </w:rPr>
        <w:t xml:space="preserve">alongside waste management to protect the environment from climate change, this study aims to contribute to improved management of septic tank sludge through energy </w:t>
      </w:r>
      <w:proofErr w:type="spellStart"/>
      <w:r w:rsidRPr="00CA500A">
        <w:rPr>
          <w:rFonts w:ascii="Arial" w:hAnsi="Arial" w:cs="Arial"/>
          <w:sz w:val="20"/>
          <w:szCs w:val="20"/>
          <w:lang w:val="en-US"/>
        </w:rPr>
        <w:t>valorisation</w:t>
      </w:r>
      <w:proofErr w:type="spellEnd"/>
      <w:r w:rsidRPr="00CA500A">
        <w:rPr>
          <w:rFonts w:ascii="Arial" w:hAnsi="Arial" w:cs="Arial"/>
          <w:sz w:val="20"/>
          <w:szCs w:val="20"/>
          <w:lang w:val="en-US"/>
        </w:rPr>
        <w:t xml:space="preserve"> via anaerobic co-digestion</w:t>
      </w:r>
      <w:r w:rsidR="002079AD">
        <w:rPr>
          <w:rFonts w:ascii="Arial" w:hAnsi="Arial" w:cs="Arial"/>
          <w:sz w:val="20"/>
          <w:szCs w:val="20"/>
          <w:lang w:val="en-US"/>
        </w:rPr>
        <w:t xml:space="preserve"> </w:t>
      </w:r>
      <w:r w:rsidR="002079AD">
        <w:rPr>
          <w:rFonts w:ascii="Arial" w:hAnsi="Arial" w:cs="Arial"/>
          <w:sz w:val="20"/>
          <w:szCs w:val="20"/>
          <w:lang w:val="en-US"/>
        </w:rPr>
        <w:fldChar w:fldCharType="begin"/>
      </w:r>
      <w:r w:rsidR="002079AD">
        <w:rPr>
          <w:rFonts w:ascii="Arial" w:hAnsi="Arial" w:cs="Arial"/>
          <w:sz w:val="20"/>
          <w:szCs w:val="20"/>
          <w:lang w:val="en-US"/>
        </w:rPr>
        <w:instrText xml:space="preserve"> ADDIN ZOTERO_ITEM CSL_CITATION {"citationID":"Qze2WjZM","properties":{"formattedCitation":"(d\\uc0\\u8217{}Arras, 2008; Lo et al., 2020; Topanou et al., 2021)","plainCitation":"(d’Arras, 2008; Lo et al., 2020; Topanou et al., 2021)","noteIndex":0},"citationItems":[{"id":34,"uris":["http://zotero.org/users/9694973/items/6RK4Z744"],"itemData":{"id":34,"type":"article-journal","container-title":"Annales des Mines - Réalités industrielles","DOI":"10.3917/rindu.084.0042","ISSN":"1148-7941, 2271-7978","issue":"4","language":"fr","page":"42","source":"DOI.org (Crossref)","title":"Les déchets, sur la voie de l'économie circulaire","URL":"http://www.cairn.info/revue-realites-industrielles1-2008-4-page-42.htm","volume":"Novembre 2008","author":[{"family":"Arras","given":"Diane","non-dropping-particle":"d’"}],"accessed":{"date-parts":[["2022",8,25]]},"issued":{"date-parts":[["2008"]]}}},{"id":265,"uris":["http://zotero.org/users/9694973/items/X3BHY98S"],"itemData":{"id":265,"type":"article-journal","container-title":"International Journal of Biological and Chemical Sciences","DOI":"10.4314/ijbcs.v13i6.38","ISSN":"1997-342X, 1991-8631","issue":"6","journalAbbreviation":"Int. J. Bio. Chem. Sci","page":"2914","source":"DOI.org (Crossref)","title":"Co-compostage de boues de vidange domestiques avec des déchets maraîchers et des déchets de poissons à Dakar (Sénégal)","URL":"https://www.ajol.info/index.php/ijbcs/article/view/192385","volume":"13","author":[{"family":"Lo","given":"Maïmouna"},{"family":"Sonko","given":"El hadji Mamadou"},{"family":"Dieng","given":"Diomaye"},{"family":"Ndiaye Saliou, Diop Cheikh, Seck Alsane, Gueye Amadou","given":""}],"accessed":{"date-parts":[["2023",4,1]]},"issued":{"date-parts":[["2020",1,23]]}}},{"id":1073,"uris":["http://zotero.org/users/9694973/items/JME9QLK3"],"itemData":{"id":1073,"type":"article-journal","abstract":"The waste management is a major environmental challenge in all the countries. In the Republic of Benin, in absence of controlled landfill, the wetlands are filling in by solid household waste to set up housing environments. This study aimed at identifying the various forms of wetlands water pollutions originated by this practice. Physico-chemical parameters of sampling water were determined by using Ionic chromatography and spectrometry of atomic absorption. The microorganisms indicating fecal peril were identified by the conventional techniques of microbiology. Water quality of a witness well was also used to assess the general water quality of the backfilled wetland. The results revealed the water samples collected from backefilled wetlands were mineralized (898.32 ± 6.13 μs/cm), rich in chlorinate (237.80 ± 4.23 mg/L) and nitrates ions (224.10 ± 3.42 mg/L). They are more colored (399.23 ± 3.01 Pt/Co) and more turbid (62.5 ± 2.48 NTU) than those of the unfilled wetlands. The results of microbiological analysis shown the presence of the cysts of Giardia lamblia (590/100 L) and cysts of Entamoeba histolytica (13/100 L) in all water, except those of witness well. The frequency of water contamination by bacteria indicating general degradation is 86.4%. The embankment of the wetlands by the solid household waste leads to the water pollution.","container-title":"Natural Resources","DOI":"10.4236/nr.2021.121002","issue":"01","language":"en","note":"publisher: Scientific Research Publishing","page":"10","source":"www.scirp.org","title":"Impact of Domestic Solid Waste Management on Wet Land Water Quality: Case of Abomey-Calavi Municipality in Benin Republic","title-short":"Impact of Domestic Solid Waste Management on Wet Land Water Quality","URL":"http://www.scirp.org/journal/Paperabs.aspx?PaperID=106798","volume":"12","author":[{"family":"Topanou","given":"Nikita"},{"family":"Fatombi","given":"Jacques K."},{"family":"Gbaguidi","given":"Jean Gouvidé"},{"family":"Aminou","given":"Taofiki"},{"family":"Gérard","given":"Josse"},{"family":"Domeizel","given":"Mariane"}],"accessed":{"date-parts":[["2025",8,15]]},"issued":{"date-parts":[["2021",1,27]]}}}],"schema":"https://github.com/citation-style-language/schema/raw/master/csl-citation.json"} </w:instrText>
      </w:r>
      <w:r w:rsidR="002079AD">
        <w:rPr>
          <w:rFonts w:ascii="Arial" w:hAnsi="Arial" w:cs="Arial"/>
          <w:sz w:val="20"/>
          <w:szCs w:val="20"/>
          <w:lang w:val="en-US"/>
        </w:rPr>
        <w:fldChar w:fldCharType="separate"/>
      </w:r>
      <w:r w:rsidR="002079AD" w:rsidRPr="002079AD">
        <w:rPr>
          <w:rFonts w:ascii="Arial" w:hAnsi="Arial" w:cs="Arial"/>
          <w:sz w:val="20"/>
        </w:rPr>
        <w:t>(d’Arras, 2008; Lo et al., 2020; Topanou et al., 2021)</w:t>
      </w:r>
      <w:r w:rsidR="002079AD">
        <w:rPr>
          <w:rFonts w:ascii="Arial" w:hAnsi="Arial" w:cs="Arial"/>
          <w:sz w:val="20"/>
          <w:szCs w:val="20"/>
          <w:lang w:val="en-US"/>
        </w:rPr>
        <w:fldChar w:fldCharType="end"/>
      </w:r>
      <w:r w:rsidRPr="00CA500A">
        <w:rPr>
          <w:rFonts w:ascii="Arial" w:hAnsi="Arial" w:cs="Arial"/>
          <w:sz w:val="20"/>
          <w:szCs w:val="20"/>
          <w:lang w:val="en-US"/>
        </w:rPr>
        <w:t>.</w:t>
      </w:r>
    </w:p>
    <w:p w14:paraId="3571EF31" w14:textId="77777777" w:rsidR="000F4475" w:rsidRPr="00CA500A" w:rsidRDefault="000F4475" w:rsidP="000F4475">
      <w:pPr>
        <w:pStyle w:val="NormalWeb"/>
        <w:spacing w:before="0" w:beforeAutospacing="0" w:after="0" w:afterAutospacing="0" w:line="360" w:lineRule="auto"/>
        <w:jc w:val="both"/>
        <w:rPr>
          <w:rFonts w:ascii="Arial" w:hAnsi="Arial" w:cs="Arial"/>
          <w:sz w:val="22"/>
          <w:szCs w:val="22"/>
          <w:lang w:val="en-US"/>
        </w:rPr>
      </w:pPr>
    </w:p>
    <w:p w14:paraId="6EF20516" w14:textId="77777777" w:rsidR="000F4475" w:rsidRPr="00CA500A" w:rsidRDefault="000F4475" w:rsidP="00CA500A">
      <w:pPr>
        <w:pStyle w:val="NormalWeb"/>
        <w:numPr>
          <w:ilvl w:val="0"/>
          <w:numId w:val="7"/>
        </w:numPr>
        <w:spacing w:before="0" w:beforeAutospacing="0" w:after="160" w:afterAutospacing="0" w:line="360" w:lineRule="auto"/>
        <w:jc w:val="both"/>
        <w:rPr>
          <w:rFonts w:ascii="Arial" w:hAnsi="Arial" w:cs="Arial"/>
          <w:b/>
          <w:sz w:val="22"/>
          <w:szCs w:val="22"/>
          <w:lang w:val="en-US"/>
        </w:rPr>
      </w:pPr>
      <w:r w:rsidRPr="00CA500A">
        <w:rPr>
          <w:rFonts w:ascii="Arial" w:eastAsiaTheme="majorEastAsia" w:hAnsi="Arial" w:cs="Arial"/>
          <w:b/>
          <w:bCs/>
          <w:sz w:val="22"/>
          <w:szCs w:val="22"/>
          <w:lang w:val="en-US"/>
        </w:rPr>
        <w:t>Materials and Methods</w:t>
      </w:r>
    </w:p>
    <w:p w14:paraId="55BA1879" w14:textId="77777777" w:rsidR="000F4475" w:rsidRPr="00CA500A" w:rsidRDefault="000F4475" w:rsidP="00CA500A">
      <w:pPr>
        <w:pStyle w:val="NormalWeb"/>
        <w:numPr>
          <w:ilvl w:val="1"/>
          <w:numId w:val="7"/>
        </w:numPr>
        <w:spacing w:before="0" w:beforeAutospacing="0" w:after="160" w:afterAutospacing="0" w:line="360" w:lineRule="auto"/>
        <w:jc w:val="both"/>
        <w:rPr>
          <w:rFonts w:ascii="Arial" w:hAnsi="Arial" w:cs="Arial"/>
          <w:b/>
          <w:sz w:val="22"/>
          <w:szCs w:val="22"/>
          <w:lang w:val="en-US"/>
        </w:rPr>
      </w:pPr>
      <w:r w:rsidRPr="00CA500A">
        <w:rPr>
          <w:rFonts w:ascii="Arial" w:eastAsiaTheme="majorEastAsia" w:hAnsi="Arial" w:cs="Arial"/>
          <w:b/>
          <w:bCs/>
          <w:sz w:val="22"/>
          <w:szCs w:val="22"/>
          <w:lang w:val="en-US"/>
        </w:rPr>
        <w:t>Sample Collection of Sludge and Fruit Waste</w:t>
      </w:r>
    </w:p>
    <w:p w14:paraId="5F49C0FB" w14:textId="77777777" w:rsidR="000F4475" w:rsidRPr="00CA500A" w:rsidRDefault="000F4475" w:rsidP="000F4475">
      <w:pPr>
        <w:pStyle w:val="NormalWeb"/>
        <w:spacing w:before="0" w:beforeAutospacing="0" w:after="160" w:afterAutospacing="0" w:line="360" w:lineRule="auto"/>
        <w:jc w:val="both"/>
        <w:rPr>
          <w:rFonts w:ascii="Arial" w:hAnsi="Arial" w:cs="Arial"/>
          <w:sz w:val="20"/>
          <w:szCs w:val="20"/>
          <w:lang w:val="en-US"/>
        </w:rPr>
      </w:pPr>
      <w:r w:rsidRPr="00CA500A">
        <w:rPr>
          <w:rFonts w:ascii="Arial" w:hAnsi="Arial" w:cs="Arial"/>
          <w:sz w:val="20"/>
          <w:szCs w:val="20"/>
          <w:lang w:val="en-US"/>
        </w:rPr>
        <w:t xml:space="preserve">Liquid sludge samples were collected from 29 May to 2 June 2023 at the Sludge Treatment Station (STS) in </w:t>
      </w:r>
      <w:proofErr w:type="spellStart"/>
      <w:r w:rsidRPr="00CA500A">
        <w:rPr>
          <w:rFonts w:ascii="Arial" w:hAnsi="Arial" w:cs="Arial"/>
          <w:sz w:val="20"/>
          <w:szCs w:val="20"/>
          <w:lang w:val="en-US"/>
        </w:rPr>
        <w:t>Adjagbo</w:t>
      </w:r>
      <w:proofErr w:type="spellEnd"/>
      <w:r w:rsidRPr="00CA500A">
        <w:rPr>
          <w:rFonts w:ascii="Arial" w:hAnsi="Arial" w:cs="Arial"/>
          <w:sz w:val="20"/>
          <w:szCs w:val="20"/>
          <w:lang w:val="en-US"/>
        </w:rPr>
        <w:t>, within the commune of Abomey-</w:t>
      </w:r>
      <w:proofErr w:type="spellStart"/>
      <w:r w:rsidRPr="00CA500A">
        <w:rPr>
          <w:rFonts w:ascii="Arial" w:hAnsi="Arial" w:cs="Arial"/>
          <w:sz w:val="20"/>
          <w:szCs w:val="20"/>
          <w:lang w:val="en-US"/>
        </w:rPr>
        <w:t>Calavi</w:t>
      </w:r>
      <w:proofErr w:type="spellEnd"/>
      <w:r w:rsidRPr="00CA500A">
        <w:rPr>
          <w:rFonts w:ascii="Arial" w:hAnsi="Arial" w:cs="Arial"/>
          <w:sz w:val="20"/>
          <w:szCs w:val="20"/>
          <w:lang w:val="en-US"/>
        </w:rPr>
        <w:t>. These samples were gathered in 25-litre plastic bottles, which had been thoroughly washed with detergent, rinsed with distilled water, and allowed to dry prior to collection. To ensure a representative sample, collection occurred during the discharge of sludge by vacuum trucks, following three phases: at the beginning, after half the tanker's contents had been discharged, and at the conclusion. Thus, five samples were obtained, all comprising a mixture of septic tank and latrine sludge. The collected sludge was kept cool and promptly transported to the laboratory, with each sample labelled according to the order of collection. Fruit waste was sourced from two fruit vendors in Abomey-</w:t>
      </w:r>
      <w:proofErr w:type="spellStart"/>
      <w:r w:rsidRPr="00CA500A">
        <w:rPr>
          <w:rFonts w:ascii="Arial" w:hAnsi="Arial" w:cs="Arial"/>
          <w:sz w:val="20"/>
          <w:szCs w:val="20"/>
          <w:lang w:val="en-US"/>
        </w:rPr>
        <w:t>Calavi</w:t>
      </w:r>
      <w:proofErr w:type="spellEnd"/>
      <w:r w:rsidRPr="00CA500A">
        <w:rPr>
          <w:rFonts w:ascii="Arial" w:hAnsi="Arial" w:cs="Arial"/>
          <w:sz w:val="20"/>
          <w:szCs w:val="20"/>
          <w:lang w:val="en-US"/>
        </w:rPr>
        <w:t xml:space="preserve">, one in </w:t>
      </w:r>
      <w:proofErr w:type="spellStart"/>
      <w:r w:rsidRPr="00CA500A">
        <w:rPr>
          <w:rFonts w:ascii="Arial" w:hAnsi="Arial" w:cs="Arial"/>
          <w:sz w:val="20"/>
          <w:szCs w:val="20"/>
          <w:lang w:val="en-US"/>
        </w:rPr>
        <w:t>Bidossèssi</w:t>
      </w:r>
      <w:proofErr w:type="spellEnd"/>
      <w:r w:rsidRPr="00CA500A">
        <w:rPr>
          <w:rFonts w:ascii="Arial" w:hAnsi="Arial" w:cs="Arial"/>
          <w:sz w:val="20"/>
          <w:szCs w:val="20"/>
          <w:lang w:val="en-US"/>
        </w:rPr>
        <w:t xml:space="preserve"> and the other in </w:t>
      </w:r>
      <w:proofErr w:type="spellStart"/>
      <w:r w:rsidRPr="00CA500A">
        <w:rPr>
          <w:rFonts w:ascii="Arial" w:hAnsi="Arial" w:cs="Arial"/>
          <w:sz w:val="20"/>
          <w:szCs w:val="20"/>
          <w:lang w:val="en-US"/>
        </w:rPr>
        <w:t>Arcon-Vil</w:t>
      </w:r>
      <w:proofErr w:type="spellEnd"/>
      <w:r w:rsidRPr="00CA500A">
        <w:rPr>
          <w:rFonts w:ascii="Arial" w:hAnsi="Arial" w:cs="Arial"/>
          <w:sz w:val="20"/>
          <w:szCs w:val="20"/>
          <w:lang w:val="en-US"/>
        </w:rPr>
        <w:t>, primarily consisting of papaya and cabbage waste.</w:t>
      </w:r>
    </w:p>
    <w:p w14:paraId="2B7D5405" w14:textId="77777777" w:rsidR="000F4475" w:rsidRPr="00CA500A" w:rsidRDefault="000F4475" w:rsidP="0094473B">
      <w:pPr>
        <w:pStyle w:val="NormalWeb"/>
        <w:numPr>
          <w:ilvl w:val="1"/>
          <w:numId w:val="7"/>
        </w:numPr>
        <w:spacing w:before="0" w:beforeAutospacing="0" w:after="160" w:afterAutospacing="0" w:line="360" w:lineRule="auto"/>
        <w:jc w:val="both"/>
        <w:rPr>
          <w:rFonts w:ascii="Arial" w:hAnsi="Arial" w:cs="Arial"/>
          <w:b/>
          <w:sz w:val="22"/>
          <w:szCs w:val="22"/>
          <w:lang w:val="en-US"/>
        </w:rPr>
      </w:pPr>
      <w:r w:rsidRPr="00CA500A">
        <w:rPr>
          <w:rFonts w:ascii="Arial" w:eastAsiaTheme="majorEastAsia" w:hAnsi="Arial" w:cs="Arial"/>
          <w:b/>
          <w:bCs/>
          <w:sz w:val="22"/>
          <w:szCs w:val="22"/>
          <w:lang w:val="en-US"/>
        </w:rPr>
        <w:t>Analytical Methods</w:t>
      </w:r>
    </w:p>
    <w:p w14:paraId="020D20CE" w14:textId="77777777" w:rsidR="000F4475" w:rsidRPr="00CA500A" w:rsidRDefault="000F4475" w:rsidP="000F4475">
      <w:pPr>
        <w:pStyle w:val="NormalWeb"/>
        <w:spacing w:before="0" w:beforeAutospacing="0" w:after="160" w:afterAutospacing="0" w:line="360" w:lineRule="auto"/>
        <w:jc w:val="both"/>
        <w:rPr>
          <w:rFonts w:ascii="Arial" w:hAnsi="Arial" w:cs="Arial"/>
          <w:sz w:val="20"/>
          <w:szCs w:val="20"/>
          <w:lang w:val="en-US"/>
        </w:rPr>
      </w:pPr>
      <w:r w:rsidRPr="00CA500A">
        <w:rPr>
          <w:rFonts w:ascii="Arial" w:hAnsi="Arial" w:cs="Arial"/>
          <w:sz w:val="20"/>
          <w:szCs w:val="20"/>
          <w:lang w:val="en-US"/>
        </w:rPr>
        <w:t xml:space="preserve">The pH of the samples was measured in situ using a HACH model HQ4300 pH meter. Organic matter and organic carbon were determined by incinerating the dried sludge in an electric oven at 400°C, following the NF EN 15935 standard. Total nitrogen was measured after </w:t>
      </w:r>
      <w:proofErr w:type="spellStart"/>
      <w:r w:rsidRPr="00CA500A">
        <w:rPr>
          <w:rFonts w:ascii="Arial" w:hAnsi="Arial" w:cs="Arial"/>
          <w:sz w:val="20"/>
          <w:szCs w:val="20"/>
          <w:lang w:val="en-US"/>
        </w:rPr>
        <w:t>oxidising</w:t>
      </w:r>
      <w:proofErr w:type="spellEnd"/>
      <w:r w:rsidRPr="00CA500A">
        <w:rPr>
          <w:rFonts w:ascii="Arial" w:hAnsi="Arial" w:cs="Arial"/>
          <w:sz w:val="20"/>
          <w:szCs w:val="20"/>
          <w:lang w:val="en-US"/>
        </w:rPr>
        <w:t xml:space="preserve"> nitrogen compounds into nitrogen oxides at high temperatures, in accordance with the NF EN 12260 (T 90-060) standard</w:t>
      </w:r>
      <w:r w:rsidR="00CF29DB">
        <w:rPr>
          <w:rFonts w:ascii="Arial" w:hAnsi="Arial" w:cs="Arial"/>
          <w:sz w:val="20"/>
          <w:szCs w:val="20"/>
          <w:lang w:val="en-US"/>
        </w:rPr>
        <w:t xml:space="preserve"> </w:t>
      </w:r>
      <w:r w:rsidR="00CF29DB">
        <w:rPr>
          <w:rFonts w:ascii="Arial" w:hAnsi="Arial" w:cs="Arial"/>
          <w:sz w:val="20"/>
          <w:szCs w:val="20"/>
          <w:lang w:val="en-US"/>
        </w:rPr>
        <w:fldChar w:fldCharType="begin"/>
      </w:r>
      <w:r w:rsidR="00CF29DB">
        <w:rPr>
          <w:rFonts w:ascii="Arial" w:hAnsi="Arial" w:cs="Arial"/>
          <w:sz w:val="20"/>
          <w:szCs w:val="20"/>
          <w:lang w:val="en-US"/>
        </w:rPr>
        <w:instrText xml:space="preserve"> ADDIN ZOTERO_ITEM CSL_CITATION {"citationID":"DnpGUI4Y","properties":{"formattedCitation":"(Rodier et al., 2009)","plainCitation":"(Rodier et al., 2009)","noteIndex":0},"citationItems":[{"id":619,"uris":["http://zotero.org/users/9694973/items/DF5C964Z"],"itemData":{"id":619,"type":"book","edition":"Neuvième édition","ISBN":"978-2-10-054179-9","language":"fre","note":"OCLC: 1240717490","publisher":"DUNOD","source":"Open WorldCat","title":"L'analyse de l'eau","author":[{"family":"Rodier","given":"J."},{"family":"Legube","given":"Bernard"},{"family":"Merlet","given":"Nicole"}],"issued":{"date-parts":[["2009"]]}}}],"schema":"https://github.com/citation-style-language/schema/raw/master/csl-citation.json"} </w:instrText>
      </w:r>
      <w:r w:rsidR="00CF29DB">
        <w:rPr>
          <w:rFonts w:ascii="Arial" w:hAnsi="Arial" w:cs="Arial"/>
          <w:sz w:val="20"/>
          <w:szCs w:val="20"/>
          <w:lang w:val="en-US"/>
        </w:rPr>
        <w:fldChar w:fldCharType="separate"/>
      </w:r>
      <w:r w:rsidR="00CF29DB" w:rsidRPr="0044624A">
        <w:rPr>
          <w:rFonts w:ascii="Arial" w:hAnsi="Arial" w:cs="Arial"/>
          <w:sz w:val="20"/>
          <w:lang w:val="en-US"/>
        </w:rPr>
        <w:t>(Rodier et al., 2009)</w:t>
      </w:r>
      <w:r w:rsidR="00CF29DB">
        <w:rPr>
          <w:rFonts w:ascii="Arial" w:hAnsi="Arial" w:cs="Arial"/>
          <w:sz w:val="20"/>
          <w:szCs w:val="20"/>
          <w:lang w:val="en-US"/>
        </w:rPr>
        <w:fldChar w:fldCharType="end"/>
      </w:r>
      <w:r w:rsidRPr="00CA500A">
        <w:rPr>
          <w:rFonts w:ascii="Arial" w:hAnsi="Arial" w:cs="Arial"/>
          <w:sz w:val="20"/>
          <w:szCs w:val="20"/>
          <w:lang w:val="en-US"/>
        </w:rPr>
        <w:t>.</w:t>
      </w:r>
    </w:p>
    <w:p w14:paraId="4CB04245" w14:textId="77777777" w:rsidR="000F4475" w:rsidRPr="00CA500A" w:rsidRDefault="000F4475" w:rsidP="0094473B">
      <w:pPr>
        <w:pStyle w:val="NormalWeb"/>
        <w:numPr>
          <w:ilvl w:val="1"/>
          <w:numId w:val="7"/>
        </w:numPr>
        <w:spacing w:before="0" w:beforeAutospacing="0" w:after="160" w:afterAutospacing="0" w:line="360" w:lineRule="auto"/>
        <w:jc w:val="both"/>
        <w:rPr>
          <w:rFonts w:ascii="Arial" w:hAnsi="Arial" w:cs="Arial"/>
          <w:b/>
          <w:sz w:val="22"/>
          <w:szCs w:val="22"/>
          <w:lang w:val="en-US"/>
        </w:rPr>
      </w:pPr>
      <w:r w:rsidRPr="00CA500A">
        <w:rPr>
          <w:rFonts w:ascii="Arial" w:eastAsiaTheme="majorEastAsia" w:hAnsi="Arial" w:cs="Arial"/>
          <w:b/>
          <w:bCs/>
          <w:sz w:val="22"/>
          <w:szCs w:val="22"/>
          <w:lang w:val="en-US"/>
        </w:rPr>
        <w:t>Description of Equipment Used</w:t>
      </w:r>
    </w:p>
    <w:p w14:paraId="20EB3D31" w14:textId="77777777" w:rsidR="000F4475" w:rsidRPr="0094473B" w:rsidRDefault="000F4475" w:rsidP="000F4475">
      <w:pPr>
        <w:pStyle w:val="NormalWeb"/>
        <w:spacing w:before="0" w:beforeAutospacing="0" w:after="160" w:afterAutospacing="0" w:line="360" w:lineRule="auto"/>
        <w:jc w:val="both"/>
        <w:rPr>
          <w:rFonts w:ascii="Arial" w:hAnsi="Arial" w:cs="Arial"/>
          <w:sz w:val="20"/>
          <w:szCs w:val="20"/>
          <w:lang w:val="en-US"/>
        </w:rPr>
      </w:pPr>
      <w:r w:rsidRPr="0094473B">
        <w:rPr>
          <w:rFonts w:ascii="Arial" w:hAnsi="Arial" w:cs="Arial"/>
          <w:sz w:val="20"/>
          <w:szCs w:val="20"/>
          <w:lang w:val="en-US"/>
        </w:rPr>
        <w:t>The digesters employed in this study are cylindrical polyethylene containers with a capacity of 5000 ml. Two distinct setups were created for each sample: the first was used to quantify the raw biogas (CO2, CH4, and other trace gases) for each sample. It consisted of three transparent polyethylene vessels, the first being a 5000 ml hermetically sealed container with a stopper, and the other two being 1-litre vessels containing a hydrochloric acid solution at a pH close to 2 (to prevent the absorption of carbon dioxide and other gases) and distilled water, respectively. The latter was used to monitor biogas production. To maintain the digester temperature within the optimal range (33-45°C), the digester was submerged in a water bath, which housed an electric heater to raise the temperature. The biogas measurement system included a graduated measuring cylinder, where the displacement of water corresponded to the volume of gas produced. The entire setup is illustrated in Figure 1.</w:t>
      </w:r>
    </w:p>
    <w:p w14:paraId="7B974F66" w14:textId="77777777" w:rsidR="000F4475" w:rsidRPr="00C37070" w:rsidRDefault="000F4475" w:rsidP="000F4475">
      <w:pPr>
        <w:pStyle w:val="NormalWeb"/>
        <w:spacing w:before="0" w:beforeAutospacing="0" w:after="160" w:afterAutospacing="0" w:line="360" w:lineRule="auto"/>
        <w:jc w:val="center"/>
        <w:rPr>
          <w:rStyle w:val="SubtitleChar"/>
        </w:rPr>
      </w:pPr>
      <w:r w:rsidRPr="00C37070">
        <w:rPr>
          <w:rStyle w:val="SubtitleChar"/>
          <w:noProof/>
        </w:rPr>
        <w:lastRenderedPageBreak/>
        <w:drawing>
          <wp:inline distT="0" distB="0" distL="0" distR="0" wp14:anchorId="7EFD1E2D" wp14:editId="4F7BA05A">
            <wp:extent cx="4572165" cy="2304742"/>
            <wp:effectExtent l="0" t="0" r="0"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5232" cy="2311329"/>
                    </a:xfrm>
                    <a:prstGeom prst="rect">
                      <a:avLst/>
                    </a:prstGeom>
                    <a:noFill/>
                    <a:ln>
                      <a:noFill/>
                    </a:ln>
                  </pic:spPr>
                </pic:pic>
              </a:graphicData>
            </a:graphic>
          </wp:inline>
        </w:drawing>
      </w:r>
    </w:p>
    <w:p w14:paraId="76CDEAA5" w14:textId="77777777" w:rsidR="000F4475" w:rsidRPr="007C669B" w:rsidRDefault="000F4475" w:rsidP="007C669B">
      <w:pPr>
        <w:rPr>
          <w:rFonts w:ascii="Arial" w:hAnsi="Arial" w:cs="Arial"/>
          <w:sz w:val="20"/>
          <w:szCs w:val="20"/>
          <w:lang w:val="en-US"/>
        </w:rPr>
      </w:pPr>
      <w:bookmarkStart w:id="3" w:name="_Toc194524867"/>
      <w:r w:rsidRPr="0094473B">
        <w:rPr>
          <w:rStyle w:val="SubtitleChar"/>
          <w:rFonts w:ascii="Arial" w:hAnsi="Arial" w:cs="Arial"/>
          <w:b/>
          <w:sz w:val="20"/>
          <w:szCs w:val="20"/>
          <w:lang w:val="en-US"/>
        </w:rPr>
        <w:t xml:space="preserve">Figure </w:t>
      </w:r>
      <w:proofErr w:type="gramStart"/>
      <w:r w:rsidRPr="0094473B">
        <w:rPr>
          <w:rStyle w:val="SubtitleChar"/>
          <w:rFonts w:ascii="Arial" w:hAnsi="Arial" w:cs="Arial"/>
          <w:b/>
          <w:sz w:val="20"/>
          <w:szCs w:val="20"/>
          <w:lang w:val="en-US"/>
        </w:rPr>
        <w:t>1 :</w:t>
      </w:r>
      <w:proofErr w:type="gramEnd"/>
      <w:r w:rsidRPr="0094473B">
        <w:rPr>
          <w:rStyle w:val="SubtitleChar"/>
          <w:rFonts w:ascii="Arial" w:hAnsi="Arial" w:cs="Arial"/>
          <w:sz w:val="20"/>
          <w:szCs w:val="20"/>
          <w:lang w:val="en-US"/>
        </w:rPr>
        <w:t xml:space="preserve"> </w:t>
      </w:r>
      <w:bookmarkEnd w:id="3"/>
      <w:r w:rsidR="00FF7DEF" w:rsidRPr="0094473B">
        <w:rPr>
          <w:rFonts w:ascii="Arial" w:hAnsi="Arial" w:cs="Arial"/>
          <w:sz w:val="20"/>
          <w:szCs w:val="20"/>
          <w:lang w:val="en-US"/>
        </w:rPr>
        <w:t>Biogas production and quantification system</w:t>
      </w:r>
    </w:p>
    <w:p w14:paraId="54AFC00A" w14:textId="77777777" w:rsidR="00B02DD3" w:rsidRPr="00B02DD3" w:rsidRDefault="00B02DD3" w:rsidP="00B02DD3">
      <w:pPr>
        <w:spacing w:after="0" w:line="360" w:lineRule="auto"/>
        <w:jc w:val="both"/>
        <w:rPr>
          <w:rFonts w:ascii="Times New Roman" w:hAnsi="Times New Roman" w:cs="Times New Roman"/>
          <w:sz w:val="24"/>
          <w:szCs w:val="24"/>
          <w:lang w:val="en-US"/>
        </w:rPr>
      </w:pPr>
      <w:r w:rsidRPr="00B02DD3">
        <w:rPr>
          <w:rFonts w:ascii="Times New Roman" w:hAnsi="Times New Roman" w:cs="Times New Roman"/>
          <w:sz w:val="24"/>
          <w:szCs w:val="24"/>
          <w:lang w:val="en-US"/>
        </w:rPr>
        <w:t xml:space="preserve">The second setup was designed for the quantification of methane. In this configuration, the objective is to directly measure the volume of methane produced. To achieve this, the previous vessel was replaced with another that facilitates the absorption of undesirable gases such as carbon dioxide (CO₂) and hydrogen </w:t>
      </w:r>
      <w:proofErr w:type="spellStart"/>
      <w:r w:rsidRPr="00B02DD3">
        <w:rPr>
          <w:rFonts w:ascii="Times New Roman" w:hAnsi="Times New Roman" w:cs="Times New Roman"/>
          <w:sz w:val="24"/>
          <w:szCs w:val="24"/>
          <w:lang w:val="en-US"/>
        </w:rPr>
        <w:t>sulphide</w:t>
      </w:r>
      <w:proofErr w:type="spellEnd"/>
      <w:r w:rsidRPr="00B02DD3">
        <w:rPr>
          <w:rFonts w:ascii="Times New Roman" w:hAnsi="Times New Roman" w:cs="Times New Roman"/>
          <w:sz w:val="24"/>
          <w:szCs w:val="24"/>
          <w:lang w:val="en-US"/>
        </w:rPr>
        <w:t xml:space="preserve"> (H₂S). The CO₂ and H₂S absorption system consists of a hermetically sealed bottle containing a molar solution of sodium hydroxide or potassium hydroxide at a pH close to 12 (see Figure 2).</w:t>
      </w:r>
    </w:p>
    <w:p w14:paraId="75672276" w14:textId="77777777" w:rsidR="000F4475" w:rsidRPr="00B02DD3" w:rsidRDefault="000F4475" w:rsidP="001B3C81">
      <w:pPr>
        <w:spacing w:after="0" w:line="360" w:lineRule="auto"/>
        <w:jc w:val="center"/>
        <w:rPr>
          <w:rFonts w:ascii="Times New Roman" w:hAnsi="Times New Roman" w:cs="Times New Roman"/>
          <w:b/>
          <w:sz w:val="24"/>
          <w:szCs w:val="24"/>
          <w:lang w:val="en-US"/>
        </w:rPr>
      </w:pPr>
      <w:r w:rsidRPr="00C37070">
        <w:rPr>
          <w:rFonts w:ascii="Times New Roman" w:hAnsi="Times New Roman" w:cs="Times New Roman"/>
          <w:b/>
          <w:noProof/>
          <w:sz w:val="24"/>
          <w:szCs w:val="24"/>
          <w:lang w:eastAsia="fr-FR"/>
        </w:rPr>
        <w:drawing>
          <wp:inline distT="0" distB="0" distL="0" distR="0" wp14:anchorId="54C38E36" wp14:editId="6D338E92">
            <wp:extent cx="4905872" cy="2456478"/>
            <wp:effectExtent l="0" t="0" r="0" b="127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4942" cy="2461020"/>
                    </a:xfrm>
                    <a:prstGeom prst="rect">
                      <a:avLst/>
                    </a:prstGeom>
                    <a:noFill/>
                    <a:ln>
                      <a:noFill/>
                    </a:ln>
                  </pic:spPr>
                </pic:pic>
              </a:graphicData>
            </a:graphic>
          </wp:inline>
        </w:drawing>
      </w:r>
    </w:p>
    <w:p w14:paraId="10A1F91D" w14:textId="77777777" w:rsidR="000F4475" w:rsidRPr="00182FF4" w:rsidRDefault="007A32A1" w:rsidP="001B3C81">
      <w:pPr>
        <w:pStyle w:val="NormalWeb"/>
        <w:spacing w:before="0" w:beforeAutospacing="0" w:after="0" w:afterAutospacing="0" w:line="360" w:lineRule="auto"/>
        <w:jc w:val="center"/>
        <w:rPr>
          <w:b/>
          <w:bCs/>
          <w:u w:val="single"/>
          <w:lang w:val="en-US"/>
        </w:rPr>
      </w:pPr>
      <w:r w:rsidRPr="007C669B">
        <w:rPr>
          <w:rFonts w:ascii="Arial" w:eastAsia="Calibri" w:hAnsi="Arial" w:cs="Arial"/>
          <w:b/>
          <w:bCs/>
          <w:spacing w:val="15"/>
          <w:sz w:val="22"/>
          <w:szCs w:val="22"/>
          <w:lang w:val="en-US" w:eastAsia="en-US"/>
        </w:rPr>
        <w:lastRenderedPageBreak/>
        <w:t xml:space="preserve">Figure 2: </w:t>
      </w:r>
      <w:r w:rsidRPr="007C669B">
        <w:rPr>
          <w:rFonts w:ascii="Arial" w:eastAsia="Calibri" w:hAnsi="Arial" w:cs="Arial"/>
          <w:bCs/>
          <w:spacing w:val="15"/>
          <w:sz w:val="22"/>
          <w:szCs w:val="22"/>
          <w:lang w:val="en-US" w:eastAsia="en-US"/>
        </w:rPr>
        <w:t>Methane Production System</w:t>
      </w:r>
      <w:r w:rsidR="000F4475">
        <w:rPr>
          <w:rFonts w:eastAsia="Calibri"/>
          <w:noProof/>
          <w:kern w:val="24"/>
        </w:rPr>
        <w:drawing>
          <wp:inline distT="0" distB="0" distL="0" distR="0" wp14:anchorId="6DF178E3" wp14:editId="63B7946C">
            <wp:extent cx="3429635" cy="2114550"/>
            <wp:effectExtent l="0" t="0" r="0" b="0"/>
            <wp:docPr id="363" name="Imag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635" cy="2114550"/>
                    </a:xfrm>
                    <a:prstGeom prst="rect">
                      <a:avLst/>
                    </a:prstGeom>
                    <a:noFill/>
                  </pic:spPr>
                </pic:pic>
              </a:graphicData>
            </a:graphic>
          </wp:inline>
        </w:drawing>
      </w:r>
      <w:bookmarkStart w:id="4" w:name="_Toc194524905"/>
    </w:p>
    <w:p w14:paraId="30DE84E9" w14:textId="77777777" w:rsidR="00C03E20" w:rsidRPr="007C669B" w:rsidRDefault="00B02DD3" w:rsidP="00C03E20">
      <w:pPr>
        <w:spacing w:after="0" w:line="360" w:lineRule="auto"/>
        <w:jc w:val="center"/>
        <w:rPr>
          <w:rFonts w:ascii="Arial" w:eastAsia="Times New Roman" w:hAnsi="Arial" w:cs="Arial"/>
          <w:bCs/>
          <w:lang w:val="en-US" w:eastAsia="fr-FR"/>
        </w:rPr>
      </w:pPr>
      <w:bookmarkStart w:id="5" w:name="_Toc193852459"/>
      <w:bookmarkEnd w:id="2"/>
      <w:bookmarkEnd w:id="4"/>
      <w:r w:rsidRPr="007C669B">
        <w:rPr>
          <w:rFonts w:ascii="Arial" w:eastAsia="Times New Roman" w:hAnsi="Arial" w:cs="Arial"/>
          <w:b/>
          <w:bCs/>
          <w:lang w:val="en-US" w:eastAsia="fr-FR"/>
        </w:rPr>
        <w:t>Photo 1</w:t>
      </w:r>
      <w:r w:rsidRPr="007C669B">
        <w:rPr>
          <w:rFonts w:ascii="Arial" w:eastAsia="Times New Roman" w:hAnsi="Arial" w:cs="Arial"/>
          <w:bCs/>
          <w:lang w:val="en-US" w:eastAsia="fr-FR"/>
        </w:rPr>
        <w:t>: Close-up view of the anaerobic conditions of the experiment (©</w:t>
      </w:r>
      <w:proofErr w:type="spellStart"/>
      <w:r w:rsidRPr="007C669B">
        <w:rPr>
          <w:rFonts w:ascii="Arial" w:eastAsia="Times New Roman" w:hAnsi="Arial" w:cs="Arial"/>
          <w:bCs/>
          <w:lang w:val="en-US" w:eastAsia="fr-FR"/>
        </w:rPr>
        <w:t>Agbatchi</w:t>
      </w:r>
      <w:proofErr w:type="spellEnd"/>
      <w:r w:rsidRPr="007C669B">
        <w:rPr>
          <w:rFonts w:ascii="Arial" w:eastAsia="Times New Roman" w:hAnsi="Arial" w:cs="Arial"/>
          <w:bCs/>
          <w:lang w:val="en-US" w:eastAsia="fr-FR"/>
        </w:rPr>
        <w:t>, November 2023)</w:t>
      </w:r>
    </w:p>
    <w:p w14:paraId="639D9B09" w14:textId="77777777" w:rsidR="00B02DD3" w:rsidRPr="0094473B" w:rsidRDefault="00B02DD3" w:rsidP="0094473B">
      <w:pPr>
        <w:pStyle w:val="ListParagraph"/>
        <w:numPr>
          <w:ilvl w:val="1"/>
          <w:numId w:val="7"/>
        </w:numPr>
        <w:spacing w:after="0" w:line="360" w:lineRule="auto"/>
        <w:jc w:val="both"/>
        <w:rPr>
          <w:rFonts w:ascii="Arial" w:eastAsia="Times New Roman" w:hAnsi="Arial" w:cs="Arial"/>
          <w:bCs/>
          <w:lang w:val="en-US" w:eastAsia="fr-FR"/>
        </w:rPr>
      </w:pPr>
      <w:r w:rsidRPr="0094473B">
        <w:rPr>
          <w:rFonts w:ascii="Arial" w:eastAsia="Times New Roman" w:hAnsi="Arial" w:cs="Arial"/>
          <w:b/>
          <w:bCs/>
          <w:lang w:val="en-US" w:eastAsia="fr-FR"/>
        </w:rPr>
        <w:t>Filling the Digester</w:t>
      </w:r>
    </w:p>
    <w:p w14:paraId="3051918C" w14:textId="77777777" w:rsidR="00B02DD3" w:rsidRPr="0094473B" w:rsidRDefault="00B02DD3" w:rsidP="00B02DD3">
      <w:pPr>
        <w:spacing w:after="0" w:line="360" w:lineRule="auto"/>
        <w:jc w:val="both"/>
        <w:rPr>
          <w:rFonts w:ascii="Arial" w:eastAsia="Times New Roman" w:hAnsi="Arial" w:cs="Arial"/>
          <w:bCs/>
          <w:sz w:val="20"/>
          <w:szCs w:val="20"/>
          <w:lang w:val="en-US" w:eastAsia="fr-FR"/>
        </w:rPr>
      </w:pPr>
      <w:r w:rsidRPr="0094473B">
        <w:rPr>
          <w:rFonts w:ascii="Arial" w:eastAsia="Times New Roman" w:hAnsi="Arial" w:cs="Arial"/>
          <w:bCs/>
          <w:sz w:val="20"/>
          <w:szCs w:val="20"/>
          <w:lang w:val="en-US" w:eastAsia="fr-FR"/>
        </w:rPr>
        <w:t>After reducing the fruit waste into small particles, the samples were weighed. The resulting samples were introduced into the reactors as follows: the control reactor (R0) was filled with a mixture (M0) consisting of 2683±3 g of fresh fruit waste only. For each septic tank sludge sample, a mixture (M1) was prepared, comprising 2683±3 g of fruit waste mixed with 805 ml of septic tank sludge in a ratio of 77% fruit waste to 23% sludge</w:t>
      </w:r>
      <w:r w:rsidR="00CF29DB">
        <w:rPr>
          <w:rFonts w:ascii="Arial" w:eastAsia="Times New Roman" w:hAnsi="Arial" w:cs="Arial"/>
          <w:bCs/>
          <w:sz w:val="20"/>
          <w:szCs w:val="20"/>
          <w:lang w:val="en-US" w:eastAsia="fr-FR"/>
        </w:rPr>
        <w:t xml:space="preserve"> </w:t>
      </w:r>
      <w:r w:rsidR="00CF29DB">
        <w:rPr>
          <w:rFonts w:ascii="Arial" w:eastAsia="Times New Roman" w:hAnsi="Arial" w:cs="Arial"/>
          <w:bCs/>
          <w:sz w:val="20"/>
          <w:szCs w:val="20"/>
          <w:lang w:val="en-US" w:eastAsia="fr-FR"/>
        </w:rPr>
        <w:fldChar w:fldCharType="begin"/>
      </w:r>
      <w:r w:rsidR="00CF29DB">
        <w:rPr>
          <w:rFonts w:ascii="Arial" w:eastAsia="Times New Roman" w:hAnsi="Arial" w:cs="Arial"/>
          <w:bCs/>
          <w:sz w:val="20"/>
          <w:szCs w:val="20"/>
          <w:lang w:val="en-US" w:eastAsia="fr-FR"/>
        </w:rPr>
        <w:instrText xml:space="preserve"> ADDIN ZOTERO_ITEM CSL_CITATION {"citationID":"VvOroXJz","properties":{"formattedCitation":"(Ukondalemba et al., 2016)","plainCitation":"(Ukondalemba et al., 2016)","noteIndex":0},"citationItems":[{"id":352,"uris":["http://zotero.org/users/9694973/items/4DQADWKE"],"itemData":{"id":352,"type":"article-journal","abstract":"Among the waste treatment methods, anaerobic digestion is an attractive option for the degradation of fermentable household wastes into useful products such as biogas and high quality compost. Therefore, we conducted a comparative experimental study between the anaerobic digestion of fermentable household waste and anaerobic codigestion of fermentable household waste and septic tank sludge. The experiment was conducted in two tanks of 80 liters. The first tank was filled only with 14 kg of biodegradable household waste and the second was filled with 14 kg of household waste mixed with 4.2 L fresh septic tank sludge in a ratio Volatile Suspended Solids (VSS) of septic tank sludge on Volatile Organic Matter of waste (=MOV) (VSS / MOV = 0.3). The evolution of the COD yields a balance on the degradation of organic matter and biogas production.","container-title":"International Journal of Innovation and Scientific Research","ISSN":"2351-8014","issue":"2","language":"fr","source":"Zotero","title":"La valorisation des déchets ménagers organiques et des boues de vidange de fosses septiques par digestion anaérobie","volume":"20","author":[{"family":"Ukondalemba","given":"Léonard Mindele"},{"family":"Aleke","given":"Alex Lina"},{"family":"Ngahane","given":"Emilienne Laure"},{"family":"Eyul’Anki","given":"Dieudonné Musibono"},{"family":"Vasel","given":"Jean-Luc"}],"issued":{"date-parts":[["2016",2]]}}}],"schema":"https://github.com/citation-style-language/schema/raw/master/csl-citation.json"} </w:instrText>
      </w:r>
      <w:r w:rsidR="00CF29DB">
        <w:rPr>
          <w:rFonts w:ascii="Arial" w:eastAsia="Times New Roman" w:hAnsi="Arial" w:cs="Arial"/>
          <w:bCs/>
          <w:sz w:val="20"/>
          <w:szCs w:val="20"/>
          <w:lang w:val="en-US" w:eastAsia="fr-FR"/>
        </w:rPr>
        <w:fldChar w:fldCharType="separate"/>
      </w:r>
      <w:r w:rsidR="00CF29DB" w:rsidRPr="0044624A">
        <w:rPr>
          <w:rFonts w:ascii="Arial" w:hAnsi="Arial" w:cs="Arial"/>
          <w:sz w:val="20"/>
          <w:lang w:val="en-US"/>
        </w:rPr>
        <w:t>(Ukondalemba et al., 2016)</w:t>
      </w:r>
      <w:r w:rsidR="00CF29DB">
        <w:rPr>
          <w:rFonts w:ascii="Arial" w:eastAsia="Times New Roman" w:hAnsi="Arial" w:cs="Arial"/>
          <w:bCs/>
          <w:sz w:val="20"/>
          <w:szCs w:val="20"/>
          <w:lang w:val="en-US" w:eastAsia="fr-FR"/>
        </w:rPr>
        <w:fldChar w:fldCharType="end"/>
      </w:r>
      <w:r w:rsidRPr="0094473B">
        <w:rPr>
          <w:rFonts w:ascii="Arial" w:eastAsia="Times New Roman" w:hAnsi="Arial" w:cs="Arial"/>
          <w:bCs/>
          <w:sz w:val="20"/>
          <w:szCs w:val="20"/>
          <w:lang w:val="en-US" w:eastAsia="fr-FR"/>
        </w:rPr>
        <w:t>. This mixture was introduced into four different reactors: two contained only the mixture M1 (one for quantifying the raw biogas produced and the other for methane), while the other two were filled with a mixture (M2) consisting of M1 plus an additional 1 g of iron filings.</w:t>
      </w:r>
    </w:p>
    <w:p w14:paraId="44496334" w14:textId="77777777" w:rsidR="00B02DD3" w:rsidRPr="0094473B" w:rsidRDefault="00B02DD3" w:rsidP="00B02DD3">
      <w:pPr>
        <w:spacing w:after="0" w:line="360" w:lineRule="auto"/>
        <w:jc w:val="both"/>
        <w:rPr>
          <w:rFonts w:ascii="Arial" w:eastAsia="Times New Roman" w:hAnsi="Arial" w:cs="Arial"/>
          <w:bCs/>
          <w:sz w:val="20"/>
          <w:szCs w:val="20"/>
          <w:lang w:val="en-US" w:eastAsia="fr-FR"/>
        </w:rPr>
      </w:pPr>
      <w:r w:rsidRPr="0094473B">
        <w:rPr>
          <w:rFonts w:ascii="Arial" w:eastAsia="Times New Roman" w:hAnsi="Arial" w:cs="Arial"/>
          <w:bCs/>
          <w:sz w:val="20"/>
          <w:szCs w:val="20"/>
          <w:lang w:val="en-US" w:eastAsia="fr-FR"/>
        </w:rPr>
        <w:t>In total, four (04) digesters were established for each septic tank sludge sample, along with two controls, resulting in twenty-two (22) digesters overall.</w:t>
      </w:r>
    </w:p>
    <w:p w14:paraId="4E6F9656" w14:textId="77777777" w:rsidR="00B02DD3" w:rsidRPr="00B02DD3" w:rsidRDefault="00B02DD3" w:rsidP="00B02DD3">
      <w:pPr>
        <w:spacing w:after="0" w:line="360" w:lineRule="auto"/>
        <w:jc w:val="both"/>
        <w:rPr>
          <w:rFonts w:ascii="Times New Roman" w:eastAsia="Times New Roman" w:hAnsi="Times New Roman" w:cs="Times New Roman"/>
          <w:bCs/>
          <w:sz w:val="24"/>
          <w:szCs w:val="24"/>
          <w:lang w:val="en-US" w:eastAsia="fr-FR"/>
        </w:rPr>
      </w:pPr>
      <w:r w:rsidRPr="0094473B">
        <w:rPr>
          <w:rFonts w:ascii="Arial" w:eastAsia="Times New Roman" w:hAnsi="Arial" w:cs="Arial"/>
          <w:bCs/>
          <w:sz w:val="20"/>
          <w:szCs w:val="20"/>
          <w:lang w:val="en-US" w:eastAsia="fr-FR"/>
        </w:rPr>
        <w:t xml:space="preserve">To create optimal anaerobic conditions, the mixture was adjusted to an alkaline pH (between 6.8 and 7.2), after which 1 </w:t>
      </w:r>
      <w:proofErr w:type="spellStart"/>
      <w:r w:rsidRPr="0094473B">
        <w:rPr>
          <w:rFonts w:ascii="Arial" w:eastAsia="Times New Roman" w:hAnsi="Arial" w:cs="Arial"/>
          <w:bCs/>
          <w:sz w:val="20"/>
          <w:szCs w:val="20"/>
          <w:lang w:val="en-US" w:eastAsia="fr-FR"/>
        </w:rPr>
        <w:t>litre</w:t>
      </w:r>
      <w:proofErr w:type="spellEnd"/>
      <w:r w:rsidRPr="0094473B">
        <w:rPr>
          <w:rFonts w:ascii="Arial" w:eastAsia="Times New Roman" w:hAnsi="Arial" w:cs="Arial"/>
          <w:bCs/>
          <w:sz w:val="20"/>
          <w:szCs w:val="20"/>
          <w:lang w:val="en-US" w:eastAsia="fr-FR"/>
        </w:rPr>
        <w:t xml:space="preserve"> of </w:t>
      </w:r>
      <w:proofErr w:type="spellStart"/>
      <w:r w:rsidRPr="0094473B">
        <w:rPr>
          <w:rFonts w:ascii="Arial" w:eastAsia="Times New Roman" w:hAnsi="Arial" w:cs="Arial"/>
          <w:bCs/>
          <w:sz w:val="20"/>
          <w:szCs w:val="20"/>
          <w:lang w:val="en-US" w:eastAsia="fr-FR"/>
        </w:rPr>
        <w:t>demineralised</w:t>
      </w:r>
      <w:proofErr w:type="spellEnd"/>
      <w:r w:rsidRPr="0094473B">
        <w:rPr>
          <w:rFonts w:ascii="Arial" w:eastAsia="Times New Roman" w:hAnsi="Arial" w:cs="Arial"/>
          <w:bCs/>
          <w:sz w:val="20"/>
          <w:szCs w:val="20"/>
          <w:lang w:val="en-US" w:eastAsia="fr-FR"/>
        </w:rPr>
        <w:t xml:space="preserve"> water was added to fully immerse the waste in each vessel. The mixture was gently agitated to ensure good contact between the bacteria and the waste. Each vessel was then connected to its respective apparatus</w:t>
      </w:r>
      <w:r w:rsidRPr="00B02DD3">
        <w:rPr>
          <w:rFonts w:ascii="Times New Roman" w:eastAsia="Times New Roman" w:hAnsi="Times New Roman" w:cs="Times New Roman"/>
          <w:bCs/>
          <w:sz w:val="24"/>
          <w:szCs w:val="24"/>
          <w:lang w:val="en-US" w:eastAsia="fr-FR"/>
        </w:rPr>
        <w:t>.</w:t>
      </w:r>
    </w:p>
    <w:p w14:paraId="29E72FEB" w14:textId="77777777" w:rsidR="00B02DD3" w:rsidRPr="0094473B" w:rsidRDefault="00B02DD3" w:rsidP="0094473B">
      <w:pPr>
        <w:pStyle w:val="ListParagraph"/>
        <w:numPr>
          <w:ilvl w:val="1"/>
          <w:numId w:val="7"/>
        </w:numPr>
        <w:spacing w:after="0" w:line="360" w:lineRule="auto"/>
        <w:jc w:val="both"/>
        <w:rPr>
          <w:rFonts w:ascii="Arial" w:eastAsia="Times New Roman" w:hAnsi="Arial" w:cs="Arial"/>
          <w:b/>
          <w:bCs/>
          <w:lang w:val="en-US" w:eastAsia="fr-FR"/>
        </w:rPr>
      </w:pPr>
      <w:r w:rsidRPr="0094473B">
        <w:rPr>
          <w:rFonts w:ascii="Arial" w:eastAsia="Times New Roman" w:hAnsi="Arial" w:cs="Arial"/>
          <w:b/>
          <w:bCs/>
          <w:lang w:val="en-US" w:eastAsia="fr-FR"/>
        </w:rPr>
        <w:t>Monitored Parameters</w:t>
      </w:r>
    </w:p>
    <w:p w14:paraId="25261992" w14:textId="77777777" w:rsidR="00B02DD3" w:rsidRPr="0094473B" w:rsidRDefault="00B02DD3" w:rsidP="00B02DD3">
      <w:pPr>
        <w:spacing w:after="0" w:line="360" w:lineRule="auto"/>
        <w:jc w:val="both"/>
        <w:rPr>
          <w:rFonts w:ascii="Arial" w:eastAsia="Times New Roman" w:hAnsi="Arial" w:cs="Arial"/>
          <w:bCs/>
          <w:sz w:val="20"/>
          <w:szCs w:val="20"/>
          <w:lang w:val="en-US" w:eastAsia="fr-FR"/>
        </w:rPr>
      </w:pPr>
      <w:r w:rsidRPr="0094473B">
        <w:rPr>
          <w:rFonts w:ascii="Arial" w:eastAsia="Times New Roman" w:hAnsi="Arial" w:cs="Arial"/>
          <w:bCs/>
          <w:sz w:val="20"/>
          <w:szCs w:val="20"/>
          <w:lang w:val="en-US" w:eastAsia="fr-FR"/>
        </w:rPr>
        <w:t>Prior to the anaerobic digestion process, parameters such as pH, temperature, volatile fatty acids, and total alkalinity were determined and monitored throughout the biogas production process in each vessel.</w:t>
      </w:r>
    </w:p>
    <w:p w14:paraId="41AFCFA7" w14:textId="77777777" w:rsidR="00B02DD3" w:rsidRPr="0094473B" w:rsidRDefault="00B02DD3" w:rsidP="00B02DD3">
      <w:pPr>
        <w:spacing w:after="0" w:line="360" w:lineRule="auto"/>
        <w:jc w:val="both"/>
        <w:rPr>
          <w:rFonts w:ascii="Arial" w:eastAsia="Times New Roman" w:hAnsi="Arial" w:cs="Arial"/>
          <w:bCs/>
          <w:sz w:val="20"/>
          <w:szCs w:val="20"/>
          <w:lang w:val="en-US" w:eastAsia="fr-FR"/>
        </w:rPr>
      </w:pPr>
      <w:r w:rsidRPr="0094473B">
        <w:rPr>
          <w:rFonts w:ascii="Arial" w:eastAsia="Times New Roman" w:hAnsi="Arial" w:cs="Arial"/>
          <w:bCs/>
          <w:sz w:val="20"/>
          <w:szCs w:val="20"/>
          <w:lang w:val="en-US" w:eastAsia="fr-FR"/>
        </w:rPr>
        <w:t xml:space="preserve">The pH was maintained in an alkaline range (6.8 - 7.2) prior to initiating biogas production. The temperature was elevated to between 33°C and 40°C and maintained within this range for the entire duration of the biogas production operation. Volatile fatty acids and total alkalinity were determined using pH-metric titration with a 0.1N hydrochloric acid solution, following the method developed by </w:t>
      </w:r>
      <w:proofErr w:type="spellStart"/>
      <w:r w:rsidRPr="0094473B">
        <w:rPr>
          <w:rFonts w:ascii="Arial" w:eastAsia="Times New Roman" w:hAnsi="Arial" w:cs="Arial"/>
          <w:bCs/>
          <w:sz w:val="20"/>
          <w:szCs w:val="20"/>
          <w:lang w:val="en-US" w:eastAsia="fr-FR"/>
        </w:rPr>
        <w:t>Nordmann</w:t>
      </w:r>
      <w:proofErr w:type="spellEnd"/>
      <w:r w:rsidRPr="0094473B">
        <w:rPr>
          <w:rFonts w:ascii="Arial" w:eastAsia="Times New Roman" w:hAnsi="Arial" w:cs="Arial"/>
          <w:bCs/>
          <w:sz w:val="20"/>
          <w:szCs w:val="20"/>
          <w:lang w:val="en-US" w:eastAsia="fr-FR"/>
        </w:rPr>
        <w:t xml:space="preserve"> W</w:t>
      </w:r>
      <w:r w:rsidR="001A3C33">
        <w:rPr>
          <w:rFonts w:ascii="Arial" w:eastAsia="Times New Roman" w:hAnsi="Arial" w:cs="Arial"/>
          <w:bCs/>
          <w:sz w:val="20"/>
          <w:szCs w:val="20"/>
          <w:lang w:val="en-US" w:eastAsia="fr-FR"/>
        </w:rPr>
        <w:t xml:space="preserve"> </w:t>
      </w:r>
      <w:r w:rsidR="001A3C33">
        <w:rPr>
          <w:rFonts w:ascii="Arial" w:eastAsia="Times New Roman" w:hAnsi="Arial" w:cs="Arial"/>
          <w:bCs/>
          <w:sz w:val="20"/>
          <w:szCs w:val="20"/>
          <w:lang w:val="en-US" w:eastAsia="fr-FR"/>
        </w:rPr>
        <w:fldChar w:fldCharType="begin"/>
      </w:r>
      <w:r w:rsidR="001A3C33">
        <w:rPr>
          <w:rFonts w:ascii="Arial" w:eastAsia="Times New Roman" w:hAnsi="Arial" w:cs="Arial"/>
          <w:bCs/>
          <w:sz w:val="20"/>
          <w:szCs w:val="20"/>
          <w:lang w:val="en-US" w:eastAsia="fr-FR"/>
        </w:rPr>
        <w:instrText xml:space="preserve"> ADDIN ZOTERO_ITEM CSL_CITATION {"citationID":"hINNHXGi","properties":{"formattedCitation":"(M\\uc0\\u233{}zes et al., 2011)","plainCitation":"(Mézes et al., 2011)","noteIndex":0},"citationItems":[{"id":952,"uris":["http://zotero.org/users/9694973/items/RWS4GZXK"],"itemData":{"id":952,"type":"article-journal","container-title":"International Symposium \"Risk Factors for Environment and Food Safety\" and \"Natural Resources and Sustainable Development\" and \"50 years of Agriculture Researche in Oradea\", Faculty of Environmental Protection","page":"82-87","title":"Novel approoach on the basis of FOS/TAC method","author":[{"family":"Mézes","given":"Lili"},{"family":"Györgyi","given":"Biro"},{"family":"Erika","given":"Sulyok"},{"family":"Mikaly","given":"Petis"},{"family":"Janos","given":"Borbely"},{"family":"Janos","given":"Tamas"}],"issued":{"date-parts":[["2011",11]]}}}],"schema":"https://github.com/citation-style-language/schema/raw/master/csl-citation.json"} </w:instrText>
      </w:r>
      <w:r w:rsidR="001A3C33">
        <w:rPr>
          <w:rFonts w:ascii="Arial" w:eastAsia="Times New Roman" w:hAnsi="Arial" w:cs="Arial"/>
          <w:bCs/>
          <w:sz w:val="20"/>
          <w:szCs w:val="20"/>
          <w:lang w:val="en-US" w:eastAsia="fr-FR"/>
        </w:rPr>
        <w:fldChar w:fldCharType="separate"/>
      </w:r>
      <w:r w:rsidR="001A3C33" w:rsidRPr="0044624A">
        <w:rPr>
          <w:rFonts w:ascii="Arial" w:hAnsi="Arial" w:cs="Arial"/>
          <w:sz w:val="20"/>
          <w:szCs w:val="24"/>
          <w:lang w:val="en-US"/>
        </w:rPr>
        <w:t>(Mézes et al., 2011)</w:t>
      </w:r>
      <w:r w:rsidR="001A3C33">
        <w:rPr>
          <w:rFonts w:ascii="Arial" w:eastAsia="Times New Roman" w:hAnsi="Arial" w:cs="Arial"/>
          <w:bCs/>
          <w:sz w:val="20"/>
          <w:szCs w:val="20"/>
          <w:lang w:val="en-US" w:eastAsia="fr-FR"/>
        </w:rPr>
        <w:fldChar w:fldCharType="end"/>
      </w:r>
      <w:r w:rsidRPr="0094473B">
        <w:rPr>
          <w:rFonts w:ascii="Arial" w:eastAsia="Times New Roman" w:hAnsi="Arial" w:cs="Arial"/>
          <w:bCs/>
          <w:sz w:val="20"/>
          <w:szCs w:val="20"/>
          <w:lang w:val="en-US" w:eastAsia="fr-FR"/>
        </w:rPr>
        <w:t>.</w:t>
      </w:r>
    </w:p>
    <w:p w14:paraId="10BE1CCD" w14:textId="77777777" w:rsidR="004B0901" w:rsidRPr="0094473B" w:rsidRDefault="00B02DD3" w:rsidP="0094473B">
      <w:pPr>
        <w:pStyle w:val="ListParagraph"/>
        <w:numPr>
          <w:ilvl w:val="0"/>
          <w:numId w:val="7"/>
        </w:numPr>
        <w:spacing w:after="0" w:line="360" w:lineRule="auto"/>
        <w:jc w:val="both"/>
        <w:rPr>
          <w:rFonts w:ascii="Arial" w:eastAsia="Times New Roman" w:hAnsi="Arial" w:cs="Arial"/>
          <w:b/>
          <w:bCs/>
          <w:lang w:val="en-US" w:eastAsia="fr-FR"/>
        </w:rPr>
      </w:pPr>
      <w:r w:rsidRPr="0094473B">
        <w:rPr>
          <w:rFonts w:ascii="Arial" w:eastAsia="Times New Roman" w:hAnsi="Arial" w:cs="Arial"/>
          <w:b/>
          <w:bCs/>
          <w:lang w:val="en-US" w:eastAsia="fr-FR"/>
        </w:rPr>
        <w:t>Results and Discussion</w:t>
      </w:r>
    </w:p>
    <w:p w14:paraId="6863A3DC" w14:textId="77777777" w:rsidR="00182FF4" w:rsidRPr="0094473B" w:rsidRDefault="00182FF4" w:rsidP="0094473B">
      <w:pPr>
        <w:pStyle w:val="ListParagraph"/>
        <w:numPr>
          <w:ilvl w:val="1"/>
          <w:numId w:val="7"/>
        </w:numPr>
        <w:spacing w:after="0" w:line="360" w:lineRule="auto"/>
        <w:jc w:val="both"/>
        <w:rPr>
          <w:rFonts w:ascii="Arial" w:eastAsia="Times New Roman" w:hAnsi="Arial" w:cs="Arial"/>
          <w:b/>
          <w:bCs/>
          <w:lang w:val="en-US" w:eastAsia="fr-FR"/>
        </w:rPr>
      </w:pPr>
      <w:proofErr w:type="spellStart"/>
      <w:r w:rsidRPr="0094473B">
        <w:rPr>
          <w:rFonts w:ascii="Arial" w:eastAsia="Times New Roman" w:hAnsi="Arial" w:cs="Arial"/>
          <w:b/>
          <w:bCs/>
          <w:lang w:val="en-US"/>
        </w:rPr>
        <w:t>Characterisation</w:t>
      </w:r>
      <w:proofErr w:type="spellEnd"/>
      <w:r w:rsidRPr="0094473B">
        <w:rPr>
          <w:rFonts w:ascii="Arial" w:eastAsia="Times New Roman" w:hAnsi="Arial" w:cs="Arial"/>
          <w:b/>
          <w:bCs/>
          <w:lang w:val="en-US"/>
        </w:rPr>
        <w:t xml:space="preserve"> of </w:t>
      </w:r>
      <w:proofErr w:type="spellStart"/>
      <w:r w:rsidRPr="0094473B">
        <w:rPr>
          <w:rFonts w:ascii="Arial" w:eastAsia="Times New Roman" w:hAnsi="Arial" w:cs="Arial"/>
          <w:b/>
          <w:bCs/>
          <w:lang w:val="en-US"/>
        </w:rPr>
        <w:t>Faecal</w:t>
      </w:r>
      <w:proofErr w:type="spellEnd"/>
      <w:r w:rsidRPr="0094473B">
        <w:rPr>
          <w:rFonts w:ascii="Arial" w:eastAsia="Times New Roman" w:hAnsi="Arial" w:cs="Arial"/>
          <w:b/>
          <w:bCs/>
          <w:lang w:val="en-US"/>
        </w:rPr>
        <w:t xml:space="preserve"> Sludge</w:t>
      </w:r>
    </w:p>
    <w:p w14:paraId="51922263" w14:textId="77777777" w:rsidR="00182FF4" w:rsidRPr="0094473B" w:rsidRDefault="00182FF4" w:rsidP="00182FF4">
      <w:pPr>
        <w:spacing w:after="0" w:line="360" w:lineRule="auto"/>
        <w:jc w:val="both"/>
        <w:rPr>
          <w:rFonts w:ascii="Arial" w:eastAsia="Times New Roman" w:hAnsi="Arial" w:cs="Arial"/>
          <w:sz w:val="20"/>
          <w:szCs w:val="20"/>
          <w:lang w:val="en-US"/>
        </w:rPr>
      </w:pPr>
      <w:r w:rsidRPr="0094473B">
        <w:rPr>
          <w:rFonts w:ascii="Arial" w:eastAsia="Times New Roman" w:hAnsi="Arial" w:cs="Arial"/>
          <w:sz w:val="20"/>
          <w:szCs w:val="20"/>
          <w:lang w:val="en-US"/>
        </w:rPr>
        <w:t xml:space="preserve">Table 1 presents the physicochemical characteristics of the collected </w:t>
      </w:r>
      <w:proofErr w:type="spellStart"/>
      <w:r w:rsidRPr="0094473B">
        <w:rPr>
          <w:rFonts w:ascii="Arial" w:eastAsia="Times New Roman" w:hAnsi="Arial" w:cs="Arial"/>
          <w:sz w:val="20"/>
          <w:szCs w:val="20"/>
          <w:lang w:val="en-US"/>
        </w:rPr>
        <w:t>faecal</w:t>
      </w:r>
      <w:proofErr w:type="spellEnd"/>
      <w:r w:rsidRPr="0094473B">
        <w:rPr>
          <w:rFonts w:ascii="Arial" w:eastAsia="Times New Roman" w:hAnsi="Arial" w:cs="Arial"/>
          <w:sz w:val="20"/>
          <w:szCs w:val="20"/>
          <w:lang w:val="en-US"/>
        </w:rPr>
        <w:t xml:space="preserve"> sludge.</w:t>
      </w:r>
    </w:p>
    <w:p w14:paraId="6E3E0648" w14:textId="77777777" w:rsidR="00182FF4" w:rsidRPr="0094473B" w:rsidRDefault="00182FF4" w:rsidP="00182FF4">
      <w:pPr>
        <w:pStyle w:val="NormalWeb"/>
        <w:spacing w:before="0" w:beforeAutospacing="0" w:after="0" w:afterAutospacing="0" w:line="360" w:lineRule="auto"/>
        <w:jc w:val="both"/>
        <w:rPr>
          <w:rFonts w:ascii="Arial" w:hAnsi="Arial" w:cs="Arial"/>
          <w:sz w:val="20"/>
          <w:szCs w:val="20"/>
          <w:lang w:val="en-US"/>
        </w:rPr>
      </w:pPr>
      <w:r w:rsidRPr="0094473B">
        <w:rPr>
          <w:rFonts w:ascii="Arial" w:hAnsi="Arial" w:cs="Arial"/>
          <w:sz w:val="20"/>
          <w:szCs w:val="20"/>
          <w:lang w:val="en-US"/>
        </w:rPr>
        <w:lastRenderedPageBreak/>
        <w:t xml:space="preserve">Analysis of the table reveals that the temperature of the </w:t>
      </w:r>
      <w:proofErr w:type="spellStart"/>
      <w:r w:rsidRPr="0094473B">
        <w:rPr>
          <w:rFonts w:ascii="Arial" w:hAnsi="Arial" w:cs="Arial"/>
          <w:sz w:val="20"/>
          <w:szCs w:val="20"/>
          <w:lang w:val="en-US"/>
        </w:rPr>
        <w:t>faecal</w:t>
      </w:r>
      <w:proofErr w:type="spellEnd"/>
      <w:r w:rsidRPr="0094473B">
        <w:rPr>
          <w:rFonts w:ascii="Arial" w:hAnsi="Arial" w:cs="Arial"/>
          <w:sz w:val="20"/>
          <w:szCs w:val="20"/>
          <w:lang w:val="en-US"/>
        </w:rPr>
        <w:t xml:space="preserve"> sludge ranges between 26.6 and 28.3°C. The pH values lie between 7.33 and 8.53, with an average of 8.22, indicating that the samples are generally alkaline (pH &gt; 7), albeit tending towards neutrality.</w:t>
      </w:r>
    </w:p>
    <w:p w14:paraId="5C83DB96" w14:textId="77777777" w:rsidR="00182FF4" w:rsidRPr="0094473B" w:rsidRDefault="00182FF4" w:rsidP="00182FF4">
      <w:pPr>
        <w:pStyle w:val="NormalWeb"/>
        <w:spacing w:before="0" w:beforeAutospacing="0" w:after="0" w:afterAutospacing="0" w:line="360" w:lineRule="auto"/>
        <w:jc w:val="both"/>
        <w:rPr>
          <w:rFonts w:ascii="Arial" w:hAnsi="Arial" w:cs="Arial"/>
          <w:sz w:val="20"/>
          <w:szCs w:val="20"/>
          <w:lang w:val="en-US"/>
        </w:rPr>
      </w:pPr>
      <w:r w:rsidRPr="0094473B">
        <w:rPr>
          <w:rFonts w:ascii="Arial" w:hAnsi="Arial" w:cs="Arial"/>
          <w:sz w:val="20"/>
          <w:szCs w:val="20"/>
          <w:lang w:val="en-US"/>
        </w:rPr>
        <w:t xml:space="preserve">The concentrations of total nitrogen (TN), total organic carbon (TOC), and organic matter (OM) range from 4840 to 5930 </w:t>
      </w:r>
      <w:proofErr w:type="gramStart"/>
      <w:r w:rsidRPr="0094473B">
        <w:rPr>
          <w:rFonts w:ascii="Arial" w:hAnsi="Arial" w:cs="Arial"/>
          <w:sz w:val="20"/>
          <w:szCs w:val="20"/>
          <w:lang w:val="en-US"/>
        </w:rPr>
        <w:t>mg.L</w:t>
      </w:r>
      <w:proofErr w:type="gramEnd"/>
      <w:r w:rsidRPr="0094473B">
        <w:rPr>
          <w:rFonts w:ascii="Cambria Math" w:hAnsi="Cambria Math" w:cs="Cambria Math"/>
          <w:sz w:val="20"/>
          <w:szCs w:val="20"/>
          <w:lang w:val="en-US"/>
        </w:rPr>
        <w:t>⁻</w:t>
      </w:r>
      <w:r w:rsidRPr="0094473B">
        <w:rPr>
          <w:rFonts w:ascii="Arial" w:hAnsi="Arial" w:cs="Arial"/>
          <w:sz w:val="20"/>
          <w:szCs w:val="20"/>
          <w:lang w:val="en-US"/>
        </w:rPr>
        <w:t>¹, 170.4 to 660.0 mg.L</w:t>
      </w:r>
      <w:r w:rsidRPr="0094473B">
        <w:rPr>
          <w:rFonts w:ascii="Cambria Math" w:hAnsi="Cambria Math" w:cs="Cambria Math"/>
          <w:sz w:val="20"/>
          <w:szCs w:val="20"/>
          <w:lang w:val="en-US"/>
        </w:rPr>
        <w:t>⁻</w:t>
      </w:r>
      <w:r w:rsidRPr="0094473B">
        <w:rPr>
          <w:rFonts w:ascii="Arial" w:hAnsi="Arial" w:cs="Arial"/>
          <w:sz w:val="20"/>
          <w:szCs w:val="20"/>
          <w:lang w:val="en-US"/>
        </w:rPr>
        <w:t>¹, and 306.3 to 1188.0 mg.L</w:t>
      </w:r>
      <w:r w:rsidRPr="0094473B">
        <w:rPr>
          <w:rFonts w:ascii="Cambria Math" w:hAnsi="Cambria Math" w:cs="Cambria Math"/>
          <w:sz w:val="20"/>
          <w:szCs w:val="20"/>
          <w:lang w:val="en-US"/>
        </w:rPr>
        <w:t>⁻</w:t>
      </w:r>
      <w:r w:rsidRPr="0094473B">
        <w:rPr>
          <w:rFonts w:ascii="Arial" w:hAnsi="Arial" w:cs="Arial"/>
          <w:sz w:val="20"/>
          <w:szCs w:val="20"/>
          <w:lang w:val="en-US"/>
        </w:rPr>
        <w:t>¹, respectively. Additionally, the chemical oxygen demand (COD) and the five-day biochemical oxygen demand (BOD</w:t>
      </w:r>
      <w:r w:rsidRPr="0094473B">
        <w:rPr>
          <w:rFonts w:ascii="Cambria Math" w:hAnsi="Cambria Math" w:cs="Cambria Math"/>
          <w:sz w:val="20"/>
          <w:szCs w:val="20"/>
          <w:lang w:val="en-US"/>
        </w:rPr>
        <w:t>₅</w:t>
      </w:r>
      <w:r w:rsidRPr="0094473B">
        <w:rPr>
          <w:rFonts w:ascii="Arial" w:hAnsi="Arial" w:cs="Arial"/>
          <w:sz w:val="20"/>
          <w:szCs w:val="20"/>
          <w:lang w:val="en-US"/>
        </w:rPr>
        <w:t>) show mean values of 18,730 mgO</w:t>
      </w:r>
      <w:r w:rsidRPr="0094473B">
        <w:rPr>
          <w:rFonts w:ascii="Cambria Math" w:hAnsi="Cambria Math" w:cs="Cambria Math"/>
          <w:sz w:val="20"/>
          <w:szCs w:val="20"/>
          <w:lang w:val="en-US"/>
        </w:rPr>
        <w:t>₂</w:t>
      </w:r>
      <w:r w:rsidRPr="0094473B">
        <w:rPr>
          <w:rFonts w:ascii="Arial" w:hAnsi="Arial" w:cs="Arial"/>
          <w:sz w:val="20"/>
          <w:szCs w:val="20"/>
          <w:lang w:val="en-US"/>
        </w:rPr>
        <w:t>.L</w:t>
      </w:r>
      <w:r w:rsidRPr="0094473B">
        <w:rPr>
          <w:rFonts w:ascii="Cambria Math" w:hAnsi="Cambria Math" w:cs="Cambria Math"/>
          <w:sz w:val="20"/>
          <w:szCs w:val="20"/>
          <w:lang w:val="en-US"/>
        </w:rPr>
        <w:t>⁻</w:t>
      </w:r>
      <w:r w:rsidRPr="0094473B">
        <w:rPr>
          <w:rFonts w:ascii="Arial" w:hAnsi="Arial" w:cs="Arial"/>
          <w:sz w:val="20"/>
          <w:szCs w:val="20"/>
          <w:lang w:val="en-US"/>
        </w:rPr>
        <w:t>¹ and 6612 mgO</w:t>
      </w:r>
      <w:r w:rsidRPr="0094473B">
        <w:rPr>
          <w:rFonts w:ascii="Cambria Math" w:hAnsi="Cambria Math" w:cs="Cambria Math"/>
          <w:sz w:val="20"/>
          <w:szCs w:val="20"/>
          <w:lang w:val="en-US"/>
        </w:rPr>
        <w:t>₂</w:t>
      </w:r>
      <w:r w:rsidRPr="0094473B">
        <w:rPr>
          <w:rFonts w:ascii="Arial" w:hAnsi="Arial" w:cs="Arial"/>
          <w:sz w:val="20"/>
          <w:szCs w:val="20"/>
          <w:lang w:val="en-US"/>
        </w:rPr>
        <w:t>.L</w:t>
      </w:r>
      <w:r w:rsidRPr="0094473B">
        <w:rPr>
          <w:rFonts w:ascii="Cambria Math" w:hAnsi="Cambria Math" w:cs="Cambria Math"/>
          <w:sz w:val="20"/>
          <w:szCs w:val="20"/>
          <w:lang w:val="en-US"/>
        </w:rPr>
        <w:t>⁻</w:t>
      </w:r>
      <w:r w:rsidRPr="0094473B">
        <w:rPr>
          <w:rFonts w:ascii="Arial" w:hAnsi="Arial" w:cs="Arial"/>
          <w:sz w:val="20"/>
          <w:szCs w:val="20"/>
          <w:lang w:val="en-US"/>
        </w:rPr>
        <w:t>¹, respectively.</w:t>
      </w:r>
    </w:p>
    <w:p w14:paraId="498BE4D4" w14:textId="50FECEBA" w:rsidR="004B0901" w:rsidRPr="0094473B" w:rsidRDefault="004B0901" w:rsidP="004B0901">
      <w:pPr>
        <w:spacing w:after="0" w:line="360" w:lineRule="auto"/>
        <w:jc w:val="both"/>
        <w:rPr>
          <w:rFonts w:ascii="Arial" w:eastAsia="Times New Roman" w:hAnsi="Arial" w:cs="Arial"/>
          <w:sz w:val="20"/>
          <w:szCs w:val="20"/>
          <w:lang w:val="en-US"/>
        </w:rPr>
      </w:pPr>
      <w:r w:rsidRPr="0094473B">
        <w:rPr>
          <w:rFonts w:ascii="Arial" w:eastAsia="Times New Roman" w:hAnsi="Arial" w:cs="Arial"/>
          <w:b/>
          <w:bCs/>
          <w:sz w:val="20"/>
          <w:szCs w:val="20"/>
          <w:lang w:val="en-US"/>
        </w:rPr>
        <w:t xml:space="preserve">Table 1: Physicochemical </w:t>
      </w:r>
      <w:r w:rsidR="00A61DEF" w:rsidRPr="0094473B">
        <w:rPr>
          <w:rFonts w:ascii="Arial" w:eastAsia="Times New Roman" w:hAnsi="Arial" w:cs="Arial"/>
          <w:b/>
          <w:bCs/>
          <w:sz w:val="20"/>
          <w:szCs w:val="20"/>
          <w:lang w:val="en-US"/>
        </w:rPr>
        <w:t>characterization</w:t>
      </w:r>
      <w:r w:rsidRPr="0094473B">
        <w:rPr>
          <w:rFonts w:ascii="Arial" w:eastAsia="Times New Roman" w:hAnsi="Arial" w:cs="Arial"/>
          <w:b/>
          <w:bCs/>
          <w:sz w:val="20"/>
          <w:szCs w:val="20"/>
          <w:lang w:val="en-US"/>
        </w:rPr>
        <w:t xml:space="preserve"> of </w:t>
      </w:r>
      <w:proofErr w:type="spellStart"/>
      <w:r w:rsidRPr="0094473B">
        <w:rPr>
          <w:rFonts w:ascii="Arial" w:eastAsia="Times New Roman" w:hAnsi="Arial" w:cs="Arial"/>
          <w:b/>
          <w:bCs/>
          <w:sz w:val="20"/>
          <w:szCs w:val="20"/>
          <w:lang w:val="en-US"/>
        </w:rPr>
        <w:t>faecal</w:t>
      </w:r>
      <w:proofErr w:type="spellEnd"/>
      <w:r w:rsidRPr="0094473B">
        <w:rPr>
          <w:rFonts w:ascii="Arial" w:eastAsia="Times New Roman" w:hAnsi="Arial" w:cs="Arial"/>
          <w:b/>
          <w:bCs/>
          <w:sz w:val="20"/>
          <w:szCs w:val="20"/>
          <w:lang w:val="en-US"/>
        </w:rPr>
        <w:t xml:space="preserve"> sludge</w:t>
      </w:r>
    </w:p>
    <w:tbl>
      <w:tblPr>
        <w:tblStyle w:val="PlainTable5"/>
        <w:tblW w:w="8696" w:type="dxa"/>
        <w:tblLook w:val="04A0" w:firstRow="1" w:lastRow="0" w:firstColumn="1" w:lastColumn="0" w:noHBand="0" w:noVBand="1"/>
      </w:tblPr>
      <w:tblGrid>
        <w:gridCol w:w="1843"/>
        <w:gridCol w:w="853"/>
        <w:gridCol w:w="1200"/>
        <w:gridCol w:w="1200"/>
        <w:gridCol w:w="1200"/>
        <w:gridCol w:w="1200"/>
        <w:gridCol w:w="1200"/>
      </w:tblGrid>
      <w:tr w:rsidR="004B0901" w:rsidRPr="0094473B" w14:paraId="71A648C8" w14:textId="77777777" w:rsidTr="00FC5F49">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843" w:type="dxa"/>
            <w:tcBorders>
              <w:top w:val="single" w:sz="4" w:space="0" w:color="auto"/>
            </w:tcBorders>
            <w:noWrap/>
            <w:hideMark/>
          </w:tcPr>
          <w:p w14:paraId="16D682F8" w14:textId="77777777" w:rsidR="004B0901" w:rsidRPr="0094473B" w:rsidRDefault="004B0901" w:rsidP="00FC5F49">
            <w:pPr>
              <w:spacing w:line="360" w:lineRule="auto"/>
              <w:jc w:val="both"/>
              <w:rPr>
                <w:rFonts w:ascii="Arial" w:eastAsia="Times New Roman" w:hAnsi="Arial" w:cs="Arial"/>
                <w:b/>
                <w:sz w:val="20"/>
                <w:szCs w:val="20"/>
                <w:lang w:val="en-US" w:eastAsia="fr-FR"/>
              </w:rPr>
            </w:pPr>
          </w:p>
        </w:tc>
        <w:tc>
          <w:tcPr>
            <w:tcW w:w="853" w:type="dxa"/>
            <w:tcBorders>
              <w:top w:val="single" w:sz="4" w:space="0" w:color="auto"/>
            </w:tcBorders>
            <w:noWrap/>
            <w:hideMark/>
          </w:tcPr>
          <w:p w14:paraId="3E6B116D" w14:textId="77777777" w:rsidR="004B0901" w:rsidRPr="0094473B" w:rsidRDefault="004B0901" w:rsidP="00FC5F49">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lang w:eastAsia="fr-FR"/>
              </w:rPr>
            </w:pPr>
            <w:r w:rsidRPr="0094473B">
              <w:rPr>
                <w:rFonts w:ascii="Arial" w:eastAsia="Times New Roman" w:hAnsi="Arial" w:cs="Arial"/>
                <w:b/>
                <w:color w:val="000000"/>
                <w:sz w:val="20"/>
                <w:szCs w:val="20"/>
                <w:lang w:eastAsia="fr-FR"/>
              </w:rPr>
              <w:t>B1</w:t>
            </w:r>
          </w:p>
        </w:tc>
        <w:tc>
          <w:tcPr>
            <w:tcW w:w="1200" w:type="dxa"/>
            <w:tcBorders>
              <w:top w:val="single" w:sz="4" w:space="0" w:color="auto"/>
            </w:tcBorders>
            <w:noWrap/>
            <w:hideMark/>
          </w:tcPr>
          <w:p w14:paraId="2C885851" w14:textId="77777777" w:rsidR="004B0901" w:rsidRPr="0094473B" w:rsidRDefault="004B0901" w:rsidP="00FC5F49">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lang w:eastAsia="fr-FR"/>
              </w:rPr>
            </w:pPr>
            <w:r w:rsidRPr="0094473B">
              <w:rPr>
                <w:rFonts w:ascii="Arial" w:eastAsia="Times New Roman" w:hAnsi="Arial" w:cs="Arial"/>
                <w:b/>
                <w:color w:val="000000"/>
                <w:sz w:val="20"/>
                <w:szCs w:val="20"/>
                <w:lang w:eastAsia="fr-FR"/>
              </w:rPr>
              <w:t>B2</w:t>
            </w:r>
          </w:p>
        </w:tc>
        <w:tc>
          <w:tcPr>
            <w:tcW w:w="1200" w:type="dxa"/>
            <w:tcBorders>
              <w:top w:val="single" w:sz="4" w:space="0" w:color="auto"/>
            </w:tcBorders>
            <w:noWrap/>
            <w:hideMark/>
          </w:tcPr>
          <w:p w14:paraId="05B0ED7A" w14:textId="77777777" w:rsidR="004B0901" w:rsidRPr="0094473B" w:rsidRDefault="004B0901" w:rsidP="00FC5F49">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lang w:eastAsia="fr-FR"/>
              </w:rPr>
            </w:pPr>
            <w:r w:rsidRPr="0094473B">
              <w:rPr>
                <w:rFonts w:ascii="Arial" w:eastAsia="Times New Roman" w:hAnsi="Arial" w:cs="Arial"/>
                <w:b/>
                <w:color w:val="000000"/>
                <w:sz w:val="20"/>
                <w:szCs w:val="20"/>
                <w:lang w:eastAsia="fr-FR"/>
              </w:rPr>
              <w:t>B3</w:t>
            </w:r>
          </w:p>
        </w:tc>
        <w:tc>
          <w:tcPr>
            <w:tcW w:w="1200" w:type="dxa"/>
            <w:tcBorders>
              <w:top w:val="single" w:sz="4" w:space="0" w:color="auto"/>
            </w:tcBorders>
            <w:noWrap/>
            <w:hideMark/>
          </w:tcPr>
          <w:p w14:paraId="6F9310D3" w14:textId="77777777" w:rsidR="004B0901" w:rsidRPr="0094473B" w:rsidRDefault="004B0901" w:rsidP="00FC5F49">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lang w:eastAsia="fr-FR"/>
              </w:rPr>
            </w:pPr>
            <w:r w:rsidRPr="0094473B">
              <w:rPr>
                <w:rFonts w:ascii="Arial" w:eastAsia="Times New Roman" w:hAnsi="Arial" w:cs="Arial"/>
                <w:b/>
                <w:color w:val="000000"/>
                <w:sz w:val="20"/>
                <w:szCs w:val="20"/>
                <w:lang w:eastAsia="fr-FR"/>
              </w:rPr>
              <w:t>B4</w:t>
            </w:r>
          </w:p>
        </w:tc>
        <w:tc>
          <w:tcPr>
            <w:tcW w:w="1200" w:type="dxa"/>
            <w:tcBorders>
              <w:top w:val="single" w:sz="4" w:space="0" w:color="auto"/>
            </w:tcBorders>
            <w:noWrap/>
            <w:hideMark/>
          </w:tcPr>
          <w:p w14:paraId="77F94EA2" w14:textId="77777777" w:rsidR="004B0901" w:rsidRPr="0094473B" w:rsidRDefault="004B0901" w:rsidP="00FC5F49">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lang w:eastAsia="fr-FR"/>
              </w:rPr>
            </w:pPr>
            <w:r w:rsidRPr="0094473B">
              <w:rPr>
                <w:rFonts w:ascii="Arial" w:eastAsia="Times New Roman" w:hAnsi="Arial" w:cs="Arial"/>
                <w:b/>
                <w:color w:val="000000"/>
                <w:sz w:val="20"/>
                <w:szCs w:val="20"/>
                <w:lang w:eastAsia="fr-FR"/>
              </w:rPr>
              <w:t>B5</w:t>
            </w:r>
          </w:p>
        </w:tc>
        <w:tc>
          <w:tcPr>
            <w:tcW w:w="1200" w:type="dxa"/>
            <w:tcBorders>
              <w:top w:val="single" w:sz="4" w:space="0" w:color="auto"/>
            </w:tcBorders>
          </w:tcPr>
          <w:p w14:paraId="324A90EB" w14:textId="77777777" w:rsidR="004B0901" w:rsidRPr="0094473B" w:rsidRDefault="004B0901" w:rsidP="00FC5F49">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lang w:eastAsia="fr-FR"/>
              </w:rPr>
            </w:pPr>
            <w:proofErr w:type="spellStart"/>
            <w:r w:rsidRPr="0094473B">
              <w:rPr>
                <w:rFonts w:ascii="Arial" w:eastAsia="Times New Roman" w:hAnsi="Arial" w:cs="Arial"/>
                <w:b/>
                <w:color w:val="000000"/>
                <w:sz w:val="20"/>
                <w:szCs w:val="20"/>
                <w:lang w:eastAsia="fr-FR"/>
              </w:rPr>
              <w:t>Mean</w:t>
            </w:r>
            <w:proofErr w:type="spellEnd"/>
          </w:p>
        </w:tc>
      </w:tr>
      <w:tr w:rsidR="004B0901" w:rsidRPr="0094473B" w14:paraId="1C792580" w14:textId="77777777" w:rsidTr="00FC5F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13431074" w14:textId="77777777" w:rsidR="004B0901" w:rsidRPr="0094473B" w:rsidRDefault="004B0901" w:rsidP="00FC5F49">
            <w:pPr>
              <w:spacing w:line="360" w:lineRule="auto"/>
              <w:jc w:val="both"/>
              <w:rPr>
                <w:rFonts w:ascii="Arial" w:eastAsia="Times New Roman" w:hAnsi="Arial" w:cs="Arial"/>
                <w:b/>
                <w:color w:val="000000"/>
                <w:sz w:val="20"/>
                <w:szCs w:val="20"/>
                <w:lang w:eastAsia="fr-FR"/>
              </w:rPr>
            </w:pPr>
            <w:r w:rsidRPr="0094473B">
              <w:rPr>
                <w:rFonts w:ascii="Arial" w:eastAsia="Times New Roman" w:hAnsi="Arial" w:cs="Arial"/>
                <w:b/>
                <w:color w:val="000000"/>
                <w:sz w:val="20"/>
                <w:szCs w:val="20"/>
                <w:lang w:eastAsia="fr-FR"/>
              </w:rPr>
              <w:t xml:space="preserve">COD </w:t>
            </w:r>
            <w:r w:rsidRPr="0094473B">
              <w:rPr>
                <w:rFonts w:ascii="Arial" w:eastAsia="Times New Roman" w:hAnsi="Arial" w:cs="Arial"/>
                <w:b/>
                <w:bCs/>
                <w:i w:val="0"/>
                <w:color w:val="000000"/>
                <w:sz w:val="20"/>
                <w:szCs w:val="20"/>
                <w:lang w:eastAsia="fr-FR"/>
              </w:rPr>
              <w:t>(mgO</w:t>
            </w:r>
            <w:r w:rsidRPr="0094473B">
              <w:rPr>
                <w:rFonts w:ascii="Arial" w:eastAsia="Times New Roman" w:hAnsi="Arial" w:cs="Arial"/>
                <w:b/>
                <w:bCs/>
                <w:i w:val="0"/>
                <w:color w:val="000000"/>
                <w:sz w:val="20"/>
                <w:szCs w:val="20"/>
                <w:vertAlign w:val="subscript"/>
                <w:lang w:eastAsia="fr-FR"/>
              </w:rPr>
              <w:t>2</w:t>
            </w:r>
            <w:r w:rsidRPr="0094473B">
              <w:rPr>
                <w:rFonts w:ascii="Arial" w:eastAsia="Times New Roman" w:hAnsi="Arial" w:cs="Arial"/>
                <w:b/>
                <w:bCs/>
                <w:i w:val="0"/>
                <w:color w:val="000000"/>
                <w:sz w:val="20"/>
                <w:szCs w:val="20"/>
                <w:lang w:eastAsia="fr-FR"/>
              </w:rPr>
              <w:t>.L</w:t>
            </w:r>
            <w:r w:rsidRPr="0094473B">
              <w:rPr>
                <w:rFonts w:ascii="Arial" w:eastAsia="Times New Roman" w:hAnsi="Arial" w:cs="Arial"/>
                <w:b/>
                <w:bCs/>
                <w:i w:val="0"/>
                <w:color w:val="000000"/>
                <w:sz w:val="20"/>
                <w:szCs w:val="20"/>
                <w:vertAlign w:val="superscript"/>
                <w:lang w:eastAsia="fr-FR"/>
              </w:rPr>
              <w:t>-1</w:t>
            </w:r>
            <w:r w:rsidRPr="0094473B">
              <w:rPr>
                <w:rFonts w:ascii="Arial" w:eastAsia="Times New Roman" w:hAnsi="Arial" w:cs="Arial"/>
                <w:b/>
                <w:bCs/>
                <w:i w:val="0"/>
                <w:color w:val="000000"/>
                <w:sz w:val="20"/>
                <w:szCs w:val="20"/>
                <w:lang w:eastAsia="fr-FR"/>
              </w:rPr>
              <w:t>)</w:t>
            </w:r>
          </w:p>
        </w:tc>
        <w:tc>
          <w:tcPr>
            <w:tcW w:w="853" w:type="dxa"/>
            <w:noWrap/>
            <w:hideMark/>
          </w:tcPr>
          <w:p w14:paraId="0EDAE5EB"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2448</w:t>
            </w:r>
          </w:p>
        </w:tc>
        <w:tc>
          <w:tcPr>
            <w:tcW w:w="1200" w:type="dxa"/>
            <w:noWrap/>
            <w:hideMark/>
          </w:tcPr>
          <w:p w14:paraId="7EB32F8D"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17760</w:t>
            </w:r>
          </w:p>
        </w:tc>
        <w:tc>
          <w:tcPr>
            <w:tcW w:w="1200" w:type="dxa"/>
            <w:noWrap/>
            <w:hideMark/>
          </w:tcPr>
          <w:p w14:paraId="3B34237E"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22560</w:t>
            </w:r>
          </w:p>
        </w:tc>
        <w:tc>
          <w:tcPr>
            <w:tcW w:w="1200" w:type="dxa"/>
            <w:noWrap/>
            <w:hideMark/>
          </w:tcPr>
          <w:p w14:paraId="5A426892"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23520</w:t>
            </w:r>
          </w:p>
        </w:tc>
        <w:tc>
          <w:tcPr>
            <w:tcW w:w="1200" w:type="dxa"/>
            <w:noWrap/>
            <w:hideMark/>
          </w:tcPr>
          <w:p w14:paraId="40B29409"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27360</w:t>
            </w:r>
          </w:p>
        </w:tc>
        <w:tc>
          <w:tcPr>
            <w:tcW w:w="1200" w:type="dxa"/>
          </w:tcPr>
          <w:p w14:paraId="1DE605CC"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4473B">
              <w:rPr>
                <w:rFonts w:ascii="Arial" w:hAnsi="Arial" w:cs="Arial"/>
                <w:color w:val="000000"/>
                <w:sz w:val="20"/>
                <w:szCs w:val="20"/>
              </w:rPr>
              <w:t>18729,60</w:t>
            </w:r>
          </w:p>
        </w:tc>
      </w:tr>
      <w:tr w:rsidR="004B0901" w:rsidRPr="0094473B" w14:paraId="63E3946B" w14:textId="77777777" w:rsidTr="00FC5F49">
        <w:trPr>
          <w:trHeight w:val="30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6EA0506D" w14:textId="77777777" w:rsidR="004B0901" w:rsidRPr="0094473B" w:rsidRDefault="004B0901" w:rsidP="00FC5F49">
            <w:pPr>
              <w:spacing w:line="360" w:lineRule="auto"/>
              <w:jc w:val="both"/>
              <w:rPr>
                <w:rFonts w:ascii="Arial" w:eastAsia="Times New Roman" w:hAnsi="Arial" w:cs="Arial"/>
                <w:b/>
                <w:color w:val="000000"/>
                <w:sz w:val="20"/>
                <w:szCs w:val="20"/>
                <w:lang w:eastAsia="fr-FR"/>
              </w:rPr>
            </w:pPr>
            <w:proofErr w:type="gramStart"/>
            <w:r w:rsidRPr="0094473B">
              <w:rPr>
                <w:rFonts w:ascii="Arial" w:eastAsia="Times New Roman" w:hAnsi="Arial" w:cs="Arial"/>
                <w:b/>
                <w:color w:val="000000"/>
                <w:sz w:val="20"/>
                <w:szCs w:val="20"/>
                <w:lang w:eastAsia="fr-FR"/>
              </w:rPr>
              <w:t>pH</w:t>
            </w:r>
            <w:proofErr w:type="gramEnd"/>
          </w:p>
        </w:tc>
        <w:tc>
          <w:tcPr>
            <w:tcW w:w="853" w:type="dxa"/>
            <w:noWrap/>
            <w:hideMark/>
          </w:tcPr>
          <w:p w14:paraId="173A56E4"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8,53</w:t>
            </w:r>
          </w:p>
        </w:tc>
        <w:tc>
          <w:tcPr>
            <w:tcW w:w="1200" w:type="dxa"/>
            <w:noWrap/>
            <w:hideMark/>
          </w:tcPr>
          <w:p w14:paraId="342434E2"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8,37</w:t>
            </w:r>
          </w:p>
        </w:tc>
        <w:tc>
          <w:tcPr>
            <w:tcW w:w="1200" w:type="dxa"/>
            <w:noWrap/>
            <w:hideMark/>
          </w:tcPr>
          <w:p w14:paraId="6C0D8396"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8,52</w:t>
            </w:r>
          </w:p>
        </w:tc>
        <w:tc>
          <w:tcPr>
            <w:tcW w:w="1200" w:type="dxa"/>
            <w:noWrap/>
            <w:hideMark/>
          </w:tcPr>
          <w:p w14:paraId="5D7E0841"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7,33</w:t>
            </w:r>
          </w:p>
        </w:tc>
        <w:tc>
          <w:tcPr>
            <w:tcW w:w="1200" w:type="dxa"/>
            <w:noWrap/>
            <w:hideMark/>
          </w:tcPr>
          <w:p w14:paraId="470F7BB5"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8,37</w:t>
            </w:r>
          </w:p>
        </w:tc>
        <w:tc>
          <w:tcPr>
            <w:tcW w:w="1200" w:type="dxa"/>
          </w:tcPr>
          <w:p w14:paraId="38099D48"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4473B">
              <w:rPr>
                <w:rFonts w:ascii="Arial" w:hAnsi="Arial" w:cs="Arial"/>
                <w:color w:val="000000"/>
                <w:sz w:val="20"/>
                <w:szCs w:val="20"/>
              </w:rPr>
              <w:t>8,22</w:t>
            </w:r>
          </w:p>
        </w:tc>
      </w:tr>
      <w:tr w:rsidR="004B0901" w:rsidRPr="0094473B" w14:paraId="2C1E9B50" w14:textId="77777777" w:rsidTr="00FC5F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2CC1AEBB" w14:textId="77777777" w:rsidR="004B0901" w:rsidRPr="0094473B" w:rsidRDefault="004B0901" w:rsidP="00FC5F49">
            <w:pPr>
              <w:spacing w:line="360" w:lineRule="auto"/>
              <w:jc w:val="both"/>
              <w:rPr>
                <w:rFonts w:ascii="Arial" w:eastAsia="Times New Roman" w:hAnsi="Arial" w:cs="Arial"/>
                <w:b/>
                <w:color w:val="000000"/>
                <w:sz w:val="20"/>
                <w:szCs w:val="20"/>
                <w:lang w:eastAsia="fr-FR"/>
              </w:rPr>
            </w:pPr>
            <w:r w:rsidRPr="0094473B">
              <w:rPr>
                <w:rFonts w:ascii="Arial" w:eastAsia="Times New Roman" w:hAnsi="Arial" w:cs="Arial"/>
                <w:b/>
                <w:color w:val="000000"/>
                <w:sz w:val="20"/>
                <w:szCs w:val="20"/>
                <w:lang w:eastAsia="fr-FR"/>
              </w:rPr>
              <w:t>Temp (°C)</w:t>
            </w:r>
          </w:p>
        </w:tc>
        <w:tc>
          <w:tcPr>
            <w:tcW w:w="853" w:type="dxa"/>
            <w:noWrap/>
            <w:hideMark/>
          </w:tcPr>
          <w:p w14:paraId="1D58F7F4"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28,3</w:t>
            </w:r>
          </w:p>
        </w:tc>
        <w:tc>
          <w:tcPr>
            <w:tcW w:w="1200" w:type="dxa"/>
            <w:noWrap/>
            <w:hideMark/>
          </w:tcPr>
          <w:p w14:paraId="792D1212"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27,3</w:t>
            </w:r>
          </w:p>
        </w:tc>
        <w:tc>
          <w:tcPr>
            <w:tcW w:w="1200" w:type="dxa"/>
            <w:noWrap/>
            <w:hideMark/>
          </w:tcPr>
          <w:p w14:paraId="511B32DA"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28,1</w:t>
            </w:r>
          </w:p>
        </w:tc>
        <w:tc>
          <w:tcPr>
            <w:tcW w:w="1200" w:type="dxa"/>
            <w:noWrap/>
            <w:hideMark/>
          </w:tcPr>
          <w:p w14:paraId="1B7AA7D8"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26,6</w:t>
            </w:r>
          </w:p>
        </w:tc>
        <w:tc>
          <w:tcPr>
            <w:tcW w:w="1200" w:type="dxa"/>
            <w:noWrap/>
            <w:hideMark/>
          </w:tcPr>
          <w:p w14:paraId="4B85CA5B"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27,5</w:t>
            </w:r>
          </w:p>
        </w:tc>
        <w:tc>
          <w:tcPr>
            <w:tcW w:w="1200" w:type="dxa"/>
          </w:tcPr>
          <w:p w14:paraId="66B0EA6F"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4473B">
              <w:rPr>
                <w:rFonts w:ascii="Arial" w:hAnsi="Arial" w:cs="Arial"/>
                <w:color w:val="000000"/>
                <w:sz w:val="20"/>
                <w:szCs w:val="20"/>
              </w:rPr>
              <w:t>27,56</w:t>
            </w:r>
          </w:p>
        </w:tc>
      </w:tr>
      <w:tr w:rsidR="004B0901" w:rsidRPr="0094473B" w14:paraId="5B56FB6B" w14:textId="77777777" w:rsidTr="00FC5F49">
        <w:trPr>
          <w:trHeight w:val="30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2D3910A0" w14:textId="77777777" w:rsidR="004B0901" w:rsidRPr="0094473B" w:rsidRDefault="004B0901" w:rsidP="00FC5F49">
            <w:pPr>
              <w:spacing w:line="360" w:lineRule="auto"/>
              <w:jc w:val="both"/>
              <w:rPr>
                <w:rFonts w:ascii="Arial" w:eastAsia="Times New Roman" w:hAnsi="Arial" w:cs="Arial"/>
                <w:b/>
                <w:color w:val="000000"/>
                <w:sz w:val="20"/>
                <w:szCs w:val="20"/>
                <w:lang w:eastAsia="fr-FR"/>
              </w:rPr>
            </w:pPr>
            <w:r w:rsidRPr="0094473B">
              <w:rPr>
                <w:rFonts w:ascii="Arial" w:eastAsia="Times New Roman" w:hAnsi="Arial" w:cs="Arial"/>
                <w:b/>
                <w:color w:val="000000"/>
                <w:sz w:val="20"/>
                <w:szCs w:val="20"/>
                <w:lang w:eastAsia="fr-FR"/>
              </w:rPr>
              <w:t xml:space="preserve">   NT </w:t>
            </w:r>
            <w:r w:rsidRPr="0094473B">
              <w:rPr>
                <w:rFonts w:ascii="Arial" w:eastAsia="Times New Roman" w:hAnsi="Arial" w:cs="Arial"/>
                <w:b/>
                <w:bCs/>
                <w:i w:val="0"/>
                <w:color w:val="000000"/>
                <w:sz w:val="20"/>
                <w:szCs w:val="20"/>
                <w:lang w:eastAsia="fr-FR"/>
              </w:rPr>
              <w:t>(</w:t>
            </w:r>
            <w:proofErr w:type="gramStart"/>
            <w:r w:rsidRPr="0094473B">
              <w:rPr>
                <w:rFonts w:ascii="Arial" w:eastAsia="Times New Roman" w:hAnsi="Arial" w:cs="Arial"/>
                <w:b/>
                <w:bCs/>
                <w:i w:val="0"/>
                <w:color w:val="000000"/>
                <w:sz w:val="20"/>
                <w:szCs w:val="20"/>
                <w:lang w:eastAsia="fr-FR"/>
              </w:rPr>
              <w:t>mg.L</w:t>
            </w:r>
            <w:proofErr w:type="gramEnd"/>
            <w:r w:rsidRPr="0094473B">
              <w:rPr>
                <w:rFonts w:ascii="Arial" w:eastAsia="Times New Roman" w:hAnsi="Arial" w:cs="Arial"/>
                <w:b/>
                <w:bCs/>
                <w:i w:val="0"/>
                <w:color w:val="000000"/>
                <w:sz w:val="20"/>
                <w:szCs w:val="20"/>
                <w:vertAlign w:val="superscript"/>
                <w:lang w:eastAsia="fr-FR"/>
              </w:rPr>
              <w:t>-1</w:t>
            </w:r>
            <w:r w:rsidRPr="0094473B">
              <w:rPr>
                <w:rFonts w:ascii="Arial" w:eastAsia="Times New Roman" w:hAnsi="Arial" w:cs="Arial"/>
                <w:b/>
                <w:bCs/>
                <w:i w:val="0"/>
                <w:color w:val="000000"/>
                <w:sz w:val="20"/>
                <w:szCs w:val="20"/>
                <w:lang w:eastAsia="fr-FR"/>
              </w:rPr>
              <w:t>)</w:t>
            </w:r>
          </w:p>
        </w:tc>
        <w:tc>
          <w:tcPr>
            <w:tcW w:w="853" w:type="dxa"/>
            <w:noWrap/>
            <w:hideMark/>
          </w:tcPr>
          <w:p w14:paraId="013F8553"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4940</w:t>
            </w:r>
          </w:p>
        </w:tc>
        <w:tc>
          <w:tcPr>
            <w:tcW w:w="1200" w:type="dxa"/>
            <w:noWrap/>
            <w:hideMark/>
          </w:tcPr>
          <w:p w14:paraId="7CEA614B"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5780</w:t>
            </w:r>
          </w:p>
        </w:tc>
        <w:tc>
          <w:tcPr>
            <w:tcW w:w="1200" w:type="dxa"/>
            <w:noWrap/>
            <w:hideMark/>
          </w:tcPr>
          <w:p w14:paraId="46A37787"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4840</w:t>
            </w:r>
          </w:p>
        </w:tc>
        <w:tc>
          <w:tcPr>
            <w:tcW w:w="1200" w:type="dxa"/>
            <w:noWrap/>
            <w:hideMark/>
          </w:tcPr>
          <w:p w14:paraId="082D5009"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5460</w:t>
            </w:r>
          </w:p>
        </w:tc>
        <w:tc>
          <w:tcPr>
            <w:tcW w:w="1200" w:type="dxa"/>
            <w:noWrap/>
            <w:hideMark/>
          </w:tcPr>
          <w:p w14:paraId="4D642284"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5930</w:t>
            </w:r>
          </w:p>
        </w:tc>
        <w:tc>
          <w:tcPr>
            <w:tcW w:w="1200" w:type="dxa"/>
          </w:tcPr>
          <w:p w14:paraId="158CF31A"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4473B">
              <w:rPr>
                <w:rFonts w:ascii="Arial" w:hAnsi="Arial" w:cs="Arial"/>
                <w:color w:val="000000"/>
                <w:sz w:val="20"/>
                <w:szCs w:val="20"/>
              </w:rPr>
              <w:t>5390,00</w:t>
            </w:r>
          </w:p>
        </w:tc>
      </w:tr>
      <w:tr w:rsidR="004B0901" w:rsidRPr="0094473B" w14:paraId="0D76FF06" w14:textId="77777777" w:rsidTr="00FC5F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32F822F2" w14:textId="77777777" w:rsidR="004B0901" w:rsidRPr="0094473B" w:rsidRDefault="004B0901" w:rsidP="00FC5F49">
            <w:pPr>
              <w:spacing w:line="360" w:lineRule="auto"/>
              <w:jc w:val="both"/>
              <w:rPr>
                <w:rFonts w:ascii="Arial" w:eastAsia="Times New Roman" w:hAnsi="Arial" w:cs="Arial"/>
                <w:b/>
                <w:color w:val="000000"/>
                <w:sz w:val="20"/>
                <w:szCs w:val="20"/>
                <w:lang w:eastAsia="fr-FR"/>
              </w:rPr>
            </w:pPr>
            <w:r w:rsidRPr="0094473B">
              <w:rPr>
                <w:rFonts w:ascii="Arial" w:eastAsia="Times New Roman" w:hAnsi="Arial" w:cs="Arial"/>
                <w:b/>
                <w:color w:val="000000"/>
                <w:sz w:val="20"/>
                <w:szCs w:val="20"/>
                <w:lang w:eastAsia="fr-FR"/>
              </w:rPr>
              <w:t xml:space="preserve">  OC </w:t>
            </w:r>
            <w:r w:rsidRPr="0094473B">
              <w:rPr>
                <w:rFonts w:ascii="Arial" w:eastAsia="Times New Roman" w:hAnsi="Arial" w:cs="Arial"/>
                <w:b/>
                <w:bCs/>
                <w:i w:val="0"/>
                <w:color w:val="000000"/>
                <w:sz w:val="20"/>
                <w:szCs w:val="20"/>
                <w:lang w:eastAsia="fr-FR"/>
              </w:rPr>
              <w:t>(</w:t>
            </w:r>
            <w:proofErr w:type="gramStart"/>
            <w:r w:rsidRPr="0094473B">
              <w:rPr>
                <w:rFonts w:ascii="Arial" w:eastAsia="Times New Roman" w:hAnsi="Arial" w:cs="Arial"/>
                <w:b/>
                <w:bCs/>
                <w:i w:val="0"/>
                <w:color w:val="000000"/>
                <w:sz w:val="20"/>
                <w:szCs w:val="20"/>
                <w:lang w:eastAsia="fr-FR"/>
              </w:rPr>
              <w:t>mg.L</w:t>
            </w:r>
            <w:proofErr w:type="gramEnd"/>
            <w:r w:rsidRPr="0094473B">
              <w:rPr>
                <w:rFonts w:ascii="Arial" w:eastAsia="Times New Roman" w:hAnsi="Arial" w:cs="Arial"/>
                <w:b/>
                <w:bCs/>
                <w:i w:val="0"/>
                <w:color w:val="000000"/>
                <w:sz w:val="20"/>
                <w:szCs w:val="20"/>
                <w:vertAlign w:val="superscript"/>
                <w:lang w:eastAsia="fr-FR"/>
              </w:rPr>
              <w:t>-1</w:t>
            </w:r>
            <w:r w:rsidRPr="0094473B">
              <w:rPr>
                <w:rFonts w:ascii="Arial" w:eastAsia="Times New Roman" w:hAnsi="Arial" w:cs="Arial"/>
                <w:b/>
                <w:bCs/>
                <w:i w:val="0"/>
                <w:color w:val="000000"/>
                <w:sz w:val="20"/>
                <w:szCs w:val="20"/>
                <w:lang w:eastAsia="fr-FR"/>
              </w:rPr>
              <w:t>)</w:t>
            </w:r>
          </w:p>
        </w:tc>
        <w:tc>
          <w:tcPr>
            <w:tcW w:w="853" w:type="dxa"/>
            <w:noWrap/>
            <w:hideMark/>
          </w:tcPr>
          <w:p w14:paraId="7461670B"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170</w:t>
            </w:r>
          </w:p>
        </w:tc>
        <w:tc>
          <w:tcPr>
            <w:tcW w:w="1200" w:type="dxa"/>
            <w:noWrap/>
            <w:hideMark/>
          </w:tcPr>
          <w:p w14:paraId="57BAF5A0"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340</w:t>
            </w:r>
          </w:p>
        </w:tc>
        <w:tc>
          <w:tcPr>
            <w:tcW w:w="1200" w:type="dxa"/>
            <w:noWrap/>
            <w:hideMark/>
          </w:tcPr>
          <w:p w14:paraId="3A6DD2DE"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200</w:t>
            </w:r>
          </w:p>
        </w:tc>
        <w:tc>
          <w:tcPr>
            <w:tcW w:w="1200" w:type="dxa"/>
            <w:noWrap/>
            <w:hideMark/>
          </w:tcPr>
          <w:p w14:paraId="223F5D07"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540</w:t>
            </w:r>
          </w:p>
        </w:tc>
        <w:tc>
          <w:tcPr>
            <w:tcW w:w="1200" w:type="dxa"/>
            <w:noWrap/>
            <w:hideMark/>
          </w:tcPr>
          <w:p w14:paraId="73E088DE"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660</w:t>
            </w:r>
          </w:p>
        </w:tc>
        <w:tc>
          <w:tcPr>
            <w:tcW w:w="1200" w:type="dxa"/>
          </w:tcPr>
          <w:p w14:paraId="07EF96C0"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4473B">
              <w:rPr>
                <w:rFonts w:ascii="Arial" w:hAnsi="Arial" w:cs="Arial"/>
                <w:color w:val="000000"/>
                <w:sz w:val="20"/>
                <w:szCs w:val="20"/>
              </w:rPr>
              <w:t>382,00</w:t>
            </w:r>
          </w:p>
        </w:tc>
      </w:tr>
      <w:tr w:rsidR="004B0901" w:rsidRPr="0094473B" w14:paraId="255C8AE1" w14:textId="77777777" w:rsidTr="00FC5F49">
        <w:trPr>
          <w:trHeight w:val="30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2922304B" w14:textId="77777777" w:rsidR="004B0901" w:rsidRPr="0094473B" w:rsidRDefault="004B0901" w:rsidP="00FC5F49">
            <w:pPr>
              <w:spacing w:line="360" w:lineRule="auto"/>
              <w:jc w:val="both"/>
              <w:rPr>
                <w:rFonts w:ascii="Arial" w:eastAsia="Times New Roman" w:hAnsi="Arial" w:cs="Arial"/>
                <w:b/>
                <w:color w:val="000000"/>
                <w:sz w:val="20"/>
                <w:szCs w:val="20"/>
                <w:lang w:eastAsia="fr-FR"/>
              </w:rPr>
            </w:pPr>
            <w:r w:rsidRPr="0094473B">
              <w:rPr>
                <w:rFonts w:ascii="Arial" w:eastAsia="Times New Roman" w:hAnsi="Arial" w:cs="Arial"/>
                <w:b/>
                <w:color w:val="000000"/>
                <w:sz w:val="20"/>
                <w:szCs w:val="20"/>
                <w:lang w:eastAsia="fr-FR"/>
              </w:rPr>
              <w:t xml:space="preserve">   OM </w:t>
            </w:r>
            <w:r w:rsidRPr="0094473B">
              <w:rPr>
                <w:rFonts w:ascii="Arial" w:eastAsia="Times New Roman" w:hAnsi="Arial" w:cs="Arial"/>
                <w:b/>
                <w:bCs/>
                <w:i w:val="0"/>
                <w:color w:val="000000"/>
                <w:sz w:val="20"/>
                <w:szCs w:val="20"/>
                <w:lang w:eastAsia="fr-FR"/>
              </w:rPr>
              <w:t>(</w:t>
            </w:r>
            <w:proofErr w:type="gramStart"/>
            <w:r w:rsidRPr="0094473B">
              <w:rPr>
                <w:rFonts w:ascii="Arial" w:eastAsia="Times New Roman" w:hAnsi="Arial" w:cs="Arial"/>
                <w:b/>
                <w:bCs/>
                <w:i w:val="0"/>
                <w:color w:val="000000"/>
                <w:sz w:val="20"/>
                <w:szCs w:val="20"/>
                <w:lang w:eastAsia="fr-FR"/>
              </w:rPr>
              <w:t>mg.L</w:t>
            </w:r>
            <w:proofErr w:type="gramEnd"/>
            <w:r w:rsidRPr="0094473B">
              <w:rPr>
                <w:rFonts w:ascii="Arial" w:eastAsia="Times New Roman" w:hAnsi="Arial" w:cs="Arial"/>
                <w:b/>
                <w:bCs/>
                <w:i w:val="0"/>
                <w:color w:val="000000"/>
                <w:sz w:val="20"/>
                <w:szCs w:val="20"/>
                <w:vertAlign w:val="superscript"/>
                <w:lang w:eastAsia="fr-FR"/>
              </w:rPr>
              <w:t>-1</w:t>
            </w:r>
            <w:r w:rsidRPr="0094473B">
              <w:rPr>
                <w:rFonts w:ascii="Arial" w:eastAsia="Times New Roman" w:hAnsi="Arial" w:cs="Arial"/>
                <w:b/>
                <w:bCs/>
                <w:i w:val="0"/>
                <w:color w:val="000000"/>
                <w:sz w:val="20"/>
                <w:szCs w:val="20"/>
                <w:lang w:eastAsia="fr-FR"/>
              </w:rPr>
              <w:t>)</w:t>
            </w:r>
          </w:p>
        </w:tc>
        <w:tc>
          <w:tcPr>
            <w:tcW w:w="853" w:type="dxa"/>
            <w:noWrap/>
            <w:hideMark/>
          </w:tcPr>
          <w:p w14:paraId="1FA3800B"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306</w:t>
            </w:r>
          </w:p>
        </w:tc>
        <w:tc>
          <w:tcPr>
            <w:tcW w:w="1200" w:type="dxa"/>
            <w:noWrap/>
            <w:hideMark/>
          </w:tcPr>
          <w:p w14:paraId="5E73F4D2"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612</w:t>
            </w:r>
          </w:p>
        </w:tc>
        <w:tc>
          <w:tcPr>
            <w:tcW w:w="1200" w:type="dxa"/>
            <w:noWrap/>
            <w:hideMark/>
          </w:tcPr>
          <w:p w14:paraId="2183F96D"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360</w:t>
            </w:r>
          </w:p>
        </w:tc>
        <w:tc>
          <w:tcPr>
            <w:tcW w:w="1200" w:type="dxa"/>
            <w:noWrap/>
            <w:hideMark/>
          </w:tcPr>
          <w:p w14:paraId="5F049BF8"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972</w:t>
            </w:r>
          </w:p>
        </w:tc>
        <w:tc>
          <w:tcPr>
            <w:tcW w:w="1200" w:type="dxa"/>
            <w:noWrap/>
            <w:hideMark/>
          </w:tcPr>
          <w:p w14:paraId="4EE05CF9"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1188</w:t>
            </w:r>
          </w:p>
        </w:tc>
        <w:tc>
          <w:tcPr>
            <w:tcW w:w="1200" w:type="dxa"/>
          </w:tcPr>
          <w:p w14:paraId="105B9B2B"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4473B">
              <w:rPr>
                <w:rFonts w:ascii="Arial" w:hAnsi="Arial" w:cs="Arial"/>
                <w:color w:val="000000"/>
                <w:sz w:val="20"/>
                <w:szCs w:val="20"/>
              </w:rPr>
              <w:t>687,60</w:t>
            </w:r>
          </w:p>
        </w:tc>
      </w:tr>
      <w:tr w:rsidR="004B0901" w:rsidRPr="0094473B" w14:paraId="4126C2B0" w14:textId="77777777" w:rsidTr="00FC5F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6A488D70" w14:textId="77777777" w:rsidR="004B0901" w:rsidRPr="0094473B" w:rsidRDefault="004B0901" w:rsidP="00FC5F49">
            <w:pPr>
              <w:spacing w:line="360" w:lineRule="auto"/>
              <w:jc w:val="both"/>
              <w:rPr>
                <w:rFonts w:ascii="Arial" w:eastAsia="Times New Roman" w:hAnsi="Arial" w:cs="Arial"/>
                <w:b/>
                <w:color w:val="000000"/>
                <w:sz w:val="20"/>
                <w:szCs w:val="20"/>
                <w:lang w:eastAsia="fr-FR"/>
              </w:rPr>
            </w:pPr>
            <w:r w:rsidRPr="0094473B">
              <w:rPr>
                <w:rFonts w:ascii="Arial" w:eastAsia="Times New Roman" w:hAnsi="Arial" w:cs="Arial"/>
                <w:b/>
                <w:color w:val="000000"/>
                <w:sz w:val="20"/>
                <w:szCs w:val="20"/>
                <w:lang w:eastAsia="fr-FR"/>
              </w:rPr>
              <w:t>BOD</w:t>
            </w:r>
            <w:r w:rsidRPr="0094473B">
              <w:rPr>
                <w:rFonts w:ascii="Arial" w:eastAsia="Times New Roman" w:hAnsi="Arial" w:cs="Arial"/>
                <w:b/>
                <w:color w:val="000000"/>
                <w:sz w:val="20"/>
                <w:szCs w:val="20"/>
                <w:vertAlign w:val="subscript"/>
                <w:lang w:eastAsia="fr-FR"/>
              </w:rPr>
              <w:t xml:space="preserve">5 </w:t>
            </w:r>
            <w:r w:rsidRPr="0094473B">
              <w:rPr>
                <w:rFonts w:ascii="Arial" w:eastAsia="Times New Roman" w:hAnsi="Arial" w:cs="Arial"/>
                <w:b/>
                <w:bCs/>
                <w:i w:val="0"/>
                <w:color w:val="000000"/>
                <w:sz w:val="20"/>
                <w:szCs w:val="20"/>
                <w:lang w:eastAsia="fr-FR"/>
              </w:rPr>
              <w:t>(mgO</w:t>
            </w:r>
            <w:r w:rsidRPr="0094473B">
              <w:rPr>
                <w:rFonts w:ascii="Arial" w:eastAsia="Times New Roman" w:hAnsi="Arial" w:cs="Arial"/>
                <w:b/>
                <w:bCs/>
                <w:i w:val="0"/>
                <w:color w:val="000000"/>
                <w:sz w:val="20"/>
                <w:szCs w:val="20"/>
                <w:vertAlign w:val="subscript"/>
                <w:lang w:eastAsia="fr-FR"/>
              </w:rPr>
              <w:t>2</w:t>
            </w:r>
            <w:r w:rsidRPr="0094473B">
              <w:rPr>
                <w:rFonts w:ascii="Arial" w:eastAsia="Times New Roman" w:hAnsi="Arial" w:cs="Arial"/>
                <w:b/>
                <w:bCs/>
                <w:i w:val="0"/>
                <w:color w:val="000000"/>
                <w:sz w:val="20"/>
                <w:szCs w:val="20"/>
                <w:lang w:eastAsia="fr-FR"/>
              </w:rPr>
              <w:t>.L</w:t>
            </w:r>
            <w:r w:rsidRPr="0094473B">
              <w:rPr>
                <w:rFonts w:ascii="Arial" w:eastAsia="Times New Roman" w:hAnsi="Arial" w:cs="Arial"/>
                <w:b/>
                <w:bCs/>
                <w:i w:val="0"/>
                <w:color w:val="000000"/>
                <w:sz w:val="20"/>
                <w:szCs w:val="20"/>
                <w:vertAlign w:val="superscript"/>
                <w:lang w:eastAsia="fr-FR"/>
              </w:rPr>
              <w:t>-1</w:t>
            </w:r>
            <w:r w:rsidRPr="0094473B">
              <w:rPr>
                <w:rFonts w:ascii="Arial" w:eastAsia="Times New Roman" w:hAnsi="Arial" w:cs="Arial"/>
                <w:b/>
                <w:bCs/>
                <w:i w:val="0"/>
                <w:color w:val="000000"/>
                <w:sz w:val="20"/>
                <w:szCs w:val="20"/>
                <w:lang w:eastAsia="fr-FR"/>
              </w:rPr>
              <w:t>)</w:t>
            </w:r>
          </w:p>
        </w:tc>
        <w:tc>
          <w:tcPr>
            <w:tcW w:w="853" w:type="dxa"/>
            <w:noWrap/>
            <w:hideMark/>
          </w:tcPr>
          <w:p w14:paraId="7C66E843"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4394</w:t>
            </w:r>
          </w:p>
        </w:tc>
        <w:tc>
          <w:tcPr>
            <w:tcW w:w="1200" w:type="dxa"/>
            <w:noWrap/>
            <w:hideMark/>
          </w:tcPr>
          <w:p w14:paraId="12E945BC"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12906</w:t>
            </w:r>
          </w:p>
        </w:tc>
        <w:tc>
          <w:tcPr>
            <w:tcW w:w="1200" w:type="dxa"/>
            <w:noWrap/>
            <w:hideMark/>
          </w:tcPr>
          <w:p w14:paraId="1A24E649"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6654</w:t>
            </w:r>
          </w:p>
        </w:tc>
        <w:tc>
          <w:tcPr>
            <w:tcW w:w="1200" w:type="dxa"/>
            <w:noWrap/>
            <w:hideMark/>
          </w:tcPr>
          <w:p w14:paraId="14A33FB6"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7824</w:t>
            </w:r>
          </w:p>
        </w:tc>
        <w:tc>
          <w:tcPr>
            <w:tcW w:w="1200" w:type="dxa"/>
            <w:noWrap/>
            <w:hideMark/>
          </w:tcPr>
          <w:p w14:paraId="55CFDDA4"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1280</w:t>
            </w:r>
          </w:p>
        </w:tc>
        <w:tc>
          <w:tcPr>
            <w:tcW w:w="1200" w:type="dxa"/>
          </w:tcPr>
          <w:p w14:paraId="2276C315"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4473B">
              <w:rPr>
                <w:rFonts w:ascii="Arial" w:hAnsi="Arial" w:cs="Arial"/>
                <w:color w:val="000000"/>
                <w:sz w:val="20"/>
                <w:szCs w:val="20"/>
              </w:rPr>
              <w:t>6611,60</w:t>
            </w:r>
          </w:p>
        </w:tc>
      </w:tr>
      <w:tr w:rsidR="004B0901" w:rsidRPr="0094473B" w14:paraId="27A43B79" w14:textId="77777777" w:rsidTr="00FC5F49">
        <w:trPr>
          <w:trHeight w:val="30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0707AD69" w14:textId="77777777" w:rsidR="004B0901" w:rsidRPr="0094473B" w:rsidRDefault="004B0901" w:rsidP="00FC5F49">
            <w:pPr>
              <w:spacing w:line="360" w:lineRule="auto"/>
              <w:jc w:val="both"/>
              <w:rPr>
                <w:rFonts w:ascii="Arial" w:eastAsia="Times New Roman" w:hAnsi="Arial" w:cs="Arial"/>
                <w:b/>
                <w:color w:val="000000"/>
                <w:sz w:val="20"/>
                <w:szCs w:val="20"/>
                <w:lang w:eastAsia="fr-FR"/>
              </w:rPr>
            </w:pPr>
            <w:r w:rsidRPr="0094473B">
              <w:rPr>
                <w:rFonts w:ascii="Arial" w:eastAsia="Times New Roman" w:hAnsi="Arial" w:cs="Arial"/>
                <w:b/>
                <w:color w:val="000000"/>
                <w:sz w:val="20"/>
                <w:szCs w:val="20"/>
                <w:lang w:eastAsia="fr-FR"/>
              </w:rPr>
              <w:t>C/N</w:t>
            </w:r>
          </w:p>
        </w:tc>
        <w:tc>
          <w:tcPr>
            <w:tcW w:w="853" w:type="dxa"/>
            <w:noWrap/>
            <w:hideMark/>
          </w:tcPr>
          <w:p w14:paraId="4C9455F5"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0,03</w:t>
            </w:r>
          </w:p>
        </w:tc>
        <w:tc>
          <w:tcPr>
            <w:tcW w:w="1200" w:type="dxa"/>
            <w:noWrap/>
            <w:hideMark/>
          </w:tcPr>
          <w:p w14:paraId="71B27669"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0,06</w:t>
            </w:r>
          </w:p>
        </w:tc>
        <w:tc>
          <w:tcPr>
            <w:tcW w:w="1200" w:type="dxa"/>
            <w:noWrap/>
            <w:hideMark/>
          </w:tcPr>
          <w:p w14:paraId="66759540"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0,04</w:t>
            </w:r>
          </w:p>
        </w:tc>
        <w:tc>
          <w:tcPr>
            <w:tcW w:w="1200" w:type="dxa"/>
            <w:noWrap/>
            <w:hideMark/>
          </w:tcPr>
          <w:p w14:paraId="47EBA2DF"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0,10</w:t>
            </w:r>
          </w:p>
        </w:tc>
        <w:tc>
          <w:tcPr>
            <w:tcW w:w="1200" w:type="dxa"/>
            <w:noWrap/>
            <w:hideMark/>
          </w:tcPr>
          <w:p w14:paraId="35D4310F"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0,11</w:t>
            </w:r>
          </w:p>
        </w:tc>
        <w:tc>
          <w:tcPr>
            <w:tcW w:w="1200" w:type="dxa"/>
          </w:tcPr>
          <w:p w14:paraId="286AE371" w14:textId="77777777" w:rsidR="004B0901" w:rsidRPr="0094473B" w:rsidRDefault="004B0901" w:rsidP="00FC5F4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4473B">
              <w:rPr>
                <w:rFonts w:ascii="Arial" w:hAnsi="Arial" w:cs="Arial"/>
                <w:color w:val="000000"/>
                <w:sz w:val="20"/>
                <w:szCs w:val="20"/>
              </w:rPr>
              <w:t>0,07</w:t>
            </w:r>
          </w:p>
        </w:tc>
      </w:tr>
      <w:tr w:rsidR="004B0901" w:rsidRPr="0094473B" w14:paraId="2DBB3443" w14:textId="77777777" w:rsidTr="00FC5F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auto"/>
            </w:tcBorders>
            <w:noWrap/>
            <w:hideMark/>
          </w:tcPr>
          <w:p w14:paraId="628A4721" w14:textId="77777777" w:rsidR="004B0901" w:rsidRPr="0094473B" w:rsidRDefault="004B0901" w:rsidP="00FC5F49">
            <w:pPr>
              <w:spacing w:line="360" w:lineRule="auto"/>
              <w:jc w:val="both"/>
              <w:rPr>
                <w:rFonts w:ascii="Arial" w:eastAsia="Times New Roman" w:hAnsi="Arial" w:cs="Arial"/>
                <w:b/>
                <w:color w:val="000000"/>
                <w:sz w:val="20"/>
                <w:szCs w:val="20"/>
                <w:lang w:eastAsia="fr-FR"/>
              </w:rPr>
            </w:pPr>
            <w:r w:rsidRPr="0094473B">
              <w:rPr>
                <w:rFonts w:ascii="Arial" w:eastAsia="Times New Roman" w:hAnsi="Arial" w:cs="Arial"/>
                <w:b/>
                <w:color w:val="000000"/>
                <w:sz w:val="20"/>
                <w:szCs w:val="20"/>
                <w:lang w:eastAsia="fr-FR"/>
              </w:rPr>
              <w:t>COD/BOD5</w:t>
            </w:r>
          </w:p>
        </w:tc>
        <w:tc>
          <w:tcPr>
            <w:tcW w:w="853" w:type="dxa"/>
            <w:tcBorders>
              <w:bottom w:val="single" w:sz="4" w:space="0" w:color="auto"/>
            </w:tcBorders>
            <w:noWrap/>
            <w:hideMark/>
          </w:tcPr>
          <w:p w14:paraId="6DD7A356"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0,56</w:t>
            </w:r>
          </w:p>
        </w:tc>
        <w:tc>
          <w:tcPr>
            <w:tcW w:w="1200" w:type="dxa"/>
            <w:tcBorders>
              <w:bottom w:val="single" w:sz="4" w:space="0" w:color="auto"/>
            </w:tcBorders>
            <w:noWrap/>
            <w:hideMark/>
          </w:tcPr>
          <w:p w14:paraId="04A21F18"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1,38</w:t>
            </w:r>
          </w:p>
        </w:tc>
        <w:tc>
          <w:tcPr>
            <w:tcW w:w="1200" w:type="dxa"/>
            <w:tcBorders>
              <w:bottom w:val="single" w:sz="4" w:space="0" w:color="auto"/>
            </w:tcBorders>
            <w:noWrap/>
            <w:hideMark/>
          </w:tcPr>
          <w:p w14:paraId="5A8F9124"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3,39</w:t>
            </w:r>
          </w:p>
        </w:tc>
        <w:tc>
          <w:tcPr>
            <w:tcW w:w="1200" w:type="dxa"/>
            <w:tcBorders>
              <w:bottom w:val="single" w:sz="4" w:space="0" w:color="auto"/>
            </w:tcBorders>
            <w:noWrap/>
            <w:hideMark/>
          </w:tcPr>
          <w:p w14:paraId="50BFFF79"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3,01</w:t>
            </w:r>
          </w:p>
        </w:tc>
        <w:tc>
          <w:tcPr>
            <w:tcW w:w="1200" w:type="dxa"/>
            <w:tcBorders>
              <w:bottom w:val="single" w:sz="4" w:space="0" w:color="auto"/>
            </w:tcBorders>
            <w:noWrap/>
            <w:hideMark/>
          </w:tcPr>
          <w:p w14:paraId="70B8A649"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94473B">
              <w:rPr>
                <w:rFonts w:ascii="Arial" w:eastAsia="Times New Roman" w:hAnsi="Arial" w:cs="Arial"/>
                <w:color w:val="000000"/>
                <w:sz w:val="20"/>
                <w:szCs w:val="20"/>
                <w:lang w:eastAsia="fr-FR"/>
              </w:rPr>
              <w:t>21,38</w:t>
            </w:r>
          </w:p>
        </w:tc>
        <w:tc>
          <w:tcPr>
            <w:tcW w:w="1200" w:type="dxa"/>
            <w:tcBorders>
              <w:bottom w:val="single" w:sz="4" w:space="0" w:color="auto"/>
            </w:tcBorders>
          </w:tcPr>
          <w:p w14:paraId="76D03CD8" w14:textId="77777777" w:rsidR="004B0901" w:rsidRPr="0094473B" w:rsidRDefault="004B0901" w:rsidP="00FC5F4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4473B">
              <w:rPr>
                <w:rFonts w:ascii="Arial" w:hAnsi="Arial" w:cs="Arial"/>
                <w:color w:val="000000"/>
                <w:sz w:val="20"/>
                <w:szCs w:val="20"/>
              </w:rPr>
              <w:t>2,83</w:t>
            </w:r>
          </w:p>
        </w:tc>
      </w:tr>
    </w:tbl>
    <w:p w14:paraId="01D0C9AE" w14:textId="77777777" w:rsidR="004B0901" w:rsidRPr="0094473B" w:rsidRDefault="004B0901" w:rsidP="00182FF4">
      <w:pPr>
        <w:pStyle w:val="NormalWeb"/>
        <w:spacing w:before="0" w:beforeAutospacing="0" w:after="0" w:afterAutospacing="0" w:line="360" w:lineRule="auto"/>
        <w:jc w:val="both"/>
        <w:rPr>
          <w:rFonts w:ascii="Arial" w:hAnsi="Arial" w:cs="Arial"/>
          <w:sz w:val="20"/>
          <w:szCs w:val="20"/>
          <w:lang w:val="en-US"/>
        </w:rPr>
      </w:pPr>
    </w:p>
    <w:p w14:paraId="41D5DBCC" w14:textId="77777777" w:rsidR="00182FF4" w:rsidRPr="0094473B" w:rsidRDefault="00182FF4" w:rsidP="0094473B">
      <w:pPr>
        <w:pStyle w:val="ListParagraph"/>
        <w:numPr>
          <w:ilvl w:val="1"/>
          <w:numId w:val="7"/>
        </w:numPr>
        <w:spacing w:after="0" w:line="360" w:lineRule="auto"/>
        <w:outlineLvl w:val="2"/>
        <w:rPr>
          <w:rFonts w:ascii="Arial" w:eastAsia="Times New Roman" w:hAnsi="Arial" w:cs="Arial"/>
          <w:b/>
          <w:bCs/>
          <w:lang w:val="en-US"/>
        </w:rPr>
      </w:pPr>
      <w:r w:rsidRPr="0094473B">
        <w:rPr>
          <w:rFonts w:ascii="Arial" w:eastAsia="Times New Roman" w:hAnsi="Arial" w:cs="Arial"/>
          <w:b/>
          <w:bCs/>
          <w:lang w:val="en-US"/>
        </w:rPr>
        <w:t xml:space="preserve">Co-Digestion of </w:t>
      </w:r>
      <w:proofErr w:type="spellStart"/>
      <w:r w:rsidRPr="0094473B">
        <w:rPr>
          <w:rFonts w:ascii="Arial" w:eastAsia="Times New Roman" w:hAnsi="Arial" w:cs="Arial"/>
          <w:b/>
          <w:bCs/>
          <w:lang w:val="en-US"/>
        </w:rPr>
        <w:t>Faecal</w:t>
      </w:r>
      <w:proofErr w:type="spellEnd"/>
      <w:r w:rsidRPr="0094473B">
        <w:rPr>
          <w:rFonts w:ascii="Arial" w:eastAsia="Times New Roman" w:hAnsi="Arial" w:cs="Arial"/>
          <w:b/>
          <w:bCs/>
          <w:lang w:val="en-US"/>
        </w:rPr>
        <w:t xml:space="preserve"> Sludge</w:t>
      </w:r>
    </w:p>
    <w:p w14:paraId="445DF4CF" w14:textId="77777777" w:rsidR="00182FF4" w:rsidRPr="0094473B" w:rsidRDefault="00182FF4" w:rsidP="0094473B">
      <w:pPr>
        <w:pStyle w:val="Heading4"/>
      </w:pPr>
      <w:r w:rsidRPr="0094473B">
        <w:t>Preparation of Co-Digestion Mixtures</w:t>
      </w:r>
    </w:p>
    <w:p w14:paraId="63856F8E" w14:textId="77777777" w:rsidR="00182FF4" w:rsidRPr="0094473B" w:rsidRDefault="00182FF4" w:rsidP="00182FF4">
      <w:pPr>
        <w:pStyle w:val="NormalWeb"/>
        <w:spacing w:before="0" w:beforeAutospacing="0" w:after="0" w:afterAutospacing="0" w:line="360" w:lineRule="auto"/>
        <w:jc w:val="both"/>
        <w:rPr>
          <w:rFonts w:ascii="Arial" w:hAnsi="Arial" w:cs="Arial"/>
          <w:sz w:val="20"/>
          <w:szCs w:val="20"/>
          <w:lang w:val="en-US"/>
        </w:rPr>
      </w:pPr>
      <w:r w:rsidRPr="0094473B">
        <w:rPr>
          <w:rFonts w:ascii="Arial" w:hAnsi="Arial" w:cs="Arial"/>
          <w:sz w:val="20"/>
          <w:szCs w:val="20"/>
          <w:lang w:val="en-US"/>
        </w:rPr>
        <w:t xml:space="preserve">Given the low carbon content of the </w:t>
      </w:r>
      <w:proofErr w:type="spellStart"/>
      <w:r w:rsidRPr="0094473B">
        <w:rPr>
          <w:rFonts w:ascii="Arial" w:hAnsi="Arial" w:cs="Arial"/>
          <w:sz w:val="20"/>
          <w:szCs w:val="20"/>
          <w:lang w:val="en-US"/>
        </w:rPr>
        <w:t>faecal</w:t>
      </w:r>
      <w:proofErr w:type="spellEnd"/>
      <w:r w:rsidRPr="0094473B">
        <w:rPr>
          <w:rFonts w:ascii="Arial" w:hAnsi="Arial" w:cs="Arial"/>
          <w:sz w:val="20"/>
          <w:szCs w:val="20"/>
          <w:lang w:val="en-US"/>
        </w:rPr>
        <w:t xml:space="preserve"> sludge, as evidenced by a carbon-to-nitrogen (C/N) ratio of 0.07</w:t>
      </w:r>
      <w:r w:rsidR="004B0901" w:rsidRPr="0094473B">
        <w:rPr>
          <w:rFonts w:ascii="Arial" w:hAnsi="Arial" w:cs="Arial"/>
          <w:sz w:val="20"/>
          <w:szCs w:val="20"/>
          <w:lang w:val="en-US"/>
        </w:rPr>
        <w:t xml:space="preserve"> f</w:t>
      </w:r>
      <w:r w:rsidRPr="0094473B">
        <w:rPr>
          <w:rFonts w:ascii="Arial" w:hAnsi="Arial" w:cs="Arial"/>
          <w:sz w:val="20"/>
          <w:szCs w:val="20"/>
          <w:lang w:val="en-US"/>
        </w:rPr>
        <w:t>ar below the optimal range for anaerobic digestion (typically between 20 and 30)</w:t>
      </w:r>
      <w:r w:rsidR="004B0901" w:rsidRPr="0094473B">
        <w:rPr>
          <w:rFonts w:ascii="Arial" w:hAnsi="Arial" w:cs="Arial"/>
          <w:sz w:val="20"/>
          <w:szCs w:val="20"/>
          <w:lang w:val="en-US"/>
        </w:rPr>
        <w:t xml:space="preserve"> </w:t>
      </w:r>
      <w:r w:rsidRPr="0094473B">
        <w:rPr>
          <w:rFonts w:ascii="Arial" w:hAnsi="Arial" w:cs="Arial"/>
          <w:sz w:val="20"/>
          <w:szCs w:val="20"/>
          <w:lang w:val="en-US"/>
        </w:rPr>
        <w:t xml:space="preserve">the sludge was subjected exclusively to co-digestion, using mixtures M1 and M2. Fruit waste was employed due to its high carbon content, and iron filings were added as electron donors to facilitate the oxidation of </w:t>
      </w:r>
      <w:proofErr w:type="spellStart"/>
      <w:r w:rsidRPr="0094473B">
        <w:rPr>
          <w:rFonts w:ascii="Arial" w:hAnsi="Arial" w:cs="Arial"/>
          <w:sz w:val="20"/>
          <w:szCs w:val="20"/>
          <w:lang w:val="en-US"/>
        </w:rPr>
        <w:t>sulphides</w:t>
      </w:r>
      <w:proofErr w:type="spellEnd"/>
      <w:r w:rsidRPr="0094473B">
        <w:rPr>
          <w:rFonts w:ascii="Arial" w:hAnsi="Arial" w:cs="Arial"/>
          <w:sz w:val="20"/>
          <w:szCs w:val="20"/>
          <w:lang w:val="en-US"/>
        </w:rPr>
        <w:t>, which are malodorous gases potentially emitted during the digestion process.</w:t>
      </w:r>
    </w:p>
    <w:p w14:paraId="111589EF" w14:textId="77777777" w:rsidR="00182FF4" w:rsidRPr="0094473B" w:rsidRDefault="00182FF4" w:rsidP="0094473B">
      <w:pPr>
        <w:pStyle w:val="Heading4"/>
      </w:pPr>
      <w:r w:rsidRPr="0094473B">
        <w:t>Operation of Digesters</w:t>
      </w:r>
    </w:p>
    <w:p w14:paraId="02594628" w14:textId="77777777" w:rsidR="00182FF4" w:rsidRPr="0094473B" w:rsidRDefault="00182FF4" w:rsidP="00182FF4">
      <w:pPr>
        <w:pStyle w:val="NormalWeb"/>
        <w:spacing w:before="0" w:beforeAutospacing="0" w:after="0" w:afterAutospacing="0" w:line="360" w:lineRule="auto"/>
        <w:jc w:val="both"/>
        <w:rPr>
          <w:rFonts w:ascii="Arial" w:hAnsi="Arial" w:cs="Arial"/>
          <w:sz w:val="20"/>
          <w:szCs w:val="20"/>
          <w:lang w:val="en-US"/>
        </w:rPr>
      </w:pPr>
      <w:r w:rsidRPr="0094473B">
        <w:rPr>
          <w:rFonts w:ascii="Arial" w:hAnsi="Arial" w:cs="Arial"/>
          <w:sz w:val="20"/>
          <w:szCs w:val="20"/>
          <w:lang w:val="en-US"/>
        </w:rPr>
        <w:t>Figure 3 illustrates the variations in the mean concentrations of volatile fatty acids (VFA), bicarbonates (TAC), and pH in all digesters during biogas production.</w:t>
      </w:r>
    </w:p>
    <w:p w14:paraId="35E52614" w14:textId="77777777" w:rsidR="00182FF4" w:rsidRPr="0094473B" w:rsidRDefault="00182FF4" w:rsidP="00182FF4">
      <w:pPr>
        <w:pStyle w:val="NormalWeb"/>
        <w:spacing w:before="0" w:beforeAutospacing="0" w:after="0" w:afterAutospacing="0" w:line="360" w:lineRule="auto"/>
        <w:jc w:val="both"/>
        <w:rPr>
          <w:rFonts w:ascii="Arial" w:hAnsi="Arial" w:cs="Arial"/>
          <w:sz w:val="20"/>
          <w:szCs w:val="20"/>
          <w:lang w:val="en-US"/>
        </w:rPr>
      </w:pPr>
      <w:r w:rsidRPr="0094473B">
        <w:rPr>
          <w:rFonts w:ascii="Arial" w:hAnsi="Arial" w:cs="Arial"/>
          <w:sz w:val="20"/>
          <w:szCs w:val="20"/>
          <w:lang w:val="en-US"/>
        </w:rPr>
        <w:t>Analysis of these figures shows that during anaerobic digestion, an increase in VFAs (Figure 3a) corresponds with a decrease in both pH and total alkalinity (TAC) (Figures 3b and 3c). The pH is particularly sensitive to changes in TAC (specifically bicarbonate content) as well as to VFA concentrations.</w:t>
      </w:r>
    </w:p>
    <w:p w14:paraId="32F293ED" w14:textId="77777777" w:rsidR="00182FF4" w:rsidRPr="0094473B" w:rsidRDefault="00182FF4" w:rsidP="00182FF4">
      <w:pPr>
        <w:pStyle w:val="NormalWeb"/>
        <w:spacing w:before="0" w:beforeAutospacing="0" w:after="0" w:afterAutospacing="0" w:line="360" w:lineRule="auto"/>
        <w:jc w:val="both"/>
        <w:rPr>
          <w:rFonts w:ascii="Arial" w:hAnsi="Arial" w:cs="Arial"/>
          <w:sz w:val="20"/>
          <w:szCs w:val="20"/>
          <w:lang w:val="en-US"/>
        </w:rPr>
      </w:pPr>
      <w:r w:rsidRPr="0094473B">
        <w:rPr>
          <w:rFonts w:ascii="Arial" w:hAnsi="Arial" w:cs="Arial"/>
          <w:sz w:val="20"/>
          <w:szCs w:val="20"/>
          <w:lang w:val="en-US"/>
        </w:rPr>
        <w:t xml:space="preserve">Overall, the digesters exhibited similar performance patterns. However, the pH (Figure 3c) and TAC (Figure 3b) in the digesters with iron-enhanced anaerobic co-digestion followed a consistently decreasing trend. In contrast, in the control digester, both pH (Figure 3c) and TAC (Figure 3b) experienced a slight increase between day 4 and day 7, accompanied by a marginal rise in VFA concentration. In the iron-enhanced co-digestion digesters, a minor increase in TAC was also observed </w:t>
      </w:r>
      <w:r w:rsidRPr="0094473B">
        <w:rPr>
          <w:rFonts w:ascii="Arial" w:hAnsi="Arial" w:cs="Arial"/>
          <w:sz w:val="20"/>
          <w:szCs w:val="20"/>
          <w:lang w:val="en-US"/>
        </w:rPr>
        <w:lastRenderedPageBreak/>
        <w:t>between day 4 and day 7 (Figure 3b), while the pH remained relatively decreasing throughout the digestion process (Figure 3c).</w:t>
      </w:r>
    </w:p>
    <w:p w14:paraId="1F21C098" w14:textId="77777777" w:rsidR="001B3C81" w:rsidRPr="00045848" w:rsidRDefault="001B3C81" w:rsidP="00182FF4">
      <w:pPr>
        <w:pStyle w:val="NormalWeb"/>
        <w:spacing w:before="0" w:beforeAutospacing="0" w:after="0" w:afterAutospacing="0" w:line="360" w:lineRule="auto"/>
        <w:jc w:val="both"/>
      </w:pPr>
      <w:r>
        <w:rPr>
          <w:noProof/>
        </w:rPr>
        <w:drawing>
          <wp:inline distT="0" distB="0" distL="0" distR="0" wp14:anchorId="14C5EC19" wp14:editId="07FF2E09">
            <wp:extent cx="6191885" cy="56013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885" cy="5601335"/>
                    </a:xfrm>
                    <a:prstGeom prst="rect">
                      <a:avLst/>
                    </a:prstGeom>
                    <a:noFill/>
                  </pic:spPr>
                </pic:pic>
              </a:graphicData>
            </a:graphic>
          </wp:inline>
        </w:drawing>
      </w:r>
    </w:p>
    <w:p w14:paraId="6CE6445C" w14:textId="77777777" w:rsidR="00182FF4" w:rsidRPr="0094473B" w:rsidRDefault="00182FF4" w:rsidP="001B3C81">
      <w:pPr>
        <w:pStyle w:val="NormalWeb"/>
        <w:jc w:val="center"/>
        <w:rPr>
          <w:rFonts w:ascii="Arial" w:hAnsi="Arial" w:cs="Arial"/>
          <w:sz w:val="20"/>
          <w:szCs w:val="20"/>
          <w:lang w:val="en-US"/>
        </w:rPr>
      </w:pPr>
      <w:r w:rsidRPr="0094473B">
        <w:rPr>
          <w:rFonts w:ascii="Arial" w:hAnsi="Arial" w:cs="Arial"/>
          <w:b/>
          <w:bCs/>
          <w:sz w:val="20"/>
          <w:szCs w:val="20"/>
          <w:lang w:val="en-US"/>
        </w:rPr>
        <w:t>Figure 3</w:t>
      </w:r>
      <w:r w:rsidRPr="0094473B">
        <w:rPr>
          <w:rFonts w:ascii="Arial" w:hAnsi="Arial" w:cs="Arial"/>
          <w:bCs/>
          <w:sz w:val="20"/>
          <w:szCs w:val="20"/>
          <w:lang w:val="en-US"/>
        </w:rPr>
        <w:t>:</w:t>
      </w:r>
      <w:r w:rsidRPr="0094473B">
        <w:rPr>
          <w:rFonts w:ascii="Arial" w:hAnsi="Arial" w:cs="Arial"/>
          <w:sz w:val="20"/>
          <w:szCs w:val="20"/>
          <w:lang w:val="en-US"/>
        </w:rPr>
        <w:t xml:space="preserve"> Evolution of Volatile Fatty Acids (VFA), Total Alkalinity (TAC), and pH during the Anaerobic Co-Digestion Process</w:t>
      </w:r>
    </w:p>
    <w:p w14:paraId="58D95FA7" w14:textId="77777777" w:rsidR="00182FF4" w:rsidRPr="006A4678" w:rsidRDefault="00182FF4" w:rsidP="0094473B">
      <w:pPr>
        <w:pStyle w:val="ListParagraph"/>
        <w:numPr>
          <w:ilvl w:val="1"/>
          <w:numId w:val="7"/>
        </w:numPr>
        <w:spacing w:after="0" w:line="360" w:lineRule="auto"/>
        <w:jc w:val="both"/>
        <w:rPr>
          <w:rFonts w:ascii="Arial" w:hAnsi="Arial" w:cs="Arial"/>
          <w:b/>
          <w:bCs/>
          <w:lang w:val="en-US"/>
        </w:rPr>
      </w:pPr>
      <w:r w:rsidRPr="006A4678">
        <w:rPr>
          <w:rFonts w:ascii="Arial" w:hAnsi="Arial" w:cs="Arial"/>
          <w:b/>
          <w:bCs/>
          <w:lang w:val="en-US"/>
        </w:rPr>
        <w:t>Biogas Quantification</w:t>
      </w:r>
    </w:p>
    <w:p w14:paraId="2637689B"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The ultimate aim of an anaerobic digestion process is the production of biogas. The cumulative biogas output from each digester is shown in Figure 4. It can be observed that biogas production in reactors B1, B2, and B4 is relatively low compared to the output of the control digester (Figure 4a). Additionally, the quantities of biogas generated in digesters B3 and B5 are nearly equivalent to those produced by the control digester.</w:t>
      </w:r>
    </w:p>
    <w:p w14:paraId="36B4BB1B"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Moreover, biogas production reached its peak more rapidly</w:t>
      </w:r>
      <w:r w:rsidR="004B0901" w:rsidRPr="006A4678">
        <w:rPr>
          <w:rFonts w:ascii="Arial" w:hAnsi="Arial" w:cs="Arial"/>
          <w:sz w:val="20"/>
          <w:szCs w:val="20"/>
          <w:lang w:val="en-US"/>
        </w:rPr>
        <w:t xml:space="preserve"> </w:t>
      </w:r>
      <w:r w:rsidRPr="006A4678">
        <w:rPr>
          <w:rFonts w:ascii="Arial" w:hAnsi="Arial" w:cs="Arial"/>
          <w:sz w:val="20"/>
          <w:szCs w:val="20"/>
          <w:lang w:val="en-US"/>
        </w:rPr>
        <w:t>between the 17th and 24th day</w:t>
      </w:r>
      <w:r w:rsidR="004B0901" w:rsidRPr="006A4678">
        <w:rPr>
          <w:rFonts w:ascii="Arial" w:hAnsi="Arial" w:cs="Arial"/>
          <w:sz w:val="20"/>
          <w:szCs w:val="20"/>
          <w:lang w:val="en-US"/>
        </w:rPr>
        <w:t xml:space="preserve"> </w:t>
      </w:r>
      <w:r w:rsidRPr="006A4678">
        <w:rPr>
          <w:rFonts w:ascii="Arial" w:hAnsi="Arial" w:cs="Arial"/>
          <w:sz w:val="20"/>
          <w:szCs w:val="20"/>
          <w:lang w:val="en-US"/>
        </w:rPr>
        <w:t xml:space="preserve">in digesters containing a mixture of </w:t>
      </w:r>
      <w:proofErr w:type="spellStart"/>
      <w:r w:rsidRPr="006A4678">
        <w:rPr>
          <w:rFonts w:ascii="Arial" w:hAnsi="Arial" w:cs="Arial"/>
          <w:sz w:val="20"/>
          <w:szCs w:val="20"/>
          <w:lang w:val="en-US"/>
        </w:rPr>
        <w:t>faecal</w:t>
      </w:r>
      <w:proofErr w:type="spellEnd"/>
      <w:r w:rsidRPr="006A4678">
        <w:rPr>
          <w:rFonts w:ascii="Arial" w:hAnsi="Arial" w:cs="Arial"/>
          <w:sz w:val="20"/>
          <w:szCs w:val="20"/>
          <w:lang w:val="en-US"/>
        </w:rPr>
        <w:t xml:space="preserve"> sludge and fruit waste. In contrast, the control digester only attained its maximum biogas yield on the 32nd day of the process (Figure 4a).</w:t>
      </w:r>
    </w:p>
    <w:p w14:paraId="4E7AC882"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lastRenderedPageBreak/>
        <w:t>Furthermore, the data indicate that the presence of iron in the digesters enhanced biogas production across all systems, with the exception of digester B5, where output declined. Specifically, biogas production increased from 27,110 mL to 35,392 mL in the control digester, from 15,943 mL to 29,854 mL in digester B1, from 16,139 mL to 22,227 mL in digester B2, from 26,392 mL to 27,438 mL in digester B3, and from 13,553 mL to 43,937 mL in digester B4. Conversely, production in digester B5 fell from 27,438 mL to 18,207 mL (see Figures 4b and 4c).</w:t>
      </w:r>
    </w:p>
    <w:p w14:paraId="576B0AED" w14:textId="77777777" w:rsidR="00182FF4" w:rsidRDefault="00475EDF" w:rsidP="00182FF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14:anchorId="6395D686" wp14:editId="0653C8EC">
            <wp:extent cx="5772150" cy="4648200"/>
            <wp:effectExtent l="0" t="0" r="0" b="0"/>
            <wp:docPr id="308" name="Imag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2150" cy="4648200"/>
                    </a:xfrm>
                    <a:prstGeom prst="rect">
                      <a:avLst/>
                    </a:prstGeom>
                    <a:noFill/>
                  </pic:spPr>
                </pic:pic>
              </a:graphicData>
            </a:graphic>
          </wp:inline>
        </w:drawing>
      </w:r>
    </w:p>
    <w:p w14:paraId="408F0EEC"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b/>
          <w:bCs/>
          <w:sz w:val="20"/>
          <w:szCs w:val="20"/>
          <w:lang w:val="en-US"/>
        </w:rPr>
        <w:t>Figure 4:</w:t>
      </w:r>
      <w:r w:rsidRPr="006A4678">
        <w:rPr>
          <w:rFonts w:ascii="Arial" w:hAnsi="Arial" w:cs="Arial"/>
          <w:sz w:val="20"/>
          <w:szCs w:val="20"/>
          <w:lang w:val="en-US"/>
        </w:rPr>
        <w:t xml:space="preserve"> Cumulative Production of Raw Biogas for Simple Anaerobic Co-Digestion (a), Co-Digestion in the Presence of Iron (b), and the Effect of Iron Filings on the Process.</w:t>
      </w:r>
    </w:p>
    <w:p w14:paraId="4B3C51FE" w14:textId="77777777" w:rsidR="004F533A" w:rsidRPr="006A4678" w:rsidRDefault="00182FF4" w:rsidP="006A4678">
      <w:pPr>
        <w:pStyle w:val="ListParagraph"/>
        <w:numPr>
          <w:ilvl w:val="1"/>
          <w:numId w:val="7"/>
        </w:numPr>
        <w:spacing w:after="0" w:line="360" w:lineRule="auto"/>
        <w:jc w:val="both"/>
        <w:rPr>
          <w:rFonts w:ascii="Arial" w:hAnsi="Arial" w:cs="Arial"/>
          <w:b/>
          <w:bCs/>
          <w:lang w:val="en-US"/>
        </w:rPr>
      </w:pPr>
      <w:r w:rsidRPr="006A4678">
        <w:rPr>
          <w:rFonts w:ascii="Arial" w:hAnsi="Arial" w:cs="Arial"/>
          <w:b/>
          <w:bCs/>
          <w:lang w:val="en-US"/>
        </w:rPr>
        <w:t>Quantification of Biogas Production</w:t>
      </w:r>
    </w:p>
    <w:p w14:paraId="64226A71" w14:textId="77777777" w:rsidR="00182FF4" w:rsidRPr="006A4678" w:rsidRDefault="00182FF4" w:rsidP="00182FF4">
      <w:pPr>
        <w:spacing w:after="0" w:line="360" w:lineRule="auto"/>
        <w:jc w:val="both"/>
        <w:rPr>
          <w:rFonts w:ascii="Arial" w:hAnsi="Arial" w:cs="Arial"/>
          <w:b/>
          <w:bCs/>
          <w:sz w:val="20"/>
          <w:szCs w:val="20"/>
          <w:lang w:val="en-US"/>
        </w:rPr>
      </w:pPr>
      <w:r w:rsidRPr="006A4678">
        <w:rPr>
          <w:rFonts w:ascii="Arial" w:hAnsi="Arial" w:cs="Arial"/>
          <w:sz w:val="20"/>
          <w:szCs w:val="20"/>
          <w:lang w:val="en-US"/>
        </w:rPr>
        <w:t>The primary objective of the anaerobic digestion process is biogas generation. The cumulative biogas production from each digester is shown in Figure 4. It can be observed that biogas output from digesters B1, B2, and B4 was significantly lower than that from the control digester (Figure 4a). Meanwhile, the volumes of biogas produced in digesters B3 and B5 were nearly equivalent to those observed in the control.</w:t>
      </w:r>
    </w:p>
    <w:p w14:paraId="175A63D8"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 xml:space="preserve">Furthermore, biogas production in digesters containing a mixture of </w:t>
      </w:r>
      <w:proofErr w:type="spellStart"/>
      <w:r w:rsidRPr="006A4678">
        <w:rPr>
          <w:rFonts w:ascii="Arial" w:hAnsi="Arial" w:cs="Arial"/>
          <w:sz w:val="20"/>
          <w:szCs w:val="20"/>
          <w:lang w:val="en-US"/>
        </w:rPr>
        <w:t>faecal</w:t>
      </w:r>
      <w:proofErr w:type="spellEnd"/>
      <w:r w:rsidRPr="006A4678">
        <w:rPr>
          <w:rFonts w:ascii="Arial" w:hAnsi="Arial" w:cs="Arial"/>
          <w:sz w:val="20"/>
          <w:szCs w:val="20"/>
          <w:lang w:val="en-US"/>
        </w:rPr>
        <w:t xml:space="preserve"> sludge and fruit waste reached its peak more rapidly, between the 17th and 24th day, whereas the control digester attained its maximum biogas production on the 32nd day of the process (Figure 4a).</w:t>
      </w:r>
    </w:p>
    <w:p w14:paraId="01B51370"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 xml:space="preserve">The presence of iron in the digesters generally enhanced biogas production across all units, with the exception of digester B5, where production declined. Specifically, biogas production increased from </w:t>
      </w:r>
      <w:r w:rsidRPr="006A4678">
        <w:rPr>
          <w:rFonts w:ascii="Arial" w:hAnsi="Arial" w:cs="Arial"/>
          <w:sz w:val="20"/>
          <w:szCs w:val="20"/>
          <w:lang w:val="en-US"/>
        </w:rPr>
        <w:lastRenderedPageBreak/>
        <w:t>27,110 mL to 35,392 mL in the control digester, from 15,943 mL to 29,854 mL in digester B1, from 16,139 mL to 22,227 mL in digester B2, from 26,392 mL to 27,438 mL in digester B3, and from 13,553 mL to 43,937 mL in digester B4. However, in digester B5, production fell from 27,438 mL to 18,207 mL (see Figures 4b and 4c).</w:t>
      </w:r>
    </w:p>
    <w:p w14:paraId="1AB76B7C"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The quantity of biogas generated in digester B4 surpassed that of all other reactors: by 14,083 mL compared to B1, 21,710 mL compared to B2, 16,499 mL compared to B3, and 25,730 mL compared to B5. It also exceeded the output of the control digester by 8,545 mL (Figure 4b). In contrast, biogas production in digester B5 was lower in the presence of iron than in its absence.</w:t>
      </w:r>
    </w:p>
    <w:p w14:paraId="09A32595"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Figure 5 presents the cumulative production of biogas purified using KOH.</w:t>
      </w:r>
    </w:p>
    <w:p w14:paraId="52E56BB7" w14:textId="77777777" w:rsidR="00182FF4" w:rsidRPr="00611FB8" w:rsidRDefault="00F80CD6" w:rsidP="00182FF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14:anchorId="574FAAF9" wp14:editId="265EF6DD">
            <wp:extent cx="5143828" cy="4428877"/>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3296" cy="4437029"/>
                    </a:xfrm>
                    <a:prstGeom prst="rect">
                      <a:avLst/>
                    </a:prstGeom>
                    <a:noFill/>
                  </pic:spPr>
                </pic:pic>
              </a:graphicData>
            </a:graphic>
          </wp:inline>
        </w:drawing>
      </w:r>
    </w:p>
    <w:p w14:paraId="46623A39"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b/>
          <w:bCs/>
          <w:sz w:val="20"/>
          <w:szCs w:val="20"/>
          <w:lang w:val="en-US"/>
        </w:rPr>
        <w:t>Figure 5</w:t>
      </w:r>
      <w:r w:rsidRPr="006A4678">
        <w:rPr>
          <w:rFonts w:ascii="Arial" w:hAnsi="Arial" w:cs="Arial"/>
          <w:sz w:val="20"/>
          <w:szCs w:val="20"/>
          <w:lang w:val="en-US"/>
        </w:rPr>
        <w:t>: Cumulative production of KOH-purified biogas from standard anaerobic co-digestion (a), co-digestion with iron (b), and the effect of iron filings on the process (c).</w:t>
      </w:r>
    </w:p>
    <w:p w14:paraId="41608861"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This figure shows that the highest quantity of purified biogas was collected from the control digester over a 33-day period. Digesters B3 and B5 also yielded significant quantities of purified biogas over 25 and 23 days, respectively (Figure 5a).</w:t>
      </w:r>
    </w:p>
    <w:p w14:paraId="2F5CCBC1"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Digesters B1, B2, and B4 produced relatively low volumes of purified biogas and over a shorter period, approximately 22 days. Moreover, in the presence of iron (Figure 5b), the control digester exhibited lower levels of purified biogas compared to the other digesters, with the highest production recorded in digester B4. This indicates a shift in the trend of purified biogas production under anaerobic co-digestion conditions.</w:t>
      </w:r>
    </w:p>
    <w:p w14:paraId="16016EC7"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lastRenderedPageBreak/>
        <w:t>It is also worth noting that in digesters B1, B2, B3, and B4, the inclusion of iron filings led to greater biogas production compared to when they were absent (Figure 5c).</w:t>
      </w:r>
    </w:p>
    <w:p w14:paraId="50037C98"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In contrast, digester B5 exhibited a decline in biogas production when iron filings were introduced, relative to the standard co-digestion scenario without iron.</w:t>
      </w:r>
    </w:p>
    <w:p w14:paraId="30CFA4D1" w14:textId="77777777" w:rsidR="00182FF4" w:rsidRPr="006A4678" w:rsidRDefault="00182FF4" w:rsidP="006A4678">
      <w:pPr>
        <w:pStyle w:val="ListParagraph"/>
        <w:numPr>
          <w:ilvl w:val="1"/>
          <w:numId w:val="7"/>
        </w:numPr>
        <w:spacing w:after="0" w:line="360" w:lineRule="auto"/>
        <w:jc w:val="both"/>
        <w:rPr>
          <w:rFonts w:ascii="Arial" w:hAnsi="Arial" w:cs="Arial"/>
        </w:rPr>
      </w:pPr>
      <w:r w:rsidRPr="006A4678">
        <w:rPr>
          <w:rFonts w:ascii="Arial" w:hAnsi="Arial" w:cs="Arial"/>
          <w:b/>
          <w:bCs/>
        </w:rPr>
        <w:t xml:space="preserve">Composition of the </w:t>
      </w:r>
      <w:proofErr w:type="spellStart"/>
      <w:r w:rsidRPr="006A4678">
        <w:rPr>
          <w:rFonts w:ascii="Arial" w:hAnsi="Arial" w:cs="Arial"/>
          <w:b/>
          <w:bCs/>
        </w:rPr>
        <w:t>Biogas</w:t>
      </w:r>
      <w:proofErr w:type="spellEnd"/>
    </w:p>
    <w:p w14:paraId="28F2B859"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Figure 6 presents the composition of biogas in terms of methane and carbon dioxide under two conditions: anaerobic co-digestion without iron filings (mixture M1) and anaerobic co-digestion with iron filings (mixture M2).</w:t>
      </w:r>
    </w:p>
    <w:p w14:paraId="029700AF" w14:textId="77777777" w:rsidR="00182FF4" w:rsidRPr="00611FB8" w:rsidRDefault="00475EDF" w:rsidP="00475EDF">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14:anchorId="24313F0C" wp14:editId="104C8322">
            <wp:extent cx="4781502" cy="3990975"/>
            <wp:effectExtent l="0" t="0" r="635" b="0"/>
            <wp:docPr id="309" name="Imag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95262" cy="4002460"/>
                    </a:xfrm>
                    <a:prstGeom prst="rect">
                      <a:avLst/>
                    </a:prstGeom>
                    <a:noFill/>
                  </pic:spPr>
                </pic:pic>
              </a:graphicData>
            </a:graphic>
          </wp:inline>
        </w:drawing>
      </w:r>
    </w:p>
    <w:p w14:paraId="7601DE96" w14:textId="6D3B7889" w:rsidR="00182FF4" w:rsidRPr="006A4678" w:rsidRDefault="00182FF4" w:rsidP="00475EDF">
      <w:pPr>
        <w:spacing w:after="0" w:line="360" w:lineRule="auto"/>
        <w:jc w:val="center"/>
        <w:rPr>
          <w:rFonts w:ascii="Arial" w:eastAsiaTheme="minorEastAsia" w:hAnsi="Arial" w:cs="Arial"/>
          <w:spacing w:val="15"/>
          <w:sz w:val="20"/>
          <w:szCs w:val="20"/>
          <w:lang w:val="en-US"/>
        </w:rPr>
      </w:pPr>
      <w:r w:rsidRPr="006A4678">
        <w:rPr>
          <w:rFonts w:ascii="Arial" w:eastAsiaTheme="minorEastAsia" w:hAnsi="Arial" w:cs="Arial"/>
          <w:b/>
          <w:bCs/>
          <w:spacing w:val="15"/>
          <w:sz w:val="20"/>
          <w:szCs w:val="20"/>
          <w:lang w:val="en-US"/>
        </w:rPr>
        <w:t xml:space="preserve">Figure </w:t>
      </w:r>
      <w:r w:rsidR="00A61DEF">
        <w:rPr>
          <w:rFonts w:ascii="Arial" w:eastAsiaTheme="minorEastAsia" w:hAnsi="Arial" w:cs="Arial"/>
          <w:b/>
          <w:bCs/>
          <w:spacing w:val="15"/>
          <w:sz w:val="20"/>
          <w:szCs w:val="20"/>
          <w:lang w:val="en-US"/>
        </w:rPr>
        <w:t>6</w:t>
      </w:r>
      <w:r w:rsidRPr="006A4678">
        <w:rPr>
          <w:rFonts w:ascii="Arial" w:eastAsiaTheme="minorEastAsia" w:hAnsi="Arial" w:cs="Arial"/>
          <w:bCs/>
          <w:spacing w:val="15"/>
          <w:sz w:val="20"/>
          <w:szCs w:val="20"/>
          <w:lang w:val="en-US"/>
        </w:rPr>
        <w:t>:</w:t>
      </w:r>
      <w:r w:rsidRPr="006A4678">
        <w:rPr>
          <w:rFonts w:ascii="Arial" w:eastAsiaTheme="minorEastAsia" w:hAnsi="Arial" w:cs="Arial"/>
          <w:spacing w:val="15"/>
          <w:sz w:val="20"/>
          <w:szCs w:val="20"/>
          <w:lang w:val="en-US"/>
        </w:rPr>
        <w:t xml:space="preserve"> Composition of Biogas</w:t>
      </w:r>
    </w:p>
    <w:p w14:paraId="40C5165B" w14:textId="77777777" w:rsidR="00EB5266" w:rsidRDefault="00EB5266" w:rsidP="00182FF4">
      <w:pPr>
        <w:spacing w:after="0" w:line="360" w:lineRule="auto"/>
        <w:jc w:val="both"/>
        <w:rPr>
          <w:rFonts w:ascii="Times New Roman" w:hAnsi="Times New Roman" w:cs="Times New Roman"/>
          <w:b/>
          <w:bCs/>
          <w:sz w:val="24"/>
          <w:szCs w:val="24"/>
          <w:lang w:val="en-US"/>
        </w:rPr>
      </w:pPr>
    </w:p>
    <w:p w14:paraId="63F7872F" w14:textId="77777777" w:rsidR="00182FF4" w:rsidRPr="006A4678" w:rsidRDefault="00182FF4" w:rsidP="006A4678">
      <w:pPr>
        <w:pStyle w:val="ListParagraph"/>
        <w:numPr>
          <w:ilvl w:val="1"/>
          <w:numId w:val="7"/>
        </w:numPr>
        <w:spacing w:after="0" w:line="360" w:lineRule="auto"/>
        <w:jc w:val="both"/>
        <w:rPr>
          <w:rFonts w:ascii="Arial" w:hAnsi="Arial" w:cs="Arial"/>
          <w:b/>
          <w:bCs/>
          <w:lang w:val="en-US"/>
        </w:rPr>
      </w:pPr>
      <w:r w:rsidRPr="006A4678">
        <w:rPr>
          <w:rFonts w:ascii="Arial" w:hAnsi="Arial" w:cs="Arial"/>
          <w:b/>
          <w:bCs/>
          <w:lang w:val="en-US"/>
        </w:rPr>
        <w:t>Biogas Composition</w:t>
      </w:r>
    </w:p>
    <w:p w14:paraId="2A0A0605"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Analysis of this figure reveals that the biogas produced through anaerobic co-digestion in the absence of iron comprises methane in proportions ranging from 55.2% to 65.3%, and carbon dioxide accounting for between 34.7% and 44.8%. In contrast, in the presence of iron filings, the methane concentration increases to between 60.82% and 71.35%, while the carbon dioxide content ranges from 28.65% to 39.18%. This demonstrates an increase in methane proportion and a corresponding reduction in carbon dioxide levels when iron is introduced into the anaerobic co-digestion process. These findings underscore the beneficial role of iron filings in enhancing biogas production during anaerobic digestion or co-digestion.</w:t>
      </w:r>
    </w:p>
    <w:p w14:paraId="5D95AF87" w14:textId="77777777" w:rsidR="00182FF4" w:rsidRPr="006A4678" w:rsidRDefault="00182FF4" w:rsidP="006A4678">
      <w:pPr>
        <w:pStyle w:val="ListParagraph"/>
        <w:numPr>
          <w:ilvl w:val="0"/>
          <w:numId w:val="7"/>
        </w:numPr>
        <w:spacing w:after="0" w:line="360" w:lineRule="auto"/>
        <w:jc w:val="both"/>
        <w:rPr>
          <w:rFonts w:ascii="Arial" w:hAnsi="Arial" w:cs="Arial"/>
          <w:b/>
          <w:bCs/>
          <w:lang w:val="en-US"/>
        </w:rPr>
      </w:pPr>
      <w:r w:rsidRPr="006A4678">
        <w:rPr>
          <w:rFonts w:ascii="Arial" w:hAnsi="Arial" w:cs="Arial"/>
          <w:b/>
          <w:bCs/>
          <w:lang w:val="en-US"/>
        </w:rPr>
        <w:t>Discussion</w:t>
      </w:r>
    </w:p>
    <w:p w14:paraId="527BB358" w14:textId="77777777" w:rsidR="00182FF4" w:rsidRPr="006A4678" w:rsidRDefault="00182FF4" w:rsidP="006A4678">
      <w:pPr>
        <w:pStyle w:val="ListParagraph"/>
        <w:numPr>
          <w:ilvl w:val="1"/>
          <w:numId w:val="7"/>
        </w:numPr>
        <w:spacing w:after="0" w:line="360" w:lineRule="auto"/>
        <w:jc w:val="both"/>
        <w:rPr>
          <w:rFonts w:ascii="Arial" w:hAnsi="Arial" w:cs="Arial"/>
          <w:b/>
          <w:bCs/>
          <w:lang w:val="en-US"/>
        </w:rPr>
      </w:pPr>
      <w:proofErr w:type="spellStart"/>
      <w:r w:rsidRPr="006A4678">
        <w:rPr>
          <w:rFonts w:ascii="Arial" w:hAnsi="Arial" w:cs="Arial"/>
          <w:b/>
          <w:bCs/>
          <w:lang w:val="en-US"/>
        </w:rPr>
        <w:t>Characterisation</w:t>
      </w:r>
      <w:proofErr w:type="spellEnd"/>
      <w:r w:rsidRPr="006A4678">
        <w:rPr>
          <w:rFonts w:ascii="Arial" w:hAnsi="Arial" w:cs="Arial"/>
          <w:b/>
          <w:bCs/>
          <w:lang w:val="en-US"/>
        </w:rPr>
        <w:t xml:space="preserve"> of </w:t>
      </w:r>
      <w:proofErr w:type="spellStart"/>
      <w:r w:rsidRPr="006A4678">
        <w:rPr>
          <w:rFonts w:ascii="Arial" w:hAnsi="Arial" w:cs="Arial"/>
          <w:b/>
          <w:bCs/>
          <w:lang w:val="en-US"/>
        </w:rPr>
        <w:t>Faecal</w:t>
      </w:r>
      <w:proofErr w:type="spellEnd"/>
      <w:r w:rsidRPr="006A4678">
        <w:rPr>
          <w:rFonts w:ascii="Arial" w:hAnsi="Arial" w:cs="Arial"/>
          <w:b/>
          <w:bCs/>
          <w:lang w:val="en-US"/>
        </w:rPr>
        <w:t xml:space="preserve"> Sludge</w:t>
      </w:r>
    </w:p>
    <w:p w14:paraId="6E9C26FC"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lastRenderedPageBreak/>
        <w:t xml:space="preserve">The pH of the collected </w:t>
      </w:r>
      <w:proofErr w:type="spellStart"/>
      <w:r w:rsidRPr="006A4678">
        <w:rPr>
          <w:rFonts w:ascii="Arial" w:hAnsi="Arial" w:cs="Arial"/>
          <w:sz w:val="20"/>
          <w:szCs w:val="20"/>
          <w:lang w:val="en-US"/>
        </w:rPr>
        <w:t>faecal</w:t>
      </w:r>
      <w:proofErr w:type="spellEnd"/>
      <w:r w:rsidRPr="006A4678">
        <w:rPr>
          <w:rFonts w:ascii="Arial" w:hAnsi="Arial" w:cs="Arial"/>
          <w:sz w:val="20"/>
          <w:szCs w:val="20"/>
          <w:lang w:val="en-US"/>
        </w:rPr>
        <w:t xml:space="preserve"> sludge ranged from 7.33 to 8.53, with a mean value of 8.22. Higher temperatures have been reported by other authors, including </w:t>
      </w:r>
      <w:proofErr w:type="spellStart"/>
      <w:r w:rsidRPr="006A4678">
        <w:rPr>
          <w:rFonts w:ascii="Arial" w:hAnsi="Arial" w:cs="Arial"/>
          <w:sz w:val="20"/>
          <w:szCs w:val="20"/>
          <w:lang w:val="en-US"/>
        </w:rPr>
        <w:t>Koné</w:t>
      </w:r>
      <w:proofErr w:type="spellEnd"/>
      <w:r w:rsidRPr="006A4678">
        <w:rPr>
          <w:rFonts w:ascii="Arial" w:hAnsi="Arial" w:cs="Arial"/>
          <w:sz w:val="20"/>
          <w:szCs w:val="20"/>
          <w:lang w:val="en-US"/>
        </w:rPr>
        <w:t xml:space="preserve"> et al. in Ouagadougou (Burkina Faso) at 31.82°C, and </w:t>
      </w:r>
      <w:proofErr w:type="spellStart"/>
      <w:r w:rsidRPr="006A4678">
        <w:rPr>
          <w:rFonts w:ascii="Arial" w:hAnsi="Arial" w:cs="Arial"/>
          <w:sz w:val="20"/>
          <w:szCs w:val="20"/>
          <w:lang w:val="en-US"/>
        </w:rPr>
        <w:t>Irotori</w:t>
      </w:r>
      <w:proofErr w:type="spellEnd"/>
      <w:r w:rsidRPr="006A4678">
        <w:rPr>
          <w:rFonts w:ascii="Arial" w:hAnsi="Arial" w:cs="Arial"/>
          <w:sz w:val="20"/>
          <w:szCs w:val="20"/>
          <w:lang w:val="en-US"/>
        </w:rPr>
        <w:t xml:space="preserve"> et al. in Cotonou (Benin) at 30.93°C </w:t>
      </w:r>
      <w:r w:rsidR="001A3C33">
        <w:rPr>
          <w:rFonts w:ascii="Arial" w:hAnsi="Arial" w:cs="Arial"/>
          <w:sz w:val="20"/>
          <w:szCs w:val="20"/>
          <w:lang w:val="en-US"/>
        </w:rPr>
        <w:fldChar w:fldCharType="begin"/>
      </w:r>
      <w:r w:rsidR="001A3C33">
        <w:rPr>
          <w:rFonts w:ascii="Arial" w:hAnsi="Arial" w:cs="Arial"/>
          <w:sz w:val="20"/>
          <w:szCs w:val="20"/>
          <w:lang w:val="en-US"/>
        </w:rPr>
        <w:instrText xml:space="preserve"> ADDIN ZOTERO_ITEM CSL_CITATION {"citationID":"JBlhSQa7","properties":{"formattedCitation":"(Irotori et al., 2022; Kone et al., 2017)","plainCitation":"(Irotori et al., 2022; Kone et al., 2017)","noteIndex":0},"citationItems":[{"id":914,"uris":["http://zotero.org/users/9694973/items/A2P3FDLY"],"itemData":{"id":914,"type":"article-journal","abstract":"The One of the Sustainable Development Goals aims to: \"Ensure access for all to sustainably managed water supply and sanitation services\". To meet this challenge, several countries such as Benin have decided to take action to solve sanitation problems. Thus, the general objective of this study is to characterize the sludge in the Oueme Delta in order to know its identity and propose an adequate treatment. The Oueme Delta has a population of about 4,346,336 inhabitants. Based on the methods used for quantification, it results that nearly 64.96% of the sludge produced is found in nature, only 8.63% in the station to undergo treatment and of the remaining 26.41% a part is drained manually or mechanically and ends up in nature and another part always remains in the pits and will never be emptied. In addition, the analysis of the sewage sludge taken from three municipalities of the Delta de l'Oueme reveals that this sludge has a slightly alkaline pH and is highly saline. They are fresh, rich in organic pollutants, nutrients and pathogens given the results of the temperature associated with pH. With an average COD of 37570.93 mgO2/L and an average BOD5 of 5500.66 mgO2/L, the sludge we analysed is poorly biodegradable. These results will be submitted to the stakeholders for assessment in order to reach consistent decisions for the sustainable management of this resource.","container-title":"Chemical Science International Journal","DOI":"10.9734/CSJI/2022/v31i5821","ISSN":"2456-706X","journalAbbreviation":"CSIJ","page":"19-28","source":"DOI.org (Crossref)","title":"Characterization of Faecal Sludge in the Oueme Delta","URL":"https://journalcsij.com/index.php/CSIJ/article/view/821","author":[{"family":"Irotori","given":"Elsa-Lyne Lauriane Nissiba"},{"family":"Virgile Onesime Akowanou","given":"Akuemaho"},{"family":"Esperance Justine Deguenon","given":"Hontonho"},{"family":"Kpehouenou Goussanou","given":"Baruc"},{"family":"Pepin Aina","given":"Martin"}],"accessed":{"date-parts":[["2024",10,1]]},"issued":{"date-parts":[["2022",12,30]]}}},{"id":286,"uris":["http://zotero.org/users/9694973/items/WWB86QPS"],"itemData":{"id":286,"type":"article-journal","container-title":"International Journal of Biological and Chemical Sciences","DOI":"10.4314/ijbcs.v10i6.30","ISSN":"1997-342X, 1991-8631","issue":"6","journalAbbreviation":"Int. J. Bio. Chem. Sci","page":"2781","source":"DOI.org (Crossref)","title":"Caractérisation des boues de vidange dépotées sur les lits de séchage de zagtouli (Ouagadougou)","URL":"https://www.ajol.info/index.php/ijbcs/article/view/155304","volume":"10","author":[{"family":"Kone","given":"Martine"},{"family":"Service","given":"Emmanuelle"},{"family":"Ouattara","given":"Yacouba"},{"family":"Ouattara","given":"Paul"},{"family":"Bonou","given":"Lucien"},{"family":"Joly","given":"Pierre"}],"accessed":{"date-parts":[["2023",4,7]]},"issued":{"date-parts":[["2017",4,25]]}}}],"schema":"https://github.com/citation-style-language/schema/raw/master/csl-citation.json"} </w:instrText>
      </w:r>
      <w:r w:rsidR="001A3C33">
        <w:rPr>
          <w:rFonts w:ascii="Arial" w:hAnsi="Arial" w:cs="Arial"/>
          <w:sz w:val="20"/>
          <w:szCs w:val="20"/>
          <w:lang w:val="en-US"/>
        </w:rPr>
        <w:fldChar w:fldCharType="separate"/>
      </w:r>
      <w:r w:rsidR="001A3C33" w:rsidRPr="0044624A">
        <w:rPr>
          <w:rFonts w:ascii="Arial" w:hAnsi="Arial" w:cs="Arial"/>
          <w:sz w:val="20"/>
          <w:lang w:val="en-US"/>
        </w:rPr>
        <w:t>(Irotori et al., 2022; Kone et al., 2017)</w:t>
      </w:r>
      <w:r w:rsidR="001A3C33">
        <w:rPr>
          <w:rFonts w:ascii="Arial" w:hAnsi="Arial" w:cs="Arial"/>
          <w:sz w:val="20"/>
          <w:szCs w:val="20"/>
          <w:lang w:val="en-US"/>
        </w:rPr>
        <w:fldChar w:fldCharType="end"/>
      </w:r>
      <w:r w:rsidRPr="006A4678">
        <w:rPr>
          <w:rFonts w:ascii="Arial" w:hAnsi="Arial" w:cs="Arial"/>
          <w:sz w:val="20"/>
          <w:szCs w:val="20"/>
          <w:lang w:val="en-US"/>
        </w:rPr>
        <w:t>. Nevertheless, similar pH values have been documented in sludge from septic tanks and latrines in th</w:t>
      </w:r>
      <w:r w:rsidR="001A3C33">
        <w:rPr>
          <w:rFonts w:ascii="Arial" w:hAnsi="Arial" w:cs="Arial"/>
          <w:sz w:val="20"/>
          <w:szCs w:val="20"/>
          <w:lang w:val="en-US"/>
        </w:rPr>
        <w:t xml:space="preserve">e </w:t>
      </w:r>
      <w:proofErr w:type="spellStart"/>
      <w:r w:rsidR="001A3C33">
        <w:rPr>
          <w:rFonts w:ascii="Arial" w:hAnsi="Arial" w:cs="Arial"/>
          <w:sz w:val="20"/>
          <w:szCs w:val="20"/>
          <w:lang w:val="en-US"/>
        </w:rPr>
        <w:t>Ouémé</w:t>
      </w:r>
      <w:proofErr w:type="spellEnd"/>
      <w:r w:rsidR="001A3C33">
        <w:rPr>
          <w:rFonts w:ascii="Arial" w:hAnsi="Arial" w:cs="Arial"/>
          <w:sz w:val="20"/>
          <w:szCs w:val="20"/>
          <w:lang w:val="en-US"/>
        </w:rPr>
        <w:t xml:space="preserve"> Delta basin (Benin) </w:t>
      </w:r>
      <w:r w:rsidR="001A3C33">
        <w:rPr>
          <w:rFonts w:ascii="Arial" w:hAnsi="Arial" w:cs="Arial"/>
          <w:sz w:val="20"/>
          <w:szCs w:val="20"/>
          <w:lang w:val="en-US"/>
        </w:rPr>
        <w:fldChar w:fldCharType="begin"/>
      </w:r>
      <w:r w:rsidR="001A3C33">
        <w:rPr>
          <w:rFonts w:ascii="Arial" w:hAnsi="Arial" w:cs="Arial"/>
          <w:sz w:val="20"/>
          <w:szCs w:val="20"/>
          <w:lang w:val="en-US"/>
        </w:rPr>
        <w:instrText xml:space="preserve"> ADDIN ZOTERO_ITEM CSL_CITATION {"citationID":"Q6dfzb85","properties":{"formattedCitation":"(Irotori et al., 2022)","plainCitation":"(Irotori et al., 2022)","noteIndex":0},"citationItems":[{"id":914,"uris":["http://zotero.org/users/9694973/items/A2P3FDLY"],"itemData":{"id":914,"type":"article-journal","abstract":"The One of the Sustainable Development Goals aims to: \"Ensure access for all to sustainably managed water supply and sanitation services\". To meet this challenge, several countries such as Benin have decided to take action to solve sanitation problems. Thus, the general objective of this study is to characterize the sludge in the Oueme Delta in order to know its identity and propose an adequate treatment. The Oueme Delta has a population of about 4,346,336 inhabitants. Based on the methods used for quantification, it results that nearly 64.96% of the sludge produced is found in nature, only 8.63% in the station to undergo treatment and of the remaining 26.41% a part is drained manually or mechanically and ends up in nature and another part always remains in the pits and will never be emptied. In addition, the analysis of the sewage sludge taken from three municipalities of the Delta de l'Oueme reveals that this sludge has a slightly alkaline pH and is highly saline. They are fresh, rich in organic pollutants, nutrients and pathogens given the results of the temperature associated with pH. With an average COD of 37570.93 mgO2/L and an average BOD5 of 5500.66 mgO2/L, the sludge we analysed is poorly biodegradable. These results will be submitted to the stakeholders for assessment in order to reach consistent decisions for the sustainable management of this resource.","container-title":"Chemical Science International Journal","DOI":"10.9734/CSJI/2022/v31i5821","ISSN":"2456-706X","journalAbbreviation":"CSIJ","page":"19-28","source":"DOI.org (Crossref)","title":"Characterization of Faecal Sludge in the Oueme Delta","URL":"https://journalcsij.com/index.php/CSIJ/article/view/821","author":[{"family":"Irotori","given":"Elsa-Lyne Lauriane Nissiba"},{"family":"Virgile Onesime Akowanou","given":"Akuemaho"},{"family":"Esperance Justine Deguenon","given":"Hontonho"},{"family":"Kpehouenou Goussanou","given":"Baruc"},{"family":"Pepin Aina","given":"Martin"}],"accessed":{"date-parts":[["2024",10,1]]},"issued":{"date-parts":[["2022",12,30]]}}}],"schema":"https://github.com/citation-style-language/schema/raw/master/csl-citation.json"} </w:instrText>
      </w:r>
      <w:r w:rsidR="001A3C33">
        <w:rPr>
          <w:rFonts w:ascii="Arial" w:hAnsi="Arial" w:cs="Arial"/>
          <w:sz w:val="20"/>
          <w:szCs w:val="20"/>
          <w:lang w:val="en-US"/>
        </w:rPr>
        <w:fldChar w:fldCharType="separate"/>
      </w:r>
      <w:r w:rsidR="001A3C33" w:rsidRPr="001A3C33">
        <w:rPr>
          <w:rFonts w:ascii="Arial" w:hAnsi="Arial" w:cs="Arial"/>
          <w:sz w:val="20"/>
        </w:rPr>
        <w:t>(Irotori et al., 2022)</w:t>
      </w:r>
      <w:r w:rsidR="001A3C33">
        <w:rPr>
          <w:rFonts w:ascii="Arial" w:hAnsi="Arial" w:cs="Arial"/>
          <w:sz w:val="20"/>
          <w:szCs w:val="20"/>
          <w:lang w:val="en-US"/>
        </w:rPr>
        <w:fldChar w:fldCharType="end"/>
      </w:r>
      <w:r w:rsidRPr="006A4678">
        <w:rPr>
          <w:rFonts w:ascii="Arial" w:hAnsi="Arial" w:cs="Arial"/>
          <w:sz w:val="20"/>
          <w:szCs w:val="20"/>
          <w:lang w:val="en-US"/>
        </w:rPr>
        <w:t xml:space="preserve">, in Abidjan (Côte d’Ivoire) </w:t>
      </w:r>
      <w:r w:rsidR="001A3C33">
        <w:rPr>
          <w:rFonts w:ascii="Arial" w:hAnsi="Arial" w:cs="Arial"/>
          <w:sz w:val="20"/>
          <w:szCs w:val="20"/>
          <w:lang w:val="en-US"/>
        </w:rPr>
        <w:fldChar w:fldCharType="begin"/>
      </w:r>
      <w:r w:rsidR="001A3C33">
        <w:rPr>
          <w:rFonts w:ascii="Arial" w:hAnsi="Arial" w:cs="Arial"/>
          <w:sz w:val="20"/>
          <w:szCs w:val="20"/>
          <w:lang w:val="en-US"/>
        </w:rPr>
        <w:instrText xml:space="preserve"> ADDIN ZOTERO_ITEM CSL_CITATION {"citationID":"NHpslodZ","properties":{"formattedCitation":"(Soro et al., 2020)","plainCitation":"(Soro et al., 2020)","noteIndex":0},"citationItems":[{"id":86,"uris":["http://zotero.org/users/9694973/items/YTJ3RW22"],"itemData":{"id":86,"type":"article-journal","container-title":"Rev. Ivoir. Sci. Technol","ISSN":"1813-3290","language":"fr","page":"78 - 96","source":"Zotero","title":"Caractérisation et évaluation de la charge polluante des boues de vidange du district d’Abidjan, Sud de la Côte d’ivoire","volume":"35","author":[{"family":"Soro","given":"Gbombélé"},{"family":"Coulibaly","given":"Adama"},{"family":"Kra","given":"Kouamé Serge Magloire"},{"family":"Yapo","given":"Ossey Bernard"}],"issued":{"date-parts":[["2020"]]}}}],"schema":"https://github.com/citation-style-language/schema/raw/master/csl-citation.json"} </w:instrText>
      </w:r>
      <w:r w:rsidR="001A3C33">
        <w:rPr>
          <w:rFonts w:ascii="Arial" w:hAnsi="Arial" w:cs="Arial"/>
          <w:sz w:val="20"/>
          <w:szCs w:val="20"/>
          <w:lang w:val="en-US"/>
        </w:rPr>
        <w:fldChar w:fldCharType="separate"/>
      </w:r>
      <w:r w:rsidR="001A3C33" w:rsidRPr="001A3C33">
        <w:rPr>
          <w:rFonts w:ascii="Arial" w:hAnsi="Arial" w:cs="Arial"/>
          <w:sz w:val="20"/>
        </w:rPr>
        <w:t>(Soro et al., 2020)</w:t>
      </w:r>
      <w:r w:rsidR="001A3C33">
        <w:rPr>
          <w:rFonts w:ascii="Arial" w:hAnsi="Arial" w:cs="Arial"/>
          <w:sz w:val="20"/>
          <w:szCs w:val="20"/>
          <w:lang w:val="en-US"/>
        </w:rPr>
        <w:fldChar w:fldCharType="end"/>
      </w:r>
      <w:r w:rsidRPr="006A4678">
        <w:rPr>
          <w:rFonts w:ascii="Arial" w:hAnsi="Arial" w:cs="Arial"/>
          <w:sz w:val="20"/>
          <w:szCs w:val="20"/>
          <w:lang w:val="en-US"/>
        </w:rPr>
        <w:t xml:space="preserve">, in </w:t>
      </w:r>
      <w:proofErr w:type="spellStart"/>
      <w:r w:rsidRPr="006A4678">
        <w:rPr>
          <w:rFonts w:ascii="Arial" w:hAnsi="Arial" w:cs="Arial"/>
          <w:sz w:val="20"/>
          <w:szCs w:val="20"/>
          <w:lang w:val="en-US"/>
        </w:rPr>
        <w:t>Aného</w:t>
      </w:r>
      <w:proofErr w:type="spellEnd"/>
      <w:r w:rsidRPr="006A4678">
        <w:rPr>
          <w:rFonts w:ascii="Arial" w:hAnsi="Arial" w:cs="Arial"/>
          <w:sz w:val="20"/>
          <w:szCs w:val="20"/>
          <w:lang w:val="en-US"/>
        </w:rPr>
        <w:t xml:space="preserve"> (Togo) </w:t>
      </w:r>
      <w:r w:rsidR="001A3C33">
        <w:rPr>
          <w:rFonts w:ascii="Arial" w:hAnsi="Arial" w:cs="Arial"/>
          <w:sz w:val="20"/>
          <w:szCs w:val="20"/>
          <w:lang w:val="en-US"/>
        </w:rPr>
        <w:fldChar w:fldCharType="begin"/>
      </w:r>
      <w:r w:rsidR="001A3C33">
        <w:rPr>
          <w:rFonts w:ascii="Arial" w:hAnsi="Arial" w:cs="Arial"/>
          <w:sz w:val="20"/>
          <w:szCs w:val="20"/>
          <w:lang w:val="en-US"/>
        </w:rPr>
        <w:instrText xml:space="preserve"> ADDIN ZOTERO_ITEM CSL_CITATION {"citationID":"gWWHyk31","properties":{"formattedCitation":"(Poromna et al., 2020)","plainCitation":"(Poromna et al., 2020)","noteIndex":0},"citationItems":[{"id":603,"uris":["http://zotero.org/users/9694973/items/PL9LIY6E"],"itemData":{"id":603,"type":"article-journal","abstract":"Like the majority sub-Saharan Africa cities, Aneho city in Togo is experiencing the problem of sustainable management of fecal sludge. The objective of this study is to contribute to better management of fecal sludge from Aneho city. To achieve this, an inventory of the management of fecal sludge in the city was carried out, followed by the quantification and characterization of the sludge produced according to the different types of existing sanitation systems. The results showed that the fecal sludge sector is experiencing shortcomings in its management. The sludge mainly discharged by mechanical means (62%) is transported to an official unmanaged disposal site or to farmers' fields without treatment. The amount of mud produced per year in the city is between 3,534 and 7,442 m3. The physico-chemical characterization results reveal that the sludge from dry pits was more loaded with pollutants than that from wet pits. The sludge with a neutral characteristic and a high salinity is rich in ammonium, phosphorus, nitrates with a COD/BOD5 ratio equal to 2.1. Heavy metals including Iron, Copper, Zinc, and Manganese have a relatively apparent concentration in the sludge. The microbiological characterization showed the significant presence of fecal and pathogenic germs in the sludge. From this study, knowing of the sludge quantity and characteristics produced at Aneho, will allow choosing an appropriate treatment based on other local criteria.","container-title":"International Journal of Innovation and Scientific Research","ISSN":"2351-8014","issue":"2","language":"fr","page":"288-300","source":"Zotero","title":"Quantification et caractérisation des boues de vidange dans la ville d’Aného au Togo pour le choix d’un traitement approprié","volume":"49","author":[{"family":"Poromna","given":"Hèzouwè"},{"family":"Lare","given":"Ftimbé"},{"family":"Sossou","given":"Seyram K"},{"family":"Kangni-dossou","given":"Messanh"},{"family":"Gnandi","given":"Kissao"},{"family":"Ameyapoh","given":"Yaovi"}],"issued":{"date-parts":[["2020"]]}}}],"schema":"https://github.com/citation-style-language/schema/raw/master/csl-citation.json"} </w:instrText>
      </w:r>
      <w:r w:rsidR="001A3C33">
        <w:rPr>
          <w:rFonts w:ascii="Arial" w:hAnsi="Arial" w:cs="Arial"/>
          <w:sz w:val="20"/>
          <w:szCs w:val="20"/>
          <w:lang w:val="en-US"/>
        </w:rPr>
        <w:fldChar w:fldCharType="separate"/>
      </w:r>
      <w:r w:rsidR="001A3C33" w:rsidRPr="0044624A">
        <w:rPr>
          <w:rFonts w:ascii="Arial" w:hAnsi="Arial" w:cs="Arial"/>
          <w:sz w:val="20"/>
          <w:lang w:val="en-US"/>
        </w:rPr>
        <w:t>(Poromna et al., 2020)</w:t>
      </w:r>
      <w:r w:rsidR="001A3C33">
        <w:rPr>
          <w:rFonts w:ascii="Arial" w:hAnsi="Arial" w:cs="Arial"/>
          <w:sz w:val="20"/>
          <w:szCs w:val="20"/>
          <w:lang w:val="en-US"/>
        </w:rPr>
        <w:fldChar w:fldCharType="end"/>
      </w:r>
      <w:r w:rsidRPr="006A4678">
        <w:rPr>
          <w:rFonts w:ascii="Arial" w:hAnsi="Arial" w:cs="Arial"/>
          <w:sz w:val="20"/>
          <w:szCs w:val="20"/>
          <w:lang w:val="en-US"/>
        </w:rPr>
        <w:t xml:space="preserve">, and at drying beds in </w:t>
      </w:r>
      <w:proofErr w:type="spellStart"/>
      <w:r w:rsidRPr="006A4678">
        <w:rPr>
          <w:rFonts w:ascii="Arial" w:hAnsi="Arial" w:cs="Arial"/>
          <w:sz w:val="20"/>
          <w:szCs w:val="20"/>
          <w:lang w:val="en-US"/>
        </w:rPr>
        <w:t>Zagtouli</w:t>
      </w:r>
      <w:proofErr w:type="spellEnd"/>
      <w:r w:rsidRPr="006A4678">
        <w:rPr>
          <w:rFonts w:ascii="Arial" w:hAnsi="Arial" w:cs="Arial"/>
          <w:sz w:val="20"/>
          <w:szCs w:val="20"/>
          <w:lang w:val="en-US"/>
        </w:rPr>
        <w:t xml:space="preserve">, Ouagadougou </w:t>
      </w:r>
      <w:r w:rsidR="001A3C33">
        <w:rPr>
          <w:rFonts w:ascii="Arial" w:hAnsi="Arial" w:cs="Arial"/>
          <w:sz w:val="20"/>
          <w:szCs w:val="20"/>
          <w:lang w:val="en-US"/>
        </w:rPr>
        <w:fldChar w:fldCharType="begin"/>
      </w:r>
      <w:r w:rsidR="001A3C33">
        <w:rPr>
          <w:rFonts w:ascii="Arial" w:hAnsi="Arial" w:cs="Arial"/>
          <w:sz w:val="20"/>
          <w:szCs w:val="20"/>
          <w:lang w:val="en-US"/>
        </w:rPr>
        <w:instrText xml:space="preserve"> ADDIN ZOTERO_ITEM CSL_CITATION {"citationID":"mZTYVD2p","properties":{"formattedCitation":"(Kone et al., 2017)","plainCitation":"(Kone et al., 2017)","noteIndex":0},"citationItems":[{"id":286,"uris":["http://zotero.org/users/9694973/items/WWB86QPS"],"itemData":{"id":286,"type":"article-journal","container-title":"International Journal of Biological and Chemical Sciences","DOI":"10.4314/ijbcs.v10i6.30","ISSN":"1997-342X, 1991-8631","issue":"6","journalAbbreviation":"Int. J. Bio. Chem. Sci","page":"2781","source":"DOI.org (Crossref)","title":"Caractérisation des boues de vidange dépotées sur les lits de séchage de zagtouli (Ouagadougou)","URL":"https://www.ajol.info/index.php/ijbcs/article/view/155304","volume":"10","author":[{"family":"Kone","given":"Martine"},{"family":"Service","given":"Emmanuelle"},{"family":"Ouattara","given":"Yacouba"},{"family":"Ouattara","given":"Paul"},{"family":"Bonou","given":"Lucien"},{"family":"Joly","given":"Pierre"}],"accessed":{"date-parts":[["2023",4,7]]},"issued":{"date-parts":[["2017",4,25]]}}}],"schema":"https://github.com/citation-style-language/schema/raw/master/csl-citation.json"} </w:instrText>
      </w:r>
      <w:r w:rsidR="001A3C33">
        <w:rPr>
          <w:rFonts w:ascii="Arial" w:hAnsi="Arial" w:cs="Arial"/>
          <w:sz w:val="20"/>
          <w:szCs w:val="20"/>
          <w:lang w:val="en-US"/>
        </w:rPr>
        <w:fldChar w:fldCharType="separate"/>
      </w:r>
      <w:r w:rsidR="001A3C33" w:rsidRPr="0044624A">
        <w:rPr>
          <w:rFonts w:ascii="Arial" w:hAnsi="Arial" w:cs="Arial"/>
          <w:sz w:val="20"/>
          <w:lang w:val="en-US"/>
        </w:rPr>
        <w:t>(Kone et al., 2017)</w:t>
      </w:r>
      <w:r w:rsidR="001A3C33">
        <w:rPr>
          <w:rFonts w:ascii="Arial" w:hAnsi="Arial" w:cs="Arial"/>
          <w:sz w:val="20"/>
          <w:szCs w:val="20"/>
          <w:lang w:val="en-US"/>
        </w:rPr>
        <w:fldChar w:fldCharType="end"/>
      </w:r>
      <w:r w:rsidRPr="006A4678">
        <w:rPr>
          <w:rFonts w:ascii="Arial" w:hAnsi="Arial" w:cs="Arial"/>
          <w:sz w:val="20"/>
          <w:szCs w:val="20"/>
          <w:lang w:val="en-US"/>
        </w:rPr>
        <w:t>.</w:t>
      </w:r>
    </w:p>
    <w:p w14:paraId="77908096"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 xml:space="preserve">According to </w:t>
      </w:r>
      <w:proofErr w:type="spellStart"/>
      <w:r w:rsidRPr="006A4678">
        <w:rPr>
          <w:rFonts w:ascii="Arial" w:hAnsi="Arial" w:cs="Arial"/>
          <w:sz w:val="20"/>
          <w:szCs w:val="20"/>
          <w:lang w:val="en-US"/>
        </w:rPr>
        <w:t>Koné</w:t>
      </w:r>
      <w:proofErr w:type="spellEnd"/>
      <w:r w:rsidRPr="006A4678">
        <w:rPr>
          <w:rFonts w:ascii="Arial" w:hAnsi="Arial" w:cs="Arial"/>
          <w:sz w:val="20"/>
          <w:szCs w:val="20"/>
          <w:lang w:val="en-US"/>
        </w:rPr>
        <w:t xml:space="preserve"> et al., a pH between 5 and 9 supports the development of a broad range of microorganisms essential for sludge purification </w:t>
      </w:r>
      <w:r w:rsidR="001A3C33">
        <w:rPr>
          <w:rFonts w:ascii="Arial" w:hAnsi="Arial" w:cs="Arial"/>
          <w:sz w:val="20"/>
          <w:szCs w:val="20"/>
          <w:lang w:val="en-US"/>
        </w:rPr>
        <w:fldChar w:fldCharType="begin"/>
      </w:r>
      <w:r w:rsidR="001A3C33">
        <w:rPr>
          <w:rFonts w:ascii="Arial" w:hAnsi="Arial" w:cs="Arial"/>
          <w:sz w:val="20"/>
          <w:szCs w:val="20"/>
          <w:lang w:val="en-US"/>
        </w:rPr>
        <w:instrText xml:space="preserve"> ADDIN ZOTERO_ITEM CSL_CITATION {"citationID":"mxWD77Ef","properties":{"formattedCitation":"(Kone et al., 2017)","plainCitation":"(Kone et al., 2017)","noteIndex":0},"citationItems":[{"id":286,"uris":["http://zotero.org/users/9694973/items/WWB86QPS"],"itemData":{"id":286,"type":"article-journal","container-title":"International Journal of Biological and Chemical Sciences","DOI":"10.4314/ijbcs.v10i6.30","ISSN":"1997-342X, 1991-8631","issue":"6","journalAbbreviation":"Int. J. Bio. Chem. Sci","page":"2781","source":"DOI.org (Crossref)","title":"Caractérisation des boues de vidange dépotées sur les lits de séchage de zagtouli (Ouagadougou)","URL":"https://www.ajol.info/index.php/ijbcs/article/view/155304","volume":"10","author":[{"family":"Kone","given":"Martine"},{"family":"Service","given":"Emmanuelle"},{"family":"Ouattara","given":"Yacouba"},{"family":"Ouattara","given":"Paul"},{"family":"Bonou","given":"Lucien"},{"family":"Joly","given":"Pierre"}],"accessed":{"date-parts":[["2023",4,7]]},"issued":{"date-parts":[["2017",4,25]]}}}],"schema":"https://github.com/citation-style-language/schema/raw/master/csl-citation.json"} </w:instrText>
      </w:r>
      <w:r w:rsidR="001A3C33">
        <w:rPr>
          <w:rFonts w:ascii="Arial" w:hAnsi="Arial" w:cs="Arial"/>
          <w:sz w:val="20"/>
          <w:szCs w:val="20"/>
          <w:lang w:val="en-US"/>
        </w:rPr>
        <w:fldChar w:fldCharType="separate"/>
      </w:r>
      <w:r w:rsidR="001A3C33" w:rsidRPr="0044624A">
        <w:rPr>
          <w:rFonts w:ascii="Arial" w:hAnsi="Arial" w:cs="Arial"/>
          <w:sz w:val="20"/>
          <w:lang w:val="en-US"/>
        </w:rPr>
        <w:t>(Kone et al., 2017)</w:t>
      </w:r>
      <w:r w:rsidR="001A3C33">
        <w:rPr>
          <w:rFonts w:ascii="Arial" w:hAnsi="Arial" w:cs="Arial"/>
          <w:sz w:val="20"/>
          <w:szCs w:val="20"/>
          <w:lang w:val="en-US"/>
        </w:rPr>
        <w:fldChar w:fldCharType="end"/>
      </w:r>
      <w:r w:rsidRPr="006A4678">
        <w:rPr>
          <w:rFonts w:ascii="Arial" w:hAnsi="Arial" w:cs="Arial"/>
          <w:sz w:val="20"/>
          <w:szCs w:val="20"/>
          <w:lang w:val="en-US"/>
        </w:rPr>
        <w:t xml:space="preserve">. The measured concentrations of total nitrogen (TN), organic carbon (OC), and organic matter (OM) confirm the presence of biodegradable material in the sludge. However, the C/N ratio of 0.07 is significantly below the optimal range (20–30 </w:t>
      </w:r>
      <w:r w:rsidR="001A3C33">
        <w:rPr>
          <w:rFonts w:ascii="Arial" w:hAnsi="Arial" w:cs="Arial"/>
          <w:sz w:val="20"/>
          <w:szCs w:val="20"/>
          <w:lang w:val="en-US"/>
        </w:rPr>
        <w:fldChar w:fldCharType="begin"/>
      </w:r>
      <w:r w:rsidR="001A3C33">
        <w:rPr>
          <w:rFonts w:ascii="Arial" w:hAnsi="Arial" w:cs="Arial"/>
          <w:sz w:val="20"/>
          <w:szCs w:val="20"/>
          <w:lang w:val="en-US"/>
        </w:rPr>
        <w:instrText xml:space="preserve"> ADDIN ZOTERO_ITEM CSL_CITATION {"citationID":"dnlC1JOF","properties":{"formattedCitation":"(Gashaw, 2014; Khalid et al., 2011)","plainCitation":"(Gashaw, 2014; Khalid et al., 2011)","noteIndex":0},"citationItems":[{"id":81,"uris":["http://zotero.org/users/9694973/items/L7GE59UX"],"itemData":{"id":81,"type":"article-journal","container-title":"American Journal of Applied Chemistry","DOI":"10.11648/j.ajac.20140204.12","ISSN":"2330-8753","issue":"4","journalAbbreviation":"AJAC","language":"en","page":"55","source":"DOI.org (Crossref)","title":"Anaerobic Co-Digestion of Biodegradable Municipal Solid Waste with Human Excreta for Biogas Production: A Review","title-short":"Anaerobic Co-Digestion of Biodegradable Municipal Solid Waste with Human Excreta for Biogas Production","URL":"http://www.sciencepublishinggroup.com/journal/paperinfo.aspx?journalid=227&amp;doi=10.11648/j.ajac.20140204.12","volume":"2","author":[{"family":"Gashaw","given":"Alemayehu"}],"accessed":{"date-parts":[["2022",7,19]]},"issued":{"date-parts":[["2014"]]}}},{"id":380,"uris":["http://zotero.org/users/9694973/items/J2BLQ4WM"],"itemData":{"id":380,"type":"article-journal","container-title":"Waste Management","DOI":"10.1016/j.wasman.2011.03.021","ISSN":"0956053X","issue":"8","journalAbbreviation":"Waste Management","language":"en","page":"1737-1744","source":"DOI.org (Crossref)","title":"The anaerobic digestion of solid organic waste","URL":"https://linkinghub.elsevier.com/retrieve/pii/S0956053X11001668","volume":"31","author":[{"family":"Khalid","given":"Azeem"},{"family":"Arshad","given":"Muhammad"},{"family":"Anjum","given":"Muzammil"},{"family":"Mahmood","given":"Tariq"},{"family":"Dawson","given":"Lorna"}],"accessed":{"date-parts":[["2023",7,27]]},"issued":{"date-parts":[["2011",8]]}}}],"schema":"https://github.com/citation-style-language/schema/raw/master/csl-citation.json"} </w:instrText>
      </w:r>
      <w:r w:rsidR="001A3C33">
        <w:rPr>
          <w:rFonts w:ascii="Arial" w:hAnsi="Arial" w:cs="Arial"/>
          <w:sz w:val="20"/>
          <w:szCs w:val="20"/>
          <w:lang w:val="en-US"/>
        </w:rPr>
        <w:fldChar w:fldCharType="separate"/>
      </w:r>
      <w:r w:rsidR="001A3C33" w:rsidRPr="0044624A">
        <w:rPr>
          <w:rFonts w:ascii="Arial" w:hAnsi="Arial" w:cs="Arial"/>
          <w:sz w:val="20"/>
          <w:lang w:val="en-US"/>
        </w:rPr>
        <w:t>(Gashaw, 2014; Khalid et al., 2011)</w:t>
      </w:r>
      <w:r w:rsidR="001A3C33">
        <w:rPr>
          <w:rFonts w:ascii="Arial" w:hAnsi="Arial" w:cs="Arial"/>
          <w:sz w:val="20"/>
          <w:szCs w:val="20"/>
          <w:lang w:val="en-US"/>
        </w:rPr>
        <w:fldChar w:fldCharType="end"/>
      </w:r>
      <w:r w:rsidRPr="006A4678">
        <w:rPr>
          <w:rFonts w:ascii="Arial" w:hAnsi="Arial" w:cs="Arial"/>
          <w:sz w:val="20"/>
          <w:szCs w:val="20"/>
          <w:lang w:val="en-US"/>
        </w:rPr>
        <w:t xml:space="preserve">, or 25–35 </w:t>
      </w:r>
      <w:r w:rsidR="001A3C33">
        <w:rPr>
          <w:rFonts w:ascii="Arial" w:hAnsi="Arial" w:cs="Arial"/>
          <w:sz w:val="20"/>
          <w:szCs w:val="20"/>
          <w:lang w:val="en-US"/>
        </w:rPr>
        <w:fldChar w:fldCharType="begin"/>
      </w:r>
      <w:r w:rsidR="001A3C33">
        <w:rPr>
          <w:rFonts w:ascii="Arial" w:hAnsi="Arial" w:cs="Arial"/>
          <w:sz w:val="20"/>
          <w:szCs w:val="20"/>
          <w:lang w:val="en-US"/>
        </w:rPr>
        <w:instrText xml:space="preserve"> ADDIN ZOTERO_ITEM CSL_CITATION {"citationID":"sats4dGz","properties":{"formattedCitation":"(Charnay, 2005)","plainCitation":"(Charnay, 2005)","noteIndex":0},"citationItems":[{"id":375,"uris":["http://zotero.org/users/9694973/items/5PD69LKN"],"itemData":{"id":375,"type":"thesis","event-place":"France","genre":"Mémoire de thèse","number-of-pages":"277","publisher":"Université de  LIMOGES","publisher-place":"France","title":"Compostage des déchets urbains dans les Pays en Développement : élaboration d’une démarche méthodologique pour une production pérenne de compost","URL":"https://theses.fr/2005LIMO0035","author":[{"family":"Charnay","given":"Florence"}],"issued":{"date-parts":[["2005"]]}}}],"schema":"https://github.com/citation-style-language/schema/raw/master/csl-citation.json"} </w:instrText>
      </w:r>
      <w:r w:rsidR="001A3C33">
        <w:rPr>
          <w:rFonts w:ascii="Arial" w:hAnsi="Arial" w:cs="Arial"/>
          <w:sz w:val="20"/>
          <w:szCs w:val="20"/>
          <w:lang w:val="en-US"/>
        </w:rPr>
        <w:fldChar w:fldCharType="separate"/>
      </w:r>
      <w:r w:rsidR="001A3C33" w:rsidRPr="0044624A">
        <w:rPr>
          <w:rFonts w:ascii="Arial" w:hAnsi="Arial" w:cs="Arial"/>
          <w:sz w:val="20"/>
          <w:lang w:val="en-US"/>
        </w:rPr>
        <w:t>(Charnay, 2005)</w:t>
      </w:r>
      <w:r w:rsidR="001A3C33">
        <w:rPr>
          <w:rFonts w:ascii="Arial" w:hAnsi="Arial" w:cs="Arial"/>
          <w:sz w:val="20"/>
          <w:szCs w:val="20"/>
          <w:lang w:val="en-US"/>
        </w:rPr>
        <w:fldChar w:fldCharType="end"/>
      </w:r>
      <w:r w:rsidRPr="006A4678">
        <w:rPr>
          <w:rFonts w:ascii="Arial" w:hAnsi="Arial" w:cs="Arial"/>
          <w:sz w:val="20"/>
          <w:szCs w:val="20"/>
          <w:lang w:val="en-US"/>
        </w:rPr>
        <w:t xml:space="preserve"> required for effective biological treatment. The COD/BOD</w:t>
      </w:r>
      <w:r w:rsidRPr="006A4678">
        <w:rPr>
          <w:rFonts w:ascii="Cambria Math" w:hAnsi="Cambria Math" w:cs="Cambria Math"/>
          <w:sz w:val="20"/>
          <w:szCs w:val="20"/>
          <w:lang w:val="en-US"/>
        </w:rPr>
        <w:t>₅</w:t>
      </w:r>
      <w:r w:rsidRPr="006A4678">
        <w:rPr>
          <w:rFonts w:ascii="Arial" w:hAnsi="Arial" w:cs="Arial"/>
          <w:sz w:val="20"/>
          <w:szCs w:val="20"/>
          <w:lang w:val="en-US"/>
        </w:rPr>
        <w:t xml:space="preserve"> ratio of 2.83 further confirms the high proportion of biodegradable content </w:t>
      </w:r>
      <w:r w:rsidR="001A3C33">
        <w:rPr>
          <w:rFonts w:ascii="Arial" w:hAnsi="Arial" w:cs="Arial"/>
          <w:sz w:val="20"/>
          <w:szCs w:val="20"/>
          <w:lang w:val="en-US"/>
        </w:rPr>
        <w:fldChar w:fldCharType="begin"/>
      </w:r>
      <w:r w:rsidR="001A3C33">
        <w:rPr>
          <w:rFonts w:ascii="Arial" w:hAnsi="Arial" w:cs="Arial"/>
          <w:sz w:val="20"/>
          <w:szCs w:val="20"/>
          <w:lang w:val="en-US"/>
        </w:rPr>
        <w:instrText xml:space="preserve"> ADDIN ZOTERO_ITEM CSL_CITATION {"citationID":"PfKmhxED","properties":{"formattedCitation":"(Kradolfer et al., 2013)","plainCitation":"(Kradolfer et al., 2013)","noteIndex":0},"citationItems":[{"id":67,"uris":["http://zotero.org/users/9694973/items/MTJJEBQX"],"itemData":{"id":67,"type":"document","publisher":"Laboratoire de Biotechnologie Environnementale (LBE) du l'Ecole Polytechnique de Lausanne (EPFL)","title":"Méthodes analytiques pour influents / effluents de bioréacteurs ou de stations d'épuration","author":[{"family":"Kradolfer","given":"JP"},{"family":"M. Deront","given":""},{"family":"N. Adler","given":""}],"issued":{"date-parts":[["2013"]]}}}],"schema":"https://github.com/citation-style-language/schema/raw/master/csl-citation.json"} </w:instrText>
      </w:r>
      <w:r w:rsidR="001A3C33">
        <w:rPr>
          <w:rFonts w:ascii="Arial" w:hAnsi="Arial" w:cs="Arial"/>
          <w:sz w:val="20"/>
          <w:szCs w:val="20"/>
          <w:lang w:val="en-US"/>
        </w:rPr>
        <w:fldChar w:fldCharType="separate"/>
      </w:r>
      <w:r w:rsidR="001A3C33" w:rsidRPr="0044624A">
        <w:rPr>
          <w:rFonts w:ascii="Arial" w:hAnsi="Arial" w:cs="Arial"/>
          <w:sz w:val="20"/>
          <w:lang w:val="en-US"/>
        </w:rPr>
        <w:t>(Kradolfer et al., 2013)</w:t>
      </w:r>
      <w:r w:rsidR="001A3C33">
        <w:rPr>
          <w:rFonts w:ascii="Arial" w:hAnsi="Arial" w:cs="Arial"/>
          <w:sz w:val="20"/>
          <w:szCs w:val="20"/>
          <w:lang w:val="en-US"/>
        </w:rPr>
        <w:fldChar w:fldCharType="end"/>
      </w:r>
      <w:r w:rsidRPr="006A4678">
        <w:rPr>
          <w:rFonts w:ascii="Arial" w:hAnsi="Arial" w:cs="Arial"/>
          <w:sz w:val="20"/>
          <w:szCs w:val="20"/>
          <w:lang w:val="en-US"/>
        </w:rPr>
        <w:t xml:space="preserve">, consistent with observations in Abidjan, Ouagadougou, and Togo </w:t>
      </w:r>
      <w:r w:rsidR="001A3C33">
        <w:rPr>
          <w:rFonts w:ascii="Arial" w:hAnsi="Arial" w:cs="Arial"/>
          <w:sz w:val="20"/>
          <w:szCs w:val="20"/>
          <w:lang w:val="en-US"/>
        </w:rPr>
        <w:fldChar w:fldCharType="begin"/>
      </w:r>
      <w:r w:rsidR="001A3C33">
        <w:rPr>
          <w:rFonts w:ascii="Arial" w:hAnsi="Arial" w:cs="Arial"/>
          <w:sz w:val="20"/>
          <w:szCs w:val="20"/>
          <w:lang w:val="en-US"/>
        </w:rPr>
        <w:instrText xml:space="preserve"> ADDIN ZOTERO_ITEM CSL_CITATION {"citationID":"rOjX7zLj","properties":{"formattedCitation":"(Kone et al., 2017; Poromna et al., 2020; Soro et al., 2020)","plainCitation":"(Kone et al., 2017; Poromna et al., 2020; Soro et al., 2020)","noteIndex":0},"citationItems":[{"id":286,"uris":["http://zotero.org/users/9694973/items/WWB86QPS"],"itemData":{"id":286,"type":"article-journal","container-title":"International Journal of Biological and Chemical Sciences","DOI":"10.4314/ijbcs.v10i6.30","ISSN":"1997-342X, 1991-8631","issue":"6","journalAbbreviation":"Int. J. Bio. Chem. Sci","page":"2781","source":"DOI.org (Crossref)","title":"Caractérisation des boues de vidange dépotées sur les lits de séchage de zagtouli (Ouagadougou)","URL":"https://www.ajol.info/index.php/ijbcs/article/view/155304","volume":"10","author":[{"family":"Kone","given":"Martine"},{"family":"Service","given":"Emmanuelle"},{"family":"Ouattara","given":"Yacouba"},{"family":"Ouattara","given":"Paul"},{"family":"Bonou","given":"Lucien"},{"family":"Joly","given":"Pierre"}],"accessed":{"date-parts":[["2023",4,7]]},"issued":{"date-parts":[["2017",4,25]]}}},{"id":603,"uris":["http://zotero.org/users/9694973/items/PL9LIY6E"],"itemData":{"id":603,"type":"article-journal","abstract":"Like the majority sub-Saharan Africa cities, Aneho city in Togo is experiencing the problem of sustainable management of fecal sludge. The objective of this study is to contribute to better management of fecal sludge from Aneho city. To achieve this, an inventory of the management of fecal sludge in the city was carried out, followed by the quantification and characterization of the sludge produced according to the different types of existing sanitation systems. The results showed that the fecal sludge sector is experiencing shortcomings in its management. The sludge mainly discharged by mechanical means (62%) is transported to an official unmanaged disposal site or to farmers' fields without treatment. The amount of mud produced per year in the city is between 3,534 and 7,442 m3. The physico-chemical characterization results reveal that the sludge from dry pits was more loaded with pollutants than that from wet pits. The sludge with a neutral characteristic and a high salinity is rich in ammonium, phosphorus, nitrates with a COD/BOD5 ratio equal to 2.1. Heavy metals including Iron, Copper, Zinc, and Manganese have a relatively apparent concentration in the sludge. The microbiological characterization showed the significant presence of fecal and pathogenic germs in the sludge. From this study, knowing of the sludge quantity and characteristics produced at Aneho, will allow choosing an appropriate treatment based on other local criteria.","container-title":"International Journal of Innovation and Scientific Research","ISSN":"2351-8014","issue":"2","language":"fr","page":"288-300","source":"Zotero","title":"Quantification et caractérisation des boues de vidange dans la ville d’Aného au Togo pour le choix d’un traitement approprié","volume":"49","author":[{"family":"Poromna","given":"Hèzouwè"},{"family":"Lare","given":"Ftimbé"},{"family":"Sossou","given":"Seyram K"},{"family":"Kangni-dossou","given":"Messanh"},{"family":"Gnandi","given":"Kissao"},{"family":"Ameyapoh","given":"Yaovi"}],"issued":{"date-parts":[["2020"]]}}},{"id":86,"uris":["http://zotero.org/users/9694973/items/YTJ3RW22"],"itemData":{"id":86,"type":"article-journal","container-title":"Rev. Ivoir. Sci. Technol","ISSN":"1813-3290","language":"fr","page":"78 - 96","source":"Zotero","title":"Caractérisation et évaluation de la charge polluante des boues de vidange du district d’Abidjan, Sud de la Côte d’ivoire","volume":"35","author":[{"family":"Soro","given":"Gbombélé"},{"family":"Coulibaly","given":"Adama"},{"family":"Kra","given":"Kouamé Serge Magloire"},{"family":"Yapo","given":"Ossey Bernard"}],"issued":{"date-parts":[["2020"]]}}}],"schema":"https://github.com/citation-style-language/schema/raw/master/csl-citation.json"} </w:instrText>
      </w:r>
      <w:r w:rsidR="001A3C33">
        <w:rPr>
          <w:rFonts w:ascii="Arial" w:hAnsi="Arial" w:cs="Arial"/>
          <w:sz w:val="20"/>
          <w:szCs w:val="20"/>
          <w:lang w:val="en-US"/>
        </w:rPr>
        <w:fldChar w:fldCharType="separate"/>
      </w:r>
      <w:r w:rsidR="001A3C33" w:rsidRPr="0044624A">
        <w:rPr>
          <w:rFonts w:ascii="Arial" w:hAnsi="Arial" w:cs="Arial"/>
          <w:sz w:val="20"/>
          <w:lang w:val="en-US"/>
        </w:rPr>
        <w:t>(Kone et al., 2017; Poromna et al., 2020; Soro et al., 2020)</w:t>
      </w:r>
      <w:r w:rsidR="001A3C33">
        <w:rPr>
          <w:rFonts w:ascii="Arial" w:hAnsi="Arial" w:cs="Arial"/>
          <w:sz w:val="20"/>
          <w:szCs w:val="20"/>
          <w:lang w:val="en-US"/>
        </w:rPr>
        <w:fldChar w:fldCharType="end"/>
      </w:r>
      <w:r w:rsidRPr="006A4678">
        <w:rPr>
          <w:rFonts w:ascii="Arial" w:hAnsi="Arial" w:cs="Arial"/>
          <w:sz w:val="20"/>
          <w:szCs w:val="20"/>
          <w:lang w:val="en-US"/>
        </w:rPr>
        <w:t xml:space="preserve">. Therefore, biological treatment is not </w:t>
      </w:r>
      <w:proofErr w:type="spellStart"/>
      <w:r w:rsidRPr="006A4678">
        <w:rPr>
          <w:rFonts w:ascii="Arial" w:hAnsi="Arial" w:cs="Arial"/>
          <w:sz w:val="20"/>
          <w:szCs w:val="20"/>
          <w:lang w:val="en-US"/>
        </w:rPr>
        <w:t>favourable</w:t>
      </w:r>
      <w:proofErr w:type="spellEnd"/>
      <w:r w:rsidRPr="006A4678">
        <w:rPr>
          <w:rFonts w:ascii="Arial" w:hAnsi="Arial" w:cs="Arial"/>
          <w:sz w:val="20"/>
          <w:szCs w:val="20"/>
          <w:lang w:val="en-US"/>
        </w:rPr>
        <w:t xml:space="preserve"> for these sludge samples, likely due to their prolonged retention time in septic tanks </w:t>
      </w:r>
      <w:r w:rsidR="001A3C33">
        <w:rPr>
          <w:rFonts w:ascii="Arial" w:hAnsi="Arial" w:cs="Arial"/>
          <w:sz w:val="20"/>
          <w:szCs w:val="20"/>
          <w:lang w:val="en-US"/>
        </w:rPr>
        <w:fldChar w:fldCharType="begin"/>
      </w:r>
      <w:r w:rsidR="001A3C33">
        <w:rPr>
          <w:rFonts w:ascii="Arial" w:hAnsi="Arial" w:cs="Arial"/>
          <w:sz w:val="20"/>
          <w:szCs w:val="20"/>
          <w:lang w:val="en-US"/>
        </w:rPr>
        <w:instrText xml:space="preserve"> ADDIN ZOTERO_ITEM CSL_CITATION {"citationID":"Nm5CoTQw","properties":{"formattedCitation":"(Topanou et al., 2024)","plainCitation":"(Topanou et al., 2024)","noteIndex":0},"citationItems":[{"id":911,"uris":["http://zotero.org/users/9694973/items/9PR5T6JS"],"itemData":{"id":911,"type":"article-journal","container-title":"Journal of Environmental Protection","DOI":"10.4236/jep.2024.157044","ISSN":"2152-2197, 2152-2219","issue":"07","journalAbbreviation":"JEP","page":"767-780","source":"DOI.org (Crossref)","title":"Uncovering the Challenges of Faecal Sludge Management in Benin&amp;#8217;s Urban Hubs: The Cases of Abomey-Calavi and Natitingou","title-short":"Uncovering the Challenges of Faecal Sludge Management in Benin&amp;#8217;s Urban Hubs","URL":"https://www.scirp.org/journal/doi.aspx?doi=10.4236/jep.2024.157044","volume":"15","author":[{"family":"Topanou","given":"Nikita"},{"family":"Agbatchi","given":"Blaise"},{"family":"Gbaguidi","given":"Gouvidé Jean"},{"family":"Fatombi","given":"Jacques"},{"family":"Tchobo","given":"Fidèle Paul"}],"accessed":{"date-parts":[["2024",10,1]]},"issued":{"date-parts":[["2024"]]}}}],"schema":"https://github.com/citation-style-language/schema/raw/master/csl-citation.json"} </w:instrText>
      </w:r>
      <w:r w:rsidR="001A3C33">
        <w:rPr>
          <w:rFonts w:ascii="Arial" w:hAnsi="Arial" w:cs="Arial"/>
          <w:sz w:val="20"/>
          <w:szCs w:val="20"/>
          <w:lang w:val="en-US"/>
        </w:rPr>
        <w:fldChar w:fldCharType="separate"/>
      </w:r>
      <w:r w:rsidR="001A3C33" w:rsidRPr="0044624A">
        <w:rPr>
          <w:rFonts w:ascii="Arial" w:hAnsi="Arial" w:cs="Arial"/>
          <w:sz w:val="20"/>
          <w:lang w:val="en-US"/>
        </w:rPr>
        <w:t>(Topanou et al., 2024)</w:t>
      </w:r>
      <w:r w:rsidR="001A3C33">
        <w:rPr>
          <w:rFonts w:ascii="Arial" w:hAnsi="Arial" w:cs="Arial"/>
          <w:sz w:val="20"/>
          <w:szCs w:val="20"/>
          <w:lang w:val="en-US"/>
        </w:rPr>
        <w:fldChar w:fldCharType="end"/>
      </w:r>
      <w:r w:rsidRPr="006A4678">
        <w:rPr>
          <w:rFonts w:ascii="Arial" w:hAnsi="Arial" w:cs="Arial"/>
          <w:sz w:val="20"/>
          <w:szCs w:val="20"/>
          <w:lang w:val="en-US"/>
        </w:rPr>
        <w:t>.</w:t>
      </w:r>
    </w:p>
    <w:p w14:paraId="7DA2022F" w14:textId="77777777" w:rsidR="00182FF4" w:rsidRPr="006A4678" w:rsidRDefault="00182FF4" w:rsidP="006A4678">
      <w:pPr>
        <w:pStyle w:val="ListParagraph"/>
        <w:numPr>
          <w:ilvl w:val="1"/>
          <w:numId w:val="7"/>
        </w:numPr>
        <w:spacing w:after="0" w:line="360" w:lineRule="auto"/>
        <w:jc w:val="both"/>
        <w:rPr>
          <w:rFonts w:ascii="Arial" w:hAnsi="Arial" w:cs="Arial"/>
          <w:b/>
          <w:bCs/>
          <w:lang w:val="en-US"/>
        </w:rPr>
      </w:pPr>
      <w:r w:rsidRPr="006A4678">
        <w:rPr>
          <w:rFonts w:ascii="Arial" w:hAnsi="Arial" w:cs="Arial"/>
          <w:b/>
          <w:bCs/>
          <w:lang w:val="en-US"/>
        </w:rPr>
        <w:t>Digester Performance</w:t>
      </w:r>
    </w:p>
    <w:p w14:paraId="4B3AC37A"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 xml:space="preserve">The observed variations in pH, alkalinity (TAC), and volatile fatty acids (VFA) (Figure 3) may be attributed to disruptions in microbial activity, potentially caused by inhibitory compounds such as hydrogen </w:t>
      </w:r>
      <w:proofErr w:type="spellStart"/>
      <w:r w:rsidRPr="006A4678">
        <w:rPr>
          <w:rFonts w:ascii="Arial" w:hAnsi="Arial" w:cs="Arial"/>
          <w:sz w:val="20"/>
          <w:szCs w:val="20"/>
          <w:lang w:val="en-US"/>
        </w:rPr>
        <w:t>sulphide</w:t>
      </w:r>
      <w:proofErr w:type="spellEnd"/>
      <w:r w:rsidRPr="006A4678">
        <w:rPr>
          <w:rFonts w:ascii="Arial" w:hAnsi="Arial" w:cs="Arial"/>
          <w:sz w:val="20"/>
          <w:szCs w:val="20"/>
          <w:lang w:val="en-US"/>
        </w:rPr>
        <w:t xml:space="preserve"> (H</w:t>
      </w:r>
      <w:r w:rsidRPr="006A4678">
        <w:rPr>
          <w:rFonts w:ascii="Cambria Math" w:hAnsi="Cambria Math" w:cs="Cambria Math"/>
          <w:sz w:val="20"/>
          <w:szCs w:val="20"/>
          <w:lang w:val="en-US"/>
        </w:rPr>
        <w:t>₂</w:t>
      </w:r>
      <w:r w:rsidRPr="006A4678">
        <w:rPr>
          <w:rFonts w:ascii="Arial" w:hAnsi="Arial" w:cs="Arial"/>
          <w:sz w:val="20"/>
          <w:szCs w:val="20"/>
          <w:lang w:val="en-US"/>
        </w:rPr>
        <w:t xml:space="preserve">S), and the manual regulation of temperature. Similar pH, TAC, and VFA trends were reported by </w:t>
      </w:r>
      <w:proofErr w:type="spellStart"/>
      <w:r w:rsidRPr="006A4678">
        <w:rPr>
          <w:rFonts w:ascii="Arial" w:hAnsi="Arial" w:cs="Arial"/>
          <w:sz w:val="20"/>
          <w:szCs w:val="20"/>
          <w:lang w:val="en-US"/>
        </w:rPr>
        <w:t>Ukondalemba</w:t>
      </w:r>
      <w:proofErr w:type="spellEnd"/>
      <w:r w:rsidRPr="006A4678">
        <w:rPr>
          <w:rFonts w:ascii="Arial" w:hAnsi="Arial" w:cs="Arial"/>
          <w:sz w:val="20"/>
          <w:szCs w:val="20"/>
          <w:lang w:val="en-US"/>
        </w:rPr>
        <w:t xml:space="preserve"> et al. (2016) during biogas production from </w:t>
      </w:r>
      <w:proofErr w:type="spellStart"/>
      <w:r w:rsidRPr="006A4678">
        <w:rPr>
          <w:rFonts w:ascii="Arial" w:hAnsi="Arial" w:cs="Arial"/>
          <w:sz w:val="20"/>
          <w:szCs w:val="20"/>
          <w:lang w:val="en-US"/>
        </w:rPr>
        <w:t>faecal</w:t>
      </w:r>
      <w:proofErr w:type="spellEnd"/>
      <w:r w:rsidRPr="006A4678">
        <w:rPr>
          <w:rFonts w:ascii="Arial" w:hAnsi="Arial" w:cs="Arial"/>
          <w:sz w:val="20"/>
          <w:szCs w:val="20"/>
          <w:lang w:val="en-US"/>
        </w:rPr>
        <w:t xml:space="preserve"> sludge mixed with fermentable household waste in Kinshasa </w:t>
      </w:r>
      <w:r w:rsidR="0058632A">
        <w:rPr>
          <w:rFonts w:ascii="Arial" w:hAnsi="Arial" w:cs="Arial"/>
          <w:sz w:val="20"/>
          <w:szCs w:val="20"/>
          <w:lang w:val="en-US"/>
        </w:rPr>
        <w:fldChar w:fldCharType="begin"/>
      </w:r>
      <w:r w:rsidR="0058632A">
        <w:rPr>
          <w:rFonts w:ascii="Arial" w:hAnsi="Arial" w:cs="Arial"/>
          <w:sz w:val="20"/>
          <w:szCs w:val="20"/>
          <w:lang w:val="en-US"/>
        </w:rPr>
        <w:instrText xml:space="preserve"> ADDIN ZOTERO_ITEM CSL_CITATION {"citationID":"0HEt6kXB","properties":{"formattedCitation":"(Ukondalemba et al., 2016)","plainCitation":"(Ukondalemba et al., 2016)","noteIndex":0},"citationItems":[{"id":352,"uris":["http://zotero.org/users/9694973/items/4DQADWKE"],"itemData":{"id":352,"type":"article-journal","abstract":"Among the waste treatment methods, anaerobic digestion is an attractive option for the degradation of fermentable household wastes into useful products such as biogas and high quality compost. Therefore, we conducted a comparative experimental study between the anaerobic digestion of fermentable household waste and anaerobic codigestion of fermentable household waste and septic tank sludge. The experiment was conducted in two tanks of 80 liters. The first tank was filled only with 14 kg of biodegradable household waste and the second was filled with 14 kg of household waste mixed with 4.2 L fresh septic tank sludge in a ratio Volatile Suspended Solids (VSS) of septic tank sludge on Volatile Organic Matter of waste (=MOV) (VSS / MOV = 0.3). The evolution of the COD yields a balance on the degradation of organic matter and biogas production.","container-title":"International Journal of Innovation and Scientific Research","ISSN":"2351-8014","issue":"2","language":"fr","source":"Zotero","title":"La valorisation des déchets ménagers organiques et des boues de vidange de fosses septiques par digestion anaérobie","volume":"20","author":[{"family":"Ukondalemba","given":"Léonard Mindele"},{"family":"Aleke","given":"Alex Lina"},{"family":"Ngahane","given":"Emilienne Laure"},{"family":"Eyul’Anki","given":"Dieudonné Musibono"},{"family":"Vasel","given":"Jean-Luc"}],"issued":{"date-parts":[["2016",2]]}}}],"schema":"https://github.com/citation-style-language/schema/raw/master/csl-citation.json"} </w:instrText>
      </w:r>
      <w:r w:rsidR="0058632A">
        <w:rPr>
          <w:rFonts w:ascii="Arial" w:hAnsi="Arial" w:cs="Arial"/>
          <w:sz w:val="20"/>
          <w:szCs w:val="20"/>
          <w:lang w:val="en-US"/>
        </w:rPr>
        <w:fldChar w:fldCharType="separate"/>
      </w:r>
      <w:r w:rsidR="0058632A" w:rsidRPr="0044624A">
        <w:rPr>
          <w:rFonts w:ascii="Arial" w:hAnsi="Arial" w:cs="Arial"/>
          <w:sz w:val="20"/>
          <w:lang w:val="en-US"/>
        </w:rPr>
        <w:t>(Ukondalemba et al., 2016)</w:t>
      </w:r>
      <w:r w:rsidR="0058632A">
        <w:rPr>
          <w:rFonts w:ascii="Arial" w:hAnsi="Arial" w:cs="Arial"/>
          <w:sz w:val="20"/>
          <w:szCs w:val="20"/>
          <w:lang w:val="en-US"/>
        </w:rPr>
        <w:fldChar w:fldCharType="end"/>
      </w:r>
      <w:r w:rsidRPr="006A4678">
        <w:rPr>
          <w:rFonts w:ascii="Arial" w:hAnsi="Arial" w:cs="Arial"/>
          <w:sz w:val="20"/>
          <w:szCs w:val="20"/>
          <w:lang w:val="en-US"/>
        </w:rPr>
        <w:t>.</w:t>
      </w:r>
    </w:p>
    <w:p w14:paraId="286A09A5" w14:textId="77777777" w:rsidR="00182FF4" w:rsidRPr="006A4678" w:rsidRDefault="00182FF4" w:rsidP="006A4678">
      <w:pPr>
        <w:pStyle w:val="ListParagraph"/>
        <w:numPr>
          <w:ilvl w:val="1"/>
          <w:numId w:val="7"/>
        </w:numPr>
        <w:spacing w:after="0" w:line="360" w:lineRule="auto"/>
        <w:jc w:val="both"/>
        <w:rPr>
          <w:rFonts w:ascii="Arial" w:hAnsi="Arial" w:cs="Arial"/>
          <w:b/>
          <w:bCs/>
          <w:lang w:val="en-US"/>
        </w:rPr>
      </w:pPr>
      <w:r w:rsidRPr="006A4678">
        <w:rPr>
          <w:rFonts w:ascii="Arial" w:hAnsi="Arial" w:cs="Arial"/>
          <w:b/>
          <w:bCs/>
          <w:lang w:val="en-US"/>
        </w:rPr>
        <w:t>Biogas Quantification</w:t>
      </w:r>
    </w:p>
    <w:p w14:paraId="0700CF1E"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 xml:space="preserve">The notably higher biogas yield observed in digester B4 compared to B1, B2, B3, and the control digester may be explained by iron’s interaction with inhibitory substances such as ammoniacal nitrogen, hydrogen </w:t>
      </w:r>
      <w:proofErr w:type="spellStart"/>
      <w:r w:rsidRPr="006A4678">
        <w:rPr>
          <w:rFonts w:ascii="Arial" w:hAnsi="Arial" w:cs="Arial"/>
          <w:sz w:val="20"/>
          <w:szCs w:val="20"/>
          <w:lang w:val="en-US"/>
        </w:rPr>
        <w:t>sulphide</w:t>
      </w:r>
      <w:proofErr w:type="spellEnd"/>
      <w:r w:rsidRPr="006A4678">
        <w:rPr>
          <w:rFonts w:ascii="Arial" w:hAnsi="Arial" w:cs="Arial"/>
          <w:sz w:val="20"/>
          <w:szCs w:val="20"/>
          <w:lang w:val="en-US"/>
        </w:rPr>
        <w:t xml:space="preserve">, hydrogen gas, and volatile fatty acids </w:t>
      </w:r>
      <w:r w:rsidR="0058632A">
        <w:rPr>
          <w:rFonts w:ascii="Arial" w:hAnsi="Arial" w:cs="Arial"/>
          <w:sz w:val="20"/>
          <w:szCs w:val="20"/>
          <w:lang w:val="en-US"/>
        </w:rPr>
        <w:fldChar w:fldCharType="begin"/>
      </w:r>
      <w:r w:rsidR="0058632A">
        <w:rPr>
          <w:rFonts w:ascii="Arial" w:hAnsi="Arial" w:cs="Arial"/>
          <w:sz w:val="20"/>
          <w:szCs w:val="20"/>
          <w:lang w:val="en-US"/>
        </w:rPr>
        <w:instrText xml:space="preserve"> ADDIN ZOTERO_ITEM CSL_CITATION {"citationID":"RbomiqE6","properties":{"formattedCitation":"(Simon Poirier, 2016)","plainCitation":"(Simon Poirier, 2016)","noteIndex":0},"citationItems":[{"id":1038,"uris":["http://zotero.org/users/9694973/items/SNNVJJZ5"],"itemData":{"id":1038,"type":"thesis","event-place":"France","genre":"Mémoire de thèse","language":"Français","number-of-pages":"293","publisher":"Ecologie, Environnement. Institut agronomique, vétérinaire et forestier","publisher-place":"France","source":"ffNNT : 2016IAVF0001ff. fftel-03383726f","title":"Inhibitions de la digestion anaérobie : dynamiques écologiques, indicateurs microbiens et stratégies de résistance. Cas du phénol et de l’azote ammoniacal.","author":[{"family":"Simon Poirier","given":""}],"issued":{"date-parts":[["2016"]]}}}],"schema":"https://github.com/citation-style-language/schema/raw/master/csl-citation.json"} </w:instrText>
      </w:r>
      <w:r w:rsidR="0058632A">
        <w:rPr>
          <w:rFonts w:ascii="Arial" w:hAnsi="Arial" w:cs="Arial"/>
          <w:sz w:val="20"/>
          <w:szCs w:val="20"/>
          <w:lang w:val="en-US"/>
        </w:rPr>
        <w:fldChar w:fldCharType="separate"/>
      </w:r>
      <w:r w:rsidR="0058632A" w:rsidRPr="0044624A">
        <w:rPr>
          <w:rFonts w:ascii="Arial" w:hAnsi="Arial" w:cs="Arial"/>
          <w:sz w:val="20"/>
          <w:lang w:val="en-US"/>
        </w:rPr>
        <w:t>(Simon Poirier, 2016)</w:t>
      </w:r>
      <w:r w:rsidR="0058632A">
        <w:rPr>
          <w:rFonts w:ascii="Arial" w:hAnsi="Arial" w:cs="Arial"/>
          <w:sz w:val="20"/>
          <w:szCs w:val="20"/>
          <w:lang w:val="en-US"/>
        </w:rPr>
        <w:fldChar w:fldCharType="end"/>
      </w:r>
      <w:r w:rsidRPr="006A4678">
        <w:rPr>
          <w:rFonts w:ascii="Arial" w:hAnsi="Arial" w:cs="Arial"/>
          <w:sz w:val="20"/>
          <w:szCs w:val="20"/>
          <w:lang w:val="en-US"/>
        </w:rPr>
        <w:t xml:space="preserve">. These compounds can hinder anaerobic digestion, and their </w:t>
      </w:r>
      <w:proofErr w:type="spellStart"/>
      <w:r w:rsidRPr="006A4678">
        <w:rPr>
          <w:rFonts w:ascii="Arial" w:hAnsi="Arial" w:cs="Arial"/>
          <w:sz w:val="20"/>
          <w:szCs w:val="20"/>
          <w:lang w:val="en-US"/>
        </w:rPr>
        <w:t>neutralisation</w:t>
      </w:r>
      <w:proofErr w:type="spellEnd"/>
      <w:r w:rsidRPr="006A4678">
        <w:rPr>
          <w:rFonts w:ascii="Arial" w:hAnsi="Arial" w:cs="Arial"/>
          <w:sz w:val="20"/>
          <w:szCs w:val="20"/>
          <w:lang w:val="en-US"/>
        </w:rPr>
        <w:t xml:space="preserve"> through iron enhances biogas output.</w:t>
      </w:r>
    </w:p>
    <w:p w14:paraId="45167303" w14:textId="77777777" w:rsidR="00852075"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 xml:space="preserve">Iron plays a regulatory role in maintaining optimal pH conditions, which in turn promotes methane production. </w:t>
      </w:r>
      <w:proofErr w:type="spellStart"/>
      <w:r w:rsidRPr="006A4678">
        <w:rPr>
          <w:rFonts w:ascii="Arial" w:hAnsi="Arial" w:cs="Arial"/>
          <w:sz w:val="20"/>
          <w:szCs w:val="20"/>
          <w:lang w:val="en-US"/>
        </w:rPr>
        <w:t>Agani</w:t>
      </w:r>
      <w:proofErr w:type="spellEnd"/>
      <w:r w:rsidRPr="006A4678">
        <w:rPr>
          <w:rFonts w:ascii="Arial" w:hAnsi="Arial" w:cs="Arial"/>
          <w:sz w:val="20"/>
          <w:szCs w:val="20"/>
          <w:lang w:val="en-US"/>
        </w:rPr>
        <w:t xml:space="preserve"> et al. (2016) observed that iron also reduces microbial inhibitors, including hydrogen </w:t>
      </w:r>
      <w:proofErr w:type="spellStart"/>
      <w:r w:rsidRPr="006A4678">
        <w:rPr>
          <w:rFonts w:ascii="Arial" w:hAnsi="Arial" w:cs="Arial"/>
          <w:sz w:val="20"/>
          <w:szCs w:val="20"/>
          <w:lang w:val="en-US"/>
        </w:rPr>
        <w:t>sulphide</w:t>
      </w:r>
      <w:proofErr w:type="spellEnd"/>
      <w:r w:rsidRPr="006A4678">
        <w:rPr>
          <w:rFonts w:ascii="Arial" w:hAnsi="Arial" w:cs="Arial"/>
          <w:sz w:val="20"/>
          <w:szCs w:val="20"/>
          <w:lang w:val="en-US"/>
        </w:rPr>
        <w:t xml:space="preserve">, a major contributor to foul </w:t>
      </w:r>
      <w:proofErr w:type="spellStart"/>
      <w:r w:rsidRPr="006A4678">
        <w:rPr>
          <w:rFonts w:ascii="Arial" w:hAnsi="Arial" w:cs="Arial"/>
          <w:sz w:val="20"/>
          <w:szCs w:val="20"/>
          <w:lang w:val="en-US"/>
        </w:rPr>
        <w:t>odours</w:t>
      </w:r>
      <w:proofErr w:type="spellEnd"/>
      <w:r w:rsidRPr="006A4678">
        <w:rPr>
          <w:rFonts w:ascii="Arial" w:hAnsi="Arial" w:cs="Arial"/>
          <w:sz w:val="20"/>
          <w:szCs w:val="20"/>
          <w:lang w:val="en-US"/>
        </w:rPr>
        <w:t xml:space="preserve"> in sludge </w:t>
      </w:r>
      <w:r w:rsidR="0058632A">
        <w:rPr>
          <w:rFonts w:ascii="Arial" w:hAnsi="Arial" w:cs="Arial"/>
          <w:sz w:val="20"/>
          <w:szCs w:val="20"/>
          <w:lang w:val="en-US"/>
        </w:rPr>
        <w:fldChar w:fldCharType="begin"/>
      </w:r>
      <w:r w:rsidR="0058632A">
        <w:rPr>
          <w:rFonts w:ascii="Arial" w:hAnsi="Arial" w:cs="Arial"/>
          <w:sz w:val="20"/>
          <w:szCs w:val="20"/>
          <w:lang w:val="en-US"/>
        </w:rPr>
        <w:instrText xml:space="preserve"> ADDIN ZOTERO_ITEM CSL_CITATION {"citationID":"F2ybN9dE","properties":{"formattedCitation":"(Agani et al., 2016)","plainCitation":"(Agani et al., 2016)","noteIndex":0},"citationItems":[{"id":66,"uris":["http://zotero.org/users/9694973/items/JIDTFDWG"],"itemData":{"id":66,"type":"article-journal","container-title":"American Journal of Environmental Protection","DOI":"10.11648/j.ajep.20160506.15","ISSN":"2328-5680","issue":"6","journalAbbreviation":"AJEP","language":"en","page":"179","source":"DOI.org (Crossref)","title":"Enhancement of Fecal Sludge Conversion Into Biogas Using Iron Powder During Anaerobic Digestion Process","URL":"http://www.sciencepublishinggroup.com/journal/paperinfo?journalid=163&amp;doi=10.11648/j.ajep.20160506.15","volume":"5","author":[{"family":"Agani","given":"Chabi Ignace"},{"family":"Fidèle Suanon, Biaou Dimon","given":""},{"family":"Edouard Binessi Ifon, Frank Yovo","given":""},{"family":"Valentin Dieudonné Wotto, Olusegun Kazeem Abass","given":""},{"family":"Mathieu Nsenga Kumwimba","given":""}],"accessed":{"date-parts":[["2022",7,19]]},"issued":{"date-parts":[["2016"]]}}}],"schema":"https://github.com/citation-style-language/schema/raw/master/csl-citation.json"} </w:instrText>
      </w:r>
      <w:r w:rsidR="0058632A">
        <w:rPr>
          <w:rFonts w:ascii="Arial" w:hAnsi="Arial" w:cs="Arial"/>
          <w:sz w:val="20"/>
          <w:szCs w:val="20"/>
          <w:lang w:val="en-US"/>
        </w:rPr>
        <w:fldChar w:fldCharType="separate"/>
      </w:r>
      <w:r w:rsidR="0058632A" w:rsidRPr="0044624A">
        <w:rPr>
          <w:rFonts w:ascii="Arial" w:hAnsi="Arial" w:cs="Arial"/>
          <w:sz w:val="20"/>
          <w:lang w:val="en-US"/>
        </w:rPr>
        <w:t>(Agani et al., 2016)</w:t>
      </w:r>
      <w:r w:rsidR="0058632A">
        <w:rPr>
          <w:rFonts w:ascii="Arial" w:hAnsi="Arial" w:cs="Arial"/>
          <w:sz w:val="20"/>
          <w:szCs w:val="20"/>
          <w:lang w:val="en-US"/>
        </w:rPr>
        <w:fldChar w:fldCharType="end"/>
      </w:r>
      <w:r w:rsidR="0058632A">
        <w:rPr>
          <w:rFonts w:ascii="Arial" w:hAnsi="Arial" w:cs="Arial"/>
          <w:sz w:val="20"/>
          <w:szCs w:val="20"/>
          <w:lang w:val="en-US"/>
        </w:rPr>
        <w:t>,</w:t>
      </w:r>
      <w:r w:rsidR="00852075">
        <w:rPr>
          <w:rFonts w:ascii="Arial" w:hAnsi="Arial" w:cs="Arial"/>
          <w:sz w:val="20"/>
          <w:szCs w:val="20"/>
          <w:lang w:val="en-US"/>
        </w:rPr>
        <w:t xml:space="preserve"> as described by reaction (1) :</w:t>
      </w:r>
    </w:p>
    <w:p w14:paraId="09470E03" w14:textId="77777777" w:rsidR="0058632A" w:rsidRPr="0058632A" w:rsidRDefault="0058632A" w:rsidP="00182FF4">
      <w:pPr>
        <w:spacing w:after="0" w:line="360" w:lineRule="auto"/>
        <w:jc w:val="both"/>
        <w:rPr>
          <w:rFonts w:ascii="Arial" w:eastAsiaTheme="minorEastAsia" w:hAnsi="Arial" w:cs="Arial"/>
          <w:sz w:val="20"/>
          <w:szCs w:val="20"/>
          <w:lang w:val="en-US"/>
        </w:rPr>
      </w:pPr>
      <m:oMathPara>
        <m:oMath>
          <m:r>
            <w:rPr>
              <w:rFonts w:ascii="Cambria Math" w:hAnsi="Cambria Math" w:cs="Arial"/>
              <w:sz w:val="20"/>
              <w:szCs w:val="20"/>
              <w:lang w:val="en-US"/>
            </w:rPr>
            <m:t>Fe+</m:t>
          </m:r>
          <m:sSub>
            <m:sSubPr>
              <m:ctrlPr>
                <w:rPr>
                  <w:rFonts w:ascii="Cambria Math" w:hAnsi="Cambria Math" w:cs="Arial"/>
                  <w:i/>
                  <w:sz w:val="20"/>
                  <w:szCs w:val="20"/>
                  <w:lang w:val="en-US"/>
                </w:rPr>
              </m:ctrlPr>
            </m:sSubPr>
            <m:e>
              <m:r>
                <w:rPr>
                  <w:rFonts w:ascii="Cambria Math" w:hAnsi="Cambria Math" w:cs="Arial"/>
                  <w:sz w:val="20"/>
                  <w:szCs w:val="20"/>
                  <w:lang w:val="en-US"/>
                </w:rPr>
                <m:t>H</m:t>
              </m:r>
            </m:e>
            <m:sub>
              <m:r>
                <w:rPr>
                  <w:rFonts w:ascii="Cambria Math" w:hAnsi="Cambria Math" w:cs="Arial"/>
                  <w:sz w:val="20"/>
                  <w:szCs w:val="20"/>
                  <w:lang w:val="en-US"/>
                </w:rPr>
                <m:t>2</m:t>
              </m:r>
            </m:sub>
          </m:sSub>
          <m:r>
            <w:rPr>
              <w:rFonts w:ascii="Cambria Math" w:hAnsi="Cambria Math" w:cs="Arial"/>
              <w:sz w:val="20"/>
              <w:szCs w:val="20"/>
              <w:lang w:val="en-US"/>
            </w:rPr>
            <m:t>S</m:t>
          </m:r>
          <m:box>
            <m:boxPr>
              <m:opEmu m:val="1"/>
              <m:ctrlPr>
                <w:rPr>
                  <w:rFonts w:ascii="Cambria Math" w:hAnsi="Cambria Math" w:cs="Arial"/>
                  <w:i/>
                  <w:sz w:val="20"/>
                  <w:szCs w:val="20"/>
                  <w:lang w:val="en-US"/>
                </w:rPr>
              </m:ctrlPr>
            </m:boxPr>
            <m:e>
              <m:groupChr>
                <m:groupChrPr>
                  <m:chr m:val="→"/>
                  <m:vertJc m:val="bot"/>
                  <m:ctrlPr>
                    <w:rPr>
                      <w:rFonts w:ascii="Cambria Math" w:hAnsi="Cambria Math" w:cs="Arial"/>
                      <w:i/>
                      <w:sz w:val="20"/>
                      <w:szCs w:val="20"/>
                      <w:lang w:val="en-US"/>
                    </w:rPr>
                  </m:ctrlPr>
                </m:groupChrPr>
                <m:e>
                  <m:r>
                    <w:rPr>
                      <w:rFonts w:ascii="Cambria Math" w:hAnsi="Cambria Math" w:cs="Arial"/>
                      <w:sz w:val="20"/>
                      <w:szCs w:val="20"/>
                      <w:lang w:val="en-US"/>
                    </w:rPr>
                    <m:t xml:space="preserve">                           </m:t>
                  </m:r>
                </m:e>
              </m:groupChr>
            </m:e>
          </m:box>
          <m:r>
            <w:rPr>
              <w:rFonts w:ascii="Cambria Math" w:hAnsi="Cambria Math" w:cs="Arial"/>
              <w:sz w:val="20"/>
              <w:szCs w:val="20"/>
              <w:lang w:val="en-US"/>
            </w:rPr>
            <m:t>FeS+</m:t>
          </m:r>
          <m:sSub>
            <m:sSubPr>
              <m:ctrlPr>
                <w:rPr>
                  <w:rFonts w:ascii="Cambria Math" w:hAnsi="Cambria Math" w:cs="Arial"/>
                  <w:i/>
                  <w:sz w:val="20"/>
                  <w:szCs w:val="20"/>
                  <w:lang w:val="en-US"/>
                </w:rPr>
              </m:ctrlPr>
            </m:sSubPr>
            <m:e>
              <m:r>
                <w:rPr>
                  <w:rFonts w:ascii="Cambria Math" w:hAnsi="Cambria Math" w:cs="Arial"/>
                  <w:sz w:val="20"/>
                  <w:szCs w:val="20"/>
                  <w:lang w:val="en-US"/>
                </w:rPr>
                <m:t>H</m:t>
              </m:r>
            </m:e>
            <m:sub>
              <m:r>
                <w:rPr>
                  <w:rFonts w:ascii="Cambria Math" w:hAnsi="Cambria Math" w:cs="Arial"/>
                  <w:sz w:val="20"/>
                  <w:szCs w:val="20"/>
                  <w:lang w:val="en-US"/>
                </w:rPr>
                <m:t>2</m:t>
              </m:r>
            </m:sub>
          </m:sSub>
        </m:oMath>
      </m:oMathPara>
    </w:p>
    <w:p w14:paraId="05F14D5A"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 xml:space="preserve">The varying biogas quantities across digesters may be due to excessive </w:t>
      </w:r>
      <w:proofErr w:type="spellStart"/>
      <w:r w:rsidRPr="006A4678">
        <w:rPr>
          <w:rFonts w:ascii="Arial" w:hAnsi="Arial" w:cs="Arial"/>
          <w:sz w:val="20"/>
          <w:szCs w:val="20"/>
          <w:lang w:val="en-US"/>
        </w:rPr>
        <w:t>sulphur</w:t>
      </w:r>
      <w:proofErr w:type="spellEnd"/>
      <w:r w:rsidRPr="006A4678">
        <w:rPr>
          <w:rFonts w:ascii="Arial" w:hAnsi="Arial" w:cs="Arial"/>
          <w:sz w:val="20"/>
          <w:szCs w:val="20"/>
          <w:lang w:val="en-US"/>
        </w:rPr>
        <w:t xml:space="preserve"> compounds (&gt;30 mg/Nm³) </w:t>
      </w:r>
      <w:r w:rsidR="00852075">
        <w:rPr>
          <w:rFonts w:ascii="Arial" w:hAnsi="Arial" w:cs="Arial"/>
          <w:sz w:val="20"/>
          <w:szCs w:val="20"/>
          <w:lang w:val="en-US"/>
        </w:rPr>
        <w:fldChar w:fldCharType="begin"/>
      </w:r>
      <w:r w:rsidR="00852075">
        <w:rPr>
          <w:rFonts w:ascii="Arial" w:hAnsi="Arial" w:cs="Arial"/>
          <w:sz w:val="20"/>
          <w:szCs w:val="20"/>
          <w:lang w:val="en-US"/>
        </w:rPr>
        <w:instrText xml:space="preserve"> ADDIN ZOTERO_ITEM CSL_CITATION {"citationID":"exGM8XiJ","properties":{"formattedCitation":"(Gasquet, 2021)","plainCitation":"(Gasquet, 2021)","noteIndex":0},"citationItems":[{"id":966,"uris":["http://zotero.org/users/9694973/items/VKFKBXSZ"],"itemData":{"id":966,"type":"article-journal","language":"fr","source":"Zotero","title":"Epuration d’H2S du biogaz à partir de résidus de traitement thermique bruts et formulés : Comparaison des performances et compréhension des mécanismes d’adsorption. Ecologie, Environnement. Université de Lyon, 2020. Français. NNT:2020LYSEI106. tel03177730","author":[{"family":"Gasquet","given":"Valentine"}],"issued":{"date-parts":[["2021"]]}}}],"schema":"https://github.com/citation-style-language/schema/raw/master/csl-citation.json"} </w:instrText>
      </w:r>
      <w:r w:rsidR="00852075">
        <w:rPr>
          <w:rFonts w:ascii="Arial" w:hAnsi="Arial" w:cs="Arial"/>
          <w:sz w:val="20"/>
          <w:szCs w:val="20"/>
          <w:lang w:val="en-US"/>
        </w:rPr>
        <w:fldChar w:fldCharType="separate"/>
      </w:r>
      <w:r w:rsidR="00852075" w:rsidRPr="0044624A">
        <w:rPr>
          <w:rFonts w:ascii="Arial" w:hAnsi="Arial" w:cs="Arial"/>
          <w:sz w:val="20"/>
          <w:lang w:val="en-US"/>
        </w:rPr>
        <w:t>(Gasquet, 2021)</w:t>
      </w:r>
      <w:r w:rsidR="00852075">
        <w:rPr>
          <w:rFonts w:ascii="Arial" w:hAnsi="Arial" w:cs="Arial"/>
          <w:sz w:val="20"/>
          <w:szCs w:val="20"/>
          <w:lang w:val="en-US"/>
        </w:rPr>
        <w:fldChar w:fldCharType="end"/>
      </w:r>
      <w:r w:rsidRPr="006A4678">
        <w:rPr>
          <w:rFonts w:ascii="Arial" w:hAnsi="Arial" w:cs="Arial"/>
          <w:sz w:val="20"/>
          <w:szCs w:val="20"/>
          <w:lang w:val="en-US"/>
        </w:rPr>
        <w:t xml:space="preserve">, which precipitate iron as </w:t>
      </w:r>
      <w:proofErr w:type="spellStart"/>
      <w:r w:rsidRPr="006A4678">
        <w:rPr>
          <w:rFonts w:ascii="Arial" w:hAnsi="Arial" w:cs="Arial"/>
          <w:sz w:val="20"/>
          <w:szCs w:val="20"/>
          <w:lang w:val="en-US"/>
        </w:rPr>
        <w:t>FeS</w:t>
      </w:r>
      <w:proofErr w:type="spellEnd"/>
      <w:r w:rsidRPr="006A4678">
        <w:rPr>
          <w:rFonts w:ascii="Arial" w:hAnsi="Arial" w:cs="Arial"/>
          <w:sz w:val="20"/>
          <w:szCs w:val="20"/>
          <w:lang w:val="en-US"/>
        </w:rPr>
        <w:t xml:space="preserve"> (reaction 1), reducing its bioavailability, or due to iron toxicity that inhibits microbial activity </w:t>
      </w:r>
      <w:r w:rsidR="00852075">
        <w:rPr>
          <w:rFonts w:ascii="Arial" w:hAnsi="Arial" w:cs="Arial"/>
          <w:sz w:val="20"/>
          <w:szCs w:val="20"/>
          <w:lang w:val="en-US"/>
        </w:rPr>
        <w:fldChar w:fldCharType="begin"/>
      </w:r>
      <w:r w:rsidR="00852075">
        <w:rPr>
          <w:rFonts w:ascii="Arial" w:hAnsi="Arial" w:cs="Arial"/>
          <w:sz w:val="20"/>
          <w:szCs w:val="20"/>
          <w:lang w:val="en-US"/>
        </w:rPr>
        <w:instrText xml:space="preserve"> ADDIN ZOTERO_ITEM CSL_CITATION {"citationID":"s8NPWpzH","properties":{"formattedCitation":"(Liu et al., 2024)","plainCitation":"(Liu et al., 2024)","noteIndex":0},"citationItems":[{"id":987,"uris":["http://zotero.org/users/9694973/items/2S2HWK99"],"itemData":{"id":987,"type":"article-journal","container-title":"Journal of Environmental Sciences","DOI":"10.1016/j.jes.2023.07.040","ISSN":"10010742","journalAbbreviation":"Journal of Environmental Sciences","language":"en","page":"64-74","source":"DOI.org (Crossref)","title":"Enhancing corn stalk-based anaerobic digestion with different types of zero-valent iron added during the acidification stage: Performance and mechanism","title-short":"Enhancing corn stalk-based anaerobic digestion with different types of zero-valent iron added during the acidification stage","URL":"https://linkinghub.elsevier.com/retrieve/pii/S1001074223003455","volume":"145","author":[{"family":"Liu","given":"Xiang"},{"family":"Liu","given":"Yue"},{"family":"Wang","given":"Min"},{"family":"Deng","given":"Qianzhen"},{"family":"Yang","given":"Hao"}],"accessed":{"date-parts":[["2025",2,25]]},"issued":{"date-parts":[["2024",11]]}}}],"schema":"https://github.com/citation-style-language/schema/raw/master/csl-citation.json"} </w:instrText>
      </w:r>
      <w:r w:rsidR="00852075">
        <w:rPr>
          <w:rFonts w:ascii="Arial" w:hAnsi="Arial" w:cs="Arial"/>
          <w:sz w:val="20"/>
          <w:szCs w:val="20"/>
          <w:lang w:val="en-US"/>
        </w:rPr>
        <w:fldChar w:fldCharType="separate"/>
      </w:r>
      <w:r w:rsidR="00852075" w:rsidRPr="0044624A">
        <w:rPr>
          <w:rFonts w:ascii="Arial" w:hAnsi="Arial" w:cs="Arial"/>
          <w:sz w:val="20"/>
          <w:lang w:val="en-US"/>
        </w:rPr>
        <w:t>(Liu et al., 2024)</w:t>
      </w:r>
      <w:r w:rsidR="00852075">
        <w:rPr>
          <w:rFonts w:ascii="Arial" w:hAnsi="Arial" w:cs="Arial"/>
          <w:sz w:val="20"/>
          <w:szCs w:val="20"/>
          <w:lang w:val="en-US"/>
        </w:rPr>
        <w:fldChar w:fldCharType="end"/>
      </w:r>
      <w:r w:rsidRPr="006A4678">
        <w:rPr>
          <w:rFonts w:ascii="Arial" w:hAnsi="Arial" w:cs="Arial"/>
          <w:sz w:val="20"/>
          <w:szCs w:val="20"/>
          <w:lang w:val="en-US"/>
        </w:rPr>
        <w:t>. Additionally, the variability in purified biogas quantities can be linked to differing levels of carbon dioxide generated in each digester.</w:t>
      </w:r>
    </w:p>
    <w:p w14:paraId="15313B62"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The reversal in purified biogas output between co-digestion digesters and the control may be attributed to lower carbon dioxide production in the co-digestion digesters. Removal of CO</w:t>
      </w:r>
      <w:r w:rsidRPr="006A4678">
        <w:rPr>
          <w:rFonts w:ascii="Cambria Math" w:hAnsi="Cambria Math" w:cs="Cambria Math"/>
          <w:sz w:val="20"/>
          <w:szCs w:val="20"/>
          <w:lang w:val="en-US"/>
        </w:rPr>
        <w:t>₂</w:t>
      </w:r>
      <w:r w:rsidRPr="006A4678">
        <w:rPr>
          <w:rFonts w:ascii="Arial" w:hAnsi="Arial" w:cs="Arial"/>
          <w:sz w:val="20"/>
          <w:szCs w:val="20"/>
          <w:lang w:val="en-US"/>
        </w:rPr>
        <w:t xml:space="preserve"> via potassium hydroxide results in higher purified biogas yields in co-digestion systems, and a decline in the control.</w:t>
      </w:r>
    </w:p>
    <w:p w14:paraId="1CBFCF3C"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 xml:space="preserve">Improved biogas production in the presence of iron filings has been corroborated by several studies, including </w:t>
      </w:r>
      <w:r w:rsidR="00852075">
        <w:rPr>
          <w:rFonts w:ascii="Arial" w:hAnsi="Arial" w:cs="Arial"/>
          <w:sz w:val="20"/>
          <w:szCs w:val="20"/>
          <w:lang w:val="en-US"/>
        </w:rPr>
        <w:fldChar w:fldCharType="begin"/>
      </w:r>
      <w:r w:rsidR="00852075">
        <w:rPr>
          <w:rFonts w:ascii="Arial" w:hAnsi="Arial" w:cs="Arial"/>
          <w:sz w:val="20"/>
          <w:szCs w:val="20"/>
          <w:lang w:val="en-US"/>
        </w:rPr>
        <w:instrText xml:space="preserve"> ADDIN ZOTERO_ITEM CSL_CITATION {"citationID":"Vl2EcCh7","properties":{"formattedCitation":"(Agani et al., 2016)","plainCitation":"(Agani et al., 2016)","noteIndex":0},"citationItems":[{"id":66,"uris":["http://zotero.org/users/9694973/items/JIDTFDWG"],"itemData":{"id":66,"type":"article-journal","container-title":"American Journal of Environmental Protection","DOI":"10.11648/j.ajep.20160506.15","ISSN":"2328-5680","issue":"6","journalAbbreviation":"AJEP","language":"en","page":"179","source":"DOI.org (Crossref)","title":"Enhancement of Fecal Sludge Conversion Into Biogas Using Iron Powder During Anaerobic Digestion Process","URL":"http://www.sciencepublishinggroup.com/journal/paperinfo?journalid=163&amp;doi=10.11648/j.ajep.20160506.15","volume":"5","author":[{"family":"Agani","given":"Chabi Ignace"},{"family":"Fidèle Suanon, Biaou Dimon","given":""},{"family":"Edouard Binessi Ifon, Frank Yovo","given":""},{"family":"Valentin Dieudonné Wotto, Olusegun Kazeem Abass","given":""},{"family":"Mathieu Nsenga Kumwimba","given":""}],"accessed":{"date-parts":[["2022",7,19]]},"issued":{"date-parts":[["2016"]]}}}],"schema":"https://github.com/citation-style-language/schema/raw/master/csl-citation.json"} </w:instrText>
      </w:r>
      <w:r w:rsidR="00852075">
        <w:rPr>
          <w:rFonts w:ascii="Arial" w:hAnsi="Arial" w:cs="Arial"/>
          <w:sz w:val="20"/>
          <w:szCs w:val="20"/>
          <w:lang w:val="en-US"/>
        </w:rPr>
        <w:fldChar w:fldCharType="separate"/>
      </w:r>
      <w:r w:rsidR="00852075" w:rsidRPr="0044624A">
        <w:rPr>
          <w:rFonts w:ascii="Arial" w:hAnsi="Arial" w:cs="Arial"/>
          <w:sz w:val="20"/>
          <w:lang w:val="en-US"/>
        </w:rPr>
        <w:t>Agani et al., (2016)</w:t>
      </w:r>
      <w:r w:rsidR="00852075">
        <w:rPr>
          <w:rFonts w:ascii="Arial" w:hAnsi="Arial" w:cs="Arial"/>
          <w:sz w:val="20"/>
          <w:szCs w:val="20"/>
          <w:lang w:val="en-US"/>
        </w:rPr>
        <w:fldChar w:fldCharType="end"/>
      </w:r>
      <w:r w:rsidRPr="006A4678">
        <w:rPr>
          <w:rFonts w:ascii="Arial" w:hAnsi="Arial" w:cs="Arial"/>
          <w:sz w:val="20"/>
          <w:szCs w:val="20"/>
          <w:lang w:val="en-US"/>
        </w:rPr>
        <w:t xml:space="preserve"> on fresh </w:t>
      </w:r>
      <w:proofErr w:type="spellStart"/>
      <w:r w:rsidRPr="006A4678">
        <w:rPr>
          <w:rFonts w:ascii="Arial" w:hAnsi="Arial" w:cs="Arial"/>
          <w:sz w:val="20"/>
          <w:szCs w:val="20"/>
          <w:lang w:val="en-US"/>
        </w:rPr>
        <w:t>faecal</w:t>
      </w:r>
      <w:proofErr w:type="spellEnd"/>
      <w:r w:rsidRPr="006A4678">
        <w:rPr>
          <w:rFonts w:ascii="Arial" w:hAnsi="Arial" w:cs="Arial"/>
          <w:sz w:val="20"/>
          <w:szCs w:val="20"/>
          <w:lang w:val="en-US"/>
        </w:rPr>
        <w:t xml:space="preserve"> sludge, and </w:t>
      </w:r>
      <w:r w:rsidR="00852075">
        <w:rPr>
          <w:rFonts w:ascii="Arial" w:hAnsi="Arial" w:cs="Arial"/>
          <w:sz w:val="20"/>
          <w:szCs w:val="20"/>
          <w:lang w:val="en-US"/>
        </w:rPr>
        <w:fldChar w:fldCharType="begin"/>
      </w:r>
      <w:r w:rsidR="00852075">
        <w:rPr>
          <w:rFonts w:ascii="Arial" w:hAnsi="Arial" w:cs="Arial"/>
          <w:sz w:val="20"/>
          <w:szCs w:val="20"/>
          <w:lang w:val="en-US"/>
        </w:rPr>
        <w:instrText xml:space="preserve"> ADDIN ZOTERO_ITEM CSL_CITATION {"citationID":"J3UDoDO9","properties":{"formattedCitation":"(Zhang et al., 2014)","plainCitation":"(Zhang et al., 2014)","noteIndex":0},"citationItems":[{"id":981,"uris":["http://zotero.org/users/9694973/items/T9YVR6J2"],"itemData":{"id":981,"type":"article-journal","container-title":"Bioresource Technology","DOI":"10.1016/j.biortech.2014.02.114","ISSN":"09608524","journalAbbreviation":"Bioresource Technology","language":"en","page":"297-304","source":"DOI.org (Crossref)","title":"Enhanced high-solids anaerobic digestion of waste activated sludge by the addition of scrap iron","URL":"https://linkinghub.elsevier.com/retrieve/pii/S0960852414002855","volume":"159","author":[{"family":"Zhang","given":"Yaobin"},{"family":"Feng","given":"Yinghong"},{"family":"Yu","given":"Qilin"},{"family":"Xu","given":"Zibin"},{"family":"Quan","given":"Xie"}],"accessed":{"date-parts":[["2025",2,24]]},"issued":{"date-parts":[["2014",5]]}}}],"schema":"https://github.com/citation-style-language/schema/raw/master/csl-citation.json"} </w:instrText>
      </w:r>
      <w:r w:rsidR="00852075">
        <w:rPr>
          <w:rFonts w:ascii="Arial" w:hAnsi="Arial" w:cs="Arial"/>
          <w:sz w:val="20"/>
          <w:szCs w:val="20"/>
          <w:lang w:val="en-US"/>
        </w:rPr>
        <w:fldChar w:fldCharType="separate"/>
      </w:r>
      <w:r w:rsidR="00852075" w:rsidRPr="0044624A">
        <w:rPr>
          <w:rFonts w:ascii="Arial" w:hAnsi="Arial" w:cs="Arial"/>
          <w:sz w:val="20"/>
          <w:lang w:val="en-US"/>
        </w:rPr>
        <w:t>Zhang et al., (2014)</w:t>
      </w:r>
      <w:r w:rsidR="00852075">
        <w:rPr>
          <w:rFonts w:ascii="Arial" w:hAnsi="Arial" w:cs="Arial"/>
          <w:sz w:val="20"/>
          <w:szCs w:val="20"/>
          <w:lang w:val="en-US"/>
        </w:rPr>
        <w:fldChar w:fldCharType="end"/>
      </w:r>
      <w:r w:rsidRPr="006A4678">
        <w:rPr>
          <w:rFonts w:ascii="Arial" w:hAnsi="Arial" w:cs="Arial"/>
          <w:sz w:val="20"/>
          <w:szCs w:val="20"/>
          <w:lang w:val="en-US"/>
        </w:rPr>
        <w:t xml:space="preserve"> on activated sludge.</w:t>
      </w:r>
    </w:p>
    <w:p w14:paraId="057DDFDB"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lastRenderedPageBreak/>
        <w:t xml:space="preserve">As noted by </w:t>
      </w:r>
      <w:r w:rsidR="00852075">
        <w:rPr>
          <w:rFonts w:ascii="Arial" w:hAnsi="Arial" w:cs="Arial"/>
          <w:sz w:val="20"/>
          <w:szCs w:val="20"/>
          <w:lang w:val="en-US"/>
        </w:rPr>
        <w:fldChar w:fldCharType="begin"/>
      </w:r>
      <w:r w:rsidR="00852075">
        <w:rPr>
          <w:rFonts w:ascii="Arial" w:hAnsi="Arial" w:cs="Arial"/>
          <w:sz w:val="20"/>
          <w:szCs w:val="20"/>
          <w:lang w:val="en-US"/>
        </w:rPr>
        <w:instrText xml:space="preserve"> ADDIN ZOTERO_ITEM CSL_CITATION {"citationID":"bghS5dfl","properties":{"formattedCitation":"(Togbe, 2009)","plainCitation":"(Togbe, 2009)","noteIndex":0},"citationItems":[{"id":760,"uris":["http://zotero.org/users/9694973/items/UMCTRMIN"],"itemData":{"id":760,"type":"thesis","event-place":"Bénin","genre":"Mémoire de thèse","publisher":"Université d'Abomey-Calavi","publisher-place":"Bénin","title":"Optimisation de la production et de l’utilisation du biogaz au centre songhaï","author":[{"family":"Togbe","given":"Yewadan Eutychus J-O Amal"}],"issued":{"date-parts":[["2009"]]}}}],"schema":"https://github.com/citation-style-language/schema/raw/master/csl-citation.json"} </w:instrText>
      </w:r>
      <w:r w:rsidR="00852075">
        <w:rPr>
          <w:rFonts w:ascii="Arial" w:hAnsi="Arial" w:cs="Arial"/>
          <w:sz w:val="20"/>
          <w:szCs w:val="20"/>
          <w:lang w:val="en-US"/>
        </w:rPr>
        <w:fldChar w:fldCharType="separate"/>
      </w:r>
      <w:r w:rsidR="00852075" w:rsidRPr="0044624A">
        <w:rPr>
          <w:rFonts w:ascii="Arial" w:hAnsi="Arial" w:cs="Arial"/>
          <w:sz w:val="20"/>
          <w:lang w:val="en-US"/>
        </w:rPr>
        <w:t>Togbe, (2009)</w:t>
      </w:r>
      <w:r w:rsidR="00852075">
        <w:rPr>
          <w:rFonts w:ascii="Arial" w:hAnsi="Arial" w:cs="Arial"/>
          <w:sz w:val="20"/>
          <w:szCs w:val="20"/>
          <w:lang w:val="en-US"/>
        </w:rPr>
        <w:fldChar w:fldCharType="end"/>
      </w:r>
      <w:r w:rsidRPr="006A4678">
        <w:rPr>
          <w:rFonts w:ascii="Arial" w:hAnsi="Arial" w:cs="Arial"/>
          <w:sz w:val="20"/>
          <w:szCs w:val="20"/>
          <w:lang w:val="en-US"/>
        </w:rPr>
        <w:t>, dihydrogen produced through the reaction of iron filings with H</w:t>
      </w:r>
      <w:r w:rsidRPr="006A4678">
        <w:rPr>
          <w:rFonts w:ascii="Cambria Math" w:hAnsi="Cambria Math" w:cs="Cambria Math"/>
          <w:sz w:val="20"/>
          <w:szCs w:val="20"/>
          <w:lang w:val="en-US"/>
        </w:rPr>
        <w:t>₂</w:t>
      </w:r>
      <w:r w:rsidRPr="006A4678">
        <w:rPr>
          <w:rFonts w:ascii="Arial" w:hAnsi="Arial" w:cs="Arial"/>
          <w:sz w:val="20"/>
          <w:szCs w:val="20"/>
          <w:lang w:val="en-US"/>
        </w:rPr>
        <w:t>S may also reduce CO</w:t>
      </w:r>
      <w:r w:rsidRPr="006A4678">
        <w:rPr>
          <w:rFonts w:ascii="Cambria Math" w:hAnsi="Cambria Math" w:cs="Cambria Math"/>
          <w:sz w:val="20"/>
          <w:szCs w:val="20"/>
          <w:lang w:val="en-US"/>
        </w:rPr>
        <w:t>₂</w:t>
      </w:r>
      <w:r w:rsidRPr="006A4678">
        <w:rPr>
          <w:rFonts w:ascii="Arial" w:hAnsi="Arial" w:cs="Arial"/>
          <w:sz w:val="20"/>
          <w:szCs w:val="20"/>
          <w:lang w:val="en-US"/>
        </w:rPr>
        <w:t xml:space="preserve"> under cert</w:t>
      </w:r>
      <w:r w:rsidR="00852075">
        <w:rPr>
          <w:rFonts w:ascii="Arial" w:hAnsi="Arial" w:cs="Arial"/>
          <w:sz w:val="20"/>
          <w:szCs w:val="20"/>
          <w:lang w:val="en-US"/>
        </w:rPr>
        <w:t>ain conditions via reaction (2)</w:t>
      </w:r>
      <w:r w:rsidRPr="006A4678">
        <w:rPr>
          <w:rFonts w:ascii="Arial" w:hAnsi="Arial" w:cs="Arial"/>
          <w:sz w:val="20"/>
          <w:szCs w:val="20"/>
          <w:lang w:val="en-US"/>
        </w:rPr>
        <w:t>. Furthermore, excess iron filings may directly react with CO</w:t>
      </w:r>
      <w:r w:rsidRPr="006A4678">
        <w:rPr>
          <w:rFonts w:ascii="Cambria Math" w:hAnsi="Cambria Math" w:cs="Cambria Math"/>
          <w:sz w:val="20"/>
          <w:szCs w:val="20"/>
          <w:lang w:val="en-US"/>
        </w:rPr>
        <w:t>₂</w:t>
      </w:r>
      <w:r w:rsidRPr="006A4678">
        <w:rPr>
          <w:rFonts w:ascii="Arial" w:hAnsi="Arial" w:cs="Arial"/>
          <w:sz w:val="20"/>
          <w:szCs w:val="20"/>
          <w:lang w:val="en-US"/>
        </w:rPr>
        <w:t>, thereby increasing methane production and reducing carbon dioxide content</w:t>
      </w:r>
      <w:r w:rsidR="00CD7C15">
        <w:rPr>
          <w:rFonts w:ascii="Arial" w:hAnsi="Arial" w:cs="Arial"/>
          <w:sz w:val="20"/>
          <w:szCs w:val="20"/>
          <w:lang w:val="en-US"/>
        </w:rPr>
        <w:t xml:space="preserve"> (reaction 3</w:t>
      </w:r>
      <w:proofErr w:type="gramStart"/>
      <w:r w:rsidR="00CD7C15">
        <w:rPr>
          <w:rFonts w:ascii="Arial" w:hAnsi="Arial" w:cs="Arial"/>
          <w:sz w:val="20"/>
          <w:szCs w:val="20"/>
          <w:lang w:val="en-US"/>
        </w:rPr>
        <w:t xml:space="preserve">) </w:t>
      </w:r>
      <w:r w:rsidRPr="006A4678">
        <w:rPr>
          <w:rFonts w:ascii="Arial" w:hAnsi="Arial" w:cs="Arial"/>
          <w:sz w:val="20"/>
          <w:szCs w:val="20"/>
          <w:lang w:val="en-US"/>
        </w:rPr>
        <w:t>:</w:t>
      </w:r>
      <w:proofErr w:type="gramEnd"/>
    </w:p>
    <w:p w14:paraId="49018ABB" w14:textId="77777777" w:rsidR="00182FF4" w:rsidRPr="00CD7C15" w:rsidRDefault="007B02D1" w:rsidP="00182FF4">
      <w:pPr>
        <w:spacing w:after="0" w:line="360" w:lineRule="auto"/>
        <w:jc w:val="both"/>
        <w:rPr>
          <w:rFonts w:ascii="Arial" w:eastAsiaTheme="minorEastAsia" w:hAnsi="Arial" w:cs="Arial"/>
          <w:sz w:val="20"/>
          <w:szCs w:val="20"/>
          <w:lang w:val="en-US"/>
        </w:rPr>
      </w:pPr>
      <m:oMathPara>
        <m:oMath>
          <m:sSub>
            <m:sSubPr>
              <m:ctrlPr>
                <w:rPr>
                  <w:rFonts w:ascii="Cambria Math" w:hAnsi="Cambria Math" w:cs="Arial"/>
                  <w:i/>
                  <w:sz w:val="20"/>
                  <w:szCs w:val="20"/>
                  <w:lang w:val="en-US"/>
                </w:rPr>
              </m:ctrlPr>
            </m:sSubPr>
            <m:e>
              <m:r>
                <w:rPr>
                  <w:rFonts w:ascii="Cambria Math" w:hAnsi="Cambria Math" w:cs="Arial"/>
                  <w:sz w:val="20"/>
                  <w:szCs w:val="20"/>
                  <w:lang w:val="en-US"/>
                </w:rPr>
                <m:t>CO</m:t>
              </m:r>
            </m:e>
            <m:sub>
              <m:r>
                <w:rPr>
                  <w:rFonts w:ascii="Cambria Math" w:hAnsi="Cambria Math" w:cs="Arial"/>
                  <w:sz w:val="20"/>
                  <w:szCs w:val="20"/>
                  <w:lang w:val="en-US"/>
                </w:rPr>
                <m:t>2</m:t>
              </m:r>
            </m:sub>
          </m:sSub>
          <m:r>
            <w:rPr>
              <w:rFonts w:ascii="Cambria Math" w:hAnsi="Cambria Math" w:cs="Arial"/>
              <w:sz w:val="20"/>
              <w:szCs w:val="20"/>
              <w:lang w:val="en-US"/>
            </w:rPr>
            <m:t>+4</m:t>
          </m:r>
          <m:sSub>
            <m:sSubPr>
              <m:ctrlPr>
                <w:rPr>
                  <w:rFonts w:ascii="Cambria Math" w:hAnsi="Cambria Math" w:cs="Arial"/>
                  <w:i/>
                  <w:sz w:val="20"/>
                  <w:szCs w:val="20"/>
                  <w:lang w:val="en-US"/>
                </w:rPr>
              </m:ctrlPr>
            </m:sSubPr>
            <m:e>
              <m:r>
                <w:rPr>
                  <w:rFonts w:ascii="Cambria Math" w:hAnsi="Cambria Math" w:cs="Arial"/>
                  <w:sz w:val="20"/>
                  <w:szCs w:val="20"/>
                  <w:lang w:val="en-US"/>
                </w:rPr>
                <m:t>H</m:t>
              </m:r>
            </m:e>
            <m:sub>
              <m:r>
                <w:rPr>
                  <w:rFonts w:ascii="Cambria Math" w:hAnsi="Cambria Math" w:cs="Arial"/>
                  <w:sz w:val="20"/>
                  <w:szCs w:val="20"/>
                  <w:lang w:val="en-US"/>
                </w:rPr>
                <m:t>2</m:t>
              </m:r>
            </m:sub>
          </m:sSub>
          <m:box>
            <m:boxPr>
              <m:opEmu m:val="1"/>
              <m:ctrlPr>
                <w:rPr>
                  <w:rFonts w:ascii="Cambria Math" w:hAnsi="Cambria Math" w:cs="Arial"/>
                  <w:i/>
                  <w:sz w:val="20"/>
                  <w:szCs w:val="20"/>
                  <w:lang w:val="en-US"/>
                </w:rPr>
              </m:ctrlPr>
            </m:boxPr>
            <m:e>
              <m:groupChr>
                <m:groupChrPr>
                  <m:chr m:val="→"/>
                  <m:vertJc m:val="bot"/>
                  <m:ctrlPr>
                    <w:rPr>
                      <w:rFonts w:ascii="Cambria Math" w:hAnsi="Cambria Math" w:cs="Arial"/>
                      <w:i/>
                      <w:sz w:val="20"/>
                      <w:szCs w:val="20"/>
                      <w:lang w:val="en-US"/>
                    </w:rPr>
                  </m:ctrlPr>
                </m:groupChrPr>
                <m:e>
                  <m:r>
                    <w:rPr>
                      <w:rFonts w:ascii="Cambria Math" w:hAnsi="Cambria Math" w:cs="Arial"/>
                      <w:sz w:val="20"/>
                      <w:szCs w:val="20"/>
                      <w:lang w:val="en-US"/>
                    </w:rPr>
                    <m:t xml:space="preserve">                   </m:t>
                  </m:r>
                </m:e>
              </m:groupChr>
            </m:e>
          </m:box>
          <m:sSub>
            <m:sSubPr>
              <m:ctrlPr>
                <w:rPr>
                  <w:rFonts w:ascii="Cambria Math" w:hAnsi="Cambria Math" w:cs="Arial"/>
                  <w:i/>
                  <w:sz w:val="20"/>
                  <w:szCs w:val="20"/>
                  <w:lang w:val="en-US"/>
                </w:rPr>
              </m:ctrlPr>
            </m:sSubPr>
            <m:e>
              <m:r>
                <w:rPr>
                  <w:rFonts w:ascii="Cambria Math" w:hAnsi="Cambria Math" w:cs="Arial"/>
                  <w:sz w:val="20"/>
                  <w:szCs w:val="20"/>
                  <w:lang w:val="en-US"/>
                </w:rPr>
                <m:t>CH</m:t>
              </m:r>
            </m:e>
            <m:sub>
              <m:r>
                <w:rPr>
                  <w:rFonts w:ascii="Cambria Math" w:hAnsi="Cambria Math" w:cs="Arial"/>
                  <w:sz w:val="20"/>
                  <w:szCs w:val="20"/>
                  <w:lang w:val="en-US"/>
                </w:rPr>
                <m:t>4</m:t>
              </m:r>
            </m:sub>
          </m:sSub>
          <m:r>
            <w:rPr>
              <w:rFonts w:ascii="Cambria Math" w:hAnsi="Cambria Math" w:cs="Arial"/>
              <w:sz w:val="20"/>
              <w:szCs w:val="20"/>
              <w:lang w:val="en-US"/>
            </w:rPr>
            <m:t>+2</m:t>
          </m:r>
          <m:sSub>
            <m:sSubPr>
              <m:ctrlPr>
                <w:rPr>
                  <w:rFonts w:ascii="Cambria Math" w:hAnsi="Cambria Math" w:cs="Arial"/>
                  <w:i/>
                  <w:sz w:val="20"/>
                  <w:szCs w:val="20"/>
                  <w:lang w:val="en-US"/>
                </w:rPr>
              </m:ctrlPr>
            </m:sSubPr>
            <m:e>
              <m:r>
                <w:rPr>
                  <w:rFonts w:ascii="Cambria Math" w:hAnsi="Cambria Math" w:cs="Arial"/>
                  <w:sz w:val="20"/>
                  <w:szCs w:val="20"/>
                  <w:lang w:val="en-US"/>
                </w:rPr>
                <m:t>H</m:t>
              </m:r>
            </m:e>
            <m:sub>
              <m:r>
                <w:rPr>
                  <w:rFonts w:ascii="Cambria Math" w:hAnsi="Cambria Math" w:cs="Arial"/>
                  <w:sz w:val="20"/>
                  <w:szCs w:val="20"/>
                  <w:lang w:val="en-US"/>
                </w:rPr>
                <m:t>2</m:t>
              </m:r>
            </m:sub>
          </m:sSub>
          <m:r>
            <w:rPr>
              <w:rFonts w:ascii="Cambria Math" w:hAnsi="Cambria Math" w:cs="Arial"/>
              <w:sz w:val="20"/>
              <w:szCs w:val="20"/>
              <w:lang w:val="en-US"/>
            </w:rPr>
            <m:t>O</m:t>
          </m:r>
          <m:r>
            <w:rPr>
              <w:rFonts w:ascii="Cambria Math" w:eastAsiaTheme="minorEastAsia" w:hAnsi="Cambria Math" w:cs="Arial"/>
              <w:sz w:val="20"/>
              <w:szCs w:val="20"/>
              <w:lang w:val="en-US"/>
            </w:rPr>
            <m:t xml:space="preserve">     (2)</m:t>
          </m:r>
        </m:oMath>
      </m:oMathPara>
    </w:p>
    <w:p w14:paraId="5B340E49" w14:textId="77777777" w:rsidR="00CD7C15" w:rsidRPr="00CD7C15" w:rsidRDefault="007B02D1" w:rsidP="00182FF4">
      <w:pPr>
        <w:spacing w:after="0" w:line="360" w:lineRule="auto"/>
        <w:jc w:val="both"/>
        <w:rPr>
          <w:rFonts w:ascii="Arial" w:eastAsiaTheme="minorEastAsia" w:hAnsi="Arial" w:cs="Arial"/>
          <w:sz w:val="20"/>
          <w:szCs w:val="20"/>
          <w:lang w:val="en-US"/>
        </w:rPr>
      </w:pPr>
      <m:oMathPara>
        <m:oMath>
          <m:sSup>
            <m:sSupPr>
              <m:ctrlPr>
                <w:rPr>
                  <w:rFonts w:ascii="Cambria Math" w:eastAsiaTheme="minorEastAsia" w:hAnsi="Cambria Math" w:cs="Arial"/>
                  <w:i/>
                  <w:sz w:val="20"/>
                  <w:szCs w:val="20"/>
                  <w:lang w:val="en-US"/>
                </w:rPr>
              </m:ctrlPr>
            </m:sSupPr>
            <m:e>
              <m:r>
                <w:rPr>
                  <w:rFonts w:ascii="Cambria Math" w:eastAsiaTheme="minorEastAsia" w:hAnsi="Cambria Math" w:cs="Arial"/>
                  <w:sz w:val="20"/>
                  <w:szCs w:val="20"/>
                  <w:lang w:val="en-US"/>
                </w:rPr>
                <m:t>8</m:t>
              </m:r>
              <m:r>
                <w:rPr>
                  <w:rFonts w:ascii="Cambria Math" w:eastAsiaTheme="minorEastAsia" w:hAnsi="Cambria Math" w:cs="Arial"/>
                  <w:sz w:val="20"/>
                  <w:szCs w:val="20"/>
                  <w:lang w:val="en-US"/>
                </w:rPr>
                <m:t>H</m:t>
              </m:r>
            </m:e>
            <m:sup>
              <m:r>
                <w:rPr>
                  <w:rFonts w:ascii="Cambria Math" w:eastAsiaTheme="minorEastAsia" w:hAnsi="Cambria Math" w:cs="Arial"/>
                  <w:sz w:val="20"/>
                  <w:szCs w:val="20"/>
                  <w:lang w:val="en-US"/>
                </w:rPr>
                <m:t>+</m:t>
              </m:r>
            </m:sup>
          </m:sSup>
          <m:r>
            <w:rPr>
              <w:rFonts w:ascii="Cambria Math" w:eastAsiaTheme="minorEastAsia" w:hAnsi="Cambria Math" w:cs="Arial"/>
              <w:sz w:val="20"/>
              <w:szCs w:val="20"/>
              <w:lang w:val="en-US"/>
            </w:rPr>
            <m:t>+</m:t>
          </m:r>
          <m:sSup>
            <m:sSupPr>
              <m:ctrlPr>
                <w:rPr>
                  <w:rFonts w:ascii="Cambria Math" w:eastAsiaTheme="minorEastAsia" w:hAnsi="Cambria Math" w:cs="Arial"/>
                  <w:i/>
                  <w:sz w:val="20"/>
                  <w:szCs w:val="20"/>
                  <w:lang w:val="en-US"/>
                </w:rPr>
              </m:ctrlPr>
            </m:sSupPr>
            <m:e>
              <m:r>
                <w:rPr>
                  <w:rFonts w:ascii="Cambria Math" w:eastAsiaTheme="minorEastAsia" w:hAnsi="Cambria Math" w:cs="Arial"/>
                  <w:sz w:val="20"/>
                  <w:szCs w:val="20"/>
                  <w:lang w:val="en-US"/>
                </w:rPr>
                <m:t>4</m:t>
              </m:r>
              <m:r>
                <w:rPr>
                  <w:rFonts w:ascii="Cambria Math" w:eastAsiaTheme="minorEastAsia" w:hAnsi="Cambria Math" w:cs="Arial"/>
                  <w:sz w:val="20"/>
                  <w:szCs w:val="20"/>
                  <w:lang w:val="en-US"/>
                </w:rPr>
                <m:t>Fe</m:t>
              </m:r>
            </m:e>
            <m:sup>
              <m:r>
                <w:rPr>
                  <w:rFonts w:ascii="Cambria Math" w:eastAsiaTheme="minorEastAsia" w:hAnsi="Cambria Math" w:cs="Arial"/>
                  <w:sz w:val="20"/>
                  <w:szCs w:val="20"/>
                  <w:lang w:val="en-US"/>
                </w:rPr>
                <m:t>0</m:t>
              </m:r>
            </m:sup>
          </m:sSup>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CO</m:t>
              </m:r>
            </m:e>
            <m:sub>
              <m:r>
                <w:rPr>
                  <w:rFonts w:ascii="Cambria Math" w:eastAsiaTheme="minorEastAsia" w:hAnsi="Cambria Math" w:cs="Arial"/>
                  <w:sz w:val="20"/>
                  <w:szCs w:val="20"/>
                  <w:lang w:val="en-US"/>
                </w:rPr>
                <m:t>2</m:t>
              </m:r>
            </m:sub>
          </m:sSub>
          <m:box>
            <m:boxPr>
              <m:opEmu m:val="1"/>
              <m:ctrlPr>
                <w:rPr>
                  <w:rFonts w:ascii="Cambria Math" w:eastAsiaTheme="minorEastAsia" w:hAnsi="Cambria Math" w:cs="Arial"/>
                  <w:i/>
                  <w:sz w:val="20"/>
                  <w:szCs w:val="20"/>
                  <w:lang w:val="en-US"/>
                </w:rPr>
              </m:ctrlPr>
            </m:boxPr>
            <m:e>
              <m:groupChr>
                <m:groupChrPr>
                  <m:chr m:val="→"/>
                  <m:vertJc m:val="bot"/>
                  <m:ctrlPr>
                    <w:rPr>
                      <w:rFonts w:ascii="Cambria Math" w:eastAsiaTheme="minorEastAsia" w:hAnsi="Cambria Math" w:cs="Arial"/>
                      <w:i/>
                      <w:sz w:val="20"/>
                      <w:szCs w:val="20"/>
                      <w:lang w:val="en-US"/>
                    </w:rPr>
                  </m:ctrlPr>
                </m:groupChrPr>
                <m:e>
                  <m:r>
                    <w:rPr>
                      <w:rFonts w:ascii="Cambria Math" w:eastAsiaTheme="minorEastAsia" w:hAnsi="Cambria Math" w:cs="Arial"/>
                      <w:sz w:val="20"/>
                      <w:szCs w:val="20"/>
                      <w:lang w:val="en-US"/>
                    </w:rPr>
                    <m:t xml:space="preserve">                  </m:t>
                  </m:r>
                </m:e>
              </m:groupChr>
            </m:e>
          </m:box>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CH</m:t>
              </m:r>
            </m:e>
            <m:sub>
              <m:r>
                <w:rPr>
                  <w:rFonts w:ascii="Cambria Math" w:eastAsiaTheme="minorEastAsia" w:hAnsi="Cambria Math" w:cs="Arial"/>
                  <w:sz w:val="20"/>
                  <w:szCs w:val="20"/>
                  <w:lang w:val="en-US"/>
                </w:rPr>
                <m:t>4</m:t>
              </m:r>
            </m:sub>
          </m:sSub>
          <m:r>
            <w:rPr>
              <w:rFonts w:ascii="Cambria Math" w:eastAsiaTheme="minorEastAsia" w:hAnsi="Cambria Math" w:cs="Arial"/>
              <w:sz w:val="20"/>
              <w:szCs w:val="20"/>
              <w:lang w:val="en-US"/>
            </w:rPr>
            <m:t>+</m:t>
          </m:r>
          <m:sSup>
            <m:sSupPr>
              <m:ctrlPr>
                <w:rPr>
                  <w:rFonts w:ascii="Cambria Math" w:eastAsiaTheme="minorEastAsia" w:hAnsi="Cambria Math" w:cs="Arial"/>
                  <w:i/>
                  <w:sz w:val="20"/>
                  <w:szCs w:val="20"/>
                  <w:lang w:val="en-US"/>
                </w:rPr>
              </m:ctrlPr>
            </m:sSupPr>
            <m:e>
              <m:r>
                <w:rPr>
                  <w:rFonts w:ascii="Cambria Math" w:eastAsiaTheme="minorEastAsia" w:hAnsi="Cambria Math" w:cs="Arial"/>
                  <w:sz w:val="20"/>
                  <w:szCs w:val="20"/>
                  <w:lang w:val="en-US"/>
                </w:rPr>
                <m:t>4</m:t>
              </m:r>
              <m:r>
                <w:rPr>
                  <w:rFonts w:ascii="Cambria Math" w:eastAsiaTheme="minorEastAsia" w:hAnsi="Cambria Math" w:cs="Arial"/>
                  <w:sz w:val="20"/>
                  <w:szCs w:val="20"/>
                  <w:lang w:val="en-US"/>
                </w:rPr>
                <m:t>Fe</m:t>
              </m:r>
            </m:e>
            <m:sup>
              <m:r>
                <w:rPr>
                  <w:rFonts w:ascii="Cambria Math" w:eastAsiaTheme="minorEastAsia" w:hAnsi="Cambria Math" w:cs="Arial"/>
                  <w:sz w:val="20"/>
                  <w:szCs w:val="20"/>
                  <w:lang w:val="en-US"/>
                </w:rPr>
                <m:t>2+</m:t>
              </m:r>
            </m:sup>
          </m:sSup>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H</m:t>
              </m:r>
            </m:e>
            <m:sub>
              <m:r>
                <w:rPr>
                  <w:rFonts w:ascii="Cambria Math" w:eastAsiaTheme="minorEastAsia" w:hAnsi="Cambria Math" w:cs="Arial"/>
                  <w:sz w:val="20"/>
                  <w:szCs w:val="20"/>
                  <w:lang w:val="en-US"/>
                </w:rPr>
                <m:t>2</m:t>
              </m:r>
            </m:sub>
          </m:sSub>
          <m:r>
            <w:rPr>
              <w:rFonts w:ascii="Cambria Math" w:eastAsiaTheme="minorEastAsia" w:hAnsi="Cambria Math" w:cs="Arial"/>
              <w:sz w:val="20"/>
              <w:szCs w:val="20"/>
              <w:lang w:val="en-US"/>
            </w:rPr>
            <m:t>O</m:t>
          </m:r>
          <m:r>
            <w:rPr>
              <w:rFonts w:ascii="Cambria Math" w:eastAsiaTheme="minorEastAsia" w:hAnsi="Cambria Math" w:cs="Arial"/>
              <w:sz w:val="20"/>
              <w:szCs w:val="20"/>
              <w:lang w:val="en-US"/>
            </w:rPr>
            <m:t xml:space="preserve">       </m:t>
          </m:r>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3</m:t>
              </m:r>
            </m:e>
          </m:d>
          <m:r>
            <w:rPr>
              <w:rFonts w:ascii="Cambria Math" w:eastAsiaTheme="minorEastAsia" w:hAnsi="Cambria Math" w:cs="Arial"/>
              <w:sz w:val="20"/>
              <w:szCs w:val="20"/>
              <w:lang w:val="en-US"/>
            </w:rPr>
            <m:t xml:space="preserve">     </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G</m:t>
              </m:r>
            </m:e>
            <m:sub>
              <m:r>
                <w:rPr>
                  <w:rFonts w:ascii="Cambria Math" w:eastAsiaTheme="minorEastAsia" w:hAnsi="Cambria Math" w:cs="Arial"/>
                  <w:sz w:val="20"/>
                  <w:szCs w:val="20"/>
                  <w:lang w:val="en-US"/>
                </w:rPr>
                <m:t>0</m:t>
              </m:r>
            </m:sub>
          </m:sSub>
          <m:r>
            <w:rPr>
              <w:rFonts w:ascii="Cambria Math" w:eastAsiaTheme="minorEastAsia" w:hAnsi="Cambria Math" w:cs="Arial"/>
              <w:sz w:val="20"/>
              <w:szCs w:val="20"/>
              <w:lang w:val="en-US"/>
            </w:rPr>
            <m:t>=-150.5</m:t>
          </m:r>
          <m:r>
            <w:rPr>
              <w:rFonts w:ascii="Cambria Math" w:eastAsiaTheme="minorEastAsia" w:hAnsi="Cambria Math" w:cs="Arial"/>
              <w:sz w:val="20"/>
              <w:szCs w:val="20"/>
              <w:lang w:val="en-US"/>
            </w:rPr>
            <m:t>KJ</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mol</m:t>
          </m:r>
          <m:r>
            <w:rPr>
              <w:rFonts w:ascii="Cambria Math" w:eastAsiaTheme="minorEastAsia" w:hAnsi="Cambria Math" w:cs="Arial"/>
              <w:sz w:val="20"/>
              <w:szCs w:val="20"/>
              <w:lang w:val="en-US"/>
            </w:rPr>
            <m:t xml:space="preserve"> </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CH</m:t>
              </m:r>
            </m:e>
            <m:sub>
              <m:r>
                <w:rPr>
                  <w:rFonts w:ascii="Cambria Math" w:eastAsiaTheme="minorEastAsia" w:hAnsi="Cambria Math" w:cs="Arial"/>
                  <w:sz w:val="20"/>
                  <w:szCs w:val="20"/>
                  <w:lang w:val="en-US"/>
                </w:rPr>
                <m:t>4</m:t>
              </m:r>
            </m:sub>
          </m:sSub>
        </m:oMath>
      </m:oMathPara>
    </w:p>
    <w:p w14:paraId="7714E500"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 xml:space="preserve">The observed decrease in biogas production in digester B5 in the presence of iron filings, compared to co-digestion without iron, could stem from insufficient iron, excessive </w:t>
      </w:r>
      <w:proofErr w:type="spellStart"/>
      <w:r w:rsidRPr="006A4678">
        <w:rPr>
          <w:rFonts w:ascii="Arial" w:hAnsi="Arial" w:cs="Arial"/>
          <w:sz w:val="20"/>
          <w:szCs w:val="20"/>
          <w:lang w:val="en-US"/>
        </w:rPr>
        <w:t>sulphur</w:t>
      </w:r>
      <w:proofErr w:type="spellEnd"/>
      <w:r w:rsidRPr="006A4678">
        <w:rPr>
          <w:rFonts w:ascii="Arial" w:hAnsi="Arial" w:cs="Arial"/>
          <w:sz w:val="20"/>
          <w:szCs w:val="20"/>
          <w:lang w:val="en-US"/>
        </w:rPr>
        <w:t xml:space="preserve"> compounds, or microbial inhibition caused by iron overload.</w:t>
      </w:r>
    </w:p>
    <w:p w14:paraId="77A23313" w14:textId="77777777" w:rsidR="00182FF4" w:rsidRPr="006A4678" w:rsidRDefault="00182FF4" w:rsidP="006A4678">
      <w:pPr>
        <w:pStyle w:val="ListParagraph"/>
        <w:numPr>
          <w:ilvl w:val="1"/>
          <w:numId w:val="7"/>
        </w:numPr>
        <w:spacing w:after="0" w:line="360" w:lineRule="auto"/>
        <w:jc w:val="both"/>
        <w:rPr>
          <w:rFonts w:ascii="Arial" w:hAnsi="Arial" w:cs="Arial"/>
          <w:b/>
          <w:bCs/>
          <w:sz w:val="20"/>
          <w:szCs w:val="20"/>
          <w:lang w:val="en-US"/>
        </w:rPr>
      </w:pPr>
      <w:r w:rsidRPr="006A4678">
        <w:rPr>
          <w:rFonts w:ascii="Arial" w:hAnsi="Arial" w:cs="Arial"/>
          <w:b/>
          <w:bCs/>
          <w:sz w:val="20"/>
          <w:szCs w:val="20"/>
          <w:lang w:val="en-US"/>
        </w:rPr>
        <w:t>Biogas Composition</w:t>
      </w:r>
    </w:p>
    <w:p w14:paraId="248E4655"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 xml:space="preserve">The methane and carbon dioxide proportions in the produced biogas are slightly lower than those reported by </w:t>
      </w:r>
      <w:proofErr w:type="spellStart"/>
      <w:r w:rsidRPr="006A4678">
        <w:rPr>
          <w:rFonts w:ascii="Arial" w:hAnsi="Arial" w:cs="Arial"/>
          <w:sz w:val="20"/>
          <w:szCs w:val="20"/>
          <w:lang w:val="en-US"/>
        </w:rPr>
        <w:t>Ukondalemba</w:t>
      </w:r>
      <w:proofErr w:type="spellEnd"/>
      <w:r w:rsidR="00EB5266" w:rsidRPr="006A4678">
        <w:rPr>
          <w:rFonts w:ascii="Arial" w:hAnsi="Arial" w:cs="Arial"/>
          <w:sz w:val="20"/>
          <w:szCs w:val="20"/>
          <w:lang w:val="en-US"/>
        </w:rPr>
        <w:t xml:space="preserve"> </w:t>
      </w:r>
      <w:r w:rsidRPr="006A4678">
        <w:rPr>
          <w:rFonts w:ascii="Arial" w:hAnsi="Arial" w:cs="Arial"/>
          <w:sz w:val="20"/>
          <w:szCs w:val="20"/>
          <w:lang w:val="en-US"/>
        </w:rPr>
        <w:t xml:space="preserve">70% for anaerobic digestion and 75% for co-digestion </w:t>
      </w:r>
      <w:r w:rsidR="00852075">
        <w:rPr>
          <w:rFonts w:ascii="Arial" w:hAnsi="Arial" w:cs="Arial"/>
          <w:sz w:val="20"/>
          <w:szCs w:val="20"/>
          <w:lang w:val="en-US"/>
        </w:rPr>
        <w:fldChar w:fldCharType="begin"/>
      </w:r>
      <w:r w:rsidR="00852075">
        <w:rPr>
          <w:rFonts w:ascii="Arial" w:hAnsi="Arial" w:cs="Arial"/>
          <w:sz w:val="20"/>
          <w:szCs w:val="20"/>
          <w:lang w:val="en-US"/>
        </w:rPr>
        <w:instrText xml:space="preserve"> ADDIN ZOTERO_ITEM CSL_CITATION {"citationID":"sDgnZFSy","properties":{"formattedCitation":"(Ukondalemba et al., 2016)","plainCitation":"(Ukondalemba et al., 2016)","noteIndex":0},"citationItems":[{"id":352,"uris":["http://zotero.org/users/9694973/items/4DQADWKE"],"itemData":{"id":352,"type":"article-journal","abstract":"Among the waste treatment methods, anaerobic digestion is an attractive option for the degradation of fermentable household wastes into useful products such as biogas and high quality compost. Therefore, we conducted a comparative experimental study between the anaerobic digestion of fermentable household waste and anaerobic codigestion of fermentable household waste and septic tank sludge. The experiment was conducted in two tanks of 80 liters. The first tank was filled only with 14 kg of biodegradable household waste and the second was filled with 14 kg of household waste mixed with 4.2 L fresh septic tank sludge in a ratio Volatile Suspended Solids (VSS) of septic tank sludge on Volatile Organic Matter of waste (=MOV) (VSS / MOV = 0.3). The evolution of the COD yields a balance on the degradation of organic matter and biogas production.","container-title":"International Journal of Innovation and Scientific Research","ISSN":"2351-8014","issue":"2","language":"fr","source":"Zotero","title":"La valorisation des déchets ménagers organiques et des boues de vidange de fosses septiques par digestion anaérobie","volume":"20","author":[{"family":"Ukondalemba","given":"Léonard Mindele"},{"family":"Aleke","given":"Alex Lina"},{"family":"Ngahane","given":"Emilienne Laure"},{"family":"Eyul’Anki","given":"Dieudonné Musibono"},{"family":"Vasel","given":"Jean-Luc"}],"issued":{"date-parts":[["2016",2]]}}}],"schema":"https://github.com/citation-style-language/schema/raw/master/csl-citation.json"} </w:instrText>
      </w:r>
      <w:r w:rsidR="00852075">
        <w:rPr>
          <w:rFonts w:ascii="Arial" w:hAnsi="Arial" w:cs="Arial"/>
          <w:sz w:val="20"/>
          <w:szCs w:val="20"/>
          <w:lang w:val="en-US"/>
        </w:rPr>
        <w:fldChar w:fldCharType="separate"/>
      </w:r>
      <w:r w:rsidR="00852075" w:rsidRPr="0044624A">
        <w:rPr>
          <w:rFonts w:ascii="Arial" w:hAnsi="Arial" w:cs="Arial"/>
          <w:sz w:val="20"/>
          <w:lang w:val="en-US"/>
        </w:rPr>
        <w:t>(Ukondalemba et al., 2016)</w:t>
      </w:r>
      <w:r w:rsidR="00852075">
        <w:rPr>
          <w:rFonts w:ascii="Arial" w:hAnsi="Arial" w:cs="Arial"/>
          <w:sz w:val="20"/>
          <w:szCs w:val="20"/>
          <w:lang w:val="en-US"/>
        </w:rPr>
        <w:fldChar w:fldCharType="end"/>
      </w:r>
      <w:r w:rsidR="00EB5266" w:rsidRPr="006A4678">
        <w:rPr>
          <w:rFonts w:ascii="Arial" w:hAnsi="Arial" w:cs="Arial"/>
          <w:sz w:val="20"/>
          <w:szCs w:val="20"/>
          <w:lang w:val="en-US"/>
        </w:rPr>
        <w:t xml:space="preserve"> </w:t>
      </w:r>
      <w:r w:rsidRPr="006A4678">
        <w:rPr>
          <w:rFonts w:ascii="Arial" w:hAnsi="Arial" w:cs="Arial"/>
          <w:sz w:val="20"/>
          <w:szCs w:val="20"/>
          <w:lang w:val="en-US"/>
        </w:rPr>
        <w:t xml:space="preserve">but comparable to results from </w:t>
      </w:r>
      <w:proofErr w:type="spellStart"/>
      <w:r w:rsidRPr="006A4678">
        <w:rPr>
          <w:rFonts w:ascii="Arial" w:hAnsi="Arial" w:cs="Arial"/>
          <w:sz w:val="20"/>
          <w:szCs w:val="20"/>
          <w:lang w:val="en-US"/>
        </w:rPr>
        <w:t>Agani</w:t>
      </w:r>
      <w:proofErr w:type="spellEnd"/>
      <w:r w:rsidRPr="006A4678">
        <w:rPr>
          <w:rFonts w:ascii="Arial" w:hAnsi="Arial" w:cs="Arial"/>
          <w:sz w:val="20"/>
          <w:szCs w:val="20"/>
          <w:lang w:val="en-US"/>
        </w:rPr>
        <w:t xml:space="preserve"> et al., who found methane concentrations ranging from 58% to 77.6%, and CO</w:t>
      </w:r>
      <w:r w:rsidRPr="006A4678">
        <w:rPr>
          <w:rFonts w:ascii="Cambria Math" w:hAnsi="Cambria Math" w:cs="Cambria Math"/>
          <w:sz w:val="20"/>
          <w:szCs w:val="20"/>
          <w:lang w:val="en-US"/>
        </w:rPr>
        <w:t>₂</w:t>
      </w:r>
      <w:r w:rsidRPr="006A4678">
        <w:rPr>
          <w:rFonts w:ascii="Arial" w:hAnsi="Arial" w:cs="Arial"/>
          <w:sz w:val="20"/>
          <w:szCs w:val="20"/>
          <w:lang w:val="en-US"/>
        </w:rPr>
        <w:t xml:space="preserve"> from 22.4% to 42% in the presence of iron filings during anaerobic digestion of fresh </w:t>
      </w:r>
      <w:proofErr w:type="spellStart"/>
      <w:r w:rsidRPr="006A4678">
        <w:rPr>
          <w:rFonts w:ascii="Arial" w:hAnsi="Arial" w:cs="Arial"/>
          <w:sz w:val="20"/>
          <w:szCs w:val="20"/>
          <w:lang w:val="en-US"/>
        </w:rPr>
        <w:t>faecal</w:t>
      </w:r>
      <w:proofErr w:type="spellEnd"/>
      <w:r w:rsidRPr="006A4678">
        <w:rPr>
          <w:rFonts w:ascii="Arial" w:hAnsi="Arial" w:cs="Arial"/>
          <w:sz w:val="20"/>
          <w:szCs w:val="20"/>
          <w:lang w:val="en-US"/>
        </w:rPr>
        <w:t xml:space="preserve"> sludge </w:t>
      </w:r>
      <w:r w:rsidR="00CD7C15">
        <w:rPr>
          <w:rFonts w:ascii="Arial" w:hAnsi="Arial" w:cs="Arial"/>
          <w:sz w:val="20"/>
          <w:szCs w:val="20"/>
          <w:lang w:val="en-US"/>
        </w:rPr>
        <w:fldChar w:fldCharType="begin"/>
      </w:r>
      <w:r w:rsidR="00CD7C15">
        <w:rPr>
          <w:rFonts w:ascii="Arial" w:hAnsi="Arial" w:cs="Arial"/>
          <w:sz w:val="20"/>
          <w:szCs w:val="20"/>
          <w:lang w:val="en-US"/>
        </w:rPr>
        <w:instrText xml:space="preserve"> ADDIN ZOTERO_ITEM CSL_CITATION {"citationID":"PFvfYkbw","properties":{"formattedCitation":"(Agani et al., 2016)","plainCitation":"(Agani et al., 2016)","noteIndex":0},"citationItems":[{"id":66,"uris":["http://zotero.org/users/9694973/items/JIDTFDWG"],"itemData":{"id":66,"type":"article-journal","container-title":"American Journal of Environmental Protection","DOI":"10.11648/j.ajep.20160506.15","ISSN":"2328-5680","issue":"6","journalAbbreviation":"AJEP","language":"en","page":"179","source":"DOI.org (Crossref)","title":"Enhancement of Fecal Sludge Conversion Into Biogas Using Iron Powder During Anaerobic Digestion Process","URL":"http://www.sciencepublishinggroup.com/journal/paperinfo?journalid=163&amp;doi=10.11648/j.ajep.20160506.15","volume":"5","author":[{"family":"Agani","given":"Chabi Ignace"},{"family":"Fidèle Suanon, Biaou Dimon","given":""},{"family":"Edouard Binessi Ifon, Frank Yovo","given":""},{"family":"Valentin Dieudonné Wotto, Olusegun Kazeem Abass","given":""},{"family":"Mathieu Nsenga Kumwimba","given":""}],"accessed":{"date-parts":[["2022",7,19]]},"issued":{"date-parts":[["2016"]]}}}],"schema":"https://github.com/citation-style-language/schema/raw/master/csl-citation.json"} </w:instrText>
      </w:r>
      <w:r w:rsidR="00CD7C15">
        <w:rPr>
          <w:rFonts w:ascii="Arial" w:hAnsi="Arial" w:cs="Arial"/>
          <w:sz w:val="20"/>
          <w:szCs w:val="20"/>
          <w:lang w:val="en-US"/>
        </w:rPr>
        <w:fldChar w:fldCharType="separate"/>
      </w:r>
      <w:r w:rsidR="00CD7C15" w:rsidRPr="0044624A">
        <w:rPr>
          <w:rFonts w:ascii="Arial" w:hAnsi="Arial" w:cs="Arial"/>
          <w:sz w:val="20"/>
          <w:lang w:val="en-US"/>
        </w:rPr>
        <w:t>(Agani et al., 2016)</w:t>
      </w:r>
      <w:r w:rsidR="00CD7C15">
        <w:rPr>
          <w:rFonts w:ascii="Arial" w:hAnsi="Arial" w:cs="Arial"/>
          <w:sz w:val="20"/>
          <w:szCs w:val="20"/>
          <w:lang w:val="en-US"/>
        </w:rPr>
        <w:fldChar w:fldCharType="end"/>
      </w:r>
      <w:r w:rsidRPr="006A4678">
        <w:rPr>
          <w:rFonts w:ascii="Arial" w:hAnsi="Arial" w:cs="Arial"/>
          <w:sz w:val="20"/>
          <w:szCs w:val="20"/>
          <w:lang w:val="en-US"/>
        </w:rPr>
        <w:t>. Variations in substrate quality may account for these discrepancies.</w:t>
      </w:r>
    </w:p>
    <w:p w14:paraId="012CEA0C" w14:textId="77777777" w:rsidR="00182FF4" w:rsidRPr="00D36DB8" w:rsidRDefault="00182FF4" w:rsidP="00182FF4">
      <w:pPr>
        <w:spacing w:after="0" w:line="360" w:lineRule="auto"/>
        <w:jc w:val="both"/>
        <w:rPr>
          <w:rFonts w:ascii="Times New Roman" w:hAnsi="Times New Roman" w:cs="Times New Roman"/>
          <w:sz w:val="24"/>
          <w:szCs w:val="24"/>
          <w:lang w:val="en-US"/>
        </w:rPr>
      </w:pPr>
    </w:p>
    <w:p w14:paraId="331B868F" w14:textId="77777777" w:rsidR="00182FF4" w:rsidRPr="006A4678" w:rsidRDefault="00182FF4" w:rsidP="006A4678">
      <w:pPr>
        <w:pStyle w:val="ListParagraph"/>
        <w:numPr>
          <w:ilvl w:val="0"/>
          <w:numId w:val="7"/>
        </w:numPr>
        <w:spacing w:after="0" w:line="360" w:lineRule="auto"/>
        <w:jc w:val="both"/>
        <w:rPr>
          <w:rFonts w:ascii="Arial" w:hAnsi="Arial" w:cs="Arial"/>
          <w:b/>
          <w:bCs/>
          <w:lang w:val="en-US"/>
        </w:rPr>
      </w:pPr>
      <w:r w:rsidRPr="006A4678">
        <w:rPr>
          <w:rFonts w:ascii="Arial" w:hAnsi="Arial" w:cs="Arial"/>
          <w:b/>
          <w:bCs/>
          <w:lang w:val="en-US"/>
        </w:rPr>
        <w:t>Conclusion</w:t>
      </w:r>
    </w:p>
    <w:p w14:paraId="4205D845" w14:textId="77777777" w:rsidR="00182FF4" w:rsidRPr="006A4678"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 xml:space="preserve">In conclusion, the </w:t>
      </w:r>
      <w:proofErr w:type="spellStart"/>
      <w:r w:rsidRPr="006A4678">
        <w:rPr>
          <w:rFonts w:ascii="Arial" w:hAnsi="Arial" w:cs="Arial"/>
          <w:sz w:val="20"/>
          <w:szCs w:val="20"/>
          <w:lang w:val="en-US"/>
        </w:rPr>
        <w:t>faecal</w:t>
      </w:r>
      <w:proofErr w:type="spellEnd"/>
      <w:r w:rsidRPr="006A4678">
        <w:rPr>
          <w:rFonts w:ascii="Arial" w:hAnsi="Arial" w:cs="Arial"/>
          <w:sz w:val="20"/>
          <w:szCs w:val="20"/>
          <w:lang w:val="en-US"/>
        </w:rPr>
        <w:t xml:space="preserve"> sludge from the </w:t>
      </w:r>
      <w:proofErr w:type="spellStart"/>
      <w:r w:rsidRPr="006A4678">
        <w:rPr>
          <w:rFonts w:ascii="Arial" w:hAnsi="Arial" w:cs="Arial"/>
          <w:sz w:val="20"/>
          <w:szCs w:val="20"/>
          <w:lang w:val="en-US"/>
        </w:rPr>
        <w:t>Adjagbo</w:t>
      </w:r>
      <w:proofErr w:type="spellEnd"/>
      <w:r w:rsidRPr="006A4678">
        <w:rPr>
          <w:rFonts w:ascii="Arial" w:hAnsi="Arial" w:cs="Arial"/>
          <w:sz w:val="20"/>
          <w:szCs w:val="20"/>
          <w:lang w:val="en-US"/>
        </w:rPr>
        <w:t xml:space="preserve"> treatment plant holds significant potential for both energy and agricultural </w:t>
      </w:r>
      <w:proofErr w:type="spellStart"/>
      <w:r w:rsidRPr="006A4678">
        <w:rPr>
          <w:rFonts w:ascii="Arial" w:hAnsi="Arial" w:cs="Arial"/>
          <w:sz w:val="20"/>
          <w:szCs w:val="20"/>
          <w:lang w:val="en-US"/>
        </w:rPr>
        <w:t>valorisation</w:t>
      </w:r>
      <w:proofErr w:type="spellEnd"/>
      <w:r w:rsidRPr="006A4678">
        <w:rPr>
          <w:rFonts w:ascii="Arial" w:hAnsi="Arial" w:cs="Arial"/>
          <w:sz w:val="20"/>
          <w:szCs w:val="20"/>
          <w:lang w:val="en-US"/>
        </w:rPr>
        <w:t>. From an energy perspective, given the low C/N ratio, anaerobic co-digestion with green waste</w:t>
      </w:r>
      <w:r w:rsidR="006A4678">
        <w:rPr>
          <w:rFonts w:ascii="Arial" w:hAnsi="Arial" w:cs="Arial"/>
          <w:sz w:val="20"/>
          <w:szCs w:val="20"/>
          <w:lang w:val="en-US"/>
        </w:rPr>
        <w:t xml:space="preserve"> </w:t>
      </w:r>
      <w:r w:rsidRPr="006A4678">
        <w:rPr>
          <w:rFonts w:ascii="Arial" w:hAnsi="Arial" w:cs="Arial"/>
          <w:sz w:val="20"/>
          <w:szCs w:val="20"/>
          <w:lang w:val="en-US"/>
        </w:rPr>
        <w:t>whether or not supplemented with iron filings</w:t>
      </w:r>
      <w:r w:rsidR="006A4678">
        <w:rPr>
          <w:rFonts w:ascii="Arial" w:hAnsi="Arial" w:cs="Arial"/>
          <w:sz w:val="20"/>
          <w:szCs w:val="20"/>
          <w:lang w:val="en-US"/>
        </w:rPr>
        <w:t xml:space="preserve"> </w:t>
      </w:r>
      <w:r w:rsidRPr="006A4678">
        <w:rPr>
          <w:rFonts w:ascii="Arial" w:hAnsi="Arial" w:cs="Arial"/>
          <w:sz w:val="20"/>
          <w:szCs w:val="20"/>
          <w:lang w:val="en-US"/>
        </w:rPr>
        <w:t>is essential to enhance carbon content. This approach has proven highly effective, not only in boosting biogas production but also in increasing methane yield due to the electron-donating properties of iron filings.</w:t>
      </w:r>
    </w:p>
    <w:p w14:paraId="75469682" w14:textId="77777777" w:rsidR="00182FF4" w:rsidRDefault="00182FF4"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 xml:space="preserve">Additionally, co-digestion with fruit waste shortens the digestion duration to approximately 23 days, compared to 32 days for fruit waste digestion alone. This study provides a reliable evidence base for policymakers and stakeholders in the sanitation and waste-to-energy sectors to guide sustainable </w:t>
      </w:r>
      <w:proofErr w:type="spellStart"/>
      <w:r w:rsidRPr="006A4678">
        <w:rPr>
          <w:rFonts w:ascii="Arial" w:hAnsi="Arial" w:cs="Arial"/>
          <w:sz w:val="20"/>
          <w:szCs w:val="20"/>
          <w:lang w:val="en-US"/>
        </w:rPr>
        <w:t>faecal</w:t>
      </w:r>
      <w:proofErr w:type="spellEnd"/>
      <w:r w:rsidRPr="006A4678">
        <w:rPr>
          <w:rFonts w:ascii="Arial" w:hAnsi="Arial" w:cs="Arial"/>
          <w:sz w:val="20"/>
          <w:szCs w:val="20"/>
          <w:lang w:val="en-US"/>
        </w:rPr>
        <w:t xml:space="preserve"> sludge and organic waste management through renewable energy generation.</w:t>
      </w:r>
    </w:p>
    <w:p w14:paraId="0A264E45" w14:textId="77777777" w:rsidR="00850876" w:rsidRPr="003D39D8" w:rsidRDefault="00850876" w:rsidP="003D39D8">
      <w:pPr>
        <w:spacing w:after="0" w:line="360" w:lineRule="auto"/>
        <w:jc w:val="both"/>
        <w:rPr>
          <w:rFonts w:ascii="Arial" w:hAnsi="Arial" w:cs="Arial"/>
          <w:sz w:val="20"/>
          <w:szCs w:val="20"/>
          <w:lang w:val="en-US"/>
        </w:rPr>
      </w:pPr>
      <w:bookmarkStart w:id="6" w:name="_GoBack"/>
      <w:bookmarkEnd w:id="6"/>
    </w:p>
    <w:p w14:paraId="6488DE44" w14:textId="77777777" w:rsidR="003D39D8" w:rsidRPr="003D39D8" w:rsidRDefault="003D39D8" w:rsidP="003D39D8">
      <w:pPr>
        <w:spacing w:after="0" w:line="360" w:lineRule="auto"/>
        <w:jc w:val="both"/>
        <w:rPr>
          <w:rFonts w:ascii="Arial" w:hAnsi="Arial" w:cs="Arial"/>
          <w:b/>
          <w:sz w:val="20"/>
          <w:szCs w:val="20"/>
          <w:lang w:val="en-US"/>
        </w:rPr>
      </w:pPr>
      <w:r w:rsidRPr="003D39D8">
        <w:rPr>
          <w:rFonts w:ascii="Arial" w:hAnsi="Arial" w:cs="Arial"/>
          <w:b/>
          <w:sz w:val="20"/>
          <w:szCs w:val="20"/>
          <w:lang w:val="en-US"/>
        </w:rPr>
        <w:t>Availability of data and materials</w:t>
      </w:r>
    </w:p>
    <w:p w14:paraId="71C3B436" w14:textId="77777777" w:rsidR="003D39D8" w:rsidRDefault="003D39D8" w:rsidP="003D39D8">
      <w:pPr>
        <w:spacing w:after="0" w:line="360" w:lineRule="auto"/>
        <w:jc w:val="both"/>
        <w:rPr>
          <w:rFonts w:ascii="Arial" w:hAnsi="Arial" w:cs="Arial"/>
          <w:sz w:val="20"/>
          <w:szCs w:val="20"/>
          <w:lang w:val="en-US"/>
        </w:rPr>
      </w:pPr>
      <w:r w:rsidRPr="003D39D8">
        <w:rPr>
          <w:rFonts w:ascii="Arial" w:hAnsi="Arial" w:cs="Arial"/>
          <w:b/>
          <w:sz w:val="20"/>
          <w:szCs w:val="20"/>
          <w:lang w:val="en-US"/>
        </w:rPr>
        <w:t xml:space="preserve"> </w:t>
      </w:r>
      <w:r w:rsidRPr="003D39D8">
        <w:rPr>
          <w:rFonts w:ascii="Arial" w:hAnsi="Arial" w:cs="Arial"/>
          <w:sz w:val="20"/>
          <w:szCs w:val="20"/>
          <w:lang w:val="en-US"/>
        </w:rPr>
        <w:t>Data are available at the Laboratory of Study and Research in Applied Chemistry, Polytechnic School of Abomey-</w:t>
      </w:r>
      <w:proofErr w:type="spellStart"/>
      <w:r w:rsidRPr="003D39D8">
        <w:rPr>
          <w:rFonts w:ascii="Arial" w:hAnsi="Arial" w:cs="Arial"/>
          <w:sz w:val="20"/>
          <w:szCs w:val="20"/>
          <w:lang w:val="en-US"/>
        </w:rPr>
        <w:t>Calavi</w:t>
      </w:r>
      <w:proofErr w:type="spellEnd"/>
      <w:r w:rsidRPr="003D39D8">
        <w:rPr>
          <w:rFonts w:ascii="Arial" w:hAnsi="Arial" w:cs="Arial"/>
          <w:sz w:val="20"/>
          <w:szCs w:val="20"/>
          <w:lang w:val="en-US"/>
        </w:rPr>
        <w:t>, University of Abomey-</w:t>
      </w:r>
      <w:proofErr w:type="spellStart"/>
      <w:r w:rsidRPr="003D39D8">
        <w:rPr>
          <w:rFonts w:ascii="Arial" w:hAnsi="Arial" w:cs="Arial"/>
          <w:sz w:val="20"/>
          <w:szCs w:val="20"/>
          <w:lang w:val="en-US"/>
        </w:rPr>
        <w:t>Calavi</w:t>
      </w:r>
      <w:proofErr w:type="spellEnd"/>
      <w:r w:rsidRPr="003D39D8">
        <w:rPr>
          <w:rFonts w:ascii="Arial" w:hAnsi="Arial" w:cs="Arial"/>
          <w:sz w:val="20"/>
          <w:szCs w:val="20"/>
          <w:lang w:val="en-US"/>
        </w:rPr>
        <w:t>. You should contact the corresponding author for the data request.</w:t>
      </w:r>
    </w:p>
    <w:p w14:paraId="7BE56FD4" w14:textId="77777777" w:rsidR="003D39D8" w:rsidRPr="003D39D8" w:rsidRDefault="003D39D8" w:rsidP="003D39D8">
      <w:pPr>
        <w:spacing w:after="0" w:line="360" w:lineRule="auto"/>
        <w:jc w:val="both"/>
        <w:rPr>
          <w:rFonts w:ascii="Arial" w:hAnsi="Arial" w:cs="Arial"/>
          <w:sz w:val="20"/>
          <w:szCs w:val="20"/>
          <w:lang w:val="en-US"/>
        </w:rPr>
      </w:pPr>
    </w:p>
    <w:p w14:paraId="2C000DBB" w14:textId="77777777" w:rsidR="003D39D8" w:rsidRPr="003D39D8" w:rsidRDefault="003D39D8" w:rsidP="003D39D8">
      <w:pPr>
        <w:spacing w:after="0" w:line="360" w:lineRule="auto"/>
        <w:jc w:val="both"/>
        <w:rPr>
          <w:rFonts w:ascii="Arial" w:hAnsi="Arial" w:cs="Arial"/>
          <w:b/>
          <w:sz w:val="20"/>
          <w:szCs w:val="20"/>
          <w:lang w:val="en-US"/>
        </w:rPr>
      </w:pPr>
      <w:r w:rsidRPr="003D39D8">
        <w:rPr>
          <w:rFonts w:ascii="Arial" w:hAnsi="Arial" w:cs="Arial"/>
          <w:b/>
          <w:sz w:val="20"/>
          <w:szCs w:val="20"/>
          <w:lang w:val="en-US"/>
        </w:rPr>
        <w:t>Declarations</w:t>
      </w:r>
    </w:p>
    <w:p w14:paraId="191B8033" w14:textId="77777777" w:rsidR="003D39D8" w:rsidRPr="003D39D8" w:rsidRDefault="003D39D8" w:rsidP="003D39D8">
      <w:pPr>
        <w:spacing w:after="0" w:line="360" w:lineRule="auto"/>
        <w:jc w:val="both"/>
        <w:rPr>
          <w:rFonts w:ascii="Arial" w:hAnsi="Arial" w:cs="Arial"/>
          <w:sz w:val="20"/>
          <w:szCs w:val="20"/>
          <w:lang w:val="en-US"/>
        </w:rPr>
      </w:pPr>
      <w:r w:rsidRPr="003D39D8">
        <w:rPr>
          <w:rFonts w:ascii="Arial" w:hAnsi="Arial" w:cs="Arial"/>
          <w:sz w:val="20"/>
          <w:szCs w:val="20"/>
          <w:lang w:val="en-US"/>
        </w:rPr>
        <w:t>Declarations Ethics approval and consent to participate</w:t>
      </w:r>
    </w:p>
    <w:p w14:paraId="4F11E005" w14:textId="77777777" w:rsidR="003D39D8" w:rsidRDefault="003D39D8" w:rsidP="003D39D8">
      <w:pPr>
        <w:spacing w:after="0" w:line="360" w:lineRule="auto"/>
        <w:jc w:val="both"/>
        <w:rPr>
          <w:rFonts w:ascii="Arial" w:hAnsi="Arial" w:cs="Arial"/>
          <w:sz w:val="20"/>
          <w:szCs w:val="20"/>
          <w:lang w:val="en-US"/>
        </w:rPr>
      </w:pPr>
      <w:r w:rsidRPr="003D39D8">
        <w:rPr>
          <w:rFonts w:ascii="Arial" w:hAnsi="Arial" w:cs="Arial"/>
          <w:sz w:val="20"/>
          <w:szCs w:val="20"/>
          <w:lang w:val="en-US"/>
        </w:rPr>
        <w:t>This study was approved by the Ethics Committee of the University of Abomey-</w:t>
      </w:r>
      <w:proofErr w:type="spellStart"/>
      <w:r w:rsidRPr="003D39D8">
        <w:rPr>
          <w:rFonts w:ascii="Arial" w:hAnsi="Arial" w:cs="Arial"/>
          <w:sz w:val="20"/>
          <w:szCs w:val="20"/>
          <w:lang w:val="en-US"/>
        </w:rPr>
        <w:t>Calavi</w:t>
      </w:r>
      <w:proofErr w:type="spellEnd"/>
      <w:r w:rsidRPr="003D39D8">
        <w:rPr>
          <w:rFonts w:ascii="Arial" w:hAnsi="Arial" w:cs="Arial"/>
          <w:sz w:val="20"/>
          <w:szCs w:val="20"/>
          <w:lang w:val="en-US"/>
        </w:rPr>
        <w:t>. All methods were carried out under relevant guidelines and regulations and all experimental protocols were approved by the Ethics Committee. Informed Consent was obtained from all subjects and/or their legal guardian(s).</w:t>
      </w:r>
    </w:p>
    <w:p w14:paraId="7BCC0232" w14:textId="77777777" w:rsidR="00850876" w:rsidRPr="003D39D8" w:rsidRDefault="00850876" w:rsidP="003D39D8">
      <w:pPr>
        <w:spacing w:after="0" w:line="360" w:lineRule="auto"/>
        <w:jc w:val="both"/>
        <w:rPr>
          <w:rFonts w:ascii="Arial" w:hAnsi="Arial" w:cs="Arial"/>
          <w:sz w:val="20"/>
          <w:szCs w:val="20"/>
          <w:lang w:val="en-US"/>
        </w:rPr>
      </w:pPr>
    </w:p>
    <w:p w14:paraId="5C7D24F5" w14:textId="77777777" w:rsidR="003D39D8" w:rsidRPr="003D39D8" w:rsidRDefault="003D39D8" w:rsidP="003D39D8">
      <w:pPr>
        <w:spacing w:after="0" w:line="360" w:lineRule="auto"/>
        <w:jc w:val="both"/>
        <w:rPr>
          <w:rFonts w:ascii="Arial" w:hAnsi="Arial" w:cs="Arial"/>
          <w:b/>
          <w:sz w:val="20"/>
          <w:szCs w:val="20"/>
          <w:lang w:val="en-US"/>
        </w:rPr>
      </w:pPr>
      <w:r w:rsidRPr="003D39D8">
        <w:rPr>
          <w:rFonts w:ascii="Arial" w:hAnsi="Arial" w:cs="Arial"/>
          <w:b/>
          <w:sz w:val="20"/>
          <w:szCs w:val="20"/>
          <w:lang w:val="en-US"/>
        </w:rPr>
        <w:t>Consent for publication</w:t>
      </w:r>
    </w:p>
    <w:p w14:paraId="47FFC151" w14:textId="77777777" w:rsidR="003D39D8" w:rsidRPr="003D39D8" w:rsidRDefault="003D39D8" w:rsidP="003D39D8">
      <w:pPr>
        <w:spacing w:after="0" w:line="360" w:lineRule="auto"/>
        <w:jc w:val="both"/>
        <w:rPr>
          <w:rFonts w:ascii="Arial" w:hAnsi="Arial" w:cs="Arial"/>
          <w:sz w:val="20"/>
          <w:szCs w:val="20"/>
          <w:lang w:val="en-US"/>
        </w:rPr>
      </w:pPr>
      <w:r w:rsidRPr="003D39D8">
        <w:rPr>
          <w:rFonts w:ascii="Arial" w:hAnsi="Arial" w:cs="Arial"/>
          <w:sz w:val="20"/>
          <w:szCs w:val="20"/>
          <w:lang w:val="en-US"/>
        </w:rPr>
        <w:t>Not applicable</w:t>
      </w:r>
    </w:p>
    <w:p w14:paraId="39A812FF" w14:textId="77777777" w:rsidR="003D39D8" w:rsidRDefault="003D39D8" w:rsidP="003D39D8">
      <w:pPr>
        <w:spacing w:after="0" w:line="360" w:lineRule="auto"/>
        <w:jc w:val="both"/>
        <w:rPr>
          <w:rFonts w:ascii="Arial" w:hAnsi="Arial" w:cs="Arial"/>
          <w:b/>
          <w:bCs/>
          <w:sz w:val="20"/>
          <w:szCs w:val="20"/>
          <w:lang w:val="en-US"/>
        </w:rPr>
      </w:pPr>
      <w:r w:rsidRPr="003D39D8">
        <w:rPr>
          <w:rFonts w:ascii="Arial" w:hAnsi="Arial" w:cs="Arial"/>
          <w:b/>
          <w:bCs/>
          <w:sz w:val="20"/>
          <w:szCs w:val="20"/>
          <w:lang w:val="en-US"/>
        </w:rPr>
        <w:t>Declaration of interests</w:t>
      </w:r>
    </w:p>
    <w:p w14:paraId="7FEDA0EA" w14:textId="77777777" w:rsidR="003D39D8" w:rsidRPr="003D39D8" w:rsidRDefault="003D39D8" w:rsidP="003D39D8">
      <w:pPr>
        <w:spacing w:after="0" w:line="360" w:lineRule="auto"/>
        <w:jc w:val="both"/>
        <w:rPr>
          <w:rFonts w:ascii="Arial" w:hAnsi="Arial" w:cs="Arial"/>
          <w:sz w:val="20"/>
          <w:szCs w:val="20"/>
          <w:lang w:val="en-US"/>
        </w:rPr>
      </w:pPr>
      <w:r w:rsidRPr="003D39D8">
        <w:rPr>
          <w:rFonts w:ascii="Arial" w:hAnsi="Arial" w:cs="Arial"/>
          <w:sz w:val="20"/>
          <w:szCs w:val="20"/>
          <w:lang w:val="en-US"/>
        </w:rPr>
        <w:lastRenderedPageBreak/>
        <w:t>The authors declare that they have no known competing financial interests or personal relationships that could have appeared to influence the work reported in this paper. </w:t>
      </w:r>
    </w:p>
    <w:p w14:paraId="5A4340DE" w14:textId="77777777" w:rsidR="003D39D8" w:rsidRDefault="003D39D8" w:rsidP="003D39D8">
      <w:pPr>
        <w:spacing w:after="0" w:line="360" w:lineRule="auto"/>
        <w:jc w:val="both"/>
        <w:rPr>
          <w:rFonts w:ascii="Arial" w:hAnsi="Arial" w:cs="Arial"/>
          <w:b/>
          <w:lang w:val="en-US"/>
        </w:rPr>
      </w:pPr>
      <w:r w:rsidRPr="006A4678">
        <w:rPr>
          <w:rFonts w:ascii="Arial" w:hAnsi="Arial" w:cs="Arial"/>
          <w:b/>
          <w:lang w:val="en-US"/>
        </w:rPr>
        <w:t>Disclaimer (Artificial Intelligence)</w:t>
      </w:r>
    </w:p>
    <w:p w14:paraId="611C7B42" w14:textId="77777777" w:rsidR="006A4678" w:rsidRDefault="003D39D8" w:rsidP="00182FF4">
      <w:pPr>
        <w:spacing w:after="0" w:line="360" w:lineRule="auto"/>
        <w:jc w:val="both"/>
        <w:rPr>
          <w:rFonts w:ascii="Arial" w:hAnsi="Arial" w:cs="Arial"/>
          <w:sz w:val="20"/>
          <w:szCs w:val="20"/>
          <w:lang w:val="en-US"/>
        </w:rPr>
      </w:pPr>
      <w:r w:rsidRPr="006A4678">
        <w:rPr>
          <w:rFonts w:ascii="Arial" w:hAnsi="Arial" w:cs="Arial"/>
          <w:sz w:val="20"/>
          <w:szCs w:val="20"/>
          <w:lang w:val="en-US"/>
        </w:rPr>
        <w:t>Author(s) hereby declare that NO generative AI technologies such as Large Language Models (</w:t>
      </w:r>
      <w:proofErr w:type="spellStart"/>
      <w:r w:rsidRPr="006A4678">
        <w:rPr>
          <w:rFonts w:ascii="Arial" w:hAnsi="Arial" w:cs="Arial"/>
          <w:sz w:val="20"/>
          <w:szCs w:val="20"/>
          <w:lang w:val="en-US"/>
        </w:rPr>
        <w:t>ChatGPT</w:t>
      </w:r>
      <w:proofErr w:type="spellEnd"/>
      <w:r w:rsidRPr="006A4678">
        <w:rPr>
          <w:rFonts w:ascii="Arial" w:hAnsi="Arial" w:cs="Arial"/>
          <w:sz w:val="20"/>
          <w:szCs w:val="20"/>
          <w:lang w:val="en-US"/>
        </w:rPr>
        <w:t xml:space="preserve">, COPILOT, etc.) and text-to-image generators have been used during the writing or editing of this manuscript. </w:t>
      </w:r>
    </w:p>
    <w:p w14:paraId="1CB1816C" w14:textId="77777777" w:rsidR="00556175" w:rsidRPr="00556175" w:rsidRDefault="00556175" w:rsidP="00182FF4">
      <w:pPr>
        <w:spacing w:after="0" w:line="360" w:lineRule="auto"/>
        <w:jc w:val="both"/>
        <w:rPr>
          <w:rFonts w:ascii="Arial" w:hAnsi="Arial" w:cs="Arial"/>
          <w:sz w:val="20"/>
          <w:szCs w:val="20"/>
          <w:lang w:val="en-US"/>
        </w:rPr>
      </w:pPr>
    </w:p>
    <w:p w14:paraId="60BEDC08" w14:textId="77777777" w:rsidR="00182FF4" w:rsidRPr="00E73F22" w:rsidRDefault="00182FF4" w:rsidP="00182FF4">
      <w:pPr>
        <w:spacing w:after="0" w:line="360" w:lineRule="auto"/>
        <w:jc w:val="both"/>
        <w:rPr>
          <w:rFonts w:ascii="Arial" w:hAnsi="Arial" w:cs="Arial"/>
          <w:lang w:val="en-US"/>
        </w:rPr>
      </w:pPr>
      <w:r w:rsidRPr="00E73F22">
        <w:rPr>
          <w:rFonts w:ascii="Arial" w:hAnsi="Arial" w:cs="Arial"/>
          <w:b/>
          <w:bCs/>
          <w:lang w:val="en-US"/>
        </w:rPr>
        <w:t>References</w:t>
      </w:r>
    </w:p>
    <w:bookmarkEnd w:id="5"/>
    <w:p w14:paraId="7D6D14BA"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7B4CC9">
        <w:rPr>
          <w:rFonts w:ascii="Arial" w:hAnsi="Arial" w:cs="Arial"/>
          <w:sz w:val="20"/>
          <w:szCs w:val="20"/>
          <w:lang w:val="en-US"/>
        </w:rPr>
        <w:t>Agani</w:t>
      </w:r>
      <w:proofErr w:type="spellEnd"/>
      <w:r w:rsidRPr="007B4CC9">
        <w:rPr>
          <w:rFonts w:ascii="Arial" w:hAnsi="Arial" w:cs="Arial"/>
          <w:sz w:val="20"/>
          <w:szCs w:val="20"/>
          <w:lang w:val="en-US"/>
        </w:rPr>
        <w:t xml:space="preserve">, C.I., </w:t>
      </w:r>
      <w:proofErr w:type="spellStart"/>
      <w:r w:rsidRPr="007B4CC9">
        <w:rPr>
          <w:rFonts w:ascii="Arial" w:hAnsi="Arial" w:cs="Arial"/>
          <w:sz w:val="20"/>
          <w:szCs w:val="20"/>
          <w:lang w:val="en-US"/>
        </w:rPr>
        <w:t>Fidèle</w:t>
      </w:r>
      <w:proofErr w:type="spellEnd"/>
      <w:r w:rsidRPr="007B4CC9">
        <w:rPr>
          <w:rFonts w:ascii="Arial" w:hAnsi="Arial" w:cs="Arial"/>
          <w:sz w:val="20"/>
          <w:szCs w:val="20"/>
          <w:lang w:val="en-US"/>
        </w:rPr>
        <w:t xml:space="preserve"> </w:t>
      </w:r>
      <w:proofErr w:type="spellStart"/>
      <w:r w:rsidRPr="007B4CC9">
        <w:rPr>
          <w:rFonts w:ascii="Arial" w:hAnsi="Arial" w:cs="Arial"/>
          <w:sz w:val="20"/>
          <w:szCs w:val="20"/>
          <w:lang w:val="en-US"/>
        </w:rPr>
        <w:t>Suanon</w:t>
      </w:r>
      <w:proofErr w:type="spellEnd"/>
      <w:r w:rsidRPr="007B4CC9">
        <w:rPr>
          <w:rFonts w:ascii="Arial" w:hAnsi="Arial" w:cs="Arial"/>
          <w:sz w:val="20"/>
          <w:szCs w:val="20"/>
          <w:lang w:val="en-US"/>
        </w:rPr>
        <w:t xml:space="preserve">, </w:t>
      </w:r>
      <w:proofErr w:type="spellStart"/>
      <w:r w:rsidRPr="007B4CC9">
        <w:rPr>
          <w:rFonts w:ascii="Arial" w:hAnsi="Arial" w:cs="Arial"/>
          <w:sz w:val="20"/>
          <w:szCs w:val="20"/>
          <w:lang w:val="en-US"/>
        </w:rPr>
        <w:t>Biaou</w:t>
      </w:r>
      <w:proofErr w:type="spellEnd"/>
      <w:r w:rsidRPr="007B4CC9">
        <w:rPr>
          <w:rFonts w:ascii="Arial" w:hAnsi="Arial" w:cs="Arial"/>
          <w:sz w:val="20"/>
          <w:szCs w:val="20"/>
          <w:lang w:val="en-US"/>
        </w:rPr>
        <w:t xml:space="preserve"> </w:t>
      </w:r>
      <w:proofErr w:type="spellStart"/>
      <w:r w:rsidRPr="007B4CC9">
        <w:rPr>
          <w:rFonts w:ascii="Arial" w:hAnsi="Arial" w:cs="Arial"/>
          <w:sz w:val="20"/>
          <w:szCs w:val="20"/>
          <w:lang w:val="en-US"/>
        </w:rPr>
        <w:t>Dimon</w:t>
      </w:r>
      <w:proofErr w:type="spellEnd"/>
      <w:r w:rsidRPr="007B4CC9">
        <w:rPr>
          <w:rFonts w:ascii="Arial" w:hAnsi="Arial" w:cs="Arial"/>
          <w:sz w:val="20"/>
          <w:szCs w:val="20"/>
          <w:lang w:val="en-US"/>
        </w:rPr>
        <w:t xml:space="preserve">, Edouard </w:t>
      </w:r>
      <w:proofErr w:type="spellStart"/>
      <w:r w:rsidRPr="007B4CC9">
        <w:rPr>
          <w:rFonts w:ascii="Arial" w:hAnsi="Arial" w:cs="Arial"/>
          <w:sz w:val="20"/>
          <w:szCs w:val="20"/>
          <w:lang w:val="en-US"/>
        </w:rPr>
        <w:t>Binessi</w:t>
      </w:r>
      <w:proofErr w:type="spellEnd"/>
      <w:r w:rsidRPr="007B4CC9">
        <w:rPr>
          <w:rFonts w:ascii="Arial" w:hAnsi="Arial" w:cs="Arial"/>
          <w:sz w:val="20"/>
          <w:szCs w:val="20"/>
          <w:lang w:val="en-US"/>
        </w:rPr>
        <w:t xml:space="preserve"> </w:t>
      </w:r>
      <w:proofErr w:type="spellStart"/>
      <w:r w:rsidRPr="007B4CC9">
        <w:rPr>
          <w:rFonts w:ascii="Arial" w:hAnsi="Arial" w:cs="Arial"/>
          <w:sz w:val="20"/>
          <w:szCs w:val="20"/>
          <w:lang w:val="en-US"/>
        </w:rPr>
        <w:t>Ifon</w:t>
      </w:r>
      <w:proofErr w:type="spellEnd"/>
      <w:r w:rsidRPr="007B4CC9">
        <w:rPr>
          <w:rFonts w:ascii="Arial" w:hAnsi="Arial" w:cs="Arial"/>
          <w:sz w:val="20"/>
          <w:szCs w:val="20"/>
          <w:lang w:val="en-US"/>
        </w:rPr>
        <w:t xml:space="preserve">, Frank </w:t>
      </w:r>
      <w:proofErr w:type="spellStart"/>
      <w:r w:rsidRPr="007B4CC9">
        <w:rPr>
          <w:rFonts w:ascii="Arial" w:hAnsi="Arial" w:cs="Arial"/>
          <w:sz w:val="20"/>
          <w:szCs w:val="20"/>
          <w:lang w:val="en-US"/>
        </w:rPr>
        <w:t>Yovo</w:t>
      </w:r>
      <w:proofErr w:type="spellEnd"/>
      <w:r w:rsidRPr="007B4CC9">
        <w:rPr>
          <w:rFonts w:ascii="Arial" w:hAnsi="Arial" w:cs="Arial"/>
          <w:sz w:val="20"/>
          <w:szCs w:val="20"/>
          <w:lang w:val="en-US"/>
        </w:rPr>
        <w:t xml:space="preserve">, Valentin </w:t>
      </w:r>
      <w:proofErr w:type="spellStart"/>
      <w:r w:rsidRPr="007B4CC9">
        <w:rPr>
          <w:rFonts w:ascii="Arial" w:hAnsi="Arial" w:cs="Arial"/>
          <w:sz w:val="20"/>
          <w:szCs w:val="20"/>
          <w:lang w:val="en-US"/>
        </w:rPr>
        <w:t>Dieudonné</w:t>
      </w:r>
      <w:proofErr w:type="spellEnd"/>
      <w:r w:rsidRPr="007B4CC9">
        <w:rPr>
          <w:rFonts w:ascii="Arial" w:hAnsi="Arial" w:cs="Arial"/>
          <w:sz w:val="20"/>
          <w:szCs w:val="20"/>
          <w:lang w:val="en-US"/>
        </w:rPr>
        <w:t xml:space="preserve"> </w:t>
      </w:r>
      <w:proofErr w:type="spellStart"/>
      <w:r w:rsidRPr="007B4CC9">
        <w:rPr>
          <w:rFonts w:ascii="Arial" w:hAnsi="Arial" w:cs="Arial"/>
          <w:sz w:val="20"/>
          <w:szCs w:val="20"/>
          <w:lang w:val="en-US"/>
        </w:rPr>
        <w:t>Wotto</w:t>
      </w:r>
      <w:proofErr w:type="spellEnd"/>
      <w:r w:rsidRPr="007B4CC9">
        <w:rPr>
          <w:rFonts w:ascii="Arial" w:hAnsi="Arial" w:cs="Arial"/>
          <w:sz w:val="20"/>
          <w:szCs w:val="20"/>
          <w:lang w:val="en-US"/>
        </w:rPr>
        <w:t xml:space="preserve">, Olusegun Kazeem </w:t>
      </w:r>
      <w:proofErr w:type="spellStart"/>
      <w:r w:rsidRPr="007B4CC9">
        <w:rPr>
          <w:rFonts w:ascii="Arial" w:hAnsi="Arial" w:cs="Arial"/>
          <w:sz w:val="20"/>
          <w:szCs w:val="20"/>
          <w:lang w:val="en-US"/>
        </w:rPr>
        <w:t>Abass</w:t>
      </w:r>
      <w:proofErr w:type="spellEnd"/>
      <w:r w:rsidRPr="007B4CC9">
        <w:rPr>
          <w:rFonts w:ascii="Arial" w:hAnsi="Arial" w:cs="Arial"/>
          <w:sz w:val="20"/>
          <w:szCs w:val="20"/>
          <w:lang w:val="en-US"/>
        </w:rPr>
        <w:t xml:space="preserve">, Mathieu Nsenga </w:t>
      </w:r>
      <w:proofErr w:type="spellStart"/>
      <w:r w:rsidRPr="007B4CC9">
        <w:rPr>
          <w:rFonts w:ascii="Arial" w:hAnsi="Arial" w:cs="Arial"/>
          <w:sz w:val="20"/>
          <w:szCs w:val="20"/>
          <w:lang w:val="en-US"/>
        </w:rPr>
        <w:t>Kumwimba</w:t>
      </w:r>
      <w:proofErr w:type="spellEnd"/>
      <w:r w:rsidRPr="007B4CC9">
        <w:rPr>
          <w:rFonts w:ascii="Arial" w:hAnsi="Arial" w:cs="Arial"/>
          <w:sz w:val="20"/>
          <w:szCs w:val="20"/>
          <w:lang w:val="en-US"/>
        </w:rPr>
        <w:t xml:space="preserve">, 2016. Enhancement of Fecal Sludge Conversion </w:t>
      </w:r>
      <w:proofErr w:type="gramStart"/>
      <w:r w:rsidRPr="007B4CC9">
        <w:rPr>
          <w:rFonts w:ascii="Arial" w:hAnsi="Arial" w:cs="Arial"/>
          <w:sz w:val="20"/>
          <w:szCs w:val="20"/>
          <w:lang w:val="en-US"/>
        </w:rPr>
        <w:t>Into</w:t>
      </w:r>
      <w:proofErr w:type="gramEnd"/>
      <w:r w:rsidRPr="007B4CC9">
        <w:rPr>
          <w:rFonts w:ascii="Arial" w:hAnsi="Arial" w:cs="Arial"/>
          <w:sz w:val="20"/>
          <w:szCs w:val="20"/>
          <w:lang w:val="en-US"/>
        </w:rPr>
        <w:t xml:space="preserve"> Biogas Using Iron Powder During Anaerobic Digestion Process. AJEP 5, 179. https://doi.org/10.11648/j.ajep.20160506.15</w:t>
      </w:r>
    </w:p>
    <w:p w14:paraId="5CC12EDC"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7B4CC9">
        <w:rPr>
          <w:rFonts w:ascii="Arial" w:hAnsi="Arial" w:cs="Arial"/>
          <w:sz w:val="20"/>
          <w:szCs w:val="20"/>
          <w:lang w:val="en-US"/>
        </w:rPr>
        <w:t>Alraggad</w:t>
      </w:r>
      <w:proofErr w:type="spellEnd"/>
      <w:r w:rsidRPr="007B4CC9">
        <w:rPr>
          <w:rFonts w:ascii="Arial" w:hAnsi="Arial" w:cs="Arial"/>
          <w:sz w:val="20"/>
          <w:szCs w:val="20"/>
          <w:lang w:val="en-US"/>
        </w:rPr>
        <w:t>, M., Al-Saleh, S., Al-</w:t>
      </w:r>
      <w:proofErr w:type="spellStart"/>
      <w:r w:rsidRPr="007B4CC9">
        <w:rPr>
          <w:rFonts w:ascii="Arial" w:hAnsi="Arial" w:cs="Arial"/>
          <w:sz w:val="20"/>
          <w:szCs w:val="20"/>
          <w:lang w:val="en-US"/>
        </w:rPr>
        <w:t>Amoush</w:t>
      </w:r>
      <w:proofErr w:type="spellEnd"/>
      <w:r w:rsidRPr="007B4CC9">
        <w:rPr>
          <w:rFonts w:ascii="Arial" w:hAnsi="Arial" w:cs="Arial"/>
          <w:sz w:val="20"/>
          <w:szCs w:val="20"/>
          <w:lang w:val="en-US"/>
        </w:rPr>
        <w:t xml:space="preserve">, H., </w:t>
      </w:r>
      <w:proofErr w:type="spellStart"/>
      <w:r w:rsidRPr="007B4CC9">
        <w:rPr>
          <w:rFonts w:ascii="Arial" w:hAnsi="Arial" w:cs="Arial"/>
          <w:sz w:val="20"/>
          <w:szCs w:val="20"/>
          <w:lang w:val="en-US"/>
        </w:rPr>
        <w:t>Jasem</w:t>
      </w:r>
      <w:proofErr w:type="spellEnd"/>
      <w:r w:rsidRPr="007B4CC9">
        <w:rPr>
          <w:rFonts w:ascii="Arial" w:hAnsi="Arial" w:cs="Arial"/>
          <w:sz w:val="20"/>
          <w:szCs w:val="20"/>
          <w:lang w:val="en-US"/>
        </w:rPr>
        <w:t xml:space="preserve">, A.H., </w:t>
      </w:r>
      <w:proofErr w:type="spellStart"/>
      <w:r w:rsidRPr="007B4CC9">
        <w:rPr>
          <w:rFonts w:ascii="Arial" w:hAnsi="Arial" w:cs="Arial"/>
          <w:sz w:val="20"/>
          <w:szCs w:val="20"/>
          <w:lang w:val="en-US"/>
        </w:rPr>
        <w:t>Isied</w:t>
      </w:r>
      <w:proofErr w:type="spellEnd"/>
      <w:r w:rsidRPr="007B4CC9">
        <w:rPr>
          <w:rFonts w:ascii="Arial" w:hAnsi="Arial" w:cs="Arial"/>
          <w:sz w:val="20"/>
          <w:szCs w:val="20"/>
          <w:lang w:val="en-US"/>
        </w:rPr>
        <w:t>, D., 2012. Vulnerability of Groundwater System in Central Jordan Valley/Pollution Indicators and Decontamination Process. JWARP 04, 133–139. https://doi.org/10.4236/jwarp.2012.43016</w:t>
      </w:r>
    </w:p>
    <w:p w14:paraId="7A2FA188"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7B4CC9">
        <w:rPr>
          <w:rFonts w:ascii="Arial" w:hAnsi="Arial" w:cs="Arial"/>
          <w:sz w:val="20"/>
          <w:szCs w:val="20"/>
          <w:lang w:val="en-US"/>
        </w:rPr>
        <w:t>Bensmail</w:t>
      </w:r>
      <w:proofErr w:type="spellEnd"/>
      <w:r w:rsidRPr="007B4CC9">
        <w:rPr>
          <w:rFonts w:ascii="Arial" w:hAnsi="Arial" w:cs="Arial"/>
          <w:sz w:val="20"/>
          <w:szCs w:val="20"/>
          <w:lang w:val="en-US"/>
        </w:rPr>
        <w:t xml:space="preserve">, L., </w:t>
      </w:r>
      <w:proofErr w:type="spellStart"/>
      <w:r w:rsidRPr="007B4CC9">
        <w:rPr>
          <w:rFonts w:ascii="Arial" w:hAnsi="Arial" w:cs="Arial"/>
          <w:sz w:val="20"/>
          <w:szCs w:val="20"/>
          <w:lang w:val="en-US"/>
        </w:rPr>
        <w:t>Touzi</w:t>
      </w:r>
      <w:proofErr w:type="spellEnd"/>
      <w:r w:rsidRPr="007B4CC9">
        <w:rPr>
          <w:rFonts w:ascii="Arial" w:hAnsi="Arial" w:cs="Arial"/>
          <w:sz w:val="20"/>
          <w:szCs w:val="20"/>
          <w:lang w:val="en-US"/>
        </w:rPr>
        <w:t>, A., 2012. Biomass Recovery for Energy Purposes: Contribution of Biogas Production to Sustainable Development. Journal of Scientific Research 1, 19–23.</w:t>
      </w:r>
    </w:p>
    <w:p w14:paraId="1054E907"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7B4CC9">
        <w:rPr>
          <w:rFonts w:ascii="Arial" w:hAnsi="Arial" w:cs="Arial"/>
          <w:sz w:val="20"/>
          <w:szCs w:val="20"/>
          <w:lang w:val="en-US"/>
        </w:rPr>
        <w:t>Charnay</w:t>
      </w:r>
      <w:proofErr w:type="spellEnd"/>
      <w:r w:rsidRPr="007B4CC9">
        <w:rPr>
          <w:rFonts w:ascii="Arial" w:hAnsi="Arial" w:cs="Arial"/>
          <w:sz w:val="20"/>
          <w:szCs w:val="20"/>
          <w:lang w:val="en-US"/>
        </w:rPr>
        <w:t>, F., 2005. Composting Urban Waste in Developing Countries: Development of a Methodological Approach for Sustainable Compost Production (Thesis). University of Limoges, France.</w:t>
      </w:r>
    </w:p>
    <w:p w14:paraId="247C6685"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7B4CC9">
        <w:rPr>
          <w:rFonts w:ascii="Arial" w:hAnsi="Arial" w:cs="Arial"/>
          <w:sz w:val="20"/>
          <w:szCs w:val="20"/>
          <w:lang w:val="en-US"/>
        </w:rPr>
        <w:t>d’Arras</w:t>
      </w:r>
      <w:proofErr w:type="spellEnd"/>
      <w:r w:rsidRPr="007B4CC9">
        <w:rPr>
          <w:rFonts w:ascii="Arial" w:hAnsi="Arial" w:cs="Arial"/>
          <w:sz w:val="20"/>
          <w:szCs w:val="20"/>
          <w:lang w:val="en-US"/>
        </w:rPr>
        <w:t xml:space="preserve">, D., 2008. Waste, on the Path to the Circular Economy. Annales des </w:t>
      </w:r>
      <w:proofErr w:type="spellStart"/>
      <w:r w:rsidRPr="007B4CC9">
        <w:rPr>
          <w:rFonts w:ascii="Arial" w:hAnsi="Arial" w:cs="Arial"/>
          <w:sz w:val="20"/>
          <w:szCs w:val="20"/>
          <w:lang w:val="en-US"/>
        </w:rPr>
        <w:t>Mines</w:t>
      </w:r>
      <w:proofErr w:type="spellEnd"/>
      <w:r w:rsidRPr="007B4CC9">
        <w:rPr>
          <w:rFonts w:ascii="Arial" w:hAnsi="Arial" w:cs="Arial"/>
          <w:sz w:val="20"/>
          <w:szCs w:val="20"/>
          <w:lang w:val="en-US"/>
        </w:rPr>
        <w:t xml:space="preserve"> - </w:t>
      </w:r>
      <w:proofErr w:type="spellStart"/>
      <w:r w:rsidRPr="007B4CC9">
        <w:rPr>
          <w:rFonts w:ascii="Arial" w:hAnsi="Arial" w:cs="Arial"/>
          <w:sz w:val="20"/>
          <w:szCs w:val="20"/>
          <w:lang w:val="en-US"/>
        </w:rPr>
        <w:t>Réalités</w:t>
      </w:r>
      <w:proofErr w:type="spellEnd"/>
      <w:r w:rsidRPr="007B4CC9">
        <w:rPr>
          <w:rFonts w:ascii="Arial" w:hAnsi="Arial" w:cs="Arial"/>
          <w:sz w:val="20"/>
          <w:szCs w:val="20"/>
          <w:lang w:val="en-US"/>
        </w:rPr>
        <w:t xml:space="preserve"> </w:t>
      </w:r>
      <w:proofErr w:type="spellStart"/>
      <w:r w:rsidRPr="007B4CC9">
        <w:rPr>
          <w:rFonts w:ascii="Arial" w:hAnsi="Arial" w:cs="Arial"/>
          <w:sz w:val="20"/>
          <w:szCs w:val="20"/>
          <w:lang w:val="en-US"/>
        </w:rPr>
        <w:t>industrielles</w:t>
      </w:r>
      <w:proofErr w:type="spellEnd"/>
      <w:r w:rsidRPr="007B4CC9">
        <w:rPr>
          <w:rFonts w:ascii="Arial" w:hAnsi="Arial" w:cs="Arial"/>
          <w:sz w:val="20"/>
          <w:szCs w:val="20"/>
          <w:lang w:val="en-US"/>
        </w:rPr>
        <w:t xml:space="preserve"> November 2008, 42. https://doi.org/10.3917/rindu.084.0042</w:t>
      </w:r>
    </w:p>
    <w:p w14:paraId="5375BFE7"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7B4CC9">
        <w:rPr>
          <w:rFonts w:ascii="Arial" w:hAnsi="Arial" w:cs="Arial"/>
          <w:sz w:val="20"/>
          <w:szCs w:val="20"/>
          <w:lang w:val="en-US"/>
        </w:rPr>
        <w:t>Gashaw</w:t>
      </w:r>
      <w:proofErr w:type="spellEnd"/>
      <w:r w:rsidRPr="007B4CC9">
        <w:rPr>
          <w:rFonts w:ascii="Arial" w:hAnsi="Arial" w:cs="Arial"/>
          <w:sz w:val="20"/>
          <w:szCs w:val="20"/>
          <w:lang w:val="en-US"/>
        </w:rPr>
        <w:t>, A., 2014. Anaerobic Co-Digestion of Biodegradable Municipal Solid Waste with Human Excreta for Biogas Production: A Review. AJAC 2, 55. https://doi.org/10.11648/j.ajac.20140204.12</w:t>
      </w:r>
    </w:p>
    <w:p w14:paraId="674FD49C" w14:textId="77777777" w:rsidR="007B4CC9" w:rsidRPr="007B4CC9" w:rsidRDefault="007B4CC9" w:rsidP="007B4CC9">
      <w:pPr>
        <w:spacing w:after="0" w:line="360" w:lineRule="auto"/>
        <w:jc w:val="both"/>
        <w:rPr>
          <w:rFonts w:ascii="Arial" w:hAnsi="Arial" w:cs="Arial"/>
          <w:sz w:val="20"/>
          <w:szCs w:val="20"/>
          <w:lang w:val="en-US"/>
        </w:rPr>
      </w:pPr>
      <w:r w:rsidRPr="007B4CC9">
        <w:rPr>
          <w:rFonts w:ascii="Arial" w:hAnsi="Arial" w:cs="Arial"/>
          <w:sz w:val="20"/>
          <w:szCs w:val="20"/>
          <w:lang w:val="en-US"/>
        </w:rPr>
        <w:t>Gasquet, V., 2021. H2S Purification from Biogas from Raw and Formulated Thermal Treatment Residues: Comparison of Performance and Understanding of Adsorption Mechanisms. Ecology, Environment. University of Lyon, 2020. French. NNT:2020LYSEI106. tel03177730.</w:t>
      </w:r>
    </w:p>
    <w:p w14:paraId="7C9C60C0"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7B4CC9">
        <w:rPr>
          <w:rFonts w:ascii="Arial" w:hAnsi="Arial" w:cs="Arial"/>
          <w:sz w:val="20"/>
          <w:szCs w:val="20"/>
          <w:lang w:val="en-US"/>
        </w:rPr>
        <w:t>Guengant</w:t>
      </w:r>
      <w:proofErr w:type="spellEnd"/>
      <w:r w:rsidRPr="007B4CC9">
        <w:rPr>
          <w:rFonts w:ascii="Arial" w:hAnsi="Arial" w:cs="Arial"/>
          <w:sz w:val="20"/>
          <w:szCs w:val="20"/>
          <w:lang w:val="en-US"/>
        </w:rPr>
        <w:t>, J.-P., May, J.F., 2011. Sub-Saharan Africa in World Demography. Studies 415, 305–316. https://doi.org/10.3917/etu.4154.0305</w:t>
      </w:r>
    </w:p>
    <w:p w14:paraId="16389E2A" w14:textId="77777777" w:rsidR="007B4CC9" w:rsidRPr="007B4CC9" w:rsidRDefault="007B4CC9" w:rsidP="007B4CC9">
      <w:pPr>
        <w:spacing w:after="0" w:line="360" w:lineRule="auto"/>
        <w:jc w:val="both"/>
        <w:rPr>
          <w:rFonts w:ascii="Arial" w:hAnsi="Arial" w:cs="Arial"/>
          <w:sz w:val="20"/>
          <w:szCs w:val="20"/>
          <w:lang w:val="en-US"/>
        </w:rPr>
      </w:pPr>
      <w:r w:rsidRPr="007B4CC9">
        <w:rPr>
          <w:rFonts w:ascii="Arial" w:hAnsi="Arial" w:cs="Arial"/>
          <w:sz w:val="20"/>
          <w:szCs w:val="20"/>
          <w:lang w:val="en-US"/>
        </w:rPr>
        <w:t xml:space="preserve">Ignace, A., </w:t>
      </w:r>
      <w:proofErr w:type="spellStart"/>
      <w:r w:rsidRPr="007B4CC9">
        <w:rPr>
          <w:rFonts w:ascii="Arial" w:hAnsi="Arial" w:cs="Arial"/>
          <w:sz w:val="20"/>
          <w:szCs w:val="20"/>
          <w:lang w:val="en-US"/>
        </w:rPr>
        <w:t>Suanon</w:t>
      </w:r>
      <w:proofErr w:type="spellEnd"/>
      <w:r w:rsidRPr="007B4CC9">
        <w:rPr>
          <w:rFonts w:ascii="Arial" w:hAnsi="Arial" w:cs="Arial"/>
          <w:sz w:val="20"/>
          <w:szCs w:val="20"/>
          <w:lang w:val="en-US"/>
        </w:rPr>
        <w:t xml:space="preserve">, F., </w:t>
      </w:r>
      <w:proofErr w:type="spellStart"/>
      <w:r w:rsidRPr="007B4CC9">
        <w:rPr>
          <w:rFonts w:ascii="Arial" w:hAnsi="Arial" w:cs="Arial"/>
          <w:sz w:val="20"/>
          <w:szCs w:val="20"/>
          <w:lang w:val="en-US"/>
        </w:rPr>
        <w:t>Dimon</w:t>
      </w:r>
      <w:proofErr w:type="spellEnd"/>
      <w:r w:rsidRPr="007B4CC9">
        <w:rPr>
          <w:rFonts w:ascii="Arial" w:hAnsi="Arial" w:cs="Arial"/>
          <w:sz w:val="20"/>
          <w:szCs w:val="20"/>
          <w:lang w:val="en-US"/>
        </w:rPr>
        <w:t xml:space="preserve">, B., </w:t>
      </w:r>
      <w:proofErr w:type="spellStart"/>
      <w:r w:rsidRPr="007B4CC9">
        <w:rPr>
          <w:rFonts w:ascii="Arial" w:hAnsi="Arial" w:cs="Arial"/>
          <w:sz w:val="20"/>
          <w:szCs w:val="20"/>
          <w:lang w:val="en-US"/>
        </w:rPr>
        <w:t>Yovo</w:t>
      </w:r>
      <w:proofErr w:type="spellEnd"/>
      <w:r w:rsidRPr="007B4CC9">
        <w:rPr>
          <w:rFonts w:ascii="Arial" w:hAnsi="Arial" w:cs="Arial"/>
          <w:sz w:val="20"/>
          <w:szCs w:val="20"/>
          <w:lang w:val="en-US"/>
        </w:rPr>
        <w:t xml:space="preserve"> Franck, </w:t>
      </w:r>
      <w:proofErr w:type="spellStart"/>
      <w:r w:rsidRPr="007B4CC9">
        <w:rPr>
          <w:rFonts w:ascii="Arial" w:hAnsi="Arial" w:cs="Arial"/>
          <w:sz w:val="20"/>
          <w:szCs w:val="20"/>
          <w:lang w:val="en-US"/>
        </w:rPr>
        <w:t>Lyde</w:t>
      </w:r>
      <w:proofErr w:type="spellEnd"/>
      <w:r w:rsidRPr="007B4CC9">
        <w:rPr>
          <w:rFonts w:ascii="Arial" w:hAnsi="Arial" w:cs="Arial"/>
          <w:sz w:val="20"/>
          <w:szCs w:val="20"/>
          <w:lang w:val="en-US"/>
        </w:rPr>
        <w:t xml:space="preserve"> </w:t>
      </w:r>
      <w:proofErr w:type="spellStart"/>
      <w:r w:rsidRPr="007B4CC9">
        <w:rPr>
          <w:rFonts w:ascii="Arial" w:hAnsi="Arial" w:cs="Arial"/>
          <w:sz w:val="20"/>
          <w:szCs w:val="20"/>
          <w:lang w:val="en-US"/>
        </w:rPr>
        <w:t>Tomètin</w:t>
      </w:r>
      <w:proofErr w:type="spellEnd"/>
      <w:r w:rsidRPr="007B4CC9">
        <w:rPr>
          <w:rFonts w:ascii="Arial" w:hAnsi="Arial" w:cs="Arial"/>
          <w:sz w:val="20"/>
          <w:szCs w:val="20"/>
          <w:lang w:val="en-US"/>
        </w:rPr>
        <w:t xml:space="preserve">, </w:t>
      </w:r>
      <w:proofErr w:type="spellStart"/>
      <w:r w:rsidRPr="007B4CC9">
        <w:rPr>
          <w:rFonts w:ascii="Arial" w:hAnsi="Arial" w:cs="Arial"/>
          <w:sz w:val="20"/>
          <w:szCs w:val="20"/>
          <w:lang w:val="en-US"/>
        </w:rPr>
        <w:t>Daouda</w:t>
      </w:r>
      <w:proofErr w:type="spellEnd"/>
      <w:r w:rsidRPr="007B4CC9">
        <w:rPr>
          <w:rFonts w:ascii="Arial" w:hAnsi="Arial" w:cs="Arial"/>
          <w:sz w:val="20"/>
          <w:szCs w:val="20"/>
          <w:lang w:val="en-US"/>
        </w:rPr>
        <w:t xml:space="preserve"> Mama, Eni </w:t>
      </w:r>
      <w:proofErr w:type="spellStart"/>
      <w:r w:rsidRPr="007B4CC9">
        <w:rPr>
          <w:rFonts w:ascii="Arial" w:hAnsi="Arial" w:cs="Arial"/>
          <w:sz w:val="20"/>
          <w:szCs w:val="20"/>
          <w:lang w:val="en-US"/>
        </w:rPr>
        <w:t>Azandegbe</w:t>
      </w:r>
      <w:proofErr w:type="spellEnd"/>
      <w:r w:rsidRPr="007B4CC9">
        <w:rPr>
          <w:rFonts w:ascii="Arial" w:hAnsi="Arial" w:cs="Arial"/>
          <w:sz w:val="20"/>
          <w:szCs w:val="20"/>
          <w:lang w:val="en-US"/>
        </w:rPr>
        <w:t>, 2016. Biogas Recovery from Sewage Sludge during Anaerobic Digestion Process: Effect of Iron Powder on Methane Yield. International Research Journal of Environment Sciences 5, 2319–1414.</w:t>
      </w:r>
    </w:p>
    <w:p w14:paraId="151860D7" w14:textId="77777777" w:rsidR="007B4CC9" w:rsidRPr="007B4CC9" w:rsidRDefault="007B4CC9" w:rsidP="007B4CC9">
      <w:pPr>
        <w:spacing w:after="0" w:line="360" w:lineRule="auto"/>
        <w:jc w:val="both"/>
        <w:rPr>
          <w:rFonts w:ascii="Arial" w:hAnsi="Arial" w:cs="Arial"/>
          <w:sz w:val="20"/>
          <w:szCs w:val="20"/>
          <w:lang w:val="en-US"/>
        </w:rPr>
      </w:pPr>
      <w:r w:rsidRPr="007B4CC9">
        <w:rPr>
          <w:rFonts w:ascii="Arial" w:hAnsi="Arial" w:cs="Arial"/>
          <w:sz w:val="20"/>
          <w:szCs w:val="20"/>
          <w:lang w:val="en-US"/>
        </w:rPr>
        <w:t>INSAE, 2023. The Population of Benin in 2023 [WWW Document]. ZAKWELI. URL https://www.zakweli.com/population-benin/ (accessed 4.15.23).</w:t>
      </w:r>
    </w:p>
    <w:p w14:paraId="6347D8B1"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7B4CC9">
        <w:rPr>
          <w:rFonts w:ascii="Arial" w:hAnsi="Arial" w:cs="Arial"/>
          <w:sz w:val="20"/>
          <w:szCs w:val="20"/>
          <w:lang w:val="en-US"/>
        </w:rPr>
        <w:t>Irotori</w:t>
      </w:r>
      <w:proofErr w:type="spellEnd"/>
      <w:r w:rsidRPr="007B4CC9">
        <w:rPr>
          <w:rFonts w:ascii="Arial" w:hAnsi="Arial" w:cs="Arial"/>
          <w:sz w:val="20"/>
          <w:szCs w:val="20"/>
          <w:lang w:val="en-US"/>
        </w:rPr>
        <w:t xml:space="preserve">, E.-L.L.N., </w:t>
      </w:r>
      <w:proofErr w:type="spellStart"/>
      <w:r w:rsidRPr="007B4CC9">
        <w:rPr>
          <w:rFonts w:ascii="Arial" w:hAnsi="Arial" w:cs="Arial"/>
          <w:sz w:val="20"/>
          <w:szCs w:val="20"/>
          <w:lang w:val="en-US"/>
        </w:rPr>
        <w:t>Virgile</w:t>
      </w:r>
      <w:proofErr w:type="spellEnd"/>
      <w:r w:rsidRPr="007B4CC9">
        <w:rPr>
          <w:rFonts w:ascii="Arial" w:hAnsi="Arial" w:cs="Arial"/>
          <w:sz w:val="20"/>
          <w:szCs w:val="20"/>
          <w:lang w:val="en-US"/>
        </w:rPr>
        <w:t xml:space="preserve"> </w:t>
      </w:r>
      <w:proofErr w:type="spellStart"/>
      <w:r w:rsidRPr="007B4CC9">
        <w:rPr>
          <w:rFonts w:ascii="Arial" w:hAnsi="Arial" w:cs="Arial"/>
          <w:sz w:val="20"/>
          <w:szCs w:val="20"/>
          <w:lang w:val="en-US"/>
        </w:rPr>
        <w:t>Onesime</w:t>
      </w:r>
      <w:proofErr w:type="spellEnd"/>
      <w:r w:rsidRPr="007B4CC9">
        <w:rPr>
          <w:rFonts w:ascii="Arial" w:hAnsi="Arial" w:cs="Arial"/>
          <w:sz w:val="20"/>
          <w:szCs w:val="20"/>
          <w:lang w:val="en-US"/>
        </w:rPr>
        <w:t xml:space="preserve"> </w:t>
      </w:r>
      <w:proofErr w:type="spellStart"/>
      <w:r w:rsidRPr="007B4CC9">
        <w:rPr>
          <w:rFonts w:ascii="Arial" w:hAnsi="Arial" w:cs="Arial"/>
          <w:sz w:val="20"/>
          <w:szCs w:val="20"/>
          <w:lang w:val="en-US"/>
        </w:rPr>
        <w:t>Akowanou</w:t>
      </w:r>
      <w:proofErr w:type="spellEnd"/>
      <w:r w:rsidRPr="007B4CC9">
        <w:rPr>
          <w:rFonts w:ascii="Arial" w:hAnsi="Arial" w:cs="Arial"/>
          <w:sz w:val="20"/>
          <w:szCs w:val="20"/>
          <w:lang w:val="en-US"/>
        </w:rPr>
        <w:t xml:space="preserve">, A., Esperance Justine </w:t>
      </w:r>
      <w:proofErr w:type="spellStart"/>
      <w:r w:rsidRPr="007B4CC9">
        <w:rPr>
          <w:rFonts w:ascii="Arial" w:hAnsi="Arial" w:cs="Arial"/>
          <w:sz w:val="20"/>
          <w:szCs w:val="20"/>
          <w:lang w:val="en-US"/>
        </w:rPr>
        <w:t>Deguenon</w:t>
      </w:r>
      <w:proofErr w:type="spellEnd"/>
      <w:r w:rsidRPr="007B4CC9">
        <w:rPr>
          <w:rFonts w:ascii="Arial" w:hAnsi="Arial" w:cs="Arial"/>
          <w:sz w:val="20"/>
          <w:szCs w:val="20"/>
          <w:lang w:val="en-US"/>
        </w:rPr>
        <w:t xml:space="preserve">, H., </w:t>
      </w:r>
      <w:proofErr w:type="spellStart"/>
      <w:r w:rsidRPr="007B4CC9">
        <w:rPr>
          <w:rFonts w:ascii="Arial" w:hAnsi="Arial" w:cs="Arial"/>
          <w:sz w:val="20"/>
          <w:szCs w:val="20"/>
          <w:lang w:val="en-US"/>
        </w:rPr>
        <w:t>Kpehouenou</w:t>
      </w:r>
      <w:proofErr w:type="spellEnd"/>
      <w:r w:rsidRPr="007B4CC9">
        <w:rPr>
          <w:rFonts w:ascii="Arial" w:hAnsi="Arial" w:cs="Arial"/>
          <w:sz w:val="20"/>
          <w:szCs w:val="20"/>
          <w:lang w:val="en-US"/>
        </w:rPr>
        <w:t xml:space="preserve"> </w:t>
      </w:r>
      <w:proofErr w:type="spellStart"/>
      <w:r w:rsidRPr="007B4CC9">
        <w:rPr>
          <w:rFonts w:ascii="Arial" w:hAnsi="Arial" w:cs="Arial"/>
          <w:sz w:val="20"/>
          <w:szCs w:val="20"/>
          <w:lang w:val="en-US"/>
        </w:rPr>
        <w:t>Goussanou</w:t>
      </w:r>
      <w:proofErr w:type="spellEnd"/>
      <w:r w:rsidRPr="007B4CC9">
        <w:rPr>
          <w:rFonts w:ascii="Arial" w:hAnsi="Arial" w:cs="Arial"/>
          <w:sz w:val="20"/>
          <w:szCs w:val="20"/>
          <w:lang w:val="en-US"/>
        </w:rPr>
        <w:t xml:space="preserve">, B., Pepin </w:t>
      </w:r>
      <w:proofErr w:type="spellStart"/>
      <w:r w:rsidRPr="007B4CC9">
        <w:rPr>
          <w:rFonts w:ascii="Arial" w:hAnsi="Arial" w:cs="Arial"/>
          <w:sz w:val="20"/>
          <w:szCs w:val="20"/>
          <w:lang w:val="en-US"/>
        </w:rPr>
        <w:t>Aina</w:t>
      </w:r>
      <w:proofErr w:type="spellEnd"/>
      <w:r w:rsidRPr="007B4CC9">
        <w:rPr>
          <w:rFonts w:ascii="Arial" w:hAnsi="Arial" w:cs="Arial"/>
          <w:sz w:val="20"/>
          <w:szCs w:val="20"/>
          <w:lang w:val="en-US"/>
        </w:rPr>
        <w:t xml:space="preserve">, M., 2022. Characterization of </w:t>
      </w:r>
      <w:proofErr w:type="spellStart"/>
      <w:r w:rsidRPr="007B4CC9">
        <w:rPr>
          <w:rFonts w:ascii="Arial" w:hAnsi="Arial" w:cs="Arial"/>
          <w:sz w:val="20"/>
          <w:szCs w:val="20"/>
          <w:lang w:val="en-US"/>
        </w:rPr>
        <w:t>Faecal</w:t>
      </w:r>
      <w:proofErr w:type="spellEnd"/>
      <w:r w:rsidRPr="007B4CC9">
        <w:rPr>
          <w:rFonts w:ascii="Arial" w:hAnsi="Arial" w:cs="Arial"/>
          <w:sz w:val="20"/>
          <w:szCs w:val="20"/>
          <w:lang w:val="en-US"/>
        </w:rPr>
        <w:t xml:space="preserve"> Sludge in the </w:t>
      </w:r>
      <w:proofErr w:type="spellStart"/>
      <w:r w:rsidRPr="007B4CC9">
        <w:rPr>
          <w:rFonts w:ascii="Arial" w:hAnsi="Arial" w:cs="Arial"/>
          <w:sz w:val="20"/>
          <w:szCs w:val="20"/>
          <w:lang w:val="en-US"/>
        </w:rPr>
        <w:t>Oueme</w:t>
      </w:r>
      <w:proofErr w:type="spellEnd"/>
      <w:r w:rsidRPr="007B4CC9">
        <w:rPr>
          <w:rFonts w:ascii="Arial" w:hAnsi="Arial" w:cs="Arial"/>
          <w:sz w:val="20"/>
          <w:szCs w:val="20"/>
          <w:lang w:val="en-US"/>
        </w:rPr>
        <w:t xml:space="preserve"> Delta. CSIJ 19–28. https://doi.org/10.9734/CSJI/2022/v31i5821</w:t>
      </w:r>
    </w:p>
    <w:p w14:paraId="5650EE2B" w14:textId="77777777" w:rsidR="007B4CC9" w:rsidRPr="007B4CC9" w:rsidRDefault="007B4CC9" w:rsidP="007B4CC9">
      <w:pPr>
        <w:spacing w:after="0" w:line="360" w:lineRule="auto"/>
        <w:jc w:val="both"/>
        <w:rPr>
          <w:rFonts w:ascii="Arial" w:hAnsi="Arial" w:cs="Arial"/>
          <w:sz w:val="20"/>
          <w:szCs w:val="20"/>
          <w:lang w:val="en-US"/>
        </w:rPr>
      </w:pPr>
      <w:r w:rsidRPr="007B4CC9">
        <w:rPr>
          <w:rFonts w:ascii="Arial" w:hAnsi="Arial" w:cs="Arial"/>
          <w:sz w:val="20"/>
          <w:szCs w:val="20"/>
          <w:lang w:val="en-US"/>
        </w:rPr>
        <w:t xml:space="preserve">Jean-Pierre, C., Jean-Marc Perret, Clément </w:t>
      </w:r>
      <w:proofErr w:type="spellStart"/>
      <w:r w:rsidRPr="007B4CC9">
        <w:rPr>
          <w:rFonts w:ascii="Arial" w:hAnsi="Arial" w:cs="Arial"/>
          <w:sz w:val="20"/>
          <w:szCs w:val="20"/>
          <w:lang w:val="en-US"/>
        </w:rPr>
        <w:t>Crétollier</w:t>
      </w:r>
      <w:proofErr w:type="spellEnd"/>
      <w:r w:rsidRPr="007B4CC9">
        <w:rPr>
          <w:rFonts w:ascii="Arial" w:hAnsi="Arial" w:cs="Arial"/>
          <w:sz w:val="20"/>
          <w:szCs w:val="20"/>
          <w:lang w:val="en-US"/>
        </w:rPr>
        <w:t xml:space="preserve">, Paul Le </w:t>
      </w:r>
      <w:proofErr w:type="spellStart"/>
      <w:r w:rsidRPr="007B4CC9">
        <w:rPr>
          <w:rFonts w:ascii="Arial" w:hAnsi="Arial" w:cs="Arial"/>
          <w:sz w:val="20"/>
          <w:szCs w:val="20"/>
          <w:lang w:val="en-US"/>
        </w:rPr>
        <w:t>Pimpec</w:t>
      </w:r>
      <w:proofErr w:type="spellEnd"/>
      <w:r w:rsidRPr="007B4CC9">
        <w:rPr>
          <w:rFonts w:ascii="Arial" w:hAnsi="Arial" w:cs="Arial"/>
          <w:sz w:val="20"/>
          <w:szCs w:val="20"/>
          <w:lang w:val="en-US"/>
        </w:rPr>
        <w:t xml:space="preserve">, Stéphane </w:t>
      </w:r>
      <w:proofErr w:type="spellStart"/>
      <w:r w:rsidRPr="007B4CC9">
        <w:rPr>
          <w:rFonts w:ascii="Arial" w:hAnsi="Arial" w:cs="Arial"/>
          <w:sz w:val="20"/>
          <w:szCs w:val="20"/>
          <w:lang w:val="en-US"/>
        </w:rPr>
        <w:t>Troesch</w:t>
      </w:r>
      <w:proofErr w:type="spellEnd"/>
      <w:r w:rsidRPr="007B4CC9">
        <w:rPr>
          <w:rFonts w:ascii="Arial" w:hAnsi="Arial" w:cs="Arial"/>
          <w:sz w:val="20"/>
          <w:szCs w:val="20"/>
          <w:lang w:val="en-US"/>
        </w:rPr>
        <w:t xml:space="preserve">, </w:t>
      </w:r>
      <w:proofErr w:type="spellStart"/>
      <w:r w:rsidRPr="007B4CC9">
        <w:rPr>
          <w:rFonts w:ascii="Arial" w:hAnsi="Arial" w:cs="Arial"/>
          <w:sz w:val="20"/>
          <w:szCs w:val="20"/>
          <w:lang w:val="en-US"/>
        </w:rPr>
        <w:t>Mickaël</w:t>
      </w:r>
      <w:proofErr w:type="spellEnd"/>
      <w:r w:rsidRPr="007B4CC9">
        <w:rPr>
          <w:rFonts w:ascii="Arial" w:hAnsi="Arial" w:cs="Arial"/>
          <w:sz w:val="20"/>
          <w:szCs w:val="20"/>
          <w:lang w:val="en-US"/>
        </w:rPr>
        <w:t xml:space="preserve"> </w:t>
      </w:r>
      <w:proofErr w:type="spellStart"/>
      <w:r w:rsidRPr="007B4CC9">
        <w:rPr>
          <w:rFonts w:ascii="Arial" w:hAnsi="Arial" w:cs="Arial"/>
          <w:sz w:val="20"/>
          <w:szCs w:val="20"/>
          <w:lang w:val="en-US"/>
        </w:rPr>
        <w:t>Mesnier</w:t>
      </w:r>
      <w:proofErr w:type="spellEnd"/>
      <w:r w:rsidRPr="007B4CC9">
        <w:rPr>
          <w:rFonts w:ascii="Arial" w:hAnsi="Arial" w:cs="Arial"/>
          <w:sz w:val="20"/>
          <w:szCs w:val="20"/>
          <w:lang w:val="en-US"/>
        </w:rPr>
        <w:t xml:space="preserve">, 2009. Technical Guide on Fecal Sludge from Non-Collective Sanitation: Characterization, Collection, and Possible Treatments. Khalid, A., Arshad, M., Anjum, M., Mahmood, T., Dawson, L., </w:t>
      </w:r>
      <w:r w:rsidRPr="007B4CC9">
        <w:rPr>
          <w:rFonts w:ascii="Arial" w:hAnsi="Arial" w:cs="Arial"/>
          <w:sz w:val="20"/>
          <w:szCs w:val="20"/>
          <w:lang w:val="en-US"/>
        </w:rPr>
        <w:lastRenderedPageBreak/>
        <w:t>2011. The anaerobic digestion of solid organic waste. Waste Management 31, 1737–1744. https://doi.org/10.1016/j.wasman.2011.03.021</w:t>
      </w:r>
    </w:p>
    <w:p w14:paraId="79CDC8BA" w14:textId="77777777" w:rsidR="007B4CC9" w:rsidRPr="007B4CC9" w:rsidRDefault="007B4CC9" w:rsidP="007B4CC9">
      <w:pPr>
        <w:spacing w:after="0" w:line="360" w:lineRule="auto"/>
        <w:jc w:val="both"/>
        <w:rPr>
          <w:rFonts w:ascii="Arial" w:hAnsi="Arial" w:cs="Arial"/>
          <w:sz w:val="20"/>
          <w:szCs w:val="20"/>
          <w:lang w:val="en-US"/>
        </w:rPr>
      </w:pPr>
      <w:r w:rsidRPr="007B4CC9">
        <w:rPr>
          <w:rFonts w:ascii="Arial" w:hAnsi="Arial" w:cs="Arial"/>
          <w:sz w:val="20"/>
          <w:szCs w:val="20"/>
          <w:lang w:val="en-US"/>
        </w:rPr>
        <w:t xml:space="preserve">Kone, M., Service, E., Ouattara, Y., Ouattara, P., </w:t>
      </w:r>
      <w:proofErr w:type="spellStart"/>
      <w:r w:rsidRPr="007B4CC9">
        <w:rPr>
          <w:rFonts w:ascii="Arial" w:hAnsi="Arial" w:cs="Arial"/>
          <w:sz w:val="20"/>
          <w:szCs w:val="20"/>
          <w:lang w:val="en-US"/>
        </w:rPr>
        <w:t>Bonou</w:t>
      </w:r>
      <w:proofErr w:type="spellEnd"/>
      <w:r w:rsidRPr="007B4CC9">
        <w:rPr>
          <w:rFonts w:ascii="Arial" w:hAnsi="Arial" w:cs="Arial"/>
          <w:sz w:val="20"/>
          <w:szCs w:val="20"/>
          <w:lang w:val="en-US"/>
        </w:rPr>
        <w:t xml:space="preserve">, L., Joly, P., 2017. Characterization of fecal sludge deposited on the drying beds of </w:t>
      </w:r>
      <w:proofErr w:type="spellStart"/>
      <w:r w:rsidRPr="007B4CC9">
        <w:rPr>
          <w:rFonts w:ascii="Arial" w:hAnsi="Arial" w:cs="Arial"/>
          <w:sz w:val="20"/>
          <w:szCs w:val="20"/>
          <w:lang w:val="en-US"/>
        </w:rPr>
        <w:t>Zagtouli</w:t>
      </w:r>
      <w:proofErr w:type="spellEnd"/>
      <w:r w:rsidRPr="007B4CC9">
        <w:rPr>
          <w:rFonts w:ascii="Arial" w:hAnsi="Arial" w:cs="Arial"/>
          <w:sz w:val="20"/>
          <w:szCs w:val="20"/>
          <w:lang w:val="en-US"/>
        </w:rPr>
        <w:t xml:space="preserve"> (Ouagadougou). Int. J. Bio. Chem. Sci 10, 2781. https://doi.org/10.4314/ijbcs.v10i6.30</w:t>
      </w:r>
    </w:p>
    <w:p w14:paraId="669A70FE"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7B4CC9">
        <w:rPr>
          <w:rFonts w:ascii="Arial" w:hAnsi="Arial" w:cs="Arial"/>
          <w:sz w:val="20"/>
          <w:szCs w:val="20"/>
          <w:lang w:val="en-US"/>
        </w:rPr>
        <w:t>Kradolfer</w:t>
      </w:r>
      <w:proofErr w:type="spellEnd"/>
      <w:r w:rsidRPr="007B4CC9">
        <w:rPr>
          <w:rFonts w:ascii="Arial" w:hAnsi="Arial" w:cs="Arial"/>
          <w:sz w:val="20"/>
          <w:szCs w:val="20"/>
          <w:lang w:val="en-US"/>
        </w:rPr>
        <w:t xml:space="preserve">, J., M. </w:t>
      </w:r>
      <w:proofErr w:type="spellStart"/>
      <w:r w:rsidRPr="007B4CC9">
        <w:rPr>
          <w:rFonts w:ascii="Arial" w:hAnsi="Arial" w:cs="Arial"/>
          <w:sz w:val="20"/>
          <w:szCs w:val="20"/>
          <w:lang w:val="en-US"/>
        </w:rPr>
        <w:t>Deront</w:t>
      </w:r>
      <w:proofErr w:type="spellEnd"/>
      <w:r w:rsidRPr="007B4CC9">
        <w:rPr>
          <w:rFonts w:ascii="Arial" w:hAnsi="Arial" w:cs="Arial"/>
          <w:sz w:val="20"/>
          <w:szCs w:val="20"/>
          <w:lang w:val="en-US"/>
        </w:rPr>
        <w:t>, N. Adler, 2013. Analytical methods for influents/effluents from bioreactors or wastewater treatment plants.</w:t>
      </w:r>
    </w:p>
    <w:p w14:paraId="4DEDAFFE" w14:textId="77777777" w:rsidR="007B4CC9" w:rsidRPr="007B4CC9" w:rsidRDefault="007B4CC9" w:rsidP="007B4CC9">
      <w:pPr>
        <w:spacing w:after="0" w:line="360" w:lineRule="auto"/>
        <w:jc w:val="both"/>
        <w:rPr>
          <w:rFonts w:ascii="Arial" w:hAnsi="Arial" w:cs="Arial"/>
          <w:sz w:val="20"/>
          <w:szCs w:val="20"/>
          <w:lang w:val="en-US"/>
        </w:rPr>
      </w:pPr>
      <w:r w:rsidRPr="007B4CC9">
        <w:rPr>
          <w:rFonts w:ascii="Arial" w:hAnsi="Arial" w:cs="Arial"/>
          <w:sz w:val="20"/>
          <w:szCs w:val="20"/>
          <w:lang w:val="en-US"/>
        </w:rPr>
        <w:t>Liu, X., Liu, Y., Wang, M., Deng, Q., Yang, H., 2024. Enhancing corn stalk-based anaerobic digestion with different types of zero-valent iron added during the acidification stage: Performance and mechanism. Journal of Environmental Sciences 145, 64–74. https://doi.org/10.1016/j.jes.2023.07.040</w:t>
      </w:r>
    </w:p>
    <w:p w14:paraId="32857672" w14:textId="77777777" w:rsidR="007B4CC9" w:rsidRPr="007B4CC9" w:rsidRDefault="007B4CC9" w:rsidP="007B4CC9">
      <w:pPr>
        <w:spacing w:after="0" w:line="360" w:lineRule="auto"/>
        <w:jc w:val="both"/>
        <w:rPr>
          <w:rFonts w:ascii="Arial" w:hAnsi="Arial" w:cs="Arial"/>
          <w:sz w:val="20"/>
          <w:szCs w:val="20"/>
          <w:lang w:val="en-US"/>
        </w:rPr>
      </w:pPr>
      <w:r w:rsidRPr="007B4CC9">
        <w:rPr>
          <w:rFonts w:ascii="Arial" w:hAnsi="Arial" w:cs="Arial"/>
          <w:sz w:val="20"/>
          <w:szCs w:val="20"/>
          <w:lang w:val="en-US"/>
        </w:rPr>
        <w:t xml:space="preserve">Lo, M., Sonko, E. </w:t>
      </w:r>
      <w:proofErr w:type="spellStart"/>
      <w:r w:rsidRPr="007B4CC9">
        <w:rPr>
          <w:rFonts w:ascii="Arial" w:hAnsi="Arial" w:cs="Arial"/>
          <w:sz w:val="20"/>
          <w:szCs w:val="20"/>
          <w:lang w:val="en-US"/>
        </w:rPr>
        <w:t>hadji</w:t>
      </w:r>
      <w:proofErr w:type="spellEnd"/>
      <w:r w:rsidRPr="007B4CC9">
        <w:rPr>
          <w:rFonts w:ascii="Arial" w:hAnsi="Arial" w:cs="Arial"/>
          <w:sz w:val="20"/>
          <w:szCs w:val="20"/>
          <w:lang w:val="en-US"/>
        </w:rPr>
        <w:t xml:space="preserve"> M., </w:t>
      </w:r>
      <w:proofErr w:type="spellStart"/>
      <w:r w:rsidRPr="007B4CC9">
        <w:rPr>
          <w:rFonts w:ascii="Arial" w:hAnsi="Arial" w:cs="Arial"/>
          <w:sz w:val="20"/>
          <w:szCs w:val="20"/>
          <w:lang w:val="en-US"/>
        </w:rPr>
        <w:t>Dieng</w:t>
      </w:r>
      <w:proofErr w:type="spellEnd"/>
      <w:r w:rsidRPr="007B4CC9">
        <w:rPr>
          <w:rFonts w:ascii="Arial" w:hAnsi="Arial" w:cs="Arial"/>
          <w:sz w:val="20"/>
          <w:szCs w:val="20"/>
          <w:lang w:val="en-US"/>
        </w:rPr>
        <w:t xml:space="preserve">, D., Ndiaye </w:t>
      </w:r>
      <w:proofErr w:type="spellStart"/>
      <w:r w:rsidRPr="007B4CC9">
        <w:rPr>
          <w:rFonts w:ascii="Arial" w:hAnsi="Arial" w:cs="Arial"/>
          <w:sz w:val="20"/>
          <w:szCs w:val="20"/>
          <w:lang w:val="en-US"/>
        </w:rPr>
        <w:t>Saliou</w:t>
      </w:r>
      <w:proofErr w:type="spellEnd"/>
      <w:r w:rsidRPr="007B4CC9">
        <w:rPr>
          <w:rFonts w:ascii="Arial" w:hAnsi="Arial" w:cs="Arial"/>
          <w:sz w:val="20"/>
          <w:szCs w:val="20"/>
          <w:lang w:val="en-US"/>
        </w:rPr>
        <w:t xml:space="preserve">, </w:t>
      </w:r>
      <w:proofErr w:type="spellStart"/>
      <w:r w:rsidRPr="007B4CC9">
        <w:rPr>
          <w:rFonts w:ascii="Arial" w:hAnsi="Arial" w:cs="Arial"/>
          <w:sz w:val="20"/>
          <w:szCs w:val="20"/>
          <w:lang w:val="en-US"/>
        </w:rPr>
        <w:t>Diop</w:t>
      </w:r>
      <w:proofErr w:type="spellEnd"/>
      <w:r w:rsidRPr="007B4CC9">
        <w:rPr>
          <w:rFonts w:ascii="Arial" w:hAnsi="Arial" w:cs="Arial"/>
          <w:sz w:val="20"/>
          <w:szCs w:val="20"/>
          <w:lang w:val="en-US"/>
        </w:rPr>
        <w:t xml:space="preserve"> </w:t>
      </w:r>
      <w:proofErr w:type="spellStart"/>
      <w:r w:rsidRPr="007B4CC9">
        <w:rPr>
          <w:rFonts w:ascii="Arial" w:hAnsi="Arial" w:cs="Arial"/>
          <w:sz w:val="20"/>
          <w:szCs w:val="20"/>
          <w:lang w:val="en-US"/>
        </w:rPr>
        <w:t>Cheikh</w:t>
      </w:r>
      <w:proofErr w:type="spellEnd"/>
      <w:r w:rsidRPr="007B4CC9">
        <w:rPr>
          <w:rFonts w:ascii="Arial" w:hAnsi="Arial" w:cs="Arial"/>
          <w:sz w:val="20"/>
          <w:szCs w:val="20"/>
          <w:lang w:val="en-US"/>
        </w:rPr>
        <w:t xml:space="preserve">, </w:t>
      </w:r>
      <w:proofErr w:type="spellStart"/>
      <w:r w:rsidRPr="007B4CC9">
        <w:rPr>
          <w:rFonts w:ascii="Arial" w:hAnsi="Arial" w:cs="Arial"/>
          <w:sz w:val="20"/>
          <w:szCs w:val="20"/>
          <w:lang w:val="en-US"/>
        </w:rPr>
        <w:t>Seck</w:t>
      </w:r>
      <w:proofErr w:type="spellEnd"/>
      <w:r w:rsidRPr="007B4CC9">
        <w:rPr>
          <w:rFonts w:ascii="Arial" w:hAnsi="Arial" w:cs="Arial"/>
          <w:sz w:val="20"/>
          <w:szCs w:val="20"/>
          <w:lang w:val="en-US"/>
        </w:rPr>
        <w:t xml:space="preserve"> </w:t>
      </w:r>
      <w:proofErr w:type="spellStart"/>
      <w:r w:rsidRPr="007B4CC9">
        <w:rPr>
          <w:rFonts w:ascii="Arial" w:hAnsi="Arial" w:cs="Arial"/>
          <w:sz w:val="20"/>
          <w:szCs w:val="20"/>
          <w:lang w:val="en-US"/>
        </w:rPr>
        <w:t>Alsane</w:t>
      </w:r>
      <w:proofErr w:type="spellEnd"/>
      <w:r w:rsidRPr="007B4CC9">
        <w:rPr>
          <w:rFonts w:ascii="Arial" w:hAnsi="Arial" w:cs="Arial"/>
          <w:sz w:val="20"/>
          <w:szCs w:val="20"/>
          <w:lang w:val="en-US"/>
        </w:rPr>
        <w:t xml:space="preserve">, </w:t>
      </w:r>
      <w:proofErr w:type="spellStart"/>
      <w:r w:rsidRPr="007B4CC9">
        <w:rPr>
          <w:rFonts w:ascii="Arial" w:hAnsi="Arial" w:cs="Arial"/>
          <w:sz w:val="20"/>
          <w:szCs w:val="20"/>
          <w:lang w:val="en-US"/>
        </w:rPr>
        <w:t>Gueye</w:t>
      </w:r>
      <w:proofErr w:type="spellEnd"/>
      <w:r w:rsidRPr="007B4CC9">
        <w:rPr>
          <w:rFonts w:ascii="Arial" w:hAnsi="Arial" w:cs="Arial"/>
          <w:sz w:val="20"/>
          <w:szCs w:val="20"/>
          <w:lang w:val="en-US"/>
        </w:rPr>
        <w:t xml:space="preserve"> </w:t>
      </w:r>
      <w:proofErr w:type="spellStart"/>
      <w:r w:rsidRPr="007B4CC9">
        <w:rPr>
          <w:rFonts w:ascii="Arial" w:hAnsi="Arial" w:cs="Arial"/>
          <w:sz w:val="20"/>
          <w:szCs w:val="20"/>
          <w:lang w:val="en-US"/>
        </w:rPr>
        <w:t>Amadou</w:t>
      </w:r>
      <w:proofErr w:type="spellEnd"/>
      <w:r w:rsidRPr="007B4CC9">
        <w:rPr>
          <w:rFonts w:ascii="Arial" w:hAnsi="Arial" w:cs="Arial"/>
          <w:sz w:val="20"/>
          <w:szCs w:val="20"/>
          <w:lang w:val="en-US"/>
        </w:rPr>
        <w:t>, 2020. Co-composting of domestic fecal sludge with vegetable waste and fish waste in Dakar (Senegal). Int. J. Bio. Chem. Sci 13, 2914. https://doi.org/10.4314/ijbcs.v13i6.38</w:t>
      </w:r>
    </w:p>
    <w:p w14:paraId="451DBEB8"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7B4CC9">
        <w:rPr>
          <w:rFonts w:ascii="Arial" w:hAnsi="Arial" w:cs="Arial"/>
          <w:sz w:val="20"/>
          <w:szCs w:val="20"/>
          <w:lang w:val="en-US"/>
        </w:rPr>
        <w:t>Mézes</w:t>
      </w:r>
      <w:proofErr w:type="spellEnd"/>
      <w:r w:rsidRPr="007B4CC9">
        <w:rPr>
          <w:rFonts w:ascii="Arial" w:hAnsi="Arial" w:cs="Arial"/>
          <w:sz w:val="20"/>
          <w:szCs w:val="20"/>
          <w:lang w:val="en-US"/>
        </w:rPr>
        <w:t xml:space="preserve">, L., </w:t>
      </w:r>
      <w:proofErr w:type="spellStart"/>
      <w:r w:rsidRPr="007B4CC9">
        <w:rPr>
          <w:rFonts w:ascii="Arial" w:hAnsi="Arial" w:cs="Arial"/>
          <w:sz w:val="20"/>
          <w:szCs w:val="20"/>
          <w:lang w:val="en-US"/>
        </w:rPr>
        <w:t>Györgyi</w:t>
      </w:r>
      <w:proofErr w:type="spellEnd"/>
      <w:r w:rsidRPr="007B4CC9">
        <w:rPr>
          <w:rFonts w:ascii="Arial" w:hAnsi="Arial" w:cs="Arial"/>
          <w:sz w:val="20"/>
          <w:szCs w:val="20"/>
          <w:lang w:val="en-US"/>
        </w:rPr>
        <w:t xml:space="preserve">, B., Erika, S., </w:t>
      </w:r>
      <w:proofErr w:type="spellStart"/>
      <w:r w:rsidRPr="007B4CC9">
        <w:rPr>
          <w:rFonts w:ascii="Arial" w:hAnsi="Arial" w:cs="Arial"/>
          <w:sz w:val="20"/>
          <w:szCs w:val="20"/>
          <w:lang w:val="en-US"/>
        </w:rPr>
        <w:t>Mikaly</w:t>
      </w:r>
      <w:proofErr w:type="spellEnd"/>
      <w:r w:rsidRPr="007B4CC9">
        <w:rPr>
          <w:rFonts w:ascii="Arial" w:hAnsi="Arial" w:cs="Arial"/>
          <w:sz w:val="20"/>
          <w:szCs w:val="20"/>
          <w:lang w:val="en-US"/>
        </w:rPr>
        <w:t>, P., Janos, B., Janos, T., 2011. Novel approach on the basis of FOS/TAC method. International Symposium “Risk Factors for Environment and Food Safety” and “Natural Resources and Sustainable Development” and “50 Years of Agriculture Research in Oradea”, Faculty of Environmental Protection 82–87.</w:t>
      </w:r>
    </w:p>
    <w:p w14:paraId="212A6160"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7B4CC9">
        <w:rPr>
          <w:rFonts w:ascii="Arial" w:hAnsi="Arial" w:cs="Arial"/>
          <w:sz w:val="20"/>
          <w:szCs w:val="20"/>
          <w:lang w:val="en-US"/>
        </w:rPr>
        <w:t>Poromna</w:t>
      </w:r>
      <w:proofErr w:type="spellEnd"/>
      <w:r w:rsidRPr="007B4CC9">
        <w:rPr>
          <w:rFonts w:ascii="Arial" w:hAnsi="Arial" w:cs="Arial"/>
          <w:sz w:val="20"/>
          <w:szCs w:val="20"/>
          <w:lang w:val="en-US"/>
        </w:rPr>
        <w:t xml:space="preserve">, H., </w:t>
      </w:r>
      <w:proofErr w:type="spellStart"/>
      <w:r w:rsidRPr="007B4CC9">
        <w:rPr>
          <w:rFonts w:ascii="Arial" w:hAnsi="Arial" w:cs="Arial"/>
          <w:sz w:val="20"/>
          <w:szCs w:val="20"/>
          <w:lang w:val="en-US"/>
        </w:rPr>
        <w:t>Gado</w:t>
      </w:r>
      <w:proofErr w:type="spellEnd"/>
      <w:r w:rsidRPr="007B4CC9">
        <w:rPr>
          <w:rFonts w:ascii="Arial" w:hAnsi="Arial" w:cs="Arial"/>
          <w:sz w:val="20"/>
          <w:szCs w:val="20"/>
          <w:lang w:val="en-US"/>
        </w:rPr>
        <w:t xml:space="preserve">, A.R., </w:t>
      </w:r>
      <w:proofErr w:type="spellStart"/>
      <w:r w:rsidRPr="007B4CC9">
        <w:rPr>
          <w:rFonts w:ascii="Arial" w:hAnsi="Arial" w:cs="Arial"/>
          <w:sz w:val="20"/>
          <w:szCs w:val="20"/>
          <w:lang w:val="en-US"/>
        </w:rPr>
        <w:t>Kangni-Dossou</w:t>
      </w:r>
      <w:proofErr w:type="spellEnd"/>
      <w:r w:rsidRPr="007B4CC9">
        <w:rPr>
          <w:rFonts w:ascii="Arial" w:hAnsi="Arial" w:cs="Arial"/>
          <w:sz w:val="20"/>
          <w:szCs w:val="20"/>
          <w:lang w:val="en-US"/>
        </w:rPr>
        <w:t xml:space="preserve">, M., </w:t>
      </w:r>
      <w:proofErr w:type="spellStart"/>
      <w:r w:rsidRPr="007B4CC9">
        <w:rPr>
          <w:rFonts w:ascii="Arial" w:hAnsi="Arial" w:cs="Arial"/>
          <w:sz w:val="20"/>
          <w:szCs w:val="20"/>
          <w:lang w:val="en-US"/>
        </w:rPr>
        <w:t>Gnandi</w:t>
      </w:r>
      <w:proofErr w:type="spellEnd"/>
      <w:r w:rsidRPr="007B4CC9">
        <w:rPr>
          <w:rFonts w:ascii="Arial" w:hAnsi="Arial" w:cs="Arial"/>
          <w:sz w:val="20"/>
          <w:szCs w:val="20"/>
          <w:lang w:val="en-US"/>
        </w:rPr>
        <w:t xml:space="preserve">, K., </w:t>
      </w:r>
      <w:proofErr w:type="spellStart"/>
      <w:r w:rsidRPr="007B4CC9">
        <w:rPr>
          <w:rFonts w:ascii="Arial" w:hAnsi="Arial" w:cs="Arial"/>
          <w:sz w:val="20"/>
          <w:szCs w:val="20"/>
          <w:lang w:val="en-US"/>
        </w:rPr>
        <w:t>Ameyapoh</w:t>
      </w:r>
      <w:proofErr w:type="spellEnd"/>
      <w:r w:rsidRPr="007B4CC9">
        <w:rPr>
          <w:rFonts w:ascii="Arial" w:hAnsi="Arial" w:cs="Arial"/>
          <w:sz w:val="20"/>
          <w:szCs w:val="20"/>
          <w:lang w:val="en-US"/>
        </w:rPr>
        <w:t xml:space="preserve">, Y., 2022. Assessment of the Vulnerability of Groundwater to Pollution Caused by Poor Management of Fecal Sludge in the City of </w:t>
      </w:r>
      <w:proofErr w:type="spellStart"/>
      <w:r w:rsidRPr="007B4CC9">
        <w:rPr>
          <w:rFonts w:ascii="Arial" w:hAnsi="Arial" w:cs="Arial"/>
          <w:sz w:val="20"/>
          <w:szCs w:val="20"/>
          <w:lang w:val="en-US"/>
        </w:rPr>
        <w:t>Aného</w:t>
      </w:r>
      <w:proofErr w:type="spellEnd"/>
      <w:r w:rsidRPr="007B4CC9">
        <w:rPr>
          <w:rFonts w:ascii="Arial" w:hAnsi="Arial" w:cs="Arial"/>
          <w:sz w:val="20"/>
          <w:szCs w:val="20"/>
          <w:lang w:val="en-US"/>
        </w:rPr>
        <w:t>, ​​Togo. European Scientific Journal, ESJ 18, 208–244. https://doi.org/10.19044/esj.2022.v18n21p208</w:t>
      </w:r>
    </w:p>
    <w:p w14:paraId="71E6731E"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7B4CC9">
        <w:rPr>
          <w:rFonts w:ascii="Arial" w:hAnsi="Arial" w:cs="Arial"/>
          <w:sz w:val="20"/>
          <w:szCs w:val="20"/>
          <w:lang w:val="en-US"/>
        </w:rPr>
        <w:t>Poromna</w:t>
      </w:r>
      <w:proofErr w:type="spellEnd"/>
      <w:r w:rsidRPr="007B4CC9">
        <w:rPr>
          <w:rFonts w:ascii="Arial" w:hAnsi="Arial" w:cs="Arial"/>
          <w:sz w:val="20"/>
          <w:szCs w:val="20"/>
          <w:lang w:val="en-US"/>
        </w:rPr>
        <w:t xml:space="preserve">, H., </w:t>
      </w:r>
      <w:proofErr w:type="spellStart"/>
      <w:r w:rsidRPr="007B4CC9">
        <w:rPr>
          <w:rFonts w:ascii="Arial" w:hAnsi="Arial" w:cs="Arial"/>
          <w:sz w:val="20"/>
          <w:szCs w:val="20"/>
          <w:lang w:val="en-US"/>
        </w:rPr>
        <w:t>Lare</w:t>
      </w:r>
      <w:proofErr w:type="spellEnd"/>
      <w:r w:rsidRPr="007B4CC9">
        <w:rPr>
          <w:rFonts w:ascii="Arial" w:hAnsi="Arial" w:cs="Arial"/>
          <w:sz w:val="20"/>
          <w:szCs w:val="20"/>
          <w:lang w:val="en-US"/>
        </w:rPr>
        <w:t xml:space="preserve">, F., </w:t>
      </w:r>
      <w:proofErr w:type="spellStart"/>
      <w:r w:rsidRPr="007B4CC9">
        <w:rPr>
          <w:rFonts w:ascii="Arial" w:hAnsi="Arial" w:cs="Arial"/>
          <w:sz w:val="20"/>
          <w:szCs w:val="20"/>
          <w:lang w:val="en-US"/>
        </w:rPr>
        <w:t>Sossou</w:t>
      </w:r>
      <w:proofErr w:type="spellEnd"/>
      <w:r w:rsidRPr="007B4CC9">
        <w:rPr>
          <w:rFonts w:ascii="Arial" w:hAnsi="Arial" w:cs="Arial"/>
          <w:sz w:val="20"/>
          <w:szCs w:val="20"/>
          <w:lang w:val="en-US"/>
        </w:rPr>
        <w:t xml:space="preserve">, S.K., </w:t>
      </w:r>
      <w:proofErr w:type="spellStart"/>
      <w:r w:rsidRPr="007B4CC9">
        <w:rPr>
          <w:rFonts w:ascii="Arial" w:hAnsi="Arial" w:cs="Arial"/>
          <w:sz w:val="20"/>
          <w:szCs w:val="20"/>
          <w:lang w:val="en-US"/>
        </w:rPr>
        <w:t>Kangni-dossou</w:t>
      </w:r>
      <w:proofErr w:type="spellEnd"/>
      <w:r w:rsidRPr="007B4CC9">
        <w:rPr>
          <w:rFonts w:ascii="Arial" w:hAnsi="Arial" w:cs="Arial"/>
          <w:sz w:val="20"/>
          <w:szCs w:val="20"/>
          <w:lang w:val="en-US"/>
        </w:rPr>
        <w:t xml:space="preserve">, M., </w:t>
      </w:r>
      <w:proofErr w:type="spellStart"/>
      <w:r w:rsidRPr="007B4CC9">
        <w:rPr>
          <w:rFonts w:ascii="Arial" w:hAnsi="Arial" w:cs="Arial"/>
          <w:sz w:val="20"/>
          <w:szCs w:val="20"/>
          <w:lang w:val="en-US"/>
        </w:rPr>
        <w:t>Gnandi</w:t>
      </w:r>
      <w:proofErr w:type="spellEnd"/>
      <w:r w:rsidRPr="007B4CC9">
        <w:rPr>
          <w:rFonts w:ascii="Arial" w:hAnsi="Arial" w:cs="Arial"/>
          <w:sz w:val="20"/>
          <w:szCs w:val="20"/>
          <w:lang w:val="en-US"/>
        </w:rPr>
        <w:t xml:space="preserve">, K., </w:t>
      </w:r>
      <w:proofErr w:type="spellStart"/>
      <w:r w:rsidRPr="007B4CC9">
        <w:rPr>
          <w:rFonts w:ascii="Arial" w:hAnsi="Arial" w:cs="Arial"/>
          <w:sz w:val="20"/>
          <w:szCs w:val="20"/>
          <w:lang w:val="en-US"/>
        </w:rPr>
        <w:t>Ameyapoh</w:t>
      </w:r>
      <w:proofErr w:type="spellEnd"/>
      <w:r w:rsidRPr="007B4CC9">
        <w:rPr>
          <w:rFonts w:ascii="Arial" w:hAnsi="Arial" w:cs="Arial"/>
          <w:sz w:val="20"/>
          <w:szCs w:val="20"/>
          <w:lang w:val="en-US"/>
        </w:rPr>
        <w:t xml:space="preserve">, Y., 2020. Quantification and characterization of fecal sludge in the city of </w:t>
      </w:r>
      <w:proofErr w:type="spellStart"/>
      <w:r w:rsidRPr="007B4CC9">
        <w:rPr>
          <w:rFonts w:ascii="Arial" w:hAnsi="Arial" w:cs="Arial"/>
          <w:sz w:val="20"/>
          <w:szCs w:val="20"/>
          <w:lang w:val="en-US"/>
        </w:rPr>
        <w:t>Aného</w:t>
      </w:r>
      <w:proofErr w:type="spellEnd"/>
      <w:r w:rsidRPr="007B4CC9">
        <w:rPr>
          <w:rFonts w:ascii="Arial" w:hAnsi="Arial" w:cs="Arial"/>
          <w:sz w:val="20"/>
          <w:szCs w:val="20"/>
          <w:lang w:val="en-US"/>
        </w:rPr>
        <w:t>, ​​Togo, for the selection of appropriate treatment. International Journal of Innovation and Scientific Research 49, 288–300.</w:t>
      </w:r>
    </w:p>
    <w:p w14:paraId="30DB3E89"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7B4CC9">
        <w:rPr>
          <w:rFonts w:ascii="Arial" w:hAnsi="Arial" w:cs="Arial"/>
          <w:sz w:val="20"/>
          <w:szCs w:val="20"/>
          <w:lang w:val="en-US"/>
        </w:rPr>
        <w:t>Rodier</w:t>
      </w:r>
      <w:proofErr w:type="spellEnd"/>
      <w:r w:rsidRPr="007B4CC9">
        <w:rPr>
          <w:rFonts w:ascii="Arial" w:hAnsi="Arial" w:cs="Arial"/>
          <w:sz w:val="20"/>
          <w:szCs w:val="20"/>
          <w:lang w:val="en-US"/>
        </w:rPr>
        <w:t xml:space="preserve">, J., </w:t>
      </w:r>
      <w:proofErr w:type="spellStart"/>
      <w:r w:rsidRPr="007B4CC9">
        <w:rPr>
          <w:rFonts w:ascii="Arial" w:hAnsi="Arial" w:cs="Arial"/>
          <w:sz w:val="20"/>
          <w:szCs w:val="20"/>
          <w:lang w:val="en-US"/>
        </w:rPr>
        <w:t>Legube</w:t>
      </w:r>
      <w:proofErr w:type="spellEnd"/>
      <w:r w:rsidRPr="007B4CC9">
        <w:rPr>
          <w:rFonts w:ascii="Arial" w:hAnsi="Arial" w:cs="Arial"/>
          <w:sz w:val="20"/>
          <w:szCs w:val="20"/>
          <w:lang w:val="en-US"/>
        </w:rPr>
        <w:t xml:space="preserve">, B., </w:t>
      </w:r>
      <w:proofErr w:type="spellStart"/>
      <w:r w:rsidRPr="007B4CC9">
        <w:rPr>
          <w:rFonts w:ascii="Arial" w:hAnsi="Arial" w:cs="Arial"/>
          <w:sz w:val="20"/>
          <w:szCs w:val="20"/>
          <w:lang w:val="en-US"/>
        </w:rPr>
        <w:t>Merlet</w:t>
      </w:r>
      <w:proofErr w:type="spellEnd"/>
      <w:r w:rsidRPr="007B4CC9">
        <w:rPr>
          <w:rFonts w:ascii="Arial" w:hAnsi="Arial" w:cs="Arial"/>
          <w:sz w:val="20"/>
          <w:szCs w:val="20"/>
          <w:lang w:val="en-US"/>
        </w:rPr>
        <w:t>, N., 2009. Water analysis, Ninth edition. ed. DUNOD.</w:t>
      </w:r>
    </w:p>
    <w:p w14:paraId="7D4A3C2C"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7B4CC9">
        <w:rPr>
          <w:rFonts w:ascii="Arial" w:hAnsi="Arial" w:cs="Arial"/>
          <w:sz w:val="20"/>
          <w:szCs w:val="20"/>
          <w:lang w:val="en-US"/>
        </w:rPr>
        <w:t>Sefouhi</w:t>
      </w:r>
      <w:proofErr w:type="spellEnd"/>
      <w:r w:rsidRPr="007B4CC9">
        <w:rPr>
          <w:rFonts w:ascii="Arial" w:hAnsi="Arial" w:cs="Arial"/>
          <w:sz w:val="20"/>
          <w:szCs w:val="20"/>
          <w:lang w:val="en-US"/>
        </w:rPr>
        <w:t xml:space="preserve">, L., </w:t>
      </w:r>
      <w:proofErr w:type="spellStart"/>
      <w:r w:rsidRPr="007B4CC9">
        <w:rPr>
          <w:rFonts w:ascii="Arial" w:hAnsi="Arial" w:cs="Arial"/>
          <w:sz w:val="20"/>
          <w:szCs w:val="20"/>
          <w:lang w:val="en-US"/>
        </w:rPr>
        <w:t>Kalla</w:t>
      </w:r>
      <w:proofErr w:type="spellEnd"/>
      <w:r w:rsidRPr="007B4CC9">
        <w:rPr>
          <w:rFonts w:ascii="Arial" w:hAnsi="Arial" w:cs="Arial"/>
          <w:sz w:val="20"/>
          <w:szCs w:val="20"/>
          <w:lang w:val="en-US"/>
        </w:rPr>
        <w:t xml:space="preserve">, M., </w:t>
      </w:r>
      <w:proofErr w:type="spellStart"/>
      <w:r w:rsidRPr="007B4CC9">
        <w:rPr>
          <w:rFonts w:ascii="Arial" w:hAnsi="Arial" w:cs="Arial"/>
          <w:sz w:val="20"/>
          <w:szCs w:val="20"/>
          <w:lang w:val="en-US"/>
        </w:rPr>
        <w:t>Aouragh</w:t>
      </w:r>
      <w:proofErr w:type="spellEnd"/>
      <w:r w:rsidRPr="007B4CC9">
        <w:rPr>
          <w:rFonts w:ascii="Arial" w:hAnsi="Arial" w:cs="Arial"/>
          <w:sz w:val="20"/>
          <w:szCs w:val="20"/>
          <w:lang w:val="en-US"/>
        </w:rPr>
        <w:t xml:space="preserve">, L., 2010. Study for sustainable management of household waste in the city of </w:t>
      </w:r>
      <w:proofErr w:type="spellStart"/>
      <w:r w:rsidRPr="007B4CC9">
        <w:rPr>
          <w:rFonts w:ascii="Arial" w:hAnsi="Arial" w:cs="Arial"/>
          <w:sz w:val="20"/>
          <w:szCs w:val="20"/>
          <w:lang w:val="en-US"/>
        </w:rPr>
        <w:t>Batna</w:t>
      </w:r>
      <w:proofErr w:type="spellEnd"/>
      <w:r w:rsidRPr="007B4CC9">
        <w:rPr>
          <w:rFonts w:ascii="Arial" w:hAnsi="Arial" w:cs="Arial"/>
          <w:sz w:val="20"/>
          <w:szCs w:val="20"/>
          <w:lang w:val="en-US"/>
        </w:rPr>
        <w:t xml:space="preserve"> (Algeria). Environment, </w:t>
      </w:r>
      <w:proofErr w:type="spellStart"/>
      <w:r w:rsidRPr="007B4CC9">
        <w:rPr>
          <w:rFonts w:ascii="Arial" w:hAnsi="Arial" w:cs="Arial"/>
          <w:sz w:val="20"/>
          <w:szCs w:val="20"/>
          <w:lang w:val="en-US"/>
        </w:rPr>
        <w:t>InEngineering</w:t>
      </w:r>
      <w:proofErr w:type="spellEnd"/>
      <w:r w:rsidRPr="007B4CC9">
        <w:rPr>
          <w:rFonts w:ascii="Arial" w:hAnsi="Arial" w:cs="Arial"/>
          <w:sz w:val="20"/>
          <w:szCs w:val="20"/>
          <w:lang w:val="en-US"/>
        </w:rPr>
        <w:t xml:space="preserve"> &amp; Development No. 58-April 2010, 11–15. https://doi.org/10.4267/dechets-sciences-techniques.2994</w:t>
      </w:r>
    </w:p>
    <w:p w14:paraId="23F3537B" w14:textId="77777777" w:rsidR="007B4CC9" w:rsidRPr="007B4CC9" w:rsidRDefault="007B4CC9" w:rsidP="007B4CC9">
      <w:pPr>
        <w:spacing w:after="0" w:line="360" w:lineRule="auto"/>
        <w:jc w:val="both"/>
        <w:rPr>
          <w:rFonts w:ascii="Arial" w:hAnsi="Arial" w:cs="Arial"/>
          <w:sz w:val="20"/>
          <w:szCs w:val="20"/>
          <w:lang w:val="en-US"/>
        </w:rPr>
      </w:pPr>
      <w:r w:rsidRPr="007B4CC9">
        <w:rPr>
          <w:rFonts w:ascii="Arial" w:hAnsi="Arial" w:cs="Arial"/>
          <w:sz w:val="20"/>
          <w:szCs w:val="20"/>
          <w:lang w:val="en-US"/>
        </w:rPr>
        <w:t>Simon Poirier, 2016. Inhibitions of anaerobic digestion: ecological dynamics, microbial indicators, and resistance strategies. The case of phenol and ammoniacal nitrogen. (Thesis dissertation). Ecology, Environment. Agronomic, Veterinary and Forestry Institute, France.</w:t>
      </w:r>
    </w:p>
    <w:p w14:paraId="48D653F3"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7B4CC9">
        <w:rPr>
          <w:rFonts w:ascii="Arial" w:hAnsi="Arial" w:cs="Arial"/>
          <w:sz w:val="20"/>
          <w:szCs w:val="20"/>
          <w:lang w:val="en-US"/>
        </w:rPr>
        <w:t>Soro</w:t>
      </w:r>
      <w:proofErr w:type="spellEnd"/>
      <w:r w:rsidRPr="007B4CC9">
        <w:rPr>
          <w:rFonts w:ascii="Arial" w:hAnsi="Arial" w:cs="Arial"/>
          <w:sz w:val="20"/>
          <w:szCs w:val="20"/>
          <w:lang w:val="en-US"/>
        </w:rPr>
        <w:t xml:space="preserve">, G., Coulibaly, A., </w:t>
      </w:r>
      <w:proofErr w:type="spellStart"/>
      <w:r w:rsidRPr="007B4CC9">
        <w:rPr>
          <w:rFonts w:ascii="Arial" w:hAnsi="Arial" w:cs="Arial"/>
          <w:sz w:val="20"/>
          <w:szCs w:val="20"/>
          <w:lang w:val="en-US"/>
        </w:rPr>
        <w:t>Kra</w:t>
      </w:r>
      <w:proofErr w:type="spellEnd"/>
      <w:r w:rsidRPr="007B4CC9">
        <w:rPr>
          <w:rFonts w:ascii="Arial" w:hAnsi="Arial" w:cs="Arial"/>
          <w:sz w:val="20"/>
          <w:szCs w:val="20"/>
          <w:lang w:val="en-US"/>
        </w:rPr>
        <w:t xml:space="preserve">, K.S.M., </w:t>
      </w:r>
      <w:proofErr w:type="spellStart"/>
      <w:r w:rsidRPr="007B4CC9">
        <w:rPr>
          <w:rFonts w:ascii="Arial" w:hAnsi="Arial" w:cs="Arial"/>
          <w:sz w:val="20"/>
          <w:szCs w:val="20"/>
          <w:lang w:val="en-US"/>
        </w:rPr>
        <w:t>Yapo</w:t>
      </w:r>
      <w:proofErr w:type="spellEnd"/>
      <w:r w:rsidRPr="007B4CC9">
        <w:rPr>
          <w:rFonts w:ascii="Arial" w:hAnsi="Arial" w:cs="Arial"/>
          <w:sz w:val="20"/>
          <w:szCs w:val="20"/>
          <w:lang w:val="en-US"/>
        </w:rPr>
        <w:t xml:space="preserve">, O.B., 2020. Characterization and assessment of the pollutant load of fecal sludge from the district of Abidjan, southern Côte d'Ivoire. Rev. </w:t>
      </w:r>
      <w:proofErr w:type="spellStart"/>
      <w:r w:rsidRPr="007B4CC9">
        <w:rPr>
          <w:rFonts w:ascii="Arial" w:hAnsi="Arial" w:cs="Arial"/>
          <w:sz w:val="20"/>
          <w:szCs w:val="20"/>
          <w:lang w:val="en-US"/>
        </w:rPr>
        <w:t>Ivoir</w:t>
      </w:r>
      <w:proofErr w:type="spellEnd"/>
      <w:r w:rsidRPr="007B4CC9">
        <w:rPr>
          <w:rFonts w:ascii="Arial" w:hAnsi="Arial" w:cs="Arial"/>
          <w:sz w:val="20"/>
          <w:szCs w:val="20"/>
          <w:lang w:val="en-US"/>
        </w:rPr>
        <w:t>. Sci. Technol 35, 78–96.</w:t>
      </w:r>
    </w:p>
    <w:p w14:paraId="615F68F1"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7B4CC9">
        <w:rPr>
          <w:rFonts w:ascii="Arial" w:hAnsi="Arial" w:cs="Arial"/>
          <w:sz w:val="20"/>
          <w:szCs w:val="20"/>
          <w:lang w:val="en-US"/>
        </w:rPr>
        <w:t>Togbe</w:t>
      </w:r>
      <w:proofErr w:type="spellEnd"/>
      <w:r w:rsidRPr="007B4CC9">
        <w:rPr>
          <w:rFonts w:ascii="Arial" w:hAnsi="Arial" w:cs="Arial"/>
          <w:sz w:val="20"/>
          <w:szCs w:val="20"/>
          <w:lang w:val="en-US"/>
        </w:rPr>
        <w:t>, Y.E.J.-O.A., 2009. Optimizing Biogas Production and Use in the Songhai Center (Thesis). University of Abomey-</w:t>
      </w:r>
      <w:proofErr w:type="spellStart"/>
      <w:r w:rsidRPr="007B4CC9">
        <w:rPr>
          <w:rFonts w:ascii="Arial" w:hAnsi="Arial" w:cs="Arial"/>
          <w:sz w:val="20"/>
          <w:szCs w:val="20"/>
          <w:lang w:val="en-US"/>
        </w:rPr>
        <w:t>Calavi</w:t>
      </w:r>
      <w:proofErr w:type="spellEnd"/>
      <w:r w:rsidRPr="007B4CC9">
        <w:rPr>
          <w:rFonts w:ascii="Arial" w:hAnsi="Arial" w:cs="Arial"/>
          <w:sz w:val="20"/>
          <w:szCs w:val="20"/>
          <w:lang w:val="en-US"/>
        </w:rPr>
        <w:t>, Benin.</w:t>
      </w:r>
    </w:p>
    <w:p w14:paraId="2449D353"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7B4CC9">
        <w:rPr>
          <w:rFonts w:ascii="Arial" w:hAnsi="Arial" w:cs="Arial"/>
          <w:sz w:val="20"/>
          <w:szCs w:val="20"/>
          <w:lang w:val="en-US"/>
        </w:rPr>
        <w:t>Topanou</w:t>
      </w:r>
      <w:proofErr w:type="spellEnd"/>
      <w:r w:rsidRPr="007B4CC9">
        <w:rPr>
          <w:rFonts w:ascii="Arial" w:hAnsi="Arial" w:cs="Arial"/>
          <w:sz w:val="20"/>
          <w:szCs w:val="20"/>
          <w:lang w:val="en-US"/>
        </w:rPr>
        <w:t xml:space="preserve">, N., </w:t>
      </w:r>
      <w:proofErr w:type="spellStart"/>
      <w:r w:rsidRPr="007B4CC9">
        <w:rPr>
          <w:rFonts w:ascii="Arial" w:hAnsi="Arial" w:cs="Arial"/>
          <w:sz w:val="20"/>
          <w:szCs w:val="20"/>
          <w:lang w:val="en-US"/>
        </w:rPr>
        <w:t>Agbatchi</w:t>
      </w:r>
      <w:proofErr w:type="spellEnd"/>
      <w:r w:rsidRPr="007B4CC9">
        <w:rPr>
          <w:rFonts w:ascii="Arial" w:hAnsi="Arial" w:cs="Arial"/>
          <w:sz w:val="20"/>
          <w:szCs w:val="20"/>
          <w:lang w:val="en-US"/>
        </w:rPr>
        <w:t xml:space="preserve">, B., </w:t>
      </w:r>
      <w:proofErr w:type="spellStart"/>
      <w:r w:rsidRPr="007B4CC9">
        <w:rPr>
          <w:rFonts w:ascii="Arial" w:hAnsi="Arial" w:cs="Arial"/>
          <w:sz w:val="20"/>
          <w:szCs w:val="20"/>
          <w:lang w:val="en-US"/>
        </w:rPr>
        <w:t>Gbaguidi</w:t>
      </w:r>
      <w:proofErr w:type="spellEnd"/>
      <w:r w:rsidRPr="007B4CC9">
        <w:rPr>
          <w:rFonts w:ascii="Arial" w:hAnsi="Arial" w:cs="Arial"/>
          <w:sz w:val="20"/>
          <w:szCs w:val="20"/>
          <w:lang w:val="en-US"/>
        </w:rPr>
        <w:t xml:space="preserve">, G.J., </w:t>
      </w:r>
      <w:proofErr w:type="spellStart"/>
      <w:r w:rsidRPr="007B4CC9">
        <w:rPr>
          <w:rFonts w:ascii="Arial" w:hAnsi="Arial" w:cs="Arial"/>
          <w:sz w:val="20"/>
          <w:szCs w:val="20"/>
          <w:lang w:val="en-US"/>
        </w:rPr>
        <w:t>Fatombi</w:t>
      </w:r>
      <w:proofErr w:type="spellEnd"/>
      <w:r w:rsidRPr="007B4CC9">
        <w:rPr>
          <w:rFonts w:ascii="Arial" w:hAnsi="Arial" w:cs="Arial"/>
          <w:sz w:val="20"/>
          <w:szCs w:val="20"/>
          <w:lang w:val="en-US"/>
        </w:rPr>
        <w:t xml:space="preserve">, J., </w:t>
      </w:r>
      <w:proofErr w:type="spellStart"/>
      <w:r w:rsidRPr="007B4CC9">
        <w:rPr>
          <w:rFonts w:ascii="Arial" w:hAnsi="Arial" w:cs="Arial"/>
          <w:sz w:val="20"/>
          <w:szCs w:val="20"/>
          <w:lang w:val="en-US"/>
        </w:rPr>
        <w:t>Tchobo</w:t>
      </w:r>
      <w:proofErr w:type="spellEnd"/>
      <w:r w:rsidRPr="007B4CC9">
        <w:rPr>
          <w:rFonts w:ascii="Arial" w:hAnsi="Arial" w:cs="Arial"/>
          <w:sz w:val="20"/>
          <w:szCs w:val="20"/>
          <w:lang w:val="en-US"/>
        </w:rPr>
        <w:t>, F.P., 2024. Uncovering the Challenges of Fecal Sludge Management in Benin’s Urban Hubs: The Cases of Abomey-</w:t>
      </w:r>
      <w:proofErr w:type="spellStart"/>
      <w:r w:rsidRPr="007B4CC9">
        <w:rPr>
          <w:rFonts w:ascii="Arial" w:hAnsi="Arial" w:cs="Arial"/>
          <w:sz w:val="20"/>
          <w:szCs w:val="20"/>
          <w:lang w:val="en-US"/>
        </w:rPr>
        <w:t>Calavi</w:t>
      </w:r>
      <w:proofErr w:type="spellEnd"/>
      <w:r w:rsidRPr="007B4CC9">
        <w:rPr>
          <w:rFonts w:ascii="Arial" w:hAnsi="Arial" w:cs="Arial"/>
          <w:sz w:val="20"/>
          <w:szCs w:val="20"/>
          <w:lang w:val="en-US"/>
        </w:rPr>
        <w:t xml:space="preserve"> and </w:t>
      </w:r>
      <w:proofErr w:type="spellStart"/>
      <w:r w:rsidRPr="007B4CC9">
        <w:rPr>
          <w:rFonts w:ascii="Arial" w:hAnsi="Arial" w:cs="Arial"/>
          <w:sz w:val="20"/>
          <w:szCs w:val="20"/>
          <w:lang w:val="en-US"/>
        </w:rPr>
        <w:t>Natitingou</w:t>
      </w:r>
      <w:proofErr w:type="spellEnd"/>
      <w:r w:rsidRPr="007B4CC9">
        <w:rPr>
          <w:rFonts w:ascii="Arial" w:hAnsi="Arial" w:cs="Arial"/>
          <w:sz w:val="20"/>
          <w:szCs w:val="20"/>
          <w:lang w:val="en-US"/>
        </w:rPr>
        <w:t>. JEP 15, 767–780. https://doi.org/10.4236/jep.2024.157044</w:t>
      </w:r>
    </w:p>
    <w:p w14:paraId="3F3CCE9A"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7B4CC9">
        <w:rPr>
          <w:rFonts w:ascii="Arial" w:hAnsi="Arial" w:cs="Arial"/>
          <w:sz w:val="20"/>
          <w:szCs w:val="20"/>
          <w:lang w:val="en-US"/>
        </w:rPr>
        <w:lastRenderedPageBreak/>
        <w:t>Topanou</w:t>
      </w:r>
      <w:proofErr w:type="spellEnd"/>
      <w:r w:rsidRPr="007B4CC9">
        <w:rPr>
          <w:rFonts w:ascii="Arial" w:hAnsi="Arial" w:cs="Arial"/>
          <w:sz w:val="20"/>
          <w:szCs w:val="20"/>
          <w:lang w:val="en-US"/>
        </w:rPr>
        <w:t xml:space="preserve">, N., </w:t>
      </w:r>
      <w:proofErr w:type="spellStart"/>
      <w:r w:rsidRPr="007B4CC9">
        <w:rPr>
          <w:rFonts w:ascii="Arial" w:hAnsi="Arial" w:cs="Arial"/>
          <w:sz w:val="20"/>
          <w:szCs w:val="20"/>
          <w:lang w:val="en-US"/>
        </w:rPr>
        <w:t>Fatombi</w:t>
      </w:r>
      <w:proofErr w:type="spellEnd"/>
      <w:r w:rsidRPr="007B4CC9">
        <w:rPr>
          <w:rFonts w:ascii="Arial" w:hAnsi="Arial" w:cs="Arial"/>
          <w:sz w:val="20"/>
          <w:szCs w:val="20"/>
          <w:lang w:val="en-US"/>
        </w:rPr>
        <w:t xml:space="preserve">, J.K., </w:t>
      </w:r>
      <w:proofErr w:type="spellStart"/>
      <w:r w:rsidRPr="007B4CC9">
        <w:rPr>
          <w:rFonts w:ascii="Arial" w:hAnsi="Arial" w:cs="Arial"/>
          <w:sz w:val="20"/>
          <w:szCs w:val="20"/>
          <w:lang w:val="en-US"/>
        </w:rPr>
        <w:t>Gbaguidi</w:t>
      </w:r>
      <w:proofErr w:type="spellEnd"/>
      <w:r w:rsidRPr="007B4CC9">
        <w:rPr>
          <w:rFonts w:ascii="Arial" w:hAnsi="Arial" w:cs="Arial"/>
          <w:sz w:val="20"/>
          <w:szCs w:val="20"/>
          <w:lang w:val="en-US"/>
        </w:rPr>
        <w:t xml:space="preserve">, J.G., </w:t>
      </w:r>
      <w:proofErr w:type="spellStart"/>
      <w:r w:rsidRPr="007B4CC9">
        <w:rPr>
          <w:rFonts w:ascii="Arial" w:hAnsi="Arial" w:cs="Arial"/>
          <w:sz w:val="20"/>
          <w:szCs w:val="20"/>
          <w:lang w:val="en-US"/>
        </w:rPr>
        <w:t>Aminou</w:t>
      </w:r>
      <w:proofErr w:type="spellEnd"/>
      <w:r w:rsidRPr="007B4CC9">
        <w:rPr>
          <w:rFonts w:ascii="Arial" w:hAnsi="Arial" w:cs="Arial"/>
          <w:sz w:val="20"/>
          <w:szCs w:val="20"/>
          <w:lang w:val="en-US"/>
        </w:rPr>
        <w:t xml:space="preserve">, T., Gérard, J., </w:t>
      </w:r>
      <w:proofErr w:type="spellStart"/>
      <w:r w:rsidRPr="007B4CC9">
        <w:rPr>
          <w:rFonts w:ascii="Arial" w:hAnsi="Arial" w:cs="Arial"/>
          <w:sz w:val="20"/>
          <w:szCs w:val="20"/>
          <w:lang w:val="en-US"/>
        </w:rPr>
        <w:t>Domeizel</w:t>
      </w:r>
      <w:proofErr w:type="spellEnd"/>
      <w:r w:rsidRPr="007B4CC9">
        <w:rPr>
          <w:rFonts w:ascii="Arial" w:hAnsi="Arial" w:cs="Arial"/>
          <w:sz w:val="20"/>
          <w:szCs w:val="20"/>
          <w:lang w:val="en-US"/>
        </w:rPr>
        <w:t>, M., 2021. Impact of Domestic Solid Waste Management on Wet Land Water Quality: Case of Abomey-</w:t>
      </w:r>
      <w:proofErr w:type="spellStart"/>
      <w:r w:rsidRPr="007B4CC9">
        <w:rPr>
          <w:rFonts w:ascii="Arial" w:hAnsi="Arial" w:cs="Arial"/>
          <w:sz w:val="20"/>
          <w:szCs w:val="20"/>
          <w:lang w:val="en-US"/>
        </w:rPr>
        <w:t>Calavi</w:t>
      </w:r>
      <w:proofErr w:type="spellEnd"/>
      <w:r w:rsidRPr="007B4CC9">
        <w:rPr>
          <w:rFonts w:ascii="Arial" w:hAnsi="Arial" w:cs="Arial"/>
          <w:sz w:val="20"/>
          <w:szCs w:val="20"/>
          <w:lang w:val="en-US"/>
        </w:rPr>
        <w:t xml:space="preserve"> Municipality in Benin Republic. Natural Resources 12, 10. https://doi.org/10.4236/nr.2021.121002</w:t>
      </w:r>
    </w:p>
    <w:p w14:paraId="1ACEAD4F" w14:textId="77777777" w:rsidR="007B4CC9" w:rsidRPr="007B4CC9" w:rsidRDefault="007B4CC9" w:rsidP="007B4CC9">
      <w:pPr>
        <w:spacing w:after="0" w:line="360" w:lineRule="auto"/>
        <w:jc w:val="both"/>
        <w:rPr>
          <w:rFonts w:ascii="Arial" w:hAnsi="Arial" w:cs="Arial"/>
          <w:sz w:val="20"/>
          <w:szCs w:val="20"/>
          <w:lang w:val="en-US"/>
        </w:rPr>
      </w:pPr>
      <w:proofErr w:type="spellStart"/>
      <w:r w:rsidRPr="007B4CC9">
        <w:rPr>
          <w:rFonts w:ascii="Arial" w:hAnsi="Arial" w:cs="Arial"/>
          <w:sz w:val="20"/>
          <w:szCs w:val="20"/>
          <w:lang w:val="en-US"/>
        </w:rPr>
        <w:t>Ukondalemba</w:t>
      </w:r>
      <w:proofErr w:type="spellEnd"/>
      <w:r w:rsidRPr="007B4CC9">
        <w:rPr>
          <w:rFonts w:ascii="Arial" w:hAnsi="Arial" w:cs="Arial"/>
          <w:sz w:val="20"/>
          <w:szCs w:val="20"/>
          <w:lang w:val="en-US"/>
        </w:rPr>
        <w:t xml:space="preserve">, L.M., </w:t>
      </w:r>
      <w:proofErr w:type="spellStart"/>
      <w:r w:rsidRPr="007B4CC9">
        <w:rPr>
          <w:rFonts w:ascii="Arial" w:hAnsi="Arial" w:cs="Arial"/>
          <w:sz w:val="20"/>
          <w:szCs w:val="20"/>
          <w:lang w:val="en-US"/>
        </w:rPr>
        <w:t>Aleke</w:t>
      </w:r>
      <w:proofErr w:type="spellEnd"/>
      <w:r w:rsidRPr="007B4CC9">
        <w:rPr>
          <w:rFonts w:ascii="Arial" w:hAnsi="Arial" w:cs="Arial"/>
          <w:sz w:val="20"/>
          <w:szCs w:val="20"/>
          <w:lang w:val="en-US"/>
        </w:rPr>
        <w:t xml:space="preserve">, A.L., </w:t>
      </w:r>
      <w:proofErr w:type="spellStart"/>
      <w:r w:rsidRPr="007B4CC9">
        <w:rPr>
          <w:rFonts w:ascii="Arial" w:hAnsi="Arial" w:cs="Arial"/>
          <w:sz w:val="20"/>
          <w:szCs w:val="20"/>
          <w:lang w:val="en-US"/>
        </w:rPr>
        <w:t>Ngahane</w:t>
      </w:r>
      <w:proofErr w:type="spellEnd"/>
      <w:r w:rsidRPr="007B4CC9">
        <w:rPr>
          <w:rFonts w:ascii="Arial" w:hAnsi="Arial" w:cs="Arial"/>
          <w:sz w:val="20"/>
          <w:szCs w:val="20"/>
          <w:lang w:val="en-US"/>
        </w:rPr>
        <w:t xml:space="preserve">, E.L., </w:t>
      </w:r>
      <w:proofErr w:type="spellStart"/>
      <w:r w:rsidRPr="007B4CC9">
        <w:rPr>
          <w:rFonts w:ascii="Arial" w:hAnsi="Arial" w:cs="Arial"/>
          <w:sz w:val="20"/>
          <w:szCs w:val="20"/>
          <w:lang w:val="en-US"/>
        </w:rPr>
        <w:t>Eyul’Anki</w:t>
      </w:r>
      <w:proofErr w:type="spellEnd"/>
      <w:r w:rsidRPr="007B4CC9">
        <w:rPr>
          <w:rFonts w:ascii="Arial" w:hAnsi="Arial" w:cs="Arial"/>
          <w:sz w:val="20"/>
          <w:szCs w:val="20"/>
          <w:lang w:val="en-US"/>
        </w:rPr>
        <w:t xml:space="preserve">, D.M., </w:t>
      </w:r>
      <w:proofErr w:type="spellStart"/>
      <w:r w:rsidRPr="007B4CC9">
        <w:rPr>
          <w:rFonts w:ascii="Arial" w:hAnsi="Arial" w:cs="Arial"/>
          <w:sz w:val="20"/>
          <w:szCs w:val="20"/>
          <w:lang w:val="en-US"/>
        </w:rPr>
        <w:t>Vasel</w:t>
      </w:r>
      <w:proofErr w:type="spellEnd"/>
      <w:r w:rsidRPr="007B4CC9">
        <w:rPr>
          <w:rFonts w:ascii="Arial" w:hAnsi="Arial" w:cs="Arial"/>
          <w:sz w:val="20"/>
          <w:szCs w:val="20"/>
          <w:lang w:val="en-US"/>
        </w:rPr>
        <w:t>, J.-L., 2016. The recovery of organic household waste and septic tank sludge by anaerobic digestion. International Journal of Innovation and Scientific Research 20.</w:t>
      </w:r>
    </w:p>
    <w:p w14:paraId="75DB73F9" w14:textId="05DB6E7E" w:rsidR="00182FF4" w:rsidRPr="007C669B" w:rsidRDefault="007B4CC9" w:rsidP="007B4CC9">
      <w:pPr>
        <w:spacing w:after="0" w:line="360" w:lineRule="auto"/>
        <w:jc w:val="both"/>
        <w:rPr>
          <w:rFonts w:ascii="Times New Roman" w:hAnsi="Times New Roman" w:cs="Times New Roman"/>
          <w:sz w:val="24"/>
          <w:szCs w:val="24"/>
          <w:lang w:val="en-US"/>
        </w:rPr>
      </w:pPr>
      <w:r w:rsidRPr="007B4CC9">
        <w:rPr>
          <w:rFonts w:ascii="Arial" w:hAnsi="Arial" w:cs="Arial"/>
          <w:sz w:val="20"/>
          <w:szCs w:val="20"/>
          <w:lang w:val="en-US"/>
        </w:rPr>
        <w:t>Zhang, Y., Feng, Y., Yu, Q., Xu, Z., Quan, X., 2014. Enhanced high-solids anaerobic digestion of waste activated sludge by the addition of scrap iron. Bioresource Technology 159, 297–304. https://doi.org/10.1016/j.biortech.2014.02.114</w:t>
      </w:r>
    </w:p>
    <w:sectPr w:rsidR="00182FF4" w:rsidRPr="007C669B">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38D5E" w14:textId="77777777" w:rsidR="007B02D1" w:rsidRDefault="007B02D1">
      <w:pPr>
        <w:spacing w:after="0" w:line="240" w:lineRule="auto"/>
      </w:pPr>
      <w:r>
        <w:separator/>
      </w:r>
    </w:p>
  </w:endnote>
  <w:endnote w:type="continuationSeparator" w:id="0">
    <w:p w14:paraId="3FE6A4D6" w14:textId="77777777" w:rsidR="007B02D1" w:rsidRDefault="007B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75E6C" w14:textId="77777777" w:rsidR="0022472E" w:rsidRDefault="00224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950847"/>
      <w:docPartObj>
        <w:docPartGallery w:val="Page Numbers (Bottom of Page)"/>
        <w:docPartUnique/>
      </w:docPartObj>
    </w:sdtPr>
    <w:sdtEndPr/>
    <w:sdtContent>
      <w:p w14:paraId="24923A4D" w14:textId="77777777" w:rsidR="00FD1A7D" w:rsidRDefault="00787C8A">
        <w:pPr>
          <w:pStyle w:val="Footer"/>
        </w:pPr>
        <w:r>
          <w:rPr>
            <w:noProof/>
            <w:lang w:eastAsia="fr-FR"/>
          </w:rPr>
          <mc:AlternateContent>
            <mc:Choice Requires="wps">
              <w:drawing>
                <wp:anchor distT="0" distB="0" distL="114300" distR="114300" simplePos="0" relativeHeight="251659264" behindDoc="0" locked="0" layoutInCell="0" allowOverlap="1" wp14:anchorId="5520D1A7" wp14:editId="6717E27C">
                  <wp:simplePos x="0" y="0"/>
                  <wp:positionH relativeFrom="rightMargin">
                    <wp:posOffset>10629</wp:posOffset>
                  </wp:positionH>
                  <wp:positionV relativeFrom="bottomMargin">
                    <wp:posOffset>67282</wp:posOffset>
                  </wp:positionV>
                  <wp:extent cx="429371" cy="405517"/>
                  <wp:effectExtent l="0" t="0" r="27940" b="1397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71" cy="405517"/>
                          </a:xfrm>
                          <a:prstGeom prst="foldedCorner">
                            <a:avLst>
                              <a:gd name="adj" fmla="val 34560"/>
                            </a:avLst>
                          </a:prstGeom>
                          <a:solidFill>
                            <a:srgbClr val="FFFFFF"/>
                          </a:solidFill>
                          <a:ln w="3175">
                            <a:solidFill>
                              <a:srgbClr val="808080"/>
                            </a:solidFill>
                            <a:round/>
                            <a:headEnd/>
                            <a:tailEnd/>
                          </a:ln>
                        </wps:spPr>
                        <wps:txbx>
                          <w:txbxContent>
                            <w:p w14:paraId="1A58A1B1" w14:textId="77777777" w:rsidR="00FD1A7D" w:rsidRPr="006B2E82" w:rsidRDefault="00787C8A">
                              <w:pPr>
                                <w:jc w:val="center"/>
                                <w:rPr>
                                  <w:rFonts w:ascii="Times New Roman" w:hAnsi="Times New Roman" w:cs="Times New Roman"/>
                                  <w:b/>
                                  <w:sz w:val="24"/>
                                  <w:szCs w:val="24"/>
                                </w:rPr>
                              </w:pPr>
                              <w:r w:rsidRPr="006B2E82">
                                <w:rPr>
                                  <w:rFonts w:ascii="Times New Roman" w:hAnsi="Times New Roman" w:cs="Times New Roman"/>
                                  <w:b/>
                                  <w:sz w:val="24"/>
                                  <w:szCs w:val="24"/>
                                </w:rPr>
                                <w:fldChar w:fldCharType="begin"/>
                              </w:r>
                              <w:r w:rsidRPr="006B2E82">
                                <w:rPr>
                                  <w:rFonts w:ascii="Times New Roman" w:hAnsi="Times New Roman" w:cs="Times New Roman"/>
                                  <w:b/>
                                  <w:sz w:val="24"/>
                                  <w:szCs w:val="24"/>
                                </w:rPr>
                                <w:instrText>PAGE    \* MERGEFORMAT</w:instrText>
                              </w:r>
                              <w:r w:rsidRPr="006B2E82">
                                <w:rPr>
                                  <w:rFonts w:ascii="Times New Roman" w:hAnsi="Times New Roman" w:cs="Times New Roman"/>
                                  <w:b/>
                                  <w:sz w:val="24"/>
                                  <w:szCs w:val="24"/>
                                </w:rPr>
                                <w:fldChar w:fldCharType="separate"/>
                              </w:r>
                              <w:r w:rsidR="005B4A37">
                                <w:rPr>
                                  <w:rFonts w:ascii="Times New Roman" w:hAnsi="Times New Roman" w:cs="Times New Roman"/>
                                  <w:b/>
                                  <w:noProof/>
                                  <w:sz w:val="24"/>
                                  <w:szCs w:val="24"/>
                                </w:rPr>
                                <w:t>18</w:t>
                              </w:r>
                              <w:r w:rsidRPr="006B2E82">
                                <w:rPr>
                                  <w:rFonts w:ascii="Times New Roman" w:hAnsi="Times New Roman" w:cs="Times New Roman"/>
                                  <w:b/>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0D1A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85pt;margin-top:5.3pt;width:33.8pt;height:31.9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" o:allowincell="f" adj="14135" strokecolor="gray" strokeweight=".25pt">
                  <v:textbox>
                    <w:txbxContent>
                      <w:p w14:paraId="1A58A1B1" w14:textId="77777777" w:rsidR="00FD1A7D" w:rsidRPr="006B2E82" w:rsidRDefault="00787C8A">
                        <w:pPr>
                          <w:jc w:val="center"/>
                          <w:rPr>
                            <w:rFonts w:ascii="Times New Roman" w:hAnsi="Times New Roman" w:cs="Times New Roman"/>
                            <w:b/>
                            <w:sz w:val="24"/>
                            <w:szCs w:val="24"/>
                          </w:rPr>
                        </w:pPr>
                        <w:r w:rsidRPr="006B2E82">
                          <w:rPr>
                            <w:rFonts w:ascii="Times New Roman" w:hAnsi="Times New Roman" w:cs="Times New Roman"/>
                            <w:b/>
                            <w:sz w:val="24"/>
                            <w:szCs w:val="24"/>
                          </w:rPr>
                          <w:fldChar w:fldCharType="begin"/>
                        </w:r>
                        <w:r w:rsidRPr="006B2E82">
                          <w:rPr>
                            <w:rFonts w:ascii="Times New Roman" w:hAnsi="Times New Roman" w:cs="Times New Roman"/>
                            <w:b/>
                            <w:sz w:val="24"/>
                            <w:szCs w:val="24"/>
                          </w:rPr>
                          <w:instrText>PAGE    \* MERGEFORMAT</w:instrText>
                        </w:r>
                        <w:r w:rsidRPr="006B2E82">
                          <w:rPr>
                            <w:rFonts w:ascii="Times New Roman" w:hAnsi="Times New Roman" w:cs="Times New Roman"/>
                            <w:b/>
                            <w:sz w:val="24"/>
                            <w:szCs w:val="24"/>
                          </w:rPr>
                          <w:fldChar w:fldCharType="separate"/>
                        </w:r>
                        <w:r w:rsidR="005B4A37">
                          <w:rPr>
                            <w:rFonts w:ascii="Times New Roman" w:hAnsi="Times New Roman" w:cs="Times New Roman"/>
                            <w:b/>
                            <w:noProof/>
                            <w:sz w:val="24"/>
                            <w:szCs w:val="24"/>
                          </w:rPr>
                          <w:t>18</w:t>
                        </w:r>
                        <w:r w:rsidRPr="006B2E82">
                          <w:rPr>
                            <w:rFonts w:ascii="Times New Roman" w:hAnsi="Times New Roman" w:cs="Times New Roman"/>
                            <w:b/>
                            <w:sz w:val="24"/>
                            <w:szCs w:val="24"/>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90236" w14:textId="77777777" w:rsidR="0022472E" w:rsidRDefault="00224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4FEBB" w14:textId="77777777" w:rsidR="007B02D1" w:rsidRDefault="007B02D1">
      <w:pPr>
        <w:spacing w:after="0" w:line="240" w:lineRule="auto"/>
      </w:pPr>
      <w:r>
        <w:separator/>
      </w:r>
    </w:p>
  </w:footnote>
  <w:footnote w:type="continuationSeparator" w:id="0">
    <w:p w14:paraId="634E7ED2" w14:textId="77777777" w:rsidR="007B02D1" w:rsidRDefault="007B0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83A8C" w14:textId="57F92120" w:rsidR="0022472E" w:rsidRDefault="0022472E">
    <w:pPr>
      <w:pStyle w:val="Header"/>
    </w:pPr>
    <w:r>
      <w:rPr>
        <w:noProof/>
      </w:rPr>
      <w:pict w14:anchorId="5E9D6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194907" o:spid="_x0000_s2050"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27E3A" w14:textId="58F07052" w:rsidR="0022472E" w:rsidRDefault="0022472E">
    <w:pPr>
      <w:pStyle w:val="Header"/>
    </w:pPr>
    <w:r>
      <w:rPr>
        <w:noProof/>
      </w:rPr>
      <w:pict w14:anchorId="14609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194908" o:spid="_x0000_s2051" type="#_x0000_t136" style="position:absolute;margin-left:0;margin-top:0;width:538.05pt;height:101.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EBB81" w14:textId="33EB8F46" w:rsidR="0022472E" w:rsidRDefault="0022472E">
    <w:pPr>
      <w:pStyle w:val="Header"/>
    </w:pPr>
    <w:r>
      <w:rPr>
        <w:noProof/>
      </w:rPr>
      <w:pict w14:anchorId="5A777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194906" o:spid="_x0000_s2049"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2132"/>
    <w:multiLevelType w:val="multilevel"/>
    <w:tmpl w:val="55D66446"/>
    <w:lvl w:ilvl="0">
      <w:start w:val="4"/>
      <w:numFmt w:val="decimal"/>
      <w:lvlText w:val="%1."/>
      <w:lvlJc w:val="left"/>
      <w:pPr>
        <w:ind w:left="180" w:hanging="360"/>
      </w:pPr>
      <w:rPr>
        <w:rFonts w:hint="default"/>
      </w:rPr>
    </w:lvl>
    <w:lvl w:ilvl="1">
      <w:start w:val="2"/>
      <w:numFmt w:val="decimal"/>
      <w:lvlText w:val="%1.%2."/>
      <w:lvlJc w:val="left"/>
      <w:pPr>
        <w:ind w:left="18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540" w:hanging="720"/>
      </w:pPr>
      <w:rPr>
        <w:rFonts w:hint="default"/>
      </w:rPr>
    </w:lvl>
    <w:lvl w:ilvl="4">
      <w:start w:val="1"/>
      <w:numFmt w:val="decimal"/>
      <w:lvlText w:val="%1.%2.%3.%4.%5."/>
      <w:lvlJc w:val="left"/>
      <w:pPr>
        <w:ind w:left="900" w:hanging="1080"/>
      </w:pPr>
      <w:rPr>
        <w:rFonts w:hint="default"/>
      </w:rPr>
    </w:lvl>
    <w:lvl w:ilvl="5">
      <w:start w:val="1"/>
      <w:numFmt w:val="decimal"/>
      <w:lvlText w:val="%1.%2.%3.%4.%5.%6."/>
      <w:lvlJc w:val="left"/>
      <w:pPr>
        <w:ind w:left="900" w:hanging="1080"/>
      </w:pPr>
      <w:rPr>
        <w:rFonts w:hint="default"/>
      </w:rPr>
    </w:lvl>
    <w:lvl w:ilvl="6">
      <w:start w:val="1"/>
      <w:numFmt w:val="decimal"/>
      <w:lvlText w:val="%1.%2.%3.%4.%5.%6.%7."/>
      <w:lvlJc w:val="left"/>
      <w:pPr>
        <w:ind w:left="1260" w:hanging="1440"/>
      </w:pPr>
      <w:rPr>
        <w:rFonts w:hint="default"/>
      </w:rPr>
    </w:lvl>
    <w:lvl w:ilvl="7">
      <w:start w:val="1"/>
      <w:numFmt w:val="decimal"/>
      <w:lvlText w:val="%1.%2.%3.%4.%5.%6.%7.%8."/>
      <w:lvlJc w:val="left"/>
      <w:pPr>
        <w:ind w:left="1260" w:hanging="1440"/>
      </w:pPr>
      <w:rPr>
        <w:rFonts w:hint="default"/>
      </w:rPr>
    </w:lvl>
    <w:lvl w:ilvl="8">
      <w:start w:val="1"/>
      <w:numFmt w:val="decimal"/>
      <w:lvlText w:val="%1.%2.%3.%4.%5.%6.%7.%8.%9."/>
      <w:lvlJc w:val="left"/>
      <w:pPr>
        <w:ind w:left="1620" w:hanging="1800"/>
      </w:pPr>
      <w:rPr>
        <w:rFonts w:hint="default"/>
      </w:rPr>
    </w:lvl>
  </w:abstractNum>
  <w:abstractNum w:abstractNumId="1" w15:restartNumberingAfterBreak="0">
    <w:nsid w:val="0CCF1CA1"/>
    <w:multiLevelType w:val="multilevel"/>
    <w:tmpl w:val="0D500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BA39A8"/>
    <w:multiLevelType w:val="multilevel"/>
    <w:tmpl w:val="C220C0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F425F5"/>
    <w:multiLevelType w:val="multilevel"/>
    <w:tmpl w:val="C4F0D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597A04"/>
    <w:multiLevelType w:val="hybridMultilevel"/>
    <w:tmpl w:val="EDCC436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D871A73"/>
    <w:multiLevelType w:val="multilevel"/>
    <w:tmpl w:val="A8847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C67E6A"/>
    <w:multiLevelType w:val="multilevel"/>
    <w:tmpl w:val="E6421A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B80B52"/>
    <w:multiLevelType w:val="multilevel"/>
    <w:tmpl w:val="FB98C3EE"/>
    <w:lvl w:ilvl="0">
      <w:start w:val="1"/>
      <w:numFmt w:val="decimal"/>
      <w:lvlText w:val="%1."/>
      <w:lvlJc w:val="left"/>
      <w:pPr>
        <w:ind w:left="720" w:hanging="360"/>
      </w:pPr>
      <w:rPr>
        <w:rFonts w:eastAsiaTheme="majorEastAsia" w:hint="default"/>
      </w:rPr>
    </w:lvl>
    <w:lvl w:ilvl="1">
      <w:start w:val="1"/>
      <w:numFmt w:val="decimal"/>
      <w:isLgl/>
      <w:lvlText w:val="%1.%2."/>
      <w:lvlJc w:val="left"/>
      <w:pPr>
        <w:ind w:left="720" w:hanging="360"/>
      </w:pPr>
      <w:rPr>
        <w:rFonts w:ascii="Arial" w:eastAsiaTheme="majorEastAsia" w:hAnsi="Arial" w:cs="Arial" w:hint="default"/>
        <w:b/>
        <w:sz w:val="22"/>
        <w:szCs w:val="22"/>
      </w:rPr>
    </w:lvl>
    <w:lvl w:ilvl="2">
      <w:start w:val="1"/>
      <w:numFmt w:val="decimal"/>
      <w:pStyle w:val="Heading4"/>
      <w:isLgl/>
      <w:lvlText w:val="%1.%2.%3."/>
      <w:lvlJc w:val="left"/>
      <w:pPr>
        <w:ind w:left="1080" w:hanging="720"/>
      </w:pPr>
      <w:rPr>
        <w:rFonts w:eastAsiaTheme="majorEastAsia" w:hint="default"/>
      </w:rPr>
    </w:lvl>
    <w:lvl w:ilvl="3">
      <w:start w:val="1"/>
      <w:numFmt w:val="decimal"/>
      <w:isLgl/>
      <w:lvlText w:val="%1.%2.%3.%4."/>
      <w:lvlJc w:val="left"/>
      <w:pPr>
        <w:ind w:left="1080" w:hanging="720"/>
      </w:pPr>
      <w:rPr>
        <w:rFonts w:eastAsiaTheme="majorEastAsia" w:hint="default"/>
      </w:rPr>
    </w:lvl>
    <w:lvl w:ilvl="4">
      <w:start w:val="1"/>
      <w:numFmt w:val="decimal"/>
      <w:isLgl/>
      <w:lvlText w:val="%1.%2.%3.%4.%5."/>
      <w:lvlJc w:val="left"/>
      <w:pPr>
        <w:ind w:left="1440" w:hanging="1080"/>
      </w:pPr>
      <w:rPr>
        <w:rFonts w:eastAsiaTheme="majorEastAsia" w:hint="default"/>
      </w:rPr>
    </w:lvl>
    <w:lvl w:ilvl="5">
      <w:start w:val="1"/>
      <w:numFmt w:val="decimal"/>
      <w:isLgl/>
      <w:lvlText w:val="%1.%2.%3.%4.%5.%6."/>
      <w:lvlJc w:val="left"/>
      <w:pPr>
        <w:ind w:left="1440" w:hanging="1080"/>
      </w:pPr>
      <w:rPr>
        <w:rFonts w:eastAsiaTheme="majorEastAsia" w:hint="default"/>
      </w:rPr>
    </w:lvl>
    <w:lvl w:ilvl="6">
      <w:start w:val="1"/>
      <w:numFmt w:val="decimal"/>
      <w:isLgl/>
      <w:lvlText w:val="%1.%2.%3.%4.%5.%6.%7."/>
      <w:lvlJc w:val="left"/>
      <w:pPr>
        <w:ind w:left="1800" w:hanging="1440"/>
      </w:pPr>
      <w:rPr>
        <w:rFonts w:eastAsiaTheme="majorEastAsia" w:hint="default"/>
      </w:rPr>
    </w:lvl>
    <w:lvl w:ilvl="7">
      <w:start w:val="1"/>
      <w:numFmt w:val="decimal"/>
      <w:isLgl/>
      <w:lvlText w:val="%1.%2.%3.%4.%5.%6.%7.%8."/>
      <w:lvlJc w:val="left"/>
      <w:pPr>
        <w:ind w:left="1800" w:hanging="1440"/>
      </w:pPr>
      <w:rPr>
        <w:rFonts w:eastAsiaTheme="majorEastAsia" w:hint="default"/>
      </w:rPr>
    </w:lvl>
    <w:lvl w:ilvl="8">
      <w:start w:val="1"/>
      <w:numFmt w:val="decimal"/>
      <w:isLgl/>
      <w:lvlText w:val="%1.%2.%3.%4.%5.%6.%7.%8.%9."/>
      <w:lvlJc w:val="left"/>
      <w:pPr>
        <w:ind w:left="2160" w:hanging="1800"/>
      </w:pPr>
      <w:rPr>
        <w:rFonts w:eastAsiaTheme="majorEastAsia" w:hint="default"/>
      </w:rPr>
    </w:lvl>
  </w:abstractNum>
  <w:num w:numId="1">
    <w:abstractNumId w:val="4"/>
  </w:num>
  <w:num w:numId="2">
    <w:abstractNumId w:val="6"/>
  </w:num>
  <w:num w:numId="3">
    <w:abstractNumId w:val="0"/>
  </w:num>
  <w:num w:numId="4">
    <w:abstractNumId w:val="5"/>
  </w:num>
  <w:num w:numId="5">
    <w:abstractNumId w:val="3"/>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475"/>
    <w:rsid w:val="00062A5A"/>
    <w:rsid w:val="000F4475"/>
    <w:rsid w:val="00182FF4"/>
    <w:rsid w:val="001A3C33"/>
    <w:rsid w:val="001B0CA7"/>
    <w:rsid w:val="001B3C81"/>
    <w:rsid w:val="00206D04"/>
    <w:rsid w:val="002079AD"/>
    <w:rsid w:val="0022472E"/>
    <w:rsid w:val="00277B72"/>
    <w:rsid w:val="003A5508"/>
    <w:rsid w:val="003D39D8"/>
    <w:rsid w:val="0044624A"/>
    <w:rsid w:val="00475EDF"/>
    <w:rsid w:val="004B0901"/>
    <w:rsid w:val="004F533A"/>
    <w:rsid w:val="00507393"/>
    <w:rsid w:val="00525EE9"/>
    <w:rsid w:val="00556175"/>
    <w:rsid w:val="0058632A"/>
    <w:rsid w:val="005B4A37"/>
    <w:rsid w:val="005B75BF"/>
    <w:rsid w:val="00635D82"/>
    <w:rsid w:val="006A4678"/>
    <w:rsid w:val="006C1F68"/>
    <w:rsid w:val="007841C3"/>
    <w:rsid w:val="00787C8A"/>
    <w:rsid w:val="007A32A1"/>
    <w:rsid w:val="007B02D1"/>
    <w:rsid w:val="007B4CC9"/>
    <w:rsid w:val="007C669B"/>
    <w:rsid w:val="00850876"/>
    <w:rsid w:val="00852075"/>
    <w:rsid w:val="0088531A"/>
    <w:rsid w:val="00890A0B"/>
    <w:rsid w:val="008C1C8E"/>
    <w:rsid w:val="0094473B"/>
    <w:rsid w:val="009959BF"/>
    <w:rsid w:val="00A61DEF"/>
    <w:rsid w:val="00A7754B"/>
    <w:rsid w:val="00B02DD3"/>
    <w:rsid w:val="00B74F28"/>
    <w:rsid w:val="00C03E20"/>
    <w:rsid w:val="00C051D5"/>
    <w:rsid w:val="00C71227"/>
    <w:rsid w:val="00CA500A"/>
    <w:rsid w:val="00CD7C15"/>
    <w:rsid w:val="00CE316E"/>
    <w:rsid w:val="00CF29DB"/>
    <w:rsid w:val="00D36DB8"/>
    <w:rsid w:val="00DE3040"/>
    <w:rsid w:val="00E73F22"/>
    <w:rsid w:val="00E95AE8"/>
    <w:rsid w:val="00E97BC2"/>
    <w:rsid w:val="00EB5266"/>
    <w:rsid w:val="00EC002D"/>
    <w:rsid w:val="00EC3679"/>
    <w:rsid w:val="00EC41DD"/>
    <w:rsid w:val="00F261A3"/>
    <w:rsid w:val="00F33D86"/>
    <w:rsid w:val="00F36AE2"/>
    <w:rsid w:val="00F37E09"/>
    <w:rsid w:val="00F80CD6"/>
    <w:rsid w:val="00FD1A7D"/>
    <w:rsid w:val="00FF7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85DC29"/>
  <w15:chartTrackingRefBased/>
  <w15:docId w15:val="{9455C670-4A20-416E-A186-D7549A45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4475"/>
    <w:rPr>
      <w:lang w:val="fr-FR"/>
    </w:rPr>
  </w:style>
  <w:style w:type="paragraph" w:styleId="Heading1">
    <w:name w:val="heading 1"/>
    <w:basedOn w:val="Normal"/>
    <w:next w:val="Normal"/>
    <w:link w:val="Heading1Char"/>
    <w:autoRedefine/>
    <w:uiPriority w:val="9"/>
    <w:qFormat/>
    <w:rsid w:val="000F4475"/>
    <w:pPr>
      <w:keepNext/>
      <w:keepLines/>
      <w:spacing w:before="120" w:after="120" w:line="240" w:lineRule="auto"/>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autoRedefine/>
    <w:uiPriority w:val="9"/>
    <w:unhideWhenUsed/>
    <w:qFormat/>
    <w:rsid w:val="000F4475"/>
    <w:pPr>
      <w:keepNext/>
      <w:keepLines/>
      <w:spacing w:before="160" w:after="12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B02D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autoRedefine/>
    <w:uiPriority w:val="9"/>
    <w:unhideWhenUsed/>
    <w:qFormat/>
    <w:rsid w:val="0094473B"/>
    <w:pPr>
      <w:keepNext/>
      <w:keepLines/>
      <w:numPr>
        <w:ilvl w:val="2"/>
        <w:numId w:val="7"/>
      </w:numPr>
      <w:spacing w:after="120" w:line="360" w:lineRule="auto"/>
      <w:jc w:val="both"/>
      <w:outlineLvl w:val="3"/>
    </w:pPr>
    <w:rPr>
      <w:rFonts w:ascii="Arial" w:eastAsiaTheme="majorEastAsia" w:hAnsi="Arial" w:cs="Arial"/>
      <w:b/>
      <w:iCs/>
      <w:shd w:val="clear" w:color="auto" w:fill="FFFFFF"/>
      <w:lang w:val="en-US"/>
    </w:rPr>
  </w:style>
  <w:style w:type="paragraph" w:styleId="Heading5">
    <w:name w:val="heading 5"/>
    <w:basedOn w:val="Normal"/>
    <w:next w:val="Normal"/>
    <w:link w:val="Heading5Char"/>
    <w:uiPriority w:val="9"/>
    <w:semiHidden/>
    <w:unhideWhenUsed/>
    <w:qFormat/>
    <w:rsid w:val="000F447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475"/>
    <w:rPr>
      <w:rFonts w:ascii="Times New Roman" w:eastAsiaTheme="majorEastAsia" w:hAnsi="Times New Roman" w:cstheme="majorBidi"/>
      <w:b/>
      <w:sz w:val="28"/>
      <w:szCs w:val="32"/>
      <w:lang w:val="fr-FR"/>
    </w:rPr>
  </w:style>
  <w:style w:type="character" w:customStyle="1" w:styleId="Heading2Char">
    <w:name w:val="Heading 2 Char"/>
    <w:basedOn w:val="DefaultParagraphFont"/>
    <w:link w:val="Heading2"/>
    <w:uiPriority w:val="9"/>
    <w:rsid w:val="000F4475"/>
    <w:rPr>
      <w:rFonts w:ascii="Times New Roman" w:eastAsiaTheme="majorEastAsia" w:hAnsi="Times New Roman" w:cstheme="majorBidi"/>
      <w:b/>
      <w:sz w:val="24"/>
      <w:szCs w:val="26"/>
      <w:lang w:val="fr-FR"/>
    </w:rPr>
  </w:style>
  <w:style w:type="character" w:customStyle="1" w:styleId="Heading4Char">
    <w:name w:val="Heading 4 Char"/>
    <w:basedOn w:val="DefaultParagraphFont"/>
    <w:link w:val="Heading4"/>
    <w:uiPriority w:val="9"/>
    <w:rsid w:val="0094473B"/>
    <w:rPr>
      <w:rFonts w:ascii="Arial" w:eastAsiaTheme="majorEastAsia" w:hAnsi="Arial" w:cs="Arial"/>
      <w:b/>
      <w:iCs/>
    </w:rPr>
  </w:style>
  <w:style w:type="character" w:customStyle="1" w:styleId="Heading5Char">
    <w:name w:val="Heading 5 Char"/>
    <w:basedOn w:val="DefaultParagraphFont"/>
    <w:link w:val="Heading5"/>
    <w:uiPriority w:val="9"/>
    <w:semiHidden/>
    <w:rsid w:val="000F4475"/>
    <w:rPr>
      <w:rFonts w:asciiTheme="majorHAnsi" w:eastAsiaTheme="majorEastAsia" w:hAnsiTheme="majorHAnsi" w:cstheme="majorBidi"/>
      <w:color w:val="2F5496" w:themeColor="accent1" w:themeShade="BF"/>
      <w:lang w:val="fr-FR"/>
    </w:rPr>
  </w:style>
  <w:style w:type="paragraph" w:styleId="Bibliography">
    <w:name w:val="Bibliography"/>
    <w:basedOn w:val="Normal"/>
    <w:next w:val="Normal"/>
    <w:uiPriority w:val="37"/>
    <w:unhideWhenUsed/>
    <w:rsid w:val="000F4475"/>
    <w:pPr>
      <w:spacing w:after="0" w:line="240" w:lineRule="auto"/>
      <w:ind w:left="720" w:hanging="720"/>
    </w:pPr>
  </w:style>
  <w:style w:type="paragraph" w:styleId="Subtitle">
    <w:name w:val="Subtitle"/>
    <w:aliases w:val="Illustration"/>
    <w:basedOn w:val="Normal"/>
    <w:next w:val="Normal"/>
    <w:link w:val="SubtitleChar"/>
    <w:autoRedefine/>
    <w:uiPriority w:val="11"/>
    <w:qFormat/>
    <w:rsid w:val="000F4475"/>
    <w:pPr>
      <w:jc w:val="center"/>
    </w:pPr>
    <w:rPr>
      <w:rFonts w:ascii="Times New Roman" w:eastAsiaTheme="minorEastAsia" w:hAnsi="Times New Roman"/>
      <w:spacing w:val="15"/>
      <w:sz w:val="24"/>
    </w:rPr>
  </w:style>
  <w:style w:type="character" w:customStyle="1" w:styleId="SubtitleChar">
    <w:name w:val="Subtitle Char"/>
    <w:aliases w:val="Illustration Char"/>
    <w:basedOn w:val="DefaultParagraphFont"/>
    <w:link w:val="Subtitle"/>
    <w:uiPriority w:val="11"/>
    <w:rsid w:val="000F4475"/>
    <w:rPr>
      <w:rFonts w:ascii="Times New Roman" w:eastAsiaTheme="minorEastAsia" w:hAnsi="Times New Roman"/>
      <w:spacing w:val="15"/>
      <w:sz w:val="24"/>
      <w:lang w:val="fr-FR"/>
    </w:rPr>
  </w:style>
  <w:style w:type="paragraph" w:styleId="NormalWeb">
    <w:name w:val="Normal (Web)"/>
    <w:basedOn w:val="Normal"/>
    <w:uiPriority w:val="99"/>
    <w:unhideWhenUsed/>
    <w:rsid w:val="000F4475"/>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PlainTable5">
    <w:name w:val="Plain Table 5"/>
    <w:basedOn w:val="TableNormal"/>
    <w:uiPriority w:val="45"/>
    <w:rsid w:val="000F4475"/>
    <w:pPr>
      <w:spacing w:after="0" w:line="240" w:lineRule="auto"/>
    </w:pPr>
    <w:rPr>
      <w:lang w:val="fr-F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0F4475"/>
    <w:rPr>
      <w:b/>
      <w:bCs/>
    </w:rPr>
  </w:style>
  <w:style w:type="character" w:styleId="Hyperlink">
    <w:name w:val="Hyperlink"/>
    <w:basedOn w:val="DefaultParagraphFont"/>
    <w:uiPriority w:val="99"/>
    <w:unhideWhenUsed/>
    <w:rsid w:val="000F4475"/>
    <w:rPr>
      <w:color w:val="0563C1" w:themeColor="hyperlink"/>
      <w:u w:val="single"/>
    </w:rPr>
  </w:style>
  <w:style w:type="paragraph" w:styleId="Footer">
    <w:name w:val="footer"/>
    <w:basedOn w:val="Normal"/>
    <w:link w:val="FooterChar"/>
    <w:uiPriority w:val="99"/>
    <w:unhideWhenUsed/>
    <w:rsid w:val="000F447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F4475"/>
    <w:rPr>
      <w:lang w:val="fr-FR"/>
    </w:rPr>
  </w:style>
  <w:style w:type="character" w:customStyle="1" w:styleId="Heading3Char">
    <w:name w:val="Heading 3 Char"/>
    <w:basedOn w:val="DefaultParagraphFont"/>
    <w:link w:val="Heading3"/>
    <w:uiPriority w:val="9"/>
    <w:semiHidden/>
    <w:rsid w:val="00B02DD3"/>
    <w:rPr>
      <w:rFonts w:asciiTheme="majorHAnsi" w:eastAsiaTheme="majorEastAsia" w:hAnsiTheme="majorHAnsi" w:cstheme="majorBidi"/>
      <w:color w:val="1F3763" w:themeColor="accent1" w:themeShade="7F"/>
      <w:sz w:val="24"/>
      <w:szCs w:val="24"/>
      <w:lang w:val="fr-FR"/>
    </w:rPr>
  </w:style>
  <w:style w:type="character" w:customStyle="1" w:styleId="UnresolvedMention1">
    <w:name w:val="Unresolved Mention1"/>
    <w:basedOn w:val="DefaultParagraphFont"/>
    <w:uiPriority w:val="99"/>
    <w:semiHidden/>
    <w:unhideWhenUsed/>
    <w:rsid w:val="00D36DB8"/>
    <w:rPr>
      <w:color w:val="605E5C"/>
      <w:shd w:val="clear" w:color="auto" w:fill="E1DFDD"/>
    </w:rPr>
  </w:style>
  <w:style w:type="paragraph" w:styleId="ListParagraph">
    <w:name w:val="List Paragraph"/>
    <w:basedOn w:val="Normal"/>
    <w:uiPriority w:val="34"/>
    <w:qFormat/>
    <w:rsid w:val="0094473B"/>
    <w:pPr>
      <w:ind w:left="720"/>
      <w:contextualSpacing/>
    </w:pPr>
  </w:style>
  <w:style w:type="character" w:styleId="PlaceholderText">
    <w:name w:val="Placeholder Text"/>
    <w:basedOn w:val="DefaultParagraphFont"/>
    <w:uiPriority w:val="99"/>
    <w:semiHidden/>
    <w:rsid w:val="0058632A"/>
    <w:rPr>
      <w:color w:val="808080"/>
    </w:rPr>
  </w:style>
  <w:style w:type="character" w:styleId="UnresolvedMention">
    <w:name w:val="Unresolved Mention"/>
    <w:basedOn w:val="DefaultParagraphFont"/>
    <w:uiPriority w:val="99"/>
    <w:semiHidden/>
    <w:unhideWhenUsed/>
    <w:rsid w:val="005B75BF"/>
    <w:rPr>
      <w:color w:val="605E5C"/>
      <w:shd w:val="clear" w:color="auto" w:fill="E1DFDD"/>
    </w:rPr>
  </w:style>
  <w:style w:type="paragraph" w:styleId="Header">
    <w:name w:val="header"/>
    <w:basedOn w:val="Normal"/>
    <w:link w:val="HeaderChar"/>
    <w:uiPriority w:val="99"/>
    <w:unhideWhenUsed/>
    <w:rsid w:val="00224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72E"/>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32739">
      <w:bodyDiv w:val="1"/>
      <w:marLeft w:val="0"/>
      <w:marRight w:val="0"/>
      <w:marTop w:val="0"/>
      <w:marBottom w:val="0"/>
      <w:divBdr>
        <w:top w:val="none" w:sz="0" w:space="0" w:color="auto"/>
        <w:left w:val="none" w:sz="0" w:space="0" w:color="auto"/>
        <w:bottom w:val="none" w:sz="0" w:space="0" w:color="auto"/>
        <w:right w:val="none" w:sz="0" w:space="0" w:color="auto"/>
      </w:divBdr>
    </w:div>
    <w:div w:id="483856075">
      <w:bodyDiv w:val="1"/>
      <w:marLeft w:val="0"/>
      <w:marRight w:val="0"/>
      <w:marTop w:val="0"/>
      <w:marBottom w:val="0"/>
      <w:divBdr>
        <w:top w:val="none" w:sz="0" w:space="0" w:color="auto"/>
        <w:left w:val="none" w:sz="0" w:space="0" w:color="auto"/>
        <w:bottom w:val="none" w:sz="0" w:space="0" w:color="auto"/>
        <w:right w:val="none" w:sz="0" w:space="0" w:color="auto"/>
      </w:divBdr>
    </w:div>
    <w:div w:id="597828653">
      <w:bodyDiv w:val="1"/>
      <w:marLeft w:val="0"/>
      <w:marRight w:val="0"/>
      <w:marTop w:val="0"/>
      <w:marBottom w:val="0"/>
      <w:divBdr>
        <w:top w:val="none" w:sz="0" w:space="0" w:color="auto"/>
        <w:left w:val="none" w:sz="0" w:space="0" w:color="auto"/>
        <w:bottom w:val="none" w:sz="0" w:space="0" w:color="auto"/>
        <w:right w:val="none" w:sz="0" w:space="0" w:color="auto"/>
      </w:divBdr>
    </w:div>
    <w:div w:id="1218129881">
      <w:bodyDiv w:val="1"/>
      <w:marLeft w:val="0"/>
      <w:marRight w:val="0"/>
      <w:marTop w:val="0"/>
      <w:marBottom w:val="0"/>
      <w:divBdr>
        <w:top w:val="none" w:sz="0" w:space="0" w:color="auto"/>
        <w:left w:val="none" w:sz="0" w:space="0" w:color="auto"/>
        <w:bottom w:val="none" w:sz="0" w:space="0" w:color="auto"/>
        <w:right w:val="none" w:sz="0" w:space="0" w:color="auto"/>
      </w:divBdr>
    </w:div>
    <w:div w:id="1282300854">
      <w:bodyDiv w:val="1"/>
      <w:marLeft w:val="0"/>
      <w:marRight w:val="0"/>
      <w:marTop w:val="0"/>
      <w:marBottom w:val="0"/>
      <w:divBdr>
        <w:top w:val="none" w:sz="0" w:space="0" w:color="auto"/>
        <w:left w:val="none" w:sz="0" w:space="0" w:color="auto"/>
        <w:bottom w:val="none" w:sz="0" w:space="0" w:color="auto"/>
        <w:right w:val="none" w:sz="0" w:space="0" w:color="auto"/>
      </w:divBdr>
    </w:div>
    <w:div w:id="1708751226">
      <w:bodyDiv w:val="1"/>
      <w:marLeft w:val="0"/>
      <w:marRight w:val="0"/>
      <w:marTop w:val="0"/>
      <w:marBottom w:val="0"/>
      <w:divBdr>
        <w:top w:val="none" w:sz="0" w:space="0" w:color="auto"/>
        <w:left w:val="none" w:sz="0" w:space="0" w:color="auto"/>
        <w:bottom w:val="none" w:sz="0" w:space="0" w:color="auto"/>
        <w:right w:val="none" w:sz="0" w:space="0" w:color="auto"/>
      </w:divBdr>
    </w:div>
    <w:div w:id="172906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DA1D7-E21F-47D0-83DD-DE271518E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12766</Words>
  <Characters>72767</Characters>
  <Application>Microsoft Office Word</Application>
  <DocSecurity>0</DocSecurity>
  <Lines>606</Lines>
  <Paragraphs>170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Gounvidé Jean GBAGUIDI</dc:creator>
  <cp:keywords/>
  <dc:description/>
  <cp:lastModifiedBy>SDI 1084</cp:lastModifiedBy>
  <cp:revision>13</cp:revision>
  <dcterms:created xsi:type="dcterms:W3CDTF">2025-10-26T20:44:00Z</dcterms:created>
  <dcterms:modified xsi:type="dcterms:W3CDTF">2025-10-28T11:43:00Z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501b2ac9-e7bc-432e-aa8c-df5c91750deb</vt:lpwstr>
  </property>
  <property fmtid="{D5CDD505-2E9C-101B-9397-08002B2CF9AE}" pid="3" name="ZOTERO_PREF_1">
    <vt:lpwstr>&lt;data data-version="3" zotero-version="7.0.27"&gt;&lt;session id="RrcYzyXt"/&gt;&lt;style id="http://www.zotero.org/styles/elsevier-harvard" hasBibliography="1" bibliographyStyleHasBeenSet="1"/&gt;&lt;prefs&gt;&lt;pref name="fieldType" value="Field"/&gt;&lt;/prefs&gt;&lt;/data&gt;</vt:lpwstr>
  </property>
</Properties>
</file>