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45CB" w14:textId="77777777" w:rsidR="00754C9A" w:rsidRDefault="00754C9A" w:rsidP="00441B6F">
      <w:pPr>
        <w:pStyle w:val="Title"/>
        <w:spacing w:after="0"/>
        <w:jc w:val="both"/>
        <w:rPr>
          <w:rFonts w:ascii="Arial" w:hAnsi="Arial" w:cs="Arial"/>
        </w:rPr>
      </w:pPr>
    </w:p>
    <w:p w14:paraId="2AC15BE8" w14:textId="49EA7F56" w:rsidR="00163BC4" w:rsidRPr="00163BC4" w:rsidRDefault="00CD7F7E" w:rsidP="00441B6F">
      <w:pPr>
        <w:pStyle w:val="Author"/>
        <w:spacing w:line="240" w:lineRule="auto"/>
        <w:rPr>
          <w:rFonts w:ascii="Arial" w:hAnsi="Arial" w:cs="Arial"/>
          <w:bCs/>
          <w:iCs/>
          <w:kern w:val="28"/>
          <w:sz w:val="36"/>
        </w:rPr>
      </w:pPr>
      <w:r>
        <w:rPr>
          <w:rFonts w:ascii="Arial" w:hAnsi="Arial" w:cs="Arial"/>
          <w:bCs/>
          <w:iCs/>
          <w:kern w:val="28"/>
          <w:sz w:val="36"/>
        </w:rPr>
        <w:t>Farmland Ownership and Smallholder Farmers’ Investment in Irrigation Infrastructure in the Volta Region, Ghana</w:t>
      </w:r>
    </w:p>
    <w:p w14:paraId="56EFA0FB" w14:textId="77777777" w:rsidR="00A258C3" w:rsidRPr="00790ADA" w:rsidRDefault="00A258C3" w:rsidP="00441B6F">
      <w:pPr>
        <w:pStyle w:val="Author"/>
        <w:spacing w:line="240" w:lineRule="auto"/>
        <w:jc w:val="both"/>
        <w:rPr>
          <w:rFonts w:ascii="Arial" w:hAnsi="Arial" w:cs="Arial"/>
          <w:sz w:val="36"/>
        </w:rPr>
      </w:pPr>
    </w:p>
    <w:p w14:paraId="6D6DDFDE" w14:textId="2424BB81" w:rsidR="00B01FCD" w:rsidRDefault="00B01FCD" w:rsidP="00B42341">
      <w:pPr>
        <w:pStyle w:val="AbstHead"/>
        <w:spacing w:after="0"/>
        <w:rPr>
          <w:rFonts w:ascii="Arial" w:hAnsi="Arial" w:cs="Arial"/>
        </w:rPr>
      </w:pPr>
      <w:r w:rsidRPr="00FB3A86">
        <w:rPr>
          <w:rFonts w:ascii="Arial" w:hAnsi="Arial" w:cs="Arial"/>
        </w:rPr>
        <w:t>ABSTRACT</w:t>
      </w:r>
      <w:r w:rsidR="0066510A">
        <w:rPr>
          <w:rFonts w:ascii="Arial" w:hAnsi="Arial" w:cs="Arial"/>
        </w:rPr>
        <w:t xml:space="preserve"> </w:t>
      </w:r>
    </w:p>
    <w:p w14:paraId="2B3246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7540382" w14:textId="77777777" w:rsidTr="001E44FE">
        <w:tc>
          <w:tcPr>
            <w:tcW w:w="9576" w:type="dxa"/>
            <w:shd w:val="clear" w:color="auto" w:fill="F2F2F2"/>
          </w:tcPr>
          <w:p w14:paraId="6B932735" w14:textId="1780B0AE" w:rsidR="00505F06" w:rsidRPr="009F08FE" w:rsidRDefault="009F08FE" w:rsidP="002C6223">
            <w:pPr>
              <w:spacing w:before="100" w:after="100"/>
              <w:jc w:val="both"/>
              <w:rPr>
                <w:sz w:val="22"/>
                <w:szCs w:val="22"/>
              </w:rPr>
            </w:pPr>
            <w:r w:rsidRPr="00DA23BC">
              <w:rPr>
                <w:sz w:val="22"/>
                <w:szCs w:val="22"/>
              </w:rPr>
              <w:t>Smallholder farmers in Sub-Saharan Africa have experienced negative consequences of poor access to irrigation.</w:t>
            </w:r>
            <w:r>
              <w:rPr>
                <w:sz w:val="22"/>
                <w:szCs w:val="22"/>
              </w:rPr>
              <w:t xml:space="preserve"> </w:t>
            </w:r>
            <w:r w:rsidRPr="00DA23BC">
              <w:rPr>
                <w:sz w:val="22"/>
                <w:szCs w:val="22"/>
              </w:rPr>
              <w:t>Past studies attributed this problem to a complicated land tenure system and high installation</w:t>
            </w:r>
            <w:r>
              <w:rPr>
                <w:sz w:val="22"/>
                <w:szCs w:val="22"/>
              </w:rPr>
              <w:t xml:space="preserve"> and or </w:t>
            </w:r>
            <w:r w:rsidRPr="00DA23BC">
              <w:rPr>
                <w:sz w:val="22"/>
                <w:szCs w:val="22"/>
              </w:rPr>
              <w:t xml:space="preserve">maintenance costs.  We do not </w:t>
            </w:r>
            <w:r>
              <w:rPr>
                <w:sz w:val="22"/>
                <w:szCs w:val="22"/>
              </w:rPr>
              <w:t>understand</w:t>
            </w:r>
            <w:r w:rsidRPr="00DA23BC">
              <w:rPr>
                <w:sz w:val="22"/>
                <w:szCs w:val="22"/>
              </w:rPr>
              <w:t xml:space="preserve"> why farmers fail to invest in irrigation infrastructure development on their farmlands as a viable and reliable option for the future. Is it true that farmland ownership influences irrigation investment</w:t>
            </w:r>
            <w:r>
              <w:rPr>
                <w:sz w:val="22"/>
                <w:szCs w:val="22"/>
              </w:rPr>
              <w:t xml:space="preserve"> by smallholder farmers</w:t>
            </w:r>
            <w:r w:rsidRPr="00DA23BC">
              <w:rPr>
                <w:sz w:val="22"/>
                <w:szCs w:val="22"/>
              </w:rPr>
              <w:t xml:space="preserve">? </w:t>
            </w:r>
            <w:r>
              <w:rPr>
                <w:sz w:val="22"/>
                <w:szCs w:val="22"/>
              </w:rPr>
              <w:t xml:space="preserve">What other factors influence smallholder farmers’ decision to invest in irrigation infrastructure? </w:t>
            </w:r>
            <w:r w:rsidRPr="00DA23BC">
              <w:rPr>
                <w:sz w:val="22"/>
                <w:szCs w:val="22"/>
                <w:shd w:val="clear" w:color="auto" w:fill="FFFFFF"/>
              </w:rPr>
              <w:t>T</w:t>
            </w:r>
            <w:r w:rsidRPr="00DA23BC">
              <w:rPr>
                <w:sz w:val="22"/>
                <w:szCs w:val="22"/>
              </w:rPr>
              <w:t>his study attempts to find answers to th</w:t>
            </w:r>
            <w:r>
              <w:rPr>
                <w:sz w:val="22"/>
                <w:szCs w:val="22"/>
              </w:rPr>
              <w:t>e</w:t>
            </w:r>
            <w:r w:rsidRPr="00DA23BC">
              <w:rPr>
                <w:sz w:val="22"/>
                <w:szCs w:val="22"/>
              </w:rPr>
              <w:t>s</w:t>
            </w:r>
            <w:r>
              <w:rPr>
                <w:sz w:val="22"/>
                <w:szCs w:val="22"/>
              </w:rPr>
              <w:t>e</w:t>
            </w:r>
            <w:r w:rsidRPr="00DA23BC">
              <w:rPr>
                <w:sz w:val="22"/>
                <w:szCs w:val="22"/>
              </w:rPr>
              <w:t xml:space="preserve"> question</w:t>
            </w:r>
            <w:r>
              <w:rPr>
                <w:sz w:val="22"/>
                <w:szCs w:val="22"/>
              </w:rPr>
              <w:t>s</w:t>
            </w:r>
            <w:r w:rsidRPr="00DA23BC">
              <w:rPr>
                <w:sz w:val="22"/>
                <w:szCs w:val="22"/>
              </w:rPr>
              <w:t xml:space="preserve"> with a focus on Ghana’s Volta region, the nation’s </w:t>
            </w:r>
            <w:r>
              <w:rPr>
                <w:sz w:val="22"/>
                <w:szCs w:val="22"/>
              </w:rPr>
              <w:t xml:space="preserve">ecological zone with the </w:t>
            </w:r>
            <w:r w:rsidRPr="00DA23BC">
              <w:rPr>
                <w:sz w:val="22"/>
                <w:szCs w:val="22"/>
              </w:rPr>
              <w:t xml:space="preserve">foremost irrigation potential. We conducted a questionnaire survey among 282 smallholder farmers who were purposively sampled in </w:t>
            </w:r>
            <w:r>
              <w:rPr>
                <w:sz w:val="22"/>
                <w:szCs w:val="22"/>
              </w:rPr>
              <w:t xml:space="preserve">the </w:t>
            </w:r>
            <w:r w:rsidRPr="00DA23BC">
              <w:rPr>
                <w:sz w:val="22"/>
                <w:szCs w:val="22"/>
              </w:rPr>
              <w:t xml:space="preserve">South and North Tongu districts from January to February 2024. The questions focused on </w:t>
            </w:r>
            <w:r>
              <w:rPr>
                <w:sz w:val="22"/>
                <w:szCs w:val="22"/>
              </w:rPr>
              <w:t xml:space="preserve">how farmland ownership influences </w:t>
            </w:r>
            <w:r w:rsidRPr="00DA23BC">
              <w:rPr>
                <w:sz w:val="22"/>
                <w:szCs w:val="22"/>
              </w:rPr>
              <w:t xml:space="preserve">smallholder farmers’ investment </w:t>
            </w:r>
            <w:r>
              <w:rPr>
                <w:sz w:val="22"/>
                <w:szCs w:val="22"/>
              </w:rPr>
              <w:t>decisions</w:t>
            </w:r>
            <w:r w:rsidRPr="00DA23BC">
              <w:rPr>
                <w:sz w:val="22"/>
                <w:szCs w:val="22"/>
              </w:rPr>
              <w:t xml:space="preserve"> in irrigation development. </w:t>
            </w:r>
            <w:r w:rsidRPr="00BF665D">
              <w:rPr>
                <w:sz w:val="22"/>
                <w:szCs w:val="22"/>
              </w:rPr>
              <w:t>We asked a five-point Likert scale question to gauge farmers</w:t>
            </w:r>
            <w:r>
              <w:rPr>
                <w:sz w:val="22"/>
                <w:szCs w:val="22"/>
              </w:rPr>
              <w:t>’</w:t>
            </w:r>
            <w:r w:rsidRPr="00BF665D">
              <w:rPr>
                <w:sz w:val="22"/>
                <w:szCs w:val="22"/>
              </w:rPr>
              <w:t xml:space="preserve"> </w:t>
            </w:r>
            <w:r>
              <w:rPr>
                <w:sz w:val="22"/>
                <w:szCs w:val="22"/>
              </w:rPr>
              <w:t>viewpoints about farmland ownership influence and their decision making</w:t>
            </w:r>
            <w:r w:rsidRPr="00BF665D">
              <w:rPr>
                <w:sz w:val="22"/>
                <w:szCs w:val="22"/>
              </w:rPr>
              <w:t xml:space="preserve"> in investing in irrigation infrastructure.</w:t>
            </w:r>
            <w:r>
              <w:rPr>
                <w:sz w:val="22"/>
                <w:szCs w:val="22"/>
              </w:rPr>
              <w:t xml:space="preserve"> </w:t>
            </w:r>
            <w:r w:rsidRPr="00DA23BC">
              <w:rPr>
                <w:sz w:val="22"/>
                <w:szCs w:val="22"/>
              </w:rPr>
              <w:t>We also conducted interviews with farmers, fieldwork, and an academic database search</w:t>
            </w:r>
            <w:r>
              <w:rPr>
                <w:sz w:val="22"/>
                <w:szCs w:val="22"/>
              </w:rPr>
              <w:t xml:space="preserve"> </w:t>
            </w:r>
            <w:r w:rsidRPr="000031D7">
              <w:rPr>
                <w:sz w:val="22"/>
                <w:szCs w:val="22"/>
              </w:rPr>
              <w:t xml:space="preserve">to </w:t>
            </w:r>
            <w:r>
              <w:rPr>
                <w:sz w:val="22"/>
                <w:szCs w:val="22"/>
              </w:rPr>
              <w:t>ascertain or otherwise</w:t>
            </w:r>
            <w:r w:rsidRPr="000031D7">
              <w:rPr>
                <w:sz w:val="22"/>
                <w:szCs w:val="22"/>
              </w:rPr>
              <w:t xml:space="preserve"> the reasons behind farmers</w:t>
            </w:r>
            <w:r>
              <w:rPr>
                <w:sz w:val="22"/>
                <w:szCs w:val="22"/>
              </w:rPr>
              <w:t xml:space="preserve">’ decision </w:t>
            </w:r>
            <w:r w:rsidRPr="000A1F13">
              <w:rPr>
                <w:sz w:val="22"/>
                <w:szCs w:val="22"/>
              </w:rPr>
              <w:t>to invest in irrigation infrastructure.</w:t>
            </w:r>
            <w:r>
              <w:rPr>
                <w:sz w:val="22"/>
                <w:szCs w:val="22"/>
              </w:rPr>
              <w:t xml:space="preserve"> </w:t>
            </w:r>
            <w:r w:rsidRPr="000F41CD">
              <w:rPr>
                <w:sz w:val="22"/>
                <w:szCs w:val="22"/>
              </w:rPr>
              <w:t xml:space="preserve">We found that the respondents were discouraged from </w:t>
            </w:r>
            <w:r>
              <w:rPr>
                <w:sz w:val="22"/>
                <w:szCs w:val="22"/>
              </w:rPr>
              <w:t>investing in</w:t>
            </w:r>
            <w:r w:rsidRPr="000F41CD">
              <w:rPr>
                <w:sz w:val="22"/>
                <w:szCs w:val="22"/>
              </w:rPr>
              <w:t xml:space="preserve"> irrigation infrastructure because they did not own farmlands, which were often disputed </w:t>
            </w:r>
            <w:r>
              <w:rPr>
                <w:sz w:val="22"/>
                <w:szCs w:val="22"/>
              </w:rPr>
              <w:t xml:space="preserve">by traditional authorities and families </w:t>
            </w:r>
            <w:r w:rsidRPr="000F41CD">
              <w:rPr>
                <w:sz w:val="22"/>
                <w:szCs w:val="22"/>
              </w:rPr>
              <w:t>due to overlapped land rights and unclear boundaries.</w:t>
            </w:r>
            <w:r>
              <w:rPr>
                <w:sz w:val="22"/>
                <w:szCs w:val="22"/>
              </w:rPr>
              <w:t xml:space="preserve"> </w:t>
            </w:r>
            <w:r w:rsidRPr="00574424">
              <w:rPr>
                <w:sz w:val="22"/>
                <w:szCs w:val="22"/>
              </w:rPr>
              <w:t>This issue extends beyond the traditional land tenure system, as identified by past studies.</w:t>
            </w:r>
            <w:r>
              <w:rPr>
                <w:sz w:val="22"/>
                <w:szCs w:val="22"/>
              </w:rPr>
              <w:t xml:space="preserve"> </w:t>
            </w:r>
            <w:r w:rsidRPr="001C170D">
              <w:rPr>
                <w:sz w:val="22"/>
                <w:szCs w:val="22"/>
              </w:rPr>
              <w:t>Without securing rights to the land, smallholders fear losing their investments when landowners reclaim it.</w:t>
            </w:r>
            <w:r>
              <w:rPr>
                <w:sz w:val="22"/>
                <w:szCs w:val="22"/>
              </w:rPr>
              <w:t xml:space="preserve"> We also identified</w:t>
            </w:r>
            <w:r w:rsidRPr="0038217D">
              <w:rPr>
                <w:sz w:val="22"/>
                <w:szCs w:val="22"/>
              </w:rPr>
              <w:t xml:space="preserve"> lack of adequate credit</w:t>
            </w:r>
            <w:r>
              <w:rPr>
                <w:sz w:val="22"/>
                <w:szCs w:val="22"/>
              </w:rPr>
              <w:t>,</w:t>
            </w:r>
            <w:r w:rsidRPr="0038217D">
              <w:rPr>
                <w:sz w:val="22"/>
                <w:szCs w:val="22"/>
              </w:rPr>
              <w:t xml:space="preserve"> irrigation infrastructure support</w:t>
            </w:r>
            <w:r>
              <w:rPr>
                <w:sz w:val="22"/>
                <w:szCs w:val="22"/>
              </w:rPr>
              <w:t xml:space="preserve"> and</w:t>
            </w:r>
            <w:r w:rsidRPr="00DA23BC">
              <w:rPr>
                <w:sz w:val="22"/>
                <w:szCs w:val="22"/>
              </w:rPr>
              <w:t xml:space="preserve"> high costs of expanding irrigation to multiple fragmented plots </w:t>
            </w:r>
            <w:r>
              <w:rPr>
                <w:sz w:val="22"/>
                <w:szCs w:val="22"/>
              </w:rPr>
              <w:t>as disincentives to</w:t>
            </w:r>
            <w:r w:rsidRPr="00DA23BC">
              <w:rPr>
                <w:sz w:val="22"/>
                <w:szCs w:val="22"/>
              </w:rPr>
              <w:t xml:space="preserve"> farmers </w:t>
            </w:r>
            <w:r>
              <w:rPr>
                <w:sz w:val="22"/>
                <w:szCs w:val="22"/>
              </w:rPr>
              <w:t>considering</w:t>
            </w:r>
            <w:r w:rsidRPr="00DA23BC">
              <w:rPr>
                <w:sz w:val="22"/>
                <w:szCs w:val="22"/>
              </w:rPr>
              <w:t xml:space="preserve"> investi</w:t>
            </w:r>
            <w:bookmarkStart w:id="0" w:name="_GoBack"/>
            <w:bookmarkEnd w:id="0"/>
            <w:r w:rsidRPr="00DA23BC">
              <w:rPr>
                <w:sz w:val="22"/>
                <w:szCs w:val="22"/>
              </w:rPr>
              <w:t>ng in irrigation</w:t>
            </w:r>
            <w:r>
              <w:rPr>
                <w:sz w:val="22"/>
                <w:szCs w:val="22"/>
              </w:rPr>
              <w:t xml:space="preserve"> infrastructure</w:t>
            </w:r>
            <w:r w:rsidRPr="00DA23BC">
              <w:rPr>
                <w:sz w:val="22"/>
                <w:szCs w:val="22"/>
              </w:rPr>
              <w:t xml:space="preserve">. </w:t>
            </w:r>
            <w:r>
              <w:rPr>
                <w:sz w:val="22"/>
                <w:szCs w:val="22"/>
              </w:rPr>
              <w:t>F</w:t>
            </w:r>
            <w:r w:rsidRPr="000C21CE">
              <w:rPr>
                <w:sz w:val="22"/>
                <w:szCs w:val="22"/>
              </w:rPr>
              <w:t>arm</w:t>
            </w:r>
            <w:r>
              <w:rPr>
                <w:sz w:val="22"/>
                <w:szCs w:val="22"/>
              </w:rPr>
              <w:t xml:space="preserve"> </w:t>
            </w:r>
            <w:r w:rsidRPr="000C21CE">
              <w:rPr>
                <w:sz w:val="22"/>
                <w:szCs w:val="22"/>
              </w:rPr>
              <w:t>s</w:t>
            </w:r>
            <w:r>
              <w:rPr>
                <w:sz w:val="22"/>
                <w:szCs w:val="22"/>
              </w:rPr>
              <w:t>ize</w:t>
            </w:r>
            <w:r w:rsidRPr="000C21CE">
              <w:rPr>
                <w:sz w:val="22"/>
                <w:szCs w:val="22"/>
              </w:rPr>
              <w:t xml:space="preserve">, income, and household size </w:t>
            </w:r>
            <w:r>
              <w:rPr>
                <w:sz w:val="22"/>
                <w:szCs w:val="22"/>
              </w:rPr>
              <w:t xml:space="preserve">further </w:t>
            </w:r>
            <w:r w:rsidRPr="000C21CE">
              <w:rPr>
                <w:sz w:val="22"/>
                <w:szCs w:val="22"/>
              </w:rPr>
              <w:t>influenced farmers</w:t>
            </w:r>
            <w:r>
              <w:rPr>
                <w:sz w:val="22"/>
                <w:szCs w:val="22"/>
              </w:rPr>
              <w:t>’</w:t>
            </w:r>
            <w:r w:rsidRPr="000C21CE">
              <w:rPr>
                <w:sz w:val="22"/>
                <w:szCs w:val="22"/>
              </w:rPr>
              <w:t xml:space="preserve"> decision to invest.</w:t>
            </w:r>
            <w:r>
              <w:rPr>
                <w:sz w:val="22"/>
                <w:szCs w:val="22"/>
              </w:rPr>
              <w:t xml:space="preserve"> </w:t>
            </w:r>
            <w:r w:rsidRPr="00DA23BC">
              <w:rPr>
                <w:color w:val="333333"/>
                <w:sz w:val="22"/>
                <w:szCs w:val="22"/>
                <w:shd w:val="clear" w:color="auto" w:fill="FFFFFF"/>
              </w:rPr>
              <w:t>The findings of this study</w:t>
            </w:r>
            <w:r>
              <w:rPr>
                <w:color w:val="333333"/>
                <w:sz w:val="22"/>
                <w:szCs w:val="22"/>
                <w:shd w:val="clear" w:color="auto" w:fill="FFFFFF"/>
              </w:rPr>
              <w:t xml:space="preserve"> contribute further insights about the impact of farmland ownership on the irrigation investment decision of smallholder farmers for</w:t>
            </w:r>
            <w:r w:rsidRPr="00DA23BC">
              <w:rPr>
                <w:color w:val="333333"/>
                <w:sz w:val="22"/>
                <w:szCs w:val="22"/>
                <w:shd w:val="clear" w:color="auto" w:fill="FFFFFF"/>
              </w:rPr>
              <w:t xml:space="preserve"> polic</w:t>
            </w:r>
            <w:r>
              <w:rPr>
                <w:color w:val="333333"/>
                <w:sz w:val="22"/>
                <w:szCs w:val="22"/>
                <w:shd w:val="clear" w:color="auto" w:fill="FFFFFF"/>
              </w:rPr>
              <w:t>y</w:t>
            </w:r>
            <w:r w:rsidRPr="00DA23BC">
              <w:rPr>
                <w:color w:val="333333"/>
                <w:sz w:val="22"/>
                <w:szCs w:val="22"/>
                <w:shd w:val="clear" w:color="auto" w:fill="FFFFFF"/>
              </w:rPr>
              <w:t xml:space="preserve"> </w:t>
            </w:r>
            <w:r>
              <w:rPr>
                <w:color w:val="333333"/>
                <w:sz w:val="22"/>
                <w:szCs w:val="22"/>
                <w:shd w:val="clear" w:color="auto" w:fill="FFFFFF"/>
              </w:rPr>
              <w:t>making and</w:t>
            </w:r>
            <w:r w:rsidRPr="00DA23BC">
              <w:rPr>
                <w:color w:val="333333"/>
                <w:sz w:val="22"/>
                <w:szCs w:val="22"/>
                <w:shd w:val="clear" w:color="auto" w:fill="FFFFFF"/>
              </w:rPr>
              <w:t xml:space="preserve"> </w:t>
            </w:r>
            <w:r>
              <w:rPr>
                <w:color w:val="333333"/>
                <w:sz w:val="22"/>
                <w:szCs w:val="22"/>
                <w:shd w:val="clear" w:color="auto" w:fill="FFFFFF"/>
              </w:rPr>
              <w:t>governments interventions in</w:t>
            </w:r>
            <w:r w:rsidRPr="00DA23BC">
              <w:rPr>
                <w:color w:val="333333"/>
                <w:sz w:val="22"/>
                <w:szCs w:val="22"/>
                <w:shd w:val="clear" w:color="auto" w:fill="FFFFFF"/>
              </w:rPr>
              <w:t xml:space="preserve"> irrigation </w:t>
            </w:r>
            <w:r>
              <w:rPr>
                <w:color w:val="333333"/>
                <w:sz w:val="22"/>
                <w:szCs w:val="22"/>
                <w:shd w:val="clear" w:color="auto" w:fill="FFFFFF"/>
              </w:rPr>
              <w:t>development.</w:t>
            </w:r>
          </w:p>
        </w:tc>
      </w:tr>
    </w:tbl>
    <w:p w14:paraId="3D17513E" w14:textId="77777777" w:rsidR="00636EB2" w:rsidRDefault="00636EB2" w:rsidP="00441B6F">
      <w:pPr>
        <w:pStyle w:val="Body"/>
        <w:spacing w:after="0"/>
        <w:rPr>
          <w:rFonts w:ascii="Arial" w:hAnsi="Arial" w:cs="Arial"/>
          <w:i/>
        </w:rPr>
      </w:pPr>
    </w:p>
    <w:p w14:paraId="42948825" w14:textId="6F58DA1B" w:rsidR="00A24E7E" w:rsidRDefault="00A24E7E" w:rsidP="00DD4EC0">
      <w:pPr>
        <w:pStyle w:val="Body"/>
        <w:spacing w:after="0"/>
        <w:ind w:left="993" w:hanging="993"/>
        <w:rPr>
          <w:rFonts w:ascii="Arial" w:hAnsi="Arial" w:cs="Arial"/>
          <w:i/>
        </w:rPr>
      </w:pPr>
      <w:r>
        <w:rPr>
          <w:rFonts w:ascii="Arial" w:hAnsi="Arial" w:cs="Arial"/>
          <w:i/>
        </w:rPr>
        <w:t>Keywords:</w:t>
      </w:r>
      <w:r w:rsidR="004B5E5E">
        <w:rPr>
          <w:rFonts w:ascii="Arial" w:hAnsi="Arial" w:cs="Arial"/>
          <w:i/>
        </w:rPr>
        <w:t xml:space="preserve"> </w:t>
      </w:r>
      <w:r w:rsidR="004B5E5E" w:rsidRPr="00F80817">
        <w:rPr>
          <w:rFonts w:ascii="Arial" w:hAnsi="Arial" w:cs="Arial"/>
          <w:i/>
        </w:rPr>
        <w:t xml:space="preserve">Smallholder farmers, farmland ownership, irrigation infrastructure, investment, Ghana. </w:t>
      </w:r>
    </w:p>
    <w:p w14:paraId="5737DE5D" w14:textId="77777777" w:rsidR="00790ADA" w:rsidRDefault="00790ADA" w:rsidP="00441B6F">
      <w:pPr>
        <w:pStyle w:val="Body"/>
        <w:spacing w:after="0"/>
        <w:rPr>
          <w:rFonts w:ascii="Arial" w:hAnsi="Arial" w:cs="Arial"/>
          <w:i/>
        </w:rPr>
      </w:pPr>
    </w:p>
    <w:p w14:paraId="2BF3B77F" w14:textId="51CE193D" w:rsidR="007F7B32" w:rsidRDefault="00902823" w:rsidP="00842624">
      <w:pPr>
        <w:pStyle w:val="Body"/>
        <w:spacing w:after="0"/>
        <w:rPr>
          <w:rFonts w:ascii="Arial" w:hAnsi="Arial" w:cs="Arial"/>
          <w:b/>
          <w:bCs/>
          <w:sz w:val="22"/>
          <w:szCs w:val="22"/>
        </w:rPr>
      </w:pPr>
      <w:r w:rsidRPr="00842624">
        <w:rPr>
          <w:rFonts w:ascii="Arial" w:hAnsi="Arial" w:cs="Arial"/>
          <w:b/>
          <w:bCs/>
          <w:sz w:val="22"/>
          <w:szCs w:val="22"/>
        </w:rPr>
        <w:t xml:space="preserve">1. </w:t>
      </w:r>
      <w:r w:rsidR="00B01FCD" w:rsidRPr="00842624">
        <w:rPr>
          <w:rFonts w:ascii="Arial" w:hAnsi="Arial" w:cs="Arial"/>
          <w:b/>
          <w:bCs/>
          <w:sz w:val="22"/>
          <w:szCs w:val="22"/>
        </w:rPr>
        <w:t>INTRODUCTION</w:t>
      </w:r>
      <w:r w:rsidR="007F7B32" w:rsidRPr="00842624">
        <w:rPr>
          <w:rFonts w:ascii="Arial" w:hAnsi="Arial" w:cs="Arial"/>
          <w:b/>
          <w:bCs/>
          <w:sz w:val="22"/>
          <w:szCs w:val="22"/>
        </w:rPr>
        <w:t xml:space="preserve"> </w:t>
      </w:r>
    </w:p>
    <w:p w14:paraId="124945E3" w14:textId="77777777" w:rsidR="00B730E3" w:rsidRPr="00B730E3" w:rsidRDefault="00B730E3" w:rsidP="00842624">
      <w:pPr>
        <w:pStyle w:val="Body"/>
        <w:spacing w:after="0"/>
        <w:rPr>
          <w:rFonts w:ascii="Arial" w:hAnsi="Arial" w:cs="Arial"/>
          <w:b/>
          <w:bCs/>
          <w:iCs/>
          <w:sz w:val="22"/>
          <w:szCs w:val="22"/>
        </w:rPr>
      </w:pPr>
    </w:p>
    <w:p w14:paraId="61E4A84A" w14:textId="77777777" w:rsidR="003F0B68" w:rsidRDefault="003F0B68" w:rsidP="00521678">
      <w:pPr>
        <w:pStyle w:val="Body"/>
        <w:rPr>
          <w:rFonts w:ascii="Arial" w:hAnsi="Arial" w:cs="Arial"/>
        </w:rPr>
      </w:pPr>
      <w:r w:rsidRPr="003F0B68">
        <w:rPr>
          <w:rFonts w:ascii="Arial" w:hAnsi="Arial" w:cs="Arial"/>
        </w:rPr>
        <w:t xml:space="preserve">Farmland is an important asset for smallholder farmers in Sub-Saharan African countries when it comes to investing in irrigation facilities for agricultural productivity (Darko et al., 2020). Past studies indicate that farmers typically obtain farmlands as gifts, leases, or rentals for their agricultural ventures over time (Grubbström &amp; Eriksson, 2018; Kokoye et al., 2013). Other studies revealed that farmers also acquire farmlands from family members and community leaders for their agricultural activities (Addaney et al., 2022; Lambrecht, 2016). For some reason, African farmers do not seem to be interested in improving their farmlands with irrigation infrastructure investments. Akrofi et al. (2019) determined that farmers were interested in improving their farms if they owned the land. Similarly, Makombe et al. (2017) found that owning farmlands encouraged farmers to invest in irrigation. </w:t>
      </w:r>
    </w:p>
    <w:p w14:paraId="3F993852" w14:textId="7CD1FEB4" w:rsidR="005005EB" w:rsidRDefault="005005EB" w:rsidP="00521678">
      <w:pPr>
        <w:pStyle w:val="Body"/>
        <w:rPr>
          <w:rFonts w:ascii="Arial" w:hAnsi="Arial" w:cs="Arial"/>
        </w:rPr>
      </w:pPr>
      <w:r w:rsidRPr="005005EB">
        <w:rPr>
          <w:rFonts w:ascii="Arial" w:hAnsi="Arial" w:cs="Arial"/>
        </w:rPr>
        <w:t xml:space="preserve">In Ghana, land ownership is controlled by individual, customary, and statutory rights (Nara et al., 2021). However, conflicts over land ownership discouraged smallholder farmers from investing in irrigation infrastructure (Gyapong, 2021). Fanadzo and Ncube (2018) emphasized that owning farmlands encouraged farmers to invest in irrigation facilities. A study by Kugbega and Aboagye (2021) in the Agogo traditional area of Ghana found that farmers with secured land tenure invested in irrigation facilities. Similarly, Akugre et al. (2022) determined that farmers in the Lawra District of Ghana with secured land tenure invested more in soil and water conservation measures. Studies on land tenure and property rights showed that secured and well-defined ownership rights gave farmers confidence to make long-term investments in </w:t>
      </w:r>
      <w:r w:rsidRPr="005005EB">
        <w:rPr>
          <w:rFonts w:ascii="Arial" w:hAnsi="Arial" w:cs="Arial"/>
        </w:rPr>
        <w:lastRenderedPageBreak/>
        <w:t xml:space="preserve">their land (Hong et al., 2023; Kombe et al., 2024). In Northern Ghana, farmers without land ownership had difficulty investing in irrigation (Anang &amp; Asante, 2020).  </w:t>
      </w:r>
    </w:p>
    <w:p w14:paraId="662B5CB8" w14:textId="3A43FB48" w:rsidR="002E0486" w:rsidRDefault="002E0486" w:rsidP="00521678">
      <w:pPr>
        <w:pStyle w:val="Body"/>
        <w:rPr>
          <w:rFonts w:ascii="Arial" w:hAnsi="Arial" w:cs="Arial"/>
        </w:rPr>
      </w:pPr>
      <w:r w:rsidRPr="002E0486">
        <w:rPr>
          <w:rFonts w:ascii="Arial" w:hAnsi="Arial" w:cs="Arial"/>
        </w:rPr>
        <w:t>Owning farmland at a location far from a water source also influences Ghanaian farmers’ decisions to invest in irrigation systems (Kudadze et al., 2019). Investing in irrigation systems is financially sensible for farmers who own farmland close to water sources (Ayamga et al., 2016). Studies have demonstrated that smallholder farmers whose farmlands are near a water source are more likely to invest in irrigation infrastructure. This phenomenon contrasts with those who do not have a water source close enough to their farms (Acheampong et al., 2018). Additionally, the cost of obtaining irrigation water increases if farmers acquire lands far from water sources. Kadigi et al. (2019) indicated that farmers incurred high costs for water-drawing technology, pump capacity, and pipelines when farmlands were not close enough to water sources. For these reasons, farmers relied on rain-fed production and became more vulnerable to frequent droughts and low yields (Abugri et al., 2017).</w:t>
      </w:r>
      <w:r>
        <w:rPr>
          <w:rFonts w:ascii="Arial" w:hAnsi="Arial" w:cs="Arial"/>
        </w:rPr>
        <w:t xml:space="preserve"> </w:t>
      </w:r>
    </w:p>
    <w:p w14:paraId="64FE2EAE" w14:textId="6CA6888F" w:rsidR="008D2258" w:rsidRDefault="006047D9" w:rsidP="00521678">
      <w:pPr>
        <w:pStyle w:val="Body"/>
        <w:spacing w:after="0"/>
        <w:rPr>
          <w:rFonts w:ascii="Arial" w:hAnsi="Arial" w:cs="Arial"/>
        </w:rPr>
      </w:pPr>
      <w:r w:rsidRPr="006047D9">
        <w:rPr>
          <w:rFonts w:ascii="Arial" w:hAnsi="Arial" w:cs="Arial"/>
        </w:rPr>
        <w:t>Irrigation infrastructure for smallholder farmers in Ghana has not seen any notable improvements, largely due to the small farm sizes they operate and the high cost of acquiring such land (Atuobi-Yeboah et al., 2020). Less than 2% of farmed land in Ghana is irrigated, a statistic that highlights the slow pace of irrigation infrastructure development (Donkoh et al., 2019). Studies conducted across various agro-ecological zones in Ghana have linked the high cost of land, small farm sizes, and insecure land tenure agreements to low levels of irrigation development (Akugre et al., 2022; Alban &amp; Willem, 2020). Studies in Northern Ghana and the White Volta Basin of the Upper East Region found that farmers often managed multiple small-scale farms across different locations (Amikuzuno &amp; Hathie, 2013; Durán-Díaz, 2023;). As a result, it was costly for farmers to invest in irrigation systems across all these different plots of land (Akrofi et al., 2019). The initial cost of purchasing motor pumps was high, as were the associated fuel expenses. This limitation meant that farmers, regardless of land ownership, were unable to afford irrigation (Nyantakyi-Frimpong et al., 2023).</w:t>
      </w:r>
    </w:p>
    <w:p w14:paraId="09D4F0E2" w14:textId="77777777" w:rsidR="006047D9" w:rsidRDefault="006047D9" w:rsidP="00521678">
      <w:pPr>
        <w:pStyle w:val="Body"/>
        <w:spacing w:after="0"/>
        <w:rPr>
          <w:rFonts w:ascii="Arial" w:hAnsi="Arial" w:cs="Arial"/>
        </w:rPr>
      </w:pPr>
    </w:p>
    <w:p w14:paraId="6358C318" w14:textId="4BDD85CC" w:rsidR="00790ADA" w:rsidRDefault="008D2258" w:rsidP="00441B6F">
      <w:pPr>
        <w:pStyle w:val="Body"/>
        <w:spacing w:after="0"/>
        <w:rPr>
          <w:rFonts w:ascii="Arial" w:hAnsi="Arial" w:cs="Arial"/>
        </w:rPr>
      </w:pPr>
      <w:r w:rsidRPr="008D2258">
        <w:rPr>
          <w:rFonts w:ascii="Arial" w:hAnsi="Arial" w:cs="Arial"/>
        </w:rPr>
        <w:t xml:space="preserve">Past studies have largely focused on land tenure security, technology adoption, and technical efficiency, without explicitly examining the role of farmland ownership. This has left a gap in understanding the specific influence and impact of land ownership on irrigation investments in the Volta region </w:t>
      </w:r>
      <w:r w:rsidR="001D2C97">
        <w:rPr>
          <w:rFonts w:ascii="Arial" w:hAnsi="Arial" w:cs="Arial"/>
        </w:rPr>
        <w:t>and</w:t>
      </w:r>
      <w:r w:rsidR="00702816">
        <w:rPr>
          <w:rFonts w:ascii="Arial" w:hAnsi="Arial" w:cs="Arial"/>
        </w:rPr>
        <w:t xml:space="preserve"> </w:t>
      </w:r>
      <w:r w:rsidRPr="008D2258">
        <w:rPr>
          <w:rFonts w:ascii="Arial" w:hAnsi="Arial" w:cs="Arial"/>
        </w:rPr>
        <w:t>Ghana. Existing studies have paid little attention to how farmland ownership influences farmers’ investment in irrigation facilities in the Volta Region, where this study is situated. Farmers have been reluctant to invest in irrigation systems, a trend that remains inadequately explained by existing studies. As a result, the reasons behind the continuous reluctance of farmers in the study area to invest in irrigation systems remain unclear. It is against this backdrop that this study examines (1) how farmland ownership affects smallholder farmers’ decision in investing in irrigation infrastructure and (2) other factors influencing farmers’ decision to invest in such infrastructure in Ghana’s Volta Region. This study will provide a clearer explanation for the long-standing low irrigation infrastructure investment by farmers in Ghana. It will contribute to policy with insights on new approaches to decision-making for irrigation development. Additionally, the findings will enrich the existing literature on the impact of land tenure on agricultural irrigation investments.</w:t>
      </w:r>
      <w:r>
        <w:rPr>
          <w:rFonts w:ascii="Arial" w:hAnsi="Arial" w:cs="Arial"/>
        </w:rPr>
        <w:t xml:space="preserve"> </w:t>
      </w:r>
    </w:p>
    <w:p w14:paraId="3BB6F63A" w14:textId="77777777" w:rsidR="008D2258" w:rsidRPr="00FB3A86" w:rsidRDefault="008D2258" w:rsidP="00441B6F">
      <w:pPr>
        <w:pStyle w:val="Body"/>
        <w:spacing w:after="0"/>
        <w:rPr>
          <w:rFonts w:ascii="Arial" w:hAnsi="Arial" w:cs="Arial"/>
        </w:rPr>
      </w:pPr>
    </w:p>
    <w:p w14:paraId="2AA7B84B" w14:textId="693EF6C4" w:rsidR="00DD5757"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233DBF2D" w14:textId="77777777" w:rsidR="00DD5757" w:rsidRPr="00FB3A86" w:rsidRDefault="00DD5757" w:rsidP="00441B6F">
      <w:pPr>
        <w:pStyle w:val="AbstHead"/>
        <w:spacing w:after="0"/>
        <w:jc w:val="both"/>
        <w:rPr>
          <w:rFonts w:ascii="Arial" w:hAnsi="Arial" w:cs="Arial"/>
        </w:rPr>
      </w:pPr>
    </w:p>
    <w:p w14:paraId="59477E52" w14:textId="69E26E28" w:rsidR="00A03B96" w:rsidRPr="009049C4" w:rsidRDefault="009049C4" w:rsidP="00441B6F">
      <w:pPr>
        <w:pStyle w:val="Body"/>
        <w:spacing w:after="0"/>
        <w:rPr>
          <w:rFonts w:ascii="Arial" w:hAnsi="Arial" w:cs="Arial"/>
          <w:b/>
          <w:bCs/>
          <w:sz w:val="22"/>
          <w:szCs w:val="22"/>
        </w:rPr>
      </w:pPr>
      <w:r w:rsidRPr="009049C4">
        <w:rPr>
          <w:rFonts w:ascii="Arial" w:hAnsi="Arial" w:cs="Arial"/>
          <w:b/>
          <w:bCs/>
          <w:sz w:val="22"/>
          <w:szCs w:val="22"/>
        </w:rPr>
        <w:t>2.1 Study Location</w:t>
      </w:r>
    </w:p>
    <w:p w14:paraId="2B5E1DAB" w14:textId="77777777" w:rsidR="009049C4" w:rsidRDefault="009049C4" w:rsidP="00441B6F">
      <w:pPr>
        <w:pStyle w:val="Body"/>
        <w:spacing w:after="0"/>
        <w:rPr>
          <w:rFonts w:ascii="Arial" w:hAnsi="Arial" w:cs="Arial"/>
        </w:rPr>
      </w:pPr>
    </w:p>
    <w:p w14:paraId="4AC7498B" w14:textId="48F99EC3" w:rsidR="00075024" w:rsidRDefault="00075024" w:rsidP="00B8204E">
      <w:pPr>
        <w:pStyle w:val="Body"/>
        <w:rPr>
          <w:rFonts w:ascii="Arial" w:hAnsi="Arial" w:cs="Arial"/>
        </w:rPr>
      </w:pPr>
      <w:r w:rsidRPr="00075024">
        <w:rPr>
          <w:rFonts w:ascii="Arial" w:hAnsi="Arial" w:cs="Arial"/>
        </w:rPr>
        <w:t>This study was conducted in the South and North Tongu districts of the Volta Region of Ghana (Figure 1). The Ghana Statistical Service (2021) reports that the Volta region has a total population of approximately 1,659,040 individuals, accounting for 5.4% of the total national population of 30,832,019 people. The regional population consisted of 868,355 females. The population of South Tongu district alone amounted to 113,114 individuals, accounting for 6.8% of the total Volta regional population. The South Tongu district population consists of 60,626 females, representing 53.6% of the district. With 110,891 residents, the North Tongu district makes up 6.7% of the entire region’s population. The North Tongu district consists of 57,895 females, representing 52% of the district. According to the Ghana Statistical Service (2021), about 68.9% and 56% of the population reside in rural areas of the South and North Tongu districts, respectively. These population primarily rely on agriculture for their sustenance.</w:t>
      </w:r>
      <w:r>
        <w:rPr>
          <w:rFonts w:ascii="Arial" w:hAnsi="Arial" w:cs="Arial"/>
        </w:rPr>
        <w:t xml:space="preserve"> </w:t>
      </w:r>
    </w:p>
    <w:p w14:paraId="05A2C1E1" w14:textId="43963350" w:rsidR="00113BE9" w:rsidRDefault="00113BE9" w:rsidP="00B8204E">
      <w:pPr>
        <w:pStyle w:val="Body"/>
        <w:rPr>
          <w:rFonts w:ascii="Arial" w:hAnsi="Arial" w:cs="Arial"/>
        </w:rPr>
      </w:pPr>
      <w:r w:rsidRPr="00113BE9">
        <w:rPr>
          <w:rFonts w:ascii="Arial" w:hAnsi="Arial" w:cs="Arial"/>
        </w:rPr>
        <w:t>Agriculture, the main economic activity, supports farmers with food and income. Farmers cultivate staple crops such as rice, maize, cassava, and vegetables (cabbage, lettuce, spring onions, carrots, tomatoes, okra, garden eggs, and pepper) and tree crops. They cultivate these crops using a combination of irrigation and rainfall (Alhassan et al., 2023). Commonly employed irrigation techniques include traditional flood recession, river water pumping, gravity-based irrigation, field bunding, sprinkler systems, and furrow irrigation. Some rice farmers redirect water from streams and rivers directly to their fields if necessary.</w:t>
      </w:r>
      <w:r>
        <w:rPr>
          <w:rFonts w:ascii="Arial" w:hAnsi="Arial" w:cs="Arial"/>
        </w:rPr>
        <w:t xml:space="preserve"> </w:t>
      </w:r>
    </w:p>
    <w:p w14:paraId="2499F077" w14:textId="70000921" w:rsidR="00B8204E" w:rsidRPr="00B8204E" w:rsidRDefault="00285D78" w:rsidP="00B8204E">
      <w:pPr>
        <w:pStyle w:val="Body"/>
        <w:rPr>
          <w:rFonts w:ascii="Arial" w:hAnsi="Arial" w:cs="Arial"/>
        </w:rPr>
      </w:pPr>
      <w:r w:rsidRPr="00285D78">
        <w:rPr>
          <w:rFonts w:ascii="Arial" w:hAnsi="Arial" w:cs="Arial"/>
        </w:rPr>
        <w:t xml:space="preserve">Recently, the Volta Region has received some initiatives that focused on irrigation water access for its farmers. These initiatives aimed to reduce the effects of climate change, improve productivity, and guarantee food security. Nevertheless, </w:t>
      </w:r>
      <w:r w:rsidRPr="00285D78">
        <w:rPr>
          <w:rFonts w:ascii="Arial" w:hAnsi="Arial" w:cs="Arial"/>
        </w:rPr>
        <w:lastRenderedPageBreak/>
        <w:t>the success of these initiatives was greatly affected by the ownership situation of farms, lack of credit support, and mismanagement (Ansah, 2023; Nkpeebo &amp; Mavimbela, 2023). Repairs and maintenance expenses were also blamed for the failure of these projects</w:t>
      </w:r>
      <w:r w:rsidR="00B8204E" w:rsidRPr="00B8204E">
        <w:rPr>
          <w:rFonts w:ascii="Arial" w:hAnsi="Arial" w:cs="Arial"/>
        </w:rPr>
        <w:t xml:space="preserve"> (</w:t>
      </w:r>
      <w:r w:rsidR="00E17051" w:rsidRPr="00E17051">
        <w:rPr>
          <w:rFonts w:ascii="Arial" w:hAnsi="Arial" w:cs="Arial"/>
        </w:rPr>
        <w:t>Bjornlund et al., 2018</w:t>
      </w:r>
      <w:r w:rsidR="00E17051">
        <w:rPr>
          <w:rFonts w:ascii="Arial" w:hAnsi="Arial" w:cs="Arial"/>
        </w:rPr>
        <w:t xml:space="preserve">; </w:t>
      </w:r>
      <w:r w:rsidR="00B8204E" w:rsidRPr="00B8204E">
        <w:rPr>
          <w:rFonts w:ascii="Arial" w:hAnsi="Arial" w:cs="Arial"/>
        </w:rPr>
        <w:t>Djangba et al., 2024; Kotei et al., 2015).</w:t>
      </w:r>
      <w:r>
        <w:rPr>
          <w:rFonts w:ascii="Arial" w:hAnsi="Arial" w:cs="Arial"/>
        </w:rPr>
        <w:t xml:space="preserve"> </w:t>
      </w:r>
    </w:p>
    <w:p w14:paraId="19C7CC4E" w14:textId="39897FC5" w:rsidR="00417995" w:rsidRDefault="00417995" w:rsidP="00B8204E">
      <w:pPr>
        <w:pStyle w:val="Body"/>
        <w:spacing w:after="0"/>
        <w:rPr>
          <w:rFonts w:ascii="Arial" w:hAnsi="Arial" w:cs="Arial"/>
        </w:rPr>
      </w:pPr>
      <w:r w:rsidRPr="00417995">
        <w:rPr>
          <w:rFonts w:ascii="Arial" w:hAnsi="Arial" w:cs="Arial"/>
        </w:rPr>
        <w:t>The Aveyime irrigation project was built in 1975 to provide farmers with water from the lower Volta River. A private farm, Prairie Volta Limited, used the scheme to cultivate 200 hectares of paddy, while other farmers also increased production. The Japan International Cooperation Agency (JICA) supported the initial construction and later studied its rehabilitation in 1997. In 1998, the facility broke down and was abandoned. The Agriculture Services Sub-</w:t>
      </w:r>
      <w:r w:rsidR="001E0A35">
        <w:rPr>
          <w:rFonts w:ascii="Arial" w:hAnsi="Arial" w:cs="Arial"/>
        </w:rPr>
        <w:t>S</w:t>
      </w:r>
      <w:r w:rsidRPr="00417995">
        <w:rPr>
          <w:rFonts w:ascii="Arial" w:hAnsi="Arial" w:cs="Arial"/>
        </w:rPr>
        <w:t>ector Investment Program (AgSSIP), funded by the World Bank, rehabilitated it in 2005. However, delays in pump delivery slowed irrigation services. This happened because civil works and pump procurement were handled by different contractors. The project eventually collapsed again due to poor maintenance and lack of repair (Namara et al., 2011).</w:t>
      </w:r>
    </w:p>
    <w:p w14:paraId="09560216" w14:textId="77777777" w:rsidR="00417995" w:rsidRDefault="00417995" w:rsidP="00B8204E">
      <w:pPr>
        <w:pStyle w:val="Body"/>
        <w:spacing w:after="0"/>
        <w:rPr>
          <w:rFonts w:ascii="Arial" w:hAnsi="Arial" w:cs="Arial"/>
        </w:rPr>
      </w:pPr>
    </w:p>
    <w:p w14:paraId="2186CEE7" w14:textId="68855816" w:rsidR="00AE41BC" w:rsidRDefault="00A43B9B" w:rsidP="00B8204E">
      <w:pPr>
        <w:pStyle w:val="Body"/>
        <w:spacing w:after="0"/>
        <w:rPr>
          <w:rFonts w:ascii="Arial" w:hAnsi="Arial" w:cs="Arial"/>
        </w:rPr>
      </w:pPr>
      <w:r w:rsidRPr="00A43B9B">
        <w:rPr>
          <w:rFonts w:ascii="Arial" w:hAnsi="Arial" w:cs="Arial"/>
        </w:rPr>
        <w:t>In 2021, the Korea International Cooperation Agency (KOICA) partnered with Ghana’s Ministry of Food and Agriculture and the Ghana Irrigation Development Authority to invest US $6.5 million in reconstructing the Aveyime Irrigation Scheme in the Volta Region. The project, called “the rehabilitation of the irrigation scheme and improvement of the irrigation water management project,” aimed to boost food security and improve farmers’ livelihoods by increasing rice yields in beneficiary communities (Dotse, 2023). However, the initiative did not cover all farming communities. Farmers in excluded areas privately invested in irrigation facilities, but these later collapsed. The high cost of equipment, challenges in repair and maintenance, insecure land tenure, and limited technical expertise led to the collapse.</w:t>
      </w:r>
      <w:r>
        <w:rPr>
          <w:rFonts w:ascii="Arial" w:hAnsi="Arial" w:cs="Arial"/>
        </w:rPr>
        <w:t xml:space="preserve"> </w:t>
      </w:r>
    </w:p>
    <w:p w14:paraId="510323EE" w14:textId="4200F0DA" w:rsidR="00A03B96" w:rsidRDefault="009D0D76" w:rsidP="00FF38C8">
      <w:pPr>
        <w:pStyle w:val="Body"/>
        <w:spacing w:after="0"/>
        <w:jc w:val="left"/>
        <w:rPr>
          <w:rFonts w:ascii="Arial" w:hAnsi="Arial" w:cs="Arial"/>
        </w:rPr>
      </w:pPr>
      <w:r w:rsidRPr="00C27473">
        <w:rPr>
          <w:rFonts w:ascii="Arial" w:hAnsi="Arial" w:cs="Arial"/>
          <w:noProof/>
          <w:lang w:val="en-IN" w:eastAsia="en-IN"/>
        </w:rPr>
        <w:drawing>
          <wp:inline distT="0" distB="0" distL="0" distR="0" wp14:anchorId="62CC1D5B" wp14:editId="48A8B083">
            <wp:extent cx="4291148" cy="5062739"/>
            <wp:effectExtent l="0" t="0" r="0" b="0"/>
            <wp:docPr id="4142910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9104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387567" cy="5176495"/>
                    </a:xfrm>
                    <a:prstGeom prst="rect">
                      <a:avLst/>
                    </a:prstGeom>
                  </pic:spPr>
                </pic:pic>
              </a:graphicData>
            </a:graphic>
          </wp:inline>
        </w:drawing>
      </w:r>
    </w:p>
    <w:p w14:paraId="5A777D88" w14:textId="4DB7CE61" w:rsidR="003E46C1" w:rsidRPr="003E46C1" w:rsidRDefault="003E46C1" w:rsidP="003E46C1">
      <w:pPr>
        <w:pStyle w:val="Body"/>
        <w:rPr>
          <w:rFonts w:ascii="Arial" w:hAnsi="Arial" w:cs="Arial"/>
        </w:rPr>
      </w:pPr>
      <w:r w:rsidRPr="003E46C1">
        <w:rPr>
          <w:rFonts w:ascii="Arial" w:hAnsi="Arial" w:cs="Arial"/>
        </w:rPr>
        <w:t>Fig</w:t>
      </w:r>
      <w:r w:rsidR="00E86F5A">
        <w:rPr>
          <w:rFonts w:ascii="Arial" w:hAnsi="Arial" w:cs="Arial"/>
        </w:rPr>
        <w:t>.</w:t>
      </w:r>
      <w:r w:rsidRPr="003E46C1">
        <w:rPr>
          <w:rFonts w:ascii="Arial" w:hAnsi="Arial" w:cs="Arial"/>
        </w:rPr>
        <w:t xml:space="preserve"> 1</w:t>
      </w:r>
      <w:r w:rsidR="00E86F5A">
        <w:rPr>
          <w:rFonts w:ascii="Arial" w:hAnsi="Arial" w:cs="Arial"/>
        </w:rPr>
        <w:t>.</w:t>
      </w:r>
      <w:r w:rsidRPr="003E46C1">
        <w:rPr>
          <w:rFonts w:ascii="Arial" w:hAnsi="Arial" w:cs="Arial"/>
        </w:rPr>
        <w:t xml:space="preserve"> Study Area Map</w:t>
      </w:r>
    </w:p>
    <w:p w14:paraId="0086335D" w14:textId="3517B448" w:rsidR="00A03B96" w:rsidRDefault="003E46C1" w:rsidP="003E46C1">
      <w:pPr>
        <w:pStyle w:val="Body"/>
        <w:spacing w:after="0"/>
        <w:rPr>
          <w:rFonts w:ascii="Arial" w:hAnsi="Arial" w:cs="Arial"/>
        </w:rPr>
      </w:pPr>
      <w:r w:rsidRPr="003E46C1">
        <w:rPr>
          <w:rFonts w:ascii="Arial" w:hAnsi="Arial" w:cs="Arial"/>
        </w:rPr>
        <w:t>Source: UNOCHA, 2024</w:t>
      </w:r>
    </w:p>
    <w:p w14:paraId="4DF03997" w14:textId="77777777" w:rsidR="00B90F92" w:rsidRDefault="00B90F92" w:rsidP="003E46C1">
      <w:pPr>
        <w:pStyle w:val="Body"/>
        <w:spacing w:after="0"/>
        <w:rPr>
          <w:rFonts w:ascii="Arial" w:hAnsi="Arial" w:cs="Arial"/>
        </w:rPr>
      </w:pPr>
    </w:p>
    <w:p w14:paraId="55FE6213" w14:textId="1EDAF921" w:rsidR="00790ADA" w:rsidRPr="00B90F92" w:rsidRDefault="00B90F92" w:rsidP="00441B6F">
      <w:pPr>
        <w:pStyle w:val="Body"/>
        <w:spacing w:after="0"/>
        <w:rPr>
          <w:rFonts w:ascii="Arial" w:hAnsi="Arial" w:cs="Arial"/>
          <w:b/>
          <w:bCs/>
          <w:sz w:val="22"/>
          <w:szCs w:val="22"/>
        </w:rPr>
      </w:pPr>
      <w:r w:rsidRPr="00B90F92">
        <w:rPr>
          <w:rFonts w:ascii="Arial" w:hAnsi="Arial" w:cs="Arial"/>
          <w:b/>
          <w:bCs/>
          <w:sz w:val="22"/>
          <w:szCs w:val="22"/>
        </w:rPr>
        <w:t>2.2 Data Collection and Analysis</w:t>
      </w:r>
    </w:p>
    <w:p w14:paraId="3B129568" w14:textId="77777777" w:rsidR="00B90F92" w:rsidRDefault="00B90F92" w:rsidP="00441B6F">
      <w:pPr>
        <w:pStyle w:val="Body"/>
        <w:spacing w:after="0"/>
        <w:rPr>
          <w:rFonts w:ascii="Arial" w:hAnsi="Arial" w:cs="Arial"/>
        </w:rPr>
      </w:pPr>
    </w:p>
    <w:p w14:paraId="61909F0E" w14:textId="2D0B53B6" w:rsidR="00214CA9" w:rsidRDefault="00214CA9" w:rsidP="00BD64B3">
      <w:pPr>
        <w:pStyle w:val="Body"/>
        <w:rPr>
          <w:rFonts w:ascii="Arial" w:hAnsi="Arial" w:cs="Arial"/>
        </w:rPr>
      </w:pPr>
      <w:r w:rsidRPr="00214CA9">
        <w:rPr>
          <w:rFonts w:ascii="Arial" w:hAnsi="Arial" w:cs="Arial"/>
        </w:rPr>
        <w:lastRenderedPageBreak/>
        <w:t>In November 2023, a preliminary household survey was carried out in Hikpo and Agorveme. Farmers and extension officers were interviewed to determine how farmland ownership influenced farmers’ investment decision in irrigation infrastructure. These interviews helped validate responses from the questionnaire. Discussions with the two District Directorates of Agriculture and community leaders showed that the districts have strong potential for irrigation development because of available water sources and fertile arable land. However, irrigation infrastructure remains limited due to land tenure insecurity, socio-economic challenges, and inadequate irrigation interventions. Farmers also face environmental stresses. Heavy rainfall often causes floods that destroy farms and farmhouses, while high temperatures reduce crop yield and productivity. An in-depth literature review confirmed that most farmers continue to rely on rain-fed agriculture, largely due to socio-economic constraints (Aboagye et al., 2024; Nutor et al., 2024).</w:t>
      </w:r>
    </w:p>
    <w:p w14:paraId="1F1DBF58" w14:textId="617E885F" w:rsidR="00214CA9" w:rsidRDefault="00214CA9" w:rsidP="00BD64B3">
      <w:pPr>
        <w:pStyle w:val="Body"/>
        <w:rPr>
          <w:rFonts w:ascii="Arial" w:hAnsi="Arial" w:cs="Arial"/>
        </w:rPr>
      </w:pPr>
      <w:r w:rsidRPr="00214CA9">
        <w:rPr>
          <w:rFonts w:ascii="Arial" w:hAnsi="Arial" w:cs="Arial"/>
        </w:rPr>
        <w:t>A questionnaire was designed and uploaded to KoboToolbox, a digital tool that simplified data collection, storage, and retrieval. All surveys were conducted with informed consent, and respondents were assured of anonymity and confidentiality. With the help of trained enumerators, South and North Tongu districts were purposively selected for the survey because they share similar water sources, climate, crops cultivated, irrigation practices, and low levels of irrigation development. From January to February 2024, respondents were randomly selected and the questionnaire administered among 282 smallholder farmers across six (6) selected communities. These included Tordzinu, Hikpo, Sokpoe, Agorveme, Korsive, and Dorfor-Adidome. The communities were chosen because of their common farming practices, water sources, irrigation needs, farmland ownership challenges, and cultural similarities.</w:t>
      </w:r>
      <w:r>
        <w:rPr>
          <w:rFonts w:ascii="Arial" w:hAnsi="Arial" w:cs="Arial"/>
        </w:rPr>
        <w:t xml:space="preserve"> </w:t>
      </w:r>
    </w:p>
    <w:p w14:paraId="4BDDDC30" w14:textId="01A70637" w:rsidR="00156E1C" w:rsidRDefault="00156E1C" w:rsidP="00BD64B3">
      <w:pPr>
        <w:pStyle w:val="Body"/>
        <w:rPr>
          <w:rFonts w:ascii="Arial" w:hAnsi="Arial" w:cs="Arial"/>
        </w:rPr>
      </w:pPr>
      <w:r w:rsidRPr="00156E1C">
        <w:rPr>
          <w:rFonts w:ascii="Arial" w:hAnsi="Arial" w:cs="Arial"/>
        </w:rPr>
        <w:t>The questionnaire was divided into three main sections. The first section covered the socio-demographic characteristics of farmers, such as gender, age, education, household size, household income, farm size, and farmland ownership status. The second section examined smallholder farmers’ perspectives about challenges in irrigation infrastructure investment decision making. The third part sought farmers opinions about how farmland ownership influenced farmers’ decision in investing in irrigation infrastructure. Most of the survey questions were structured on a Likert scale to capture the degree of agreement among respondents. For data analysis, SPSS software (version 27) and Excel were used to generate tables and figures. The results were presented using descriptive statistics, mainly frequencies and percentages. In addition, correlations were explored between farmers’ socio-demographic characteristics and their investment decision to identify other factors influencing farmers’ willingness to invest in irrigation infrastructure.</w:t>
      </w:r>
    </w:p>
    <w:p w14:paraId="378B2BFC" w14:textId="6B29790D" w:rsidR="00CC673D" w:rsidRDefault="00CC673D" w:rsidP="00CC673D">
      <w:pPr>
        <w:pStyle w:val="Body"/>
        <w:rPr>
          <w:rFonts w:ascii="Arial" w:hAnsi="Arial" w:cs="Arial"/>
        </w:rPr>
      </w:pPr>
      <w:r w:rsidRPr="00CC673D">
        <w:rPr>
          <w:rFonts w:ascii="Arial" w:hAnsi="Arial" w:cs="Arial"/>
        </w:rPr>
        <w:t>Past econometric studies have used the logit model to examine how variables such as age, gender, experience, and education affect binary outcomes. Examples include studies on technology adoption, willingness to pay for irrigation water, conservation of wetlands, and access to information (Baffoe et al., 2021; Bavorová et al., 2020; Kifle et al., 2022). In this study, the logit regression model was applied to examine the factors influencing farmers’ investment in irrigation infrastructure. Farmers who invested were coded as 1, and those who did not were coded as 0. The odds ratio was used to interpret the likelihood of an outcome for a one-unit change in a predictor variable. Values greater than 1 indicate a positive effect, values less than 1 indicate a negative effect, and values equal to 1 indicate no effect. Each farmer’s decision to invest was treated as an independent observation, meaning that one farmer’s decision did not influence another’s. No extreme outliers were found among the predictor variables that could bias the results. The general logit model is expressed in the following equation:</w:t>
      </w:r>
    </w:p>
    <w:p w14:paraId="635F6EF8" w14:textId="46C2BAF5" w:rsidR="00BD64B3" w:rsidRPr="00661686" w:rsidRDefault="001428E8" w:rsidP="005E37B0">
      <w:pPr>
        <w:pStyle w:val="Body"/>
        <w:jc w:val="center"/>
        <w:rPr>
          <w:rFonts w:ascii="Arial" w:hAnsi="Arial" w:cs="Arial"/>
        </w:rPr>
      </w:pP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nary>
          <m:naryPr>
            <m:chr m:val="∑"/>
            <m:limLoc m:val="subSup"/>
            <m:ctrlPr>
              <w:rPr>
                <w:rFonts w:ascii="Cambria Math" w:hAnsi="Cambria Math" w:cs="Arial"/>
                <w:i/>
              </w:rPr>
            </m:ctrlPr>
          </m:naryPr>
          <m:sub>
            <m:r>
              <w:rPr>
                <w:rFonts w:ascii="Cambria Math" w:hAnsi="Cambria Math" w:cs="Arial"/>
              </w:rPr>
              <m:t>j=i</m:t>
            </m:r>
          </m:sub>
          <m:sup>
            <m:r>
              <w:rPr>
                <w:rFonts w:ascii="Cambria Math" w:hAnsi="Cambria Math" w:cs="Arial"/>
              </w:rPr>
              <m:t>k</m:t>
            </m:r>
          </m:sup>
          <m:e>
            <m:sSub>
              <m:sSubPr>
                <m:ctrlPr>
                  <w:rPr>
                    <w:rFonts w:ascii="Cambria Math" w:hAnsi="Cambria Math" w:cs="Arial"/>
                    <w:i/>
                  </w:rPr>
                </m:ctrlPr>
              </m:sSubPr>
              <m:e>
                <m:r>
                  <w:rPr>
                    <w:rFonts w:ascii="Cambria Math" w:hAnsi="Cambria Math" w:cs="Arial"/>
                  </w:rPr>
                  <m:t>β</m:t>
                </m:r>
              </m:e>
              <m:sub>
                <m:r>
                  <w:rPr>
                    <w:rFonts w:ascii="Cambria Math" w:hAnsi="Cambria Math" w:cs="Arial"/>
                  </w:rPr>
                  <m:t>j</m:t>
                </m:r>
              </m:sub>
            </m:sSub>
            <m:sSub>
              <m:sSubPr>
                <m:ctrlPr>
                  <w:rPr>
                    <w:rFonts w:ascii="Cambria Math" w:hAnsi="Cambria Math" w:cs="Arial"/>
                  </w:rPr>
                </m:ctrlPr>
              </m:sSubPr>
              <m:e>
                <m:r>
                  <m:rPr>
                    <m:sty m:val="p"/>
                  </m:rPr>
                  <w:rPr>
                    <w:rFonts w:ascii="Cambria Math" w:hAnsi="Cambria Math" w:cs="Arial"/>
                  </w:rPr>
                  <m:t>Χ</m:t>
                </m:r>
              </m:e>
              <m:sub>
                <m:r>
                  <w:rPr>
                    <w:rFonts w:ascii="Cambria Math" w:hAnsi="Cambria Math" w:cs="Arial"/>
                  </w:rPr>
                  <m:t>ij</m:t>
                </m:r>
              </m:sub>
            </m:sSub>
          </m:e>
        </m:nary>
        <m:r>
          <w:rPr>
            <w:rFonts w:ascii="Cambria Math" w:hAnsi="Cambria Math" w:cs="Arial"/>
          </w:rPr>
          <m:t xml:space="preserve">+ </m:t>
        </m:r>
        <m:sSub>
          <m:sSubPr>
            <m:ctrlPr>
              <w:rPr>
                <w:rFonts w:ascii="Cambria Math" w:hAnsi="Cambria Math" w:cs="Arial"/>
                <w:i/>
              </w:rPr>
            </m:ctrlPr>
          </m:sSubPr>
          <m:e>
            <m:r>
              <w:rPr>
                <w:rFonts w:ascii="Cambria Math" w:hAnsi="Cambria Math" w:cs="Arial"/>
              </w:rPr>
              <m:t>ε</m:t>
            </m:r>
          </m:e>
          <m:sub>
            <m:r>
              <w:rPr>
                <w:rFonts w:ascii="Cambria Math" w:hAnsi="Cambria Math" w:cs="Arial"/>
              </w:rPr>
              <m:t>i</m:t>
            </m:r>
          </m:sub>
        </m:sSub>
      </m:oMath>
      <w:r w:rsidR="00BD64B3" w:rsidRPr="00661686">
        <w:rPr>
          <w:rFonts w:ascii="Arial" w:hAnsi="Arial" w:cs="Arial"/>
        </w:rPr>
        <w:t xml:space="preserve"> </w:t>
      </w:r>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BD64B3" w:rsidRPr="00661686">
        <w:rPr>
          <w:rFonts w:ascii="Arial" w:hAnsi="Arial" w:cs="Arial"/>
        </w:rPr>
        <w:t>(1)</w:t>
      </w:r>
    </w:p>
    <w:p w14:paraId="5F31088B" w14:textId="77777777" w:rsidR="00BD64B3" w:rsidRPr="00661686" w:rsidRDefault="00BD64B3" w:rsidP="00BD64B3">
      <w:pPr>
        <w:pStyle w:val="Body"/>
        <w:rPr>
          <w:rFonts w:ascii="Arial" w:hAnsi="Arial" w:cs="Arial"/>
        </w:rPr>
      </w:pPr>
      <w:r w:rsidRPr="00661686">
        <w:rPr>
          <w:rFonts w:ascii="Arial" w:hAnsi="Arial" w:cs="Arial"/>
        </w:rPr>
        <w:t>Where:</w:t>
      </w:r>
    </w:p>
    <w:p w14:paraId="77219E46" w14:textId="0F90786F" w:rsidR="00BD64B3" w:rsidRPr="00661686" w:rsidRDefault="001428E8" w:rsidP="00BD64B3">
      <w:pPr>
        <w:pStyle w:val="Body"/>
        <w:rPr>
          <w:rFonts w:ascii="Arial" w:hAnsi="Arial" w:cs="Arial"/>
        </w:rPr>
      </w:pP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oMath>
      <w:r w:rsidR="002127A1" w:rsidRPr="00661686">
        <w:rPr>
          <w:rFonts w:ascii="Arial" w:hAnsi="Arial" w:cs="Arial"/>
        </w:rPr>
        <w:t xml:space="preserve"> </w:t>
      </w:r>
      <w:r w:rsidR="00BD64B3" w:rsidRPr="00661686">
        <w:rPr>
          <w:rFonts w:ascii="Arial" w:hAnsi="Arial" w:cs="Arial"/>
        </w:rPr>
        <w:t>= the latent variable (dependent variable) that measures the decision to invest in irrigation infrastructure. The latent</w:t>
      </w:r>
      <w:r w:rsidR="00690307" w:rsidRPr="00661686">
        <w:rPr>
          <w:rFonts w:ascii="Arial" w:hAnsi="Arial" w:cs="Arial"/>
        </w:rPr>
        <w:t xml:space="preserve"> </w:t>
      </w:r>
      <w:r w:rsidR="00BD64B3" w:rsidRPr="00661686">
        <w:rPr>
          <w:rFonts w:ascii="Arial" w:hAnsi="Arial" w:cs="Arial"/>
        </w:rPr>
        <w:t>variable (</w:t>
      </w:r>
      <m:oMath>
        <m:r>
          <w:rPr>
            <w:rFonts w:ascii="Cambria Math" w:hAnsi="Cambria Math" w:cs="Arial"/>
          </w:rPr>
          <m:t>y</m:t>
        </m:r>
      </m:oMath>
      <w:r w:rsidR="00BD64B3" w:rsidRPr="00661686">
        <w:rPr>
          <w:rFonts w:ascii="Arial" w:hAnsi="Arial" w:cs="Arial"/>
        </w:rPr>
        <w:t xml:space="preserve">) adopts a dummy variable value of 0 or 1; </w:t>
      </w:r>
      <m:oMath>
        <m:r>
          <w:rPr>
            <w:rFonts w:ascii="Cambria Math" w:hAnsi="Cambria Math" w:cs="Arial"/>
          </w:rPr>
          <m:t>y</m:t>
        </m:r>
      </m:oMath>
      <w:r w:rsidR="00BD64B3" w:rsidRPr="00661686">
        <w:rPr>
          <w:rFonts w:ascii="Arial" w:hAnsi="Arial" w:cs="Arial"/>
        </w:rPr>
        <w:t xml:space="preserve"> is 1 if the respondent</w:t>
      </w:r>
      <w:r w:rsidR="00AD059D" w:rsidRPr="00661686">
        <w:rPr>
          <w:rFonts w:ascii="Arial" w:hAnsi="Arial" w:cs="Arial"/>
        </w:rPr>
        <w:t>’</w:t>
      </w:r>
      <w:r w:rsidR="00BD64B3" w:rsidRPr="00661686">
        <w:rPr>
          <w:rFonts w:ascii="Arial" w:hAnsi="Arial" w:cs="Arial"/>
        </w:rPr>
        <w:t>s decision to invest in irrigation infrastructure is more than zero and 0 if less than or equal to zero.</w:t>
      </w:r>
    </w:p>
    <w:p w14:paraId="5FC1E534" w14:textId="142D1628" w:rsidR="00BD64B3" w:rsidRPr="00661686" w:rsidRDefault="001855B7" w:rsidP="00BD64B3">
      <w:pPr>
        <w:pStyle w:val="Body"/>
        <w:rPr>
          <w:rFonts w:ascii="Arial" w:hAnsi="Arial" w:cs="Arial"/>
        </w:rPr>
      </w:pPr>
      <m:oMath>
        <m:r>
          <w:rPr>
            <w:rFonts w:ascii="Cambria Math" w:hAnsi="Cambria Math" w:cs="Arial"/>
          </w:rPr>
          <m:t>y</m:t>
        </m:r>
      </m:oMath>
      <w:r w:rsidR="00BD64B3" w:rsidRPr="00661686">
        <w:rPr>
          <w:rFonts w:ascii="Arial" w:hAnsi="Arial" w:cs="Arial"/>
        </w:rPr>
        <w:t xml:space="preserve"> = 1, if </w:t>
      </w: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oMath>
      <w:r w:rsidR="00BD64B3" w:rsidRPr="00661686">
        <w:rPr>
          <w:rFonts w:ascii="Arial" w:hAnsi="Arial" w:cs="Arial"/>
        </w:rPr>
        <w:t xml:space="preserve"> &gt; 0 and </w:t>
      </w:r>
      <m:oMath>
        <m:r>
          <w:rPr>
            <w:rFonts w:ascii="Cambria Math" w:hAnsi="Cambria Math" w:cs="Arial"/>
          </w:rPr>
          <m:t>y</m:t>
        </m:r>
      </m:oMath>
      <w:r w:rsidR="00BD64B3" w:rsidRPr="00661686">
        <w:rPr>
          <w:rFonts w:ascii="Arial" w:hAnsi="Arial" w:cs="Arial"/>
        </w:rPr>
        <w:t xml:space="preserve"> = </w:t>
      </w:r>
      <w:r w:rsidR="003B2165" w:rsidRPr="00661686">
        <w:rPr>
          <w:rFonts w:ascii="Arial" w:hAnsi="Arial" w:cs="Arial"/>
        </w:rPr>
        <w:t>0</w:t>
      </w:r>
      <w:r w:rsidR="00BD64B3" w:rsidRPr="00661686">
        <w:rPr>
          <w:rFonts w:ascii="Arial" w:hAnsi="Arial" w:cs="Arial"/>
        </w:rPr>
        <w:t xml:space="preserve">, if </w:t>
      </w: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r>
          <w:rPr>
            <w:rFonts w:ascii="Cambria Math" w:hAnsi="Cambria Math" w:cs="Arial"/>
          </w:rPr>
          <m:t>≤</m:t>
        </m:r>
      </m:oMath>
      <w:r w:rsidR="00BD64B3" w:rsidRPr="00661686">
        <w:rPr>
          <w:rFonts w:ascii="Arial" w:hAnsi="Arial" w:cs="Arial"/>
        </w:rPr>
        <w:t xml:space="preserve"> </w:t>
      </w:r>
      <w:r w:rsidR="00441CF5" w:rsidRPr="00661686">
        <w:rPr>
          <w:rFonts w:ascii="Arial" w:hAnsi="Arial" w:cs="Arial"/>
        </w:rPr>
        <w:t>0</w:t>
      </w:r>
      <w:r w:rsidR="00E24C31" w:rsidRPr="00661686">
        <w:rPr>
          <w:rFonts w:ascii="Arial" w:hAnsi="Arial" w:cs="Arial"/>
        </w:rPr>
        <w:tab/>
      </w:r>
      <w:r w:rsidR="00E24C31" w:rsidRPr="00661686">
        <w:rPr>
          <w:rFonts w:ascii="Arial" w:hAnsi="Arial" w:cs="Arial"/>
        </w:rPr>
        <w:tab/>
      </w:r>
      <w:r w:rsidR="00E24C31" w:rsidRPr="00661686">
        <w:rPr>
          <w:rFonts w:ascii="Arial" w:hAnsi="Arial" w:cs="Arial"/>
        </w:rPr>
        <w:tab/>
      </w:r>
      <w:r w:rsidR="00E24C31" w:rsidRPr="00661686">
        <w:rPr>
          <w:rFonts w:ascii="Arial" w:hAnsi="Arial" w:cs="Arial"/>
        </w:rPr>
        <w:tab/>
      </w:r>
      <w:r w:rsidR="00E24C31" w:rsidRPr="00661686">
        <w:rPr>
          <w:rFonts w:ascii="Arial" w:hAnsi="Arial" w:cs="Arial"/>
        </w:rPr>
        <w:tab/>
      </w:r>
      <w:r w:rsidR="00311241" w:rsidRPr="00661686">
        <w:rPr>
          <w:rFonts w:ascii="Arial" w:hAnsi="Arial" w:cs="Arial"/>
        </w:rPr>
        <w:tab/>
      </w:r>
      <w:r w:rsidR="00311241" w:rsidRPr="00661686">
        <w:rPr>
          <w:rFonts w:ascii="Arial" w:hAnsi="Arial" w:cs="Arial"/>
        </w:rPr>
        <w:tab/>
      </w:r>
      <w:r w:rsidR="00311241" w:rsidRPr="00661686">
        <w:rPr>
          <w:rFonts w:ascii="Arial" w:hAnsi="Arial" w:cs="Arial"/>
        </w:rPr>
        <w:tab/>
      </w:r>
      <w:r w:rsidR="00311241" w:rsidRPr="00661686">
        <w:rPr>
          <w:rFonts w:ascii="Arial" w:hAnsi="Arial" w:cs="Arial"/>
        </w:rPr>
        <w:tab/>
      </w:r>
      <w:r w:rsidR="00BD64B3" w:rsidRPr="00661686">
        <w:rPr>
          <w:rFonts w:ascii="Arial" w:hAnsi="Arial" w:cs="Arial"/>
        </w:rPr>
        <w:t xml:space="preserve">                                                             </w:t>
      </w:r>
    </w:p>
    <w:p w14:paraId="2C82ECCF" w14:textId="473CCE04" w:rsidR="00BD64B3" w:rsidRPr="00661686" w:rsidRDefault="001428E8" w:rsidP="00BD64B3">
      <w:pPr>
        <w:pStyle w:val="Body"/>
        <w:rPr>
          <w:rFonts w:ascii="Arial" w:hAnsi="Arial" w:cs="Arial"/>
        </w:rPr>
      </w:pP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oMath>
      <w:r w:rsidR="00BD64B3" w:rsidRPr="00661686">
        <w:rPr>
          <w:rFonts w:ascii="Arial" w:hAnsi="Arial" w:cs="Arial"/>
        </w:rPr>
        <w:t xml:space="preserve"> = the constant or intercept; </w:t>
      </w:r>
    </w:p>
    <w:p w14:paraId="35C390C6" w14:textId="45BE69E1" w:rsidR="00BD64B3" w:rsidRPr="00661686" w:rsidRDefault="001428E8" w:rsidP="00BD64B3">
      <w:pPr>
        <w:pStyle w:val="Body"/>
        <w:rPr>
          <w:rFonts w:ascii="Arial" w:hAnsi="Arial" w:cs="Arial"/>
        </w:rPr>
      </w:pPr>
      <m:oMath>
        <m:sSub>
          <m:sSubPr>
            <m:ctrlPr>
              <w:rPr>
                <w:rFonts w:ascii="Cambria Math" w:hAnsi="Cambria Math" w:cs="Arial"/>
                <w:i/>
              </w:rPr>
            </m:ctrlPr>
          </m:sSubPr>
          <m:e>
            <m:r>
              <w:rPr>
                <w:rFonts w:ascii="Cambria Math" w:hAnsi="Cambria Math" w:cs="Arial"/>
              </w:rPr>
              <m:t>β</m:t>
            </m:r>
          </m:e>
          <m:sub>
            <m:r>
              <w:rPr>
                <w:rFonts w:ascii="Cambria Math" w:hAnsi="Cambria Math" w:cs="Arial"/>
              </w:rPr>
              <m:t>j</m:t>
            </m:r>
          </m:sub>
        </m:sSub>
      </m:oMath>
      <w:r w:rsidR="00BD64B3" w:rsidRPr="00661686">
        <w:rPr>
          <w:rFonts w:ascii="Arial" w:hAnsi="Arial" w:cs="Arial"/>
        </w:rPr>
        <w:t xml:space="preserve"> = the coefficient of the determinants;  </w:t>
      </w:r>
    </w:p>
    <w:p w14:paraId="2A95D206" w14:textId="5281084A" w:rsidR="00BD64B3" w:rsidRPr="00661686" w:rsidRDefault="001428E8" w:rsidP="00BD64B3">
      <w:pPr>
        <w:pStyle w:val="Body"/>
        <w:rPr>
          <w:rFonts w:ascii="Arial" w:hAnsi="Arial" w:cs="Arial"/>
        </w:rPr>
      </w:pPr>
      <m:oMath>
        <m:sSub>
          <m:sSubPr>
            <m:ctrlPr>
              <w:rPr>
                <w:rFonts w:ascii="Cambria Math" w:hAnsi="Cambria Math" w:cs="Arial"/>
                <w:i/>
              </w:rPr>
            </m:ctrlPr>
          </m:sSubPr>
          <m:e>
            <m:r>
              <m:rPr>
                <m:sty m:val="p"/>
              </m:rPr>
              <w:rPr>
                <w:rFonts w:ascii="Cambria Math" w:hAnsi="Cambria Math" w:cs="Arial"/>
              </w:rPr>
              <m:t>Χ</m:t>
            </m:r>
          </m:e>
          <m:sub>
            <m:r>
              <w:rPr>
                <w:rFonts w:ascii="Cambria Math" w:hAnsi="Cambria Math" w:cs="Arial"/>
              </w:rPr>
              <m:t>ij</m:t>
            </m:r>
          </m:sub>
        </m:sSub>
      </m:oMath>
      <w:r w:rsidR="00BD64B3" w:rsidRPr="00661686">
        <w:rPr>
          <w:rFonts w:ascii="Arial" w:hAnsi="Arial" w:cs="Arial"/>
        </w:rPr>
        <w:t xml:space="preserve"> = the independent variables or determinants (e.g., gender, age, education, farm size, household income, household size, farmhand size, and farmland ownership</w:t>
      </w:r>
      <w:r w:rsidR="006555FF">
        <w:rPr>
          <w:rFonts w:ascii="Arial" w:hAnsi="Arial" w:cs="Arial"/>
        </w:rPr>
        <w:t xml:space="preserve"> etc.</w:t>
      </w:r>
      <w:r w:rsidR="00BD64B3" w:rsidRPr="00661686">
        <w:rPr>
          <w:rFonts w:ascii="Arial" w:hAnsi="Arial" w:cs="Arial"/>
        </w:rPr>
        <w:t>)</w:t>
      </w:r>
      <w:r w:rsidR="00AB22F2">
        <w:rPr>
          <w:rFonts w:ascii="Arial" w:hAnsi="Arial" w:cs="Arial"/>
        </w:rPr>
        <w:t>.</w:t>
      </w:r>
    </w:p>
    <w:p w14:paraId="50A6FEB4" w14:textId="08A76B48" w:rsidR="00BD64B3" w:rsidRPr="00661686" w:rsidRDefault="001428E8" w:rsidP="00BD64B3">
      <w:pPr>
        <w:pStyle w:val="Body"/>
        <w:rPr>
          <w:rFonts w:ascii="Arial" w:hAnsi="Arial" w:cs="Arial"/>
        </w:rPr>
      </w:pPr>
      <m:oMath>
        <m:sSub>
          <m:sSubPr>
            <m:ctrlPr>
              <w:rPr>
                <w:rFonts w:ascii="Cambria Math" w:hAnsi="Cambria Math" w:cs="Arial"/>
                <w:i/>
              </w:rPr>
            </m:ctrlPr>
          </m:sSubPr>
          <m:e>
            <m:r>
              <w:rPr>
                <w:rFonts w:ascii="Cambria Math" w:hAnsi="Cambria Math" w:cs="Arial"/>
              </w:rPr>
              <m:t>ε</m:t>
            </m:r>
          </m:e>
          <m:sub>
            <m:r>
              <w:rPr>
                <w:rFonts w:ascii="Cambria Math" w:hAnsi="Cambria Math" w:cs="Arial"/>
              </w:rPr>
              <m:t>i</m:t>
            </m:r>
          </m:sub>
        </m:sSub>
      </m:oMath>
      <w:r w:rsidR="00BD64B3" w:rsidRPr="00661686">
        <w:rPr>
          <w:rFonts w:ascii="Arial" w:hAnsi="Arial" w:cs="Arial"/>
        </w:rPr>
        <w:t xml:space="preserve"> = the residual/error term. </w:t>
      </w:r>
    </w:p>
    <w:p w14:paraId="31862705" w14:textId="687177C7" w:rsidR="00BD64B3" w:rsidRPr="00661686" w:rsidRDefault="00BD64B3" w:rsidP="00BD64B3">
      <w:pPr>
        <w:pStyle w:val="Body"/>
        <w:rPr>
          <w:rFonts w:ascii="Arial" w:hAnsi="Arial" w:cs="Arial"/>
        </w:rPr>
      </w:pPr>
      <w:r w:rsidRPr="00661686">
        <w:rPr>
          <w:rFonts w:ascii="Arial" w:hAnsi="Arial" w:cs="Arial"/>
        </w:rPr>
        <w:lastRenderedPageBreak/>
        <w:t xml:space="preserve">The full equation </w:t>
      </w:r>
      <w:r w:rsidR="005F6FF1">
        <w:rPr>
          <w:rFonts w:ascii="Arial" w:hAnsi="Arial" w:cs="Arial"/>
        </w:rPr>
        <w:t xml:space="preserve">for the decision to invest in irrigation </w:t>
      </w:r>
      <w:r w:rsidRPr="00661686">
        <w:rPr>
          <w:rFonts w:ascii="Arial" w:hAnsi="Arial" w:cs="Arial"/>
        </w:rPr>
        <w:t>is expressed with all parameters as shown below:</w:t>
      </w:r>
    </w:p>
    <w:p w14:paraId="0293A650" w14:textId="48D30C5D" w:rsidR="00BD64B3" w:rsidRPr="00661686" w:rsidRDefault="001428E8" w:rsidP="00A12A47">
      <w:pPr>
        <w:pStyle w:val="Body"/>
        <w:jc w:val="center"/>
        <w:rPr>
          <w:rFonts w:ascii="Arial" w:hAnsi="Arial" w:cs="Arial"/>
        </w:rPr>
      </w:pP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d>
          <m:dPr>
            <m:ctrlPr>
              <w:rPr>
                <w:rFonts w:ascii="Cambria Math" w:hAnsi="Cambria Math" w:cs="Arial"/>
                <w:i/>
              </w:rPr>
            </m:ctrlPr>
          </m:dPr>
          <m:e>
            <m:r>
              <w:rPr>
                <w:rFonts w:ascii="Cambria Math" w:hAnsi="Cambria Math" w:cs="Arial"/>
              </w:rPr>
              <m:t>III</m:t>
            </m:r>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sSub>
          <m:sSubPr>
            <m:ctrlPr>
              <w:rPr>
                <w:rFonts w:ascii="Cambria Math" w:hAnsi="Cambria Math" w:cs="Arial"/>
              </w:rPr>
            </m:ctrlPr>
          </m:sSubPr>
          <m:e>
            <m:r>
              <m:rPr>
                <m:sty m:val="p"/>
              </m:rPr>
              <w:rPr>
                <w:rFonts w:ascii="Cambria Math" w:hAnsi="Cambria Math" w:cs="Arial"/>
              </w:rPr>
              <m:t>Χ</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15</m:t>
            </m:r>
          </m:sub>
        </m:sSub>
        <m:sSub>
          <m:sSubPr>
            <m:ctrlPr>
              <w:rPr>
                <w:rFonts w:ascii="Cambria Math" w:hAnsi="Cambria Math" w:cs="Arial"/>
                <w:i/>
              </w:rPr>
            </m:ctrlPr>
          </m:sSubPr>
          <m:e>
            <m:r>
              <m:rPr>
                <m:sty m:val="p"/>
              </m:rPr>
              <w:rPr>
                <w:rFonts w:ascii="Cambria Math" w:hAnsi="Cambria Math" w:cs="Arial"/>
              </w:rPr>
              <m:t>Χ</m:t>
            </m:r>
          </m:e>
          <m:sub>
            <m:r>
              <w:rPr>
                <w:rFonts w:ascii="Cambria Math" w:hAnsi="Cambria Math" w:cs="Arial"/>
              </w:rPr>
              <m:t>15</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ε</m:t>
            </m:r>
          </m:e>
          <m:sub>
            <m:r>
              <w:rPr>
                <w:rFonts w:ascii="Cambria Math" w:hAnsi="Cambria Math" w:cs="Arial"/>
              </w:rPr>
              <m:t>i</m:t>
            </m:r>
          </m:sub>
        </m:sSub>
        <m:r>
          <w:rPr>
            <w:rFonts w:ascii="Cambria Math" w:hAnsi="Cambria Math" w:cs="Arial"/>
          </w:rPr>
          <m:t xml:space="preserve"> </m:t>
        </m:r>
      </m:oMath>
      <w:r w:rsidR="00BD64B3" w:rsidRPr="00661686">
        <w:rPr>
          <w:rFonts w:ascii="Arial" w:hAnsi="Arial" w:cs="Arial"/>
        </w:rPr>
        <w:t xml:space="preserve"> </w:t>
      </w:r>
      <w:r w:rsidR="00E07B61" w:rsidRPr="00661686">
        <w:rPr>
          <w:rFonts w:ascii="Arial" w:hAnsi="Arial" w:cs="Arial"/>
        </w:rPr>
        <w:tab/>
      </w:r>
      <w:r w:rsidR="00E07B61" w:rsidRPr="00661686">
        <w:rPr>
          <w:rFonts w:ascii="Arial" w:hAnsi="Arial" w:cs="Arial"/>
        </w:rPr>
        <w:tab/>
      </w:r>
      <w:r w:rsidR="00E07B61" w:rsidRPr="00661686">
        <w:rPr>
          <w:rFonts w:ascii="Arial" w:hAnsi="Arial" w:cs="Arial"/>
        </w:rPr>
        <w:tab/>
      </w:r>
      <w:r w:rsidR="00E07B61" w:rsidRPr="00661686">
        <w:rPr>
          <w:rFonts w:ascii="Arial" w:hAnsi="Arial" w:cs="Arial"/>
        </w:rPr>
        <w:tab/>
      </w:r>
      <w:r w:rsidR="00E07B61" w:rsidRPr="00661686">
        <w:rPr>
          <w:rFonts w:ascii="Arial" w:hAnsi="Arial" w:cs="Arial"/>
        </w:rPr>
        <w:tab/>
      </w:r>
      <w:r w:rsidR="00E07B61" w:rsidRPr="00661686">
        <w:rPr>
          <w:rFonts w:ascii="Arial" w:hAnsi="Arial" w:cs="Arial"/>
        </w:rPr>
        <w:tab/>
      </w:r>
      <w:r w:rsidR="00E07B61" w:rsidRPr="00661686">
        <w:rPr>
          <w:rFonts w:ascii="Arial" w:hAnsi="Arial" w:cs="Arial"/>
        </w:rPr>
        <w:tab/>
        <w:t>(</w:t>
      </w:r>
      <w:r w:rsidR="00502786">
        <w:rPr>
          <w:rFonts w:ascii="Arial" w:hAnsi="Arial" w:cs="Arial"/>
        </w:rPr>
        <w:t>2</w:t>
      </w:r>
      <w:r w:rsidR="00E07B61" w:rsidRPr="00661686">
        <w:rPr>
          <w:rFonts w:ascii="Arial" w:hAnsi="Arial" w:cs="Arial"/>
        </w:rPr>
        <w:t>)</w:t>
      </w:r>
    </w:p>
    <w:p w14:paraId="1E50F64F" w14:textId="111601B5" w:rsidR="00242D70" w:rsidRPr="0067531D" w:rsidRDefault="001428E8" w:rsidP="004C50BE">
      <w:pPr>
        <w:pStyle w:val="Body"/>
        <w:jc w:val="center"/>
        <w:rPr>
          <w:rFonts w:ascii="Arial" w:hAnsi="Arial" w:cs="Arial"/>
        </w:rPr>
      </w:pPr>
      <m:oMathPara>
        <m:oMathParaPr>
          <m:jc m:val="right"/>
        </m:oMathParaP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d>
            <m:dPr>
              <m:ctrlPr>
                <w:rPr>
                  <w:rFonts w:ascii="Cambria Math" w:hAnsi="Cambria Math" w:cs="Arial"/>
                  <w:i/>
                </w:rPr>
              </m:ctrlPr>
            </m:dPr>
            <m:e>
              <m:r>
                <w:rPr>
                  <w:rFonts w:ascii="Cambria Math" w:hAnsi="Cambria Math" w:cs="Arial"/>
                </w:rPr>
                <m:t>III</m:t>
              </m:r>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 xml:space="preserve">gender+ </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r>
            <w:rPr>
              <w:rFonts w:ascii="Cambria Math" w:hAnsi="Cambria Math" w:cs="Arial"/>
            </w:rPr>
            <m:t xml:space="preserve">age+ </m:t>
          </m:r>
          <m:sSub>
            <m:sSubPr>
              <m:ctrlPr>
                <w:rPr>
                  <w:rFonts w:ascii="Cambria Math" w:hAnsi="Cambria Math" w:cs="Arial"/>
                  <w:i/>
                </w:rPr>
              </m:ctrlPr>
            </m:sSubPr>
            <m:e>
              <m:r>
                <w:rPr>
                  <w:rFonts w:ascii="Cambria Math" w:hAnsi="Cambria Math" w:cs="Arial"/>
                </w:rPr>
                <m:t>β</m:t>
              </m:r>
            </m:e>
            <m:sub>
              <m:r>
                <w:rPr>
                  <w:rFonts w:ascii="Cambria Math" w:hAnsi="Cambria Math" w:cs="Arial"/>
                </w:rPr>
                <m:t>3</m:t>
              </m:r>
            </m:sub>
          </m:sSub>
          <m:r>
            <w:rPr>
              <w:rFonts w:ascii="Cambria Math" w:hAnsi="Cambria Math" w:cs="Arial"/>
            </w:rPr>
            <m:t>marital status+</m:t>
          </m:r>
          <m:sSub>
            <m:sSubPr>
              <m:ctrlPr>
                <w:rPr>
                  <w:rFonts w:ascii="Cambria Math" w:hAnsi="Cambria Math" w:cs="Arial"/>
                  <w:i/>
                </w:rPr>
              </m:ctrlPr>
            </m:sSubPr>
            <m:e>
              <m:r>
                <w:rPr>
                  <w:rFonts w:ascii="Cambria Math" w:hAnsi="Cambria Math" w:cs="Arial"/>
                </w:rPr>
                <m:t>β</m:t>
              </m:r>
            </m:e>
            <m:sub>
              <m:r>
                <w:rPr>
                  <w:rFonts w:ascii="Cambria Math" w:hAnsi="Cambria Math" w:cs="Arial"/>
                </w:rPr>
                <m:t>4</m:t>
              </m:r>
            </m:sub>
          </m:sSub>
          <m:r>
            <w:rPr>
              <w:rFonts w:ascii="Cambria Math" w:hAnsi="Cambria Math" w:cs="Arial"/>
            </w:rPr>
            <m:t>education+</m:t>
          </m:r>
          <m:sSub>
            <m:sSubPr>
              <m:ctrlPr>
                <w:rPr>
                  <w:rFonts w:ascii="Cambria Math" w:hAnsi="Cambria Math" w:cs="Arial"/>
                  <w:i/>
                </w:rPr>
              </m:ctrlPr>
            </m:sSubPr>
            <m:e>
              <m:r>
                <w:rPr>
                  <w:rFonts w:ascii="Cambria Math" w:hAnsi="Cambria Math" w:cs="Arial"/>
                </w:rPr>
                <m:t>β</m:t>
              </m:r>
            </m:e>
            <m:sub>
              <m:r>
                <w:rPr>
                  <w:rFonts w:ascii="Cambria Math" w:hAnsi="Cambria Math" w:cs="Arial"/>
                </w:rPr>
                <m:t>5</m:t>
              </m:r>
            </m:sub>
          </m:sSub>
          <m:r>
            <w:rPr>
              <w:rFonts w:ascii="Cambria Math" w:hAnsi="Cambria Math" w:cs="Arial"/>
            </w:rPr>
            <m:t>farm size+</m:t>
          </m:r>
          <m:sSub>
            <m:sSubPr>
              <m:ctrlPr>
                <w:rPr>
                  <w:rFonts w:ascii="Cambria Math" w:hAnsi="Cambria Math" w:cs="Arial"/>
                  <w:i/>
                </w:rPr>
              </m:ctrlPr>
            </m:sSubPr>
            <m:e>
              <m:r>
                <w:rPr>
                  <w:rFonts w:ascii="Cambria Math" w:hAnsi="Cambria Math" w:cs="Arial"/>
                </w:rPr>
                <m:t>β</m:t>
              </m:r>
            </m:e>
            <m:sub>
              <m:r>
                <w:rPr>
                  <w:rFonts w:ascii="Cambria Math" w:hAnsi="Cambria Math" w:cs="Arial"/>
                </w:rPr>
                <m:t>6</m:t>
              </m:r>
            </m:sub>
          </m:sSub>
          <m:r>
            <w:rPr>
              <w:rFonts w:ascii="Cambria Math" w:hAnsi="Cambria Math" w:cs="Arial"/>
            </w:rPr>
            <m:t>household income+</m:t>
          </m:r>
          <m:sSub>
            <m:sSubPr>
              <m:ctrlPr>
                <w:rPr>
                  <w:rFonts w:ascii="Cambria Math" w:hAnsi="Cambria Math" w:cs="Arial"/>
                  <w:i/>
                </w:rPr>
              </m:ctrlPr>
            </m:sSubPr>
            <m:e>
              <m:r>
                <w:rPr>
                  <w:rFonts w:ascii="Cambria Math" w:hAnsi="Cambria Math" w:cs="Arial"/>
                </w:rPr>
                <m:t>β</m:t>
              </m:r>
            </m:e>
            <m:sub>
              <m:r>
                <w:rPr>
                  <w:rFonts w:ascii="Cambria Math" w:hAnsi="Cambria Math" w:cs="Arial"/>
                </w:rPr>
                <m:t>7</m:t>
              </m:r>
            </m:sub>
          </m:sSub>
          <m:r>
            <w:rPr>
              <w:rFonts w:ascii="Cambria Math" w:hAnsi="Cambria Math" w:cs="Arial"/>
            </w:rPr>
            <m:t>household size+</m:t>
          </m:r>
          <m:sSub>
            <m:sSubPr>
              <m:ctrlPr>
                <w:rPr>
                  <w:rFonts w:ascii="Cambria Math" w:hAnsi="Cambria Math" w:cs="Arial"/>
                  <w:i/>
                </w:rPr>
              </m:ctrlPr>
            </m:sSubPr>
            <m:e>
              <m:r>
                <w:rPr>
                  <w:rFonts w:ascii="Cambria Math" w:hAnsi="Cambria Math" w:cs="Arial"/>
                </w:rPr>
                <m:t>β</m:t>
              </m:r>
            </m:e>
            <m:sub>
              <m:r>
                <w:rPr>
                  <w:rFonts w:ascii="Cambria Math" w:hAnsi="Cambria Math" w:cs="Arial"/>
                </w:rPr>
                <m:t>8</m:t>
              </m:r>
            </m:sub>
          </m:sSub>
          <m:r>
            <w:rPr>
              <w:rFonts w:ascii="Cambria Math" w:hAnsi="Cambria Math" w:cs="Arial"/>
            </w:rPr>
            <m:t>farm workers+</m:t>
          </m:r>
          <m:sSub>
            <m:sSubPr>
              <m:ctrlPr>
                <w:rPr>
                  <w:rFonts w:ascii="Cambria Math" w:hAnsi="Cambria Math" w:cs="Arial"/>
                  <w:i/>
                </w:rPr>
              </m:ctrlPr>
            </m:sSubPr>
            <m:e>
              <m:r>
                <w:rPr>
                  <w:rFonts w:ascii="Cambria Math" w:hAnsi="Cambria Math" w:cs="Arial"/>
                </w:rPr>
                <m:t>β</m:t>
              </m:r>
            </m:e>
            <m:sub>
              <m:r>
                <w:rPr>
                  <w:rFonts w:ascii="Cambria Math" w:hAnsi="Cambria Math" w:cs="Arial"/>
                </w:rPr>
                <m:t>9</m:t>
              </m:r>
            </m:sub>
          </m:sSub>
          <m:r>
            <w:rPr>
              <w:rFonts w:ascii="Cambria Math" w:hAnsi="Cambria Math" w:cs="Arial"/>
            </w:rPr>
            <m:t>technical support+</m:t>
          </m:r>
          <m:sSub>
            <m:sSubPr>
              <m:ctrlPr>
                <w:rPr>
                  <w:rFonts w:ascii="Cambria Math" w:hAnsi="Cambria Math" w:cs="Arial"/>
                  <w:i/>
                </w:rPr>
              </m:ctrlPr>
            </m:sSubPr>
            <m:e>
              <m:r>
                <w:rPr>
                  <w:rFonts w:ascii="Cambria Math" w:hAnsi="Cambria Math" w:cs="Arial"/>
                </w:rPr>
                <m:t>β</m:t>
              </m:r>
            </m:e>
            <m:sub>
              <m:r>
                <w:rPr>
                  <w:rFonts w:ascii="Cambria Math" w:hAnsi="Cambria Math" w:cs="Arial"/>
                </w:rPr>
                <m:t>10</m:t>
              </m:r>
            </m:sub>
          </m:sSub>
          <m:r>
            <w:rPr>
              <w:rFonts w:ascii="Cambria Math" w:hAnsi="Cambria Math" w:cs="Arial"/>
            </w:rPr>
            <m:t>irrigation training+</m:t>
          </m:r>
          <m:sSub>
            <m:sSubPr>
              <m:ctrlPr>
                <w:rPr>
                  <w:rFonts w:ascii="Cambria Math" w:hAnsi="Cambria Math" w:cs="Arial"/>
                  <w:i/>
                </w:rPr>
              </m:ctrlPr>
            </m:sSubPr>
            <m:e>
              <m:r>
                <w:rPr>
                  <w:rFonts w:ascii="Cambria Math" w:hAnsi="Cambria Math" w:cs="Arial"/>
                </w:rPr>
                <m:t>β</m:t>
              </m:r>
            </m:e>
            <m:sub>
              <m:r>
                <w:rPr>
                  <w:rFonts w:ascii="Cambria Math" w:hAnsi="Cambria Math" w:cs="Arial"/>
                </w:rPr>
                <m:t>11</m:t>
              </m:r>
            </m:sub>
          </m:sSub>
          <m:r>
            <w:rPr>
              <w:rFonts w:ascii="Cambria Math" w:hAnsi="Cambria Math" w:cs="Arial"/>
            </w:rPr>
            <m:t>land development support+</m:t>
          </m:r>
          <m:sSub>
            <m:sSubPr>
              <m:ctrlPr>
                <w:rPr>
                  <w:rFonts w:ascii="Cambria Math" w:hAnsi="Cambria Math" w:cs="Arial"/>
                  <w:i/>
                </w:rPr>
              </m:ctrlPr>
            </m:sSubPr>
            <m:e>
              <m:r>
                <w:rPr>
                  <w:rFonts w:ascii="Cambria Math" w:hAnsi="Cambria Math" w:cs="Arial"/>
                </w:rPr>
                <m:t>β</m:t>
              </m:r>
            </m:e>
            <m:sub>
              <m:r>
                <w:rPr>
                  <w:rFonts w:ascii="Cambria Math" w:hAnsi="Cambria Math" w:cs="Arial"/>
                </w:rPr>
                <m:t>12</m:t>
              </m:r>
            </m:sub>
          </m:sSub>
          <m:r>
            <w:rPr>
              <w:rFonts w:ascii="Cambria Math" w:hAnsi="Cambria Math" w:cs="Arial"/>
            </w:rPr>
            <m:t>equipment support+</m:t>
          </m:r>
          <m:sSub>
            <m:sSubPr>
              <m:ctrlPr>
                <w:rPr>
                  <w:rFonts w:ascii="Cambria Math" w:hAnsi="Cambria Math" w:cs="Arial"/>
                  <w:i/>
                </w:rPr>
              </m:ctrlPr>
            </m:sSubPr>
            <m:e>
              <m:r>
                <w:rPr>
                  <w:rFonts w:ascii="Cambria Math" w:hAnsi="Cambria Math" w:cs="Arial"/>
                </w:rPr>
                <m:t>β</m:t>
              </m:r>
            </m:e>
            <m:sub>
              <m:r>
                <w:rPr>
                  <w:rFonts w:ascii="Cambria Math" w:hAnsi="Cambria Math" w:cs="Arial"/>
                </w:rPr>
                <m:t>13</m:t>
              </m:r>
            </m:sub>
          </m:sSub>
          <m:r>
            <w:rPr>
              <w:rFonts w:ascii="Cambria Math" w:hAnsi="Cambria Math" w:cs="Arial"/>
            </w:rPr>
            <m:t>irrigation information+</m:t>
          </m:r>
          <m:sSub>
            <m:sSubPr>
              <m:ctrlPr>
                <w:rPr>
                  <w:rFonts w:ascii="Cambria Math" w:hAnsi="Cambria Math" w:cs="Arial"/>
                  <w:i/>
                </w:rPr>
              </m:ctrlPr>
            </m:sSubPr>
            <m:e>
              <m:r>
                <w:rPr>
                  <w:rFonts w:ascii="Cambria Math" w:hAnsi="Cambria Math" w:cs="Arial"/>
                </w:rPr>
                <m:t>β</m:t>
              </m:r>
            </m:e>
            <m:sub>
              <m:r>
                <w:rPr>
                  <w:rFonts w:ascii="Cambria Math" w:hAnsi="Cambria Math" w:cs="Arial"/>
                </w:rPr>
                <m:t>14</m:t>
              </m:r>
            </m:sub>
          </m:sSub>
          <m:r>
            <w:rPr>
              <w:rFonts w:ascii="Cambria Math" w:hAnsi="Cambria Math" w:cs="Arial"/>
            </w:rPr>
            <m:t>extension service support+</m:t>
          </m:r>
          <m:sSub>
            <m:sSubPr>
              <m:ctrlPr>
                <w:rPr>
                  <w:rFonts w:ascii="Cambria Math" w:hAnsi="Cambria Math" w:cs="Arial"/>
                  <w:i/>
                </w:rPr>
              </m:ctrlPr>
            </m:sSubPr>
            <m:e>
              <m:r>
                <w:rPr>
                  <w:rFonts w:ascii="Cambria Math" w:hAnsi="Cambria Math" w:cs="Arial"/>
                </w:rPr>
                <m:t>β</m:t>
              </m:r>
            </m:e>
            <m:sub>
              <m:r>
                <w:rPr>
                  <w:rFonts w:ascii="Cambria Math" w:hAnsi="Cambria Math" w:cs="Arial"/>
                </w:rPr>
                <m:t>15</m:t>
              </m:r>
            </m:sub>
          </m:sSub>
          <m:r>
            <w:rPr>
              <w:rFonts w:ascii="Cambria Math" w:hAnsi="Cambria Math" w:cs="Arial"/>
            </w:rPr>
            <m:t>farmland ownership+</m:t>
          </m:r>
          <m:sSub>
            <m:sSubPr>
              <m:ctrlPr>
                <w:rPr>
                  <w:rFonts w:ascii="Cambria Math" w:hAnsi="Cambria Math" w:cs="Arial"/>
                  <w:i/>
                </w:rPr>
              </m:ctrlPr>
            </m:sSubPr>
            <m:e>
              <m:r>
                <w:rPr>
                  <w:rFonts w:ascii="Cambria Math" w:hAnsi="Cambria Math" w:cs="Arial"/>
                </w:rPr>
                <m:t>ε</m:t>
              </m:r>
            </m:e>
            <m:sub>
              <m:r>
                <w:rPr>
                  <w:rFonts w:ascii="Cambria Math" w:hAnsi="Cambria Math" w:cs="Arial"/>
                </w:rPr>
                <m:t>i</m:t>
              </m:r>
            </m:sub>
          </m:sSub>
        </m:oMath>
      </m:oMathPara>
    </w:p>
    <w:p w14:paraId="7FFC770F" w14:textId="77777777" w:rsidR="00BD64B3" w:rsidRPr="00661686" w:rsidRDefault="00BD64B3" w:rsidP="00BD64B3">
      <w:pPr>
        <w:pStyle w:val="Body"/>
        <w:rPr>
          <w:rFonts w:ascii="Arial" w:hAnsi="Arial" w:cs="Arial"/>
        </w:rPr>
      </w:pPr>
      <w:r w:rsidRPr="00661686">
        <w:rPr>
          <w:rFonts w:ascii="Arial" w:hAnsi="Arial" w:cs="Arial"/>
        </w:rPr>
        <w:t>Where:</w:t>
      </w:r>
    </w:p>
    <w:p w14:paraId="43D83238" w14:textId="2EF8E634" w:rsidR="00BD64B3" w:rsidRPr="00661686" w:rsidRDefault="001428E8" w:rsidP="00BD64B3">
      <w:pPr>
        <w:pStyle w:val="Body"/>
        <w:spacing w:after="0"/>
        <w:rPr>
          <w:rFonts w:ascii="Arial" w:hAnsi="Arial" w:cs="Arial"/>
        </w:rPr>
      </w:pP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r>
          <w:rPr>
            <w:rFonts w:ascii="Cambria Math" w:hAnsi="Cambria Math" w:cs="Arial"/>
          </w:rPr>
          <m:t>(III)</m:t>
        </m:r>
      </m:oMath>
      <w:r w:rsidR="00BD64B3" w:rsidRPr="00661686">
        <w:rPr>
          <w:rFonts w:ascii="Arial" w:hAnsi="Arial" w:cs="Arial"/>
        </w:rPr>
        <w:t xml:space="preserve"> = the de</w:t>
      </w:r>
      <w:r w:rsidR="00EF0292" w:rsidRPr="00661686">
        <w:rPr>
          <w:rFonts w:ascii="Arial" w:hAnsi="Arial" w:cs="Arial"/>
        </w:rPr>
        <w:t>cision</w:t>
      </w:r>
      <w:r w:rsidR="00BD64B3" w:rsidRPr="00661686">
        <w:rPr>
          <w:rFonts w:ascii="Arial" w:hAnsi="Arial" w:cs="Arial"/>
        </w:rPr>
        <w:t xml:space="preserve"> to invest in irrigation infrastructure.</w:t>
      </w:r>
    </w:p>
    <w:p w14:paraId="4CB8716B" w14:textId="77777777" w:rsidR="00790ADA" w:rsidRPr="00FB3A86" w:rsidRDefault="00790ADA" w:rsidP="00441B6F">
      <w:pPr>
        <w:pStyle w:val="Body"/>
        <w:spacing w:after="0"/>
        <w:rPr>
          <w:rFonts w:ascii="Arial" w:hAnsi="Arial" w:cs="Arial"/>
        </w:rPr>
      </w:pPr>
    </w:p>
    <w:p w14:paraId="5AE3F328" w14:textId="1F7F261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5F424D6" w14:textId="77777777" w:rsidR="00790ADA" w:rsidRDefault="00790ADA" w:rsidP="00441B6F">
      <w:pPr>
        <w:pStyle w:val="Head1"/>
        <w:spacing w:after="0"/>
        <w:jc w:val="both"/>
        <w:rPr>
          <w:rFonts w:ascii="Arial" w:hAnsi="Arial" w:cs="Arial"/>
        </w:rPr>
      </w:pPr>
    </w:p>
    <w:p w14:paraId="1E0867A9" w14:textId="20C68C1F" w:rsidR="00D75880" w:rsidRPr="00FB3A86" w:rsidRDefault="00D75880" w:rsidP="00441B6F">
      <w:pPr>
        <w:pStyle w:val="Head1"/>
        <w:spacing w:after="0"/>
        <w:jc w:val="both"/>
        <w:rPr>
          <w:rFonts w:ascii="Arial" w:hAnsi="Arial" w:cs="Arial"/>
        </w:rPr>
      </w:pPr>
      <w:r>
        <w:rPr>
          <w:rFonts w:ascii="Arial" w:hAnsi="Arial" w:cs="Arial"/>
        </w:rPr>
        <w:t xml:space="preserve">3.1 </w:t>
      </w:r>
      <w:r w:rsidR="006B09CE" w:rsidRPr="00D75880">
        <w:rPr>
          <w:rFonts w:ascii="Arial" w:hAnsi="Arial" w:cs="Arial"/>
          <w:caps w:val="0"/>
        </w:rPr>
        <w:t xml:space="preserve">Socio-Demographic Characteristics </w:t>
      </w:r>
      <w:r w:rsidR="006B09CE">
        <w:rPr>
          <w:rFonts w:ascii="Arial" w:hAnsi="Arial" w:cs="Arial"/>
          <w:caps w:val="0"/>
        </w:rPr>
        <w:t>o</w:t>
      </w:r>
      <w:r w:rsidR="006B09CE" w:rsidRPr="00D75880">
        <w:rPr>
          <w:rFonts w:ascii="Arial" w:hAnsi="Arial" w:cs="Arial"/>
          <w:caps w:val="0"/>
        </w:rPr>
        <w:t xml:space="preserve">f </w:t>
      </w:r>
      <w:r w:rsidR="006B09CE">
        <w:rPr>
          <w:rFonts w:ascii="Arial" w:hAnsi="Arial" w:cs="Arial"/>
          <w:caps w:val="0"/>
        </w:rPr>
        <w:t>t</w:t>
      </w:r>
      <w:r w:rsidR="006B09CE" w:rsidRPr="00D75880">
        <w:rPr>
          <w:rFonts w:ascii="Arial" w:hAnsi="Arial" w:cs="Arial"/>
          <w:caps w:val="0"/>
        </w:rPr>
        <w:t>he Respondents</w:t>
      </w:r>
    </w:p>
    <w:p w14:paraId="52C3DBDF" w14:textId="77777777" w:rsidR="000656D4" w:rsidRDefault="000656D4" w:rsidP="00441B6F">
      <w:pPr>
        <w:pStyle w:val="Body"/>
        <w:spacing w:after="0"/>
        <w:rPr>
          <w:rFonts w:ascii="Arial" w:hAnsi="Arial" w:cs="Arial"/>
        </w:rPr>
      </w:pPr>
    </w:p>
    <w:p w14:paraId="4850FEBE" w14:textId="3C2F93A6" w:rsidR="008D7256" w:rsidRDefault="008D7256" w:rsidP="000656D4">
      <w:pPr>
        <w:pStyle w:val="Body"/>
        <w:rPr>
          <w:rFonts w:ascii="Arial" w:hAnsi="Arial" w:cs="Arial"/>
        </w:rPr>
      </w:pPr>
      <w:r w:rsidRPr="008D7256">
        <w:rPr>
          <w:rFonts w:ascii="Arial" w:hAnsi="Arial" w:cs="Arial"/>
        </w:rPr>
        <w:t>The socio-demographic characteristics of the respondents indicated that males (61%) were involved more in agriculture (Table 1). This result is slightly higher than the 50.1% of males reported in the 2021 population and housing census for rural areas. In contrast, the 2021 population and housing census revealed that females (52%–54%) outnumbered males in the study area, with an average household size of 4 (Ghana Statistical Service, 2021). The census data indicated a comparable pattern of gender distribution in both regional and national contexts, with an average household size of 3 and 4 individuals, respectively (Ghana Statistical Service, 2021). About 75% of the respondents were married with an average household size of 5 members, which is slightly above the national average of 4 people.</w:t>
      </w:r>
    </w:p>
    <w:p w14:paraId="3327600C" w14:textId="3614E0ED" w:rsidR="001B26AD" w:rsidRDefault="001B26AD" w:rsidP="000656D4">
      <w:pPr>
        <w:pStyle w:val="Body"/>
        <w:rPr>
          <w:rFonts w:ascii="Arial" w:hAnsi="Arial" w:cs="Arial"/>
        </w:rPr>
      </w:pPr>
      <w:r w:rsidRPr="001B26AD">
        <w:rPr>
          <w:rFonts w:ascii="Arial" w:hAnsi="Arial" w:cs="Arial"/>
        </w:rPr>
        <w:t>About 47% of respondents were between 40-49 years old, and 24% were between 50-59 years old, with an average age of 50 years. Considering Ghana’s average life expectancy of 64 years (World Bank Group, 2020), this indicates an aging farming population, particularly among men, who generally have lower life expectancy. As farmers grow older, they might find it harder to meet the changing demands of agriculture. Some might adopt irrigation technologies to cope with these challenges. Nuhu and Matsui (2022) have reported similar aging trends among smallholder farmers in Ghana. Danso-Abbeam et al. (2018) also found that increasing age is associated with declining farm productivity.</w:t>
      </w:r>
    </w:p>
    <w:p w14:paraId="2E923DDC" w14:textId="3110521C" w:rsidR="006D5DE5" w:rsidRDefault="006D5DE5" w:rsidP="000656D4">
      <w:pPr>
        <w:pStyle w:val="Body"/>
        <w:rPr>
          <w:rFonts w:ascii="Arial" w:hAnsi="Arial" w:cs="Arial"/>
        </w:rPr>
      </w:pPr>
      <w:r w:rsidRPr="006D5DE5">
        <w:rPr>
          <w:rFonts w:ascii="Arial" w:hAnsi="Arial" w:cs="Arial"/>
        </w:rPr>
        <w:t xml:space="preserve">Regarding educational level, 75% of respondents had completed primary and secondary education, which is slightly higher than the districts’ average literacy rate of 69% (Ghana Statistical Service, 2021). This denotes higher proficiency in English literacy among farmers, which is Ghana’s official language. Lettered farmers might take advantage of new technologies from government agencies, NGOs, online and other stakeholders. Akinade et al. (2020) found that literacy was associated with the acceptance of new technologies for improve farm productivity and income.  </w:t>
      </w:r>
    </w:p>
    <w:p w14:paraId="5E6E8BDB" w14:textId="0556A835" w:rsidR="006D5DE5" w:rsidRDefault="006D5DE5" w:rsidP="000656D4">
      <w:pPr>
        <w:pStyle w:val="Body"/>
        <w:spacing w:after="0"/>
        <w:rPr>
          <w:rFonts w:ascii="Arial" w:hAnsi="Arial" w:cs="Arial"/>
        </w:rPr>
      </w:pPr>
      <w:r w:rsidRPr="006D5DE5">
        <w:rPr>
          <w:rFonts w:ascii="Arial" w:hAnsi="Arial" w:cs="Arial"/>
        </w:rPr>
        <w:t>All respondents relied solely on farming as their main source of income. About 48% reported that inadequate farm income was the main reason they could not invest in irrigation facilities. This suggests that farmers have limited financial resilience to handle unexpected expenses or to make long-term investments. Farmers who depend entirely on farm income often lack the financial resources needed to develop irrigation systems. Similar findings were reported by Fanadzo and Ncube (2018). They noted that limited income restricted farmers’ investment in irrigation and farm expansion.</w:t>
      </w:r>
    </w:p>
    <w:p w14:paraId="42F44E07" w14:textId="77777777" w:rsidR="006D5DE5" w:rsidRDefault="006D5DE5" w:rsidP="000656D4">
      <w:pPr>
        <w:pStyle w:val="Body"/>
        <w:spacing w:after="0"/>
        <w:rPr>
          <w:rFonts w:ascii="Arial" w:hAnsi="Arial" w:cs="Arial"/>
        </w:rPr>
      </w:pPr>
    </w:p>
    <w:p w14:paraId="18D64588" w14:textId="64701FD0" w:rsidR="00790ADA" w:rsidRDefault="006D5DE5" w:rsidP="00441B6F">
      <w:pPr>
        <w:pStyle w:val="Body"/>
        <w:spacing w:after="0"/>
        <w:rPr>
          <w:rFonts w:ascii="Arial" w:hAnsi="Arial" w:cs="Arial"/>
        </w:rPr>
      </w:pPr>
      <w:r w:rsidRPr="006D5DE5">
        <w:rPr>
          <w:rFonts w:ascii="Arial" w:hAnsi="Arial" w:cs="Arial"/>
        </w:rPr>
        <w:t>Nearly half (48%) of the respondents earned about GH₵3000 (US $240.31) per season, which was insufficient to meet their irrigation needs. Limited income and competing household expenses made it difficult for farmers to invest in irrigation infrastructure, highlighting the need for credit support. Theis et al. (2018) similarly found that financial constraints hindered farmers from adopting irrigation technology.</w:t>
      </w:r>
      <w:r>
        <w:rPr>
          <w:rFonts w:ascii="Arial" w:hAnsi="Arial" w:cs="Arial"/>
        </w:rPr>
        <w:t xml:space="preserve"> </w:t>
      </w:r>
    </w:p>
    <w:p w14:paraId="3CA7979D" w14:textId="77777777" w:rsidR="006D5DE5" w:rsidRDefault="006D5DE5" w:rsidP="00441B6F">
      <w:pPr>
        <w:pStyle w:val="Body"/>
        <w:spacing w:after="0"/>
        <w:rPr>
          <w:rFonts w:ascii="Arial" w:hAnsi="Arial" w:cs="Arial"/>
        </w:rPr>
      </w:pPr>
    </w:p>
    <w:p w14:paraId="3FB964E6" w14:textId="267F05C4" w:rsidR="001F3B00" w:rsidRDefault="008909EC" w:rsidP="00441B6F">
      <w:pPr>
        <w:pStyle w:val="Body"/>
        <w:spacing w:after="0"/>
        <w:rPr>
          <w:rFonts w:ascii="Arial" w:hAnsi="Arial" w:cs="Arial"/>
          <w:b/>
          <w:bCs/>
        </w:rPr>
      </w:pPr>
      <w:r w:rsidRPr="009C0819">
        <w:rPr>
          <w:rFonts w:ascii="Arial" w:hAnsi="Arial" w:cs="Arial"/>
          <w:b/>
          <w:bCs/>
        </w:rPr>
        <w:t>Table 1</w:t>
      </w:r>
      <w:r w:rsidR="006A03C8" w:rsidRPr="009C0819">
        <w:rPr>
          <w:rFonts w:ascii="Arial" w:hAnsi="Arial" w:cs="Arial"/>
          <w:b/>
          <w:bCs/>
        </w:rPr>
        <w:t>.</w:t>
      </w:r>
      <w:r w:rsidRPr="009C0819">
        <w:rPr>
          <w:rFonts w:ascii="Arial" w:hAnsi="Arial" w:cs="Arial"/>
          <w:b/>
          <w:bCs/>
        </w:rPr>
        <w:t xml:space="preserve"> Socio-</w:t>
      </w:r>
      <w:r w:rsidR="00E908CD" w:rsidRPr="009C0819">
        <w:rPr>
          <w:rFonts w:ascii="Arial" w:hAnsi="Arial" w:cs="Arial"/>
          <w:b/>
          <w:bCs/>
        </w:rPr>
        <w:t>demographic characteristics of the respondents</w:t>
      </w:r>
    </w:p>
    <w:p w14:paraId="00898753" w14:textId="77777777" w:rsidR="00DF7E45" w:rsidRPr="009C0819" w:rsidRDefault="00DF7E45" w:rsidP="00441B6F">
      <w:pPr>
        <w:pStyle w:val="Body"/>
        <w:spacing w:after="0"/>
        <w:rPr>
          <w:rFonts w:ascii="Arial" w:hAnsi="Arial" w:cs="Arial"/>
          <w:b/>
          <w:bCs/>
        </w:rPr>
      </w:pPr>
    </w:p>
    <w:tbl>
      <w:tblPr>
        <w:tblStyle w:val="PlainTable2"/>
        <w:tblW w:w="0" w:type="auto"/>
        <w:tblBorders>
          <w:top w:val="single" w:sz="4" w:space="0" w:color="auto"/>
          <w:bottom w:val="single" w:sz="4" w:space="0" w:color="auto"/>
        </w:tblBorders>
        <w:tblLayout w:type="fixed"/>
        <w:tblLook w:val="06A0" w:firstRow="1" w:lastRow="0" w:firstColumn="1" w:lastColumn="0" w:noHBand="1" w:noVBand="1"/>
      </w:tblPr>
      <w:tblGrid>
        <w:gridCol w:w="2660"/>
        <w:gridCol w:w="2551"/>
        <w:gridCol w:w="1843"/>
        <w:gridCol w:w="2552"/>
      </w:tblGrid>
      <w:tr w:rsidR="00162DDC" w:rsidRPr="00B50E5C" w14:paraId="26F3B919" w14:textId="77777777" w:rsidTr="000371DF">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tcPr>
          <w:p w14:paraId="33C7B1F3" w14:textId="77777777" w:rsidR="00162DDC" w:rsidRPr="00B50E5C" w:rsidRDefault="00162DDC" w:rsidP="00290447">
            <w:pPr>
              <w:jc w:val="center"/>
              <w:rPr>
                <w:rFonts w:ascii="Arial" w:hAnsi="Arial" w:cs="Arial"/>
                <w:sz w:val="20"/>
                <w:szCs w:val="20"/>
              </w:rPr>
            </w:pPr>
            <w:r w:rsidRPr="00B50E5C">
              <w:rPr>
                <w:rFonts w:ascii="Arial" w:eastAsia="Calibri" w:hAnsi="Arial" w:cs="Arial"/>
                <w:color w:val="000000"/>
                <w:sz w:val="20"/>
                <w:szCs w:val="20"/>
              </w:rPr>
              <w:t>Socio-demography</w:t>
            </w:r>
          </w:p>
        </w:tc>
        <w:tc>
          <w:tcPr>
            <w:tcW w:w="2551" w:type="dxa"/>
            <w:tcBorders>
              <w:top w:val="single" w:sz="4" w:space="0" w:color="auto"/>
              <w:bottom w:val="single" w:sz="4" w:space="0" w:color="auto"/>
            </w:tcBorders>
          </w:tcPr>
          <w:p w14:paraId="0F02940B" w14:textId="77777777" w:rsidR="00162DDC" w:rsidRPr="00B50E5C" w:rsidRDefault="00162DDC" w:rsidP="002904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eastAsia="Calibri" w:hAnsi="Arial" w:cs="Arial"/>
                <w:color w:val="000000"/>
                <w:sz w:val="20"/>
                <w:szCs w:val="20"/>
              </w:rPr>
              <w:t>Category</w:t>
            </w:r>
          </w:p>
        </w:tc>
        <w:tc>
          <w:tcPr>
            <w:tcW w:w="1843" w:type="dxa"/>
            <w:tcBorders>
              <w:top w:val="single" w:sz="4" w:space="0" w:color="auto"/>
              <w:bottom w:val="single" w:sz="4" w:space="0" w:color="auto"/>
            </w:tcBorders>
          </w:tcPr>
          <w:p w14:paraId="70F61886" w14:textId="77777777" w:rsidR="00162DDC" w:rsidRPr="00B50E5C" w:rsidRDefault="00162DDC" w:rsidP="002904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eastAsia="Calibri" w:hAnsi="Arial" w:cs="Arial"/>
                <w:color w:val="000000"/>
                <w:sz w:val="20"/>
                <w:szCs w:val="20"/>
              </w:rPr>
              <w:t>Frequency</w:t>
            </w:r>
          </w:p>
        </w:tc>
        <w:tc>
          <w:tcPr>
            <w:tcW w:w="2552" w:type="dxa"/>
            <w:tcBorders>
              <w:top w:val="single" w:sz="4" w:space="0" w:color="auto"/>
              <w:bottom w:val="single" w:sz="4" w:space="0" w:color="auto"/>
            </w:tcBorders>
          </w:tcPr>
          <w:p w14:paraId="2C17C52A" w14:textId="77777777" w:rsidR="00162DDC" w:rsidRPr="00B50E5C" w:rsidRDefault="00162DDC" w:rsidP="00290447">
            <w:pPr>
              <w:tabs>
                <w:tab w:val="right" w:pos="2336"/>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eastAsia="Calibri" w:hAnsi="Arial" w:cs="Arial"/>
                <w:color w:val="000000"/>
                <w:sz w:val="20"/>
                <w:szCs w:val="20"/>
              </w:rPr>
              <w:t>Percentage (%)</w:t>
            </w:r>
          </w:p>
        </w:tc>
      </w:tr>
      <w:tr w:rsidR="00162DDC" w:rsidRPr="00B50E5C" w14:paraId="02316457" w14:textId="77777777" w:rsidTr="000371DF">
        <w:trPr>
          <w:trHeight w:val="55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tcBorders>
          </w:tcPr>
          <w:p w14:paraId="6F10A994" w14:textId="77777777" w:rsidR="00162DDC" w:rsidRPr="00B50E5C" w:rsidRDefault="00162DDC" w:rsidP="00290447">
            <w:pPr>
              <w:jc w:val="center"/>
              <w:rPr>
                <w:rFonts w:ascii="Arial" w:hAnsi="Arial" w:cs="Arial"/>
                <w:b w:val="0"/>
                <w:bCs w:val="0"/>
                <w:sz w:val="20"/>
                <w:szCs w:val="20"/>
              </w:rPr>
            </w:pPr>
            <w:r w:rsidRPr="00B50E5C">
              <w:rPr>
                <w:rFonts w:ascii="Arial" w:eastAsia="Calibri" w:hAnsi="Arial" w:cs="Arial"/>
                <w:b w:val="0"/>
                <w:bCs w:val="0"/>
                <w:color w:val="000000"/>
                <w:sz w:val="20"/>
                <w:szCs w:val="20"/>
              </w:rPr>
              <w:t>Gender</w:t>
            </w:r>
          </w:p>
        </w:tc>
        <w:tc>
          <w:tcPr>
            <w:tcW w:w="2551" w:type="dxa"/>
            <w:tcBorders>
              <w:top w:val="single" w:sz="4" w:space="0" w:color="auto"/>
            </w:tcBorders>
          </w:tcPr>
          <w:p w14:paraId="6D468720"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B50E5C">
              <w:rPr>
                <w:rFonts w:ascii="Arial" w:eastAsia="Calibri" w:hAnsi="Arial" w:cs="Arial"/>
                <w:color w:val="000000"/>
                <w:sz w:val="20"/>
                <w:szCs w:val="20"/>
              </w:rPr>
              <w:t>Male</w:t>
            </w:r>
          </w:p>
          <w:p w14:paraId="45BADA46"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eastAsia="Calibri" w:hAnsi="Arial" w:cs="Arial"/>
                <w:color w:val="000000"/>
                <w:sz w:val="20"/>
                <w:szCs w:val="20"/>
              </w:rPr>
              <w:t>Female</w:t>
            </w:r>
          </w:p>
        </w:tc>
        <w:tc>
          <w:tcPr>
            <w:tcW w:w="1843" w:type="dxa"/>
            <w:tcBorders>
              <w:top w:val="single" w:sz="4" w:space="0" w:color="auto"/>
            </w:tcBorders>
          </w:tcPr>
          <w:p w14:paraId="2C548ED1"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B50E5C">
              <w:rPr>
                <w:rFonts w:ascii="Arial" w:eastAsia="Calibri" w:hAnsi="Arial" w:cs="Arial"/>
                <w:color w:val="000000"/>
                <w:sz w:val="20"/>
                <w:szCs w:val="20"/>
              </w:rPr>
              <w:t>173</w:t>
            </w:r>
          </w:p>
          <w:p w14:paraId="42F7A42B"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109</w:t>
            </w:r>
          </w:p>
        </w:tc>
        <w:tc>
          <w:tcPr>
            <w:tcW w:w="2552" w:type="dxa"/>
            <w:tcBorders>
              <w:top w:val="single" w:sz="4" w:space="0" w:color="auto"/>
            </w:tcBorders>
          </w:tcPr>
          <w:p w14:paraId="3161E0F6"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B50E5C">
              <w:rPr>
                <w:rFonts w:ascii="Arial" w:eastAsia="Calibri" w:hAnsi="Arial" w:cs="Arial"/>
                <w:color w:val="000000"/>
                <w:sz w:val="20"/>
                <w:szCs w:val="20"/>
              </w:rPr>
              <w:t>61</w:t>
            </w:r>
          </w:p>
          <w:p w14:paraId="130000F5"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B50E5C">
              <w:rPr>
                <w:rFonts w:ascii="Arial" w:eastAsia="Calibri" w:hAnsi="Arial" w:cs="Arial"/>
                <w:color w:val="000000"/>
                <w:sz w:val="20"/>
                <w:szCs w:val="20"/>
              </w:rPr>
              <w:t>39</w:t>
            </w:r>
          </w:p>
        </w:tc>
      </w:tr>
      <w:tr w:rsidR="00162DDC" w:rsidRPr="00B50E5C" w14:paraId="6318BF79" w14:textId="77777777" w:rsidTr="000371DF">
        <w:trPr>
          <w:trHeight w:val="1092"/>
        </w:trPr>
        <w:tc>
          <w:tcPr>
            <w:cnfStyle w:val="001000000000" w:firstRow="0" w:lastRow="0" w:firstColumn="1" w:lastColumn="0" w:oddVBand="0" w:evenVBand="0" w:oddHBand="0" w:evenHBand="0" w:firstRowFirstColumn="0" w:firstRowLastColumn="0" w:lastRowFirstColumn="0" w:lastRowLastColumn="0"/>
            <w:tcW w:w="2660" w:type="dxa"/>
          </w:tcPr>
          <w:p w14:paraId="3BE30CF6" w14:textId="77777777" w:rsidR="00162DDC" w:rsidRPr="00B50E5C" w:rsidRDefault="00162DDC" w:rsidP="00290447">
            <w:pPr>
              <w:jc w:val="center"/>
              <w:rPr>
                <w:rFonts w:ascii="Arial" w:eastAsia="Calibri" w:hAnsi="Arial" w:cs="Arial"/>
                <w:color w:val="000000"/>
                <w:sz w:val="20"/>
                <w:szCs w:val="20"/>
              </w:rPr>
            </w:pPr>
          </w:p>
          <w:p w14:paraId="10750B6B" w14:textId="77777777" w:rsidR="00162DDC" w:rsidRPr="00B50E5C" w:rsidRDefault="00162DDC" w:rsidP="00290447">
            <w:pPr>
              <w:jc w:val="center"/>
              <w:rPr>
                <w:rFonts w:ascii="Arial" w:eastAsia="Calibri" w:hAnsi="Arial" w:cs="Arial"/>
                <w:color w:val="000000"/>
                <w:sz w:val="20"/>
                <w:szCs w:val="20"/>
              </w:rPr>
            </w:pPr>
          </w:p>
          <w:p w14:paraId="7543CE60" w14:textId="77777777" w:rsidR="00162DDC" w:rsidRPr="00B50E5C" w:rsidRDefault="00162DDC" w:rsidP="00290447">
            <w:pPr>
              <w:jc w:val="center"/>
              <w:rPr>
                <w:rFonts w:ascii="Arial" w:hAnsi="Arial" w:cs="Arial"/>
                <w:b w:val="0"/>
                <w:bCs w:val="0"/>
                <w:sz w:val="20"/>
                <w:szCs w:val="20"/>
              </w:rPr>
            </w:pPr>
            <w:r w:rsidRPr="00B50E5C">
              <w:rPr>
                <w:rFonts w:ascii="Arial" w:eastAsia="Calibri" w:hAnsi="Arial" w:cs="Arial"/>
                <w:b w:val="0"/>
                <w:bCs w:val="0"/>
                <w:color w:val="000000"/>
                <w:sz w:val="20"/>
                <w:szCs w:val="20"/>
              </w:rPr>
              <w:t>Age (Years)</w:t>
            </w:r>
          </w:p>
        </w:tc>
        <w:tc>
          <w:tcPr>
            <w:tcW w:w="2551" w:type="dxa"/>
          </w:tcPr>
          <w:p w14:paraId="45513628"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0E5C">
              <w:rPr>
                <w:rFonts w:ascii="Arial" w:hAnsi="Arial" w:cs="Arial"/>
                <w:color w:val="000000"/>
                <w:sz w:val="20"/>
                <w:szCs w:val="20"/>
              </w:rPr>
              <w:t>18-29</w:t>
            </w:r>
          </w:p>
          <w:p w14:paraId="57976AFB"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eastAsia="Calibri" w:hAnsi="Arial" w:cs="Arial"/>
                <w:color w:val="000000"/>
                <w:sz w:val="20"/>
                <w:szCs w:val="20"/>
              </w:rPr>
              <w:t>30-</w:t>
            </w:r>
            <w:r w:rsidRPr="00B50E5C">
              <w:rPr>
                <w:rFonts w:ascii="Arial" w:hAnsi="Arial" w:cs="Arial"/>
                <w:color w:val="000000"/>
                <w:sz w:val="20"/>
                <w:szCs w:val="20"/>
              </w:rPr>
              <w:t>39</w:t>
            </w:r>
          </w:p>
          <w:p w14:paraId="66EFFFD7"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0E5C">
              <w:rPr>
                <w:rFonts w:ascii="Arial" w:eastAsia="Calibri" w:hAnsi="Arial" w:cs="Arial"/>
                <w:color w:val="000000"/>
                <w:sz w:val="20"/>
                <w:szCs w:val="20"/>
              </w:rPr>
              <w:t>40</w:t>
            </w:r>
            <w:r w:rsidRPr="00B50E5C">
              <w:rPr>
                <w:rFonts w:ascii="Arial" w:hAnsi="Arial" w:cs="Arial"/>
                <w:color w:val="000000"/>
                <w:sz w:val="20"/>
                <w:szCs w:val="20"/>
              </w:rPr>
              <w:t>-49</w:t>
            </w:r>
          </w:p>
          <w:p w14:paraId="2036C116"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0E5C">
              <w:rPr>
                <w:rFonts w:ascii="Arial" w:eastAsia="Calibri" w:hAnsi="Arial" w:cs="Arial"/>
                <w:color w:val="000000"/>
                <w:sz w:val="20"/>
                <w:szCs w:val="20"/>
              </w:rPr>
              <w:t>50-</w:t>
            </w:r>
            <w:r w:rsidRPr="00B50E5C">
              <w:rPr>
                <w:rFonts w:ascii="Arial" w:hAnsi="Arial" w:cs="Arial"/>
                <w:color w:val="000000"/>
                <w:sz w:val="20"/>
                <w:szCs w:val="20"/>
              </w:rPr>
              <w:t>59</w:t>
            </w:r>
          </w:p>
          <w:p w14:paraId="6F9A24A2"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0E5C">
              <w:rPr>
                <w:rFonts w:ascii="Arial" w:eastAsia="Calibri" w:hAnsi="Arial" w:cs="Arial"/>
                <w:color w:val="000000"/>
                <w:sz w:val="20"/>
                <w:szCs w:val="20"/>
              </w:rPr>
              <w:t>60-</w:t>
            </w:r>
            <w:r w:rsidRPr="00B50E5C">
              <w:rPr>
                <w:rFonts w:ascii="Arial" w:hAnsi="Arial" w:cs="Arial"/>
                <w:color w:val="000000"/>
                <w:sz w:val="20"/>
                <w:szCs w:val="20"/>
              </w:rPr>
              <w:t>69</w:t>
            </w:r>
          </w:p>
          <w:p w14:paraId="077C4B2C"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Above 69</w:t>
            </w:r>
          </w:p>
        </w:tc>
        <w:tc>
          <w:tcPr>
            <w:tcW w:w="1843" w:type="dxa"/>
          </w:tcPr>
          <w:p w14:paraId="465C9540" w14:textId="40777D0F"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12</w:t>
            </w:r>
          </w:p>
          <w:p w14:paraId="68D68FEA" w14:textId="2FC8ABE7"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45</w:t>
            </w:r>
          </w:p>
          <w:p w14:paraId="0A5BF1C8"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133</w:t>
            </w:r>
          </w:p>
          <w:p w14:paraId="04573D1B" w14:textId="27D19EDF"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66</w:t>
            </w:r>
          </w:p>
          <w:p w14:paraId="21CFF82C" w14:textId="668D4DCA"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D051A1">
              <w:rPr>
                <w:rFonts w:ascii="Arial" w:hAnsi="Arial" w:cs="Arial"/>
                <w:sz w:val="20"/>
                <w:szCs w:val="20"/>
              </w:rPr>
              <w:t xml:space="preserve"> </w:t>
            </w:r>
            <w:r w:rsidR="00162DDC" w:rsidRPr="00B50E5C">
              <w:rPr>
                <w:rFonts w:ascii="Arial" w:hAnsi="Arial" w:cs="Arial"/>
                <w:sz w:val="20"/>
                <w:szCs w:val="20"/>
              </w:rPr>
              <w:t>22</w:t>
            </w:r>
          </w:p>
          <w:p w14:paraId="42706EC6" w14:textId="43056E82"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4</w:t>
            </w:r>
          </w:p>
        </w:tc>
        <w:tc>
          <w:tcPr>
            <w:tcW w:w="2552" w:type="dxa"/>
          </w:tcPr>
          <w:p w14:paraId="6E568402" w14:textId="036B7FB7"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4</w:t>
            </w:r>
          </w:p>
          <w:p w14:paraId="08133804"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16</w:t>
            </w:r>
          </w:p>
          <w:p w14:paraId="6458AB85"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47</w:t>
            </w:r>
          </w:p>
          <w:p w14:paraId="38B904C1"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24</w:t>
            </w:r>
          </w:p>
          <w:p w14:paraId="2CF8281F" w14:textId="39FE88E2"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8</w:t>
            </w:r>
          </w:p>
          <w:p w14:paraId="4727F618" w14:textId="5668E8A7"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1</w:t>
            </w:r>
          </w:p>
        </w:tc>
      </w:tr>
      <w:tr w:rsidR="00162DDC" w:rsidRPr="00B50E5C" w14:paraId="5098EC74" w14:textId="77777777" w:rsidTr="000371DF">
        <w:trPr>
          <w:trHeight w:val="577"/>
        </w:trPr>
        <w:tc>
          <w:tcPr>
            <w:cnfStyle w:val="001000000000" w:firstRow="0" w:lastRow="0" w:firstColumn="1" w:lastColumn="0" w:oddVBand="0" w:evenVBand="0" w:oddHBand="0" w:evenHBand="0" w:firstRowFirstColumn="0" w:firstRowLastColumn="0" w:lastRowFirstColumn="0" w:lastRowLastColumn="0"/>
            <w:tcW w:w="2660" w:type="dxa"/>
          </w:tcPr>
          <w:p w14:paraId="47766D1B" w14:textId="77777777" w:rsidR="00162DDC" w:rsidRPr="00B50E5C" w:rsidRDefault="00162DDC" w:rsidP="00290447">
            <w:pPr>
              <w:jc w:val="center"/>
              <w:rPr>
                <w:rFonts w:ascii="Arial" w:eastAsia="Calibri" w:hAnsi="Arial" w:cs="Arial"/>
                <w:b w:val="0"/>
                <w:bCs w:val="0"/>
                <w:color w:val="000000"/>
                <w:sz w:val="20"/>
                <w:szCs w:val="20"/>
              </w:rPr>
            </w:pPr>
            <w:r w:rsidRPr="00B50E5C">
              <w:rPr>
                <w:rFonts w:ascii="Arial" w:eastAsia="Calibri" w:hAnsi="Arial" w:cs="Arial"/>
                <w:b w:val="0"/>
                <w:bCs w:val="0"/>
                <w:color w:val="000000"/>
                <w:sz w:val="20"/>
                <w:szCs w:val="20"/>
              </w:rPr>
              <w:t>Marital status</w:t>
            </w:r>
          </w:p>
        </w:tc>
        <w:tc>
          <w:tcPr>
            <w:tcW w:w="2551" w:type="dxa"/>
          </w:tcPr>
          <w:p w14:paraId="25449115"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0E5C">
              <w:rPr>
                <w:rFonts w:ascii="Arial" w:hAnsi="Arial" w:cs="Arial"/>
                <w:color w:val="000000"/>
                <w:sz w:val="20"/>
                <w:szCs w:val="20"/>
              </w:rPr>
              <w:t>Married</w:t>
            </w:r>
          </w:p>
          <w:p w14:paraId="527E9829"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50E5C">
              <w:rPr>
                <w:rFonts w:ascii="Arial" w:hAnsi="Arial" w:cs="Arial"/>
                <w:color w:val="000000"/>
                <w:sz w:val="20"/>
                <w:szCs w:val="20"/>
              </w:rPr>
              <w:t>Single</w:t>
            </w:r>
          </w:p>
        </w:tc>
        <w:tc>
          <w:tcPr>
            <w:tcW w:w="1843" w:type="dxa"/>
          </w:tcPr>
          <w:p w14:paraId="5DA04C50"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212</w:t>
            </w:r>
          </w:p>
          <w:p w14:paraId="699C76B8" w14:textId="74F147D6"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70</w:t>
            </w:r>
          </w:p>
        </w:tc>
        <w:tc>
          <w:tcPr>
            <w:tcW w:w="2552" w:type="dxa"/>
          </w:tcPr>
          <w:p w14:paraId="328372FF"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75</w:t>
            </w:r>
          </w:p>
          <w:p w14:paraId="77DF67AA"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25</w:t>
            </w:r>
          </w:p>
        </w:tc>
      </w:tr>
      <w:tr w:rsidR="00162DDC" w:rsidRPr="00B50E5C" w14:paraId="456162EF" w14:textId="77777777" w:rsidTr="000371DF">
        <w:trPr>
          <w:trHeight w:val="924"/>
        </w:trPr>
        <w:tc>
          <w:tcPr>
            <w:cnfStyle w:val="001000000000" w:firstRow="0" w:lastRow="0" w:firstColumn="1" w:lastColumn="0" w:oddVBand="0" w:evenVBand="0" w:oddHBand="0" w:evenHBand="0" w:firstRowFirstColumn="0" w:firstRowLastColumn="0" w:lastRowFirstColumn="0" w:lastRowLastColumn="0"/>
            <w:tcW w:w="2660" w:type="dxa"/>
          </w:tcPr>
          <w:p w14:paraId="15B3F62F" w14:textId="77777777" w:rsidR="00162DDC" w:rsidRPr="00B50E5C" w:rsidRDefault="00162DDC" w:rsidP="00290447">
            <w:pPr>
              <w:jc w:val="center"/>
              <w:rPr>
                <w:rFonts w:ascii="Arial" w:eastAsia="Calibri" w:hAnsi="Arial" w:cs="Arial"/>
                <w:b w:val="0"/>
                <w:bCs w:val="0"/>
                <w:color w:val="000000"/>
                <w:sz w:val="20"/>
                <w:szCs w:val="20"/>
              </w:rPr>
            </w:pPr>
          </w:p>
          <w:p w14:paraId="33F82CF6" w14:textId="77777777" w:rsidR="00162DDC" w:rsidRPr="00B50E5C" w:rsidRDefault="00162DDC" w:rsidP="00290447">
            <w:pPr>
              <w:jc w:val="center"/>
              <w:rPr>
                <w:rFonts w:ascii="Arial" w:hAnsi="Arial" w:cs="Arial"/>
                <w:b w:val="0"/>
                <w:bCs w:val="0"/>
                <w:sz w:val="20"/>
                <w:szCs w:val="20"/>
              </w:rPr>
            </w:pPr>
            <w:r w:rsidRPr="00B50E5C">
              <w:rPr>
                <w:rFonts w:ascii="Arial" w:eastAsia="Calibri" w:hAnsi="Arial" w:cs="Arial"/>
                <w:b w:val="0"/>
                <w:bCs w:val="0"/>
                <w:color w:val="000000"/>
                <w:sz w:val="20"/>
                <w:szCs w:val="20"/>
              </w:rPr>
              <w:t>Education level</w:t>
            </w:r>
          </w:p>
        </w:tc>
        <w:tc>
          <w:tcPr>
            <w:tcW w:w="2551" w:type="dxa"/>
          </w:tcPr>
          <w:p w14:paraId="52E1A292"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B50E5C">
              <w:rPr>
                <w:rFonts w:ascii="Arial" w:eastAsia="Calibri" w:hAnsi="Arial" w:cs="Arial"/>
                <w:color w:val="000000"/>
                <w:sz w:val="20"/>
                <w:szCs w:val="20"/>
              </w:rPr>
              <w:t>No formal Education</w:t>
            </w:r>
          </w:p>
          <w:p w14:paraId="3526A6A3"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eastAsia="Calibri" w:hAnsi="Arial" w:cs="Arial"/>
                <w:color w:val="000000"/>
                <w:sz w:val="20"/>
                <w:szCs w:val="20"/>
              </w:rPr>
              <w:t>Primary/Basic</w:t>
            </w:r>
          </w:p>
          <w:p w14:paraId="26D38EC3"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B50E5C">
              <w:rPr>
                <w:rFonts w:ascii="Arial" w:eastAsia="Calibri" w:hAnsi="Arial" w:cs="Arial"/>
                <w:color w:val="000000"/>
                <w:sz w:val="20"/>
                <w:szCs w:val="20"/>
              </w:rPr>
              <w:t>Secondary</w:t>
            </w:r>
          </w:p>
          <w:p w14:paraId="1D1896A0"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eastAsia="Calibri" w:hAnsi="Arial" w:cs="Arial"/>
                <w:color w:val="000000"/>
                <w:sz w:val="20"/>
                <w:szCs w:val="20"/>
              </w:rPr>
              <w:t>Tertiary</w:t>
            </w:r>
          </w:p>
        </w:tc>
        <w:tc>
          <w:tcPr>
            <w:tcW w:w="1843" w:type="dxa"/>
          </w:tcPr>
          <w:p w14:paraId="53572C0D" w14:textId="17A159B3"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53</w:t>
            </w:r>
          </w:p>
          <w:p w14:paraId="5241C3D7" w14:textId="6C44B8B1"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86</w:t>
            </w:r>
          </w:p>
          <w:p w14:paraId="4002F622"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124</w:t>
            </w:r>
          </w:p>
          <w:p w14:paraId="4CA946D3" w14:textId="698E2F91"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19</w:t>
            </w:r>
          </w:p>
        </w:tc>
        <w:tc>
          <w:tcPr>
            <w:tcW w:w="2552" w:type="dxa"/>
          </w:tcPr>
          <w:p w14:paraId="150EE9A4"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19</w:t>
            </w:r>
          </w:p>
          <w:p w14:paraId="7825FC03"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30</w:t>
            </w:r>
          </w:p>
          <w:p w14:paraId="6441EB36"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44</w:t>
            </w:r>
          </w:p>
          <w:p w14:paraId="4FE954A7" w14:textId="7B02524F" w:rsidR="00162DDC" w:rsidRPr="00B50E5C" w:rsidRDefault="00692A4F"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7</w:t>
            </w:r>
          </w:p>
        </w:tc>
      </w:tr>
      <w:tr w:rsidR="00162DDC" w:rsidRPr="00B50E5C" w14:paraId="004DFC53" w14:textId="77777777" w:rsidTr="000371DF">
        <w:trPr>
          <w:trHeight w:val="426"/>
        </w:trPr>
        <w:tc>
          <w:tcPr>
            <w:cnfStyle w:val="001000000000" w:firstRow="0" w:lastRow="0" w:firstColumn="1" w:lastColumn="0" w:oddVBand="0" w:evenVBand="0" w:oddHBand="0" w:evenHBand="0" w:firstRowFirstColumn="0" w:firstRowLastColumn="0" w:lastRowFirstColumn="0" w:lastRowLastColumn="0"/>
            <w:tcW w:w="2660" w:type="dxa"/>
          </w:tcPr>
          <w:p w14:paraId="441D439D" w14:textId="77777777" w:rsidR="00162DDC" w:rsidRPr="00B50E5C" w:rsidRDefault="00162DDC" w:rsidP="00290447">
            <w:pPr>
              <w:jc w:val="center"/>
              <w:rPr>
                <w:rFonts w:ascii="Arial" w:eastAsia="Calibri" w:hAnsi="Arial" w:cs="Arial"/>
                <w:b w:val="0"/>
                <w:bCs w:val="0"/>
                <w:color w:val="000000"/>
                <w:sz w:val="20"/>
                <w:szCs w:val="20"/>
              </w:rPr>
            </w:pPr>
            <w:r w:rsidRPr="00B50E5C">
              <w:rPr>
                <w:rFonts w:ascii="Arial" w:eastAsia="Calibri" w:hAnsi="Arial" w:cs="Arial"/>
                <w:b w:val="0"/>
                <w:bCs w:val="0"/>
                <w:color w:val="000000"/>
                <w:sz w:val="20"/>
                <w:szCs w:val="20"/>
              </w:rPr>
              <w:t>Occupation (Main)</w:t>
            </w:r>
          </w:p>
        </w:tc>
        <w:tc>
          <w:tcPr>
            <w:tcW w:w="2551" w:type="dxa"/>
          </w:tcPr>
          <w:p w14:paraId="31B7C13E"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Farming</w:t>
            </w:r>
          </w:p>
        </w:tc>
        <w:tc>
          <w:tcPr>
            <w:tcW w:w="1843" w:type="dxa"/>
          </w:tcPr>
          <w:p w14:paraId="717D2DE1"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282</w:t>
            </w:r>
          </w:p>
        </w:tc>
        <w:tc>
          <w:tcPr>
            <w:tcW w:w="2552" w:type="dxa"/>
          </w:tcPr>
          <w:p w14:paraId="6A560014"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100</w:t>
            </w:r>
          </w:p>
        </w:tc>
      </w:tr>
      <w:tr w:rsidR="00162DDC" w:rsidRPr="00B50E5C" w14:paraId="287068D4" w14:textId="77777777" w:rsidTr="000371DF">
        <w:trPr>
          <w:trHeight w:val="1705"/>
        </w:trPr>
        <w:tc>
          <w:tcPr>
            <w:cnfStyle w:val="001000000000" w:firstRow="0" w:lastRow="0" w:firstColumn="1" w:lastColumn="0" w:oddVBand="0" w:evenVBand="0" w:oddHBand="0" w:evenHBand="0" w:firstRowFirstColumn="0" w:firstRowLastColumn="0" w:lastRowFirstColumn="0" w:lastRowLastColumn="0"/>
            <w:tcW w:w="2660" w:type="dxa"/>
          </w:tcPr>
          <w:p w14:paraId="4AD5B5B2" w14:textId="77777777" w:rsidR="00162DDC" w:rsidRPr="00B50E5C" w:rsidRDefault="00162DDC" w:rsidP="00290447">
            <w:pPr>
              <w:rPr>
                <w:rFonts w:ascii="Arial" w:eastAsia="MS Mincho" w:hAnsi="Arial" w:cs="Arial"/>
                <w:sz w:val="20"/>
                <w:szCs w:val="20"/>
              </w:rPr>
            </w:pPr>
          </w:p>
          <w:p w14:paraId="03A85AB1" w14:textId="77777777" w:rsidR="00162DDC" w:rsidRPr="00B50E5C" w:rsidRDefault="00162DDC" w:rsidP="00290447">
            <w:pPr>
              <w:jc w:val="center"/>
              <w:rPr>
                <w:rFonts w:ascii="Arial" w:eastAsia="MS Mincho" w:hAnsi="Arial" w:cs="Arial"/>
                <w:sz w:val="20"/>
                <w:szCs w:val="20"/>
              </w:rPr>
            </w:pPr>
          </w:p>
          <w:p w14:paraId="6CABDED0" w14:textId="77777777" w:rsidR="00162DDC" w:rsidRPr="00B50E5C" w:rsidRDefault="00162DDC" w:rsidP="00290447">
            <w:pPr>
              <w:jc w:val="center"/>
              <w:rPr>
                <w:rFonts w:ascii="Arial" w:eastAsia="Calibri" w:hAnsi="Arial" w:cs="Arial"/>
                <w:b w:val="0"/>
                <w:bCs w:val="0"/>
                <w:color w:val="000000"/>
                <w:sz w:val="20"/>
                <w:szCs w:val="20"/>
              </w:rPr>
            </w:pPr>
            <w:r w:rsidRPr="00B50E5C">
              <w:rPr>
                <w:rFonts w:ascii="Arial" w:eastAsia="MS Mincho" w:hAnsi="Arial" w:cs="Arial"/>
                <w:b w:val="0"/>
                <w:bCs w:val="0"/>
                <w:sz w:val="20"/>
                <w:szCs w:val="20"/>
              </w:rPr>
              <w:t>Household income</w:t>
            </w:r>
            <w:r w:rsidRPr="00B50E5C">
              <w:rPr>
                <w:rFonts w:ascii="Arial" w:hAnsi="Arial" w:cs="Arial"/>
                <w:sz w:val="20"/>
                <w:szCs w:val="20"/>
                <w:shd w:val="clear" w:color="auto" w:fill="FFFFFF"/>
              </w:rPr>
              <w:t xml:space="preserve"> </w:t>
            </w:r>
            <w:r w:rsidRPr="00B50E5C">
              <w:rPr>
                <w:rFonts w:ascii="Arial" w:hAnsi="Arial" w:cs="Arial"/>
                <w:b w:val="0"/>
                <w:bCs w:val="0"/>
                <w:sz w:val="20"/>
                <w:szCs w:val="20"/>
                <w:shd w:val="clear" w:color="auto" w:fill="FFFFFF"/>
              </w:rPr>
              <w:t>(GH₵)</w:t>
            </w:r>
          </w:p>
        </w:tc>
        <w:tc>
          <w:tcPr>
            <w:tcW w:w="2551" w:type="dxa"/>
          </w:tcPr>
          <w:p w14:paraId="188FB957"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&lt; 500</w:t>
            </w:r>
          </w:p>
          <w:p w14:paraId="5CC6081C"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500-999</w:t>
            </w:r>
          </w:p>
          <w:p w14:paraId="3431FB48"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5C">
              <w:rPr>
                <w:rFonts w:ascii="Arial" w:hAnsi="Arial" w:cs="Arial"/>
                <w:sz w:val="20"/>
                <w:szCs w:val="20"/>
              </w:rPr>
              <w:t>1000-1499</w:t>
            </w:r>
          </w:p>
          <w:p w14:paraId="7C81BC37"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B50E5C">
              <w:rPr>
                <w:rFonts w:ascii="Arial" w:hAnsi="Arial" w:cs="Arial"/>
                <w:sz w:val="20"/>
                <w:szCs w:val="20"/>
                <w:shd w:val="clear" w:color="auto" w:fill="FFFFFF"/>
              </w:rPr>
              <w:t>1500-1999</w:t>
            </w:r>
          </w:p>
          <w:p w14:paraId="181E79A0"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B50E5C">
              <w:rPr>
                <w:rFonts w:ascii="Arial" w:hAnsi="Arial" w:cs="Arial"/>
                <w:sz w:val="20"/>
                <w:szCs w:val="20"/>
                <w:shd w:val="clear" w:color="auto" w:fill="FFFFFF"/>
              </w:rPr>
              <w:t>2000-2499</w:t>
            </w:r>
          </w:p>
          <w:p w14:paraId="642CBB53"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B50E5C">
              <w:rPr>
                <w:rFonts w:ascii="Arial" w:hAnsi="Arial" w:cs="Arial"/>
                <w:sz w:val="20"/>
                <w:szCs w:val="20"/>
                <w:shd w:val="clear" w:color="auto" w:fill="FFFFFF"/>
              </w:rPr>
              <w:t>2500-2999</w:t>
            </w:r>
          </w:p>
          <w:p w14:paraId="231B54F1" w14:textId="77777777" w:rsidR="00162DDC" w:rsidRPr="00B50E5C" w:rsidRDefault="00162DDC"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B50E5C">
              <w:rPr>
                <w:rFonts w:ascii="Arial" w:hAnsi="Arial" w:cs="Arial"/>
                <w:sz w:val="20"/>
                <w:szCs w:val="20"/>
                <w:shd w:val="clear" w:color="auto" w:fill="FFFFFF"/>
              </w:rPr>
              <w:t>Above 2999</w:t>
            </w:r>
          </w:p>
        </w:tc>
        <w:tc>
          <w:tcPr>
            <w:tcW w:w="1843" w:type="dxa"/>
          </w:tcPr>
          <w:p w14:paraId="6A9669B4" w14:textId="48784183"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0</w:t>
            </w:r>
          </w:p>
          <w:p w14:paraId="27621B86" w14:textId="76B93870"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33</w:t>
            </w:r>
          </w:p>
          <w:p w14:paraId="79C6A431" w14:textId="1EA39A82"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61</w:t>
            </w:r>
          </w:p>
          <w:p w14:paraId="5495D4B3" w14:textId="7C6A6D2F"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28</w:t>
            </w:r>
          </w:p>
          <w:p w14:paraId="130DBC42" w14:textId="0109DDF5"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26</w:t>
            </w:r>
          </w:p>
          <w:p w14:paraId="10FBF2AA" w14:textId="502BCB09"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55</w:t>
            </w:r>
          </w:p>
          <w:p w14:paraId="2C993090" w14:textId="487EDA32"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79</w:t>
            </w:r>
          </w:p>
        </w:tc>
        <w:tc>
          <w:tcPr>
            <w:tcW w:w="2552" w:type="dxa"/>
          </w:tcPr>
          <w:p w14:paraId="0BE8BEC3" w14:textId="2A3A4516"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0</w:t>
            </w:r>
          </w:p>
          <w:p w14:paraId="7AEAE606" w14:textId="7A81BA58"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11</w:t>
            </w:r>
          </w:p>
          <w:p w14:paraId="2087744F" w14:textId="12CCE4C5"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22</w:t>
            </w:r>
          </w:p>
          <w:p w14:paraId="0785C568" w14:textId="7AB895EC"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10</w:t>
            </w:r>
          </w:p>
          <w:p w14:paraId="31F2DDEE" w14:textId="7BCD2502"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9</w:t>
            </w:r>
          </w:p>
          <w:p w14:paraId="4D38C150" w14:textId="29B07C3B"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20</w:t>
            </w:r>
          </w:p>
          <w:p w14:paraId="155CE957" w14:textId="4671B099" w:rsidR="00162DDC" w:rsidRPr="00B50E5C" w:rsidRDefault="00D051A1"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162DDC" w:rsidRPr="00B50E5C">
              <w:rPr>
                <w:rFonts w:ascii="Arial" w:hAnsi="Arial" w:cs="Arial"/>
                <w:sz w:val="20"/>
                <w:szCs w:val="20"/>
              </w:rPr>
              <w:t>28</w:t>
            </w:r>
          </w:p>
        </w:tc>
      </w:tr>
    </w:tbl>
    <w:p w14:paraId="0DC7E4B7" w14:textId="77777777" w:rsidR="00863BD3" w:rsidRDefault="00863BD3" w:rsidP="00441B6F">
      <w:pPr>
        <w:tabs>
          <w:tab w:val="left" w:pos="1080"/>
        </w:tabs>
        <w:jc w:val="both"/>
        <w:rPr>
          <w:rFonts w:ascii="Arial" w:hAnsi="Arial"/>
          <w:b/>
        </w:rPr>
      </w:pPr>
    </w:p>
    <w:p w14:paraId="3F7958B2" w14:textId="651CF000" w:rsidR="00162DDC" w:rsidRPr="00FA33B9" w:rsidRDefault="00FA33B9" w:rsidP="00441B6F">
      <w:pPr>
        <w:tabs>
          <w:tab w:val="left" w:pos="1080"/>
        </w:tabs>
        <w:jc w:val="both"/>
        <w:rPr>
          <w:rFonts w:ascii="Arial" w:hAnsi="Arial"/>
          <w:bCs/>
        </w:rPr>
      </w:pPr>
      <w:r w:rsidRPr="00FA33B9">
        <w:rPr>
          <w:rFonts w:ascii="Arial" w:hAnsi="Arial"/>
          <w:bCs/>
        </w:rPr>
        <w:t>(Source: Field Survey, 2024)</w:t>
      </w:r>
    </w:p>
    <w:p w14:paraId="0CB6C8C1" w14:textId="77777777" w:rsidR="00863BD3" w:rsidRPr="00B34A1E" w:rsidRDefault="00863BD3" w:rsidP="00441B6F">
      <w:pPr>
        <w:pStyle w:val="BodyText3"/>
        <w:tabs>
          <w:tab w:val="left" w:pos="1080"/>
        </w:tabs>
        <w:spacing w:after="0"/>
        <w:ind w:left="1080" w:hanging="1080"/>
        <w:jc w:val="both"/>
        <w:rPr>
          <w:rFonts w:ascii="Arial" w:hAnsi="Arial"/>
          <w:b/>
          <w:iCs/>
          <w:sz w:val="20"/>
          <w:szCs w:val="20"/>
        </w:rPr>
      </w:pPr>
    </w:p>
    <w:p w14:paraId="45985496" w14:textId="1DA3D801" w:rsidR="00224C65" w:rsidRPr="00224C65" w:rsidRDefault="00E15E44" w:rsidP="00224C65">
      <w:pPr>
        <w:pStyle w:val="Body"/>
        <w:rPr>
          <w:rFonts w:ascii="Arial" w:hAnsi="Arial" w:cs="Arial"/>
        </w:rPr>
      </w:pPr>
      <w:r w:rsidRPr="00E15E44">
        <w:rPr>
          <w:rFonts w:ascii="Arial" w:hAnsi="Arial" w:cs="Arial"/>
        </w:rPr>
        <w:t xml:space="preserve">Most respondents (71%) had an average of five household members (Table 2). Household members could provide labor for farm activities, reducing the need to hire external workers and lowering operating costs. Sharing responsibilities among members might ease labor-intensive tasks. These cost savings might help farmers acquire and expand farmland with irrigation. This finding aligns with Bruce and Castellano (2017), who reported that household labor reduces farm labor costs. </w:t>
      </w:r>
      <w:r>
        <w:rPr>
          <w:rFonts w:ascii="Arial" w:hAnsi="Arial" w:cs="Arial"/>
        </w:rPr>
        <w:t xml:space="preserve"> </w:t>
      </w:r>
      <w:r w:rsidR="00224C65" w:rsidRPr="00224C65">
        <w:rPr>
          <w:rFonts w:ascii="Arial" w:hAnsi="Arial" w:cs="Arial"/>
        </w:rPr>
        <w:t xml:space="preserve"> </w:t>
      </w:r>
    </w:p>
    <w:p w14:paraId="7FF1CE70" w14:textId="0FF87F62" w:rsidR="00224C65" w:rsidRPr="00224C65" w:rsidRDefault="00224C65" w:rsidP="00224C65">
      <w:pPr>
        <w:pStyle w:val="Body"/>
        <w:rPr>
          <w:rFonts w:ascii="Arial" w:hAnsi="Arial" w:cs="Arial"/>
        </w:rPr>
      </w:pPr>
      <w:r w:rsidRPr="00224C65">
        <w:rPr>
          <w:rFonts w:ascii="Arial" w:hAnsi="Arial" w:cs="Arial"/>
        </w:rPr>
        <w:t xml:space="preserve">In contrast, farmers are often required to support household educational needs like school fees, and assist relatives facing hardships. These financial obligations might limit the funds available for expanding farmland or developing irrigation, highlighting the need for credit support. </w:t>
      </w:r>
      <w:r w:rsidR="00A9642A" w:rsidRPr="00A9642A">
        <w:rPr>
          <w:rFonts w:ascii="Arial" w:hAnsi="Arial" w:cs="Arial"/>
        </w:rPr>
        <w:t>Jeločnik et al. (2022) similarly found that the family responsibilities of a farm household head affected investment in irrigation.</w:t>
      </w:r>
      <w:r w:rsidR="00A9642A">
        <w:rPr>
          <w:rFonts w:ascii="Arial" w:hAnsi="Arial" w:cs="Arial"/>
        </w:rPr>
        <w:t xml:space="preserve"> </w:t>
      </w:r>
    </w:p>
    <w:p w14:paraId="499E193D" w14:textId="7D9127FB" w:rsidR="005C7BA2" w:rsidRDefault="005C7BA2" w:rsidP="00224C65">
      <w:pPr>
        <w:pStyle w:val="Body"/>
        <w:rPr>
          <w:rFonts w:ascii="Arial" w:hAnsi="Arial" w:cs="Arial"/>
        </w:rPr>
      </w:pPr>
      <w:r w:rsidRPr="005C7BA2">
        <w:rPr>
          <w:rFonts w:ascii="Arial" w:hAnsi="Arial" w:cs="Arial"/>
        </w:rPr>
        <w:t>About 51% of the respondents did not have farm workers to assist with farm activities, relying solely on household labor. If household members are unavailable due to off-farm work, illness, or education, farm operations might be delayed or slowed. This could lead to late planting, poor weeding, and delayed harvesting. These findings are consistent with Boansi et al. (2023), who reported similar challenges in Northern Ghana. In contrast, 42% of respondents had 1 to 5 farm workers assisting with farm operations. Hiring additional labor allows farm activities to continue even if household members are unavailable. However, paying for labor increases farm costs and might reduce profits, limiting funds available for expanding farmland and or developing irrigation facilities.</w:t>
      </w:r>
    </w:p>
    <w:p w14:paraId="69C3FF2A" w14:textId="09235C8A" w:rsidR="00056023" w:rsidRDefault="00056023" w:rsidP="00224C65">
      <w:pPr>
        <w:pStyle w:val="Body"/>
        <w:spacing w:after="0"/>
        <w:rPr>
          <w:rFonts w:ascii="Arial" w:hAnsi="Arial" w:cs="Arial"/>
        </w:rPr>
      </w:pPr>
      <w:r w:rsidRPr="00056023">
        <w:rPr>
          <w:rFonts w:ascii="Arial" w:hAnsi="Arial" w:cs="Arial"/>
        </w:rPr>
        <w:t>The result further indicated that 76% of the respondents did not own farmland, suggesting that cost of land might be expensive. In connection with limited capital, this likely prevented farmers from purchasing, leasing, or renting land. Without formal land ownership, farmers might be uncertain about continued access to the land they farm and hesitant to invest in long-term irrigation infrastructure. Similarly, Li and Huo (2022) found that tenure insecurity and high land costs discouraged investment among apple farmers in China while Mbudzya (2022) reported comparable results in Kenya’s Narok County.</w:t>
      </w:r>
    </w:p>
    <w:p w14:paraId="55425869" w14:textId="77777777" w:rsidR="00056023" w:rsidRDefault="00056023" w:rsidP="00224C65">
      <w:pPr>
        <w:pStyle w:val="Body"/>
        <w:spacing w:after="0"/>
        <w:rPr>
          <w:rFonts w:ascii="Arial" w:hAnsi="Arial" w:cs="Arial"/>
        </w:rPr>
      </w:pPr>
    </w:p>
    <w:p w14:paraId="4D0E77A5" w14:textId="1C8DF774" w:rsidR="00376BBE" w:rsidRDefault="002F5884" w:rsidP="00441B6F">
      <w:pPr>
        <w:pStyle w:val="Body"/>
        <w:spacing w:after="0"/>
        <w:rPr>
          <w:rFonts w:ascii="Arial" w:hAnsi="Arial" w:cs="Arial"/>
        </w:rPr>
      </w:pPr>
      <w:r w:rsidRPr="002F5884">
        <w:rPr>
          <w:rFonts w:ascii="Arial" w:hAnsi="Arial" w:cs="Arial"/>
        </w:rPr>
        <w:lastRenderedPageBreak/>
        <w:t>Respondents (48%) worked on relatively small farmlands of less than 5 acres each at different locations. It means that installing irrigation facilities on smaller farm sizes could be costly, and farmers might not generate reasonable returns on their investment. Farmland holdings at different locations might make it logistically and economically difficult to install irrigation infrastructure.</w:t>
      </w:r>
      <w:r>
        <w:rPr>
          <w:rFonts w:ascii="Arial" w:hAnsi="Arial" w:cs="Arial"/>
        </w:rPr>
        <w:t xml:space="preserve"> </w:t>
      </w:r>
    </w:p>
    <w:p w14:paraId="7C179F56" w14:textId="77777777" w:rsidR="002F5884" w:rsidRDefault="002F5884" w:rsidP="00441B6F">
      <w:pPr>
        <w:pStyle w:val="Body"/>
        <w:spacing w:after="0"/>
        <w:rPr>
          <w:rFonts w:ascii="Arial" w:hAnsi="Arial" w:cs="Arial"/>
        </w:rPr>
      </w:pPr>
    </w:p>
    <w:p w14:paraId="217DFE06" w14:textId="00ADF16E" w:rsidR="00FE0EB9" w:rsidRPr="00954F83" w:rsidRDefault="00954F83" w:rsidP="00441B6F">
      <w:pPr>
        <w:pStyle w:val="Body"/>
        <w:spacing w:after="0"/>
        <w:rPr>
          <w:rFonts w:ascii="Arial" w:hAnsi="Arial" w:cs="Arial"/>
          <w:b/>
          <w:bCs/>
        </w:rPr>
      </w:pPr>
      <w:r w:rsidRPr="00954F83">
        <w:rPr>
          <w:rFonts w:ascii="Arial" w:hAnsi="Arial" w:cs="Arial"/>
          <w:b/>
          <w:bCs/>
        </w:rPr>
        <w:t>Table 2</w:t>
      </w:r>
      <w:r>
        <w:rPr>
          <w:rFonts w:ascii="Arial" w:hAnsi="Arial" w:cs="Arial"/>
          <w:b/>
          <w:bCs/>
        </w:rPr>
        <w:t>.</w:t>
      </w:r>
      <w:r w:rsidRPr="00954F83">
        <w:rPr>
          <w:rFonts w:ascii="Arial" w:hAnsi="Arial" w:cs="Arial"/>
          <w:b/>
          <w:bCs/>
        </w:rPr>
        <w:t xml:space="preserve"> Respondents’ </w:t>
      </w:r>
      <w:r w:rsidR="00D62EA0" w:rsidRPr="00954F83">
        <w:rPr>
          <w:rFonts w:ascii="Arial" w:hAnsi="Arial" w:cs="Arial"/>
          <w:b/>
          <w:bCs/>
        </w:rPr>
        <w:t>household, farm size, and ownership status</w:t>
      </w:r>
    </w:p>
    <w:p w14:paraId="3F10DF31" w14:textId="1614CD6F" w:rsidR="00927834" w:rsidRDefault="00927834" w:rsidP="00441B6F">
      <w:pPr>
        <w:autoSpaceDE w:val="0"/>
        <w:autoSpaceDN w:val="0"/>
        <w:adjustRightInd w:val="0"/>
        <w:jc w:val="both"/>
        <w:rPr>
          <w:rFonts w:ascii="Arial" w:hAnsi="Arial" w:cs="Arial"/>
          <w:b/>
          <w:bCs/>
          <w:sz w:val="22"/>
          <w:szCs w:val="22"/>
        </w:rPr>
      </w:pPr>
    </w:p>
    <w:tbl>
      <w:tblPr>
        <w:tblStyle w:val="PlainTable2"/>
        <w:tblW w:w="0" w:type="auto"/>
        <w:tblBorders>
          <w:top w:val="single" w:sz="4" w:space="0" w:color="auto"/>
          <w:bottom w:val="single" w:sz="4" w:space="0" w:color="auto"/>
        </w:tblBorders>
        <w:tblLayout w:type="fixed"/>
        <w:tblLook w:val="06A0" w:firstRow="1" w:lastRow="0" w:firstColumn="1" w:lastColumn="0" w:noHBand="1" w:noVBand="1"/>
      </w:tblPr>
      <w:tblGrid>
        <w:gridCol w:w="2802"/>
        <w:gridCol w:w="1984"/>
        <w:gridCol w:w="1701"/>
        <w:gridCol w:w="2410"/>
      </w:tblGrid>
      <w:tr w:rsidR="009B3390" w:rsidRPr="00EB37C0" w14:paraId="4225B5E9" w14:textId="77777777" w:rsidTr="00692D1E">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bottom w:val="single" w:sz="4" w:space="0" w:color="auto"/>
            </w:tcBorders>
          </w:tcPr>
          <w:p w14:paraId="3D83AD19" w14:textId="77777777" w:rsidR="009B3390" w:rsidRPr="00EB37C0" w:rsidRDefault="009B3390" w:rsidP="00290447">
            <w:pPr>
              <w:jc w:val="center"/>
              <w:rPr>
                <w:rFonts w:ascii="Arial" w:hAnsi="Arial" w:cs="Arial"/>
                <w:sz w:val="20"/>
                <w:szCs w:val="20"/>
              </w:rPr>
            </w:pPr>
            <w:r w:rsidRPr="00EB37C0">
              <w:rPr>
                <w:rFonts w:ascii="Arial" w:eastAsia="Calibri" w:hAnsi="Arial" w:cs="Arial"/>
                <w:color w:val="000000"/>
                <w:sz w:val="20"/>
                <w:szCs w:val="20"/>
              </w:rPr>
              <w:t>Socio-demography</w:t>
            </w:r>
          </w:p>
        </w:tc>
        <w:tc>
          <w:tcPr>
            <w:tcW w:w="1984" w:type="dxa"/>
            <w:tcBorders>
              <w:top w:val="single" w:sz="4" w:space="0" w:color="auto"/>
              <w:bottom w:val="single" w:sz="4" w:space="0" w:color="auto"/>
            </w:tcBorders>
          </w:tcPr>
          <w:p w14:paraId="7F946076" w14:textId="77777777" w:rsidR="009B3390" w:rsidRPr="00EB37C0" w:rsidRDefault="009B3390" w:rsidP="002904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eastAsia="Calibri" w:hAnsi="Arial" w:cs="Arial"/>
                <w:color w:val="000000"/>
                <w:sz w:val="20"/>
                <w:szCs w:val="20"/>
              </w:rPr>
              <w:t>Category</w:t>
            </w:r>
          </w:p>
        </w:tc>
        <w:tc>
          <w:tcPr>
            <w:tcW w:w="1701" w:type="dxa"/>
            <w:tcBorders>
              <w:top w:val="single" w:sz="4" w:space="0" w:color="auto"/>
              <w:bottom w:val="single" w:sz="4" w:space="0" w:color="auto"/>
            </w:tcBorders>
          </w:tcPr>
          <w:p w14:paraId="7A457A89" w14:textId="77777777" w:rsidR="009B3390" w:rsidRPr="00EB37C0" w:rsidRDefault="009B3390" w:rsidP="002904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eastAsia="Calibri" w:hAnsi="Arial" w:cs="Arial"/>
                <w:color w:val="000000"/>
                <w:sz w:val="20"/>
                <w:szCs w:val="20"/>
              </w:rPr>
              <w:t>Frequency</w:t>
            </w:r>
          </w:p>
        </w:tc>
        <w:tc>
          <w:tcPr>
            <w:tcW w:w="2410" w:type="dxa"/>
            <w:tcBorders>
              <w:top w:val="single" w:sz="4" w:space="0" w:color="auto"/>
              <w:bottom w:val="single" w:sz="4" w:space="0" w:color="auto"/>
            </w:tcBorders>
          </w:tcPr>
          <w:p w14:paraId="567ADAB8" w14:textId="77777777" w:rsidR="009B3390" w:rsidRPr="00EB37C0" w:rsidRDefault="009B3390" w:rsidP="00290447">
            <w:pPr>
              <w:tabs>
                <w:tab w:val="right" w:pos="2336"/>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eastAsia="Calibri" w:hAnsi="Arial" w:cs="Arial"/>
                <w:color w:val="000000"/>
                <w:sz w:val="20"/>
                <w:szCs w:val="20"/>
              </w:rPr>
              <w:t>Percentage (%)</w:t>
            </w:r>
          </w:p>
        </w:tc>
      </w:tr>
      <w:tr w:rsidR="009B3390" w:rsidRPr="00EB37C0" w14:paraId="71ED00F3" w14:textId="77777777" w:rsidTr="00692D1E">
        <w:trPr>
          <w:trHeight w:val="924"/>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tcBorders>
          </w:tcPr>
          <w:p w14:paraId="3BC08928" w14:textId="77777777" w:rsidR="009B3390" w:rsidRPr="00EB37C0" w:rsidRDefault="009B3390" w:rsidP="00290447">
            <w:pPr>
              <w:rPr>
                <w:rFonts w:ascii="Arial" w:eastAsia="MS Mincho" w:hAnsi="Arial" w:cs="Arial"/>
                <w:b w:val="0"/>
                <w:bCs w:val="0"/>
                <w:sz w:val="20"/>
                <w:szCs w:val="20"/>
              </w:rPr>
            </w:pPr>
          </w:p>
          <w:p w14:paraId="645A9161" w14:textId="77777777" w:rsidR="009B3390" w:rsidRPr="00EB37C0" w:rsidRDefault="009B3390" w:rsidP="00EF6137">
            <w:pPr>
              <w:ind w:firstLine="0"/>
              <w:rPr>
                <w:rFonts w:ascii="Arial" w:eastAsia="MS Mincho" w:hAnsi="Arial" w:cs="Arial"/>
                <w:b w:val="0"/>
                <w:bCs w:val="0"/>
                <w:sz w:val="20"/>
                <w:szCs w:val="20"/>
              </w:rPr>
            </w:pPr>
            <w:r w:rsidRPr="00EB37C0">
              <w:rPr>
                <w:rFonts w:ascii="Arial" w:eastAsia="MS Mincho" w:hAnsi="Arial" w:cs="Arial"/>
                <w:b w:val="0"/>
                <w:bCs w:val="0"/>
                <w:sz w:val="20"/>
                <w:szCs w:val="20"/>
              </w:rPr>
              <w:t>Household size (numbers)</w:t>
            </w:r>
          </w:p>
        </w:tc>
        <w:tc>
          <w:tcPr>
            <w:tcW w:w="1984" w:type="dxa"/>
            <w:tcBorders>
              <w:top w:val="single" w:sz="4" w:space="0" w:color="auto"/>
            </w:tcBorders>
          </w:tcPr>
          <w:p w14:paraId="01882BE1"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1</w:t>
            </w:r>
          </w:p>
          <w:p w14:paraId="600810F5"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2</w:t>
            </w:r>
          </w:p>
          <w:p w14:paraId="307F6604"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3</w:t>
            </w:r>
          </w:p>
          <w:p w14:paraId="227972AF"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4</w:t>
            </w:r>
          </w:p>
          <w:p w14:paraId="28316523"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5</w:t>
            </w:r>
          </w:p>
          <w:p w14:paraId="0A01C716"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6</w:t>
            </w:r>
          </w:p>
          <w:p w14:paraId="013F4288"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7</w:t>
            </w:r>
          </w:p>
          <w:p w14:paraId="72E7FCF9"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More than 7</w:t>
            </w:r>
          </w:p>
        </w:tc>
        <w:tc>
          <w:tcPr>
            <w:tcW w:w="1701" w:type="dxa"/>
            <w:tcBorders>
              <w:top w:val="single" w:sz="4" w:space="0" w:color="auto"/>
            </w:tcBorders>
          </w:tcPr>
          <w:p w14:paraId="48E0C4AF" w14:textId="77777777" w:rsidR="009B3390" w:rsidRPr="00EB37C0" w:rsidRDefault="009B3390" w:rsidP="00290447">
            <w:pPr>
              <w:tabs>
                <w:tab w:val="left" w:pos="209"/>
                <w:tab w:val="left" w:pos="56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2</w:t>
            </w:r>
          </w:p>
          <w:p w14:paraId="71E645E9" w14:textId="77777777" w:rsidR="009B3390" w:rsidRPr="00EB37C0" w:rsidRDefault="009B3390" w:rsidP="00290447">
            <w:pPr>
              <w:tabs>
                <w:tab w:val="left" w:pos="209"/>
                <w:tab w:val="left" w:pos="56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5</w:t>
            </w:r>
          </w:p>
          <w:p w14:paraId="2A1501C5" w14:textId="77777777" w:rsidR="009B3390" w:rsidRPr="00EB37C0" w:rsidRDefault="009B3390" w:rsidP="00290447">
            <w:pPr>
              <w:tabs>
                <w:tab w:val="left" w:pos="209"/>
                <w:tab w:val="left" w:pos="56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25</w:t>
            </w:r>
          </w:p>
          <w:p w14:paraId="02F19B4B" w14:textId="77777777" w:rsidR="009B3390" w:rsidRPr="00EB37C0" w:rsidRDefault="009B3390" w:rsidP="00290447">
            <w:pPr>
              <w:tabs>
                <w:tab w:val="left" w:pos="209"/>
                <w:tab w:val="left" w:pos="56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45</w:t>
            </w:r>
          </w:p>
          <w:p w14:paraId="09DF2C9E" w14:textId="77777777" w:rsidR="009B3390" w:rsidRPr="00EB37C0" w:rsidRDefault="009B3390" w:rsidP="00290447">
            <w:pPr>
              <w:tabs>
                <w:tab w:val="left" w:pos="209"/>
                <w:tab w:val="left" w:pos="56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83</w:t>
            </w:r>
          </w:p>
          <w:p w14:paraId="51BF6EDC" w14:textId="77777777" w:rsidR="009B3390" w:rsidRPr="00EB37C0" w:rsidRDefault="009B3390" w:rsidP="00290447">
            <w:pPr>
              <w:tabs>
                <w:tab w:val="left" w:pos="209"/>
                <w:tab w:val="left" w:pos="56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73</w:t>
            </w:r>
          </w:p>
          <w:p w14:paraId="380CC701" w14:textId="77777777" w:rsidR="009B3390" w:rsidRPr="00EB37C0" w:rsidRDefault="009B3390" w:rsidP="00290447">
            <w:pPr>
              <w:tabs>
                <w:tab w:val="left" w:pos="209"/>
                <w:tab w:val="left" w:pos="56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10</w:t>
            </w:r>
          </w:p>
          <w:p w14:paraId="5D3B3ACB" w14:textId="77777777" w:rsidR="009B3390" w:rsidRPr="00EB37C0" w:rsidRDefault="009B3390" w:rsidP="00290447">
            <w:pPr>
              <w:tabs>
                <w:tab w:val="left" w:pos="209"/>
                <w:tab w:val="left" w:pos="56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39</w:t>
            </w:r>
          </w:p>
        </w:tc>
        <w:tc>
          <w:tcPr>
            <w:tcW w:w="2410" w:type="dxa"/>
            <w:tcBorders>
              <w:top w:val="single" w:sz="4" w:space="0" w:color="auto"/>
            </w:tcBorders>
          </w:tcPr>
          <w:p w14:paraId="444B57E3"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1</w:t>
            </w:r>
          </w:p>
          <w:p w14:paraId="197766A6"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2</w:t>
            </w:r>
          </w:p>
          <w:p w14:paraId="14A9B736"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9</w:t>
            </w:r>
          </w:p>
          <w:p w14:paraId="4DE66257"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16</w:t>
            </w:r>
          </w:p>
          <w:p w14:paraId="1A5787A3"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29</w:t>
            </w:r>
          </w:p>
          <w:p w14:paraId="2AFB3E80"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26</w:t>
            </w:r>
          </w:p>
          <w:p w14:paraId="03997684"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4</w:t>
            </w:r>
          </w:p>
          <w:p w14:paraId="31645A67"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13</w:t>
            </w:r>
          </w:p>
        </w:tc>
      </w:tr>
      <w:tr w:rsidR="00A20E37" w:rsidRPr="00EB37C0" w14:paraId="637A19C3" w14:textId="77777777" w:rsidTr="00692D1E">
        <w:trPr>
          <w:trHeight w:val="558"/>
        </w:trPr>
        <w:tc>
          <w:tcPr>
            <w:cnfStyle w:val="001000000000" w:firstRow="0" w:lastRow="0" w:firstColumn="1" w:lastColumn="0" w:oddVBand="0" w:evenVBand="0" w:oddHBand="0" w:evenHBand="0" w:firstRowFirstColumn="0" w:firstRowLastColumn="0" w:lastRowFirstColumn="0" w:lastRowLastColumn="0"/>
            <w:tcW w:w="2802" w:type="dxa"/>
          </w:tcPr>
          <w:p w14:paraId="7841510C" w14:textId="77777777" w:rsidR="00A20E37" w:rsidRPr="00EB37C0" w:rsidRDefault="00A20E37" w:rsidP="00A20E37">
            <w:pPr>
              <w:ind w:firstLine="0"/>
              <w:rPr>
                <w:rFonts w:ascii="Arial" w:eastAsia="MS Mincho" w:hAnsi="Arial" w:cs="Arial"/>
                <w:sz w:val="20"/>
                <w:szCs w:val="20"/>
              </w:rPr>
            </w:pPr>
          </w:p>
          <w:p w14:paraId="38FF454F" w14:textId="6B495B52" w:rsidR="00A20E37" w:rsidRPr="00EB37C0" w:rsidRDefault="00A20E37" w:rsidP="00A20E37">
            <w:pPr>
              <w:ind w:firstLine="0"/>
              <w:rPr>
                <w:rFonts w:ascii="Arial" w:eastAsia="MS Mincho" w:hAnsi="Arial" w:cs="Arial"/>
                <w:sz w:val="20"/>
                <w:szCs w:val="20"/>
              </w:rPr>
            </w:pPr>
            <w:r w:rsidRPr="00EB37C0">
              <w:rPr>
                <w:rFonts w:ascii="Arial" w:eastAsia="MS Mincho" w:hAnsi="Arial" w:cs="Arial"/>
                <w:b w:val="0"/>
                <w:bCs w:val="0"/>
                <w:sz w:val="20"/>
                <w:szCs w:val="20"/>
              </w:rPr>
              <w:t>Farmhands or farm workers</w:t>
            </w:r>
          </w:p>
        </w:tc>
        <w:tc>
          <w:tcPr>
            <w:tcW w:w="1984" w:type="dxa"/>
          </w:tcPr>
          <w:p w14:paraId="1F2ADC4D" w14:textId="77777777" w:rsidR="00A20E37" w:rsidRPr="00EB37C0" w:rsidRDefault="00A20E37"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B37C0">
              <w:rPr>
                <w:rFonts w:ascii="Arial" w:eastAsia="Calibri" w:hAnsi="Arial" w:cs="Arial"/>
                <w:color w:val="000000"/>
                <w:sz w:val="20"/>
                <w:szCs w:val="20"/>
              </w:rPr>
              <w:t>None</w:t>
            </w:r>
          </w:p>
          <w:p w14:paraId="13717016" w14:textId="77777777" w:rsidR="00A20E37" w:rsidRPr="00EB37C0" w:rsidRDefault="00A20E37" w:rsidP="00A20E3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B37C0">
              <w:rPr>
                <w:rFonts w:ascii="Arial" w:eastAsia="Calibri" w:hAnsi="Arial" w:cs="Arial"/>
                <w:color w:val="000000"/>
                <w:sz w:val="20"/>
                <w:szCs w:val="20"/>
              </w:rPr>
              <w:t>1-5</w:t>
            </w:r>
          </w:p>
          <w:p w14:paraId="4D88EA22" w14:textId="77777777" w:rsidR="00A20E37" w:rsidRPr="00EB37C0" w:rsidRDefault="00A20E37" w:rsidP="00A20E3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B37C0">
              <w:rPr>
                <w:rFonts w:ascii="Arial" w:eastAsia="Calibri" w:hAnsi="Arial" w:cs="Arial"/>
                <w:color w:val="000000"/>
                <w:sz w:val="20"/>
                <w:szCs w:val="20"/>
              </w:rPr>
              <w:t>6-10</w:t>
            </w:r>
          </w:p>
          <w:p w14:paraId="3412BE05" w14:textId="6AB8EBCE" w:rsidR="00A20E37" w:rsidRPr="00EB37C0" w:rsidRDefault="00A20E37" w:rsidP="00A20E3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B37C0">
              <w:rPr>
                <w:rFonts w:ascii="Arial" w:eastAsia="Calibri" w:hAnsi="Arial" w:cs="Arial"/>
                <w:color w:val="000000"/>
                <w:sz w:val="20"/>
                <w:szCs w:val="20"/>
              </w:rPr>
              <w:t>11-15</w:t>
            </w:r>
          </w:p>
        </w:tc>
        <w:tc>
          <w:tcPr>
            <w:tcW w:w="1701" w:type="dxa"/>
          </w:tcPr>
          <w:p w14:paraId="5BDC6390" w14:textId="77777777" w:rsidR="00A20E37" w:rsidRPr="00EB37C0" w:rsidRDefault="00A20E37"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144</w:t>
            </w:r>
          </w:p>
          <w:p w14:paraId="0805885B" w14:textId="77777777" w:rsidR="00A20E37" w:rsidRPr="00EB37C0" w:rsidRDefault="00A20E37"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118</w:t>
            </w:r>
          </w:p>
          <w:p w14:paraId="23A0E69D" w14:textId="77777777" w:rsidR="00A20E37" w:rsidRPr="00EB37C0" w:rsidRDefault="00A20E37"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18</w:t>
            </w:r>
          </w:p>
          <w:p w14:paraId="4E1082E2" w14:textId="5EEB08B7" w:rsidR="00A20E37" w:rsidRPr="00EB37C0" w:rsidRDefault="00A20E37"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2</w:t>
            </w:r>
          </w:p>
        </w:tc>
        <w:tc>
          <w:tcPr>
            <w:tcW w:w="2410" w:type="dxa"/>
          </w:tcPr>
          <w:p w14:paraId="6E9C8147" w14:textId="77777777" w:rsidR="00A20E37" w:rsidRPr="00EB37C0" w:rsidRDefault="00EC2829"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51</w:t>
            </w:r>
          </w:p>
          <w:p w14:paraId="2776A428" w14:textId="77777777" w:rsidR="00EC2829" w:rsidRPr="00EB37C0" w:rsidRDefault="00EC2829"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42</w:t>
            </w:r>
          </w:p>
          <w:p w14:paraId="3B238068" w14:textId="1206A4F3" w:rsidR="00EC2829" w:rsidRPr="00EB37C0" w:rsidRDefault="00F65884"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w:t>
            </w:r>
            <w:r w:rsidR="00EC2829" w:rsidRPr="00EB37C0">
              <w:rPr>
                <w:rFonts w:ascii="Arial" w:hAnsi="Arial" w:cs="Arial"/>
                <w:sz w:val="20"/>
                <w:szCs w:val="20"/>
              </w:rPr>
              <w:t>6</w:t>
            </w:r>
          </w:p>
          <w:p w14:paraId="6A79F35D" w14:textId="23F2A88A" w:rsidR="00EC2829" w:rsidRPr="00EB37C0" w:rsidRDefault="00F65884"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w:t>
            </w:r>
            <w:r w:rsidR="00EC2829" w:rsidRPr="00EB37C0">
              <w:rPr>
                <w:rFonts w:ascii="Arial" w:hAnsi="Arial" w:cs="Arial"/>
                <w:sz w:val="20"/>
                <w:szCs w:val="20"/>
              </w:rPr>
              <w:t>1</w:t>
            </w:r>
          </w:p>
        </w:tc>
      </w:tr>
      <w:tr w:rsidR="009B3390" w:rsidRPr="00EB37C0" w14:paraId="0E3CFAA9" w14:textId="77777777" w:rsidTr="00692D1E">
        <w:trPr>
          <w:trHeight w:val="558"/>
        </w:trPr>
        <w:tc>
          <w:tcPr>
            <w:cnfStyle w:val="001000000000" w:firstRow="0" w:lastRow="0" w:firstColumn="1" w:lastColumn="0" w:oddVBand="0" w:evenVBand="0" w:oddHBand="0" w:evenHBand="0" w:firstRowFirstColumn="0" w:firstRowLastColumn="0" w:lastRowFirstColumn="0" w:lastRowLastColumn="0"/>
            <w:tcW w:w="2802" w:type="dxa"/>
          </w:tcPr>
          <w:p w14:paraId="14B75CC4" w14:textId="77777777" w:rsidR="009B3390" w:rsidRPr="00EB37C0" w:rsidRDefault="009B3390" w:rsidP="00EF6137">
            <w:pPr>
              <w:ind w:firstLine="0"/>
              <w:jc w:val="left"/>
              <w:rPr>
                <w:rFonts w:ascii="Arial" w:eastAsia="MS Mincho" w:hAnsi="Arial" w:cs="Arial"/>
                <w:sz w:val="20"/>
                <w:szCs w:val="20"/>
              </w:rPr>
            </w:pPr>
            <w:r w:rsidRPr="00EB37C0">
              <w:rPr>
                <w:rFonts w:ascii="Arial" w:eastAsia="MS Mincho" w:hAnsi="Arial" w:cs="Arial"/>
                <w:b w:val="0"/>
                <w:bCs w:val="0"/>
                <w:sz w:val="20"/>
                <w:szCs w:val="20"/>
              </w:rPr>
              <w:t>Farmland ownership status</w:t>
            </w:r>
          </w:p>
        </w:tc>
        <w:tc>
          <w:tcPr>
            <w:tcW w:w="1984" w:type="dxa"/>
          </w:tcPr>
          <w:p w14:paraId="596E995A"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B37C0">
              <w:rPr>
                <w:rFonts w:ascii="Arial" w:eastAsia="Calibri" w:hAnsi="Arial" w:cs="Arial"/>
                <w:color w:val="000000"/>
                <w:sz w:val="20"/>
                <w:szCs w:val="20"/>
              </w:rPr>
              <w:t>Owned</w:t>
            </w:r>
          </w:p>
          <w:p w14:paraId="02FDFCD9"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B37C0">
              <w:rPr>
                <w:rFonts w:ascii="Arial" w:eastAsia="Calibri" w:hAnsi="Arial" w:cs="Arial"/>
                <w:color w:val="000000"/>
                <w:sz w:val="20"/>
                <w:szCs w:val="20"/>
              </w:rPr>
              <w:t>Not owned</w:t>
            </w:r>
          </w:p>
        </w:tc>
        <w:tc>
          <w:tcPr>
            <w:tcW w:w="1701" w:type="dxa"/>
          </w:tcPr>
          <w:p w14:paraId="64D9BA91"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69</w:t>
            </w:r>
          </w:p>
          <w:p w14:paraId="0FD72D30" w14:textId="77777777" w:rsidR="009B3390" w:rsidRPr="00EB37C0" w:rsidRDefault="009B3390" w:rsidP="002904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213</w:t>
            </w:r>
          </w:p>
        </w:tc>
        <w:tc>
          <w:tcPr>
            <w:tcW w:w="2410" w:type="dxa"/>
          </w:tcPr>
          <w:p w14:paraId="4CED531E" w14:textId="77777777" w:rsidR="009B3390" w:rsidRPr="00EB37C0" w:rsidRDefault="009B3390"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24</w:t>
            </w:r>
          </w:p>
          <w:p w14:paraId="479A8715" w14:textId="1631C66F" w:rsidR="009B3390" w:rsidRPr="00EB37C0" w:rsidRDefault="009B3390"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76</w:t>
            </w:r>
          </w:p>
        </w:tc>
      </w:tr>
      <w:tr w:rsidR="009B3390" w:rsidRPr="00EB37C0" w14:paraId="76D6474E" w14:textId="77777777" w:rsidTr="00692D1E">
        <w:trPr>
          <w:trHeight w:val="543"/>
        </w:trPr>
        <w:tc>
          <w:tcPr>
            <w:cnfStyle w:val="001000000000" w:firstRow="0" w:lastRow="0" w:firstColumn="1" w:lastColumn="0" w:oddVBand="0" w:evenVBand="0" w:oddHBand="0" w:evenHBand="0" w:firstRowFirstColumn="0" w:firstRowLastColumn="0" w:lastRowFirstColumn="0" w:lastRowLastColumn="0"/>
            <w:tcW w:w="2802" w:type="dxa"/>
          </w:tcPr>
          <w:p w14:paraId="5468EA8D" w14:textId="77777777" w:rsidR="009B3390" w:rsidRPr="00EB37C0" w:rsidRDefault="009B3390" w:rsidP="00290447">
            <w:pPr>
              <w:jc w:val="center"/>
              <w:rPr>
                <w:rFonts w:ascii="Arial" w:eastAsia="MS Mincho" w:hAnsi="Arial" w:cs="Arial"/>
                <w:sz w:val="20"/>
                <w:szCs w:val="20"/>
              </w:rPr>
            </w:pPr>
          </w:p>
          <w:p w14:paraId="57FB1629" w14:textId="77777777" w:rsidR="009B3390" w:rsidRPr="00EB37C0" w:rsidRDefault="009B3390" w:rsidP="00290447">
            <w:pPr>
              <w:jc w:val="center"/>
              <w:rPr>
                <w:rFonts w:ascii="Arial" w:eastAsia="MS Mincho" w:hAnsi="Arial" w:cs="Arial"/>
                <w:sz w:val="20"/>
                <w:szCs w:val="20"/>
              </w:rPr>
            </w:pPr>
          </w:p>
          <w:p w14:paraId="2465A87D" w14:textId="77777777" w:rsidR="00EF6137" w:rsidRPr="00EB37C0" w:rsidRDefault="00EF6137" w:rsidP="00EF6137">
            <w:pPr>
              <w:ind w:firstLine="0"/>
              <w:jc w:val="left"/>
              <w:rPr>
                <w:rFonts w:ascii="Arial" w:eastAsia="MS Mincho" w:hAnsi="Arial" w:cs="Arial"/>
                <w:sz w:val="20"/>
                <w:szCs w:val="20"/>
              </w:rPr>
            </w:pPr>
          </w:p>
          <w:p w14:paraId="568E1529" w14:textId="115C7E4A" w:rsidR="009B3390" w:rsidRPr="00EB37C0" w:rsidRDefault="009B3390" w:rsidP="00EF6137">
            <w:pPr>
              <w:ind w:firstLine="0"/>
              <w:jc w:val="left"/>
              <w:rPr>
                <w:rFonts w:ascii="Arial" w:eastAsia="MS Mincho" w:hAnsi="Arial" w:cs="Arial"/>
                <w:b w:val="0"/>
                <w:bCs w:val="0"/>
                <w:sz w:val="20"/>
                <w:szCs w:val="20"/>
              </w:rPr>
            </w:pPr>
            <w:r w:rsidRPr="00EB37C0">
              <w:rPr>
                <w:rFonts w:ascii="Arial" w:eastAsia="MS Mincho" w:hAnsi="Arial" w:cs="Arial"/>
                <w:b w:val="0"/>
                <w:bCs w:val="0"/>
                <w:sz w:val="20"/>
                <w:szCs w:val="20"/>
              </w:rPr>
              <w:t>Total farm size (acreage)</w:t>
            </w:r>
          </w:p>
        </w:tc>
        <w:tc>
          <w:tcPr>
            <w:tcW w:w="1984" w:type="dxa"/>
          </w:tcPr>
          <w:p w14:paraId="23CE9FCF" w14:textId="07A48544" w:rsidR="009B3390" w:rsidRPr="00EB37C0" w:rsidRDefault="00692D1E" w:rsidP="00692D1E">
            <w:pPr>
              <w:ind w:firstLin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B37C0">
              <w:rPr>
                <w:rFonts w:ascii="Arial" w:eastAsia="Calibri" w:hAnsi="Arial" w:cs="Arial"/>
                <w:color w:val="000000"/>
                <w:sz w:val="20"/>
                <w:szCs w:val="20"/>
              </w:rPr>
              <w:t xml:space="preserve">        </w:t>
            </w:r>
            <w:r w:rsidR="009B3390" w:rsidRPr="00EB37C0">
              <w:rPr>
                <w:rFonts w:ascii="Arial" w:eastAsia="Calibri" w:hAnsi="Arial" w:cs="Arial"/>
                <w:color w:val="000000"/>
                <w:sz w:val="20"/>
                <w:szCs w:val="20"/>
              </w:rPr>
              <w:t>&lt; 5</w:t>
            </w:r>
          </w:p>
          <w:p w14:paraId="48D5A0D7" w14:textId="5DA9324C" w:rsidR="009B3390" w:rsidRPr="00EB37C0" w:rsidRDefault="009B3390" w:rsidP="00692D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eastAsia="Calibri" w:hAnsi="Arial" w:cs="Arial"/>
                <w:color w:val="000000"/>
                <w:sz w:val="20"/>
                <w:szCs w:val="20"/>
              </w:rPr>
              <w:t>5</w:t>
            </w:r>
            <w:r w:rsidRPr="00EB37C0">
              <w:rPr>
                <w:rFonts w:ascii="Arial" w:hAnsi="Arial" w:cs="Arial"/>
                <w:color w:val="000000"/>
                <w:sz w:val="20"/>
                <w:szCs w:val="20"/>
              </w:rPr>
              <w:t>-9</w:t>
            </w:r>
          </w:p>
          <w:p w14:paraId="46882D60" w14:textId="77777777" w:rsidR="009B3390" w:rsidRPr="00EB37C0" w:rsidRDefault="009B3390" w:rsidP="00692D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eastAsia="Calibri" w:hAnsi="Arial" w:cs="Arial"/>
                <w:color w:val="000000"/>
                <w:sz w:val="20"/>
                <w:szCs w:val="20"/>
              </w:rPr>
              <w:t>10</w:t>
            </w:r>
            <w:r w:rsidRPr="00EB37C0">
              <w:rPr>
                <w:rFonts w:ascii="Arial" w:hAnsi="Arial" w:cs="Arial"/>
                <w:color w:val="000000"/>
                <w:sz w:val="20"/>
                <w:szCs w:val="20"/>
              </w:rPr>
              <w:t>-14</w:t>
            </w:r>
          </w:p>
          <w:p w14:paraId="71418A79" w14:textId="77777777" w:rsidR="009B3390" w:rsidRPr="00EB37C0" w:rsidRDefault="009B3390" w:rsidP="00692D1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B37C0">
              <w:rPr>
                <w:rFonts w:ascii="Arial" w:hAnsi="Arial" w:cs="Arial"/>
                <w:color w:val="000000"/>
                <w:sz w:val="20"/>
                <w:szCs w:val="20"/>
              </w:rPr>
              <w:t>15-19</w:t>
            </w:r>
          </w:p>
          <w:p w14:paraId="7A6A328C" w14:textId="77777777" w:rsidR="009B3390" w:rsidRPr="00EB37C0" w:rsidRDefault="009B3390" w:rsidP="00692D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color w:val="000000"/>
                <w:sz w:val="20"/>
                <w:szCs w:val="20"/>
              </w:rPr>
              <w:t>20-24</w:t>
            </w:r>
          </w:p>
          <w:p w14:paraId="572228F5" w14:textId="77777777" w:rsidR="009B3390" w:rsidRPr="00EB37C0" w:rsidRDefault="009B3390" w:rsidP="00692D1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B37C0">
              <w:rPr>
                <w:rFonts w:ascii="Arial" w:eastAsia="Calibri" w:hAnsi="Arial" w:cs="Arial"/>
                <w:color w:val="000000"/>
                <w:sz w:val="20"/>
                <w:szCs w:val="20"/>
              </w:rPr>
              <w:t>More than 24</w:t>
            </w:r>
          </w:p>
        </w:tc>
        <w:tc>
          <w:tcPr>
            <w:tcW w:w="1701" w:type="dxa"/>
          </w:tcPr>
          <w:p w14:paraId="548A21D5" w14:textId="77777777" w:rsidR="009B3390" w:rsidRPr="00EB37C0" w:rsidRDefault="009B3390" w:rsidP="002904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134</w:t>
            </w:r>
          </w:p>
          <w:p w14:paraId="5240D89F"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58</w:t>
            </w:r>
          </w:p>
          <w:p w14:paraId="1CC3295A"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38</w:t>
            </w:r>
          </w:p>
          <w:p w14:paraId="06161028"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25</w:t>
            </w:r>
          </w:p>
          <w:p w14:paraId="17767353"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21</w:t>
            </w:r>
          </w:p>
          <w:p w14:paraId="3632F1BF" w14:textId="77777777" w:rsidR="009B3390" w:rsidRPr="00EB37C0" w:rsidRDefault="009B339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6</w:t>
            </w:r>
          </w:p>
        </w:tc>
        <w:tc>
          <w:tcPr>
            <w:tcW w:w="2410" w:type="dxa"/>
          </w:tcPr>
          <w:p w14:paraId="5B7107DF" w14:textId="77777777" w:rsidR="009B3390" w:rsidRPr="00EB37C0" w:rsidRDefault="009B3390"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48</w:t>
            </w:r>
          </w:p>
          <w:p w14:paraId="1A47EDE6" w14:textId="77777777" w:rsidR="009B3390" w:rsidRPr="00EB37C0" w:rsidRDefault="009B3390"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21</w:t>
            </w:r>
          </w:p>
          <w:p w14:paraId="547E5C02" w14:textId="77777777" w:rsidR="009B3390" w:rsidRPr="00EB37C0" w:rsidRDefault="009B3390"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13</w:t>
            </w:r>
          </w:p>
          <w:p w14:paraId="0E9C8F32" w14:textId="2F387AB2" w:rsidR="009B3390" w:rsidRPr="00EB37C0" w:rsidRDefault="00F65884"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w:t>
            </w:r>
            <w:r w:rsidR="009B3390" w:rsidRPr="00EB37C0">
              <w:rPr>
                <w:rFonts w:ascii="Arial" w:hAnsi="Arial" w:cs="Arial"/>
                <w:sz w:val="20"/>
                <w:szCs w:val="20"/>
              </w:rPr>
              <w:t>9</w:t>
            </w:r>
          </w:p>
          <w:p w14:paraId="272E3C2B" w14:textId="24C7B9DC" w:rsidR="009B3390" w:rsidRPr="00EB37C0" w:rsidRDefault="00F65884"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 xml:space="preserve"> </w:t>
            </w:r>
            <w:r w:rsidR="009B3390" w:rsidRPr="00EB37C0">
              <w:rPr>
                <w:rFonts w:ascii="Arial" w:hAnsi="Arial" w:cs="Arial"/>
                <w:sz w:val="20"/>
                <w:szCs w:val="20"/>
              </w:rPr>
              <w:t>7</w:t>
            </w:r>
          </w:p>
          <w:p w14:paraId="33C710A5" w14:textId="3A8F14F4" w:rsidR="009B3390" w:rsidRPr="00EB37C0" w:rsidRDefault="009B3390" w:rsidP="00F658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37C0">
              <w:rPr>
                <w:rFonts w:ascii="Arial" w:hAnsi="Arial" w:cs="Arial"/>
                <w:sz w:val="20"/>
                <w:szCs w:val="20"/>
              </w:rPr>
              <w:t>2</w:t>
            </w:r>
          </w:p>
        </w:tc>
      </w:tr>
    </w:tbl>
    <w:p w14:paraId="054F2402" w14:textId="77777777" w:rsidR="00927834" w:rsidRDefault="00927834" w:rsidP="00441B6F">
      <w:pPr>
        <w:autoSpaceDE w:val="0"/>
        <w:autoSpaceDN w:val="0"/>
        <w:adjustRightInd w:val="0"/>
        <w:jc w:val="both"/>
        <w:rPr>
          <w:rFonts w:ascii="Arial" w:hAnsi="Arial" w:cs="Arial"/>
          <w:b/>
          <w:bCs/>
          <w:szCs w:val="22"/>
        </w:rPr>
      </w:pPr>
    </w:p>
    <w:p w14:paraId="5B3180AC" w14:textId="40F198EB" w:rsidR="00863BD3" w:rsidRDefault="00483B4F" w:rsidP="00441B6F">
      <w:pPr>
        <w:pStyle w:val="Body"/>
        <w:spacing w:after="0"/>
        <w:rPr>
          <w:rFonts w:ascii="Arial" w:hAnsi="Arial" w:cs="Arial"/>
        </w:rPr>
      </w:pPr>
      <w:r w:rsidRPr="00483B4F">
        <w:rPr>
          <w:rFonts w:ascii="Arial" w:hAnsi="Arial" w:cs="Arial"/>
        </w:rPr>
        <w:t>(Source: Field Survey, 2024)</w:t>
      </w:r>
      <w:r>
        <w:rPr>
          <w:rFonts w:ascii="Arial" w:hAnsi="Arial" w:cs="Arial"/>
        </w:rPr>
        <w:t xml:space="preserve"> </w:t>
      </w:r>
    </w:p>
    <w:p w14:paraId="18175F39" w14:textId="77777777" w:rsidR="00644D9B" w:rsidRDefault="00644D9B" w:rsidP="00441B6F">
      <w:pPr>
        <w:pStyle w:val="Body"/>
        <w:spacing w:after="0"/>
        <w:rPr>
          <w:rFonts w:ascii="Arial" w:hAnsi="Arial" w:cs="Arial"/>
        </w:rPr>
      </w:pPr>
    </w:p>
    <w:p w14:paraId="5174BE62" w14:textId="022B6DA9" w:rsidR="00644D9B" w:rsidRDefault="003923C4" w:rsidP="00441B6F">
      <w:pPr>
        <w:pStyle w:val="Body"/>
        <w:spacing w:after="0"/>
        <w:rPr>
          <w:rFonts w:ascii="Arial" w:hAnsi="Arial" w:cs="Arial"/>
        </w:rPr>
      </w:pPr>
      <w:r w:rsidRPr="003923C4">
        <w:rPr>
          <w:rFonts w:ascii="Arial" w:hAnsi="Arial" w:cs="Arial"/>
        </w:rPr>
        <w:t>Respondents (68%) had farmed for nearly 24 years without irrigation (Table 3), relying entirely on rainfall and making them vulnerable to climate change. Their long-term presence in the area, however, suggests awareness of irrigation access constraints. In contrast, 32% of the farmers had used irrigation for nearly 24 years, likely benefiting from secure land tenure or irrigation support, allowing them to cultivate about 10 acres per season. These experienced irrigators might have a strong understanding of local conditions, water management, access issues, and strategies for coping with seasonal changes.</w:t>
      </w:r>
    </w:p>
    <w:p w14:paraId="73DDA889" w14:textId="77777777" w:rsidR="003923C4" w:rsidRDefault="003923C4" w:rsidP="00441B6F">
      <w:pPr>
        <w:pStyle w:val="Body"/>
        <w:spacing w:after="0"/>
        <w:rPr>
          <w:rFonts w:ascii="Arial" w:hAnsi="Arial" w:cs="Arial"/>
        </w:rPr>
      </w:pPr>
    </w:p>
    <w:p w14:paraId="645BE0CB" w14:textId="2E17EE10" w:rsidR="00644D9B" w:rsidRPr="00644D9B" w:rsidRDefault="00644D9B" w:rsidP="00441B6F">
      <w:pPr>
        <w:pStyle w:val="Body"/>
        <w:spacing w:after="0"/>
        <w:rPr>
          <w:rFonts w:ascii="Arial" w:hAnsi="Arial" w:cs="Arial"/>
          <w:b/>
          <w:bCs/>
        </w:rPr>
      </w:pPr>
      <w:r w:rsidRPr="00644D9B">
        <w:rPr>
          <w:rFonts w:ascii="Arial" w:hAnsi="Arial" w:cs="Arial"/>
          <w:b/>
          <w:bCs/>
        </w:rPr>
        <w:t>Table 3</w:t>
      </w:r>
      <w:r>
        <w:rPr>
          <w:rFonts w:ascii="Arial" w:hAnsi="Arial" w:cs="Arial"/>
          <w:b/>
          <w:bCs/>
        </w:rPr>
        <w:t>.</w:t>
      </w:r>
      <w:r w:rsidRPr="00644D9B">
        <w:rPr>
          <w:rFonts w:ascii="Arial" w:hAnsi="Arial" w:cs="Arial"/>
          <w:b/>
          <w:bCs/>
        </w:rPr>
        <w:t xml:space="preserve"> Respondents’ </w:t>
      </w:r>
      <w:r w:rsidR="00D62EA0" w:rsidRPr="00644D9B">
        <w:rPr>
          <w:rFonts w:ascii="Arial" w:hAnsi="Arial" w:cs="Arial"/>
          <w:b/>
          <w:bCs/>
        </w:rPr>
        <w:t>irrigation status, irrigation acreage, and experience</w:t>
      </w:r>
    </w:p>
    <w:p w14:paraId="4CDD9FD0" w14:textId="77777777" w:rsidR="00483B4F" w:rsidRDefault="00483B4F" w:rsidP="00441B6F">
      <w:pPr>
        <w:pStyle w:val="Body"/>
        <w:spacing w:after="0"/>
        <w:rPr>
          <w:rFonts w:ascii="Arial" w:hAnsi="Arial" w:cs="Arial"/>
        </w:rPr>
      </w:pPr>
    </w:p>
    <w:tbl>
      <w:tblPr>
        <w:tblStyle w:val="PlainTable2"/>
        <w:tblW w:w="0" w:type="auto"/>
        <w:tblBorders>
          <w:top w:val="single" w:sz="4" w:space="0" w:color="auto"/>
          <w:bottom w:val="single" w:sz="4" w:space="0" w:color="auto"/>
        </w:tblBorders>
        <w:tblLayout w:type="fixed"/>
        <w:tblLook w:val="06A0" w:firstRow="1" w:lastRow="0" w:firstColumn="1" w:lastColumn="0" w:noHBand="1" w:noVBand="1"/>
      </w:tblPr>
      <w:tblGrid>
        <w:gridCol w:w="2802"/>
        <w:gridCol w:w="1876"/>
        <w:gridCol w:w="1951"/>
        <w:gridCol w:w="2268"/>
      </w:tblGrid>
      <w:tr w:rsidR="00EB37C0" w:rsidRPr="00E23AED" w14:paraId="6EB02B38" w14:textId="77777777" w:rsidTr="00E23AED">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bottom w:val="single" w:sz="4" w:space="0" w:color="auto"/>
            </w:tcBorders>
          </w:tcPr>
          <w:p w14:paraId="2206CAF5" w14:textId="77777777" w:rsidR="00EB37C0" w:rsidRPr="00E23AED" w:rsidRDefault="00EB37C0" w:rsidP="00290447">
            <w:pPr>
              <w:jc w:val="center"/>
              <w:rPr>
                <w:rFonts w:ascii="Arial" w:hAnsi="Arial" w:cs="Arial"/>
                <w:sz w:val="20"/>
                <w:szCs w:val="20"/>
              </w:rPr>
            </w:pPr>
            <w:r w:rsidRPr="00E23AED">
              <w:rPr>
                <w:rFonts w:ascii="Arial" w:eastAsia="Calibri" w:hAnsi="Arial" w:cs="Arial"/>
                <w:color w:val="000000"/>
                <w:sz w:val="20"/>
                <w:szCs w:val="20"/>
              </w:rPr>
              <w:t>Socio-demography</w:t>
            </w:r>
          </w:p>
        </w:tc>
        <w:tc>
          <w:tcPr>
            <w:tcW w:w="1876" w:type="dxa"/>
            <w:tcBorders>
              <w:top w:val="single" w:sz="4" w:space="0" w:color="auto"/>
              <w:bottom w:val="single" w:sz="4" w:space="0" w:color="auto"/>
            </w:tcBorders>
          </w:tcPr>
          <w:p w14:paraId="79A4ED72" w14:textId="77777777" w:rsidR="00EB37C0" w:rsidRPr="00E23AED" w:rsidRDefault="00EB37C0" w:rsidP="002904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eastAsia="Calibri" w:hAnsi="Arial" w:cs="Arial"/>
                <w:color w:val="000000"/>
                <w:sz w:val="20"/>
                <w:szCs w:val="20"/>
              </w:rPr>
              <w:t>Category</w:t>
            </w:r>
          </w:p>
        </w:tc>
        <w:tc>
          <w:tcPr>
            <w:tcW w:w="1951" w:type="dxa"/>
            <w:tcBorders>
              <w:top w:val="single" w:sz="4" w:space="0" w:color="auto"/>
              <w:bottom w:val="single" w:sz="4" w:space="0" w:color="auto"/>
            </w:tcBorders>
          </w:tcPr>
          <w:p w14:paraId="47362374" w14:textId="77777777" w:rsidR="00EB37C0" w:rsidRPr="00E23AED" w:rsidRDefault="00EB37C0" w:rsidP="002904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eastAsia="Calibri" w:hAnsi="Arial" w:cs="Arial"/>
                <w:color w:val="000000"/>
                <w:sz w:val="20"/>
                <w:szCs w:val="20"/>
              </w:rPr>
              <w:t>Frequency</w:t>
            </w:r>
          </w:p>
        </w:tc>
        <w:tc>
          <w:tcPr>
            <w:tcW w:w="2268" w:type="dxa"/>
            <w:tcBorders>
              <w:top w:val="single" w:sz="4" w:space="0" w:color="auto"/>
              <w:bottom w:val="single" w:sz="4" w:space="0" w:color="auto"/>
            </w:tcBorders>
          </w:tcPr>
          <w:p w14:paraId="02FAE858" w14:textId="77777777" w:rsidR="00EB37C0" w:rsidRPr="00E23AED" w:rsidRDefault="00EB37C0" w:rsidP="00290447">
            <w:pPr>
              <w:tabs>
                <w:tab w:val="right" w:pos="2336"/>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eastAsia="Calibri" w:hAnsi="Arial" w:cs="Arial"/>
                <w:color w:val="000000"/>
                <w:sz w:val="20"/>
                <w:szCs w:val="20"/>
              </w:rPr>
              <w:t>Percentage (%)</w:t>
            </w:r>
          </w:p>
        </w:tc>
      </w:tr>
      <w:tr w:rsidR="00EB37C0" w:rsidRPr="00E23AED" w14:paraId="3152480D" w14:textId="77777777" w:rsidTr="00E23AED">
        <w:trPr>
          <w:trHeight w:val="543"/>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tcBorders>
          </w:tcPr>
          <w:p w14:paraId="7776E679" w14:textId="77777777" w:rsidR="00EB37C0" w:rsidRPr="00E23AED" w:rsidRDefault="00EB37C0" w:rsidP="00290447">
            <w:pPr>
              <w:jc w:val="center"/>
              <w:rPr>
                <w:rFonts w:ascii="Arial" w:eastAsia="MS Mincho" w:hAnsi="Arial" w:cs="Arial"/>
                <w:b w:val="0"/>
                <w:bCs w:val="0"/>
                <w:sz w:val="20"/>
                <w:szCs w:val="20"/>
              </w:rPr>
            </w:pPr>
            <w:r w:rsidRPr="00E23AED">
              <w:rPr>
                <w:rFonts w:ascii="Arial" w:eastAsia="MS Mincho" w:hAnsi="Arial" w:cs="Arial"/>
                <w:b w:val="0"/>
                <w:bCs w:val="0"/>
                <w:sz w:val="20"/>
                <w:szCs w:val="20"/>
              </w:rPr>
              <w:t>Irrigation</w:t>
            </w:r>
          </w:p>
        </w:tc>
        <w:tc>
          <w:tcPr>
            <w:tcW w:w="1876" w:type="dxa"/>
            <w:tcBorders>
              <w:top w:val="single" w:sz="4" w:space="0" w:color="auto"/>
            </w:tcBorders>
          </w:tcPr>
          <w:p w14:paraId="2774ACB7"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 xml:space="preserve">Irrigators </w:t>
            </w:r>
          </w:p>
          <w:p w14:paraId="4212AC97"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Non-irrigators</w:t>
            </w:r>
          </w:p>
        </w:tc>
        <w:tc>
          <w:tcPr>
            <w:tcW w:w="1951" w:type="dxa"/>
            <w:tcBorders>
              <w:top w:val="single" w:sz="4" w:space="0" w:color="auto"/>
            </w:tcBorders>
          </w:tcPr>
          <w:p w14:paraId="6173FAF7" w14:textId="77777777" w:rsidR="00EB37C0" w:rsidRPr="00E23AED" w:rsidRDefault="00EB37C0" w:rsidP="002904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 xml:space="preserve">         90</w:t>
            </w:r>
          </w:p>
          <w:p w14:paraId="396FB4F7" w14:textId="77777777" w:rsidR="00EB37C0" w:rsidRPr="00E23AED" w:rsidRDefault="00EB37C0" w:rsidP="002904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 xml:space="preserve">       192</w:t>
            </w:r>
          </w:p>
        </w:tc>
        <w:tc>
          <w:tcPr>
            <w:tcW w:w="2268" w:type="dxa"/>
            <w:tcBorders>
              <w:top w:val="single" w:sz="4" w:space="0" w:color="auto"/>
            </w:tcBorders>
          </w:tcPr>
          <w:p w14:paraId="0D7E3C67"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32</w:t>
            </w:r>
          </w:p>
          <w:p w14:paraId="3EDFF8A3"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68</w:t>
            </w:r>
          </w:p>
        </w:tc>
      </w:tr>
      <w:tr w:rsidR="00EB37C0" w:rsidRPr="00E23AED" w14:paraId="2148B7EF" w14:textId="77777777" w:rsidTr="00E23AED">
        <w:trPr>
          <w:trHeight w:val="543"/>
        </w:trPr>
        <w:tc>
          <w:tcPr>
            <w:cnfStyle w:val="001000000000" w:firstRow="0" w:lastRow="0" w:firstColumn="1" w:lastColumn="0" w:oddVBand="0" w:evenVBand="0" w:oddHBand="0" w:evenHBand="0" w:firstRowFirstColumn="0" w:firstRowLastColumn="0" w:lastRowFirstColumn="0" w:lastRowLastColumn="0"/>
            <w:tcW w:w="2802" w:type="dxa"/>
          </w:tcPr>
          <w:p w14:paraId="3CA2F576" w14:textId="77777777" w:rsidR="00EB37C0" w:rsidRPr="00E23AED" w:rsidRDefault="00EB37C0" w:rsidP="00290447">
            <w:pPr>
              <w:jc w:val="center"/>
              <w:rPr>
                <w:rFonts w:ascii="Arial" w:eastAsia="MS Mincho" w:hAnsi="Arial" w:cs="Arial"/>
                <w:b w:val="0"/>
                <w:bCs w:val="0"/>
                <w:sz w:val="20"/>
                <w:szCs w:val="20"/>
              </w:rPr>
            </w:pPr>
            <w:r w:rsidRPr="00E23AED">
              <w:rPr>
                <w:rFonts w:ascii="Arial" w:eastAsia="MS Mincho" w:hAnsi="Arial" w:cs="Arial"/>
                <w:b w:val="0"/>
                <w:bCs w:val="0"/>
                <w:sz w:val="20"/>
                <w:szCs w:val="20"/>
              </w:rPr>
              <w:t>Years irrigated</w:t>
            </w:r>
          </w:p>
        </w:tc>
        <w:tc>
          <w:tcPr>
            <w:tcW w:w="1876" w:type="dxa"/>
          </w:tcPr>
          <w:p w14:paraId="52AF886E"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 xml:space="preserve">  &lt; 5</w:t>
            </w:r>
          </w:p>
          <w:p w14:paraId="3311D8A0"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eastAsia="Calibri" w:hAnsi="Arial" w:cs="Arial"/>
                <w:color w:val="000000"/>
                <w:sz w:val="20"/>
                <w:szCs w:val="20"/>
              </w:rPr>
              <w:t>5</w:t>
            </w:r>
            <w:r w:rsidRPr="00E23AED">
              <w:rPr>
                <w:rFonts w:ascii="Arial" w:hAnsi="Arial" w:cs="Arial"/>
                <w:color w:val="000000"/>
                <w:sz w:val="20"/>
                <w:szCs w:val="20"/>
              </w:rPr>
              <w:t>-14</w:t>
            </w:r>
          </w:p>
          <w:p w14:paraId="4EB044D8"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23AED">
              <w:rPr>
                <w:rFonts w:ascii="Arial" w:eastAsia="Calibri" w:hAnsi="Arial" w:cs="Arial"/>
                <w:color w:val="000000"/>
                <w:sz w:val="20"/>
                <w:szCs w:val="20"/>
              </w:rPr>
              <w:t>15</w:t>
            </w:r>
            <w:r w:rsidRPr="00E23AED">
              <w:rPr>
                <w:rFonts w:ascii="Arial" w:hAnsi="Arial" w:cs="Arial"/>
                <w:color w:val="000000"/>
                <w:sz w:val="20"/>
                <w:szCs w:val="20"/>
              </w:rPr>
              <w:t>-24</w:t>
            </w:r>
          </w:p>
          <w:p w14:paraId="5B4E00B0"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eastAsia="Calibri" w:hAnsi="Arial" w:cs="Arial"/>
                <w:color w:val="000000"/>
                <w:sz w:val="20"/>
                <w:szCs w:val="20"/>
              </w:rPr>
              <w:lastRenderedPageBreak/>
              <w:t>Above 24</w:t>
            </w:r>
          </w:p>
        </w:tc>
        <w:tc>
          <w:tcPr>
            <w:tcW w:w="1951" w:type="dxa"/>
          </w:tcPr>
          <w:p w14:paraId="5A7D4131"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lastRenderedPageBreak/>
              <w:t xml:space="preserve">  7</w:t>
            </w:r>
          </w:p>
          <w:p w14:paraId="123AEC2A"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33</w:t>
            </w:r>
          </w:p>
          <w:p w14:paraId="7982C84B"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45</w:t>
            </w:r>
          </w:p>
          <w:p w14:paraId="294AD890"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lastRenderedPageBreak/>
              <w:t xml:space="preserve">  5</w:t>
            </w:r>
          </w:p>
        </w:tc>
        <w:tc>
          <w:tcPr>
            <w:tcW w:w="2268" w:type="dxa"/>
          </w:tcPr>
          <w:p w14:paraId="3762D4C5"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lastRenderedPageBreak/>
              <w:t xml:space="preserve">  8</w:t>
            </w:r>
          </w:p>
          <w:p w14:paraId="658955D7"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37</w:t>
            </w:r>
          </w:p>
          <w:p w14:paraId="60AF15DC"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50</w:t>
            </w:r>
          </w:p>
          <w:p w14:paraId="37E68352"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lastRenderedPageBreak/>
              <w:t xml:space="preserve">  5</w:t>
            </w:r>
          </w:p>
        </w:tc>
      </w:tr>
      <w:tr w:rsidR="00EB37C0" w:rsidRPr="00E23AED" w14:paraId="1FA07634" w14:textId="77777777" w:rsidTr="00E23AED">
        <w:trPr>
          <w:trHeight w:val="543"/>
        </w:trPr>
        <w:tc>
          <w:tcPr>
            <w:cnfStyle w:val="001000000000" w:firstRow="0" w:lastRow="0" w:firstColumn="1" w:lastColumn="0" w:oddVBand="0" w:evenVBand="0" w:oddHBand="0" w:evenHBand="0" w:firstRowFirstColumn="0" w:firstRowLastColumn="0" w:lastRowFirstColumn="0" w:lastRowLastColumn="0"/>
            <w:tcW w:w="2802" w:type="dxa"/>
          </w:tcPr>
          <w:p w14:paraId="7DC508D0" w14:textId="77777777" w:rsidR="00EB37C0" w:rsidRPr="00E23AED" w:rsidRDefault="00EB37C0" w:rsidP="00290447">
            <w:pPr>
              <w:jc w:val="center"/>
              <w:rPr>
                <w:rFonts w:ascii="Arial" w:eastAsia="MS Mincho" w:hAnsi="Arial" w:cs="Arial"/>
                <w:b w:val="0"/>
                <w:bCs w:val="0"/>
                <w:sz w:val="20"/>
                <w:szCs w:val="20"/>
              </w:rPr>
            </w:pPr>
            <w:r w:rsidRPr="00E23AED">
              <w:rPr>
                <w:rFonts w:ascii="Arial" w:eastAsia="MS Mincho" w:hAnsi="Arial" w:cs="Arial"/>
                <w:b w:val="0"/>
                <w:bCs w:val="0"/>
                <w:sz w:val="20"/>
                <w:szCs w:val="20"/>
              </w:rPr>
              <w:lastRenderedPageBreak/>
              <w:t>Irrigation acreage</w:t>
            </w:r>
          </w:p>
        </w:tc>
        <w:tc>
          <w:tcPr>
            <w:tcW w:w="1876" w:type="dxa"/>
          </w:tcPr>
          <w:p w14:paraId="0AF00E39"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 xml:space="preserve">    &lt; 5</w:t>
            </w:r>
          </w:p>
          <w:p w14:paraId="365E6185"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5 – 10</w:t>
            </w:r>
          </w:p>
          <w:p w14:paraId="5DD009B9"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11- 20</w:t>
            </w:r>
          </w:p>
        </w:tc>
        <w:tc>
          <w:tcPr>
            <w:tcW w:w="1951" w:type="dxa"/>
          </w:tcPr>
          <w:p w14:paraId="1111F951"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 xml:space="preserve">  0</w:t>
            </w:r>
          </w:p>
          <w:p w14:paraId="79965C9B"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53</w:t>
            </w:r>
          </w:p>
          <w:p w14:paraId="186BB1C1"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37</w:t>
            </w:r>
          </w:p>
        </w:tc>
        <w:tc>
          <w:tcPr>
            <w:tcW w:w="2268" w:type="dxa"/>
          </w:tcPr>
          <w:p w14:paraId="768EEDEF"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 xml:space="preserve">  0</w:t>
            </w:r>
          </w:p>
          <w:p w14:paraId="644AEC33"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3AED">
              <w:rPr>
                <w:rFonts w:ascii="Arial" w:hAnsi="Arial" w:cs="Arial"/>
                <w:sz w:val="20"/>
                <w:szCs w:val="20"/>
              </w:rPr>
              <w:t>59</w:t>
            </w:r>
          </w:p>
          <w:p w14:paraId="29543C77"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23AED">
              <w:rPr>
                <w:rFonts w:ascii="Arial" w:hAnsi="Arial" w:cs="Arial"/>
                <w:sz w:val="20"/>
                <w:szCs w:val="20"/>
              </w:rPr>
              <w:t>41</w:t>
            </w:r>
          </w:p>
        </w:tc>
      </w:tr>
      <w:tr w:rsidR="00EB37C0" w:rsidRPr="00E23AED" w14:paraId="07363B32" w14:textId="77777777" w:rsidTr="00E23AED">
        <w:trPr>
          <w:trHeight w:val="1382"/>
        </w:trPr>
        <w:tc>
          <w:tcPr>
            <w:cnfStyle w:val="001000000000" w:firstRow="0" w:lastRow="0" w:firstColumn="1" w:lastColumn="0" w:oddVBand="0" w:evenVBand="0" w:oddHBand="0" w:evenHBand="0" w:firstRowFirstColumn="0" w:firstRowLastColumn="0" w:lastRowFirstColumn="0" w:lastRowLastColumn="0"/>
            <w:tcW w:w="2802" w:type="dxa"/>
          </w:tcPr>
          <w:p w14:paraId="69E35B9D" w14:textId="77777777" w:rsidR="00EB37C0" w:rsidRPr="00E23AED" w:rsidRDefault="00EB37C0" w:rsidP="00290447">
            <w:pPr>
              <w:jc w:val="center"/>
              <w:rPr>
                <w:rFonts w:ascii="Arial" w:eastAsia="Calibri" w:hAnsi="Arial" w:cs="Arial"/>
                <w:color w:val="000000"/>
                <w:sz w:val="20"/>
                <w:szCs w:val="20"/>
              </w:rPr>
            </w:pPr>
          </w:p>
          <w:p w14:paraId="523E951D" w14:textId="77777777" w:rsidR="00EB37C0" w:rsidRPr="00E23AED" w:rsidRDefault="00EB37C0" w:rsidP="00290447">
            <w:pPr>
              <w:jc w:val="center"/>
              <w:rPr>
                <w:rFonts w:ascii="Arial" w:eastAsia="Calibri" w:hAnsi="Arial" w:cs="Arial"/>
                <w:b w:val="0"/>
                <w:bCs w:val="0"/>
                <w:color w:val="000000"/>
                <w:sz w:val="20"/>
                <w:szCs w:val="20"/>
              </w:rPr>
            </w:pPr>
          </w:p>
          <w:p w14:paraId="45EB55C6" w14:textId="77777777" w:rsidR="00EB37C0" w:rsidRPr="00E23AED" w:rsidRDefault="00EB37C0" w:rsidP="00290447">
            <w:pPr>
              <w:jc w:val="center"/>
              <w:rPr>
                <w:rFonts w:ascii="Arial" w:eastAsia="Calibri" w:hAnsi="Arial" w:cs="Arial"/>
                <w:b w:val="0"/>
                <w:bCs w:val="0"/>
                <w:color w:val="000000"/>
                <w:sz w:val="20"/>
                <w:szCs w:val="20"/>
              </w:rPr>
            </w:pPr>
            <w:r w:rsidRPr="00E23AED">
              <w:rPr>
                <w:rFonts w:ascii="Arial" w:eastAsia="Calibri" w:hAnsi="Arial" w:cs="Arial"/>
                <w:b w:val="0"/>
                <w:bCs w:val="0"/>
                <w:color w:val="000000"/>
                <w:sz w:val="20"/>
                <w:szCs w:val="20"/>
              </w:rPr>
              <w:t>Experience (Farming years)</w:t>
            </w:r>
          </w:p>
        </w:tc>
        <w:tc>
          <w:tcPr>
            <w:tcW w:w="1876" w:type="dxa"/>
          </w:tcPr>
          <w:p w14:paraId="70465768"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 xml:space="preserve">  &lt; 5</w:t>
            </w:r>
          </w:p>
          <w:p w14:paraId="55941FC0"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5-14</w:t>
            </w:r>
          </w:p>
          <w:p w14:paraId="2E92E30A"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15-24</w:t>
            </w:r>
          </w:p>
          <w:p w14:paraId="541CCBC0"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25-34</w:t>
            </w:r>
          </w:p>
          <w:p w14:paraId="6FC16BC6"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35-44</w:t>
            </w:r>
          </w:p>
          <w:p w14:paraId="6A5081C4"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Above 44</w:t>
            </w:r>
          </w:p>
        </w:tc>
        <w:tc>
          <w:tcPr>
            <w:tcW w:w="1951" w:type="dxa"/>
          </w:tcPr>
          <w:p w14:paraId="2D8F1931"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13</w:t>
            </w:r>
          </w:p>
          <w:p w14:paraId="65C6303C"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74</w:t>
            </w:r>
          </w:p>
          <w:p w14:paraId="7F3559EA"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89</w:t>
            </w:r>
          </w:p>
          <w:p w14:paraId="3CC76A55"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69</w:t>
            </w:r>
          </w:p>
          <w:p w14:paraId="4947102D"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33</w:t>
            </w:r>
          </w:p>
          <w:p w14:paraId="46446B42"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 xml:space="preserve"> 4</w:t>
            </w:r>
          </w:p>
        </w:tc>
        <w:tc>
          <w:tcPr>
            <w:tcW w:w="2268" w:type="dxa"/>
          </w:tcPr>
          <w:p w14:paraId="49D3A5CF"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 xml:space="preserve"> 5</w:t>
            </w:r>
          </w:p>
          <w:p w14:paraId="578CC014"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26</w:t>
            </w:r>
          </w:p>
          <w:p w14:paraId="4DB19CDA"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32</w:t>
            </w:r>
          </w:p>
          <w:p w14:paraId="31DB2C04"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24</w:t>
            </w:r>
          </w:p>
          <w:p w14:paraId="4034609B"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rPr>
            </w:pPr>
            <w:r w:rsidRPr="00E23AED">
              <w:rPr>
                <w:rFonts w:ascii="Arial" w:eastAsia="Calibri" w:hAnsi="Arial" w:cs="Arial"/>
                <w:color w:val="000000"/>
                <w:sz w:val="20"/>
                <w:szCs w:val="20"/>
              </w:rPr>
              <w:t>12</w:t>
            </w:r>
          </w:p>
          <w:p w14:paraId="346AFB44" w14:textId="77777777" w:rsidR="00EB37C0" w:rsidRPr="00E23AED" w:rsidRDefault="00EB37C0" w:rsidP="00290447">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highlight w:val="yellow"/>
              </w:rPr>
            </w:pPr>
            <w:r w:rsidRPr="00E23AED">
              <w:rPr>
                <w:rFonts w:ascii="Arial" w:eastAsia="Calibri" w:hAnsi="Arial" w:cs="Arial"/>
                <w:color w:val="000000"/>
                <w:sz w:val="20"/>
                <w:szCs w:val="20"/>
              </w:rPr>
              <w:t xml:space="preserve">  1</w:t>
            </w:r>
          </w:p>
        </w:tc>
      </w:tr>
    </w:tbl>
    <w:p w14:paraId="7C11DCC9" w14:textId="77777777" w:rsidR="00145D30" w:rsidRDefault="00145D30" w:rsidP="00441B6F">
      <w:pPr>
        <w:pStyle w:val="Body"/>
        <w:spacing w:after="0"/>
        <w:rPr>
          <w:rFonts w:ascii="Arial" w:hAnsi="Arial" w:cs="Arial"/>
        </w:rPr>
      </w:pPr>
    </w:p>
    <w:p w14:paraId="37F05EBD" w14:textId="15D6B29D" w:rsidR="00E053D0" w:rsidRDefault="00145D30" w:rsidP="00441B6F">
      <w:pPr>
        <w:pStyle w:val="Body"/>
        <w:spacing w:after="0"/>
        <w:rPr>
          <w:rFonts w:ascii="Arial" w:hAnsi="Arial" w:cs="Arial"/>
        </w:rPr>
      </w:pPr>
      <w:r w:rsidRPr="00145D30">
        <w:rPr>
          <w:rFonts w:ascii="Arial" w:hAnsi="Arial" w:cs="Arial"/>
        </w:rPr>
        <w:t>(Source: Field Survey, 2024)</w:t>
      </w:r>
    </w:p>
    <w:p w14:paraId="2DEF969E" w14:textId="77777777" w:rsidR="00872769" w:rsidRDefault="00872769" w:rsidP="00441B6F">
      <w:pPr>
        <w:pStyle w:val="Body"/>
        <w:spacing w:after="0"/>
        <w:rPr>
          <w:rFonts w:ascii="Arial" w:hAnsi="Arial" w:cs="Arial"/>
        </w:rPr>
      </w:pPr>
    </w:p>
    <w:p w14:paraId="6EB5111B" w14:textId="57FEB078" w:rsidR="00872769" w:rsidRPr="00872769" w:rsidRDefault="00872769" w:rsidP="00441B6F">
      <w:pPr>
        <w:pStyle w:val="Body"/>
        <w:spacing w:after="0"/>
        <w:rPr>
          <w:rFonts w:ascii="Arial" w:hAnsi="Arial" w:cs="Arial"/>
          <w:b/>
          <w:bCs/>
          <w:sz w:val="22"/>
          <w:szCs w:val="22"/>
        </w:rPr>
      </w:pPr>
      <w:r w:rsidRPr="00872769">
        <w:rPr>
          <w:rFonts w:ascii="Arial" w:hAnsi="Arial" w:cs="Arial"/>
          <w:b/>
          <w:bCs/>
          <w:sz w:val="22"/>
          <w:szCs w:val="22"/>
        </w:rPr>
        <w:t>3.</w:t>
      </w:r>
      <w:r w:rsidR="00B81EFD">
        <w:rPr>
          <w:rFonts w:ascii="Arial" w:hAnsi="Arial" w:cs="Arial"/>
          <w:b/>
          <w:bCs/>
          <w:sz w:val="22"/>
          <w:szCs w:val="22"/>
        </w:rPr>
        <w:t>2</w:t>
      </w:r>
      <w:r w:rsidRPr="00872769">
        <w:rPr>
          <w:rFonts w:ascii="Arial" w:hAnsi="Arial" w:cs="Arial"/>
          <w:b/>
          <w:bCs/>
          <w:sz w:val="22"/>
          <w:szCs w:val="22"/>
        </w:rPr>
        <w:t xml:space="preserve"> </w:t>
      </w:r>
      <w:r w:rsidR="00B90843" w:rsidRPr="00B90843">
        <w:rPr>
          <w:rFonts w:ascii="Arial" w:hAnsi="Arial" w:cs="Arial"/>
          <w:b/>
          <w:bCs/>
          <w:sz w:val="22"/>
          <w:szCs w:val="22"/>
        </w:rPr>
        <w:t xml:space="preserve">Farmers’ </w:t>
      </w:r>
      <w:r w:rsidR="0055266D" w:rsidRPr="00B90843">
        <w:rPr>
          <w:rFonts w:ascii="Arial" w:hAnsi="Arial" w:cs="Arial"/>
          <w:b/>
          <w:bCs/>
          <w:sz w:val="22"/>
          <w:szCs w:val="22"/>
        </w:rPr>
        <w:t xml:space="preserve">Perspectives </w:t>
      </w:r>
      <w:r w:rsidR="0055266D">
        <w:rPr>
          <w:rFonts w:ascii="Arial" w:hAnsi="Arial" w:cs="Arial"/>
          <w:b/>
          <w:bCs/>
          <w:sz w:val="22"/>
          <w:szCs w:val="22"/>
        </w:rPr>
        <w:t>a</w:t>
      </w:r>
      <w:r w:rsidR="0055266D" w:rsidRPr="00B90843">
        <w:rPr>
          <w:rFonts w:ascii="Arial" w:hAnsi="Arial" w:cs="Arial"/>
          <w:b/>
          <w:bCs/>
          <w:sz w:val="22"/>
          <w:szCs w:val="22"/>
        </w:rPr>
        <w:t xml:space="preserve">bout Challenges </w:t>
      </w:r>
      <w:r w:rsidR="0055266D">
        <w:rPr>
          <w:rFonts w:ascii="Arial" w:hAnsi="Arial" w:cs="Arial"/>
          <w:b/>
          <w:bCs/>
          <w:sz w:val="22"/>
          <w:szCs w:val="22"/>
        </w:rPr>
        <w:t>i</w:t>
      </w:r>
      <w:r w:rsidR="0055266D" w:rsidRPr="00B90843">
        <w:rPr>
          <w:rFonts w:ascii="Arial" w:hAnsi="Arial" w:cs="Arial"/>
          <w:b/>
          <w:bCs/>
          <w:sz w:val="22"/>
          <w:szCs w:val="22"/>
        </w:rPr>
        <w:t>n Irrigation Investment Decision</w:t>
      </w:r>
      <w:r w:rsidR="00A301B3">
        <w:rPr>
          <w:rFonts w:ascii="Arial" w:hAnsi="Arial" w:cs="Arial"/>
          <w:b/>
          <w:bCs/>
          <w:sz w:val="22"/>
          <w:szCs w:val="22"/>
        </w:rPr>
        <w:t xml:space="preserve"> </w:t>
      </w:r>
      <w:r w:rsidR="0055266D" w:rsidRPr="00B90843">
        <w:rPr>
          <w:rFonts w:ascii="Arial" w:hAnsi="Arial" w:cs="Arial"/>
          <w:b/>
          <w:bCs/>
          <w:sz w:val="22"/>
          <w:szCs w:val="22"/>
        </w:rPr>
        <w:t>Making</w:t>
      </w:r>
      <w:r w:rsidR="0055266D">
        <w:rPr>
          <w:rFonts w:ascii="Arial" w:hAnsi="Arial" w:cs="Arial"/>
          <w:b/>
          <w:bCs/>
          <w:sz w:val="22"/>
          <w:szCs w:val="22"/>
        </w:rPr>
        <w:t xml:space="preserve"> </w:t>
      </w:r>
    </w:p>
    <w:p w14:paraId="1B6F56B3" w14:textId="77777777" w:rsidR="00790ADA" w:rsidRDefault="00790ADA" w:rsidP="00441B6F">
      <w:pPr>
        <w:pStyle w:val="Body"/>
        <w:spacing w:after="0"/>
        <w:rPr>
          <w:rFonts w:ascii="Arial" w:hAnsi="Arial" w:cs="Arial"/>
        </w:rPr>
      </w:pPr>
    </w:p>
    <w:p w14:paraId="7530DA0F" w14:textId="69612B68" w:rsidR="00E1467D" w:rsidRDefault="00E1467D" w:rsidP="00CB7ACB">
      <w:pPr>
        <w:pStyle w:val="Body"/>
        <w:rPr>
          <w:rFonts w:ascii="Arial" w:hAnsi="Arial" w:cs="Arial"/>
        </w:rPr>
      </w:pPr>
      <w:r w:rsidRPr="00E1467D">
        <w:rPr>
          <w:rFonts w:ascii="Arial" w:hAnsi="Arial" w:cs="Arial"/>
        </w:rPr>
        <w:t>In a</w:t>
      </w:r>
      <w:r w:rsidR="00A747E1">
        <w:rPr>
          <w:rFonts w:ascii="Arial" w:hAnsi="Arial" w:cs="Arial"/>
        </w:rPr>
        <w:t xml:space="preserve"> </w:t>
      </w:r>
      <w:r w:rsidRPr="00E1467D">
        <w:rPr>
          <w:rFonts w:ascii="Arial" w:hAnsi="Arial" w:cs="Arial"/>
        </w:rPr>
        <w:t xml:space="preserve">Likert-scale question, we tried to understand why smallholder farmers decide to invest or not in irrigation infrastructure. The questions were designed to measure the extent to which respondents agreed with a statement about challenges in irrigation investment, with a rating of 1 indicating strong disagreement and a rating of 5 indicating strong agreement. We presented the following statements: (1) I do not have adequate financial capacity; (2) I do not have the technical skills; (3) the water source for irrigation is not close enough to my farms; (4) I do not have formal land documents; (5) no reservoirs are available in the area; (6) land conflicts deter me from investing in irrigation; (7) my landlord can reclaim the land; (8) I do not own the land; (9) different farmland locations deter irrigation investment; and (10) my farmland is too small.  </w:t>
      </w:r>
    </w:p>
    <w:p w14:paraId="41825440" w14:textId="6BE13FF0" w:rsidR="00E1467D" w:rsidRDefault="00E1467D" w:rsidP="00CB7ACB">
      <w:pPr>
        <w:pStyle w:val="Body"/>
        <w:rPr>
          <w:rFonts w:ascii="Arial" w:hAnsi="Arial" w:cs="Arial"/>
        </w:rPr>
      </w:pPr>
      <w:r w:rsidRPr="00E1467D">
        <w:rPr>
          <w:rFonts w:ascii="Arial" w:hAnsi="Arial" w:cs="Arial"/>
        </w:rPr>
        <w:t xml:space="preserve">We found that all respondents agreed that financial capacity was the most significant reason for their decision to invest in irrigation (Figure </w:t>
      </w:r>
      <w:r w:rsidR="004535C3">
        <w:rPr>
          <w:rFonts w:ascii="Arial" w:hAnsi="Arial" w:cs="Arial"/>
        </w:rPr>
        <w:t>2</w:t>
      </w:r>
      <w:r w:rsidRPr="00E1467D">
        <w:rPr>
          <w:rFonts w:ascii="Arial" w:hAnsi="Arial" w:cs="Arial"/>
        </w:rPr>
        <w:t xml:space="preserve">). It means that farmers might have recognized the high initial investment required to establish irrigation and the ongoing maintenance costs as costly. This result highlights the need for credit support for farmers to invest in irrigation. Durga et al. (2024) found that financial constraints influenced smallholder farmers’ irrigation investment decisions.  </w:t>
      </w:r>
      <w:r>
        <w:rPr>
          <w:rFonts w:ascii="Arial" w:hAnsi="Arial" w:cs="Arial"/>
        </w:rPr>
        <w:t xml:space="preserve"> </w:t>
      </w:r>
    </w:p>
    <w:p w14:paraId="7D2B222F" w14:textId="389206A8" w:rsidR="00E1467D" w:rsidRDefault="00E1467D" w:rsidP="00CB7ACB">
      <w:pPr>
        <w:pStyle w:val="Body"/>
        <w:rPr>
          <w:rFonts w:ascii="Arial" w:hAnsi="Arial" w:cs="Arial"/>
        </w:rPr>
      </w:pPr>
      <w:r w:rsidRPr="00E1467D">
        <w:rPr>
          <w:rFonts w:ascii="Arial" w:hAnsi="Arial" w:cs="Arial"/>
        </w:rPr>
        <w:t>Again, all respondents agreed that their decision not to invest in irrigation infrastructure stemmed from a lack of technical skills. This suggests that farmers might be hesitant to invest in such infrastructure and might struggle to operate and maintain irrigation systems effectively. Their unanimous recognition of technical skills as a barrier highlights a clear knowledge and capacity gap, emphasizing the need for targeted training and skill development programs. Similarly, Kanda and Lutta (2022) found in Kenya that farmers’ lack of technical skills and support services led to operational and maintenance challenges of irrigation infrastructure.</w:t>
      </w:r>
    </w:p>
    <w:p w14:paraId="64ABEEDC" w14:textId="136A7802" w:rsidR="00E1467D" w:rsidRDefault="00B94DE2" w:rsidP="00CB7ACB">
      <w:pPr>
        <w:pStyle w:val="Body"/>
        <w:rPr>
          <w:rFonts w:ascii="Arial" w:hAnsi="Arial" w:cs="Arial"/>
          <w:highlight w:val="yellow"/>
        </w:rPr>
      </w:pPr>
      <w:r w:rsidRPr="00B94DE2">
        <w:rPr>
          <w:rFonts w:ascii="Arial" w:hAnsi="Arial" w:cs="Arial"/>
        </w:rPr>
        <w:t>Nearly all respondents (99%) agreed that they were indecisive to invest in irrigation facilities due to land conflicts. Land conflicts might create uncertainty over who truly owns or controls the land. Because when farmers do not have clear legal rights to the land they cultivate, disputes could arise between individuals, families, communities, or even with government or private entities. In most cases, resolving conflicts might be time-consuming and costly legal process. This might discourage farmers from making long-term investments. Additionally, about 91% of respondents reported that the lack of formal land documentation limits their decision to invest. Without legally recognized ownership documents and relying mainly on verbal agreements, farmers might struggle to defend their land rights in court. They might risk losing their investments if landowners reclaim the land. This insecurity is reinforced by the fact that 87% of respondents agreed that landlords could reclaim farmland at any time, highlighting a power imbalance between tenants and landowners. Farmers’ constant fear of losing land might deter them from investing in irrigation. These findings show that land conflicts and the absence of formal land documentation might create financial risks and uncertainty regarding the decision to invest in irrigation. This emphasizes the importance of formal land documentation to protect farmers’ rights and encourage irrigation investment decisions.</w:t>
      </w:r>
    </w:p>
    <w:p w14:paraId="67806AC4" w14:textId="0D1A0A5B" w:rsidR="00E1467D" w:rsidRDefault="00B94DE2" w:rsidP="00CB7ACB">
      <w:pPr>
        <w:pStyle w:val="Body"/>
        <w:rPr>
          <w:rFonts w:ascii="Arial" w:hAnsi="Arial" w:cs="Arial"/>
          <w:highlight w:val="yellow"/>
        </w:rPr>
      </w:pPr>
      <w:r w:rsidRPr="00B94DE2">
        <w:rPr>
          <w:rFonts w:ascii="Arial" w:hAnsi="Arial" w:cs="Arial"/>
        </w:rPr>
        <w:t>In connection with the results of the socio-demographic factors, 7</w:t>
      </w:r>
      <w:r w:rsidR="00DD3753">
        <w:rPr>
          <w:rFonts w:ascii="Arial" w:hAnsi="Arial" w:cs="Arial"/>
        </w:rPr>
        <w:t>6</w:t>
      </w:r>
      <w:r w:rsidRPr="00B94DE2">
        <w:rPr>
          <w:rFonts w:ascii="Arial" w:hAnsi="Arial" w:cs="Arial"/>
        </w:rPr>
        <w:t xml:space="preserve">% of the respondents did not own the farmlands they cultivated, making them indecisive to invest in irrigation. This means that these farmers might have leased or rented land </w:t>
      </w:r>
      <w:r w:rsidRPr="00B94DE2">
        <w:rPr>
          <w:rFonts w:ascii="Arial" w:hAnsi="Arial" w:cs="Arial"/>
        </w:rPr>
        <w:lastRenderedPageBreak/>
        <w:t>from individuals, families, or community leaders. El Fartassi et al. (2025) found that farmers in Morocco were reluctant to make long-term investments in irrigation infrastructure because they lacked land ownership.</w:t>
      </w:r>
    </w:p>
    <w:p w14:paraId="06F2A511" w14:textId="14C3568C" w:rsidR="00E1467D" w:rsidRDefault="00B94DE2" w:rsidP="00CB7ACB">
      <w:pPr>
        <w:pStyle w:val="Body"/>
        <w:rPr>
          <w:rFonts w:ascii="Arial" w:hAnsi="Arial" w:cs="Arial"/>
          <w:highlight w:val="yellow"/>
        </w:rPr>
      </w:pPr>
      <w:r w:rsidRPr="00B94DE2">
        <w:rPr>
          <w:rFonts w:ascii="Arial" w:hAnsi="Arial" w:cs="Arial"/>
        </w:rPr>
        <w:t>Respondents (98%) agreed that they were indecisive to invest because there were no reservoirs in the area. It means that farmers’ productivity, yield, and income, among others, might continue to decline, highlighting the need for support for water storage infrastructure. This result corroborates Oyebode’s (2024) findings on irrigation infrastructure provision for farmers in Nigeria.</w:t>
      </w:r>
    </w:p>
    <w:p w14:paraId="037774F8" w14:textId="3530A038" w:rsidR="00E1467D" w:rsidRDefault="00B94DE2" w:rsidP="00CB7ACB">
      <w:pPr>
        <w:pStyle w:val="Body"/>
        <w:rPr>
          <w:rFonts w:ascii="Arial" w:hAnsi="Arial" w:cs="Arial"/>
          <w:highlight w:val="yellow"/>
        </w:rPr>
      </w:pPr>
      <w:r w:rsidRPr="00B94DE2">
        <w:rPr>
          <w:rFonts w:ascii="Arial" w:hAnsi="Arial" w:cs="Arial"/>
        </w:rPr>
        <w:t>About 89% of respondents were indecisive to invest in irrigation because they managed farmlands in different locations, some of which were far from water sources. This might increase the cost of installing and maintaining irrigation systems, highlighting the need for careful site selection. Similarly, 88% of respondents said that water sources were not close to their farms, forcing them to rely more on rainfall. This emphasizes the importance of government support in developing irrigation canals. A similar challenge was reported by Moline et al. (2023) in southwestern Zimbabwe, where distant water sources limited farmers’ decision to invest in irrigation.</w:t>
      </w:r>
    </w:p>
    <w:p w14:paraId="4806D1B3" w14:textId="38E54335" w:rsidR="00B94DE2" w:rsidRDefault="002F2730" w:rsidP="00CB7ACB">
      <w:pPr>
        <w:pStyle w:val="Body"/>
        <w:rPr>
          <w:rFonts w:ascii="Arial" w:hAnsi="Arial" w:cs="Arial"/>
          <w:highlight w:val="yellow"/>
        </w:rPr>
      </w:pPr>
      <w:r w:rsidRPr="002F2730">
        <w:rPr>
          <w:rFonts w:ascii="Arial" w:hAnsi="Arial" w:cs="Arial"/>
        </w:rPr>
        <w:t>Finally, respondents (76%) agreed that their farm sizes were too small to justify investing in irrigation facilities. The small area implies insufficient irrigation returns to make up for the cost. The high initial costs of installation, coupled with limited space might disrupt existing cropping or other critical farm activities, making it difficult to invest in irrigation infrastructure. Because the cultivated area is small, the total water requirement might be limited, making it feasible for farmers to irrigate manually using simple tools such as watering cans, buckets, or small pumps. This might reduce the perceived need for more advanced systems like drip or sprinkler irrigation. Small farm size could also mean a lower investment amount for irrigation infrastructure. However, small farms might generate limited income, leaving farmers unable to invest and maintain costly irrigation systems, further disincentivizing farmers to invest in irrigation. Li et al. (2024) similarly found that the high upfront costs of developing irrigation infrastructure hindered farmers’ investment decisions.</w:t>
      </w:r>
      <w:r w:rsidR="009D60A4">
        <w:rPr>
          <w:rFonts w:ascii="Arial" w:hAnsi="Arial" w:cs="Arial"/>
        </w:rPr>
        <w:t xml:space="preserve"> </w:t>
      </w:r>
    </w:p>
    <w:p w14:paraId="039006C3" w14:textId="04AEA870" w:rsidR="00B94DE2" w:rsidRDefault="007D1916" w:rsidP="00CB7ACB">
      <w:pPr>
        <w:pStyle w:val="Body"/>
        <w:rPr>
          <w:rFonts w:ascii="Arial" w:hAnsi="Arial" w:cs="Arial"/>
          <w:highlight w:val="yellow"/>
        </w:rPr>
      </w:pPr>
      <w:r w:rsidRPr="00B66E40">
        <w:rPr>
          <w:rFonts w:ascii="Arial" w:hAnsi="Arial" w:cs="Arial"/>
          <w:noProof/>
          <w:sz w:val="18"/>
          <w:szCs w:val="18"/>
          <w:lang w:val="en-IN" w:eastAsia="en-IN"/>
        </w:rPr>
        <w:drawing>
          <wp:inline distT="0" distB="0" distL="0" distR="0" wp14:anchorId="39C9C835" wp14:editId="0D125E91">
            <wp:extent cx="5760085" cy="3291205"/>
            <wp:effectExtent l="0" t="0" r="0" b="0"/>
            <wp:docPr id="1446305707" name="Chart 1">
              <a:extLst xmlns:a="http://schemas.openxmlformats.org/drawingml/2006/main">
                <a:ext uri="{FF2B5EF4-FFF2-40B4-BE49-F238E27FC236}">
                  <a16:creationId xmlns:a16="http://schemas.microsoft.com/office/drawing/2014/main" id="{7CFFA2F1-862E-2C90-6DA2-61454FA60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Arial" w:hAnsi="Arial" w:cs="Arial"/>
          <w:highlight w:val="yellow"/>
        </w:rPr>
        <w:t xml:space="preserve"> </w:t>
      </w:r>
    </w:p>
    <w:p w14:paraId="5718FECF" w14:textId="668E4DD4" w:rsidR="007D1916" w:rsidRPr="007D1916" w:rsidRDefault="007D1916" w:rsidP="007D1916">
      <w:pPr>
        <w:pStyle w:val="Body"/>
        <w:rPr>
          <w:rFonts w:ascii="Arial" w:hAnsi="Arial" w:cs="Arial"/>
        </w:rPr>
      </w:pPr>
      <w:r w:rsidRPr="007D1916">
        <w:rPr>
          <w:rFonts w:ascii="Arial" w:hAnsi="Arial" w:cs="Arial"/>
        </w:rPr>
        <w:t xml:space="preserve">Fig. </w:t>
      </w:r>
      <w:r w:rsidR="00796D52">
        <w:rPr>
          <w:rFonts w:ascii="Arial" w:hAnsi="Arial" w:cs="Arial"/>
        </w:rPr>
        <w:t>2</w:t>
      </w:r>
      <w:r w:rsidRPr="007D1916">
        <w:rPr>
          <w:rFonts w:ascii="Arial" w:hAnsi="Arial" w:cs="Arial"/>
        </w:rPr>
        <w:t>. Smallholder farmers</w:t>
      </w:r>
      <w:r w:rsidR="00796D52">
        <w:rPr>
          <w:rFonts w:ascii="Arial" w:hAnsi="Arial" w:cs="Arial"/>
        </w:rPr>
        <w:t>’</w:t>
      </w:r>
      <w:r w:rsidRPr="007D1916">
        <w:rPr>
          <w:rFonts w:ascii="Arial" w:hAnsi="Arial" w:cs="Arial"/>
        </w:rPr>
        <w:t xml:space="preserve"> </w:t>
      </w:r>
      <w:r w:rsidR="00796D52">
        <w:rPr>
          <w:rFonts w:ascii="Arial" w:hAnsi="Arial" w:cs="Arial"/>
        </w:rPr>
        <w:t xml:space="preserve">opinion about challenges </w:t>
      </w:r>
      <w:r w:rsidRPr="007D1916">
        <w:rPr>
          <w:rFonts w:ascii="Arial" w:hAnsi="Arial" w:cs="Arial"/>
        </w:rPr>
        <w:t>invest</w:t>
      </w:r>
      <w:r w:rsidR="00796D52">
        <w:rPr>
          <w:rFonts w:ascii="Arial" w:hAnsi="Arial" w:cs="Arial"/>
        </w:rPr>
        <w:t>ing</w:t>
      </w:r>
      <w:r w:rsidRPr="007D1916">
        <w:rPr>
          <w:rFonts w:ascii="Arial" w:hAnsi="Arial" w:cs="Arial"/>
        </w:rPr>
        <w:t xml:space="preserve"> in irrigation </w:t>
      </w:r>
    </w:p>
    <w:p w14:paraId="67E27560" w14:textId="582640CF" w:rsidR="007D1916" w:rsidRDefault="007D1916" w:rsidP="007D1916">
      <w:pPr>
        <w:pStyle w:val="Body"/>
        <w:rPr>
          <w:rFonts w:ascii="Arial" w:hAnsi="Arial" w:cs="Arial"/>
          <w:highlight w:val="yellow"/>
        </w:rPr>
      </w:pPr>
      <w:r w:rsidRPr="007D1916">
        <w:rPr>
          <w:rFonts w:ascii="Arial" w:hAnsi="Arial" w:cs="Arial"/>
        </w:rPr>
        <w:t>(Source: Field Survey, 2024)</w:t>
      </w:r>
    </w:p>
    <w:p w14:paraId="26AA4224" w14:textId="58146BA9" w:rsidR="007D1916" w:rsidRPr="0001792D" w:rsidRDefault="00DB2550" w:rsidP="00CB7ACB">
      <w:pPr>
        <w:pStyle w:val="Body"/>
        <w:rPr>
          <w:rFonts w:ascii="Arial" w:hAnsi="Arial" w:cs="Arial"/>
          <w:b/>
          <w:bCs/>
          <w:sz w:val="22"/>
          <w:szCs w:val="22"/>
          <w:highlight w:val="yellow"/>
        </w:rPr>
      </w:pPr>
      <w:r>
        <w:rPr>
          <w:rFonts w:ascii="Arial" w:hAnsi="Arial" w:cs="Arial"/>
          <w:b/>
          <w:bCs/>
          <w:sz w:val="22"/>
          <w:szCs w:val="22"/>
        </w:rPr>
        <w:t xml:space="preserve">3.3 </w:t>
      </w:r>
      <w:r w:rsidR="0001792D" w:rsidRPr="0001792D">
        <w:rPr>
          <w:rFonts w:ascii="Arial" w:hAnsi="Arial" w:cs="Arial"/>
          <w:b/>
          <w:bCs/>
          <w:sz w:val="22"/>
          <w:szCs w:val="22"/>
        </w:rPr>
        <w:t>Farmland Ownership and Farmers’ Investment Decision in Irrigation</w:t>
      </w:r>
    </w:p>
    <w:p w14:paraId="73844248" w14:textId="5046B3CA" w:rsidR="00C9229D" w:rsidRDefault="00AB4F1A" w:rsidP="00CB7ACB">
      <w:pPr>
        <w:pStyle w:val="Body"/>
        <w:rPr>
          <w:rFonts w:ascii="Arial" w:hAnsi="Arial" w:cs="Arial"/>
          <w:highlight w:val="yellow"/>
        </w:rPr>
      </w:pPr>
      <w:r w:rsidRPr="00AB4F1A">
        <w:rPr>
          <w:rFonts w:ascii="Arial" w:hAnsi="Arial" w:cs="Arial"/>
        </w:rPr>
        <w:t>Respondents were asked whether they would invest in irrigation infrastructure if they owned farmland. Most (86%) agreed, indicating financial capacity and willingness to invest</w:t>
      </w:r>
      <w:r w:rsidR="00290AA1">
        <w:rPr>
          <w:rFonts w:ascii="Arial" w:hAnsi="Arial" w:cs="Arial"/>
        </w:rPr>
        <w:t xml:space="preserve"> (Figure 3)</w:t>
      </w:r>
      <w:r w:rsidRPr="00AB4F1A">
        <w:rPr>
          <w:rFonts w:ascii="Arial" w:hAnsi="Arial" w:cs="Arial"/>
        </w:rPr>
        <w:t>. However, without land ownership farmers might hesitate to invest due to the risk of landlords reclaiming the land. This highlights the importance of land tenure security in encouraging irrigation investment. This finding aligns with Levidow et al. (2014), who found that farmers without land ownership faced greater challenges in investing in irrigation technology.</w:t>
      </w:r>
    </w:p>
    <w:p w14:paraId="42CE742D" w14:textId="484D0529" w:rsidR="00AB4F1A" w:rsidRDefault="00AB4F1A" w:rsidP="00CB7ACB">
      <w:pPr>
        <w:pStyle w:val="Body"/>
        <w:rPr>
          <w:rFonts w:ascii="Arial" w:hAnsi="Arial" w:cs="Arial"/>
          <w:highlight w:val="yellow"/>
        </w:rPr>
      </w:pPr>
      <w:r w:rsidRPr="00AB4F1A">
        <w:rPr>
          <w:rFonts w:ascii="Arial" w:hAnsi="Arial" w:cs="Arial"/>
        </w:rPr>
        <w:lastRenderedPageBreak/>
        <w:t>In contrast, 14% of respondents disagreed, citing insufficient technical know-how to install irrigation equipment. This indicates that even with financial resources, farmers might need technical support to implement irrigation. Lefore et al. (2019) similarly found that farmers with financial resources often paid for irrigation installation services due to a lack of technical expertise.</w:t>
      </w:r>
      <w:r>
        <w:rPr>
          <w:rFonts w:ascii="Arial" w:hAnsi="Arial" w:cs="Arial"/>
        </w:rPr>
        <w:t xml:space="preserve"> </w:t>
      </w:r>
      <w:r w:rsidR="00BA5521">
        <w:rPr>
          <w:rFonts w:ascii="Arial" w:hAnsi="Arial" w:cs="Arial"/>
        </w:rPr>
        <w:t xml:space="preserve"> </w:t>
      </w:r>
    </w:p>
    <w:p w14:paraId="17FD098B" w14:textId="622060DA" w:rsidR="00585FD4" w:rsidRDefault="00BA5521" w:rsidP="00CB7ACB">
      <w:pPr>
        <w:pStyle w:val="Body"/>
        <w:rPr>
          <w:noProof/>
        </w:rPr>
      </w:pPr>
      <w:r w:rsidRPr="006A4E1F">
        <w:rPr>
          <w:rFonts w:ascii="Arial" w:hAnsi="Arial" w:cs="Arial"/>
          <w:noProof/>
          <w:sz w:val="16"/>
          <w:szCs w:val="16"/>
          <w:lang w:val="en-IN" w:eastAsia="en-IN"/>
        </w:rPr>
        <w:drawing>
          <wp:inline distT="0" distB="0" distL="0" distR="0" wp14:anchorId="0F3085C9" wp14:editId="3CFB4B77">
            <wp:extent cx="4318427" cy="2781620"/>
            <wp:effectExtent l="0" t="0" r="0" b="0"/>
            <wp:docPr id="1894307914" name="Chart 1">
              <a:extLst xmlns:a="http://schemas.openxmlformats.org/drawingml/2006/main">
                <a:ext uri="{FF2B5EF4-FFF2-40B4-BE49-F238E27FC236}">
                  <a16:creationId xmlns:a16="http://schemas.microsoft.com/office/drawing/2014/main" id="{C53D24CE-EE7A-D7AE-1729-0E11CA114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D7D5B2" w14:textId="117FE20C" w:rsidR="0078330C" w:rsidRPr="00CB7ACB" w:rsidRDefault="004E2080" w:rsidP="00CB7ACB">
      <w:pPr>
        <w:pStyle w:val="Body"/>
        <w:rPr>
          <w:rFonts w:ascii="Arial" w:hAnsi="Arial" w:cs="Arial"/>
        </w:rPr>
      </w:pPr>
      <w:r>
        <w:rPr>
          <w:rFonts w:ascii="Arial" w:hAnsi="Arial" w:cs="Arial"/>
        </w:rPr>
        <w:t xml:space="preserve">Fig. </w:t>
      </w:r>
      <w:r w:rsidR="00960D2E">
        <w:rPr>
          <w:rFonts w:ascii="Arial" w:hAnsi="Arial" w:cs="Arial"/>
        </w:rPr>
        <w:t>3</w:t>
      </w:r>
      <w:r>
        <w:rPr>
          <w:rFonts w:ascii="Arial" w:hAnsi="Arial" w:cs="Arial"/>
        </w:rPr>
        <w:t xml:space="preserve">. </w:t>
      </w:r>
      <w:r w:rsidR="00B65A85" w:rsidRPr="00B65A85">
        <w:rPr>
          <w:rFonts w:ascii="Arial" w:hAnsi="Arial" w:cs="Arial"/>
        </w:rPr>
        <w:t>Farmland ownership and Irrigation investment decision</w:t>
      </w:r>
      <w:r w:rsidR="00747077">
        <w:rPr>
          <w:rFonts w:ascii="Arial" w:hAnsi="Arial" w:cs="Arial"/>
        </w:rPr>
        <w:t xml:space="preserve"> among farmers</w:t>
      </w:r>
    </w:p>
    <w:p w14:paraId="74F58D65" w14:textId="169EB0D7" w:rsidR="00CB7ACB" w:rsidRPr="00CB7ACB" w:rsidRDefault="00583E6A" w:rsidP="00CB7ACB">
      <w:pPr>
        <w:pStyle w:val="Body"/>
        <w:rPr>
          <w:rFonts w:ascii="Arial" w:hAnsi="Arial" w:cs="Arial"/>
        </w:rPr>
      </w:pPr>
      <w:r w:rsidRPr="00583E6A">
        <w:rPr>
          <w:rFonts w:ascii="Arial" w:hAnsi="Arial" w:cs="Arial"/>
        </w:rPr>
        <w:t>In a separate Likert-scale question</w:t>
      </w:r>
      <w:r>
        <w:rPr>
          <w:rFonts w:ascii="Arial" w:hAnsi="Arial" w:cs="Arial"/>
        </w:rPr>
        <w:t>,</w:t>
      </w:r>
      <w:r w:rsidRPr="00583E6A">
        <w:rPr>
          <w:rFonts w:ascii="Arial" w:hAnsi="Arial" w:cs="Arial"/>
        </w:rPr>
        <w:t xml:space="preserve"> </w:t>
      </w:r>
      <w:r>
        <w:rPr>
          <w:rFonts w:ascii="Arial" w:hAnsi="Arial" w:cs="Arial"/>
        </w:rPr>
        <w:t>o</w:t>
      </w:r>
      <w:r w:rsidR="00CB7ACB" w:rsidRPr="00CB7ACB">
        <w:rPr>
          <w:rFonts w:ascii="Arial" w:hAnsi="Arial" w:cs="Arial"/>
        </w:rPr>
        <w:t xml:space="preserve">ur survey attempted to rate respondents’ level of agreement on how their farmland ownership status affected their investment decisions (Figure </w:t>
      </w:r>
      <w:r w:rsidR="00D63CF3">
        <w:rPr>
          <w:rFonts w:ascii="Arial" w:hAnsi="Arial" w:cs="Arial"/>
        </w:rPr>
        <w:t>4</w:t>
      </w:r>
      <w:r w:rsidR="00CB7ACB" w:rsidRPr="00CB7ACB">
        <w:rPr>
          <w:rFonts w:ascii="Arial" w:hAnsi="Arial" w:cs="Arial"/>
        </w:rPr>
        <w:t xml:space="preserve">). From our preliminary field observation, we identified the following factors: (1) access to credit; (2) security to invest; (3) encourages investment in irrigation facilities; and (4) significantly affects the decision to invest. We asked the respondents to make appropriate choices, where 1 signifies strong disagreement and 5 indicates strong agreement. </w:t>
      </w:r>
    </w:p>
    <w:p w14:paraId="2F053340" w14:textId="77C2C10F" w:rsidR="00977ADF" w:rsidRDefault="00977ADF" w:rsidP="00CB7ACB">
      <w:pPr>
        <w:pStyle w:val="Body"/>
        <w:rPr>
          <w:rFonts w:ascii="Arial" w:hAnsi="Arial" w:cs="Arial"/>
        </w:rPr>
      </w:pPr>
      <w:r w:rsidRPr="00977ADF">
        <w:rPr>
          <w:rFonts w:ascii="Arial" w:hAnsi="Arial" w:cs="Arial"/>
        </w:rPr>
        <w:t>We found that 82% of respondents agreed that farmland ownership provided them with a sense of security to invest in irrigation facilities. It means that ownership assures farmers that their investment will not be wasted, encouraging long-term investment in irrigation without fear of losing land access. Similarly, Duker et al. (2022) found that in Kenya, land ownership provided security and promoted investments in land improvements, including irrigation.</w:t>
      </w:r>
    </w:p>
    <w:p w14:paraId="74FE3BC0" w14:textId="27EC17A4" w:rsidR="00E612C4" w:rsidRDefault="00E612C4" w:rsidP="00CB7ACB">
      <w:pPr>
        <w:pStyle w:val="Body"/>
        <w:rPr>
          <w:rFonts w:ascii="Arial" w:hAnsi="Arial" w:cs="Arial"/>
        </w:rPr>
      </w:pPr>
      <w:r w:rsidRPr="00E612C4">
        <w:rPr>
          <w:rFonts w:ascii="Arial" w:hAnsi="Arial" w:cs="Arial"/>
        </w:rPr>
        <w:t xml:space="preserve">The result indicated that 77% of respondents agreed that farmland ownership could encourage them to invest more in irrigation facilities (Figure </w:t>
      </w:r>
      <w:r w:rsidR="003C0E3C">
        <w:rPr>
          <w:rFonts w:ascii="Arial" w:hAnsi="Arial" w:cs="Arial"/>
        </w:rPr>
        <w:t>4</w:t>
      </w:r>
      <w:r w:rsidRPr="00E612C4">
        <w:rPr>
          <w:rFonts w:ascii="Arial" w:hAnsi="Arial" w:cs="Arial"/>
        </w:rPr>
        <w:t>). It means that farmers might have recognized that owning land could give them greater control over their agricultural operations, motivating them to invest in irrigation systems. This suggests a strong perceived link between land ownership and the willingness to invest in irrigation. Thabane et al. (2025) determined that land ownership empowered farmers in South Africa to make long-term investments in irrigation.</w:t>
      </w:r>
      <w:r>
        <w:rPr>
          <w:rFonts w:ascii="Arial" w:hAnsi="Arial" w:cs="Arial"/>
        </w:rPr>
        <w:t xml:space="preserve"> </w:t>
      </w:r>
    </w:p>
    <w:p w14:paraId="344B390D" w14:textId="030D0621" w:rsidR="003E5DC1" w:rsidRDefault="003E5DC1" w:rsidP="00CB7ACB">
      <w:pPr>
        <w:pStyle w:val="Body"/>
        <w:spacing w:after="0"/>
        <w:rPr>
          <w:rFonts w:ascii="Arial" w:hAnsi="Arial" w:cs="Arial"/>
        </w:rPr>
      </w:pPr>
      <w:r w:rsidRPr="003E5DC1">
        <w:rPr>
          <w:rFonts w:ascii="Arial" w:hAnsi="Arial" w:cs="Arial"/>
        </w:rPr>
        <w:t>Respondents (70%) agreed that owning farmland makes it easier to access credit. This means that farmers might use their farmlands as collateral to access credit or funding from various lending sources. Farmland ownership offers money lenders the confidence that the borrower possesses tangible assets to secure their loan. Han et al. (2024) found that farmland ownership provided a guarantee for farmers to obtain credit for the development of irrigation infrastructure.</w:t>
      </w:r>
    </w:p>
    <w:p w14:paraId="0844D147" w14:textId="77777777" w:rsidR="003E5DC1" w:rsidRDefault="003E5DC1" w:rsidP="00CB7ACB">
      <w:pPr>
        <w:pStyle w:val="Body"/>
        <w:spacing w:after="0"/>
        <w:rPr>
          <w:rFonts w:ascii="Arial" w:hAnsi="Arial" w:cs="Arial"/>
        </w:rPr>
      </w:pPr>
    </w:p>
    <w:p w14:paraId="3BC0957A" w14:textId="11EFF963" w:rsidR="00C56F0E" w:rsidRDefault="00C56F0E" w:rsidP="00CB7ACB">
      <w:pPr>
        <w:pStyle w:val="Body"/>
        <w:spacing w:after="0"/>
        <w:rPr>
          <w:rFonts w:ascii="Arial" w:hAnsi="Arial" w:cs="Arial"/>
        </w:rPr>
      </w:pPr>
      <w:r w:rsidRPr="00C56F0E">
        <w:rPr>
          <w:rFonts w:ascii="Arial" w:hAnsi="Arial" w:cs="Arial"/>
        </w:rPr>
        <w:t xml:space="preserve">About 57% of respondents said that owning farmland significantly influenced their decision to invest in irrigation infrastructure (Figure </w:t>
      </w:r>
      <w:r w:rsidR="003551C3">
        <w:rPr>
          <w:rFonts w:ascii="Arial" w:hAnsi="Arial" w:cs="Arial"/>
        </w:rPr>
        <w:t>4</w:t>
      </w:r>
      <w:r w:rsidRPr="00C56F0E">
        <w:rPr>
          <w:rFonts w:ascii="Arial" w:hAnsi="Arial" w:cs="Arial"/>
        </w:rPr>
        <w:t>). This indicates that farmers who do not own the land they cultivate might be less willing to invest in such systems. Land tenure, therefore, plays an important role in encouraging agricultural investment. Supporting this, Akber et al. (2024) found that limited security and control over land ownership reduced farmers’ willingness to invest in irrigation systems in India.</w:t>
      </w:r>
    </w:p>
    <w:p w14:paraId="00BA2879" w14:textId="77777777" w:rsidR="00C95C3F" w:rsidRDefault="00C95C3F" w:rsidP="00CB7ACB">
      <w:pPr>
        <w:pStyle w:val="Body"/>
        <w:spacing w:after="0"/>
        <w:rPr>
          <w:rFonts w:ascii="Arial" w:hAnsi="Arial" w:cs="Arial"/>
        </w:rPr>
      </w:pPr>
    </w:p>
    <w:p w14:paraId="0126171C" w14:textId="1A7CFB58" w:rsidR="00C95C3F" w:rsidRDefault="00CE5EB7" w:rsidP="00E73F69">
      <w:pPr>
        <w:pStyle w:val="Body"/>
        <w:spacing w:after="0"/>
        <w:jc w:val="left"/>
        <w:rPr>
          <w:rFonts w:ascii="Arial" w:hAnsi="Arial" w:cs="Arial"/>
        </w:rPr>
      </w:pPr>
      <w:r w:rsidRPr="009A475D">
        <w:rPr>
          <w:rFonts w:ascii="Arial" w:hAnsi="Arial" w:cs="Arial"/>
          <w:noProof/>
          <w:sz w:val="11"/>
          <w:szCs w:val="11"/>
          <w:lang w:val="en-IN" w:eastAsia="en-IN"/>
        </w:rPr>
        <w:lastRenderedPageBreak/>
        <w:drawing>
          <wp:inline distT="0" distB="0" distL="0" distR="0" wp14:anchorId="47C324CD" wp14:editId="487ADFE0">
            <wp:extent cx="5760085" cy="3285490"/>
            <wp:effectExtent l="0" t="0" r="0" b="0"/>
            <wp:docPr id="1678677466" name="Chart 1">
              <a:extLst xmlns:a="http://schemas.openxmlformats.org/drawingml/2006/main">
                <a:ext uri="{FF2B5EF4-FFF2-40B4-BE49-F238E27FC236}">
                  <a16:creationId xmlns:a16="http://schemas.microsoft.com/office/drawing/2014/main" id="{9D66A39B-2147-5DA8-E566-A0017AEED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2CAD27" w14:textId="77777777" w:rsidR="00C95C3F" w:rsidRDefault="00C95C3F" w:rsidP="00CB7ACB">
      <w:pPr>
        <w:pStyle w:val="Body"/>
        <w:spacing w:after="0"/>
        <w:rPr>
          <w:rFonts w:ascii="Arial" w:hAnsi="Arial" w:cs="Arial"/>
        </w:rPr>
      </w:pPr>
    </w:p>
    <w:p w14:paraId="58A98B24" w14:textId="1860B6D6" w:rsidR="00C95C3F" w:rsidRPr="00C95C3F" w:rsidRDefault="00C95C3F" w:rsidP="00E73F69">
      <w:pPr>
        <w:pStyle w:val="Body"/>
        <w:jc w:val="left"/>
        <w:rPr>
          <w:rFonts w:ascii="Arial" w:hAnsi="Arial" w:cs="Arial"/>
        </w:rPr>
      </w:pPr>
      <w:r w:rsidRPr="00C95C3F">
        <w:rPr>
          <w:rFonts w:ascii="Arial" w:hAnsi="Arial" w:cs="Arial"/>
        </w:rPr>
        <w:t>Fig</w:t>
      </w:r>
      <w:r w:rsidR="00771838">
        <w:rPr>
          <w:rFonts w:ascii="Arial" w:hAnsi="Arial" w:cs="Arial"/>
        </w:rPr>
        <w:t>.</w:t>
      </w:r>
      <w:r w:rsidRPr="00C95C3F">
        <w:rPr>
          <w:rFonts w:ascii="Arial" w:hAnsi="Arial" w:cs="Arial"/>
        </w:rPr>
        <w:t xml:space="preserve"> </w:t>
      </w:r>
      <w:r w:rsidR="00683BD1">
        <w:rPr>
          <w:rFonts w:ascii="Arial" w:hAnsi="Arial" w:cs="Arial"/>
        </w:rPr>
        <w:t>4</w:t>
      </w:r>
      <w:r w:rsidR="00771838">
        <w:rPr>
          <w:rFonts w:ascii="Arial" w:hAnsi="Arial" w:cs="Arial"/>
        </w:rPr>
        <w:t>.</w:t>
      </w:r>
      <w:r w:rsidRPr="00C95C3F">
        <w:rPr>
          <w:rFonts w:ascii="Arial" w:hAnsi="Arial" w:cs="Arial"/>
        </w:rPr>
        <w:t xml:space="preserve"> Influences of </w:t>
      </w:r>
      <w:r w:rsidR="00051B42" w:rsidRPr="00C95C3F">
        <w:rPr>
          <w:rFonts w:ascii="Arial" w:hAnsi="Arial" w:cs="Arial"/>
        </w:rPr>
        <w:t>farmland ownership status</w:t>
      </w:r>
    </w:p>
    <w:p w14:paraId="09C2CC03" w14:textId="1EBF62E5" w:rsidR="00C95C3F" w:rsidRDefault="00C95C3F" w:rsidP="00E73F69">
      <w:pPr>
        <w:pStyle w:val="Body"/>
        <w:spacing w:after="0"/>
        <w:jc w:val="left"/>
        <w:rPr>
          <w:rFonts w:ascii="Arial" w:hAnsi="Arial" w:cs="Arial"/>
        </w:rPr>
      </w:pPr>
      <w:r>
        <w:rPr>
          <w:rFonts w:ascii="Arial" w:hAnsi="Arial" w:cs="Arial"/>
        </w:rPr>
        <w:t>(</w:t>
      </w:r>
      <w:r w:rsidRPr="00C95C3F">
        <w:rPr>
          <w:rFonts w:ascii="Arial" w:hAnsi="Arial" w:cs="Arial"/>
        </w:rPr>
        <w:t>Source: Field Survey, 2024</w:t>
      </w:r>
      <w:r>
        <w:rPr>
          <w:rFonts w:ascii="Arial" w:hAnsi="Arial" w:cs="Arial"/>
        </w:rPr>
        <w:t>)</w:t>
      </w:r>
    </w:p>
    <w:p w14:paraId="1B8C97E5" w14:textId="77777777" w:rsidR="00CB7ACB" w:rsidRDefault="00CB7ACB" w:rsidP="00441B6F">
      <w:pPr>
        <w:pStyle w:val="Body"/>
        <w:spacing w:after="0"/>
        <w:rPr>
          <w:rFonts w:ascii="Arial" w:hAnsi="Arial" w:cs="Arial"/>
        </w:rPr>
      </w:pPr>
    </w:p>
    <w:p w14:paraId="45997467" w14:textId="5DC14660" w:rsidR="008D2C10" w:rsidRPr="008D2C10" w:rsidRDefault="008D2C10" w:rsidP="00441B6F">
      <w:pPr>
        <w:pStyle w:val="Body"/>
        <w:spacing w:after="0"/>
        <w:rPr>
          <w:rFonts w:ascii="Arial" w:hAnsi="Arial" w:cs="Arial"/>
          <w:b/>
          <w:bCs/>
          <w:sz w:val="22"/>
          <w:szCs w:val="22"/>
        </w:rPr>
      </w:pPr>
      <w:r w:rsidRPr="008D2C10">
        <w:rPr>
          <w:rFonts w:ascii="Arial" w:hAnsi="Arial" w:cs="Arial"/>
          <w:b/>
          <w:bCs/>
          <w:sz w:val="22"/>
          <w:szCs w:val="22"/>
        </w:rPr>
        <w:t>3.</w:t>
      </w:r>
      <w:r w:rsidR="006455C5">
        <w:rPr>
          <w:rFonts w:ascii="Arial" w:hAnsi="Arial" w:cs="Arial"/>
          <w:b/>
          <w:bCs/>
          <w:sz w:val="22"/>
          <w:szCs w:val="22"/>
        </w:rPr>
        <w:t>4</w:t>
      </w:r>
      <w:r w:rsidRPr="008D2C10">
        <w:rPr>
          <w:rFonts w:ascii="Arial" w:hAnsi="Arial" w:cs="Arial"/>
          <w:b/>
          <w:bCs/>
          <w:sz w:val="22"/>
          <w:szCs w:val="22"/>
        </w:rPr>
        <w:t xml:space="preserve"> Regression Analysis on Factors Influencing Farmers’ Investment in Irrigation</w:t>
      </w:r>
    </w:p>
    <w:p w14:paraId="3B0C6F3F" w14:textId="77777777" w:rsidR="008D2C10" w:rsidRDefault="008D2C10" w:rsidP="00441B6F">
      <w:pPr>
        <w:pStyle w:val="Body"/>
        <w:spacing w:after="0"/>
        <w:rPr>
          <w:rFonts w:ascii="Arial" w:hAnsi="Arial" w:cs="Arial"/>
        </w:rPr>
      </w:pPr>
    </w:p>
    <w:p w14:paraId="0167DAAA" w14:textId="4F50D018" w:rsidR="0066228C" w:rsidRDefault="0066228C" w:rsidP="005560A2">
      <w:pPr>
        <w:pStyle w:val="Body"/>
        <w:rPr>
          <w:rFonts w:ascii="Arial" w:hAnsi="Arial" w:cs="Arial"/>
        </w:rPr>
      </w:pPr>
      <w:r w:rsidRPr="0066228C">
        <w:rPr>
          <w:rFonts w:ascii="Arial" w:hAnsi="Arial" w:cs="Arial"/>
        </w:rPr>
        <w:t>The study finally correlated farmers’ socio-demographic characteristics and their interest in investing in irrigation infrastructure (Table 4). The results showed that age, farm size, and household income had positive and statistically significant correlations with farmers’ investment decision in irrigation infrastructure. In contrast, gender had a negative and statistically significant association with investment in irrigation infrastructure. The pseudo R² value of 0.278 signifies that the model is a good fit (P &lt; 0.001). A best-fit model shows how well the factors in the study explain farmers’ decisions to invest in irrigation. With a pseudo R² value of 0.278, the model explains about 27.8% of the variation in farmers’ investment behavior, which is a good level for socio-economic data. This means that factors like farm size, income, access to credit, and water availability play an important role in farmers’ investment choices. Therefore, the model fits the data well and reflects farmers’ real-world decision-making. Past studies demonstrate that pseudo R² values between 0.2 and 0.4 represent an excellent fit (Hemmert et al., 2018; Singh et al., 2024). Siew et al. (2015) similarly found a pseudo R² value of 0.39, which suggests a low but good model fit, given the significant predictors.</w:t>
      </w:r>
    </w:p>
    <w:p w14:paraId="7E329912" w14:textId="2122B088" w:rsidR="00017154" w:rsidRDefault="00017154" w:rsidP="005560A2">
      <w:pPr>
        <w:pStyle w:val="Body"/>
        <w:rPr>
          <w:rFonts w:ascii="Arial" w:hAnsi="Arial" w:cs="Arial"/>
        </w:rPr>
      </w:pPr>
      <w:r w:rsidRPr="00017154">
        <w:rPr>
          <w:rFonts w:ascii="Arial" w:hAnsi="Arial" w:cs="Arial"/>
        </w:rPr>
        <w:t>Regarding age, it is positively correlated with farmers’ investment in irrigation infrastructure at a 1% significance level. This means that a 1-unit increase in age will lead to a 1.152 unit increase in the rate of farmers’ investment in irrigation infrastructure. As farmers grow older, their interest in irrigation investment increases. This variation is due to the fact that farmers’ strength reduces as they age. This result corroborates the findings of Sharaunga and Mudhara (2018), who found a positive and statistically significant association between farmers’ age and irrigation adoption in the KwaZulu-Natal province of South Africa.</w:t>
      </w:r>
    </w:p>
    <w:p w14:paraId="00594EF5" w14:textId="0450D659" w:rsidR="00CF0004" w:rsidRDefault="00CF0004" w:rsidP="005560A2">
      <w:pPr>
        <w:pStyle w:val="Body"/>
        <w:rPr>
          <w:rFonts w:ascii="Arial" w:hAnsi="Arial" w:cs="Arial"/>
        </w:rPr>
      </w:pPr>
      <w:r w:rsidRPr="00CF0004">
        <w:rPr>
          <w:rFonts w:ascii="Arial" w:hAnsi="Arial" w:cs="Arial"/>
        </w:rPr>
        <w:t>Farm size was significant at 5% and positively influenced farmers’ investment in irrigation infrastructure. A unit increase in farm size will result in a 0.332 unit increase in the rate of farmers’ investment in irrigation infrastructure. It means that as farm size increases, farmers are likely to invest in irrigation infrastructure. Farmers will enjoy economies of scale as they increase their farm sizes. Haji et al. (2013) found that farm size impacted farmers’ desire to engage in agricultural projects like irrigation in Ethiopia.</w:t>
      </w:r>
    </w:p>
    <w:p w14:paraId="4DEA1C5E" w14:textId="7A3718EC" w:rsidR="00061975" w:rsidRDefault="00061975" w:rsidP="005560A2">
      <w:pPr>
        <w:pStyle w:val="Body"/>
        <w:rPr>
          <w:rFonts w:ascii="Arial" w:hAnsi="Arial" w:cs="Arial"/>
        </w:rPr>
      </w:pPr>
      <w:r w:rsidRPr="00061975">
        <w:rPr>
          <w:rFonts w:ascii="Arial" w:hAnsi="Arial" w:cs="Arial"/>
        </w:rPr>
        <w:t>Income was found to have a positive relationship with farmers’ investment in irrigation infrastructure at a 5% significance level. Farmers are likely to increase the rate of investment in irrigation infrastructure by 0.394 units as their income levels are increased by 1 unit. Farmers’ strong financial capacity influences their decision to invest in irrigation infrastructure.</w:t>
      </w:r>
    </w:p>
    <w:p w14:paraId="424AAA66" w14:textId="3562B717" w:rsidR="00526998" w:rsidRDefault="00526998" w:rsidP="005560A2">
      <w:pPr>
        <w:pStyle w:val="Body"/>
        <w:spacing w:after="0"/>
        <w:rPr>
          <w:rFonts w:ascii="Arial" w:hAnsi="Arial" w:cs="Arial"/>
        </w:rPr>
      </w:pPr>
      <w:r w:rsidRPr="00526998">
        <w:rPr>
          <w:rFonts w:ascii="Arial" w:hAnsi="Arial" w:cs="Arial"/>
        </w:rPr>
        <w:lastRenderedPageBreak/>
        <w:t>Gender negatively influenced farmers’ investment in irrigation infrastructure at a 5% significance level. The results indicated that a unit increase in male farmers will lead to a 0.849 unit decrease in the rate of male farmers’ investment in irrigation infrastructure. This finding can be attributed to the high dependency ratio (1:5) of households. Financial obligations and responsibilities burden respondents, making them less inclined to invest in irrigation infrastructure.</w:t>
      </w:r>
    </w:p>
    <w:p w14:paraId="77EB742F" w14:textId="77777777" w:rsidR="00526998" w:rsidRDefault="00526998" w:rsidP="005560A2">
      <w:pPr>
        <w:pStyle w:val="Body"/>
        <w:spacing w:after="0"/>
        <w:rPr>
          <w:rFonts w:ascii="Arial" w:hAnsi="Arial" w:cs="Arial"/>
        </w:rPr>
      </w:pPr>
    </w:p>
    <w:p w14:paraId="1512403D" w14:textId="18480BD8" w:rsidR="005560A2" w:rsidRDefault="00526998" w:rsidP="00441B6F">
      <w:pPr>
        <w:pStyle w:val="Body"/>
        <w:spacing w:after="0"/>
        <w:rPr>
          <w:rFonts w:ascii="Arial" w:hAnsi="Arial" w:cs="Arial"/>
        </w:rPr>
      </w:pPr>
      <w:r w:rsidRPr="00526998">
        <w:rPr>
          <w:rFonts w:ascii="Arial" w:hAnsi="Arial" w:cs="Arial"/>
        </w:rPr>
        <w:t>Extension support is seen as a key indicator for farmers’ adoption of innovations and agronomic practices. The results have substantiated that fact, indicating that extension support was significant at 10%. A unit increase in extension support to farmers will lead to a 2.702 unit increase in the rate of investment in irrigation infrastructure. Extension support for farmers is a way of educating them on best practices to enhance yields and overall productivity. Access to educational support for farmers enables them to make informed decisions, thereby facilitating investment in irrigation infrastructure.</w:t>
      </w:r>
    </w:p>
    <w:p w14:paraId="0915A04B" w14:textId="77777777" w:rsidR="00526998" w:rsidRDefault="00526998" w:rsidP="00441B6F">
      <w:pPr>
        <w:pStyle w:val="Body"/>
        <w:spacing w:after="0"/>
        <w:rPr>
          <w:rFonts w:ascii="Arial" w:hAnsi="Arial" w:cs="Arial"/>
        </w:rPr>
      </w:pPr>
    </w:p>
    <w:p w14:paraId="1D3A70F2" w14:textId="42FC4A37" w:rsidR="00B8783E" w:rsidRPr="0076196A" w:rsidRDefault="00B8783E" w:rsidP="00441B6F">
      <w:pPr>
        <w:pStyle w:val="Body"/>
        <w:spacing w:after="0"/>
        <w:rPr>
          <w:rFonts w:ascii="Arial" w:hAnsi="Arial" w:cs="Arial"/>
          <w:b/>
          <w:bCs/>
        </w:rPr>
      </w:pPr>
      <w:r w:rsidRPr="0076196A">
        <w:rPr>
          <w:rFonts w:ascii="Arial" w:hAnsi="Arial" w:cs="Arial"/>
          <w:b/>
          <w:bCs/>
        </w:rPr>
        <w:t>Table 4</w:t>
      </w:r>
      <w:r w:rsidR="0076196A">
        <w:rPr>
          <w:rFonts w:ascii="Arial" w:hAnsi="Arial" w:cs="Arial"/>
          <w:b/>
          <w:bCs/>
        </w:rPr>
        <w:t>.</w:t>
      </w:r>
      <w:r w:rsidRPr="0076196A">
        <w:rPr>
          <w:rFonts w:ascii="Arial" w:hAnsi="Arial" w:cs="Arial"/>
          <w:b/>
          <w:bCs/>
        </w:rPr>
        <w:t xml:space="preserve"> Regression </w:t>
      </w:r>
      <w:r w:rsidR="00F657A8" w:rsidRPr="0076196A">
        <w:rPr>
          <w:rFonts w:ascii="Arial" w:hAnsi="Arial" w:cs="Arial"/>
          <w:b/>
          <w:bCs/>
        </w:rPr>
        <w:t>analysis on factors influencing farmers’ investment in irrigation</w:t>
      </w:r>
    </w:p>
    <w:tbl>
      <w:tblPr>
        <w:tblStyle w:val="TableGrid"/>
        <w:tblpPr w:leftFromText="180" w:rightFromText="180" w:vertAnchor="text" w:horzAnchor="margin" w:tblpY="26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A0" w:firstRow="1" w:lastRow="0" w:firstColumn="1" w:lastColumn="0" w:noHBand="1" w:noVBand="1"/>
      </w:tblPr>
      <w:tblGrid>
        <w:gridCol w:w="2581"/>
        <w:gridCol w:w="1100"/>
        <w:gridCol w:w="963"/>
        <w:gridCol w:w="880"/>
        <w:gridCol w:w="1275"/>
        <w:gridCol w:w="993"/>
      </w:tblGrid>
      <w:tr w:rsidR="0080074E" w:rsidRPr="00021B79" w14:paraId="57714AEF" w14:textId="77777777" w:rsidTr="00785811">
        <w:tc>
          <w:tcPr>
            <w:tcW w:w="2581" w:type="dxa"/>
            <w:tcBorders>
              <w:top w:val="single" w:sz="4" w:space="0" w:color="auto"/>
              <w:bottom w:val="single" w:sz="4" w:space="0" w:color="auto"/>
            </w:tcBorders>
          </w:tcPr>
          <w:p w14:paraId="6803633F" w14:textId="77777777" w:rsidR="0080074E" w:rsidRPr="00021B79" w:rsidRDefault="0080074E" w:rsidP="00290447">
            <w:pPr>
              <w:rPr>
                <w:rFonts w:ascii="Arial" w:hAnsi="Arial" w:cs="Arial"/>
                <w:b/>
                <w:bCs/>
                <w:sz w:val="20"/>
                <w:szCs w:val="20"/>
              </w:rPr>
            </w:pPr>
            <w:r w:rsidRPr="00021B79">
              <w:rPr>
                <w:rFonts w:ascii="Arial" w:hAnsi="Arial" w:cs="Arial"/>
                <w:b/>
                <w:bCs/>
                <w:sz w:val="20"/>
                <w:szCs w:val="20"/>
              </w:rPr>
              <w:t>Variables</w:t>
            </w:r>
          </w:p>
        </w:tc>
        <w:tc>
          <w:tcPr>
            <w:tcW w:w="1100" w:type="dxa"/>
            <w:tcBorders>
              <w:top w:val="single" w:sz="4" w:space="0" w:color="auto"/>
              <w:bottom w:val="single" w:sz="4" w:space="0" w:color="auto"/>
            </w:tcBorders>
          </w:tcPr>
          <w:p w14:paraId="6503605F" w14:textId="77777777" w:rsidR="0080074E" w:rsidRPr="00021B79" w:rsidRDefault="0080074E" w:rsidP="00290447">
            <w:pPr>
              <w:rPr>
                <w:rFonts w:ascii="Arial" w:hAnsi="Arial" w:cs="Arial"/>
                <w:b/>
                <w:bCs/>
                <w:sz w:val="20"/>
                <w:szCs w:val="20"/>
              </w:rPr>
            </w:pPr>
            <w:r w:rsidRPr="00021B79">
              <w:rPr>
                <w:rFonts w:ascii="Arial" w:hAnsi="Arial" w:cs="Arial"/>
                <w:b/>
                <w:bCs/>
                <w:sz w:val="20"/>
                <w:szCs w:val="20"/>
              </w:rPr>
              <w:t>Coef.</w:t>
            </w:r>
          </w:p>
        </w:tc>
        <w:tc>
          <w:tcPr>
            <w:tcW w:w="963" w:type="dxa"/>
            <w:tcBorders>
              <w:top w:val="single" w:sz="4" w:space="0" w:color="auto"/>
              <w:bottom w:val="single" w:sz="4" w:space="0" w:color="auto"/>
            </w:tcBorders>
          </w:tcPr>
          <w:p w14:paraId="4D94F959" w14:textId="77777777" w:rsidR="0080074E" w:rsidRPr="00021B79" w:rsidRDefault="0080074E" w:rsidP="00290447">
            <w:pPr>
              <w:rPr>
                <w:rFonts w:ascii="Arial" w:hAnsi="Arial" w:cs="Arial"/>
                <w:b/>
                <w:bCs/>
                <w:sz w:val="20"/>
                <w:szCs w:val="20"/>
              </w:rPr>
            </w:pPr>
            <w:r w:rsidRPr="00021B79">
              <w:rPr>
                <w:rFonts w:ascii="Arial" w:hAnsi="Arial" w:cs="Arial"/>
                <w:b/>
                <w:bCs/>
                <w:sz w:val="20"/>
                <w:szCs w:val="20"/>
              </w:rPr>
              <w:t>St. Er.</w:t>
            </w:r>
          </w:p>
        </w:tc>
        <w:tc>
          <w:tcPr>
            <w:tcW w:w="880" w:type="dxa"/>
            <w:tcBorders>
              <w:top w:val="single" w:sz="4" w:space="0" w:color="auto"/>
              <w:bottom w:val="single" w:sz="4" w:space="0" w:color="auto"/>
            </w:tcBorders>
          </w:tcPr>
          <w:p w14:paraId="672EA731" w14:textId="77777777" w:rsidR="0080074E" w:rsidRPr="00021B79" w:rsidRDefault="0080074E" w:rsidP="00290447">
            <w:pPr>
              <w:rPr>
                <w:rFonts w:ascii="Arial" w:hAnsi="Arial" w:cs="Arial"/>
                <w:b/>
                <w:bCs/>
                <w:sz w:val="20"/>
                <w:szCs w:val="20"/>
              </w:rPr>
            </w:pPr>
            <w:r w:rsidRPr="00021B79">
              <w:rPr>
                <w:rFonts w:ascii="Arial" w:hAnsi="Arial" w:cs="Arial"/>
                <w:b/>
                <w:bCs/>
                <w:sz w:val="20"/>
                <w:szCs w:val="20"/>
              </w:rPr>
              <w:t>Wald</w:t>
            </w:r>
          </w:p>
        </w:tc>
        <w:tc>
          <w:tcPr>
            <w:tcW w:w="1275" w:type="dxa"/>
            <w:tcBorders>
              <w:top w:val="single" w:sz="4" w:space="0" w:color="auto"/>
              <w:bottom w:val="single" w:sz="4" w:space="0" w:color="auto"/>
            </w:tcBorders>
          </w:tcPr>
          <w:p w14:paraId="03D0F72B" w14:textId="77777777" w:rsidR="0080074E" w:rsidRPr="00021B79" w:rsidRDefault="0080074E" w:rsidP="00290447">
            <w:pPr>
              <w:rPr>
                <w:rFonts w:ascii="Arial" w:hAnsi="Arial" w:cs="Arial"/>
                <w:b/>
                <w:bCs/>
                <w:sz w:val="20"/>
                <w:szCs w:val="20"/>
              </w:rPr>
            </w:pPr>
            <w:r w:rsidRPr="00021B79">
              <w:rPr>
                <w:rFonts w:ascii="Arial" w:hAnsi="Arial" w:cs="Arial"/>
                <w:b/>
                <w:bCs/>
                <w:sz w:val="20"/>
                <w:szCs w:val="20"/>
              </w:rPr>
              <w:t xml:space="preserve">  Sig.</w:t>
            </w:r>
          </w:p>
        </w:tc>
        <w:tc>
          <w:tcPr>
            <w:tcW w:w="993" w:type="dxa"/>
            <w:tcBorders>
              <w:top w:val="single" w:sz="4" w:space="0" w:color="auto"/>
              <w:bottom w:val="single" w:sz="4" w:space="0" w:color="auto"/>
            </w:tcBorders>
          </w:tcPr>
          <w:p w14:paraId="02A6E379" w14:textId="77777777" w:rsidR="0080074E" w:rsidRPr="00021B79" w:rsidRDefault="0080074E" w:rsidP="00290447">
            <w:pPr>
              <w:rPr>
                <w:rFonts w:ascii="Arial" w:hAnsi="Arial" w:cs="Arial"/>
                <w:b/>
                <w:bCs/>
                <w:sz w:val="20"/>
                <w:szCs w:val="20"/>
              </w:rPr>
            </w:pPr>
            <w:r w:rsidRPr="00021B79">
              <w:rPr>
                <w:rFonts w:ascii="Arial" w:hAnsi="Arial" w:cs="Arial"/>
                <w:b/>
                <w:bCs/>
                <w:sz w:val="20"/>
                <w:szCs w:val="20"/>
              </w:rPr>
              <w:t>Exp(B)</w:t>
            </w:r>
          </w:p>
        </w:tc>
      </w:tr>
      <w:tr w:rsidR="0080074E" w:rsidRPr="00021B79" w14:paraId="70BA78DD" w14:textId="77777777" w:rsidTr="00785811">
        <w:tc>
          <w:tcPr>
            <w:tcW w:w="2581" w:type="dxa"/>
            <w:tcBorders>
              <w:top w:val="single" w:sz="4" w:space="0" w:color="auto"/>
            </w:tcBorders>
          </w:tcPr>
          <w:p w14:paraId="30549296" w14:textId="77777777" w:rsidR="0080074E" w:rsidRPr="00021B79" w:rsidRDefault="0080074E" w:rsidP="00290447">
            <w:pPr>
              <w:rPr>
                <w:rFonts w:ascii="Arial" w:hAnsi="Arial" w:cs="Arial"/>
                <w:sz w:val="20"/>
                <w:szCs w:val="20"/>
              </w:rPr>
            </w:pPr>
            <w:r w:rsidRPr="00021B79">
              <w:rPr>
                <w:rFonts w:ascii="Arial" w:hAnsi="Arial" w:cs="Arial"/>
                <w:sz w:val="20"/>
                <w:szCs w:val="20"/>
              </w:rPr>
              <w:t>Gender (1)</w:t>
            </w:r>
          </w:p>
        </w:tc>
        <w:tc>
          <w:tcPr>
            <w:tcW w:w="1100" w:type="dxa"/>
            <w:tcBorders>
              <w:top w:val="single" w:sz="4" w:space="0" w:color="auto"/>
            </w:tcBorders>
          </w:tcPr>
          <w:p w14:paraId="37885437" w14:textId="77777777" w:rsidR="0080074E" w:rsidRPr="00021B79" w:rsidRDefault="0080074E" w:rsidP="00290447">
            <w:pPr>
              <w:rPr>
                <w:rFonts w:ascii="Arial" w:hAnsi="Arial" w:cs="Arial"/>
                <w:sz w:val="20"/>
                <w:szCs w:val="20"/>
              </w:rPr>
            </w:pPr>
            <w:r w:rsidRPr="00021B79">
              <w:rPr>
                <w:rFonts w:ascii="Arial" w:hAnsi="Arial" w:cs="Arial"/>
                <w:sz w:val="20"/>
                <w:szCs w:val="20"/>
              </w:rPr>
              <w:t>-0.849</w:t>
            </w:r>
          </w:p>
        </w:tc>
        <w:tc>
          <w:tcPr>
            <w:tcW w:w="963" w:type="dxa"/>
            <w:tcBorders>
              <w:top w:val="single" w:sz="4" w:space="0" w:color="auto"/>
            </w:tcBorders>
          </w:tcPr>
          <w:p w14:paraId="0413A604" w14:textId="77777777" w:rsidR="0080074E" w:rsidRPr="00021B79" w:rsidRDefault="0080074E" w:rsidP="00290447">
            <w:pPr>
              <w:rPr>
                <w:rFonts w:ascii="Arial" w:hAnsi="Arial" w:cs="Arial"/>
                <w:sz w:val="20"/>
                <w:szCs w:val="20"/>
              </w:rPr>
            </w:pPr>
            <w:r w:rsidRPr="00021B79">
              <w:rPr>
                <w:rFonts w:ascii="Arial" w:hAnsi="Arial" w:cs="Arial"/>
                <w:sz w:val="20"/>
                <w:szCs w:val="20"/>
              </w:rPr>
              <w:t>0.374</w:t>
            </w:r>
          </w:p>
        </w:tc>
        <w:tc>
          <w:tcPr>
            <w:tcW w:w="880" w:type="dxa"/>
            <w:tcBorders>
              <w:top w:val="single" w:sz="4" w:space="0" w:color="auto"/>
            </w:tcBorders>
          </w:tcPr>
          <w:p w14:paraId="00D48760"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5.146</w:t>
            </w:r>
          </w:p>
        </w:tc>
        <w:tc>
          <w:tcPr>
            <w:tcW w:w="1275" w:type="dxa"/>
            <w:tcBorders>
              <w:top w:val="single" w:sz="4" w:space="0" w:color="auto"/>
            </w:tcBorders>
          </w:tcPr>
          <w:p w14:paraId="745A2FE2"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0.023**</w:t>
            </w:r>
          </w:p>
        </w:tc>
        <w:tc>
          <w:tcPr>
            <w:tcW w:w="993" w:type="dxa"/>
            <w:tcBorders>
              <w:top w:val="single" w:sz="4" w:space="0" w:color="auto"/>
            </w:tcBorders>
          </w:tcPr>
          <w:p w14:paraId="42EBF247" w14:textId="77777777" w:rsidR="0080074E" w:rsidRPr="00021B79" w:rsidRDefault="0080074E" w:rsidP="00290447">
            <w:pPr>
              <w:rPr>
                <w:rFonts w:ascii="Arial" w:hAnsi="Arial" w:cs="Arial"/>
                <w:sz w:val="20"/>
                <w:szCs w:val="20"/>
              </w:rPr>
            </w:pPr>
            <w:r w:rsidRPr="00021B79">
              <w:rPr>
                <w:rFonts w:ascii="Arial" w:hAnsi="Arial" w:cs="Arial"/>
                <w:sz w:val="20"/>
                <w:szCs w:val="20"/>
              </w:rPr>
              <w:t>0.428</w:t>
            </w:r>
          </w:p>
        </w:tc>
      </w:tr>
      <w:tr w:rsidR="0080074E" w:rsidRPr="00021B79" w14:paraId="524B0802" w14:textId="77777777" w:rsidTr="00785811">
        <w:tc>
          <w:tcPr>
            <w:tcW w:w="2581" w:type="dxa"/>
          </w:tcPr>
          <w:p w14:paraId="3CBBA5C7" w14:textId="77777777" w:rsidR="0080074E" w:rsidRPr="00021B79" w:rsidRDefault="0080074E" w:rsidP="00290447">
            <w:pPr>
              <w:rPr>
                <w:rFonts w:ascii="Arial" w:hAnsi="Arial" w:cs="Arial"/>
                <w:sz w:val="20"/>
                <w:szCs w:val="20"/>
              </w:rPr>
            </w:pPr>
            <w:r w:rsidRPr="00021B79">
              <w:rPr>
                <w:rFonts w:ascii="Arial" w:hAnsi="Arial" w:cs="Arial"/>
                <w:sz w:val="20"/>
                <w:szCs w:val="20"/>
              </w:rPr>
              <w:t>Age</w:t>
            </w:r>
          </w:p>
        </w:tc>
        <w:tc>
          <w:tcPr>
            <w:tcW w:w="1100" w:type="dxa"/>
          </w:tcPr>
          <w:p w14:paraId="05D3A7ED"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1.152</w:t>
            </w:r>
          </w:p>
        </w:tc>
        <w:tc>
          <w:tcPr>
            <w:tcW w:w="963" w:type="dxa"/>
          </w:tcPr>
          <w:p w14:paraId="23DDE067" w14:textId="77777777" w:rsidR="0080074E" w:rsidRPr="00021B79" w:rsidRDefault="0080074E" w:rsidP="00290447">
            <w:pPr>
              <w:rPr>
                <w:rFonts w:ascii="Arial" w:hAnsi="Arial" w:cs="Arial"/>
                <w:sz w:val="20"/>
                <w:szCs w:val="20"/>
              </w:rPr>
            </w:pPr>
            <w:r w:rsidRPr="00021B79">
              <w:rPr>
                <w:rFonts w:ascii="Arial" w:hAnsi="Arial" w:cs="Arial"/>
                <w:sz w:val="20"/>
                <w:szCs w:val="20"/>
              </w:rPr>
              <w:t>0.284</w:t>
            </w:r>
          </w:p>
        </w:tc>
        <w:tc>
          <w:tcPr>
            <w:tcW w:w="880" w:type="dxa"/>
          </w:tcPr>
          <w:p w14:paraId="11F696D4" w14:textId="77777777" w:rsidR="0080074E" w:rsidRPr="00021B79" w:rsidRDefault="0080074E" w:rsidP="00290447">
            <w:pPr>
              <w:rPr>
                <w:rFonts w:ascii="Arial" w:hAnsi="Arial" w:cs="Arial"/>
                <w:sz w:val="20"/>
                <w:szCs w:val="20"/>
              </w:rPr>
            </w:pPr>
            <w:r w:rsidRPr="00021B79">
              <w:rPr>
                <w:rFonts w:ascii="Arial" w:hAnsi="Arial" w:cs="Arial"/>
                <w:sz w:val="20"/>
                <w:szCs w:val="20"/>
              </w:rPr>
              <w:t>16.435</w:t>
            </w:r>
          </w:p>
        </w:tc>
        <w:tc>
          <w:tcPr>
            <w:tcW w:w="1275" w:type="dxa"/>
          </w:tcPr>
          <w:p w14:paraId="3C04FA77" w14:textId="77777777" w:rsidR="0080074E" w:rsidRPr="00021B79" w:rsidRDefault="0080074E" w:rsidP="00290447">
            <w:pPr>
              <w:rPr>
                <w:rFonts w:ascii="Arial" w:hAnsi="Arial" w:cs="Arial"/>
                <w:sz w:val="20"/>
                <w:szCs w:val="20"/>
              </w:rPr>
            </w:pPr>
            <w:r w:rsidRPr="00021B79">
              <w:rPr>
                <w:rFonts w:ascii="Arial" w:hAnsi="Arial" w:cs="Arial"/>
                <w:sz w:val="20"/>
                <w:szCs w:val="20"/>
              </w:rPr>
              <w:t>&lt;0.001***</w:t>
            </w:r>
          </w:p>
        </w:tc>
        <w:tc>
          <w:tcPr>
            <w:tcW w:w="993" w:type="dxa"/>
          </w:tcPr>
          <w:p w14:paraId="26096A98" w14:textId="77777777" w:rsidR="0080074E" w:rsidRPr="00021B79" w:rsidRDefault="0080074E" w:rsidP="00290447">
            <w:pPr>
              <w:rPr>
                <w:rFonts w:ascii="Arial" w:hAnsi="Arial" w:cs="Arial"/>
                <w:sz w:val="20"/>
                <w:szCs w:val="20"/>
              </w:rPr>
            </w:pPr>
            <w:r w:rsidRPr="00021B79">
              <w:rPr>
                <w:rFonts w:ascii="Arial" w:hAnsi="Arial" w:cs="Arial"/>
                <w:sz w:val="20"/>
                <w:szCs w:val="20"/>
              </w:rPr>
              <w:t>3.163</w:t>
            </w:r>
          </w:p>
        </w:tc>
      </w:tr>
      <w:tr w:rsidR="0080074E" w:rsidRPr="00021B79" w14:paraId="5F50D565" w14:textId="77777777" w:rsidTr="00785811">
        <w:tc>
          <w:tcPr>
            <w:tcW w:w="2581" w:type="dxa"/>
          </w:tcPr>
          <w:p w14:paraId="237F16CF" w14:textId="77777777" w:rsidR="0080074E" w:rsidRPr="00021B79" w:rsidRDefault="0080074E" w:rsidP="00290447">
            <w:pPr>
              <w:rPr>
                <w:rFonts w:ascii="Arial" w:hAnsi="Arial" w:cs="Arial"/>
                <w:sz w:val="20"/>
                <w:szCs w:val="20"/>
              </w:rPr>
            </w:pPr>
            <w:r w:rsidRPr="00021B79">
              <w:rPr>
                <w:rFonts w:ascii="Arial" w:hAnsi="Arial" w:cs="Arial"/>
                <w:sz w:val="20"/>
                <w:szCs w:val="20"/>
              </w:rPr>
              <w:t>Marital status</w:t>
            </w:r>
          </w:p>
        </w:tc>
        <w:tc>
          <w:tcPr>
            <w:tcW w:w="1100" w:type="dxa"/>
          </w:tcPr>
          <w:p w14:paraId="5D9AD41F" w14:textId="77777777" w:rsidR="0080074E" w:rsidRPr="00021B79" w:rsidRDefault="0080074E" w:rsidP="00290447">
            <w:pPr>
              <w:rPr>
                <w:rFonts w:ascii="Arial" w:hAnsi="Arial" w:cs="Arial"/>
                <w:sz w:val="20"/>
                <w:szCs w:val="20"/>
              </w:rPr>
            </w:pPr>
            <w:r w:rsidRPr="00021B79">
              <w:rPr>
                <w:rFonts w:ascii="Arial" w:hAnsi="Arial" w:cs="Arial"/>
                <w:sz w:val="20"/>
                <w:szCs w:val="20"/>
              </w:rPr>
              <w:t>-0.466</w:t>
            </w:r>
          </w:p>
        </w:tc>
        <w:tc>
          <w:tcPr>
            <w:tcW w:w="963" w:type="dxa"/>
          </w:tcPr>
          <w:p w14:paraId="17C889B2" w14:textId="77777777" w:rsidR="0080074E" w:rsidRPr="00021B79" w:rsidRDefault="0080074E" w:rsidP="00290447">
            <w:pPr>
              <w:rPr>
                <w:rFonts w:ascii="Arial" w:hAnsi="Arial" w:cs="Arial"/>
                <w:sz w:val="20"/>
                <w:szCs w:val="20"/>
              </w:rPr>
            </w:pPr>
            <w:r w:rsidRPr="00021B79">
              <w:rPr>
                <w:rFonts w:ascii="Arial" w:hAnsi="Arial" w:cs="Arial"/>
                <w:sz w:val="20"/>
                <w:szCs w:val="20"/>
              </w:rPr>
              <w:t>0.394</w:t>
            </w:r>
          </w:p>
        </w:tc>
        <w:tc>
          <w:tcPr>
            <w:tcW w:w="880" w:type="dxa"/>
          </w:tcPr>
          <w:p w14:paraId="035742BE"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1.402</w:t>
            </w:r>
          </w:p>
        </w:tc>
        <w:tc>
          <w:tcPr>
            <w:tcW w:w="1275" w:type="dxa"/>
          </w:tcPr>
          <w:p w14:paraId="45A814AB"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0.236</w:t>
            </w:r>
          </w:p>
        </w:tc>
        <w:tc>
          <w:tcPr>
            <w:tcW w:w="993" w:type="dxa"/>
          </w:tcPr>
          <w:p w14:paraId="5C2DACF3" w14:textId="77777777" w:rsidR="0080074E" w:rsidRPr="00021B79" w:rsidRDefault="0080074E" w:rsidP="00290447">
            <w:pPr>
              <w:rPr>
                <w:rFonts w:ascii="Arial" w:hAnsi="Arial" w:cs="Arial"/>
                <w:sz w:val="20"/>
                <w:szCs w:val="20"/>
              </w:rPr>
            </w:pPr>
            <w:r w:rsidRPr="00021B79">
              <w:rPr>
                <w:rFonts w:ascii="Arial" w:hAnsi="Arial" w:cs="Arial"/>
                <w:sz w:val="20"/>
                <w:szCs w:val="20"/>
              </w:rPr>
              <w:t>0.627</w:t>
            </w:r>
          </w:p>
        </w:tc>
      </w:tr>
      <w:tr w:rsidR="0080074E" w:rsidRPr="00021B79" w14:paraId="393D081B" w14:textId="77777777" w:rsidTr="00785811">
        <w:tc>
          <w:tcPr>
            <w:tcW w:w="2581" w:type="dxa"/>
          </w:tcPr>
          <w:p w14:paraId="3B176BD8" w14:textId="77777777" w:rsidR="0080074E" w:rsidRPr="00021B79" w:rsidRDefault="0080074E" w:rsidP="00290447">
            <w:pPr>
              <w:rPr>
                <w:rFonts w:ascii="Arial" w:hAnsi="Arial" w:cs="Arial"/>
                <w:sz w:val="20"/>
                <w:szCs w:val="20"/>
              </w:rPr>
            </w:pPr>
            <w:r w:rsidRPr="00021B79">
              <w:rPr>
                <w:rFonts w:ascii="Arial" w:hAnsi="Arial" w:cs="Arial"/>
                <w:sz w:val="20"/>
                <w:szCs w:val="20"/>
              </w:rPr>
              <w:t>Education</w:t>
            </w:r>
          </w:p>
        </w:tc>
        <w:tc>
          <w:tcPr>
            <w:tcW w:w="1100" w:type="dxa"/>
          </w:tcPr>
          <w:p w14:paraId="0C910361" w14:textId="77777777" w:rsidR="0080074E" w:rsidRPr="00021B79" w:rsidRDefault="0080074E" w:rsidP="00290447">
            <w:pPr>
              <w:rPr>
                <w:rFonts w:ascii="Arial" w:hAnsi="Arial" w:cs="Arial"/>
                <w:sz w:val="20"/>
                <w:szCs w:val="20"/>
              </w:rPr>
            </w:pPr>
            <w:r w:rsidRPr="00021B79">
              <w:rPr>
                <w:rFonts w:ascii="Arial" w:hAnsi="Arial" w:cs="Arial"/>
                <w:sz w:val="20"/>
                <w:szCs w:val="20"/>
              </w:rPr>
              <w:t>-0.419</w:t>
            </w:r>
          </w:p>
        </w:tc>
        <w:tc>
          <w:tcPr>
            <w:tcW w:w="963" w:type="dxa"/>
          </w:tcPr>
          <w:p w14:paraId="323B65C6" w14:textId="77777777" w:rsidR="0080074E" w:rsidRPr="00021B79" w:rsidRDefault="0080074E" w:rsidP="00290447">
            <w:pPr>
              <w:rPr>
                <w:rFonts w:ascii="Arial" w:hAnsi="Arial" w:cs="Arial"/>
                <w:sz w:val="20"/>
                <w:szCs w:val="20"/>
              </w:rPr>
            </w:pPr>
            <w:r w:rsidRPr="00021B79">
              <w:rPr>
                <w:rFonts w:ascii="Arial" w:hAnsi="Arial" w:cs="Arial"/>
                <w:sz w:val="20"/>
                <w:szCs w:val="20"/>
              </w:rPr>
              <w:t>0.308</w:t>
            </w:r>
          </w:p>
        </w:tc>
        <w:tc>
          <w:tcPr>
            <w:tcW w:w="880" w:type="dxa"/>
          </w:tcPr>
          <w:p w14:paraId="2BBC25FD"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1.840</w:t>
            </w:r>
          </w:p>
        </w:tc>
        <w:tc>
          <w:tcPr>
            <w:tcW w:w="1275" w:type="dxa"/>
          </w:tcPr>
          <w:p w14:paraId="6C0A1234"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0.175</w:t>
            </w:r>
          </w:p>
        </w:tc>
        <w:tc>
          <w:tcPr>
            <w:tcW w:w="993" w:type="dxa"/>
          </w:tcPr>
          <w:p w14:paraId="5969570A" w14:textId="77777777" w:rsidR="0080074E" w:rsidRPr="00021B79" w:rsidRDefault="0080074E" w:rsidP="00290447">
            <w:pPr>
              <w:rPr>
                <w:rFonts w:ascii="Arial" w:hAnsi="Arial" w:cs="Arial"/>
                <w:sz w:val="20"/>
                <w:szCs w:val="20"/>
              </w:rPr>
            </w:pPr>
            <w:r w:rsidRPr="00021B79">
              <w:rPr>
                <w:rFonts w:ascii="Arial" w:hAnsi="Arial" w:cs="Arial"/>
                <w:sz w:val="20"/>
                <w:szCs w:val="20"/>
              </w:rPr>
              <w:t>0.658</w:t>
            </w:r>
          </w:p>
        </w:tc>
      </w:tr>
      <w:tr w:rsidR="0080074E" w:rsidRPr="00021B79" w14:paraId="518D638E" w14:textId="77777777" w:rsidTr="00785811">
        <w:tc>
          <w:tcPr>
            <w:tcW w:w="2581" w:type="dxa"/>
          </w:tcPr>
          <w:p w14:paraId="756CB5BE" w14:textId="77777777" w:rsidR="0080074E" w:rsidRPr="00021B79" w:rsidRDefault="0080074E" w:rsidP="00290447">
            <w:pPr>
              <w:rPr>
                <w:rFonts w:ascii="Arial" w:hAnsi="Arial" w:cs="Arial"/>
                <w:sz w:val="20"/>
                <w:szCs w:val="20"/>
              </w:rPr>
            </w:pPr>
            <w:r w:rsidRPr="00021B79">
              <w:rPr>
                <w:rFonts w:ascii="Arial" w:hAnsi="Arial" w:cs="Arial"/>
                <w:sz w:val="20"/>
                <w:szCs w:val="20"/>
              </w:rPr>
              <w:t>Farm size</w:t>
            </w:r>
          </w:p>
        </w:tc>
        <w:tc>
          <w:tcPr>
            <w:tcW w:w="1100" w:type="dxa"/>
          </w:tcPr>
          <w:p w14:paraId="6685343B"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0.332</w:t>
            </w:r>
          </w:p>
        </w:tc>
        <w:tc>
          <w:tcPr>
            <w:tcW w:w="963" w:type="dxa"/>
          </w:tcPr>
          <w:p w14:paraId="1F319F2A" w14:textId="77777777" w:rsidR="0080074E" w:rsidRPr="00021B79" w:rsidRDefault="0080074E" w:rsidP="00290447">
            <w:pPr>
              <w:rPr>
                <w:rFonts w:ascii="Arial" w:hAnsi="Arial" w:cs="Arial"/>
                <w:sz w:val="20"/>
                <w:szCs w:val="20"/>
              </w:rPr>
            </w:pPr>
            <w:r w:rsidRPr="00021B79">
              <w:rPr>
                <w:rFonts w:ascii="Arial" w:hAnsi="Arial" w:cs="Arial"/>
                <w:sz w:val="20"/>
                <w:szCs w:val="20"/>
              </w:rPr>
              <w:t>0.136</w:t>
            </w:r>
          </w:p>
        </w:tc>
        <w:tc>
          <w:tcPr>
            <w:tcW w:w="880" w:type="dxa"/>
          </w:tcPr>
          <w:p w14:paraId="4DB3DF08"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5.901</w:t>
            </w:r>
          </w:p>
        </w:tc>
        <w:tc>
          <w:tcPr>
            <w:tcW w:w="1275" w:type="dxa"/>
          </w:tcPr>
          <w:p w14:paraId="08800868"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0.015**</w:t>
            </w:r>
          </w:p>
        </w:tc>
        <w:tc>
          <w:tcPr>
            <w:tcW w:w="993" w:type="dxa"/>
          </w:tcPr>
          <w:p w14:paraId="32CF30BC" w14:textId="77777777" w:rsidR="0080074E" w:rsidRPr="00021B79" w:rsidRDefault="0080074E" w:rsidP="00290447">
            <w:pPr>
              <w:rPr>
                <w:rFonts w:ascii="Arial" w:hAnsi="Arial" w:cs="Arial"/>
                <w:sz w:val="20"/>
                <w:szCs w:val="20"/>
              </w:rPr>
            </w:pPr>
            <w:r w:rsidRPr="00021B79">
              <w:rPr>
                <w:rFonts w:ascii="Arial" w:hAnsi="Arial" w:cs="Arial"/>
                <w:sz w:val="20"/>
                <w:szCs w:val="20"/>
              </w:rPr>
              <w:t>1.393</w:t>
            </w:r>
          </w:p>
        </w:tc>
      </w:tr>
      <w:tr w:rsidR="0080074E" w:rsidRPr="00021B79" w14:paraId="27502659" w14:textId="77777777" w:rsidTr="00785811">
        <w:tc>
          <w:tcPr>
            <w:tcW w:w="2581" w:type="dxa"/>
          </w:tcPr>
          <w:p w14:paraId="38310E76" w14:textId="77777777" w:rsidR="0080074E" w:rsidRPr="00021B79" w:rsidRDefault="0080074E" w:rsidP="00290447">
            <w:pPr>
              <w:rPr>
                <w:rFonts w:ascii="Arial" w:hAnsi="Arial" w:cs="Arial"/>
                <w:sz w:val="20"/>
                <w:szCs w:val="20"/>
              </w:rPr>
            </w:pPr>
            <w:r w:rsidRPr="00021B79">
              <w:rPr>
                <w:rFonts w:ascii="Arial" w:hAnsi="Arial" w:cs="Arial"/>
                <w:sz w:val="20"/>
                <w:szCs w:val="20"/>
              </w:rPr>
              <w:t>Household income</w:t>
            </w:r>
          </w:p>
        </w:tc>
        <w:tc>
          <w:tcPr>
            <w:tcW w:w="1100" w:type="dxa"/>
          </w:tcPr>
          <w:p w14:paraId="4D049078"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0.394</w:t>
            </w:r>
          </w:p>
        </w:tc>
        <w:tc>
          <w:tcPr>
            <w:tcW w:w="963" w:type="dxa"/>
          </w:tcPr>
          <w:p w14:paraId="43272FFF" w14:textId="77777777" w:rsidR="0080074E" w:rsidRPr="00021B79" w:rsidRDefault="0080074E" w:rsidP="00290447">
            <w:pPr>
              <w:rPr>
                <w:rFonts w:ascii="Arial" w:hAnsi="Arial" w:cs="Arial"/>
                <w:sz w:val="20"/>
                <w:szCs w:val="20"/>
              </w:rPr>
            </w:pPr>
            <w:r w:rsidRPr="00021B79">
              <w:rPr>
                <w:rFonts w:ascii="Arial" w:hAnsi="Arial" w:cs="Arial"/>
                <w:sz w:val="20"/>
                <w:szCs w:val="20"/>
              </w:rPr>
              <w:t>0.168</w:t>
            </w:r>
          </w:p>
        </w:tc>
        <w:tc>
          <w:tcPr>
            <w:tcW w:w="880" w:type="dxa"/>
          </w:tcPr>
          <w:p w14:paraId="516932C3"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5.533</w:t>
            </w:r>
          </w:p>
        </w:tc>
        <w:tc>
          <w:tcPr>
            <w:tcW w:w="1275" w:type="dxa"/>
          </w:tcPr>
          <w:p w14:paraId="4BCD369C"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0.019**</w:t>
            </w:r>
          </w:p>
        </w:tc>
        <w:tc>
          <w:tcPr>
            <w:tcW w:w="993" w:type="dxa"/>
          </w:tcPr>
          <w:p w14:paraId="1AB4DB5C" w14:textId="77777777" w:rsidR="0080074E" w:rsidRPr="00021B79" w:rsidRDefault="0080074E" w:rsidP="00290447">
            <w:pPr>
              <w:rPr>
                <w:rFonts w:ascii="Arial" w:hAnsi="Arial" w:cs="Arial"/>
                <w:sz w:val="20"/>
                <w:szCs w:val="20"/>
              </w:rPr>
            </w:pPr>
            <w:r w:rsidRPr="00021B79">
              <w:rPr>
                <w:rFonts w:ascii="Arial" w:hAnsi="Arial" w:cs="Arial"/>
                <w:sz w:val="20"/>
                <w:szCs w:val="20"/>
              </w:rPr>
              <w:t>1.483</w:t>
            </w:r>
          </w:p>
        </w:tc>
      </w:tr>
      <w:tr w:rsidR="0080074E" w:rsidRPr="00021B79" w14:paraId="10CA9322" w14:textId="77777777" w:rsidTr="00785811">
        <w:tc>
          <w:tcPr>
            <w:tcW w:w="2581" w:type="dxa"/>
          </w:tcPr>
          <w:p w14:paraId="48DBFA93" w14:textId="77777777" w:rsidR="0080074E" w:rsidRPr="00021B79" w:rsidRDefault="0080074E" w:rsidP="00290447">
            <w:pPr>
              <w:rPr>
                <w:rFonts w:ascii="Arial" w:hAnsi="Arial" w:cs="Arial"/>
                <w:sz w:val="20"/>
                <w:szCs w:val="20"/>
              </w:rPr>
            </w:pPr>
            <w:r w:rsidRPr="00021B79">
              <w:rPr>
                <w:rFonts w:ascii="Arial" w:hAnsi="Arial" w:cs="Arial"/>
                <w:sz w:val="20"/>
                <w:szCs w:val="20"/>
              </w:rPr>
              <w:t>Household size</w:t>
            </w:r>
          </w:p>
        </w:tc>
        <w:tc>
          <w:tcPr>
            <w:tcW w:w="1100" w:type="dxa"/>
          </w:tcPr>
          <w:p w14:paraId="3A28B5DD" w14:textId="77777777" w:rsidR="0080074E" w:rsidRPr="00021B79" w:rsidRDefault="0080074E" w:rsidP="00290447">
            <w:pPr>
              <w:rPr>
                <w:rFonts w:ascii="Arial" w:hAnsi="Arial" w:cs="Arial"/>
                <w:sz w:val="20"/>
                <w:szCs w:val="20"/>
              </w:rPr>
            </w:pPr>
            <w:r w:rsidRPr="00021B79">
              <w:rPr>
                <w:rFonts w:ascii="Arial" w:hAnsi="Arial" w:cs="Arial"/>
                <w:sz w:val="20"/>
                <w:szCs w:val="20"/>
              </w:rPr>
              <w:t>-0.077</w:t>
            </w:r>
          </w:p>
        </w:tc>
        <w:tc>
          <w:tcPr>
            <w:tcW w:w="963" w:type="dxa"/>
          </w:tcPr>
          <w:p w14:paraId="46D5BEAB" w14:textId="77777777" w:rsidR="0080074E" w:rsidRPr="00021B79" w:rsidRDefault="0080074E" w:rsidP="00290447">
            <w:pPr>
              <w:rPr>
                <w:rFonts w:ascii="Arial" w:hAnsi="Arial" w:cs="Arial"/>
                <w:sz w:val="20"/>
                <w:szCs w:val="20"/>
              </w:rPr>
            </w:pPr>
            <w:r w:rsidRPr="00021B79">
              <w:rPr>
                <w:rFonts w:ascii="Arial" w:hAnsi="Arial" w:cs="Arial"/>
                <w:sz w:val="20"/>
                <w:szCs w:val="20"/>
              </w:rPr>
              <w:t>0.132</w:t>
            </w:r>
          </w:p>
        </w:tc>
        <w:tc>
          <w:tcPr>
            <w:tcW w:w="880" w:type="dxa"/>
          </w:tcPr>
          <w:p w14:paraId="110088BB"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0.345</w:t>
            </w:r>
          </w:p>
        </w:tc>
        <w:tc>
          <w:tcPr>
            <w:tcW w:w="1275" w:type="dxa"/>
          </w:tcPr>
          <w:p w14:paraId="5C8A22E8"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0.557</w:t>
            </w:r>
          </w:p>
        </w:tc>
        <w:tc>
          <w:tcPr>
            <w:tcW w:w="993" w:type="dxa"/>
          </w:tcPr>
          <w:p w14:paraId="3A6A083B" w14:textId="77777777" w:rsidR="0080074E" w:rsidRPr="00021B79" w:rsidRDefault="0080074E" w:rsidP="00290447">
            <w:pPr>
              <w:rPr>
                <w:rFonts w:ascii="Arial" w:hAnsi="Arial" w:cs="Arial"/>
                <w:sz w:val="20"/>
                <w:szCs w:val="20"/>
              </w:rPr>
            </w:pPr>
            <w:r w:rsidRPr="00021B79">
              <w:rPr>
                <w:rFonts w:ascii="Arial" w:hAnsi="Arial" w:cs="Arial"/>
                <w:sz w:val="20"/>
                <w:szCs w:val="20"/>
              </w:rPr>
              <w:t>0.926</w:t>
            </w:r>
          </w:p>
        </w:tc>
      </w:tr>
      <w:tr w:rsidR="0080074E" w:rsidRPr="00021B79" w14:paraId="0FFD25AD" w14:textId="77777777" w:rsidTr="00785811">
        <w:tc>
          <w:tcPr>
            <w:tcW w:w="2581" w:type="dxa"/>
          </w:tcPr>
          <w:p w14:paraId="467B2EB5" w14:textId="77777777" w:rsidR="0080074E" w:rsidRPr="00021B79" w:rsidRDefault="0080074E" w:rsidP="00290447">
            <w:pPr>
              <w:rPr>
                <w:rFonts w:ascii="Arial" w:hAnsi="Arial" w:cs="Arial"/>
                <w:sz w:val="20"/>
                <w:szCs w:val="20"/>
              </w:rPr>
            </w:pPr>
            <w:r w:rsidRPr="00021B79">
              <w:rPr>
                <w:rFonts w:ascii="Arial" w:hAnsi="Arial" w:cs="Arial"/>
                <w:sz w:val="20"/>
                <w:szCs w:val="20"/>
              </w:rPr>
              <w:t>Farmhand size</w:t>
            </w:r>
          </w:p>
        </w:tc>
        <w:tc>
          <w:tcPr>
            <w:tcW w:w="1100" w:type="dxa"/>
          </w:tcPr>
          <w:p w14:paraId="7EBBA7CC"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0.573</w:t>
            </w:r>
          </w:p>
        </w:tc>
        <w:tc>
          <w:tcPr>
            <w:tcW w:w="963" w:type="dxa"/>
          </w:tcPr>
          <w:p w14:paraId="00213958" w14:textId="77777777" w:rsidR="0080074E" w:rsidRPr="00021B79" w:rsidRDefault="0080074E" w:rsidP="00290447">
            <w:pPr>
              <w:rPr>
                <w:rFonts w:ascii="Arial" w:hAnsi="Arial" w:cs="Arial"/>
                <w:sz w:val="20"/>
                <w:szCs w:val="20"/>
              </w:rPr>
            </w:pPr>
            <w:r w:rsidRPr="00021B79">
              <w:rPr>
                <w:rFonts w:ascii="Arial" w:hAnsi="Arial" w:cs="Arial"/>
                <w:sz w:val="20"/>
                <w:szCs w:val="20"/>
              </w:rPr>
              <w:t>0.380</w:t>
            </w:r>
          </w:p>
        </w:tc>
        <w:tc>
          <w:tcPr>
            <w:tcW w:w="880" w:type="dxa"/>
          </w:tcPr>
          <w:p w14:paraId="15A19E97"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2.272</w:t>
            </w:r>
          </w:p>
        </w:tc>
        <w:tc>
          <w:tcPr>
            <w:tcW w:w="1275" w:type="dxa"/>
          </w:tcPr>
          <w:p w14:paraId="744DD47B"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0.132</w:t>
            </w:r>
          </w:p>
        </w:tc>
        <w:tc>
          <w:tcPr>
            <w:tcW w:w="993" w:type="dxa"/>
          </w:tcPr>
          <w:p w14:paraId="68DD61C8" w14:textId="77777777" w:rsidR="0080074E" w:rsidRPr="00021B79" w:rsidRDefault="0080074E" w:rsidP="00290447">
            <w:pPr>
              <w:rPr>
                <w:rFonts w:ascii="Arial" w:hAnsi="Arial" w:cs="Arial"/>
                <w:sz w:val="20"/>
                <w:szCs w:val="20"/>
              </w:rPr>
            </w:pPr>
            <w:r w:rsidRPr="00021B79">
              <w:rPr>
                <w:rFonts w:ascii="Arial" w:hAnsi="Arial" w:cs="Arial"/>
                <w:sz w:val="20"/>
                <w:szCs w:val="20"/>
              </w:rPr>
              <w:t>1.773</w:t>
            </w:r>
          </w:p>
        </w:tc>
      </w:tr>
      <w:tr w:rsidR="0080074E" w:rsidRPr="00021B79" w14:paraId="28BB6C6F" w14:textId="77777777" w:rsidTr="00785811">
        <w:tc>
          <w:tcPr>
            <w:tcW w:w="2581" w:type="dxa"/>
          </w:tcPr>
          <w:p w14:paraId="7D9B2686" w14:textId="77777777" w:rsidR="0080074E" w:rsidRPr="00021B79" w:rsidRDefault="0080074E" w:rsidP="00290447">
            <w:pPr>
              <w:rPr>
                <w:rFonts w:ascii="Arial" w:hAnsi="Arial" w:cs="Arial"/>
                <w:sz w:val="20"/>
                <w:szCs w:val="20"/>
              </w:rPr>
            </w:pPr>
            <w:r w:rsidRPr="00021B79">
              <w:rPr>
                <w:rFonts w:ascii="Arial" w:hAnsi="Arial" w:cs="Arial"/>
                <w:sz w:val="20"/>
                <w:szCs w:val="20"/>
              </w:rPr>
              <w:t>Technical support</w:t>
            </w:r>
          </w:p>
        </w:tc>
        <w:tc>
          <w:tcPr>
            <w:tcW w:w="1100" w:type="dxa"/>
          </w:tcPr>
          <w:p w14:paraId="4421EA3A"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0.669</w:t>
            </w:r>
          </w:p>
        </w:tc>
        <w:tc>
          <w:tcPr>
            <w:tcW w:w="963" w:type="dxa"/>
          </w:tcPr>
          <w:p w14:paraId="64237D2C" w14:textId="77777777" w:rsidR="0080074E" w:rsidRPr="00021B79" w:rsidRDefault="0080074E" w:rsidP="00290447">
            <w:pPr>
              <w:rPr>
                <w:rFonts w:ascii="Arial" w:hAnsi="Arial" w:cs="Arial"/>
                <w:sz w:val="20"/>
                <w:szCs w:val="20"/>
              </w:rPr>
            </w:pPr>
            <w:r w:rsidRPr="00021B79">
              <w:rPr>
                <w:rFonts w:ascii="Arial" w:hAnsi="Arial" w:cs="Arial"/>
                <w:sz w:val="20"/>
                <w:szCs w:val="20"/>
              </w:rPr>
              <w:t>1.102</w:t>
            </w:r>
          </w:p>
        </w:tc>
        <w:tc>
          <w:tcPr>
            <w:tcW w:w="880" w:type="dxa"/>
          </w:tcPr>
          <w:p w14:paraId="4085F37A"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0.368</w:t>
            </w:r>
          </w:p>
        </w:tc>
        <w:tc>
          <w:tcPr>
            <w:tcW w:w="1275" w:type="dxa"/>
          </w:tcPr>
          <w:p w14:paraId="6DDA57C6"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0.544</w:t>
            </w:r>
          </w:p>
        </w:tc>
        <w:tc>
          <w:tcPr>
            <w:tcW w:w="993" w:type="dxa"/>
          </w:tcPr>
          <w:p w14:paraId="6C663991" w14:textId="77777777" w:rsidR="0080074E" w:rsidRPr="00021B79" w:rsidRDefault="0080074E" w:rsidP="00290447">
            <w:pPr>
              <w:rPr>
                <w:rFonts w:ascii="Arial" w:hAnsi="Arial" w:cs="Arial"/>
                <w:sz w:val="20"/>
                <w:szCs w:val="20"/>
              </w:rPr>
            </w:pPr>
            <w:r w:rsidRPr="00021B79">
              <w:rPr>
                <w:rFonts w:ascii="Arial" w:hAnsi="Arial" w:cs="Arial"/>
                <w:sz w:val="20"/>
                <w:szCs w:val="20"/>
              </w:rPr>
              <w:t>1.951</w:t>
            </w:r>
          </w:p>
        </w:tc>
      </w:tr>
      <w:tr w:rsidR="0080074E" w:rsidRPr="00021B79" w14:paraId="009A778F" w14:textId="77777777" w:rsidTr="00785811">
        <w:tc>
          <w:tcPr>
            <w:tcW w:w="2581" w:type="dxa"/>
          </w:tcPr>
          <w:p w14:paraId="393BA26F" w14:textId="77777777" w:rsidR="0080074E" w:rsidRPr="00021B79" w:rsidRDefault="0080074E" w:rsidP="00290447">
            <w:pPr>
              <w:rPr>
                <w:rFonts w:ascii="Arial" w:hAnsi="Arial" w:cs="Arial"/>
                <w:sz w:val="20"/>
                <w:szCs w:val="20"/>
              </w:rPr>
            </w:pPr>
            <w:r w:rsidRPr="00021B79">
              <w:rPr>
                <w:rFonts w:ascii="Arial" w:hAnsi="Arial" w:cs="Arial"/>
                <w:sz w:val="20"/>
                <w:szCs w:val="20"/>
              </w:rPr>
              <w:t>Irrigation training</w:t>
            </w:r>
          </w:p>
        </w:tc>
        <w:tc>
          <w:tcPr>
            <w:tcW w:w="1100" w:type="dxa"/>
          </w:tcPr>
          <w:p w14:paraId="3FD35A6F"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1.644</w:t>
            </w:r>
          </w:p>
        </w:tc>
        <w:tc>
          <w:tcPr>
            <w:tcW w:w="963" w:type="dxa"/>
          </w:tcPr>
          <w:p w14:paraId="2A41338F" w14:textId="77777777" w:rsidR="0080074E" w:rsidRPr="00021B79" w:rsidRDefault="0080074E" w:rsidP="00290447">
            <w:pPr>
              <w:rPr>
                <w:rFonts w:ascii="Arial" w:hAnsi="Arial" w:cs="Arial"/>
                <w:sz w:val="20"/>
                <w:szCs w:val="20"/>
              </w:rPr>
            </w:pPr>
            <w:r w:rsidRPr="00021B79">
              <w:rPr>
                <w:rFonts w:ascii="Arial" w:hAnsi="Arial" w:cs="Arial"/>
                <w:sz w:val="20"/>
                <w:szCs w:val="20"/>
              </w:rPr>
              <w:t>1.328</w:t>
            </w:r>
          </w:p>
        </w:tc>
        <w:tc>
          <w:tcPr>
            <w:tcW w:w="880" w:type="dxa"/>
          </w:tcPr>
          <w:p w14:paraId="2263C99F"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1.532</w:t>
            </w:r>
          </w:p>
        </w:tc>
        <w:tc>
          <w:tcPr>
            <w:tcW w:w="1275" w:type="dxa"/>
          </w:tcPr>
          <w:p w14:paraId="693A95FA"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0.216</w:t>
            </w:r>
          </w:p>
        </w:tc>
        <w:tc>
          <w:tcPr>
            <w:tcW w:w="993" w:type="dxa"/>
          </w:tcPr>
          <w:p w14:paraId="07988106" w14:textId="77777777" w:rsidR="0080074E" w:rsidRPr="00021B79" w:rsidRDefault="0080074E" w:rsidP="00290447">
            <w:pPr>
              <w:rPr>
                <w:rFonts w:ascii="Arial" w:hAnsi="Arial" w:cs="Arial"/>
                <w:sz w:val="20"/>
                <w:szCs w:val="20"/>
              </w:rPr>
            </w:pPr>
            <w:r w:rsidRPr="00021B79">
              <w:rPr>
                <w:rFonts w:ascii="Arial" w:hAnsi="Arial" w:cs="Arial"/>
                <w:sz w:val="20"/>
                <w:szCs w:val="20"/>
              </w:rPr>
              <w:t>5.173</w:t>
            </w:r>
          </w:p>
        </w:tc>
      </w:tr>
      <w:tr w:rsidR="0080074E" w:rsidRPr="00021B79" w14:paraId="481973AB" w14:textId="77777777" w:rsidTr="00785811">
        <w:tc>
          <w:tcPr>
            <w:tcW w:w="2581" w:type="dxa"/>
          </w:tcPr>
          <w:p w14:paraId="40E95B27" w14:textId="77777777" w:rsidR="0080074E" w:rsidRPr="00021B79" w:rsidRDefault="0080074E" w:rsidP="00290447">
            <w:pPr>
              <w:rPr>
                <w:rFonts w:ascii="Arial" w:hAnsi="Arial" w:cs="Arial"/>
                <w:sz w:val="20"/>
                <w:szCs w:val="20"/>
              </w:rPr>
            </w:pPr>
            <w:r w:rsidRPr="00021B79">
              <w:rPr>
                <w:rFonts w:ascii="Arial" w:hAnsi="Arial" w:cs="Arial"/>
                <w:sz w:val="20"/>
                <w:szCs w:val="20"/>
              </w:rPr>
              <w:t>Land dev. support</w:t>
            </w:r>
          </w:p>
        </w:tc>
        <w:tc>
          <w:tcPr>
            <w:tcW w:w="1100" w:type="dxa"/>
          </w:tcPr>
          <w:p w14:paraId="535AB578" w14:textId="77777777" w:rsidR="0080074E" w:rsidRPr="00021B79" w:rsidRDefault="0080074E" w:rsidP="00290447">
            <w:pPr>
              <w:rPr>
                <w:rFonts w:ascii="Arial" w:hAnsi="Arial" w:cs="Arial"/>
                <w:sz w:val="20"/>
                <w:szCs w:val="20"/>
              </w:rPr>
            </w:pPr>
            <w:r w:rsidRPr="00021B79">
              <w:rPr>
                <w:rFonts w:ascii="Arial" w:hAnsi="Arial" w:cs="Arial"/>
                <w:sz w:val="20"/>
                <w:szCs w:val="20"/>
              </w:rPr>
              <w:t>-1.222</w:t>
            </w:r>
          </w:p>
        </w:tc>
        <w:tc>
          <w:tcPr>
            <w:tcW w:w="963" w:type="dxa"/>
          </w:tcPr>
          <w:p w14:paraId="59F09AC7" w14:textId="77777777" w:rsidR="0080074E" w:rsidRPr="00021B79" w:rsidRDefault="0080074E" w:rsidP="00290447">
            <w:pPr>
              <w:rPr>
                <w:rFonts w:ascii="Arial" w:hAnsi="Arial" w:cs="Arial"/>
                <w:sz w:val="20"/>
                <w:szCs w:val="20"/>
              </w:rPr>
            </w:pPr>
            <w:r w:rsidRPr="00021B79">
              <w:rPr>
                <w:rFonts w:ascii="Arial" w:hAnsi="Arial" w:cs="Arial"/>
                <w:sz w:val="20"/>
                <w:szCs w:val="20"/>
              </w:rPr>
              <w:t>1.004</w:t>
            </w:r>
          </w:p>
        </w:tc>
        <w:tc>
          <w:tcPr>
            <w:tcW w:w="880" w:type="dxa"/>
          </w:tcPr>
          <w:p w14:paraId="7E6EAA7E"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1.479</w:t>
            </w:r>
          </w:p>
        </w:tc>
        <w:tc>
          <w:tcPr>
            <w:tcW w:w="1275" w:type="dxa"/>
          </w:tcPr>
          <w:p w14:paraId="768F9AAE"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0.224</w:t>
            </w:r>
          </w:p>
        </w:tc>
        <w:tc>
          <w:tcPr>
            <w:tcW w:w="993" w:type="dxa"/>
          </w:tcPr>
          <w:p w14:paraId="7E2E0F9A" w14:textId="77777777" w:rsidR="0080074E" w:rsidRPr="00021B79" w:rsidRDefault="0080074E" w:rsidP="00290447">
            <w:pPr>
              <w:rPr>
                <w:rFonts w:ascii="Arial" w:hAnsi="Arial" w:cs="Arial"/>
                <w:sz w:val="20"/>
                <w:szCs w:val="20"/>
              </w:rPr>
            </w:pPr>
            <w:r w:rsidRPr="00021B79">
              <w:rPr>
                <w:rFonts w:ascii="Arial" w:hAnsi="Arial" w:cs="Arial"/>
                <w:sz w:val="20"/>
                <w:szCs w:val="20"/>
              </w:rPr>
              <w:t>0.295</w:t>
            </w:r>
          </w:p>
        </w:tc>
      </w:tr>
      <w:tr w:rsidR="0080074E" w:rsidRPr="00021B79" w14:paraId="0CE61DAD" w14:textId="77777777" w:rsidTr="00785811">
        <w:tc>
          <w:tcPr>
            <w:tcW w:w="2581" w:type="dxa"/>
          </w:tcPr>
          <w:p w14:paraId="1377302E" w14:textId="77777777" w:rsidR="0080074E" w:rsidRPr="00021B79" w:rsidRDefault="0080074E" w:rsidP="00290447">
            <w:pPr>
              <w:rPr>
                <w:rFonts w:ascii="Arial" w:hAnsi="Arial" w:cs="Arial"/>
                <w:sz w:val="20"/>
                <w:szCs w:val="20"/>
              </w:rPr>
            </w:pPr>
            <w:r w:rsidRPr="00021B79">
              <w:rPr>
                <w:rFonts w:ascii="Arial" w:hAnsi="Arial" w:cs="Arial"/>
                <w:sz w:val="20"/>
                <w:szCs w:val="20"/>
              </w:rPr>
              <w:t>Equipment support</w:t>
            </w:r>
          </w:p>
        </w:tc>
        <w:tc>
          <w:tcPr>
            <w:tcW w:w="1100" w:type="dxa"/>
          </w:tcPr>
          <w:p w14:paraId="5E800C02"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1.076</w:t>
            </w:r>
          </w:p>
        </w:tc>
        <w:tc>
          <w:tcPr>
            <w:tcW w:w="963" w:type="dxa"/>
          </w:tcPr>
          <w:p w14:paraId="71598483" w14:textId="77777777" w:rsidR="0080074E" w:rsidRPr="00021B79" w:rsidRDefault="0080074E" w:rsidP="00290447">
            <w:pPr>
              <w:rPr>
                <w:rFonts w:ascii="Arial" w:hAnsi="Arial" w:cs="Arial"/>
                <w:sz w:val="20"/>
                <w:szCs w:val="20"/>
              </w:rPr>
            </w:pPr>
            <w:r w:rsidRPr="00021B79">
              <w:rPr>
                <w:rFonts w:ascii="Arial" w:hAnsi="Arial" w:cs="Arial"/>
                <w:sz w:val="20"/>
                <w:szCs w:val="20"/>
              </w:rPr>
              <w:t>0.698</w:t>
            </w:r>
          </w:p>
        </w:tc>
        <w:tc>
          <w:tcPr>
            <w:tcW w:w="880" w:type="dxa"/>
          </w:tcPr>
          <w:p w14:paraId="123D82FD"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2.377</w:t>
            </w:r>
          </w:p>
        </w:tc>
        <w:tc>
          <w:tcPr>
            <w:tcW w:w="1275" w:type="dxa"/>
          </w:tcPr>
          <w:p w14:paraId="5CD6DEE1"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0.123</w:t>
            </w:r>
          </w:p>
        </w:tc>
        <w:tc>
          <w:tcPr>
            <w:tcW w:w="993" w:type="dxa"/>
          </w:tcPr>
          <w:p w14:paraId="3A3135B4" w14:textId="77777777" w:rsidR="0080074E" w:rsidRPr="00021B79" w:rsidRDefault="0080074E" w:rsidP="00290447">
            <w:pPr>
              <w:rPr>
                <w:rFonts w:ascii="Arial" w:hAnsi="Arial" w:cs="Arial"/>
                <w:sz w:val="20"/>
                <w:szCs w:val="20"/>
              </w:rPr>
            </w:pPr>
            <w:r w:rsidRPr="00021B79">
              <w:rPr>
                <w:rFonts w:ascii="Arial" w:hAnsi="Arial" w:cs="Arial"/>
                <w:sz w:val="20"/>
                <w:szCs w:val="20"/>
              </w:rPr>
              <w:t>2.932</w:t>
            </w:r>
          </w:p>
        </w:tc>
      </w:tr>
      <w:tr w:rsidR="0080074E" w:rsidRPr="00021B79" w14:paraId="71E5FEEC" w14:textId="77777777" w:rsidTr="00785811">
        <w:tc>
          <w:tcPr>
            <w:tcW w:w="2581" w:type="dxa"/>
          </w:tcPr>
          <w:p w14:paraId="730D1CCF" w14:textId="77777777" w:rsidR="0080074E" w:rsidRPr="00021B79" w:rsidRDefault="0080074E" w:rsidP="00290447">
            <w:pPr>
              <w:rPr>
                <w:rFonts w:ascii="Arial" w:hAnsi="Arial" w:cs="Arial"/>
                <w:sz w:val="20"/>
                <w:szCs w:val="20"/>
              </w:rPr>
            </w:pPr>
            <w:r w:rsidRPr="00021B79">
              <w:rPr>
                <w:rFonts w:ascii="Arial" w:hAnsi="Arial" w:cs="Arial"/>
                <w:sz w:val="20"/>
                <w:szCs w:val="20"/>
              </w:rPr>
              <w:t>Irrigation information</w:t>
            </w:r>
          </w:p>
        </w:tc>
        <w:tc>
          <w:tcPr>
            <w:tcW w:w="1100" w:type="dxa"/>
          </w:tcPr>
          <w:p w14:paraId="59171C6C" w14:textId="77777777" w:rsidR="0080074E" w:rsidRPr="00021B79" w:rsidRDefault="0080074E" w:rsidP="00290447">
            <w:pPr>
              <w:rPr>
                <w:rFonts w:ascii="Arial" w:hAnsi="Arial" w:cs="Arial"/>
                <w:sz w:val="20"/>
                <w:szCs w:val="20"/>
              </w:rPr>
            </w:pPr>
            <w:r w:rsidRPr="00021B79">
              <w:rPr>
                <w:rFonts w:ascii="Arial" w:hAnsi="Arial" w:cs="Arial"/>
                <w:sz w:val="20"/>
                <w:szCs w:val="20"/>
              </w:rPr>
              <w:t>-0.527</w:t>
            </w:r>
          </w:p>
        </w:tc>
        <w:tc>
          <w:tcPr>
            <w:tcW w:w="963" w:type="dxa"/>
          </w:tcPr>
          <w:p w14:paraId="66AA3260" w14:textId="77777777" w:rsidR="0080074E" w:rsidRPr="00021B79" w:rsidRDefault="0080074E" w:rsidP="00290447">
            <w:pPr>
              <w:rPr>
                <w:rFonts w:ascii="Arial" w:hAnsi="Arial" w:cs="Arial"/>
                <w:sz w:val="20"/>
                <w:szCs w:val="20"/>
              </w:rPr>
            </w:pPr>
            <w:r w:rsidRPr="00021B79">
              <w:rPr>
                <w:rFonts w:ascii="Arial" w:hAnsi="Arial" w:cs="Arial"/>
                <w:sz w:val="20"/>
                <w:szCs w:val="20"/>
              </w:rPr>
              <w:t>0.788</w:t>
            </w:r>
          </w:p>
        </w:tc>
        <w:tc>
          <w:tcPr>
            <w:tcW w:w="880" w:type="dxa"/>
          </w:tcPr>
          <w:p w14:paraId="2A5B703B"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0.447</w:t>
            </w:r>
          </w:p>
        </w:tc>
        <w:tc>
          <w:tcPr>
            <w:tcW w:w="1275" w:type="dxa"/>
          </w:tcPr>
          <w:p w14:paraId="10ED5BBB"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0.504</w:t>
            </w:r>
          </w:p>
        </w:tc>
        <w:tc>
          <w:tcPr>
            <w:tcW w:w="993" w:type="dxa"/>
          </w:tcPr>
          <w:p w14:paraId="7CE4D5AB" w14:textId="77777777" w:rsidR="0080074E" w:rsidRPr="00021B79" w:rsidRDefault="0080074E" w:rsidP="00290447">
            <w:pPr>
              <w:rPr>
                <w:rFonts w:ascii="Arial" w:hAnsi="Arial" w:cs="Arial"/>
                <w:sz w:val="20"/>
                <w:szCs w:val="20"/>
              </w:rPr>
            </w:pPr>
            <w:r w:rsidRPr="00021B79">
              <w:rPr>
                <w:rFonts w:ascii="Arial" w:hAnsi="Arial" w:cs="Arial"/>
                <w:sz w:val="20"/>
                <w:szCs w:val="20"/>
              </w:rPr>
              <w:t>0.591</w:t>
            </w:r>
          </w:p>
        </w:tc>
      </w:tr>
      <w:tr w:rsidR="0080074E" w:rsidRPr="00021B79" w14:paraId="023C4BBD" w14:textId="77777777" w:rsidTr="00785811">
        <w:tc>
          <w:tcPr>
            <w:tcW w:w="2581" w:type="dxa"/>
          </w:tcPr>
          <w:p w14:paraId="1F71A30A" w14:textId="77777777" w:rsidR="0080074E" w:rsidRPr="00021B79" w:rsidRDefault="0080074E" w:rsidP="00290447">
            <w:pPr>
              <w:rPr>
                <w:rFonts w:ascii="Arial" w:hAnsi="Arial" w:cs="Arial"/>
                <w:sz w:val="20"/>
                <w:szCs w:val="20"/>
              </w:rPr>
            </w:pPr>
            <w:r w:rsidRPr="00021B79">
              <w:rPr>
                <w:rFonts w:ascii="Arial" w:hAnsi="Arial" w:cs="Arial"/>
                <w:sz w:val="20"/>
                <w:szCs w:val="20"/>
              </w:rPr>
              <w:t>Extension serv. support</w:t>
            </w:r>
          </w:p>
        </w:tc>
        <w:tc>
          <w:tcPr>
            <w:tcW w:w="1100" w:type="dxa"/>
          </w:tcPr>
          <w:p w14:paraId="6588817C"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2.702</w:t>
            </w:r>
          </w:p>
        </w:tc>
        <w:tc>
          <w:tcPr>
            <w:tcW w:w="963" w:type="dxa"/>
          </w:tcPr>
          <w:p w14:paraId="40DC5D7F" w14:textId="77777777" w:rsidR="0080074E" w:rsidRPr="00021B79" w:rsidRDefault="0080074E" w:rsidP="00290447">
            <w:pPr>
              <w:rPr>
                <w:rFonts w:ascii="Arial" w:hAnsi="Arial" w:cs="Arial"/>
                <w:sz w:val="20"/>
                <w:szCs w:val="20"/>
              </w:rPr>
            </w:pPr>
            <w:r w:rsidRPr="00021B79">
              <w:rPr>
                <w:rFonts w:ascii="Arial" w:hAnsi="Arial" w:cs="Arial"/>
                <w:sz w:val="20"/>
                <w:szCs w:val="20"/>
              </w:rPr>
              <w:t>1.400</w:t>
            </w:r>
          </w:p>
        </w:tc>
        <w:tc>
          <w:tcPr>
            <w:tcW w:w="880" w:type="dxa"/>
          </w:tcPr>
          <w:p w14:paraId="60FB96BE"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3.726</w:t>
            </w:r>
          </w:p>
        </w:tc>
        <w:tc>
          <w:tcPr>
            <w:tcW w:w="1275" w:type="dxa"/>
          </w:tcPr>
          <w:p w14:paraId="2ED2ED69"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0.054*</w:t>
            </w:r>
          </w:p>
        </w:tc>
        <w:tc>
          <w:tcPr>
            <w:tcW w:w="993" w:type="dxa"/>
          </w:tcPr>
          <w:p w14:paraId="6CEAAEAE" w14:textId="77777777" w:rsidR="0080074E" w:rsidRPr="00021B79" w:rsidRDefault="0080074E" w:rsidP="00290447">
            <w:pPr>
              <w:rPr>
                <w:rFonts w:ascii="Arial" w:hAnsi="Arial" w:cs="Arial"/>
                <w:sz w:val="20"/>
                <w:szCs w:val="20"/>
              </w:rPr>
            </w:pPr>
            <w:r w:rsidRPr="00021B79">
              <w:rPr>
                <w:rFonts w:ascii="Arial" w:hAnsi="Arial" w:cs="Arial"/>
                <w:sz w:val="20"/>
                <w:szCs w:val="20"/>
              </w:rPr>
              <w:t>14.905</w:t>
            </w:r>
          </w:p>
        </w:tc>
      </w:tr>
      <w:tr w:rsidR="0080074E" w:rsidRPr="00021B79" w14:paraId="5C521FFF" w14:textId="77777777" w:rsidTr="00785811">
        <w:tc>
          <w:tcPr>
            <w:tcW w:w="2581" w:type="dxa"/>
            <w:tcBorders>
              <w:bottom w:val="nil"/>
            </w:tcBorders>
          </w:tcPr>
          <w:p w14:paraId="5E32552B" w14:textId="77777777" w:rsidR="0080074E" w:rsidRPr="00021B79" w:rsidRDefault="0080074E" w:rsidP="00290447">
            <w:pPr>
              <w:rPr>
                <w:rFonts w:ascii="Arial" w:hAnsi="Arial" w:cs="Arial"/>
                <w:sz w:val="20"/>
                <w:szCs w:val="20"/>
              </w:rPr>
            </w:pPr>
            <w:r w:rsidRPr="00021B79">
              <w:rPr>
                <w:rFonts w:ascii="Arial" w:hAnsi="Arial" w:cs="Arial"/>
                <w:sz w:val="20"/>
                <w:szCs w:val="20"/>
              </w:rPr>
              <w:t>Farmland ownership</w:t>
            </w:r>
          </w:p>
        </w:tc>
        <w:tc>
          <w:tcPr>
            <w:tcW w:w="1100" w:type="dxa"/>
            <w:tcBorders>
              <w:bottom w:val="nil"/>
            </w:tcBorders>
          </w:tcPr>
          <w:p w14:paraId="4BFA45B6"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0.131</w:t>
            </w:r>
          </w:p>
        </w:tc>
        <w:tc>
          <w:tcPr>
            <w:tcW w:w="963" w:type="dxa"/>
            <w:tcBorders>
              <w:bottom w:val="nil"/>
            </w:tcBorders>
          </w:tcPr>
          <w:p w14:paraId="5B5147F5" w14:textId="77777777" w:rsidR="0080074E" w:rsidRPr="00021B79" w:rsidRDefault="0080074E" w:rsidP="00290447">
            <w:pPr>
              <w:rPr>
                <w:rFonts w:ascii="Arial" w:hAnsi="Arial" w:cs="Arial"/>
                <w:sz w:val="20"/>
                <w:szCs w:val="20"/>
              </w:rPr>
            </w:pPr>
            <w:r w:rsidRPr="00021B79">
              <w:rPr>
                <w:rFonts w:ascii="Arial" w:hAnsi="Arial" w:cs="Arial"/>
                <w:sz w:val="20"/>
                <w:szCs w:val="20"/>
              </w:rPr>
              <w:t>0.336</w:t>
            </w:r>
          </w:p>
        </w:tc>
        <w:tc>
          <w:tcPr>
            <w:tcW w:w="880" w:type="dxa"/>
            <w:tcBorders>
              <w:bottom w:val="nil"/>
            </w:tcBorders>
          </w:tcPr>
          <w:p w14:paraId="584270F9"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0.153</w:t>
            </w:r>
          </w:p>
        </w:tc>
        <w:tc>
          <w:tcPr>
            <w:tcW w:w="1275" w:type="dxa"/>
            <w:tcBorders>
              <w:bottom w:val="nil"/>
            </w:tcBorders>
          </w:tcPr>
          <w:p w14:paraId="07F4DAAD"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0.695</w:t>
            </w:r>
          </w:p>
        </w:tc>
        <w:tc>
          <w:tcPr>
            <w:tcW w:w="993" w:type="dxa"/>
            <w:tcBorders>
              <w:bottom w:val="nil"/>
            </w:tcBorders>
          </w:tcPr>
          <w:p w14:paraId="5775C6A2" w14:textId="77777777" w:rsidR="0080074E" w:rsidRPr="00021B79" w:rsidRDefault="0080074E" w:rsidP="00290447">
            <w:pPr>
              <w:rPr>
                <w:rFonts w:ascii="Arial" w:hAnsi="Arial" w:cs="Arial"/>
                <w:sz w:val="20"/>
                <w:szCs w:val="20"/>
              </w:rPr>
            </w:pPr>
            <w:r w:rsidRPr="00021B79">
              <w:rPr>
                <w:rFonts w:ascii="Arial" w:hAnsi="Arial" w:cs="Arial"/>
                <w:sz w:val="20"/>
                <w:szCs w:val="20"/>
              </w:rPr>
              <w:t>1.140</w:t>
            </w:r>
          </w:p>
        </w:tc>
      </w:tr>
      <w:tr w:rsidR="0080074E" w:rsidRPr="00021B79" w14:paraId="23B85051" w14:textId="77777777" w:rsidTr="00785811">
        <w:tc>
          <w:tcPr>
            <w:tcW w:w="2581" w:type="dxa"/>
            <w:tcBorders>
              <w:top w:val="nil"/>
              <w:bottom w:val="single" w:sz="4" w:space="0" w:color="auto"/>
            </w:tcBorders>
          </w:tcPr>
          <w:p w14:paraId="55A27019" w14:textId="77777777" w:rsidR="0080074E" w:rsidRPr="00021B79" w:rsidRDefault="0080074E" w:rsidP="00290447">
            <w:pPr>
              <w:rPr>
                <w:rFonts w:ascii="Arial" w:hAnsi="Arial" w:cs="Arial"/>
                <w:sz w:val="20"/>
                <w:szCs w:val="20"/>
              </w:rPr>
            </w:pPr>
            <w:r w:rsidRPr="00021B79">
              <w:rPr>
                <w:rFonts w:ascii="Arial" w:hAnsi="Arial" w:cs="Arial"/>
                <w:sz w:val="20"/>
                <w:szCs w:val="20"/>
              </w:rPr>
              <w:t>Constant</w:t>
            </w:r>
          </w:p>
          <w:p w14:paraId="53B34F97" w14:textId="77777777" w:rsidR="0080074E" w:rsidRPr="00021B79" w:rsidRDefault="0080074E" w:rsidP="00290447">
            <w:pPr>
              <w:rPr>
                <w:rFonts w:ascii="Arial" w:hAnsi="Arial" w:cs="Arial"/>
                <w:sz w:val="20"/>
                <w:szCs w:val="20"/>
              </w:rPr>
            </w:pPr>
          </w:p>
          <w:p w14:paraId="21012BE6" w14:textId="77777777" w:rsidR="0080074E" w:rsidRPr="00021B79" w:rsidRDefault="0080074E" w:rsidP="00290447">
            <w:pPr>
              <w:rPr>
                <w:rFonts w:ascii="Arial" w:hAnsi="Arial" w:cs="Arial"/>
                <w:sz w:val="20"/>
                <w:szCs w:val="20"/>
              </w:rPr>
            </w:pPr>
            <w:r w:rsidRPr="00021B79">
              <w:rPr>
                <w:rFonts w:ascii="Arial" w:hAnsi="Arial" w:cs="Arial"/>
                <w:sz w:val="20"/>
                <w:szCs w:val="20"/>
              </w:rPr>
              <w:t>No. of obs.</w:t>
            </w:r>
          </w:p>
          <w:p w14:paraId="44FDDA71"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-2Log likelihood </w:t>
            </w:r>
          </w:p>
          <w:p w14:paraId="59B1EA41" w14:textId="77777777" w:rsidR="0080074E" w:rsidRPr="00021B79" w:rsidRDefault="0080074E" w:rsidP="00290447">
            <w:pPr>
              <w:rPr>
                <w:rFonts w:ascii="Arial" w:hAnsi="Arial" w:cs="Arial"/>
                <w:sz w:val="20"/>
                <w:szCs w:val="20"/>
              </w:rPr>
            </w:pPr>
            <w:r w:rsidRPr="00021B79">
              <w:rPr>
                <w:rFonts w:ascii="Arial" w:hAnsi="Arial" w:cs="Arial"/>
                <w:sz w:val="20"/>
                <w:szCs w:val="20"/>
              </w:rPr>
              <w:t>Pseudo R</w:t>
            </w:r>
            <w:r w:rsidRPr="00021B79">
              <w:rPr>
                <w:rFonts w:ascii="Arial" w:hAnsi="Arial" w:cs="Arial"/>
                <w:sz w:val="20"/>
                <w:szCs w:val="20"/>
                <w:vertAlign w:val="superscript"/>
              </w:rPr>
              <w:t>2</w:t>
            </w:r>
          </w:p>
          <w:p w14:paraId="75039C07" w14:textId="1DD0D661" w:rsidR="005C3C5E" w:rsidRPr="00021B79" w:rsidRDefault="0080074E" w:rsidP="00290447">
            <w:pPr>
              <w:rPr>
                <w:rFonts w:ascii="Arial" w:hAnsi="Arial" w:cs="Arial"/>
                <w:sz w:val="20"/>
                <w:szCs w:val="20"/>
              </w:rPr>
            </w:pPr>
            <w:r w:rsidRPr="00021B79">
              <w:rPr>
                <w:rFonts w:ascii="Arial" w:hAnsi="Arial" w:cs="Arial"/>
                <w:sz w:val="20"/>
                <w:szCs w:val="20"/>
              </w:rPr>
              <w:t>Nagelkerke</w:t>
            </w:r>
            <w:r w:rsidR="005C3C5E" w:rsidRPr="00021B79">
              <w:rPr>
                <w:rFonts w:ascii="Arial" w:hAnsi="Arial" w:cs="Arial"/>
                <w:sz w:val="20"/>
                <w:szCs w:val="20"/>
              </w:rPr>
              <w:t xml:space="preserve"> R</w:t>
            </w:r>
            <w:r w:rsidR="005C3C5E" w:rsidRPr="00021B79">
              <w:rPr>
                <w:rFonts w:ascii="Arial" w:hAnsi="Arial" w:cs="Arial"/>
                <w:sz w:val="20"/>
                <w:szCs w:val="20"/>
                <w:vertAlign w:val="superscript"/>
              </w:rPr>
              <w:t>2</w:t>
            </w:r>
          </w:p>
          <w:p w14:paraId="1974AB37" w14:textId="49ABB0E1" w:rsidR="005C3C5E" w:rsidRPr="00021B79" w:rsidRDefault="005C3C5E" w:rsidP="00290447">
            <w:pPr>
              <w:rPr>
                <w:rFonts w:ascii="Arial" w:hAnsi="Arial" w:cs="Arial"/>
                <w:sz w:val="20"/>
                <w:szCs w:val="20"/>
              </w:rPr>
            </w:pPr>
            <w:r w:rsidRPr="00021B79">
              <w:rPr>
                <w:rFonts w:ascii="Arial" w:hAnsi="Arial" w:cs="Arial"/>
                <w:sz w:val="20"/>
                <w:szCs w:val="20"/>
              </w:rPr>
              <w:t>Prob &gt; Chi</w:t>
            </w:r>
            <w:r w:rsidRPr="00021B79">
              <w:rPr>
                <w:rFonts w:ascii="Arial" w:hAnsi="Arial" w:cs="Arial"/>
                <w:sz w:val="20"/>
                <w:szCs w:val="20"/>
                <w:vertAlign w:val="superscript"/>
              </w:rPr>
              <w:t>2</w:t>
            </w:r>
          </w:p>
        </w:tc>
        <w:tc>
          <w:tcPr>
            <w:tcW w:w="1100" w:type="dxa"/>
            <w:tcBorders>
              <w:top w:val="nil"/>
              <w:bottom w:val="single" w:sz="4" w:space="0" w:color="auto"/>
            </w:tcBorders>
          </w:tcPr>
          <w:p w14:paraId="2BD90A2A" w14:textId="77777777" w:rsidR="0080074E" w:rsidRPr="00021B79" w:rsidRDefault="0080074E" w:rsidP="00290447">
            <w:pPr>
              <w:rPr>
                <w:rFonts w:ascii="Arial" w:hAnsi="Arial" w:cs="Arial"/>
                <w:sz w:val="20"/>
                <w:szCs w:val="20"/>
              </w:rPr>
            </w:pPr>
            <w:r w:rsidRPr="00021B79">
              <w:rPr>
                <w:rFonts w:ascii="Arial" w:hAnsi="Arial" w:cs="Arial"/>
                <w:sz w:val="20"/>
                <w:szCs w:val="20"/>
              </w:rPr>
              <w:t>-4.407</w:t>
            </w:r>
          </w:p>
          <w:p w14:paraId="4067B50A" w14:textId="77777777" w:rsidR="0080074E" w:rsidRPr="00021B79" w:rsidRDefault="0080074E" w:rsidP="00290447">
            <w:pPr>
              <w:rPr>
                <w:rFonts w:ascii="Arial" w:hAnsi="Arial" w:cs="Arial"/>
                <w:sz w:val="20"/>
                <w:szCs w:val="20"/>
              </w:rPr>
            </w:pPr>
          </w:p>
          <w:p w14:paraId="65991AEB" w14:textId="5DBF5B83" w:rsidR="0080074E" w:rsidRPr="00021B79" w:rsidRDefault="0080074E" w:rsidP="00290447">
            <w:pPr>
              <w:rPr>
                <w:rFonts w:ascii="Arial" w:hAnsi="Arial" w:cs="Arial"/>
                <w:sz w:val="20"/>
                <w:szCs w:val="20"/>
              </w:rPr>
            </w:pPr>
            <w:r w:rsidRPr="00021B79">
              <w:rPr>
                <w:rFonts w:ascii="Arial" w:hAnsi="Arial" w:cs="Arial"/>
                <w:sz w:val="20"/>
                <w:szCs w:val="20"/>
              </w:rPr>
              <w:t xml:space="preserve"> </w:t>
            </w:r>
            <w:r w:rsidR="009134AB">
              <w:rPr>
                <w:rFonts w:ascii="Arial" w:hAnsi="Arial" w:cs="Arial"/>
                <w:sz w:val="20"/>
                <w:szCs w:val="20"/>
              </w:rPr>
              <w:t xml:space="preserve">   </w:t>
            </w:r>
            <w:r w:rsidR="00A90A5C">
              <w:rPr>
                <w:rFonts w:ascii="Arial" w:hAnsi="Arial" w:cs="Arial"/>
                <w:sz w:val="20"/>
                <w:szCs w:val="20"/>
              </w:rPr>
              <w:t xml:space="preserve">    </w:t>
            </w:r>
            <w:r w:rsidRPr="00021B79">
              <w:rPr>
                <w:rFonts w:ascii="Arial" w:hAnsi="Arial" w:cs="Arial"/>
                <w:sz w:val="20"/>
                <w:szCs w:val="20"/>
              </w:rPr>
              <w:t>282</w:t>
            </w:r>
          </w:p>
          <w:p w14:paraId="3DAAA4DA" w14:textId="77777777" w:rsidR="0080074E" w:rsidRPr="00021B79" w:rsidRDefault="0080074E" w:rsidP="00290447">
            <w:pPr>
              <w:rPr>
                <w:rFonts w:ascii="Arial" w:hAnsi="Arial" w:cs="Arial"/>
                <w:sz w:val="20"/>
                <w:szCs w:val="20"/>
                <w:vertAlign w:val="superscript"/>
              </w:rPr>
            </w:pPr>
            <w:r w:rsidRPr="00021B79">
              <w:rPr>
                <w:rFonts w:ascii="Arial" w:hAnsi="Arial" w:cs="Arial"/>
                <w:sz w:val="20"/>
                <w:szCs w:val="20"/>
              </w:rPr>
              <w:t xml:space="preserve"> 292.725</w:t>
            </w:r>
            <w:r w:rsidRPr="00021B79">
              <w:rPr>
                <w:rFonts w:ascii="Arial" w:hAnsi="Arial" w:cs="Arial"/>
                <w:sz w:val="20"/>
                <w:szCs w:val="20"/>
                <w:vertAlign w:val="superscript"/>
              </w:rPr>
              <w:t xml:space="preserve">  </w:t>
            </w:r>
          </w:p>
          <w:p w14:paraId="56832638" w14:textId="29F5ECDF" w:rsidR="0080074E" w:rsidRPr="00021B79" w:rsidRDefault="0080074E" w:rsidP="00290447">
            <w:pPr>
              <w:rPr>
                <w:rFonts w:ascii="Arial" w:hAnsi="Arial" w:cs="Arial"/>
                <w:sz w:val="20"/>
                <w:szCs w:val="20"/>
              </w:rPr>
            </w:pPr>
            <w:r w:rsidRPr="00021B79">
              <w:rPr>
                <w:rFonts w:ascii="Arial" w:hAnsi="Arial" w:cs="Arial"/>
                <w:sz w:val="20"/>
                <w:szCs w:val="20"/>
              </w:rPr>
              <w:t xml:space="preserve"> </w:t>
            </w:r>
            <w:r w:rsidR="009134AB">
              <w:rPr>
                <w:rFonts w:ascii="Arial" w:hAnsi="Arial" w:cs="Arial"/>
                <w:sz w:val="20"/>
                <w:szCs w:val="20"/>
              </w:rPr>
              <w:t xml:space="preserve">    </w:t>
            </w:r>
            <w:r w:rsidRPr="00021B79">
              <w:rPr>
                <w:rFonts w:ascii="Arial" w:hAnsi="Arial" w:cs="Arial"/>
                <w:sz w:val="20"/>
                <w:szCs w:val="20"/>
              </w:rPr>
              <w:t>0.278</w:t>
            </w:r>
          </w:p>
          <w:p w14:paraId="4FA19569" w14:textId="71680CA6" w:rsidR="0080074E" w:rsidRPr="00021B79" w:rsidRDefault="0080074E" w:rsidP="00290447">
            <w:pPr>
              <w:rPr>
                <w:rFonts w:ascii="Arial" w:hAnsi="Arial" w:cs="Arial"/>
                <w:sz w:val="20"/>
                <w:szCs w:val="20"/>
              </w:rPr>
            </w:pPr>
            <w:r w:rsidRPr="00021B79">
              <w:rPr>
                <w:rFonts w:ascii="Arial" w:hAnsi="Arial" w:cs="Arial"/>
                <w:sz w:val="20"/>
                <w:szCs w:val="20"/>
              </w:rPr>
              <w:t xml:space="preserve"> </w:t>
            </w:r>
            <w:r w:rsidR="009134AB">
              <w:rPr>
                <w:rFonts w:ascii="Arial" w:hAnsi="Arial" w:cs="Arial"/>
                <w:sz w:val="20"/>
                <w:szCs w:val="20"/>
              </w:rPr>
              <w:t xml:space="preserve">    </w:t>
            </w:r>
            <w:r w:rsidRPr="00021B79">
              <w:rPr>
                <w:rFonts w:ascii="Arial" w:hAnsi="Arial" w:cs="Arial"/>
                <w:sz w:val="20"/>
                <w:szCs w:val="20"/>
              </w:rPr>
              <w:t>0.374</w:t>
            </w:r>
          </w:p>
          <w:p w14:paraId="005E292F" w14:textId="4E69772E" w:rsidR="005C3C5E" w:rsidRPr="00021B79" w:rsidRDefault="009134AB" w:rsidP="00290447">
            <w:pPr>
              <w:rPr>
                <w:rFonts w:ascii="Arial" w:hAnsi="Arial" w:cs="Arial"/>
                <w:sz w:val="20"/>
                <w:szCs w:val="20"/>
              </w:rPr>
            </w:pPr>
            <w:r>
              <w:rPr>
                <w:rFonts w:ascii="Arial" w:hAnsi="Arial" w:cs="Arial"/>
                <w:sz w:val="20"/>
                <w:szCs w:val="20"/>
              </w:rPr>
              <w:t xml:space="preserve">     </w:t>
            </w:r>
            <w:r w:rsidR="005C3C5E" w:rsidRPr="00021B79">
              <w:rPr>
                <w:rFonts w:ascii="Arial" w:hAnsi="Arial" w:cs="Arial"/>
                <w:sz w:val="20"/>
                <w:szCs w:val="20"/>
              </w:rPr>
              <w:t>0.001</w:t>
            </w:r>
          </w:p>
        </w:tc>
        <w:tc>
          <w:tcPr>
            <w:tcW w:w="963" w:type="dxa"/>
            <w:tcBorders>
              <w:top w:val="nil"/>
              <w:bottom w:val="single" w:sz="4" w:space="0" w:color="auto"/>
            </w:tcBorders>
          </w:tcPr>
          <w:p w14:paraId="375EA6B3" w14:textId="77777777" w:rsidR="0080074E" w:rsidRPr="00021B79" w:rsidRDefault="0080074E" w:rsidP="00290447">
            <w:pPr>
              <w:rPr>
                <w:rFonts w:ascii="Arial" w:hAnsi="Arial" w:cs="Arial"/>
                <w:sz w:val="20"/>
                <w:szCs w:val="20"/>
              </w:rPr>
            </w:pPr>
            <w:r w:rsidRPr="00021B79">
              <w:rPr>
                <w:rFonts w:ascii="Arial" w:hAnsi="Arial" w:cs="Arial"/>
                <w:sz w:val="20"/>
                <w:szCs w:val="20"/>
              </w:rPr>
              <w:t>1.617</w:t>
            </w:r>
          </w:p>
        </w:tc>
        <w:tc>
          <w:tcPr>
            <w:tcW w:w="880" w:type="dxa"/>
            <w:tcBorders>
              <w:top w:val="nil"/>
              <w:bottom w:val="single" w:sz="4" w:space="0" w:color="auto"/>
            </w:tcBorders>
          </w:tcPr>
          <w:p w14:paraId="452DE477"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7.430</w:t>
            </w:r>
          </w:p>
        </w:tc>
        <w:tc>
          <w:tcPr>
            <w:tcW w:w="1275" w:type="dxa"/>
            <w:tcBorders>
              <w:top w:val="nil"/>
              <w:bottom w:val="single" w:sz="4" w:space="0" w:color="auto"/>
            </w:tcBorders>
          </w:tcPr>
          <w:p w14:paraId="0CA27D61" w14:textId="77777777" w:rsidR="0080074E" w:rsidRPr="00021B79" w:rsidRDefault="0080074E" w:rsidP="00290447">
            <w:pPr>
              <w:rPr>
                <w:rFonts w:ascii="Arial" w:hAnsi="Arial" w:cs="Arial"/>
                <w:sz w:val="20"/>
                <w:szCs w:val="20"/>
              </w:rPr>
            </w:pPr>
            <w:r w:rsidRPr="00021B79">
              <w:rPr>
                <w:rFonts w:ascii="Arial" w:hAnsi="Arial" w:cs="Arial"/>
                <w:sz w:val="20"/>
                <w:szCs w:val="20"/>
              </w:rPr>
              <w:t xml:space="preserve">  0.006***</w:t>
            </w:r>
          </w:p>
        </w:tc>
        <w:tc>
          <w:tcPr>
            <w:tcW w:w="993" w:type="dxa"/>
            <w:tcBorders>
              <w:top w:val="nil"/>
              <w:bottom w:val="single" w:sz="4" w:space="0" w:color="auto"/>
            </w:tcBorders>
          </w:tcPr>
          <w:p w14:paraId="50B0A50A" w14:textId="77777777" w:rsidR="0080074E" w:rsidRPr="00021B79" w:rsidRDefault="0080074E" w:rsidP="00290447">
            <w:pPr>
              <w:rPr>
                <w:rFonts w:ascii="Arial" w:hAnsi="Arial" w:cs="Arial"/>
                <w:sz w:val="20"/>
                <w:szCs w:val="20"/>
              </w:rPr>
            </w:pPr>
            <w:r w:rsidRPr="00021B79">
              <w:rPr>
                <w:rFonts w:ascii="Arial" w:hAnsi="Arial" w:cs="Arial"/>
                <w:sz w:val="20"/>
                <w:szCs w:val="20"/>
              </w:rPr>
              <w:t>0.012</w:t>
            </w:r>
          </w:p>
        </w:tc>
      </w:tr>
    </w:tbl>
    <w:p w14:paraId="34EF67AB" w14:textId="77777777" w:rsidR="00B8783E" w:rsidRDefault="00B8783E" w:rsidP="00441B6F">
      <w:pPr>
        <w:pStyle w:val="Body"/>
        <w:spacing w:after="0"/>
        <w:rPr>
          <w:rFonts w:ascii="Arial" w:hAnsi="Arial" w:cs="Arial"/>
        </w:rPr>
      </w:pPr>
    </w:p>
    <w:p w14:paraId="27237153" w14:textId="77777777" w:rsidR="003E2CFF" w:rsidRDefault="003E2CFF" w:rsidP="00441B6F">
      <w:pPr>
        <w:pStyle w:val="Body"/>
        <w:spacing w:after="0"/>
        <w:rPr>
          <w:rFonts w:ascii="Arial" w:hAnsi="Arial" w:cs="Arial"/>
        </w:rPr>
      </w:pPr>
    </w:p>
    <w:p w14:paraId="37788CA6" w14:textId="77777777" w:rsidR="00C50BE6" w:rsidRDefault="00C50BE6" w:rsidP="00441B6F">
      <w:pPr>
        <w:pStyle w:val="Body"/>
        <w:spacing w:after="0"/>
        <w:rPr>
          <w:rFonts w:ascii="Arial" w:hAnsi="Arial" w:cs="Arial"/>
          <w:i/>
          <w:iCs/>
        </w:rPr>
      </w:pPr>
    </w:p>
    <w:p w14:paraId="72836453" w14:textId="77777777" w:rsidR="00C50BE6" w:rsidRDefault="00C50BE6" w:rsidP="00441B6F">
      <w:pPr>
        <w:pStyle w:val="Body"/>
        <w:spacing w:after="0"/>
        <w:rPr>
          <w:rFonts w:ascii="Arial" w:hAnsi="Arial" w:cs="Arial"/>
          <w:i/>
          <w:iCs/>
        </w:rPr>
      </w:pPr>
    </w:p>
    <w:p w14:paraId="3CE678B8" w14:textId="77777777" w:rsidR="00C50BE6" w:rsidRDefault="00C50BE6" w:rsidP="00441B6F">
      <w:pPr>
        <w:pStyle w:val="Body"/>
        <w:spacing w:after="0"/>
        <w:rPr>
          <w:rFonts w:ascii="Arial" w:hAnsi="Arial" w:cs="Arial"/>
          <w:i/>
          <w:iCs/>
        </w:rPr>
      </w:pPr>
    </w:p>
    <w:p w14:paraId="2E2AD46C" w14:textId="381CA661" w:rsidR="003E2CFF" w:rsidRPr="00BF12B7" w:rsidRDefault="003E2CFF" w:rsidP="00441B6F">
      <w:pPr>
        <w:pStyle w:val="Body"/>
        <w:spacing w:after="0"/>
        <w:rPr>
          <w:rFonts w:ascii="Arial" w:hAnsi="Arial" w:cs="Arial"/>
          <w:i/>
          <w:iCs/>
        </w:rPr>
      </w:pPr>
      <w:r w:rsidRPr="00BF12B7">
        <w:rPr>
          <w:rFonts w:ascii="Arial" w:hAnsi="Arial" w:cs="Arial"/>
          <w:i/>
          <w:iCs/>
        </w:rPr>
        <w:t>Note: *, **, and *** determine the significance levels at 10%, 5%, and 1%, respectively.</w:t>
      </w:r>
      <w:r w:rsidR="00BF12B7" w:rsidRPr="00BF12B7">
        <w:rPr>
          <w:rFonts w:ascii="Arial" w:hAnsi="Arial" w:cs="Arial"/>
          <w:i/>
          <w:iCs/>
        </w:rPr>
        <w:t xml:space="preserve"> </w:t>
      </w:r>
    </w:p>
    <w:p w14:paraId="18F1AE46" w14:textId="77777777" w:rsidR="003E2CFF" w:rsidRPr="00FB3A86" w:rsidRDefault="003E2CFF" w:rsidP="00441B6F">
      <w:pPr>
        <w:pStyle w:val="Body"/>
        <w:spacing w:after="0"/>
        <w:rPr>
          <w:rFonts w:ascii="Arial" w:hAnsi="Arial" w:cs="Arial"/>
        </w:rPr>
      </w:pPr>
    </w:p>
    <w:p w14:paraId="195DC2EF" w14:textId="4EB38D6F"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r w:rsidR="004B09F2">
        <w:rPr>
          <w:rFonts w:ascii="Arial" w:hAnsi="Arial" w:cs="Arial"/>
        </w:rPr>
        <w:t xml:space="preserve"> AND RECOMMENDATIONS</w:t>
      </w:r>
    </w:p>
    <w:p w14:paraId="3D0BFD40" w14:textId="77777777" w:rsidR="00790ADA" w:rsidRPr="00FB3A86" w:rsidRDefault="00790ADA" w:rsidP="00441B6F">
      <w:pPr>
        <w:pStyle w:val="ConcHead"/>
        <w:spacing w:after="0"/>
        <w:jc w:val="both"/>
        <w:rPr>
          <w:rFonts w:ascii="Arial" w:hAnsi="Arial" w:cs="Arial"/>
        </w:rPr>
      </w:pPr>
    </w:p>
    <w:p w14:paraId="4FC5E685" w14:textId="0F259095" w:rsidR="00067367" w:rsidRDefault="00067367" w:rsidP="001C528A">
      <w:pPr>
        <w:pStyle w:val="Body"/>
        <w:rPr>
          <w:rFonts w:ascii="Arial" w:hAnsi="Arial" w:cs="Arial"/>
        </w:rPr>
      </w:pPr>
      <w:r w:rsidRPr="00067367">
        <w:rPr>
          <w:rFonts w:ascii="Arial" w:hAnsi="Arial" w:cs="Arial"/>
        </w:rPr>
        <w:t>This study examined whether or not farmland ownership influences smallholder farmers’ investment in irrigation infrastructure in Ghana’s Volta Region. Analysis of respondents’ socio-demographic characteristics revealed that men were represented more in agriculture, and most farmers (75%) were married with an average household size of five. Literacy levels suggested some potential for supporting farm expansion and irrigation adoption. However, the aging farming population limited long-term investments in farmland and irrigation facilities. Economic constraints were significant. With no alternative sources of income, farmers struggled to balance household needs with the high costs of land and irrigation development. As a result, they lacked the financial resources to expand farms, and or construct irrigation systems. Labor shortages compounded these challenges, as 51% of respondents had no hired workers and depended mainly on family labor. Nearly half of the farmers (48%) cultivated small plots of less than five acres, often in different locations, making irrigation development costly and less attractive. Small farm sizes and the absence of reservoirs or other water storage facilities further reduced farmers’ interest in irrigation development. Respondents (68%) farmed for nearly 24 years but did not use irrigation. Instead, they relied on rainfall.</w:t>
      </w:r>
    </w:p>
    <w:p w14:paraId="17BDDEF3" w14:textId="69090261" w:rsidR="00067367" w:rsidRDefault="00067367" w:rsidP="001C528A">
      <w:pPr>
        <w:pStyle w:val="Body"/>
        <w:spacing w:after="0"/>
        <w:rPr>
          <w:rFonts w:ascii="Arial" w:hAnsi="Arial" w:cs="Arial"/>
        </w:rPr>
      </w:pPr>
      <w:r w:rsidRPr="00067367">
        <w:rPr>
          <w:rFonts w:ascii="Arial" w:hAnsi="Arial" w:cs="Arial"/>
        </w:rPr>
        <w:t>Regarding land ownership, most respondents (86%) agreed to invest in irrigation facilities only if they own farmland because landownership gives them security. It was difficult for farmers to decide to invest in irrigation development because they feared losing their investment if their landlords reclaimed the farmland. Farmers’ lack of investment in irrigation contributes to a decline in productivity and yields.</w:t>
      </w:r>
    </w:p>
    <w:p w14:paraId="3493AE2A" w14:textId="77777777" w:rsidR="00067367" w:rsidRDefault="00067367" w:rsidP="001C528A">
      <w:pPr>
        <w:pStyle w:val="Body"/>
        <w:spacing w:after="0"/>
        <w:rPr>
          <w:rFonts w:ascii="Arial" w:hAnsi="Arial" w:cs="Arial"/>
        </w:rPr>
      </w:pPr>
    </w:p>
    <w:p w14:paraId="539745DC" w14:textId="2B240199" w:rsidR="00790ADA" w:rsidRDefault="00015387" w:rsidP="00441B6F">
      <w:pPr>
        <w:pStyle w:val="Body"/>
        <w:spacing w:after="0"/>
        <w:rPr>
          <w:rFonts w:ascii="Arial" w:hAnsi="Arial" w:cs="Arial"/>
        </w:rPr>
      </w:pPr>
      <w:r w:rsidRPr="00015387">
        <w:rPr>
          <w:rFonts w:ascii="Arial" w:hAnsi="Arial" w:cs="Arial"/>
        </w:rPr>
        <w:t xml:space="preserve">Several other factors discouraged farmers from investing in irrigation. High upfront costs, ongoing maintenance expenses, and the distance of farms from water sources made irrigation financially unattractive. Technical barriers further limited adoption, as all respondents lacked the skills needed to operate and maintain irrigation systems. Land tenure insecurity was another major constraint. Most farmers (91%) lacked formal land documents, leaving them vulnerable to land repossession by landlords. In fact, 71% did not own the land they cultivated, making them reluctant to commit to long-term investments. Concerns about land conflicts and potential displacement reinforced their indecisiveness. Age, farm size, household income, and extension support had positive and statistically significant correlations with farmers’ investment in irrigation infrastructure. These factors influenced farmers’ decisions to invest in irrigation infrastructure. Older farmers were more willing to invest as their physical strength declines. Increased farm sizes encouraged investment decisions due </w:t>
      </w:r>
      <w:r w:rsidRPr="00015387">
        <w:rPr>
          <w:rFonts w:ascii="Arial" w:hAnsi="Arial" w:cs="Arial"/>
        </w:rPr>
        <w:lastRenderedPageBreak/>
        <w:t>to economies of scale. Farmers with stronger financial capacity were more likely to invest. In addition, extension support provided knowledge that helped farmers make informed decisions to invest in irrigation practices. Gender had a negative and statistically significant association with farmers’ investment in irrigation infrastructure. This was further constrained by financial obligations that reduced their decision to invest. As this paper demonstrated, there is the need for targeted interventions such as financial support, technical skills training, improved water infrastructure, secured land tenure, and conflict resolution mechanisms at community levels to encourage farmers to invest in the development of irrigation infrastructure.</w:t>
      </w:r>
      <w:r>
        <w:rPr>
          <w:rFonts w:ascii="Arial" w:hAnsi="Arial" w:cs="Arial"/>
        </w:rPr>
        <w:t xml:space="preserve"> </w:t>
      </w:r>
    </w:p>
    <w:p w14:paraId="3131EB1F" w14:textId="77777777" w:rsidR="00560ECF" w:rsidRDefault="00560ECF" w:rsidP="006E77F9">
      <w:pPr>
        <w:jc w:val="both"/>
      </w:pPr>
    </w:p>
    <w:p w14:paraId="2F254FFA" w14:textId="19F82562" w:rsidR="00560ECF" w:rsidRPr="00560ECF" w:rsidRDefault="00560ECF" w:rsidP="006E77F9">
      <w:pPr>
        <w:jc w:val="both"/>
        <w:rPr>
          <w:rFonts w:ascii="Arial" w:hAnsi="Arial" w:cs="Arial"/>
          <w:b/>
          <w:bCs/>
          <w:sz w:val="22"/>
          <w:szCs w:val="22"/>
        </w:rPr>
      </w:pPr>
      <w:r w:rsidRPr="00560ECF">
        <w:rPr>
          <w:rFonts w:ascii="Arial" w:hAnsi="Arial" w:cs="Arial"/>
          <w:b/>
          <w:bCs/>
          <w:sz w:val="22"/>
          <w:szCs w:val="22"/>
        </w:rPr>
        <w:t>CONSENT</w:t>
      </w:r>
    </w:p>
    <w:p w14:paraId="4426D741" w14:textId="77777777" w:rsidR="00560ECF" w:rsidRDefault="00560ECF" w:rsidP="006E77F9">
      <w:pPr>
        <w:jc w:val="both"/>
      </w:pPr>
    </w:p>
    <w:p w14:paraId="799A4A1A" w14:textId="27A0E254" w:rsidR="008F5804" w:rsidRDefault="00560ECF" w:rsidP="006E77F9">
      <w:pPr>
        <w:jc w:val="both"/>
        <w:rPr>
          <w:rFonts w:ascii="Arial" w:hAnsi="Arial" w:cs="Arial"/>
        </w:rPr>
      </w:pPr>
      <w:r w:rsidRPr="00E01B88">
        <w:rPr>
          <w:rFonts w:ascii="Arial" w:hAnsi="Arial" w:cs="Arial"/>
        </w:rPr>
        <w:t>As per international standards or university standards, respondents’ written consent has been collected and preserved by the author(s).</w:t>
      </w:r>
    </w:p>
    <w:p w14:paraId="0105EC43" w14:textId="77777777" w:rsidR="00BF4776" w:rsidRDefault="00BF4776" w:rsidP="006E77F9">
      <w:pPr>
        <w:jc w:val="both"/>
        <w:rPr>
          <w:rFonts w:ascii="Arial" w:hAnsi="Arial" w:cs="Arial"/>
          <w:b/>
          <w:bCs/>
        </w:rPr>
      </w:pPr>
    </w:p>
    <w:p w14:paraId="533F32F1" w14:textId="5B3AFCED" w:rsidR="00F876B9" w:rsidRPr="00F876B9" w:rsidRDefault="00F876B9" w:rsidP="006E77F9">
      <w:pPr>
        <w:jc w:val="both"/>
        <w:rPr>
          <w:rFonts w:ascii="Arial" w:hAnsi="Arial" w:cs="Arial"/>
          <w:b/>
          <w:bCs/>
        </w:rPr>
      </w:pPr>
      <w:r w:rsidRPr="00F876B9">
        <w:rPr>
          <w:rFonts w:ascii="Arial" w:hAnsi="Arial" w:cs="Arial"/>
          <w:b/>
          <w:bCs/>
        </w:rPr>
        <w:t>REFERENCES</w:t>
      </w:r>
    </w:p>
    <w:p w14:paraId="4FAC8BAE" w14:textId="77777777" w:rsidR="00F10A79" w:rsidRPr="001560EF" w:rsidRDefault="00F10A79" w:rsidP="002E1AA3">
      <w:pPr>
        <w:pStyle w:val="ReferHead"/>
        <w:spacing w:after="0"/>
        <w:jc w:val="both"/>
        <w:rPr>
          <w:rFonts w:ascii="Arial" w:hAnsi="Arial" w:cs="Arial"/>
        </w:rPr>
      </w:pPr>
    </w:p>
    <w:p w14:paraId="5785434D" w14:textId="77777777" w:rsidR="00F10A79" w:rsidRPr="00F10A79" w:rsidRDefault="00F10A79" w:rsidP="00F10A79">
      <w:pPr>
        <w:pStyle w:val="Body"/>
        <w:rPr>
          <w:rFonts w:ascii="Arial" w:hAnsi="Arial" w:cs="Arial"/>
        </w:rPr>
      </w:pPr>
      <w:r w:rsidRPr="00F10A79">
        <w:rPr>
          <w:rFonts w:ascii="Arial" w:hAnsi="Arial" w:cs="Arial"/>
        </w:rPr>
        <w:t>Aboagye, G., Pobee, G., Annan-Asare, J., &amp; Adom, T. (2024). Assessment of obesity among pregnant women in the Volta Region of Ghana. Journal of Pharmacy and Nutrition Sciences, 14(1), 41–43. https://doi.org/10.29169/1927-5951.2024.14.06</w:t>
      </w:r>
    </w:p>
    <w:p w14:paraId="2E73D710" w14:textId="77777777" w:rsidR="00F10A79" w:rsidRPr="00F10A79" w:rsidRDefault="00F10A79" w:rsidP="00F10A79">
      <w:pPr>
        <w:pStyle w:val="Body"/>
        <w:rPr>
          <w:rFonts w:ascii="Arial" w:hAnsi="Arial" w:cs="Arial"/>
        </w:rPr>
      </w:pPr>
      <w:r w:rsidRPr="00F10A79">
        <w:rPr>
          <w:rFonts w:ascii="Arial" w:hAnsi="Arial" w:cs="Arial"/>
        </w:rPr>
        <w:t>Abugri, S. A., Amikuzuno, J., &amp; Daadi, E. B. (2017). Looking out for a better mitigation strategy: Smallholder farmers’ willingness to pay for drought-index crop insurance premium in the Northern Region of Ghana. Agriculture &amp; Food Security, 6(1), 71. https://doi.org/10.1186/s40066-017-0152-2</w:t>
      </w:r>
    </w:p>
    <w:p w14:paraId="2D0E3E7B" w14:textId="77777777" w:rsidR="00F10A79" w:rsidRPr="00F10A79" w:rsidRDefault="00F10A79" w:rsidP="00F10A79">
      <w:pPr>
        <w:pStyle w:val="Body"/>
        <w:rPr>
          <w:rFonts w:ascii="Arial" w:hAnsi="Arial" w:cs="Arial"/>
        </w:rPr>
      </w:pPr>
      <w:r w:rsidRPr="00F10A79">
        <w:rPr>
          <w:rFonts w:ascii="Arial" w:hAnsi="Arial" w:cs="Arial"/>
        </w:rPr>
        <w:t xml:space="preserve">Acheampong, D., Balana, B. B., Nimoh, F., &amp; Abaidoo, R. C. (2018). Assessing the effectiveness and impact of agricultural water management interventions: The case of small reservoirs in Northern Ghana. Agricultural Water Management, 209, 163–170. </w:t>
      </w:r>
    </w:p>
    <w:p w14:paraId="167FBAF8" w14:textId="77777777" w:rsidR="00F10A79" w:rsidRPr="00F10A79" w:rsidRDefault="00F10A79" w:rsidP="00F10A79">
      <w:pPr>
        <w:pStyle w:val="Body"/>
        <w:rPr>
          <w:rFonts w:ascii="Arial" w:hAnsi="Arial" w:cs="Arial"/>
        </w:rPr>
      </w:pPr>
      <w:r w:rsidRPr="00F10A79">
        <w:rPr>
          <w:rFonts w:ascii="Arial" w:hAnsi="Arial" w:cs="Arial"/>
        </w:rPr>
        <w:t>Addaney, M., Akudugu, J. A., Asibey, M. O., Akaateba, M. A., &amp; Kuusaana, E. D. (2022). Changing land tenure regimes and women’s access to secure land for cocoa cultivation in rural Ghana. Land Use Policy, 120, 106292. https://doi.org/10.1016/j.landusepol.2022.106292</w:t>
      </w:r>
    </w:p>
    <w:p w14:paraId="3D347E1B" w14:textId="77777777" w:rsidR="00F10A79" w:rsidRPr="00F10A79" w:rsidRDefault="00F10A79" w:rsidP="00F10A79">
      <w:pPr>
        <w:pStyle w:val="Body"/>
        <w:rPr>
          <w:rFonts w:ascii="Arial" w:hAnsi="Arial" w:cs="Arial"/>
        </w:rPr>
      </w:pPr>
      <w:r w:rsidRPr="00F10A79">
        <w:rPr>
          <w:rFonts w:ascii="Arial" w:hAnsi="Arial" w:cs="Arial"/>
        </w:rPr>
        <w:t>Akber, N., Paltasingh, K. R., Mishra, A. K., &amp; Goyari, P. (2024). Land ownership security, farm investment, and investment risk in Indian agriculture: Evidence from nationally representative survey. Journal of Agricultural and Applied Economics, 56(2), 278-296.</w:t>
      </w:r>
    </w:p>
    <w:p w14:paraId="21D6ACA0" w14:textId="77777777" w:rsidR="00F10A79" w:rsidRPr="00F10A79" w:rsidRDefault="00F10A79" w:rsidP="00F10A79">
      <w:pPr>
        <w:pStyle w:val="Body"/>
        <w:rPr>
          <w:rFonts w:ascii="Arial" w:hAnsi="Arial" w:cs="Arial"/>
        </w:rPr>
      </w:pPr>
      <w:r w:rsidRPr="00F10A79">
        <w:rPr>
          <w:rFonts w:ascii="Arial" w:hAnsi="Arial" w:cs="Arial"/>
        </w:rPr>
        <w:t>Akinade, A. R., Isaac, A. S., &amp; Olasunkanmi, O. S. (2020). Information technology literacy as determinants of ICT adoption by cocoa farmers in Ondo State, Nigeria. Information Technology, 15(2), 20–35.</w:t>
      </w:r>
    </w:p>
    <w:p w14:paraId="43A92F4C" w14:textId="77777777" w:rsidR="00F10A79" w:rsidRPr="00F10A79" w:rsidRDefault="00F10A79" w:rsidP="00F10A79">
      <w:pPr>
        <w:pStyle w:val="Body"/>
        <w:rPr>
          <w:rFonts w:ascii="Arial" w:hAnsi="Arial" w:cs="Arial"/>
        </w:rPr>
      </w:pPr>
      <w:r w:rsidRPr="00F10A79">
        <w:rPr>
          <w:rFonts w:ascii="Arial" w:hAnsi="Arial" w:cs="Arial"/>
        </w:rPr>
        <w:t>Akrofi, N. A., Sarpong, D. B., Somuah, H. A. S., &amp; Osei-Owusu, Y. (2019). Paying for privately installed irrigation services in Northern Ghana: The case of the smallholder Bhungroo irrigation technology. Agricultural Water Management, 216, 284–293. https://doi.org/10.1016/j.agwat.2019.02.010</w:t>
      </w:r>
    </w:p>
    <w:p w14:paraId="4C8840CA" w14:textId="77777777" w:rsidR="00F10A79" w:rsidRPr="00F10A79" w:rsidRDefault="00F10A79" w:rsidP="00F10A79">
      <w:pPr>
        <w:pStyle w:val="Body"/>
        <w:rPr>
          <w:rFonts w:ascii="Arial" w:hAnsi="Arial" w:cs="Arial"/>
        </w:rPr>
      </w:pPr>
      <w:r w:rsidRPr="00F10A79">
        <w:rPr>
          <w:rFonts w:ascii="Arial" w:hAnsi="Arial" w:cs="Arial"/>
        </w:rPr>
        <w:t>Akugre, F. A., Owusu, K., Wrigley-Asante, C., &amp; Lawson, E. T. (2022). How do land tenure arrangements influence adaptive responses of farmers? A study of crop farmers from semi-arid Ghana. GeoJournal, 87(3), 2255–2270. https://doi.org/10.1007/s10708-021-10372-y</w:t>
      </w:r>
    </w:p>
    <w:p w14:paraId="222A587B" w14:textId="77777777" w:rsidR="00F10A79" w:rsidRPr="00F10A79" w:rsidRDefault="00F10A79" w:rsidP="00F10A79">
      <w:pPr>
        <w:pStyle w:val="Body"/>
        <w:rPr>
          <w:rFonts w:ascii="Arial" w:hAnsi="Arial" w:cs="Arial"/>
        </w:rPr>
      </w:pPr>
      <w:r w:rsidRPr="00F10A79">
        <w:rPr>
          <w:rFonts w:ascii="Arial" w:hAnsi="Arial" w:cs="Arial"/>
        </w:rPr>
        <w:t>Alban S. U., &amp; Willem, E. M. (2020). Relations between land tenure security and agricultural productivity: Exploring the effect of land registration. Land, 9(5), 138. https://doi.org/10.3390/land9050138</w:t>
      </w:r>
    </w:p>
    <w:p w14:paraId="4D912B05" w14:textId="77777777" w:rsidR="00F10A79" w:rsidRPr="00F10A79" w:rsidRDefault="00F10A79" w:rsidP="00F10A79">
      <w:pPr>
        <w:pStyle w:val="Body"/>
        <w:rPr>
          <w:rFonts w:ascii="Arial" w:hAnsi="Arial" w:cs="Arial"/>
        </w:rPr>
      </w:pPr>
      <w:r w:rsidRPr="00F10A79">
        <w:rPr>
          <w:rFonts w:ascii="Arial" w:hAnsi="Arial" w:cs="Arial"/>
        </w:rPr>
        <w:t>Alhassan, A.-R. M., Limantol, A. M., Larbi, I., Akolaa, R. A., &amp; Akolgo, G. A. (2023). Analyses of crop water use and environmental performance of small private irrigation along the White Volta basin of Northern Ghana. Heliyon, 9(8), e19181. https://doi.org/10.1016/j.heliyon.2023.e19181</w:t>
      </w:r>
    </w:p>
    <w:p w14:paraId="552C2B78" w14:textId="77777777" w:rsidR="00F10A79" w:rsidRPr="00F10A79" w:rsidRDefault="00F10A79" w:rsidP="00F10A79">
      <w:pPr>
        <w:pStyle w:val="Body"/>
        <w:rPr>
          <w:rFonts w:ascii="Arial" w:hAnsi="Arial" w:cs="Arial"/>
        </w:rPr>
      </w:pPr>
      <w:r w:rsidRPr="00F10A79">
        <w:rPr>
          <w:rFonts w:ascii="Arial" w:hAnsi="Arial" w:cs="Arial"/>
        </w:rPr>
        <w:t>Amikuzuno, J., &amp; Hathie, I. (2013). Climate change implications for smallholder agriculture and adaptation in the White Volta Basin of the upper east region of Ghana. http://www.udsspace.uds.edu.gh/handle/123456789/257</w:t>
      </w:r>
    </w:p>
    <w:p w14:paraId="1A8C6D78" w14:textId="77777777" w:rsidR="00F10A79" w:rsidRPr="00F10A79" w:rsidRDefault="00F10A79" w:rsidP="00F10A79">
      <w:pPr>
        <w:pStyle w:val="Body"/>
        <w:rPr>
          <w:rFonts w:ascii="Arial" w:hAnsi="Arial" w:cs="Arial"/>
        </w:rPr>
      </w:pPr>
      <w:r w:rsidRPr="00F10A79">
        <w:rPr>
          <w:rFonts w:ascii="Arial" w:hAnsi="Arial" w:cs="Arial"/>
        </w:rPr>
        <w:t>Anang, B. T., &amp; Asante, B. O. (2020). Farm household access to agricultural services in northern Ghana. Heliyon, 6(11). https://www.cell.com/heliyon/fulltext/S2405-8440(20)32360-4</w:t>
      </w:r>
    </w:p>
    <w:p w14:paraId="18504407" w14:textId="77777777" w:rsidR="00F10A79" w:rsidRPr="00F10A79" w:rsidRDefault="00F10A79" w:rsidP="00F10A79">
      <w:pPr>
        <w:pStyle w:val="Body"/>
        <w:rPr>
          <w:rFonts w:ascii="Arial" w:hAnsi="Arial" w:cs="Arial"/>
        </w:rPr>
      </w:pPr>
      <w:r w:rsidRPr="00F10A79">
        <w:rPr>
          <w:rFonts w:ascii="Arial" w:hAnsi="Arial" w:cs="Arial"/>
        </w:rPr>
        <w:lastRenderedPageBreak/>
        <w:t>Ansah, P. (2023). Is sustainable intensification possible in smallholder crop production systems in semi-arid West Africa? The case of the Red Volta and Black Volta basins in Northern Ghana (Doctoral thesis, University of Cape Town, South Africa). http://hdl.handle.net/11427/39196</w:t>
      </w:r>
    </w:p>
    <w:p w14:paraId="5A4E7331" w14:textId="77777777" w:rsidR="00F10A79" w:rsidRPr="00F10A79" w:rsidRDefault="00F10A79" w:rsidP="00F10A79">
      <w:pPr>
        <w:pStyle w:val="Body"/>
        <w:rPr>
          <w:rFonts w:ascii="Arial" w:hAnsi="Arial" w:cs="Arial"/>
        </w:rPr>
      </w:pPr>
      <w:r w:rsidRPr="00F10A79">
        <w:rPr>
          <w:rFonts w:ascii="Arial" w:hAnsi="Arial" w:cs="Arial"/>
        </w:rPr>
        <w:t>Atuobi-Yeboah, A., Aberman, N. L., &amp; Ringler, C. (2020). Smallholder irrigation technology diffusion in Ghana: Insights from stakeholder mapping (Vol. 1973). International Food Policy Research Institute (IFPRI). https://doi.org/10.2499/P15738COLL2.134151</w:t>
      </w:r>
    </w:p>
    <w:p w14:paraId="0EA616EA" w14:textId="77777777" w:rsidR="00F10A79" w:rsidRPr="00F10A79" w:rsidRDefault="00F10A79" w:rsidP="00F10A79">
      <w:pPr>
        <w:pStyle w:val="Body"/>
        <w:rPr>
          <w:rFonts w:ascii="Arial" w:hAnsi="Arial" w:cs="Arial"/>
        </w:rPr>
      </w:pPr>
      <w:r w:rsidRPr="00F10A79">
        <w:rPr>
          <w:rFonts w:ascii="Arial" w:hAnsi="Arial" w:cs="Arial"/>
        </w:rPr>
        <w:t>Ayamga, M., Yeboah, R. W. N., &amp; Ayambila, S. N. (2016). An analysis of household farm investment decisions under varying land tenure arrangements in Ghana. Journal of Agriculture and Rural Development in the Tropics and Subtropics (JARTS), 117(1), 21–34.</w:t>
      </w:r>
    </w:p>
    <w:p w14:paraId="14C9C901" w14:textId="77777777" w:rsidR="00F10A79" w:rsidRPr="00F10A79" w:rsidRDefault="00F10A79" w:rsidP="00F10A79">
      <w:pPr>
        <w:pStyle w:val="Body"/>
        <w:rPr>
          <w:rFonts w:ascii="Arial" w:hAnsi="Arial" w:cs="Arial"/>
        </w:rPr>
      </w:pPr>
      <w:r w:rsidRPr="00F10A79">
        <w:rPr>
          <w:rFonts w:ascii="Arial" w:hAnsi="Arial" w:cs="Arial"/>
        </w:rPr>
        <w:t>Baffoe, J. D., Mizunoya, T., &amp; Yabar, H. (2021). Determinants of rice farmers’ willingness to pay for conservation and sustainable use of swampy wetlands in Ghana’s Northern and Ashanti Regions. Agriculture, 11(6), 1–18. https://doi.org/10.3390/agriculture11060507</w:t>
      </w:r>
    </w:p>
    <w:p w14:paraId="1C30F578" w14:textId="77777777" w:rsidR="00F10A79" w:rsidRPr="00F10A79" w:rsidRDefault="00F10A79" w:rsidP="00F10A79">
      <w:pPr>
        <w:pStyle w:val="Body"/>
        <w:rPr>
          <w:rFonts w:ascii="Arial" w:hAnsi="Arial" w:cs="Arial"/>
        </w:rPr>
      </w:pPr>
      <w:r w:rsidRPr="00F10A79">
        <w:rPr>
          <w:rFonts w:ascii="Arial" w:hAnsi="Arial" w:cs="Arial"/>
        </w:rPr>
        <w:t>Bavorová, M., Unay-Gailhard, İ., Ponkina, E. V., &amp; Pilařová, T. (2020). How sources of agriculture information shape the adoption of reduced tillage practices? Journal of Rural Studies, 79, 88–101. https://doi.org/10.1016/j.jrurstud.2020.08.034</w:t>
      </w:r>
    </w:p>
    <w:p w14:paraId="1D45C8B9" w14:textId="77777777" w:rsidR="00F10A79" w:rsidRPr="00F10A79" w:rsidRDefault="00F10A79" w:rsidP="00F10A79">
      <w:pPr>
        <w:pStyle w:val="Body"/>
        <w:rPr>
          <w:rFonts w:ascii="Arial" w:hAnsi="Arial" w:cs="Arial"/>
        </w:rPr>
      </w:pPr>
      <w:r w:rsidRPr="00F10A79">
        <w:rPr>
          <w:rFonts w:ascii="Arial" w:hAnsi="Arial" w:cs="Arial"/>
        </w:rPr>
        <w:t xml:space="preserve">Bjornlund, H., Parry, K., Pittock, J., Stirzaker, R., Van Rooyen, A. F., Moyo, M., Mdemu, M., de Sousa, W., Cheveia, E., Munguambe, P., Kimaro, E., Kissoly, L., Chilundo, M., Zuo, A., &amp; Ramshaw, P. (2018). Transforming smallholder irrigation into profitable and self-sustaining systems in southern Africa (Technical Report). K-water and the International Water Resources Association (IWRA). http://oar.icrisat.org/10966/ </w:t>
      </w:r>
    </w:p>
    <w:p w14:paraId="193229AA" w14:textId="77777777" w:rsidR="00F10A79" w:rsidRPr="00F10A79" w:rsidRDefault="00F10A79" w:rsidP="00F10A79">
      <w:pPr>
        <w:pStyle w:val="Body"/>
        <w:rPr>
          <w:rFonts w:ascii="Arial" w:hAnsi="Arial" w:cs="Arial"/>
        </w:rPr>
      </w:pPr>
      <w:r w:rsidRPr="00F10A79">
        <w:rPr>
          <w:rFonts w:ascii="Arial" w:hAnsi="Arial" w:cs="Arial"/>
        </w:rPr>
        <w:t>Boansi, D., Owusu, V., Tham-Agyekum, E. K., Wongnaa, C. A., Frimpong, J. A., &amp; Bukari, K. N. (2023). Responding to harvest failure: Understanding farmers’ coping strategies in the semi-arid Northern Ghana. PLOS ONE, 18(4), e0284328.</w:t>
      </w:r>
    </w:p>
    <w:p w14:paraId="34752B09" w14:textId="77777777" w:rsidR="00F10A79" w:rsidRPr="00F10A79" w:rsidRDefault="00F10A79" w:rsidP="00F10A79">
      <w:pPr>
        <w:pStyle w:val="Body"/>
        <w:rPr>
          <w:rFonts w:ascii="Arial" w:hAnsi="Arial" w:cs="Arial"/>
        </w:rPr>
      </w:pPr>
      <w:r w:rsidRPr="00F10A79">
        <w:rPr>
          <w:rFonts w:ascii="Arial" w:hAnsi="Arial" w:cs="Arial"/>
        </w:rPr>
        <w:t>Bruce, A. B., &amp; Castellano, R. L. S. (2017). Labor and alternative food networks: Challenges for farmers and consumers. Renewable Agriculture and Food Systems, 32(5), 403–416. https://doi.org/10.1017/S174217051600034X</w:t>
      </w:r>
    </w:p>
    <w:p w14:paraId="0E00CEAA" w14:textId="77777777" w:rsidR="00F10A79" w:rsidRPr="00F10A79" w:rsidRDefault="00F10A79" w:rsidP="00F10A79">
      <w:pPr>
        <w:pStyle w:val="Body"/>
        <w:rPr>
          <w:rFonts w:ascii="Arial" w:hAnsi="Arial" w:cs="Arial"/>
        </w:rPr>
      </w:pPr>
      <w:r w:rsidRPr="00F10A79">
        <w:rPr>
          <w:rFonts w:ascii="Arial" w:hAnsi="Arial" w:cs="Arial"/>
        </w:rPr>
        <w:t>Danso-Abbeam, G., Ehiakpor, D. S., &amp; Aidoo, R. (2018). Agricultural extension and its effects on farm productivity and income: Insight from Northern Ghana. Agriculture &amp; Food Security, 7(1), 74. https://doi.org/10.1186/s40066-018-0225-x</w:t>
      </w:r>
    </w:p>
    <w:p w14:paraId="500513CB" w14:textId="77777777" w:rsidR="00F10A79" w:rsidRPr="00F10A79" w:rsidRDefault="00F10A79" w:rsidP="00F10A79">
      <w:pPr>
        <w:pStyle w:val="Body"/>
        <w:rPr>
          <w:rFonts w:ascii="Arial" w:hAnsi="Arial" w:cs="Arial"/>
        </w:rPr>
      </w:pPr>
      <w:r w:rsidRPr="00F10A79">
        <w:rPr>
          <w:rFonts w:ascii="Arial" w:hAnsi="Arial" w:cs="Arial"/>
        </w:rPr>
        <w:t>Darko, R. O., Liu, J., Yuan, S., Sam-Amoah, L. K., &amp; Yan, H. (2020). Irrigated agriculture for food self-sufficiency in the Sub-Saharan African Region. International Journal of Agricultural and Biological Engineering, 13(3), 1–12.</w:t>
      </w:r>
    </w:p>
    <w:p w14:paraId="6DD529E3" w14:textId="77777777" w:rsidR="00F10A79" w:rsidRPr="00F10A79" w:rsidRDefault="00F10A79" w:rsidP="00F10A79">
      <w:pPr>
        <w:pStyle w:val="Body"/>
        <w:rPr>
          <w:rFonts w:ascii="Arial" w:hAnsi="Arial" w:cs="Arial"/>
        </w:rPr>
      </w:pPr>
      <w:r w:rsidRPr="00F10A79">
        <w:rPr>
          <w:rFonts w:ascii="Arial" w:hAnsi="Arial" w:cs="Arial"/>
        </w:rPr>
        <w:t>Djangba, R. M., Dzebre, D. E., &amp; Adaramola, M. S. (2024). Wind-powered irrigation in Ghana: A review. Wind Engineering, 48(6), 1224-1246.</w:t>
      </w:r>
    </w:p>
    <w:p w14:paraId="25B4CCD2" w14:textId="77777777" w:rsidR="00F10A79" w:rsidRPr="00F10A79" w:rsidRDefault="00F10A79" w:rsidP="00F10A79">
      <w:pPr>
        <w:pStyle w:val="Body"/>
        <w:rPr>
          <w:rFonts w:ascii="Arial" w:hAnsi="Arial" w:cs="Arial"/>
        </w:rPr>
      </w:pPr>
      <w:r w:rsidRPr="00F10A79">
        <w:rPr>
          <w:rFonts w:ascii="Arial" w:hAnsi="Arial" w:cs="Arial"/>
        </w:rPr>
        <w:t xml:space="preserve">Donkoh, S. A., Azumah, S. B., &amp; Awuni, J. A. (2019). Adoption of improved agricultural technologies among rice farmers in Ghana: A multivariate probit approach. Ghana Journal of Development Studies, 16(1), 46–67. </w:t>
      </w:r>
    </w:p>
    <w:p w14:paraId="24226896" w14:textId="77777777" w:rsidR="00F10A79" w:rsidRPr="00F10A79" w:rsidRDefault="00F10A79" w:rsidP="00F10A79">
      <w:pPr>
        <w:pStyle w:val="Body"/>
        <w:rPr>
          <w:rFonts w:ascii="Arial" w:hAnsi="Arial" w:cs="Arial"/>
        </w:rPr>
      </w:pPr>
      <w:r w:rsidRPr="00F10A79">
        <w:rPr>
          <w:rFonts w:ascii="Arial" w:hAnsi="Arial" w:cs="Arial"/>
        </w:rPr>
        <w:t xml:space="preserve">Dotse, D. W. (2023). KOICA, GIDA sign $6.5 million aid grant to boost irrigation. Graphic Online. https://www.graphic.com.gh/news/general-news/koica-gida-sign-6-5-million-aid-grant-to-boost-irrigation.html </w:t>
      </w:r>
    </w:p>
    <w:p w14:paraId="5713033B" w14:textId="77777777" w:rsidR="00F10A79" w:rsidRPr="00F10A79" w:rsidRDefault="00F10A79" w:rsidP="00F10A79">
      <w:pPr>
        <w:pStyle w:val="Body"/>
        <w:rPr>
          <w:rFonts w:ascii="Arial" w:hAnsi="Arial" w:cs="Arial"/>
        </w:rPr>
      </w:pPr>
      <w:r w:rsidRPr="00F10A79">
        <w:rPr>
          <w:rFonts w:ascii="Arial" w:hAnsi="Arial" w:cs="Arial"/>
        </w:rPr>
        <w:t xml:space="preserve">Duker, A. E. C., Karimba, B. M., Wani, G. E., Prasad, P., van der Zaag, P., &amp; de Fraiture, C. (2022). Security in flexibility: Accessing land and water for irrigation in Kenya’s changing rural environment. Cahiers Agricultures, 31, 7. https://doi.org/10.1051/cagri/2022003 </w:t>
      </w:r>
    </w:p>
    <w:p w14:paraId="0F6FC5E1" w14:textId="77777777" w:rsidR="00F10A79" w:rsidRPr="00F10A79" w:rsidRDefault="00F10A79" w:rsidP="00F10A79">
      <w:pPr>
        <w:pStyle w:val="Body"/>
        <w:rPr>
          <w:rFonts w:ascii="Arial" w:hAnsi="Arial" w:cs="Arial"/>
        </w:rPr>
      </w:pPr>
      <w:r w:rsidRPr="00F10A79">
        <w:rPr>
          <w:rFonts w:ascii="Arial" w:hAnsi="Arial" w:cs="Arial"/>
        </w:rPr>
        <w:t xml:space="preserve">Durán-Díaz, P. (2023). Sustainable land governance for water–energy–food systems: A framework for rural and peri-urban revitalisation. Land, 12(10), 1828. </w:t>
      </w:r>
    </w:p>
    <w:p w14:paraId="4E06FB3D" w14:textId="77777777" w:rsidR="00F10A79" w:rsidRPr="00F10A79" w:rsidRDefault="00F10A79" w:rsidP="00F10A79">
      <w:pPr>
        <w:pStyle w:val="Body"/>
        <w:rPr>
          <w:rFonts w:ascii="Arial" w:hAnsi="Arial" w:cs="Arial"/>
        </w:rPr>
      </w:pPr>
      <w:r w:rsidRPr="00F10A79">
        <w:rPr>
          <w:rFonts w:ascii="Arial" w:hAnsi="Arial" w:cs="Arial"/>
        </w:rPr>
        <w:t>Durga, N., Schmitter, P., Ringler, C., Mishra, S., Magombeyi, M. S., Ofosu, A., Pavelic, P., Hagos, F., Melaku, D., Verma, S., Minh, T., &amp; Matambo, C. (2024). Barriers to the uptake of solar-powered irrigation by smallholder farmers in Sub-Saharan Africa: A review. Energy Strategy Reviews, 51, 101294. https://doi.org/10.1016/j.esr.2024.101294</w:t>
      </w:r>
    </w:p>
    <w:p w14:paraId="7CE13D55" w14:textId="1C7691EB" w:rsidR="00F10A79" w:rsidRPr="00F10A79" w:rsidRDefault="00F10A79" w:rsidP="00F10A79">
      <w:pPr>
        <w:pStyle w:val="Body"/>
        <w:rPr>
          <w:rFonts w:ascii="Arial" w:hAnsi="Arial" w:cs="Arial"/>
        </w:rPr>
      </w:pPr>
      <w:bookmarkStart w:id="1" w:name="OLE_LINK1"/>
      <w:r w:rsidRPr="00F10A79">
        <w:rPr>
          <w:rFonts w:ascii="Arial" w:hAnsi="Arial" w:cs="Arial"/>
        </w:rPr>
        <w:t>El Fartassi, I., Metcalfe, H., El Alami, R., Diarra, A., Alonso-Chavez, V., Waine, T. W.,</w:t>
      </w:r>
      <w:r w:rsidR="002806C1">
        <w:rPr>
          <w:rFonts w:ascii="Arial" w:hAnsi="Arial" w:cs="Arial"/>
        </w:rPr>
        <w:t xml:space="preserve"> Zawadzka, J.,</w:t>
      </w:r>
      <w:r w:rsidRPr="00F10A79">
        <w:rPr>
          <w:rFonts w:ascii="Arial" w:hAnsi="Arial" w:cs="Arial"/>
        </w:rPr>
        <w:t xml:space="preserve"> </w:t>
      </w:r>
      <w:r w:rsidR="002806C1">
        <w:rPr>
          <w:rFonts w:ascii="Arial" w:hAnsi="Arial" w:cs="Arial"/>
        </w:rPr>
        <w:t xml:space="preserve">Milne, A. E., </w:t>
      </w:r>
      <w:r w:rsidRPr="00F10A79">
        <w:rPr>
          <w:rFonts w:ascii="Arial" w:hAnsi="Arial" w:cs="Arial"/>
        </w:rPr>
        <w:t xml:space="preserve">&amp; Corstanje, R. (2025). Adaptations in agricultural water management in arid regions: Modelling farmer behaviour and cooperation on irrigation sustainability in Morocco. Agricultural Water Management, 319, 109789. </w:t>
      </w:r>
    </w:p>
    <w:bookmarkEnd w:id="1"/>
    <w:p w14:paraId="67FACE7A" w14:textId="77777777" w:rsidR="00F10A79" w:rsidRPr="00F10A79" w:rsidRDefault="00F10A79" w:rsidP="00F10A79">
      <w:pPr>
        <w:pStyle w:val="Body"/>
        <w:rPr>
          <w:rFonts w:ascii="Arial" w:hAnsi="Arial" w:cs="Arial"/>
        </w:rPr>
      </w:pPr>
      <w:r w:rsidRPr="00F10A79">
        <w:rPr>
          <w:rFonts w:ascii="Arial" w:hAnsi="Arial" w:cs="Arial"/>
        </w:rPr>
        <w:t>Fanadzo, M., &amp; Ncube, B. (2018). Challenges and opportunities for revitalising smallholder irrigation schemes in South Africa. Water SA, 44(3), 436–447.</w:t>
      </w:r>
    </w:p>
    <w:p w14:paraId="1BD00E0A" w14:textId="77777777" w:rsidR="00F10A79" w:rsidRPr="00F10A79" w:rsidRDefault="00F10A79" w:rsidP="00F10A79">
      <w:pPr>
        <w:pStyle w:val="Body"/>
        <w:rPr>
          <w:rFonts w:ascii="Arial" w:hAnsi="Arial" w:cs="Arial"/>
        </w:rPr>
      </w:pPr>
      <w:r w:rsidRPr="00F10A79">
        <w:rPr>
          <w:rFonts w:ascii="Arial" w:hAnsi="Arial" w:cs="Arial"/>
        </w:rPr>
        <w:lastRenderedPageBreak/>
        <w:t>Ghana Statistical Service. (2021a). Ghana 2021 population and housing census: General report volume 3A – Population of regions and districts. https://statsghana.gov.gh/gssmain/fileUpload/pressrelease/2021%20PHC%20General%20Report%20Vol%203A_Population%20of%20Regions%20and%20Districts_181121.pdf</w:t>
      </w:r>
    </w:p>
    <w:p w14:paraId="17B768CE" w14:textId="77777777" w:rsidR="00F10A79" w:rsidRPr="00F10A79" w:rsidRDefault="00F10A79" w:rsidP="00F10A79">
      <w:pPr>
        <w:pStyle w:val="Body"/>
        <w:rPr>
          <w:rFonts w:ascii="Arial" w:hAnsi="Arial" w:cs="Arial"/>
        </w:rPr>
      </w:pPr>
      <w:r w:rsidRPr="00F10A79">
        <w:rPr>
          <w:rFonts w:ascii="Arial" w:hAnsi="Arial" w:cs="Arial"/>
        </w:rPr>
        <w:t>Grubbström, A., &amp; Eriksson, C. (2018). Retired farmers and new land users: How relations to land and people influence farmers’ land transfer decisions. Sociologia Ruralis, 58(4), 707–725. https://doi.org/10.1111/soru.12209</w:t>
      </w:r>
    </w:p>
    <w:p w14:paraId="723C7223" w14:textId="77777777" w:rsidR="00F10A79" w:rsidRPr="00F10A79" w:rsidRDefault="00F10A79" w:rsidP="00F10A79">
      <w:pPr>
        <w:pStyle w:val="Body"/>
        <w:rPr>
          <w:rFonts w:ascii="Arial" w:hAnsi="Arial" w:cs="Arial"/>
        </w:rPr>
      </w:pPr>
      <w:r w:rsidRPr="00F10A79">
        <w:rPr>
          <w:rFonts w:ascii="Arial" w:hAnsi="Arial" w:cs="Arial"/>
        </w:rPr>
        <w:t>Gyapong, A. Y. (2021). Commodification of family lands and the changing dynamics of access in Ghana. Third World Quarterly, 42(6), 1233–1251. https://doi.org/10.1080/01436597.2021.1880889</w:t>
      </w:r>
    </w:p>
    <w:p w14:paraId="13F3979D" w14:textId="77777777" w:rsidR="00F10A79" w:rsidRPr="00F10A79" w:rsidRDefault="00F10A79" w:rsidP="00F10A79">
      <w:pPr>
        <w:pStyle w:val="Body"/>
        <w:rPr>
          <w:rFonts w:ascii="Arial" w:hAnsi="Arial" w:cs="Arial"/>
        </w:rPr>
      </w:pPr>
      <w:r w:rsidRPr="00F10A79">
        <w:rPr>
          <w:rFonts w:ascii="Arial" w:hAnsi="Arial" w:cs="Arial"/>
        </w:rPr>
        <w:t>Haji, J., Aman, M., &amp; Hailu, T. (2013). Impact analysis of Mede Telila small scale irrigation scheme on house poverty alleviation: Case of Gorogutu district in eastern Haratghe Oromia national regional state Ethiopia. International Journal of Development and Economic Sustainability, 1(1), 15–30. https://doi.org/10.4324/9780203131770</w:t>
      </w:r>
    </w:p>
    <w:p w14:paraId="030C0EEC" w14:textId="77777777" w:rsidR="00F10A79" w:rsidRPr="00F10A79" w:rsidRDefault="00F10A79" w:rsidP="00F10A79">
      <w:pPr>
        <w:pStyle w:val="Body"/>
        <w:rPr>
          <w:rFonts w:ascii="Arial" w:hAnsi="Arial" w:cs="Arial"/>
        </w:rPr>
      </w:pPr>
      <w:r w:rsidRPr="00F10A79">
        <w:rPr>
          <w:rFonts w:ascii="Arial" w:hAnsi="Arial" w:cs="Arial"/>
        </w:rPr>
        <w:t>Han, Y., Soomro, M. A., Li, Y., Garvin, M. J., &amp; Xue, R. (2024). Exploring farmers’ willingness to engage in participatory irrigation infrastructure programs: evidence from a water-stressed region. Journal of Construction Engineering and Management, 150(6), 04024040.</w:t>
      </w:r>
    </w:p>
    <w:p w14:paraId="00A51FA6" w14:textId="77777777" w:rsidR="00F10A79" w:rsidRPr="00F10A79" w:rsidRDefault="00F10A79" w:rsidP="00F10A79">
      <w:pPr>
        <w:pStyle w:val="Body"/>
        <w:rPr>
          <w:rFonts w:ascii="Arial" w:hAnsi="Arial" w:cs="Arial"/>
        </w:rPr>
      </w:pPr>
      <w:r w:rsidRPr="00F10A79">
        <w:rPr>
          <w:rFonts w:ascii="Arial" w:hAnsi="Arial" w:cs="Arial"/>
        </w:rPr>
        <w:t>Hemmert, G. A., Schons, L. M., Wieseke, J., &amp; Schimmelpfennig, H. (2018). Log-likelihood-based pseudo-R² in logistic regression: Deriving sample-sensitive benchmarks. Sociological Methods &amp; Research, 47(3), 507–531.</w:t>
      </w:r>
    </w:p>
    <w:p w14:paraId="59BBC15A" w14:textId="77777777" w:rsidR="00F10A79" w:rsidRPr="00F10A79" w:rsidRDefault="00F10A79" w:rsidP="00F10A79">
      <w:pPr>
        <w:pStyle w:val="Body"/>
        <w:rPr>
          <w:rFonts w:ascii="Arial" w:hAnsi="Arial" w:cs="Arial"/>
        </w:rPr>
      </w:pPr>
      <w:r w:rsidRPr="00F10A79">
        <w:rPr>
          <w:rFonts w:ascii="Arial" w:hAnsi="Arial" w:cs="Arial"/>
        </w:rPr>
        <w:t>Hong, M., Yu, S., &amp; Long, J. (2023). Agricultural land rights confirmation, clan network, and farmers’ investment in production and operation. Land, 12(10), 1951.</w:t>
      </w:r>
    </w:p>
    <w:p w14:paraId="12F58451" w14:textId="77777777" w:rsidR="00F10A79" w:rsidRPr="00F10A79" w:rsidRDefault="00F10A79" w:rsidP="00F10A79">
      <w:pPr>
        <w:pStyle w:val="Body"/>
        <w:rPr>
          <w:rFonts w:ascii="Arial" w:hAnsi="Arial" w:cs="Arial"/>
        </w:rPr>
      </w:pPr>
      <w:r w:rsidRPr="00F10A79">
        <w:rPr>
          <w:rFonts w:ascii="Arial" w:hAnsi="Arial" w:cs="Arial"/>
        </w:rPr>
        <w:t xml:space="preserve">Jeločnik, M., Subić, J., &amp; Zdravković, A. (2022). Economic effects of investment in irrigation systems implementation at the small family farms. Ekonomika Poljoprivrede (1979), 69(3), 793–817. https://doi.org/10.5937/ekopolj2203793j </w:t>
      </w:r>
    </w:p>
    <w:p w14:paraId="6FE1CA00" w14:textId="77777777" w:rsidR="00F10A79" w:rsidRPr="00F10A79" w:rsidRDefault="00F10A79" w:rsidP="00F10A79">
      <w:pPr>
        <w:pStyle w:val="Body"/>
        <w:rPr>
          <w:rFonts w:ascii="Arial" w:hAnsi="Arial" w:cs="Arial"/>
        </w:rPr>
      </w:pPr>
      <w:r w:rsidRPr="00F10A79">
        <w:rPr>
          <w:rFonts w:ascii="Arial" w:hAnsi="Arial" w:cs="Arial"/>
        </w:rPr>
        <w:t>Kadigi, R. M. J., Girmay Tesfay, Bizoza, A., Genet Zibadou, &amp; Zilberman, D. (2019). Irrigation and water use efficiency in Sub-Saharan Africa. Gates Open Research. https://doi.org/10.21955/GATESOPENRES.1115251.1</w:t>
      </w:r>
    </w:p>
    <w:p w14:paraId="440F5324" w14:textId="77777777" w:rsidR="00F10A79" w:rsidRPr="00F10A79" w:rsidRDefault="00F10A79" w:rsidP="00F10A79">
      <w:pPr>
        <w:pStyle w:val="Body"/>
        <w:rPr>
          <w:rFonts w:ascii="Arial" w:hAnsi="Arial" w:cs="Arial"/>
        </w:rPr>
      </w:pPr>
      <w:r w:rsidRPr="00F10A79">
        <w:rPr>
          <w:rFonts w:ascii="Arial" w:hAnsi="Arial" w:cs="Arial"/>
        </w:rPr>
        <w:t>Kanda, E. K., &amp; Lutta, V. O. (2022). The status and challenges of a modern irrigation system in Kenya: A systematic review. Irrigation and Drainage, 71(S1), 27–38. https://doi.org/10.1002/ird.2700</w:t>
      </w:r>
    </w:p>
    <w:p w14:paraId="1AF5708F" w14:textId="77777777" w:rsidR="00F10A79" w:rsidRPr="00F10A79" w:rsidRDefault="00F10A79" w:rsidP="00F10A79">
      <w:pPr>
        <w:pStyle w:val="Body"/>
        <w:rPr>
          <w:rFonts w:ascii="Arial" w:hAnsi="Arial" w:cs="Arial"/>
        </w:rPr>
      </w:pPr>
      <w:r w:rsidRPr="00F10A79">
        <w:rPr>
          <w:rFonts w:ascii="Arial" w:hAnsi="Arial" w:cs="Arial"/>
        </w:rPr>
        <w:t>Kifle, T., Ayal, D. Y., &amp; Mulugeta, M. (2022). Factors influencing farmers’ adoption of climate smart agriculture to respond to climate variability in Siyadebrina Wayu District, Central Highland of Ethiopia. Climate Services, 26, 100290. https://doi.org/10.1016/j.cliser.2022.100290</w:t>
      </w:r>
    </w:p>
    <w:p w14:paraId="54EBE7AD" w14:textId="77777777" w:rsidR="00F10A79" w:rsidRPr="00F10A79" w:rsidRDefault="00F10A79" w:rsidP="00F10A79">
      <w:pPr>
        <w:pStyle w:val="Body"/>
        <w:rPr>
          <w:rFonts w:ascii="Arial" w:hAnsi="Arial" w:cs="Arial"/>
        </w:rPr>
      </w:pPr>
      <w:r w:rsidRPr="00F10A79">
        <w:rPr>
          <w:rFonts w:ascii="Arial" w:hAnsi="Arial" w:cs="Arial"/>
        </w:rPr>
        <w:t>Kokoye, S. E. H., Tovignan, S. D., Yabi, J. A., &amp; Yegbemey, R. N. (2013). Econometric modeling of farm household land allocation in the municipality of Banikoara in Northern Benin. Land Use Policy, 34, 72–79. https://doi.org/10.1016/j.landusepol.2013.02.004</w:t>
      </w:r>
    </w:p>
    <w:p w14:paraId="7923CDDB" w14:textId="77777777" w:rsidR="00F10A79" w:rsidRPr="00F10A79" w:rsidRDefault="00F10A79" w:rsidP="00F10A79">
      <w:pPr>
        <w:pStyle w:val="Body"/>
        <w:rPr>
          <w:rFonts w:ascii="Arial" w:hAnsi="Arial" w:cs="Arial"/>
        </w:rPr>
      </w:pPr>
      <w:r w:rsidRPr="00F10A79">
        <w:rPr>
          <w:rFonts w:ascii="Arial" w:hAnsi="Arial" w:cs="Arial"/>
        </w:rPr>
        <w:t>Kombe, M., Siamabele, B., Kalumbi, M. M., &amp; Kaliba, M. (2024). Traditional land ownership and agricultural productivity among small-scale farmers: A case of Mutaba Agricultural Camp, Masaiti District. Digital Journal of Science, 1(1), 104.</w:t>
      </w:r>
    </w:p>
    <w:p w14:paraId="6D9D4DFB" w14:textId="77777777" w:rsidR="00F10A79" w:rsidRPr="00F10A79" w:rsidRDefault="00F10A79" w:rsidP="00F10A79">
      <w:pPr>
        <w:pStyle w:val="Body"/>
        <w:rPr>
          <w:rFonts w:ascii="Arial" w:hAnsi="Arial" w:cs="Arial"/>
        </w:rPr>
      </w:pPr>
      <w:r w:rsidRPr="00F10A79">
        <w:rPr>
          <w:rFonts w:ascii="Arial" w:hAnsi="Arial" w:cs="Arial"/>
        </w:rPr>
        <w:t xml:space="preserve">Kotei, R., Kyei-Baffour, N., Agyare, W. A., Korankye, O., Adarkwa, T. A., &amp; Amartey, J. N. A. (2015). Evaluation of the performance of the sata small-scale irrigation scheme in Ghana after its inception and post-rehabilitation periods. ARPN Journal of Agricultural and Biological Science, 10(10), 1-13. https://www.arpnjournals.com/jabs/research_papers/rp_2015/jabs_1015_757.pdf </w:t>
      </w:r>
    </w:p>
    <w:p w14:paraId="46C586F3" w14:textId="77777777" w:rsidR="00F10A79" w:rsidRPr="00F10A79" w:rsidRDefault="00F10A79" w:rsidP="00F10A79">
      <w:pPr>
        <w:pStyle w:val="Body"/>
        <w:rPr>
          <w:rFonts w:ascii="Arial" w:hAnsi="Arial" w:cs="Arial"/>
        </w:rPr>
      </w:pPr>
      <w:r w:rsidRPr="00F10A79">
        <w:rPr>
          <w:rFonts w:ascii="Arial" w:hAnsi="Arial" w:cs="Arial"/>
        </w:rPr>
        <w:t>Kudadze, S., Imoru, A. J., &amp; Adzawla, W. (2019). Farmers’ perception on irrigation farming and the factors influencing access to and size of irrigable lands in Northern Region, Ghana. Asian Food Science Journal, 1–14. https://doi.org/10.9734/afsj/2019/v8i329994</w:t>
      </w:r>
    </w:p>
    <w:p w14:paraId="22D7005B" w14:textId="77777777" w:rsidR="00F10A79" w:rsidRPr="00F10A79" w:rsidRDefault="00F10A79" w:rsidP="00F10A79">
      <w:pPr>
        <w:pStyle w:val="Body"/>
        <w:rPr>
          <w:rFonts w:ascii="Arial" w:hAnsi="Arial" w:cs="Arial"/>
        </w:rPr>
      </w:pPr>
      <w:r w:rsidRPr="00F10A79">
        <w:rPr>
          <w:rFonts w:ascii="Arial" w:hAnsi="Arial" w:cs="Arial"/>
        </w:rPr>
        <w:t>Kugbega, S. K., &amp; Aboagye, P. Y. (2021). Farmer-herder conflicts, tenure insecurity and farmer’s investment decisions in Agogo, Ghana. Agricultural and Food Economics, 9(1), 19. https://doi.org/10.1186/s40100-021-00186-4</w:t>
      </w:r>
    </w:p>
    <w:p w14:paraId="2D356200" w14:textId="77777777" w:rsidR="00F10A79" w:rsidRPr="00F10A79" w:rsidRDefault="00F10A79" w:rsidP="00F10A79">
      <w:pPr>
        <w:pStyle w:val="Body"/>
        <w:rPr>
          <w:rFonts w:ascii="Arial" w:hAnsi="Arial" w:cs="Arial"/>
        </w:rPr>
      </w:pPr>
      <w:r w:rsidRPr="00F10A79">
        <w:rPr>
          <w:rFonts w:ascii="Arial" w:hAnsi="Arial" w:cs="Arial"/>
        </w:rPr>
        <w:t>Lambrecht, I. B. (2016). “As a husband I will love, lead, and provide.” Gendered access to land in Ghana. World Development, 88, 188–200. https://doi.org/10.1016/j.worlddev.2016.07.018</w:t>
      </w:r>
    </w:p>
    <w:p w14:paraId="73FD63A7" w14:textId="77777777" w:rsidR="00F10A79" w:rsidRPr="00F10A79" w:rsidRDefault="00F10A79" w:rsidP="00F10A79">
      <w:pPr>
        <w:pStyle w:val="Body"/>
        <w:rPr>
          <w:rFonts w:ascii="Arial" w:hAnsi="Arial" w:cs="Arial"/>
        </w:rPr>
      </w:pPr>
      <w:r w:rsidRPr="00F10A79">
        <w:rPr>
          <w:rFonts w:ascii="Arial" w:hAnsi="Arial" w:cs="Arial"/>
        </w:rPr>
        <w:lastRenderedPageBreak/>
        <w:t>Lefore, N., Giordano, M., Ringler, C., &amp; Barron, J. (2019). Sustainable and equitable growth in farmer-led irrigation in Sub-Saharan Africa: What will it take? Water Alternatives, 12(1), 33–49.</w:t>
      </w:r>
    </w:p>
    <w:p w14:paraId="5AE4ECB6" w14:textId="77777777" w:rsidR="00F10A79" w:rsidRPr="00F10A79" w:rsidRDefault="00F10A79" w:rsidP="00F10A79">
      <w:pPr>
        <w:pStyle w:val="Body"/>
        <w:rPr>
          <w:rFonts w:ascii="Arial" w:hAnsi="Arial" w:cs="Arial"/>
        </w:rPr>
      </w:pPr>
      <w:r w:rsidRPr="00F10A79">
        <w:rPr>
          <w:rFonts w:ascii="Arial" w:hAnsi="Arial" w:cs="Arial"/>
        </w:rPr>
        <w:t>Levidow, L., Zaccaria, D., Maia, R., Vivas, E., Todorovic, M., &amp; Scardigno, A. (2014). Improving water-efficient irrigation: Prospects and difficulties of innovative practices. Agricultural Water Management, 146, 84–94.</w:t>
      </w:r>
    </w:p>
    <w:p w14:paraId="1B59E34D" w14:textId="77777777" w:rsidR="00F10A79" w:rsidRPr="00F10A79" w:rsidRDefault="00F10A79" w:rsidP="00F10A79">
      <w:pPr>
        <w:pStyle w:val="Body"/>
        <w:rPr>
          <w:rFonts w:ascii="Arial" w:hAnsi="Arial" w:cs="Arial"/>
        </w:rPr>
      </w:pPr>
      <w:r w:rsidRPr="00F10A79">
        <w:rPr>
          <w:rFonts w:ascii="Arial" w:hAnsi="Arial" w:cs="Arial"/>
        </w:rPr>
        <w:t>Li, J., Ma, W., &amp; Zhu, H. (2024). A systematic literature review of factors influencing the adoption of climate-smart agricultural practices. Mitigation and Adaptation Strategies for Global Change, 29(1), 2. https://doi.org/10.1007/s11027-023-10098-x</w:t>
      </w:r>
    </w:p>
    <w:p w14:paraId="6271CB00" w14:textId="77777777" w:rsidR="00F10A79" w:rsidRPr="00F10A79" w:rsidRDefault="00F10A79" w:rsidP="00F10A79">
      <w:pPr>
        <w:pStyle w:val="Body"/>
        <w:rPr>
          <w:rFonts w:ascii="Arial" w:hAnsi="Arial" w:cs="Arial"/>
        </w:rPr>
      </w:pPr>
      <w:r w:rsidRPr="00F10A79">
        <w:rPr>
          <w:rFonts w:ascii="Arial" w:hAnsi="Arial" w:cs="Arial"/>
        </w:rPr>
        <w:t xml:space="preserve">Li, X., &amp; Huo, X. (2022). How tenure security and farmland transfer affected farmland investment: Evidence from apple growers in China. Technological and Economic Development of Economy, 28(5), 1267–1286. </w:t>
      </w:r>
    </w:p>
    <w:p w14:paraId="4285AA86" w14:textId="77777777" w:rsidR="00F10A79" w:rsidRPr="00F10A79" w:rsidRDefault="00F10A79" w:rsidP="00F10A79">
      <w:pPr>
        <w:pStyle w:val="Body"/>
        <w:rPr>
          <w:rFonts w:ascii="Arial" w:hAnsi="Arial" w:cs="Arial"/>
        </w:rPr>
      </w:pPr>
      <w:r w:rsidRPr="00F10A79">
        <w:rPr>
          <w:rFonts w:ascii="Arial" w:hAnsi="Arial" w:cs="Arial"/>
        </w:rPr>
        <w:t>Makombe, G., Namara, R. E., Awulachew, S. B., Hagos, F., Ayana, M., &amp; Kanjere, M. (2017). An analysis of the productivity and technical efficiency of smallholder irrigation in Ethiopia. Water SA, 43(1), 48–57.</w:t>
      </w:r>
    </w:p>
    <w:p w14:paraId="1CEBA342" w14:textId="77777777" w:rsidR="00F10A79" w:rsidRPr="00F10A79" w:rsidRDefault="00F10A79" w:rsidP="00F10A79">
      <w:pPr>
        <w:pStyle w:val="Body"/>
        <w:rPr>
          <w:rFonts w:ascii="Arial" w:hAnsi="Arial" w:cs="Arial"/>
        </w:rPr>
      </w:pPr>
      <w:r w:rsidRPr="00F10A79">
        <w:rPr>
          <w:rFonts w:ascii="Arial" w:hAnsi="Arial" w:cs="Arial"/>
        </w:rPr>
        <w:t>Mbudzya, J. J., Gido, E. O., &amp; Owuor, G. (2022). Effect of land tenure security on agricultural productivity among small scale farmers in Kenya: A conditional mixed processes analysis. Cogent Food &amp; Agriculture, 8(1), 2139805. https://doi.org/10.1080/23311932.2022.2139805</w:t>
      </w:r>
    </w:p>
    <w:p w14:paraId="16E2E6E2" w14:textId="77777777" w:rsidR="00F10A79" w:rsidRPr="00F10A79" w:rsidRDefault="00F10A79" w:rsidP="00F10A79">
      <w:pPr>
        <w:pStyle w:val="Body"/>
        <w:rPr>
          <w:rFonts w:ascii="Arial" w:hAnsi="Arial" w:cs="Arial"/>
        </w:rPr>
      </w:pPr>
      <w:r w:rsidRPr="00F10A79">
        <w:rPr>
          <w:rFonts w:ascii="Arial" w:hAnsi="Arial" w:cs="Arial"/>
        </w:rPr>
        <w:t>Moline Chauruka, A., Duker, P., Prasad, P., &amp; Van Der Zaag, P. (2023). Endogenous irrigation in arid Zimbabwe: Farmer perceptions of livelihood benefits and barriers to scaling. Water SA, 49(4). https://doi.org/10.17159/wsa/2023.v49.i4.4031</w:t>
      </w:r>
    </w:p>
    <w:p w14:paraId="19C01FA8" w14:textId="77777777" w:rsidR="00F10A79" w:rsidRPr="00F10A79" w:rsidRDefault="00F10A79" w:rsidP="00F10A79">
      <w:pPr>
        <w:pStyle w:val="Body"/>
        <w:rPr>
          <w:rFonts w:ascii="Arial" w:hAnsi="Arial" w:cs="Arial"/>
        </w:rPr>
      </w:pPr>
      <w:r w:rsidRPr="00F10A79">
        <w:rPr>
          <w:rFonts w:ascii="Arial" w:hAnsi="Arial" w:cs="Arial"/>
        </w:rPr>
        <w:t>Namara, R. E., Horowitz, L., Kolavalli, S., Kranjac-Berisavljevic, G., Dawuni, B. N., Barry, B., &amp; Giordano, M. (2011). Typology of irrigation systems in Ghana (Vol. 142). International Water Management Institute (IWMI).</w:t>
      </w:r>
    </w:p>
    <w:p w14:paraId="7A8B224E" w14:textId="77777777" w:rsidR="00F10A79" w:rsidRPr="00F10A79" w:rsidRDefault="00F10A79" w:rsidP="00F10A79">
      <w:pPr>
        <w:pStyle w:val="Body"/>
        <w:rPr>
          <w:rFonts w:ascii="Arial" w:hAnsi="Arial" w:cs="Arial"/>
        </w:rPr>
      </w:pPr>
      <w:r w:rsidRPr="00F10A79">
        <w:rPr>
          <w:rFonts w:ascii="Arial" w:hAnsi="Arial" w:cs="Arial"/>
        </w:rPr>
        <w:t>Nara, B. B., Lengoiboni, M., &amp; Zevenbergen, J. (2021). Assessing customary land rights and tenure security variations of smallholder farmers in northwest Ghana. Land Use Policy, 104, 105352. https://doi.org/10.1016/j.landusepol.2021.105352</w:t>
      </w:r>
    </w:p>
    <w:p w14:paraId="46B005F8" w14:textId="77777777" w:rsidR="00F10A79" w:rsidRPr="00F10A79" w:rsidRDefault="00F10A79" w:rsidP="00F10A79">
      <w:pPr>
        <w:pStyle w:val="Body"/>
        <w:rPr>
          <w:rFonts w:ascii="Arial" w:hAnsi="Arial" w:cs="Arial"/>
        </w:rPr>
      </w:pPr>
      <w:r w:rsidRPr="00F10A79">
        <w:rPr>
          <w:rFonts w:ascii="Arial" w:hAnsi="Arial" w:cs="Arial"/>
        </w:rPr>
        <w:t>Nikkels, M. J., Guillaume, J. H. A., Leith, P., &amp; Hellegers, P. J. G. J. (2019). Sharing reasoning behind individual decisions to invest in joint infrastructure. Water, 11(4), 798. https://doi.org/10.3390/w11040798</w:t>
      </w:r>
    </w:p>
    <w:p w14:paraId="69E1C9B1" w14:textId="77777777" w:rsidR="00F10A79" w:rsidRPr="00F10A79" w:rsidRDefault="00F10A79" w:rsidP="00F10A79">
      <w:pPr>
        <w:pStyle w:val="Body"/>
        <w:rPr>
          <w:rFonts w:ascii="Arial" w:hAnsi="Arial" w:cs="Arial"/>
        </w:rPr>
      </w:pPr>
      <w:r w:rsidRPr="00F10A79">
        <w:rPr>
          <w:rFonts w:ascii="Arial" w:hAnsi="Arial" w:cs="Arial"/>
        </w:rPr>
        <w:t>Nkpeebo, A. Y., &amp; Mavimbela, S. S. W. (2023). Analyzing changes in land use practices and livelihoods in the Bhungroo irrigation technology Volta basin piloted sites, West Mamprusi District, Ghana. Heliyon, 9(4), e14907. https://doi.org/10.1016/j.heliyon.2023.e14907</w:t>
      </w:r>
    </w:p>
    <w:p w14:paraId="160379E6" w14:textId="77777777" w:rsidR="00F10A79" w:rsidRPr="00F10A79" w:rsidRDefault="00F10A79" w:rsidP="00F10A79">
      <w:pPr>
        <w:pStyle w:val="Body"/>
        <w:rPr>
          <w:rFonts w:ascii="Arial" w:hAnsi="Arial" w:cs="Arial"/>
        </w:rPr>
      </w:pPr>
      <w:r w:rsidRPr="00F10A79">
        <w:rPr>
          <w:rFonts w:ascii="Arial" w:hAnsi="Arial" w:cs="Arial"/>
        </w:rPr>
        <w:t>Nuhu, M. G., &amp; Matsui, K. (2022). Gender dimensions of climate change adaptation needs for smallholder farmers in the Upper East Region of Ghana. Sustainability, 14(16), 10432. https://doi.org/10.3390/su141610432</w:t>
      </w:r>
    </w:p>
    <w:p w14:paraId="1E6823EE" w14:textId="77777777" w:rsidR="00F10A79" w:rsidRPr="00F10A79" w:rsidRDefault="00F10A79" w:rsidP="00F10A79">
      <w:pPr>
        <w:pStyle w:val="Body"/>
        <w:rPr>
          <w:rFonts w:ascii="Arial" w:hAnsi="Arial" w:cs="Arial"/>
        </w:rPr>
      </w:pPr>
      <w:r w:rsidRPr="00F10A79">
        <w:rPr>
          <w:rFonts w:ascii="Arial" w:hAnsi="Arial" w:cs="Arial"/>
        </w:rPr>
        <w:t>Nutor, J. J., Alhassan, R. K., Thompson, R. G., Asakitogum, D. A., Duah, H. O., Ritchwood, T. D., ... &amp; Gyamerah, A. O. (2024). Depression and its associated factors among people living with HIV in the Volta region of Ghana. PLOS Mental Health, 1(1), 1–13. https://doi.org/10.1371/journal.pmen.0000035</w:t>
      </w:r>
    </w:p>
    <w:p w14:paraId="1C371DDB" w14:textId="77777777" w:rsidR="00F10A79" w:rsidRPr="00F10A79" w:rsidRDefault="00F10A79" w:rsidP="00F10A79">
      <w:pPr>
        <w:pStyle w:val="Body"/>
        <w:rPr>
          <w:rFonts w:ascii="Arial" w:hAnsi="Arial" w:cs="Arial"/>
        </w:rPr>
      </w:pPr>
      <w:r w:rsidRPr="00F10A79">
        <w:rPr>
          <w:rFonts w:ascii="Arial" w:hAnsi="Arial" w:cs="Arial"/>
        </w:rPr>
        <w:t xml:space="preserve">Nyantakyi-Frimpong, H., LaVanchy, G. T., &amp; Kelley, M. M. (2023). Human and physical dilemmas in small-scale irrigation development: Evidence from climate-sensitive northern Ghana. The Professional Geographer, 75(4), 591–603. </w:t>
      </w:r>
    </w:p>
    <w:p w14:paraId="09811D79" w14:textId="77777777" w:rsidR="00F10A79" w:rsidRPr="00F10A79" w:rsidRDefault="00F10A79" w:rsidP="00F10A79">
      <w:pPr>
        <w:pStyle w:val="Body"/>
        <w:rPr>
          <w:rFonts w:ascii="Arial" w:hAnsi="Arial" w:cs="Arial"/>
        </w:rPr>
      </w:pPr>
      <w:r w:rsidRPr="00F10A79">
        <w:rPr>
          <w:rFonts w:ascii="Arial" w:hAnsi="Arial" w:cs="Arial"/>
        </w:rPr>
        <w:t>Oyebode, O. J. (2024). Implementation strategies for sustainable irrigation infrastructures in Nigeria. International Journal of Water Resources Engineering, 10(2), 1–14. https://journalspub.com/journal/ijwre/</w:t>
      </w:r>
    </w:p>
    <w:p w14:paraId="3954664D" w14:textId="77777777" w:rsidR="00F10A79" w:rsidRPr="00F10A79" w:rsidRDefault="00F10A79" w:rsidP="00F10A79">
      <w:pPr>
        <w:pStyle w:val="Body"/>
        <w:rPr>
          <w:rFonts w:ascii="Arial" w:hAnsi="Arial" w:cs="Arial"/>
        </w:rPr>
      </w:pPr>
      <w:r w:rsidRPr="00F10A79">
        <w:rPr>
          <w:rFonts w:ascii="Arial" w:hAnsi="Arial" w:cs="Arial"/>
        </w:rPr>
        <w:t>Sharaunga, S., &amp; Mudhara, M. (2018). Determinants of farmers’ participation in collective maintenance of irrigation infrastructure in KwaZulu-Natal. Physics and Chemistry of the Earth, Parts A/B/C, 105, 265–273. https://doi.org/10.1016/j.pce.2018.02.014</w:t>
      </w:r>
    </w:p>
    <w:p w14:paraId="75E56C6A" w14:textId="77777777" w:rsidR="00F10A79" w:rsidRPr="00F10A79" w:rsidRDefault="00F10A79" w:rsidP="00F10A79">
      <w:pPr>
        <w:pStyle w:val="Body"/>
        <w:rPr>
          <w:rFonts w:ascii="Arial" w:hAnsi="Arial" w:cs="Arial"/>
        </w:rPr>
      </w:pPr>
      <w:r w:rsidRPr="00F10A79">
        <w:rPr>
          <w:rFonts w:ascii="Arial" w:hAnsi="Arial" w:cs="Arial"/>
        </w:rPr>
        <w:t xml:space="preserve">Siew, M. K., Yacob, M. R., Radam, A., Adamu, A., &amp; Alias, E. F. (2015). Estimating willingness to pay for wetland conservation: A contingent valuation study of Paya Indah Wetland, Selangor Malaysia. Procedia Environmental Sciences, 30, 268–272. </w:t>
      </w:r>
    </w:p>
    <w:p w14:paraId="7D7D138B" w14:textId="77777777" w:rsidR="00F10A79" w:rsidRPr="00F10A79" w:rsidRDefault="00F10A79" w:rsidP="00F10A79">
      <w:pPr>
        <w:pStyle w:val="Body"/>
        <w:rPr>
          <w:rFonts w:ascii="Arial" w:hAnsi="Arial" w:cs="Arial"/>
        </w:rPr>
      </w:pPr>
      <w:r w:rsidRPr="00F10A79">
        <w:rPr>
          <w:rFonts w:ascii="Arial" w:hAnsi="Arial" w:cs="Arial"/>
        </w:rPr>
        <w:t>Singh, M., Rayaz, M., &amp; Arti, R. (2024). Isotherm and kinetic studies for sorption of Cr (VI) onto prosopis cineraria leaf powder: A comparison of linear and non</w:t>
      </w:r>
      <w:r w:rsidRPr="00F10A79">
        <w:rPr>
          <w:rFonts w:ascii="Cambria Math" w:hAnsi="Cambria Math" w:cs="Cambria Math"/>
        </w:rPr>
        <w:t>‐</w:t>
      </w:r>
      <w:r w:rsidRPr="00F10A79">
        <w:rPr>
          <w:rFonts w:ascii="Arial" w:hAnsi="Arial" w:cs="Arial"/>
        </w:rPr>
        <w:t>linear regression analysis. Environmental Progress &amp; Sustainable Energy, 43(1), e14259.</w:t>
      </w:r>
    </w:p>
    <w:p w14:paraId="4263B10F" w14:textId="77777777" w:rsidR="00F10A79" w:rsidRPr="00F10A79" w:rsidRDefault="00F10A79" w:rsidP="00F10A79">
      <w:pPr>
        <w:pStyle w:val="Body"/>
        <w:rPr>
          <w:rFonts w:ascii="Arial" w:hAnsi="Arial" w:cs="Arial"/>
        </w:rPr>
      </w:pPr>
      <w:r w:rsidRPr="00F10A79">
        <w:rPr>
          <w:rFonts w:ascii="Arial" w:hAnsi="Arial" w:cs="Arial"/>
        </w:rPr>
        <w:lastRenderedPageBreak/>
        <w:t>Thabane, V. N., Agholor, I. A., Ludidi, N. N., Morepje, M. T., Mgwenya, L. I., Msweli, N. S., &amp; Sithole, M. Z. (2025). Irrigation Water and Security in South African Smallholder Farming: Assessing Strategies for Revitalization. World, 6(1), 32.</w:t>
      </w:r>
    </w:p>
    <w:p w14:paraId="058C6624" w14:textId="77777777" w:rsidR="00F10A79" w:rsidRPr="00F10A79" w:rsidRDefault="00F10A79" w:rsidP="00F10A79">
      <w:pPr>
        <w:pStyle w:val="Body"/>
        <w:rPr>
          <w:rFonts w:ascii="Arial" w:hAnsi="Arial" w:cs="Arial"/>
        </w:rPr>
      </w:pPr>
      <w:r w:rsidRPr="00F10A79">
        <w:rPr>
          <w:rFonts w:ascii="Arial" w:hAnsi="Arial" w:cs="Arial"/>
        </w:rPr>
        <w:t>Theis, S., Lefore, N., Meinzen-Dick, R., &amp; Bryan, E. (2018). What happens after technology adoption? Gendered aspects of small-scale irrigation technologies in Ethiopia, Ghana, and Tanzania. Agriculture and Human Values, 35(3), 671–684. https://doi.org/10.1007/s10460-018-9862-8</w:t>
      </w:r>
    </w:p>
    <w:p w14:paraId="763736CF" w14:textId="77777777" w:rsidR="00F10A79" w:rsidRPr="00F10A79" w:rsidRDefault="00F10A79" w:rsidP="00F10A79">
      <w:pPr>
        <w:pStyle w:val="Body"/>
        <w:rPr>
          <w:rFonts w:ascii="Arial" w:hAnsi="Arial" w:cs="Arial"/>
        </w:rPr>
      </w:pPr>
      <w:r w:rsidRPr="00F10A79">
        <w:rPr>
          <w:rFonts w:ascii="Arial" w:hAnsi="Arial" w:cs="Arial"/>
        </w:rPr>
        <w:t>UNOCHA. (2024). United Nations Office for the Coordination of Humanitarian Affairs, Humanitarian Data Exchange. https://data.humdata.org/dataset</w:t>
      </w:r>
    </w:p>
    <w:p w14:paraId="2786CBBC" w14:textId="3F3EAB32" w:rsidR="00B01FCD" w:rsidRDefault="00F10A79" w:rsidP="00F10A79">
      <w:pPr>
        <w:pStyle w:val="Body"/>
        <w:spacing w:after="0"/>
        <w:rPr>
          <w:rFonts w:ascii="Arial" w:hAnsi="Arial" w:cs="Arial"/>
        </w:rPr>
      </w:pPr>
      <w:r w:rsidRPr="00F10A79">
        <w:rPr>
          <w:rFonts w:ascii="Arial" w:hAnsi="Arial" w:cs="Arial"/>
        </w:rPr>
        <w:t>World Bank Group. (2020). Life expectancy at birth, total (years). https://data.worldbank.org/indicator/SP.DYN.LE00.IN</w:t>
      </w:r>
    </w:p>
    <w:p w14:paraId="13C3AD5E" w14:textId="62F8F87C" w:rsidR="00F10A79" w:rsidRPr="00B600BA" w:rsidRDefault="006B2B6E" w:rsidP="00B600BA">
      <w:pPr>
        <w:pStyle w:val="Body"/>
        <w:spacing w:after="0"/>
        <w:rPr>
          <w:rFonts w:ascii="Arial" w:hAnsi="Arial" w:cs="Arial"/>
        </w:rPr>
      </w:pPr>
      <w:r>
        <w:rPr>
          <w:rFonts w:ascii="Arial" w:hAnsi="Arial" w:cs="Arial"/>
        </w:rPr>
        <w:t xml:space="preserve"> </w:t>
      </w:r>
    </w:p>
    <w:sectPr w:rsidR="00F10A79" w:rsidRPr="00B600BA" w:rsidSect="00056E67">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63A19" w14:textId="77777777" w:rsidR="001428E8" w:rsidRDefault="001428E8" w:rsidP="00C37E61">
      <w:r>
        <w:separator/>
      </w:r>
    </w:p>
  </w:endnote>
  <w:endnote w:type="continuationSeparator" w:id="0">
    <w:p w14:paraId="41616345" w14:textId="77777777" w:rsidR="001428E8" w:rsidRDefault="001428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F0F8F" w14:textId="77777777" w:rsidR="00540E68" w:rsidRDefault="00540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DB6B"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5E4B2" w14:textId="77777777" w:rsidR="00540E68" w:rsidRDefault="00540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86D7C" w14:textId="77777777" w:rsidR="001428E8" w:rsidRDefault="001428E8" w:rsidP="00C37E61">
      <w:r>
        <w:separator/>
      </w:r>
    </w:p>
  </w:footnote>
  <w:footnote w:type="continuationSeparator" w:id="0">
    <w:p w14:paraId="3813492C" w14:textId="77777777" w:rsidR="001428E8" w:rsidRDefault="001428E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C35A4" w14:textId="23556900" w:rsidR="00540E68" w:rsidRDefault="00540E68">
    <w:pPr>
      <w:pStyle w:val="Header"/>
    </w:pPr>
    <w:r>
      <w:rPr>
        <w:noProof/>
      </w:rPr>
      <w:pict w14:anchorId="28320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14563"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D0537" w14:textId="2251E5E8" w:rsidR="00540E68" w:rsidRDefault="00540E68">
    <w:pPr>
      <w:pStyle w:val="Header"/>
    </w:pPr>
    <w:r>
      <w:rPr>
        <w:noProof/>
      </w:rPr>
      <w:pict w14:anchorId="420DB1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14564"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C49D0" w14:textId="7A7D31C4" w:rsidR="00540E68" w:rsidRDefault="00540E68">
    <w:pPr>
      <w:pStyle w:val="Header"/>
    </w:pPr>
    <w:r>
      <w:rPr>
        <w:noProof/>
      </w:rPr>
      <w:pict w14:anchorId="48F1A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14562"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99D"/>
    <w:rsid w:val="00000F8F"/>
    <w:rsid w:val="00001C03"/>
    <w:rsid w:val="000024D1"/>
    <w:rsid w:val="00010974"/>
    <w:rsid w:val="00015387"/>
    <w:rsid w:val="00017154"/>
    <w:rsid w:val="0001792D"/>
    <w:rsid w:val="00020784"/>
    <w:rsid w:val="00021B79"/>
    <w:rsid w:val="00024F52"/>
    <w:rsid w:val="00025467"/>
    <w:rsid w:val="00030174"/>
    <w:rsid w:val="00031AEC"/>
    <w:rsid w:val="0003236E"/>
    <w:rsid w:val="0003665F"/>
    <w:rsid w:val="000367A1"/>
    <w:rsid w:val="000371DF"/>
    <w:rsid w:val="0004499F"/>
    <w:rsid w:val="0004579C"/>
    <w:rsid w:val="000465A5"/>
    <w:rsid w:val="0005160E"/>
    <w:rsid w:val="00051B42"/>
    <w:rsid w:val="00056023"/>
    <w:rsid w:val="00056E67"/>
    <w:rsid w:val="0005700F"/>
    <w:rsid w:val="00061975"/>
    <w:rsid w:val="000641F9"/>
    <w:rsid w:val="000656D4"/>
    <w:rsid w:val="000656ED"/>
    <w:rsid w:val="000663A3"/>
    <w:rsid w:val="00067367"/>
    <w:rsid w:val="00074C86"/>
    <w:rsid w:val="00075024"/>
    <w:rsid w:val="000767E0"/>
    <w:rsid w:val="00090654"/>
    <w:rsid w:val="00090BE5"/>
    <w:rsid w:val="00091FCB"/>
    <w:rsid w:val="000A13DD"/>
    <w:rsid w:val="000A38F1"/>
    <w:rsid w:val="000A3A67"/>
    <w:rsid w:val="000A47FA"/>
    <w:rsid w:val="000A65D3"/>
    <w:rsid w:val="000B1E33"/>
    <w:rsid w:val="000B2AE4"/>
    <w:rsid w:val="000B3DDA"/>
    <w:rsid w:val="000B5914"/>
    <w:rsid w:val="000C1EFA"/>
    <w:rsid w:val="000C1FEF"/>
    <w:rsid w:val="000C72FF"/>
    <w:rsid w:val="000D0C84"/>
    <w:rsid w:val="000D689F"/>
    <w:rsid w:val="000E14E5"/>
    <w:rsid w:val="000E3870"/>
    <w:rsid w:val="000E7B7B"/>
    <w:rsid w:val="000E7D62"/>
    <w:rsid w:val="000F49B9"/>
    <w:rsid w:val="00102B0F"/>
    <w:rsid w:val="00103357"/>
    <w:rsid w:val="001052DA"/>
    <w:rsid w:val="00106C63"/>
    <w:rsid w:val="00106DC6"/>
    <w:rsid w:val="00113BE9"/>
    <w:rsid w:val="0011401A"/>
    <w:rsid w:val="001161C7"/>
    <w:rsid w:val="001165CE"/>
    <w:rsid w:val="001215F0"/>
    <w:rsid w:val="00123B71"/>
    <w:rsid w:val="00123C9F"/>
    <w:rsid w:val="00126190"/>
    <w:rsid w:val="00127CA0"/>
    <w:rsid w:val="00127DF5"/>
    <w:rsid w:val="00130F17"/>
    <w:rsid w:val="001320BF"/>
    <w:rsid w:val="00140C59"/>
    <w:rsid w:val="00140D83"/>
    <w:rsid w:val="001428E8"/>
    <w:rsid w:val="001436F5"/>
    <w:rsid w:val="001454AF"/>
    <w:rsid w:val="00145D30"/>
    <w:rsid w:val="001470BF"/>
    <w:rsid w:val="00150C64"/>
    <w:rsid w:val="001560EF"/>
    <w:rsid w:val="00156E1C"/>
    <w:rsid w:val="0016042C"/>
    <w:rsid w:val="00161EC6"/>
    <w:rsid w:val="00162DDC"/>
    <w:rsid w:val="00162E3E"/>
    <w:rsid w:val="00162F63"/>
    <w:rsid w:val="00163BC4"/>
    <w:rsid w:val="00166133"/>
    <w:rsid w:val="0017676A"/>
    <w:rsid w:val="00180D5C"/>
    <w:rsid w:val="0018364C"/>
    <w:rsid w:val="0018446B"/>
    <w:rsid w:val="00184CDE"/>
    <w:rsid w:val="001855B7"/>
    <w:rsid w:val="00191062"/>
    <w:rsid w:val="00192B72"/>
    <w:rsid w:val="001A0170"/>
    <w:rsid w:val="001A01AC"/>
    <w:rsid w:val="001A29D8"/>
    <w:rsid w:val="001A4140"/>
    <w:rsid w:val="001A5CAA"/>
    <w:rsid w:val="001A7B51"/>
    <w:rsid w:val="001A7E57"/>
    <w:rsid w:val="001B0427"/>
    <w:rsid w:val="001B24AD"/>
    <w:rsid w:val="001B26AD"/>
    <w:rsid w:val="001B329D"/>
    <w:rsid w:val="001C3459"/>
    <w:rsid w:val="001C42AE"/>
    <w:rsid w:val="001C528A"/>
    <w:rsid w:val="001D2C97"/>
    <w:rsid w:val="001D3A51"/>
    <w:rsid w:val="001D5AD4"/>
    <w:rsid w:val="001E0A35"/>
    <w:rsid w:val="001E10D2"/>
    <w:rsid w:val="001E25B4"/>
    <w:rsid w:val="001E44FE"/>
    <w:rsid w:val="001E5D59"/>
    <w:rsid w:val="001F01A4"/>
    <w:rsid w:val="001F34E7"/>
    <w:rsid w:val="001F3B00"/>
    <w:rsid w:val="001F42F3"/>
    <w:rsid w:val="00200595"/>
    <w:rsid w:val="00204835"/>
    <w:rsid w:val="00210807"/>
    <w:rsid w:val="00210AE6"/>
    <w:rsid w:val="002127A1"/>
    <w:rsid w:val="00214CA9"/>
    <w:rsid w:val="00224C65"/>
    <w:rsid w:val="002306B7"/>
    <w:rsid w:val="00231263"/>
    <w:rsid w:val="00231920"/>
    <w:rsid w:val="0023195C"/>
    <w:rsid w:val="00237EF0"/>
    <w:rsid w:val="0024025C"/>
    <w:rsid w:val="0024282C"/>
    <w:rsid w:val="00242D70"/>
    <w:rsid w:val="00245A88"/>
    <w:rsid w:val="002460DC"/>
    <w:rsid w:val="00247505"/>
    <w:rsid w:val="00250965"/>
    <w:rsid w:val="00250985"/>
    <w:rsid w:val="002556F6"/>
    <w:rsid w:val="002562BD"/>
    <w:rsid w:val="002626BF"/>
    <w:rsid w:val="00262AE8"/>
    <w:rsid w:val="00263BF8"/>
    <w:rsid w:val="0026774B"/>
    <w:rsid w:val="00277195"/>
    <w:rsid w:val="00277369"/>
    <w:rsid w:val="002806C1"/>
    <w:rsid w:val="00282863"/>
    <w:rsid w:val="00283105"/>
    <w:rsid w:val="00283994"/>
    <w:rsid w:val="00284C4C"/>
    <w:rsid w:val="00285065"/>
    <w:rsid w:val="00285D26"/>
    <w:rsid w:val="00285D78"/>
    <w:rsid w:val="00287E68"/>
    <w:rsid w:val="00290AA1"/>
    <w:rsid w:val="00294B79"/>
    <w:rsid w:val="002951FB"/>
    <w:rsid w:val="00296529"/>
    <w:rsid w:val="00297350"/>
    <w:rsid w:val="002A0624"/>
    <w:rsid w:val="002A1638"/>
    <w:rsid w:val="002A51C4"/>
    <w:rsid w:val="002B02CB"/>
    <w:rsid w:val="002B27FB"/>
    <w:rsid w:val="002B6276"/>
    <w:rsid w:val="002B6330"/>
    <w:rsid w:val="002B685A"/>
    <w:rsid w:val="002B7D2B"/>
    <w:rsid w:val="002C142D"/>
    <w:rsid w:val="002C57D2"/>
    <w:rsid w:val="002C6223"/>
    <w:rsid w:val="002D20F4"/>
    <w:rsid w:val="002D5771"/>
    <w:rsid w:val="002E046D"/>
    <w:rsid w:val="002E0486"/>
    <w:rsid w:val="002E0D43"/>
    <w:rsid w:val="002E0D56"/>
    <w:rsid w:val="002E1AA3"/>
    <w:rsid w:val="002E5117"/>
    <w:rsid w:val="002F069E"/>
    <w:rsid w:val="002F2730"/>
    <w:rsid w:val="002F5884"/>
    <w:rsid w:val="00303200"/>
    <w:rsid w:val="00303F7D"/>
    <w:rsid w:val="00306903"/>
    <w:rsid w:val="00311241"/>
    <w:rsid w:val="00313B4E"/>
    <w:rsid w:val="00315186"/>
    <w:rsid w:val="00320E80"/>
    <w:rsid w:val="00321762"/>
    <w:rsid w:val="00321D52"/>
    <w:rsid w:val="00322DD3"/>
    <w:rsid w:val="00322DE3"/>
    <w:rsid w:val="0032499D"/>
    <w:rsid w:val="00327B23"/>
    <w:rsid w:val="00332D65"/>
    <w:rsid w:val="0033343E"/>
    <w:rsid w:val="00333BB9"/>
    <w:rsid w:val="00337C63"/>
    <w:rsid w:val="00344AFE"/>
    <w:rsid w:val="0034654D"/>
    <w:rsid w:val="0035015E"/>
    <w:rsid w:val="003512C2"/>
    <w:rsid w:val="003516F5"/>
    <w:rsid w:val="003551C3"/>
    <w:rsid w:val="00356194"/>
    <w:rsid w:val="00364BB8"/>
    <w:rsid w:val="00371FB6"/>
    <w:rsid w:val="00373A60"/>
    <w:rsid w:val="00374CEF"/>
    <w:rsid w:val="00376307"/>
    <w:rsid w:val="003763C1"/>
    <w:rsid w:val="00376BBE"/>
    <w:rsid w:val="00377CCE"/>
    <w:rsid w:val="00380CCC"/>
    <w:rsid w:val="00382051"/>
    <w:rsid w:val="0038621C"/>
    <w:rsid w:val="0038653D"/>
    <w:rsid w:val="003917CB"/>
    <w:rsid w:val="0039224F"/>
    <w:rsid w:val="003923C4"/>
    <w:rsid w:val="0039651F"/>
    <w:rsid w:val="003A0369"/>
    <w:rsid w:val="003A43A4"/>
    <w:rsid w:val="003A4BF9"/>
    <w:rsid w:val="003A7E18"/>
    <w:rsid w:val="003B016F"/>
    <w:rsid w:val="003B2165"/>
    <w:rsid w:val="003B7AF0"/>
    <w:rsid w:val="003C0E3C"/>
    <w:rsid w:val="003C193A"/>
    <w:rsid w:val="003C3281"/>
    <w:rsid w:val="003C4C86"/>
    <w:rsid w:val="003C4F89"/>
    <w:rsid w:val="003C6258"/>
    <w:rsid w:val="003D1005"/>
    <w:rsid w:val="003D2D0A"/>
    <w:rsid w:val="003D6680"/>
    <w:rsid w:val="003E0D2F"/>
    <w:rsid w:val="003E2904"/>
    <w:rsid w:val="003E2CFF"/>
    <w:rsid w:val="003E3562"/>
    <w:rsid w:val="003E3EA1"/>
    <w:rsid w:val="003E46C1"/>
    <w:rsid w:val="003E56E0"/>
    <w:rsid w:val="003E5DC1"/>
    <w:rsid w:val="003F0B68"/>
    <w:rsid w:val="003F1FB6"/>
    <w:rsid w:val="003F3C49"/>
    <w:rsid w:val="003F4B9E"/>
    <w:rsid w:val="003F5806"/>
    <w:rsid w:val="003F6894"/>
    <w:rsid w:val="004000B8"/>
    <w:rsid w:val="00401652"/>
    <w:rsid w:val="00401927"/>
    <w:rsid w:val="00404481"/>
    <w:rsid w:val="0041027F"/>
    <w:rsid w:val="00412475"/>
    <w:rsid w:val="00413E05"/>
    <w:rsid w:val="004140FB"/>
    <w:rsid w:val="00414D5C"/>
    <w:rsid w:val="00417995"/>
    <w:rsid w:val="00423789"/>
    <w:rsid w:val="00426284"/>
    <w:rsid w:val="0042675B"/>
    <w:rsid w:val="00440F43"/>
    <w:rsid w:val="00441B6F"/>
    <w:rsid w:val="00441CF5"/>
    <w:rsid w:val="00446221"/>
    <w:rsid w:val="00450E62"/>
    <w:rsid w:val="004511E9"/>
    <w:rsid w:val="004514E7"/>
    <w:rsid w:val="004535C3"/>
    <w:rsid w:val="004539DB"/>
    <w:rsid w:val="00455383"/>
    <w:rsid w:val="00455DF3"/>
    <w:rsid w:val="00463644"/>
    <w:rsid w:val="00471A80"/>
    <w:rsid w:val="00483888"/>
    <w:rsid w:val="00483B4F"/>
    <w:rsid w:val="004870D3"/>
    <w:rsid w:val="0048767B"/>
    <w:rsid w:val="00487FAC"/>
    <w:rsid w:val="004907CE"/>
    <w:rsid w:val="004969C0"/>
    <w:rsid w:val="004A156A"/>
    <w:rsid w:val="004A3213"/>
    <w:rsid w:val="004A37E2"/>
    <w:rsid w:val="004B09F2"/>
    <w:rsid w:val="004B11FF"/>
    <w:rsid w:val="004B2998"/>
    <w:rsid w:val="004B4393"/>
    <w:rsid w:val="004B5E5E"/>
    <w:rsid w:val="004B7CDD"/>
    <w:rsid w:val="004C50BE"/>
    <w:rsid w:val="004C511B"/>
    <w:rsid w:val="004D305E"/>
    <w:rsid w:val="004D4277"/>
    <w:rsid w:val="004D4DBA"/>
    <w:rsid w:val="004D71A9"/>
    <w:rsid w:val="004E0DA4"/>
    <w:rsid w:val="004E2080"/>
    <w:rsid w:val="004E3398"/>
    <w:rsid w:val="004E648D"/>
    <w:rsid w:val="004F144C"/>
    <w:rsid w:val="004F69E5"/>
    <w:rsid w:val="005005EB"/>
    <w:rsid w:val="00502516"/>
    <w:rsid w:val="00502786"/>
    <w:rsid w:val="00505F06"/>
    <w:rsid w:val="00506828"/>
    <w:rsid w:val="00513DC2"/>
    <w:rsid w:val="00514C52"/>
    <w:rsid w:val="00517786"/>
    <w:rsid w:val="00521678"/>
    <w:rsid w:val="00522358"/>
    <w:rsid w:val="005249D0"/>
    <w:rsid w:val="00526998"/>
    <w:rsid w:val="0053056E"/>
    <w:rsid w:val="0053172B"/>
    <w:rsid w:val="0053716B"/>
    <w:rsid w:val="00540E68"/>
    <w:rsid w:val="0055266D"/>
    <w:rsid w:val="00554FDA"/>
    <w:rsid w:val="005560A2"/>
    <w:rsid w:val="00560ECF"/>
    <w:rsid w:val="00564DAF"/>
    <w:rsid w:val="00565DED"/>
    <w:rsid w:val="00565E3F"/>
    <w:rsid w:val="00566049"/>
    <w:rsid w:val="00570798"/>
    <w:rsid w:val="00573539"/>
    <w:rsid w:val="00577094"/>
    <w:rsid w:val="00583E6A"/>
    <w:rsid w:val="00585FD4"/>
    <w:rsid w:val="0058705B"/>
    <w:rsid w:val="0059161C"/>
    <w:rsid w:val="00595185"/>
    <w:rsid w:val="00597D6C"/>
    <w:rsid w:val="005A36A1"/>
    <w:rsid w:val="005A6A14"/>
    <w:rsid w:val="005A7E78"/>
    <w:rsid w:val="005B266B"/>
    <w:rsid w:val="005B2BF7"/>
    <w:rsid w:val="005B2F76"/>
    <w:rsid w:val="005B31EA"/>
    <w:rsid w:val="005C0D12"/>
    <w:rsid w:val="005C3C5E"/>
    <w:rsid w:val="005C4AE0"/>
    <w:rsid w:val="005C784C"/>
    <w:rsid w:val="005C7BA2"/>
    <w:rsid w:val="005D15B7"/>
    <w:rsid w:val="005D17F6"/>
    <w:rsid w:val="005D1FE1"/>
    <w:rsid w:val="005D265C"/>
    <w:rsid w:val="005D5452"/>
    <w:rsid w:val="005D7765"/>
    <w:rsid w:val="005D7830"/>
    <w:rsid w:val="005E37B0"/>
    <w:rsid w:val="005E5539"/>
    <w:rsid w:val="005F00B0"/>
    <w:rsid w:val="005F5546"/>
    <w:rsid w:val="005F6FF1"/>
    <w:rsid w:val="00602BF5"/>
    <w:rsid w:val="00604393"/>
    <w:rsid w:val="006047D9"/>
    <w:rsid w:val="00610DD5"/>
    <w:rsid w:val="00611A6A"/>
    <w:rsid w:val="0061376A"/>
    <w:rsid w:val="00617FDD"/>
    <w:rsid w:val="0062104B"/>
    <w:rsid w:val="006215D7"/>
    <w:rsid w:val="00623AF7"/>
    <w:rsid w:val="0062471E"/>
    <w:rsid w:val="00624ED1"/>
    <w:rsid w:val="00625667"/>
    <w:rsid w:val="00626B88"/>
    <w:rsid w:val="00627762"/>
    <w:rsid w:val="00630D56"/>
    <w:rsid w:val="00633614"/>
    <w:rsid w:val="00633F68"/>
    <w:rsid w:val="0063571D"/>
    <w:rsid w:val="00636EB2"/>
    <w:rsid w:val="006375B8"/>
    <w:rsid w:val="00641D5A"/>
    <w:rsid w:val="00644D9B"/>
    <w:rsid w:val="006455C5"/>
    <w:rsid w:val="00653286"/>
    <w:rsid w:val="006555FF"/>
    <w:rsid w:val="00656623"/>
    <w:rsid w:val="006608E2"/>
    <w:rsid w:val="00661686"/>
    <w:rsid w:val="0066228C"/>
    <w:rsid w:val="00662B4A"/>
    <w:rsid w:val="0066510A"/>
    <w:rsid w:val="006673D5"/>
    <w:rsid w:val="006711BA"/>
    <w:rsid w:val="0067357A"/>
    <w:rsid w:val="00673F9F"/>
    <w:rsid w:val="0067531D"/>
    <w:rsid w:val="00681026"/>
    <w:rsid w:val="00683BD1"/>
    <w:rsid w:val="00684CB3"/>
    <w:rsid w:val="00686899"/>
    <w:rsid w:val="00686953"/>
    <w:rsid w:val="00687DEA"/>
    <w:rsid w:val="00687E67"/>
    <w:rsid w:val="00690307"/>
    <w:rsid w:val="00690861"/>
    <w:rsid w:val="006926B9"/>
    <w:rsid w:val="00692A4F"/>
    <w:rsid w:val="00692D1E"/>
    <w:rsid w:val="006946EC"/>
    <w:rsid w:val="00694C2A"/>
    <w:rsid w:val="006967F7"/>
    <w:rsid w:val="006A03C8"/>
    <w:rsid w:val="006A250C"/>
    <w:rsid w:val="006A4E1F"/>
    <w:rsid w:val="006B09CE"/>
    <w:rsid w:val="006B0FF4"/>
    <w:rsid w:val="006B21D3"/>
    <w:rsid w:val="006B2B6E"/>
    <w:rsid w:val="006B57D0"/>
    <w:rsid w:val="006C1A33"/>
    <w:rsid w:val="006C2C6D"/>
    <w:rsid w:val="006C505D"/>
    <w:rsid w:val="006C7FEE"/>
    <w:rsid w:val="006D0FEB"/>
    <w:rsid w:val="006D30E2"/>
    <w:rsid w:val="006D30FF"/>
    <w:rsid w:val="006D4A3B"/>
    <w:rsid w:val="006D5D0A"/>
    <w:rsid w:val="006D5DE5"/>
    <w:rsid w:val="006D6940"/>
    <w:rsid w:val="006E0FDD"/>
    <w:rsid w:val="006E1716"/>
    <w:rsid w:val="006E1CF3"/>
    <w:rsid w:val="006E210E"/>
    <w:rsid w:val="006E3332"/>
    <w:rsid w:val="006E422F"/>
    <w:rsid w:val="006E5A5E"/>
    <w:rsid w:val="006E6706"/>
    <w:rsid w:val="006E77F9"/>
    <w:rsid w:val="006F11EC"/>
    <w:rsid w:val="006F3DE2"/>
    <w:rsid w:val="006F4B73"/>
    <w:rsid w:val="0070082C"/>
    <w:rsid w:val="00701E04"/>
    <w:rsid w:val="00702816"/>
    <w:rsid w:val="007035D8"/>
    <w:rsid w:val="0071426C"/>
    <w:rsid w:val="00715331"/>
    <w:rsid w:val="00735421"/>
    <w:rsid w:val="007369E6"/>
    <w:rsid w:val="007409DC"/>
    <w:rsid w:val="00745680"/>
    <w:rsid w:val="00746773"/>
    <w:rsid w:val="00746E59"/>
    <w:rsid w:val="00747077"/>
    <w:rsid w:val="0074707A"/>
    <w:rsid w:val="00750A04"/>
    <w:rsid w:val="00751D0E"/>
    <w:rsid w:val="0075238C"/>
    <w:rsid w:val="00752443"/>
    <w:rsid w:val="00754C9A"/>
    <w:rsid w:val="0075599A"/>
    <w:rsid w:val="0075640C"/>
    <w:rsid w:val="00756474"/>
    <w:rsid w:val="00760E5D"/>
    <w:rsid w:val="0076196A"/>
    <w:rsid w:val="00761D52"/>
    <w:rsid w:val="00764E7D"/>
    <w:rsid w:val="00771838"/>
    <w:rsid w:val="007718A8"/>
    <w:rsid w:val="007737E0"/>
    <w:rsid w:val="00775333"/>
    <w:rsid w:val="0077749E"/>
    <w:rsid w:val="0078248C"/>
    <w:rsid w:val="0078330C"/>
    <w:rsid w:val="00783BAC"/>
    <w:rsid w:val="00785811"/>
    <w:rsid w:val="00786009"/>
    <w:rsid w:val="00790ADA"/>
    <w:rsid w:val="0079186C"/>
    <w:rsid w:val="0079192B"/>
    <w:rsid w:val="00796D52"/>
    <w:rsid w:val="007A2185"/>
    <w:rsid w:val="007A55F4"/>
    <w:rsid w:val="007A5C03"/>
    <w:rsid w:val="007B109F"/>
    <w:rsid w:val="007B4CDB"/>
    <w:rsid w:val="007B5CDD"/>
    <w:rsid w:val="007C1F9F"/>
    <w:rsid w:val="007C2AD6"/>
    <w:rsid w:val="007D1916"/>
    <w:rsid w:val="007D2288"/>
    <w:rsid w:val="007D330F"/>
    <w:rsid w:val="007D4FC3"/>
    <w:rsid w:val="007D5FCF"/>
    <w:rsid w:val="007E088F"/>
    <w:rsid w:val="007E0CA9"/>
    <w:rsid w:val="007E3E14"/>
    <w:rsid w:val="007F7B32"/>
    <w:rsid w:val="0080074E"/>
    <w:rsid w:val="00803E2A"/>
    <w:rsid w:val="00804BC2"/>
    <w:rsid w:val="00805F2D"/>
    <w:rsid w:val="00810B76"/>
    <w:rsid w:val="0081431A"/>
    <w:rsid w:val="00815290"/>
    <w:rsid w:val="00820315"/>
    <w:rsid w:val="008262BA"/>
    <w:rsid w:val="00827FF9"/>
    <w:rsid w:val="0083007C"/>
    <w:rsid w:val="0083216F"/>
    <w:rsid w:val="00832364"/>
    <w:rsid w:val="0083246E"/>
    <w:rsid w:val="00833B7E"/>
    <w:rsid w:val="00840912"/>
    <w:rsid w:val="00842624"/>
    <w:rsid w:val="00846AB9"/>
    <w:rsid w:val="00851E2F"/>
    <w:rsid w:val="00853DFD"/>
    <w:rsid w:val="00860000"/>
    <w:rsid w:val="00862AE6"/>
    <w:rsid w:val="00863BD3"/>
    <w:rsid w:val="008641ED"/>
    <w:rsid w:val="00866D66"/>
    <w:rsid w:val="008671C6"/>
    <w:rsid w:val="0087065D"/>
    <w:rsid w:val="008718ED"/>
    <w:rsid w:val="00872769"/>
    <w:rsid w:val="00875803"/>
    <w:rsid w:val="00875FE9"/>
    <w:rsid w:val="00880B0C"/>
    <w:rsid w:val="008828F3"/>
    <w:rsid w:val="008846F3"/>
    <w:rsid w:val="008861A1"/>
    <w:rsid w:val="00890857"/>
    <w:rsid w:val="008909EC"/>
    <w:rsid w:val="00893791"/>
    <w:rsid w:val="00897F7E"/>
    <w:rsid w:val="008A1644"/>
    <w:rsid w:val="008A1CC4"/>
    <w:rsid w:val="008A2F3B"/>
    <w:rsid w:val="008A35DE"/>
    <w:rsid w:val="008A78CF"/>
    <w:rsid w:val="008A7A7F"/>
    <w:rsid w:val="008B459E"/>
    <w:rsid w:val="008B46D7"/>
    <w:rsid w:val="008B47F2"/>
    <w:rsid w:val="008B71A2"/>
    <w:rsid w:val="008C0103"/>
    <w:rsid w:val="008C2CD4"/>
    <w:rsid w:val="008C46AA"/>
    <w:rsid w:val="008C6A6A"/>
    <w:rsid w:val="008C75D5"/>
    <w:rsid w:val="008D2258"/>
    <w:rsid w:val="008D2C10"/>
    <w:rsid w:val="008D34D6"/>
    <w:rsid w:val="008D4B3A"/>
    <w:rsid w:val="008D7256"/>
    <w:rsid w:val="008E13AE"/>
    <w:rsid w:val="008E1506"/>
    <w:rsid w:val="008E4A6F"/>
    <w:rsid w:val="008E4F82"/>
    <w:rsid w:val="008E5CE5"/>
    <w:rsid w:val="008E6285"/>
    <w:rsid w:val="008E710C"/>
    <w:rsid w:val="008F41B5"/>
    <w:rsid w:val="008F5804"/>
    <w:rsid w:val="008F69D6"/>
    <w:rsid w:val="009021E8"/>
    <w:rsid w:val="00902823"/>
    <w:rsid w:val="00903684"/>
    <w:rsid w:val="009049C4"/>
    <w:rsid w:val="00910C2D"/>
    <w:rsid w:val="009134AB"/>
    <w:rsid w:val="00913590"/>
    <w:rsid w:val="00913FD2"/>
    <w:rsid w:val="00915CA6"/>
    <w:rsid w:val="009176E6"/>
    <w:rsid w:val="009215C5"/>
    <w:rsid w:val="009221CF"/>
    <w:rsid w:val="00923A07"/>
    <w:rsid w:val="00923B7D"/>
    <w:rsid w:val="009256B5"/>
    <w:rsid w:val="00927834"/>
    <w:rsid w:val="00933C18"/>
    <w:rsid w:val="009365D0"/>
    <w:rsid w:val="00937430"/>
    <w:rsid w:val="009402FE"/>
    <w:rsid w:val="00946C6A"/>
    <w:rsid w:val="00950037"/>
    <w:rsid w:val="009500A6"/>
    <w:rsid w:val="009507F6"/>
    <w:rsid w:val="00950937"/>
    <w:rsid w:val="00951663"/>
    <w:rsid w:val="00951ABE"/>
    <w:rsid w:val="00954F83"/>
    <w:rsid w:val="00957A6E"/>
    <w:rsid w:val="00957C18"/>
    <w:rsid w:val="00960070"/>
    <w:rsid w:val="00960D2E"/>
    <w:rsid w:val="00963AC5"/>
    <w:rsid w:val="009659BA"/>
    <w:rsid w:val="009675B4"/>
    <w:rsid w:val="00967D95"/>
    <w:rsid w:val="00970193"/>
    <w:rsid w:val="009722B6"/>
    <w:rsid w:val="00977ADF"/>
    <w:rsid w:val="00980093"/>
    <w:rsid w:val="00980184"/>
    <w:rsid w:val="0098084F"/>
    <w:rsid w:val="00980976"/>
    <w:rsid w:val="009810D6"/>
    <w:rsid w:val="00983040"/>
    <w:rsid w:val="009865C8"/>
    <w:rsid w:val="00993D7F"/>
    <w:rsid w:val="0099537F"/>
    <w:rsid w:val="00995A25"/>
    <w:rsid w:val="00996120"/>
    <w:rsid w:val="0099788A"/>
    <w:rsid w:val="009A19B8"/>
    <w:rsid w:val="009A3949"/>
    <w:rsid w:val="009A475D"/>
    <w:rsid w:val="009B24C5"/>
    <w:rsid w:val="009B3390"/>
    <w:rsid w:val="009B3FB9"/>
    <w:rsid w:val="009B4B75"/>
    <w:rsid w:val="009C01FC"/>
    <w:rsid w:val="009C0819"/>
    <w:rsid w:val="009C0DC0"/>
    <w:rsid w:val="009C2465"/>
    <w:rsid w:val="009C31FF"/>
    <w:rsid w:val="009C4F6D"/>
    <w:rsid w:val="009C5259"/>
    <w:rsid w:val="009C5EDB"/>
    <w:rsid w:val="009D08CD"/>
    <w:rsid w:val="009D0AD3"/>
    <w:rsid w:val="009D0D76"/>
    <w:rsid w:val="009D35A0"/>
    <w:rsid w:val="009D4BA7"/>
    <w:rsid w:val="009D4C3F"/>
    <w:rsid w:val="009D60A4"/>
    <w:rsid w:val="009D7EB7"/>
    <w:rsid w:val="009E048A"/>
    <w:rsid w:val="009E08E9"/>
    <w:rsid w:val="009E0CC0"/>
    <w:rsid w:val="009E3DB9"/>
    <w:rsid w:val="009E5345"/>
    <w:rsid w:val="009E64CB"/>
    <w:rsid w:val="009E6E35"/>
    <w:rsid w:val="009F08FE"/>
    <w:rsid w:val="009F0EDA"/>
    <w:rsid w:val="009F1ABA"/>
    <w:rsid w:val="009F21A3"/>
    <w:rsid w:val="00A03160"/>
    <w:rsid w:val="00A03B96"/>
    <w:rsid w:val="00A03CA3"/>
    <w:rsid w:val="00A05B19"/>
    <w:rsid w:val="00A1134E"/>
    <w:rsid w:val="00A114F4"/>
    <w:rsid w:val="00A12A47"/>
    <w:rsid w:val="00A13C7E"/>
    <w:rsid w:val="00A14787"/>
    <w:rsid w:val="00A16817"/>
    <w:rsid w:val="00A20E37"/>
    <w:rsid w:val="00A2483C"/>
    <w:rsid w:val="00A24E7E"/>
    <w:rsid w:val="00A25174"/>
    <w:rsid w:val="00A258C3"/>
    <w:rsid w:val="00A26BE9"/>
    <w:rsid w:val="00A301B3"/>
    <w:rsid w:val="00A347C0"/>
    <w:rsid w:val="00A34AD2"/>
    <w:rsid w:val="00A3653D"/>
    <w:rsid w:val="00A3684B"/>
    <w:rsid w:val="00A43B9B"/>
    <w:rsid w:val="00A4620E"/>
    <w:rsid w:val="00A47939"/>
    <w:rsid w:val="00A511C8"/>
    <w:rsid w:val="00A51431"/>
    <w:rsid w:val="00A52E1B"/>
    <w:rsid w:val="00A539AD"/>
    <w:rsid w:val="00A557B2"/>
    <w:rsid w:val="00A713F1"/>
    <w:rsid w:val="00A721F4"/>
    <w:rsid w:val="00A747E1"/>
    <w:rsid w:val="00A83598"/>
    <w:rsid w:val="00A90A5C"/>
    <w:rsid w:val="00A91EE3"/>
    <w:rsid w:val="00A94063"/>
    <w:rsid w:val="00A95C42"/>
    <w:rsid w:val="00A9642A"/>
    <w:rsid w:val="00A96D84"/>
    <w:rsid w:val="00AA10AF"/>
    <w:rsid w:val="00AA2677"/>
    <w:rsid w:val="00AA6219"/>
    <w:rsid w:val="00AA6A12"/>
    <w:rsid w:val="00AA74E0"/>
    <w:rsid w:val="00AB09A0"/>
    <w:rsid w:val="00AB22F2"/>
    <w:rsid w:val="00AB4F1A"/>
    <w:rsid w:val="00AB6E1C"/>
    <w:rsid w:val="00AB703F"/>
    <w:rsid w:val="00AC1393"/>
    <w:rsid w:val="00AC2964"/>
    <w:rsid w:val="00AC4228"/>
    <w:rsid w:val="00AC49CE"/>
    <w:rsid w:val="00AC6BB8"/>
    <w:rsid w:val="00AD059D"/>
    <w:rsid w:val="00AD2529"/>
    <w:rsid w:val="00AD3B6C"/>
    <w:rsid w:val="00AD693F"/>
    <w:rsid w:val="00AD6BCF"/>
    <w:rsid w:val="00AE008F"/>
    <w:rsid w:val="00AE0BB2"/>
    <w:rsid w:val="00AE1C34"/>
    <w:rsid w:val="00AE321B"/>
    <w:rsid w:val="00AE41BC"/>
    <w:rsid w:val="00AE78DB"/>
    <w:rsid w:val="00AF0AEC"/>
    <w:rsid w:val="00B01489"/>
    <w:rsid w:val="00B01FCD"/>
    <w:rsid w:val="00B033E4"/>
    <w:rsid w:val="00B05B79"/>
    <w:rsid w:val="00B05D62"/>
    <w:rsid w:val="00B072CA"/>
    <w:rsid w:val="00B07B80"/>
    <w:rsid w:val="00B1588E"/>
    <w:rsid w:val="00B17656"/>
    <w:rsid w:val="00B1776C"/>
    <w:rsid w:val="00B22F52"/>
    <w:rsid w:val="00B243D3"/>
    <w:rsid w:val="00B31D20"/>
    <w:rsid w:val="00B33296"/>
    <w:rsid w:val="00B33D44"/>
    <w:rsid w:val="00B34A1E"/>
    <w:rsid w:val="00B34EE2"/>
    <w:rsid w:val="00B37004"/>
    <w:rsid w:val="00B42341"/>
    <w:rsid w:val="00B50E5C"/>
    <w:rsid w:val="00B52400"/>
    <w:rsid w:val="00B52583"/>
    <w:rsid w:val="00B52896"/>
    <w:rsid w:val="00B54D62"/>
    <w:rsid w:val="00B54EC6"/>
    <w:rsid w:val="00B55878"/>
    <w:rsid w:val="00B573AE"/>
    <w:rsid w:val="00B600BA"/>
    <w:rsid w:val="00B625BA"/>
    <w:rsid w:val="00B628F7"/>
    <w:rsid w:val="00B65A85"/>
    <w:rsid w:val="00B65B0E"/>
    <w:rsid w:val="00B6636E"/>
    <w:rsid w:val="00B66E40"/>
    <w:rsid w:val="00B704F0"/>
    <w:rsid w:val="00B70E9B"/>
    <w:rsid w:val="00B70EE6"/>
    <w:rsid w:val="00B730E3"/>
    <w:rsid w:val="00B750A1"/>
    <w:rsid w:val="00B753A9"/>
    <w:rsid w:val="00B77982"/>
    <w:rsid w:val="00B814DA"/>
    <w:rsid w:val="00B8188A"/>
    <w:rsid w:val="00B81EFD"/>
    <w:rsid w:val="00B8204E"/>
    <w:rsid w:val="00B8456E"/>
    <w:rsid w:val="00B84DEB"/>
    <w:rsid w:val="00B8776D"/>
    <w:rsid w:val="00B8783E"/>
    <w:rsid w:val="00B90843"/>
    <w:rsid w:val="00B90F92"/>
    <w:rsid w:val="00B92B43"/>
    <w:rsid w:val="00B94DE2"/>
    <w:rsid w:val="00B95235"/>
    <w:rsid w:val="00B95236"/>
    <w:rsid w:val="00B95A01"/>
    <w:rsid w:val="00B96BD9"/>
    <w:rsid w:val="00BA1B01"/>
    <w:rsid w:val="00BA2641"/>
    <w:rsid w:val="00BA5521"/>
    <w:rsid w:val="00BA56B3"/>
    <w:rsid w:val="00BB0DB1"/>
    <w:rsid w:val="00BB37AA"/>
    <w:rsid w:val="00BB3A50"/>
    <w:rsid w:val="00BB3E6B"/>
    <w:rsid w:val="00BC1C37"/>
    <w:rsid w:val="00BC4A5C"/>
    <w:rsid w:val="00BC53A0"/>
    <w:rsid w:val="00BD1C7C"/>
    <w:rsid w:val="00BD64B3"/>
    <w:rsid w:val="00BD7030"/>
    <w:rsid w:val="00BE0094"/>
    <w:rsid w:val="00BE1463"/>
    <w:rsid w:val="00BE2EA1"/>
    <w:rsid w:val="00BE40ED"/>
    <w:rsid w:val="00BE62AD"/>
    <w:rsid w:val="00BE78F6"/>
    <w:rsid w:val="00BF0DCE"/>
    <w:rsid w:val="00BF121F"/>
    <w:rsid w:val="00BF12B7"/>
    <w:rsid w:val="00BF1F80"/>
    <w:rsid w:val="00BF2048"/>
    <w:rsid w:val="00BF288B"/>
    <w:rsid w:val="00BF4776"/>
    <w:rsid w:val="00BF52DB"/>
    <w:rsid w:val="00C00BB1"/>
    <w:rsid w:val="00C02266"/>
    <w:rsid w:val="00C029D4"/>
    <w:rsid w:val="00C02E56"/>
    <w:rsid w:val="00C0408E"/>
    <w:rsid w:val="00C07166"/>
    <w:rsid w:val="00C073A0"/>
    <w:rsid w:val="00C07D1A"/>
    <w:rsid w:val="00C128DF"/>
    <w:rsid w:val="00C166EF"/>
    <w:rsid w:val="00C175F0"/>
    <w:rsid w:val="00C177E6"/>
    <w:rsid w:val="00C17EB0"/>
    <w:rsid w:val="00C20B34"/>
    <w:rsid w:val="00C228BB"/>
    <w:rsid w:val="00C267B6"/>
    <w:rsid w:val="00C27473"/>
    <w:rsid w:val="00C27F5F"/>
    <w:rsid w:val="00C30A0F"/>
    <w:rsid w:val="00C33804"/>
    <w:rsid w:val="00C33CD5"/>
    <w:rsid w:val="00C34659"/>
    <w:rsid w:val="00C37E61"/>
    <w:rsid w:val="00C4166D"/>
    <w:rsid w:val="00C41880"/>
    <w:rsid w:val="00C435D3"/>
    <w:rsid w:val="00C441A4"/>
    <w:rsid w:val="00C475DE"/>
    <w:rsid w:val="00C50BE6"/>
    <w:rsid w:val="00C52574"/>
    <w:rsid w:val="00C56F0E"/>
    <w:rsid w:val="00C64A7F"/>
    <w:rsid w:val="00C70F1B"/>
    <w:rsid w:val="00C71A47"/>
    <w:rsid w:val="00C7464C"/>
    <w:rsid w:val="00C80A19"/>
    <w:rsid w:val="00C83692"/>
    <w:rsid w:val="00C83E89"/>
    <w:rsid w:val="00C85588"/>
    <w:rsid w:val="00C9229D"/>
    <w:rsid w:val="00C94950"/>
    <w:rsid w:val="00C95C3F"/>
    <w:rsid w:val="00CA4494"/>
    <w:rsid w:val="00CA7AF7"/>
    <w:rsid w:val="00CA7D31"/>
    <w:rsid w:val="00CB1864"/>
    <w:rsid w:val="00CB456B"/>
    <w:rsid w:val="00CB703A"/>
    <w:rsid w:val="00CB7ACB"/>
    <w:rsid w:val="00CC0ACA"/>
    <w:rsid w:val="00CC15E7"/>
    <w:rsid w:val="00CC34AA"/>
    <w:rsid w:val="00CC6019"/>
    <w:rsid w:val="00CC673D"/>
    <w:rsid w:val="00CD48DB"/>
    <w:rsid w:val="00CD4944"/>
    <w:rsid w:val="00CD6755"/>
    <w:rsid w:val="00CD6856"/>
    <w:rsid w:val="00CD6BA6"/>
    <w:rsid w:val="00CD7E9D"/>
    <w:rsid w:val="00CD7F7E"/>
    <w:rsid w:val="00CE0089"/>
    <w:rsid w:val="00CE14A5"/>
    <w:rsid w:val="00CE5EB7"/>
    <w:rsid w:val="00CE793C"/>
    <w:rsid w:val="00CF0004"/>
    <w:rsid w:val="00CF193C"/>
    <w:rsid w:val="00CF1AAE"/>
    <w:rsid w:val="00CF30F4"/>
    <w:rsid w:val="00CF3D3B"/>
    <w:rsid w:val="00CF4B7E"/>
    <w:rsid w:val="00CF4DC7"/>
    <w:rsid w:val="00CF79DC"/>
    <w:rsid w:val="00D051A1"/>
    <w:rsid w:val="00D10041"/>
    <w:rsid w:val="00D10E47"/>
    <w:rsid w:val="00D13CCF"/>
    <w:rsid w:val="00D15327"/>
    <w:rsid w:val="00D173F1"/>
    <w:rsid w:val="00D227E5"/>
    <w:rsid w:val="00D31360"/>
    <w:rsid w:val="00D33449"/>
    <w:rsid w:val="00D34597"/>
    <w:rsid w:val="00D37CB6"/>
    <w:rsid w:val="00D4466A"/>
    <w:rsid w:val="00D455D5"/>
    <w:rsid w:val="00D47FF6"/>
    <w:rsid w:val="00D55950"/>
    <w:rsid w:val="00D56534"/>
    <w:rsid w:val="00D579CB"/>
    <w:rsid w:val="00D62EA0"/>
    <w:rsid w:val="00D63CF3"/>
    <w:rsid w:val="00D644ED"/>
    <w:rsid w:val="00D64D38"/>
    <w:rsid w:val="00D678A1"/>
    <w:rsid w:val="00D74CB0"/>
    <w:rsid w:val="00D75880"/>
    <w:rsid w:val="00D8295D"/>
    <w:rsid w:val="00D83D13"/>
    <w:rsid w:val="00D84D7A"/>
    <w:rsid w:val="00D858B6"/>
    <w:rsid w:val="00D86637"/>
    <w:rsid w:val="00D9146A"/>
    <w:rsid w:val="00D942D6"/>
    <w:rsid w:val="00D95329"/>
    <w:rsid w:val="00DA041B"/>
    <w:rsid w:val="00DA2954"/>
    <w:rsid w:val="00DA73EA"/>
    <w:rsid w:val="00DB2550"/>
    <w:rsid w:val="00DB2752"/>
    <w:rsid w:val="00DB298E"/>
    <w:rsid w:val="00DB52E1"/>
    <w:rsid w:val="00DB52FC"/>
    <w:rsid w:val="00DC2A65"/>
    <w:rsid w:val="00DC4551"/>
    <w:rsid w:val="00DD3753"/>
    <w:rsid w:val="00DD470D"/>
    <w:rsid w:val="00DD4EC0"/>
    <w:rsid w:val="00DD5757"/>
    <w:rsid w:val="00DE10D7"/>
    <w:rsid w:val="00DE15F0"/>
    <w:rsid w:val="00DE5663"/>
    <w:rsid w:val="00DE74D3"/>
    <w:rsid w:val="00DE78AA"/>
    <w:rsid w:val="00DF0F97"/>
    <w:rsid w:val="00DF5873"/>
    <w:rsid w:val="00DF7E45"/>
    <w:rsid w:val="00E007C0"/>
    <w:rsid w:val="00E01B88"/>
    <w:rsid w:val="00E0468A"/>
    <w:rsid w:val="00E053D0"/>
    <w:rsid w:val="00E06BD5"/>
    <w:rsid w:val="00E07B61"/>
    <w:rsid w:val="00E10653"/>
    <w:rsid w:val="00E11715"/>
    <w:rsid w:val="00E1467D"/>
    <w:rsid w:val="00E15994"/>
    <w:rsid w:val="00E15E44"/>
    <w:rsid w:val="00E17051"/>
    <w:rsid w:val="00E23AED"/>
    <w:rsid w:val="00E24C31"/>
    <w:rsid w:val="00E2528B"/>
    <w:rsid w:val="00E25778"/>
    <w:rsid w:val="00E26F81"/>
    <w:rsid w:val="00E3114E"/>
    <w:rsid w:val="00E3186B"/>
    <w:rsid w:val="00E31A70"/>
    <w:rsid w:val="00E31FAB"/>
    <w:rsid w:val="00E35B02"/>
    <w:rsid w:val="00E40788"/>
    <w:rsid w:val="00E42032"/>
    <w:rsid w:val="00E45646"/>
    <w:rsid w:val="00E50EA8"/>
    <w:rsid w:val="00E5240B"/>
    <w:rsid w:val="00E538AF"/>
    <w:rsid w:val="00E54C44"/>
    <w:rsid w:val="00E577A9"/>
    <w:rsid w:val="00E612C4"/>
    <w:rsid w:val="00E66496"/>
    <w:rsid w:val="00E667ED"/>
    <w:rsid w:val="00E66B35"/>
    <w:rsid w:val="00E66E10"/>
    <w:rsid w:val="00E71C8D"/>
    <w:rsid w:val="00E71CB8"/>
    <w:rsid w:val="00E7305B"/>
    <w:rsid w:val="00E73167"/>
    <w:rsid w:val="00E738FE"/>
    <w:rsid w:val="00E73F69"/>
    <w:rsid w:val="00E75B44"/>
    <w:rsid w:val="00E769F6"/>
    <w:rsid w:val="00E7724E"/>
    <w:rsid w:val="00E8407C"/>
    <w:rsid w:val="00E84F3C"/>
    <w:rsid w:val="00E86F5A"/>
    <w:rsid w:val="00E908CD"/>
    <w:rsid w:val="00E959BD"/>
    <w:rsid w:val="00E969FA"/>
    <w:rsid w:val="00EA012C"/>
    <w:rsid w:val="00EA084B"/>
    <w:rsid w:val="00EA0BCE"/>
    <w:rsid w:val="00EA7D7B"/>
    <w:rsid w:val="00EB37C0"/>
    <w:rsid w:val="00EB3DDE"/>
    <w:rsid w:val="00EB51C2"/>
    <w:rsid w:val="00EB64CC"/>
    <w:rsid w:val="00EC07D8"/>
    <w:rsid w:val="00EC0D7B"/>
    <w:rsid w:val="00EC1541"/>
    <w:rsid w:val="00EC2829"/>
    <w:rsid w:val="00EC4473"/>
    <w:rsid w:val="00EC5493"/>
    <w:rsid w:val="00EC5571"/>
    <w:rsid w:val="00EC6A55"/>
    <w:rsid w:val="00ED0288"/>
    <w:rsid w:val="00ED17D2"/>
    <w:rsid w:val="00ED3274"/>
    <w:rsid w:val="00ED34BE"/>
    <w:rsid w:val="00ED3A61"/>
    <w:rsid w:val="00ED4676"/>
    <w:rsid w:val="00ED4AD6"/>
    <w:rsid w:val="00EE3C29"/>
    <w:rsid w:val="00EE52CB"/>
    <w:rsid w:val="00EF0292"/>
    <w:rsid w:val="00EF1003"/>
    <w:rsid w:val="00EF105D"/>
    <w:rsid w:val="00EF581D"/>
    <w:rsid w:val="00EF6137"/>
    <w:rsid w:val="00EF7FD8"/>
    <w:rsid w:val="00F04123"/>
    <w:rsid w:val="00F048DC"/>
    <w:rsid w:val="00F048EC"/>
    <w:rsid w:val="00F05DC0"/>
    <w:rsid w:val="00F06415"/>
    <w:rsid w:val="00F06F59"/>
    <w:rsid w:val="00F10A79"/>
    <w:rsid w:val="00F11F26"/>
    <w:rsid w:val="00F136C5"/>
    <w:rsid w:val="00F16CD6"/>
    <w:rsid w:val="00F17988"/>
    <w:rsid w:val="00F22211"/>
    <w:rsid w:val="00F24A80"/>
    <w:rsid w:val="00F26F3D"/>
    <w:rsid w:val="00F321D9"/>
    <w:rsid w:val="00F32CC5"/>
    <w:rsid w:val="00F33EB4"/>
    <w:rsid w:val="00F41E6C"/>
    <w:rsid w:val="00F44726"/>
    <w:rsid w:val="00F44D15"/>
    <w:rsid w:val="00F469F0"/>
    <w:rsid w:val="00F51813"/>
    <w:rsid w:val="00F53273"/>
    <w:rsid w:val="00F53FFA"/>
    <w:rsid w:val="00F549A7"/>
    <w:rsid w:val="00F568D2"/>
    <w:rsid w:val="00F60164"/>
    <w:rsid w:val="00F61B00"/>
    <w:rsid w:val="00F657A8"/>
    <w:rsid w:val="00F65884"/>
    <w:rsid w:val="00F67E8F"/>
    <w:rsid w:val="00F744F4"/>
    <w:rsid w:val="00F74706"/>
    <w:rsid w:val="00F755E4"/>
    <w:rsid w:val="00F75B82"/>
    <w:rsid w:val="00F770B9"/>
    <w:rsid w:val="00F77D02"/>
    <w:rsid w:val="00F80817"/>
    <w:rsid w:val="00F82B79"/>
    <w:rsid w:val="00F84175"/>
    <w:rsid w:val="00F868DE"/>
    <w:rsid w:val="00F87292"/>
    <w:rsid w:val="00F876B9"/>
    <w:rsid w:val="00F9470F"/>
    <w:rsid w:val="00F9706F"/>
    <w:rsid w:val="00F970FC"/>
    <w:rsid w:val="00F97268"/>
    <w:rsid w:val="00F97B5A"/>
    <w:rsid w:val="00F97D31"/>
    <w:rsid w:val="00FA0F49"/>
    <w:rsid w:val="00FA3041"/>
    <w:rsid w:val="00FA33B9"/>
    <w:rsid w:val="00FA5776"/>
    <w:rsid w:val="00FA6B08"/>
    <w:rsid w:val="00FB252F"/>
    <w:rsid w:val="00FB2F6C"/>
    <w:rsid w:val="00FB3A86"/>
    <w:rsid w:val="00FC35F3"/>
    <w:rsid w:val="00FC3CCF"/>
    <w:rsid w:val="00FD1685"/>
    <w:rsid w:val="00FD36C8"/>
    <w:rsid w:val="00FD5529"/>
    <w:rsid w:val="00FE0266"/>
    <w:rsid w:val="00FE0EB9"/>
    <w:rsid w:val="00FE2720"/>
    <w:rsid w:val="00FE42FC"/>
    <w:rsid w:val="00FF38C8"/>
    <w:rsid w:val="00FF4290"/>
    <w:rsid w:val="00FF7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C21811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337C63"/>
    <w:pPr>
      <w:spacing w:line="360" w:lineRule="auto"/>
      <w:ind w:firstLine="425"/>
      <w:jc w:val="both"/>
    </w:pPr>
    <w:rPr>
      <w:rFonts w:asciiTheme="minorHAnsi" w:eastAsiaTheme="minorEastAsia" w:hAnsiTheme="minorHAnsi" w:cstheme="minorBidi"/>
      <w:sz w:val="24"/>
      <w:szCs w:val="24"/>
      <w:lang w:val="en-PH"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7A55F4"/>
    <w:pPr>
      <w:autoSpaceDE w:val="0"/>
      <w:autoSpaceDN w:val="0"/>
      <w:adjustRightInd w:val="0"/>
      <w:spacing w:line="360" w:lineRule="auto"/>
      <w:ind w:firstLine="425"/>
      <w:jc w:val="both"/>
    </w:pPr>
    <w:rPr>
      <w:rFonts w:ascii="Arial Narrow" w:eastAsiaTheme="minorEastAsia" w:hAnsi="Arial Narrow" w:cs="Arial Narrow"/>
      <w:color w:val="000000"/>
      <w:sz w:val="24"/>
      <w:szCs w:val="24"/>
      <w:lang w:eastAsia="ja-JP"/>
    </w:rPr>
  </w:style>
  <w:style w:type="character" w:styleId="PlaceholderText">
    <w:name w:val="Placeholder Text"/>
    <w:basedOn w:val="DefaultParagraphFont"/>
    <w:uiPriority w:val="99"/>
    <w:semiHidden/>
    <w:rsid w:val="005B2BF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user\Desktop\My_working_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user\Desktop\My_working_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Sheet10!$B$4</c:f>
              <c:strCache>
                <c:ptCount val="1"/>
                <c:pt idx="0">
                  <c:v>Strongly disagree</c:v>
                </c:pt>
              </c:strCache>
            </c:strRef>
          </c:tx>
          <c:spPr>
            <a:solidFill>
              <a:srgbClr val="FFC000"/>
            </a:solidFill>
            <a:ln>
              <a:noFill/>
            </a:ln>
            <a:effectLst/>
          </c:spPr>
          <c:invertIfNegative val="0"/>
          <c:dLbls>
            <c:dLbl>
              <c:idx val="2"/>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D7-914A-80B8-CDBE20D7204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Sheet10!$A$5:$A$14</c:f>
              <c:strCache>
                <c:ptCount val="10"/>
                <c:pt idx="0">
                  <c:v>My farmland is too small</c:v>
                </c:pt>
                <c:pt idx="1">
                  <c:v>Different farmland locations deter irrigation investment plans</c:v>
                </c:pt>
                <c:pt idx="2">
                  <c:v>I do not own the land</c:v>
                </c:pt>
                <c:pt idx="3">
                  <c:v>My landlord can reclaim the land</c:v>
                </c:pt>
                <c:pt idx="4">
                  <c:v>Land conflicts deter me from investing in irrigation</c:v>
                </c:pt>
                <c:pt idx="5">
                  <c:v>No reservoirs available in the area</c:v>
                </c:pt>
                <c:pt idx="6">
                  <c:v>I do not have formal land documents</c:v>
                </c:pt>
                <c:pt idx="7">
                  <c:v>Water source for irrigation is not close enough to my farm</c:v>
                </c:pt>
                <c:pt idx="8">
                  <c:v>I do not have the technical skills</c:v>
                </c:pt>
                <c:pt idx="9">
                  <c:v>I do not have adequate financial capacity</c:v>
                </c:pt>
              </c:strCache>
            </c:strRef>
          </c:cat>
          <c:val>
            <c:numRef>
              <c:f>Sheet10!$B$5:$B$14</c:f>
              <c:numCache>
                <c:formatCode>General</c:formatCode>
                <c:ptCount val="10"/>
                <c:pt idx="0">
                  <c:v>10</c:v>
                </c:pt>
                <c:pt idx="1">
                  <c:v>3</c:v>
                </c:pt>
                <c:pt idx="2">
                  <c:v>7</c:v>
                </c:pt>
              </c:numCache>
            </c:numRef>
          </c:val>
          <c:extLst>
            <c:ext xmlns:c16="http://schemas.microsoft.com/office/drawing/2014/chart" uri="{C3380CC4-5D6E-409C-BE32-E72D297353CC}">
              <c16:uniqueId val="{00000001-65D7-914A-80B8-CDBE20D7204C}"/>
            </c:ext>
          </c:extLst>
        </c:ser>
        <c:ser>
          <c:idx val="1"/>
          <c:order val="1"/>
          <c:tx>
            <c:strRef>
              <c:f>Sheet10!$C$4</c:f>
              <c:strCache>
                <c:ptCount val="1"/>
                <c:pt idx="0">
                  <c:v>Disagree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Sheet10!$A$5:$A$14</c:f>
              <c:strCache>
                <c:ptCount val="10"/>
                <c:pt idx="0">
                  <c:v>My farmland is too small</c:v>
                </c:pt>
                <c:pt idx="1">
                  <c:v>Different farmland locations deter irrigation investment plans</c:v>
                </c:pt>
                <c:pt idx="2">
                  <c:v>I do not own the land</c:v>
                </c:pt>
                <c:pt idx="3">
                  <c:v>My landlord can reclaim the land</c:v>
                </c:pt>
                <c:pt idx="4">
                  <c:v>Land conflicts deter me from investing in irrigation</c:v>
                </c:pt>
                <c:pt idx="5">
                  <c:v>No reservoirs available in the area</c:v>
                </c:pt>
                <c:pt idx="6">
                  <c:v>I do not have formal land documents</c:v>
                </c:pt>
                <c:pt idx="7">
                  <c:v>Water source for irrigation is not close enough to my farm</c:v>
                </c:pt>
                <c:pt idx="8">
                  <c:v>I do not have the technical skills</c:v>
                </c:pt>
                <c:pt idx="9">
                  <c:v>I do not have adequate financial capacity</c:v>
                </c:pt>
              </c:strCache>
            </c:strRef>
          </c:cat>
          <c:val>
            <c:numRef>
              <c:f>Sheet10!$C$5:$C$14</c:f>
              <c:numCache>
                <c:formatCode>General</c:formatCode>
                <c:ptCount val="10"/>
                <c:pt idx="0">
                  <c:v>14</c:v>
                </c:pt>
                <c:pt idx="1">
                  <c:v>8</c:v>
                </c:pt>
                <c:pt idx="2">
                  <c:v>20</c:v>
                </c:pt>
                <c:pt idx="3">
                  <c:v>6</c:v>
                </c:pt>
                <c:pt idx="4">
                  <c:v>1</c:v>
                </c:pt>
                <c:pt idx="6">
                  <c:v>9</c:v>
                </c:pt>
                <c:pt idx="7">
                  <c:v>8</c:v>
                </c:pt>
              </c:numCache>
            </c:numRef>
          </c:val>
          <c:extLst>
            <c:ext xmlns:c16="http://schemas.microsoft.com/office/drawing/2014/chart" uri="{C3380CC4-5D6E-409C-BE32-E72D297353CC}">
              <c16:uniqueId val="{00000002-65D7-914A-80B8-CDBE20D7204C}"/>
            </c:ext>
          </c:extLst>
        </c:ser>
        <c:ser>
          <c:idx val="2"/>
          <c:order val="2"/>
          <c:tx>
            <c:strRef>
              <c:f>Sheet10!$D$4</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Sheet10!$A$5:$A$14</c:f>
              <c:strCache>
                <c:ptCount val="10"/>
                <c:pt idx="0">
                  <c:v>My farmland is too small</c:v>
                </c:pt>
                <c:pt idx="1">
                  <c:v>Different farmland locations deter irrigation investment plans</c:v>
                </c:pt>
                <c:pt idx="2">
                  <c:v>I do not own the land</c:v>
                </c:pt>
                <c:pt idx="3">
                  <c:v>My landlord can reclaim the land</c:v>
                </c:pt>
                <c:pt idx="4">
                  <c:v>Land conflicts deter me from investing in irrigation</c:v>
                </c:pt>
                <c:pt idx="5">
                  <c:v>No reservoirs available in the area</c:v>
                </c:pt>
                <c:pt idx="6">
                  <c:v>I do not have formal land documents</c:v>
                </c:pt>
                <c:pt idx="7">
                  <c:v>Water source for irrigation is not close enough to my farm</c:v>
                </c:pt>
                <c:pt idx="8">
                  <c:v>I do not have the technical skills</c:v>
                </c:pt>
                <c:pt idx="9">
                  <c:v>I do not have adequate financial capacity</c:v>
                </c:pt>
              </c:strCache>
            </c:strRef>
          </c:cat>
          <c:val>
            <c:numRef>
              <c:f>Sheet10!$D$5:$D$14</c:f>
              <c:numCache>
                <c:formatCode>General</c:formatCode>
                <c:ptCount val="10"/>
                <c:pt idx="2">
                  <c:v>2</c:v>
                </c:pt>
                <c:pt idx="3">
                  <c:v>7</c:v>
                </c:pt>
                <c:pt idx="5">
                  <c:v>2</c:v>
                </c:pt>
                <c:pt idx="7">
                  <c:v>4</c:v>
                </c:pt>
              </c:numCache>
            </c:numRef>
          </c:val>
          <c:extLst>
            <c:ext xmlns:c16="http://schemas.microsoft.com/office/drawing/2014/chart" uri="{C3380CC4-5D6E-409C-BE32-E72D297353CC}">
              <c16:uniqueId val="{00000003-65D7-914A-80B8-CDBE20D7204C}"/>
            </c:ext>
          </c:extLst>
        </c:ser>
        <c:ser>
          <c:idx val="3"/>
          <c:order val="3"/>
          <c:tx>
            <c:strRef>
              <c:f>Sheet10!$E$4</c:f>
              <c:strCache>
                <c:ptCount val="1"/>
                <c:pt idx="0">
                  <c:v>Agree</c:v>
                </c:pt>
              </c:strCache>
            </c:strRef>
          </c:tx>
          <c:spPr>
            <a:solidFill>
              <a:srgbClr val="00B0F0"/>
            </a:solidFill>
            <a:ln>
              <a:noFill/>
            </a:ln>
            <a:effectLst/>
          </c:spPr>
          <c:invertIfNegative val="0"/>
          <c:dLbls>
            <c:dLbl>
              <c:idx val="2"/>
              <c:tx>
                <c:rich>
                  <a:bodyPr/>
                  <a:lstStyle/>
                  <a:p>
                    <a:r>
                      <a:rPr lang="en-US"/>
                      <a:t>39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D7-914A-80B8-CDBE20D7204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Sheet10!$A$5:$A$14</c:f>
              <c:strCache>
                <c:ptCount val="10"/>
                <c:pt idx="0">
                  <c:v>My farmland is too small</c:v>
                </c:pt>
                <c:pt idx="1">
                  <c:v>Different farmland locations deter irrigation investment plans</c:v>
                </c:pt>
                <c:pt idx="2">
                  <c:v>I do not own the land</c:v>
                </c:pt>
                <c:pt idx="3">
                  <c:v>My landlord can reclaim the land</c:v>
                </c:pt>
                <c:pt idx="4">
                  <c:v>Land conflicts deter me from investing in irrigation</c:v>
                </c:pt>
                <c:pt idx="5">
                  <c:v>No reservoirs available in the area</c:v>
                </c:pt>
                <c:pt idx="6">
                  <c:v>I do not have formal land documents</c:v>
                </c:pt>
                <c:pt idx="7">
                  <c:v>Water source for irrigation is not close enough to my farm</c:v>
                </c:pt>
                <c:pt idx="8">
                  <c:v>I do not have the technical skills</c:v>
                </c:pt>
                <c:pt idx="9">
                  <c:v>I do not have adequate financial capacity</c:v>
                </c:pt>
              </c:strCache>
            </c:strRef>
          </c:cat>
          <c:val>
            <c:numRef>
              <c:f>Sheet10!$E$5:$E$14</c:f>
              <c:numCache>
                <c:formatCode>General</c:formatCode>
                <c:ptCount val="10"/>
                <c:pt idx="0">
                  <c:v>44</c:v>
                </c:pt>
                <c:pt idx="1">
                  <c:v>75</c:v>
                </c:pt>
                <c:pt idx="2">
                  <c:v>34</c:v>
                </c:pt>
                <c:pt idx="3">
                  <c:v>20</c:v>
                </c:pt>
                <c:pt idx="4">
                  <c:v>70</c:v>
                </c:pt>
                <c:pt idx="5">
                  <c:v>17</c:v>
                </c:pt>
                <c:pt idx="6">
                  <c:v>48</c:v>
                </c:pt>
                <c:pt idx="7">
                  <c:v>25</c:v>
                </c:pt>
                <c:pt idx="8">
                  <c:v>41</c:v>
                </c:pt>
                <c:pt idx="9">
                  <c:v>54</c:v>
                </c:pt>
              </c:numCache>
            </c:numRef>
          </c:val>
          <c:extLst>
            <c:ext xmlns:c16="http://schemas.microsoft.com/office/drawing/2014/chart" uri="{C3380CC4-5D6E-409C-BE32-E72D297353CC}">
              <c16:uniqueId val="{00000005-65D7-914A-80B8-CDBE20D7204C}"/>
            </c:ext>
          </c:extLst>
        </c:ser>
        <c:ser>
          <c:idx val="4"/>
          <c:order val="4"/>
          <c:tx>
            <c:strRef>
              <c:f>Sheet10!$F$4</c:f>
              <c:strCache>
                <c:ptCount val="1"/>
                <c:pt idx="0">
                  <c:v>Strongly agree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Sheet10!$A$5:$A$14</c:f>
              <c:strCache>
                <c:ptCount val="10"/>
                <c:pt idx="0">
                  <c:v>My farmland is too small</c:v>
                </c:pt>
                <c:pt idx="1">
                  <c:v>Different farmland locations deter irrigation investment plans</c:v>
                </c:pt>
                <c:pt idx="2">
                  <c:v>I do not own the land</c:v>
                </c:pt>
                <c:pt idx="3">
                  <c:v>My landlord can reclaim the land</c:v>
                </c:pt>
                <c:pt idx="4">
                  <c:v>Land conflicts deter me from investing in irrigation</c:v>
                </c:pt>
                <c:pt idx="5">
                  <c:v>No reservoirs available in the area</c:v>
                </c:pt>
                <c:pt idx="6">
                  <c:v>I do not have formal land documents</c:v>
                </c:pt>
                <c:pt idx="7">
                  <c:v>Water source for irrigation is not close enough to my farm</c:v>
                </c:pt>
                <c:pt idx="8">
                  <c:v>I do not have the technical skills</c:v>
                </c:pt>
                <c:pt idx="9">
                  <c:v>I do not have adequate financial capacity</c:v>
                </c:pt>
              </c:strCache>
            </c:strRef>
          </c:cat>
          <c:val>
            <c:numRef>
              <c:f>Sheet10!$F$5:$F$14</c:f>
              <c:numCache>
                <c:formatCode>General</c:formatCode>
                <c:ptCount val="10"/>
                <c:pt idx="0">
                  <c:v>32</c:v>
                </c:pt>
                <c:pt idx="1">
                  <c:v>14</c:v>
                </c:pt>
                <c:pt idx="2">
                  <c:v>37</c:v>
                </c:pt>
                <c:pt idx="3">
                  <c:v>67</c:v>
                </c:pt>
                <c:pt idx="4">
                  <c:v>29</c:v>
                </c:pt>
                <c:pt idx="5">
                  <c:v>81</c:v>
                </c:pt>
                <c:pt idx="6">
                  <c:v>43</c:v>
                </c:pt>
                <c:pt idx="7">
                  <c:v>63</c:v>
                </c:pt>
                <c:pt idx="8">
                  <c:v>59</c:v>
                </c:pt>
                <c:pt idx="9">
                  <c:v>46</c:v>
                </c:pt>
              </c:numCache>
            </c:numRef>
          </c:val>
          <c:extLst>
            <c:ext xmlns:c16="http://schemas.microsoft.com/office/drawing/2014/chart" uri="{C3380CC4-5D6E-409C-BE32-E72D297353CC}">
              <c16:uniqueId val="{00000006-65D7-914A-80B8-CDBE20D7204C}"/>
            </c:ext>
          </c:extLst>
        </c:ser>
        <c:dLbls>
          <c:dLblPos val="ctr"/>
          <c:showLegendKey val="0"/>
          <c:showVal val="1"/>
          <c:showCatName val="0"/>
          <c:showSerName val="0"/>
          <c:showPercent val="0"/>
          <c:showBubbleSize val="0"/>
        </c:dLbls>
        <c:gapWidth val="150"/>
        <c:overlap val="100"/>
        <c:axId val="605055200"/>
        <c:axId val="643147440"/>
      </c:barChart>
      <c:catAx>
        <c:axId val="60505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3147440"/>
        <c:crosses val="autoZero"/>
        <c:auto val="1"/>
        <c:lblAlgn val="ctr"/>
        <c:lblOffset val="100"/>
        <c:noMultiLvlLbl val="0"/>
      </c:catAx>
      <c:valAx>
        <c:axId val="64314744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respondents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505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Sheet1!$B$4</c:f>
              <c:strCache>
                <c:ptCount val="1"/>
                <c:pt idx="0">
                  <c:v>Percentage (%)</c:v>
                </c:pt>
              </c:strCache>
            </c:strRef>
          </c:tx>
          <c:spPr>
            <a:solidFill>
              <a:srgbClr val="00B050"/>
            </a:solidFill>
            <a:ln>
              <a:noFill/>
            </a:ln>
            <a:effectLst/>
          </c:spPr>
          <c:invertIfNegative val="0"/>
          <c:dPt>
            <c:idx val="1"/>
            <c:invertIfNegative val="0"/>
            <c:bubble3D val="0"/>
            <c:spPr>
              <a:solidFill>
                <a:schemeClr val="bg2">
                  <a:lumMod val="75000"/>
                </a:schemeClr>
              </a:solidFill>
              <a:ln>
                <a:noFill/>
              </a:ln>
              <a:effectLst/>
            </c:spPr>
            <c:extLst>
              <c:ext xmlns:c16="http://schemas.microsoft.com/office/drawing/2014/chart" uri="{C3380CC4-5D6E-409C-BE32-E72D297353CC}">
                <c16:uniqueId val="{00000001-E001-7C41-81AD-979D63968C5A}"/>
              </c:ext>
            </c:extLst>
          </c:dPt>
          <c:dLbls>
            <c:dLbl>
              <c:idx val="0"/>
              <c:layout>
                <c:manualLayout>
                  <c:x val="0"/>
                  <c:y val="-0.401732948802264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01-7C41-81AD-979D63968C5A}"/>
                </c:ext>
              </c:extLst>
            </c:dLbl>
            <c:dLbl>
              <c:idx val="1"/>
              <c:layout>
                <c:manualLayout>
                  <c:x val="-9.528649452987936E-17"/>
                  <c:y val="-8.82437387884200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01-7C41-81AD-979D63968C5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Sheet1!$A$5:$A$6</c:f>
              <c:strCache>
                <c:ptCount val="2"/>
                <c:pt idx="0">
                  <c:v>Yes, I will invest in irrigation</c:v>
                </c:pt>
                <c:pt idx="1">
                  <c:v>No, I will not invest in irrigation</c:v>
                </c:pt>
              </c:strCache>
            </c:strRef>
          </c:cat>
          <c:val>
            <c:numRef>
              <c:f>Sheet1!$B$5:$B$6</c:f>
              <c:numCache>
                <c:formatCode>General</c:formatCode>
                <c:ptCount val="2"/>
                <c:pt idx="0">
                  <c:v>86</c:v>
                </c:pt>
                <c:pt idx="1">
                  <c:v>14</c:v>
                </c:pt>
              </c:numCache>
            </c:numRef>
          </c:val>
          <c:extLst>
            <c:ext xmlns:c16="http://schemas.microsoft.com/office/drawing/2014/chart" uri="{C3380CC4-5D6E-409C-BE32-E72D297353CC}">
              <c16:uniqueId val="{00000003-E001-7C41-81AD-979D63968C5A}"/>
            </c:ext>
          </c:extLst>
        </c:ser>
        <c:dLbls>
          <c:showLegendKey val="0"/>
          <c:showVal val="0"/>
          <c:showCatName val="0"/>
          <c:showSerName val="0"/>
          <c:showPercent val="0"/>
          <c:showBubbleSize val="0"/>
        </c:dLbls>
        <c:gapWidth val="150"/>
        <c:overlap val="100"/>
        <c:axId val="542677072"/>
        <c:axId val="542675984"/>
      </c:barChart>
      <c:catAx>
        <c:axId val="54267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42675984"/>
        <c:crosses val="autoZero"/>
        <c:auto val="1"/>
        <c:lblAlgn val="ctr"/>
        <c:lblOffset val="100"/>
        <c:noMultiLvlLbl val="0"/>
      </c:catAx>
      <c:valAx>
        <c:axId val="54267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respondents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22225">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42677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Sheet10!$B$39</c:f>
              <c:strCache>
                <c:ptCount val="1"/>
                <c:pt idx="0">
                  <c:v>Strongly disagree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Sheet10!$A$40:$A$43</c:f>
              <c:strCache>
                <c:ptCount val="4"/>
                <c:pt idx="0">
                  <c:v>It does significantly affect my decision to invest</c:v>
                </c:pt>
                <c:pt idx="1">
                  <c:v>It encourages me to invest in irrigation facilities</c:v>
                </c:pt>
                <c:pt idx="2">
                  <c:v>It provides me security to invest</c:v>
                </c:pt>
                <c:pt idx="3">
                  <c:v>It gives me access to credit</c:v>
                </c:pt>
              </c:strCache>
            </c:strRef>
          </c:cat>
          <c:val>
            <c:numRef>
              <c:f>Sheet10!$B$40:$B$43</c:f>
              <c:numCache>
                <c:formatCode>General</c:formatCode>
                <c:ptCount val="4"/>
                <c:pt idx="0">
                  <c:v>8</c:v>
                </c:pt>
                <c:pt idx="1">
                  <c:v>5</c:v>
                </c:pt>
                <c:pt idx="2">
                  <c:v>2</c:v>
                </c:pt>
                <c:pt idx="3">
                  <c:v>2</c:v>
                </c:pt>
              </c:numCache>
            </c:numRef>
          </c:val>
          <c:extLst>
            <c:ext xmlns:c16="http://schemas.microsoft.com/office/drawing/2014/chart" uri="{C3380CC4-5D6E-409C-BE32-E72D297353CC}">
              <c16:uniqueId val="{00000000-238F-3E47-A832-0EF5BB2FA9F5}"/>
            </c:ext>
          </c:extLst>
        </c:ser>
        <c:ser>
          <c:idx val="1"/>
          <c:order val="1"/>
          <c:tx>
            <c:strRef>
              <c:f>Sheet10!$C$39</c:f>
              <c:strCache>
                <c:ptCount val="1"/>
                <c:pt idx="0">
                  <c:v>Disagree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Sheet10!$A$40:$A$43</c:f>
              <c:strCache>
                <c:ptCount val="4"/>
                <c:pt idx="0">
                  <c:v>It does significantly affect my decision to invest</c:v>
                </c:pt>
                <c:pt idx="1">
                  <c:v>It encourages me to invest in irrigation facilities</c:v>
                </c:pt>
                <c:pt idx="2">
                  <c:v>It provides me security to invest</c:v>
                </c:pt>
                <c:pt idx="3">
                  <c:v>It gives me access to credit</c:v>
                </c:pt>
              </c:strCache>
            </c:strRef>
          </c:cat>
          <c:val>
            <c:numRef>
              <c:f>Sheet10!$C$40:$C$43</c:f>
              <c:numCache>
                <c:formatCode>General</c:formatCode>
                <c:ptCount val="4"/>
                <c:pt idx="0">
                  <c:v>16</c:v>
                </c:pt>
                <c:pt idx="1">
                  <c:v>8</c:v>
                </c:pt>
                <c:pt idx="2">
                  <c:v>8</c:v>
                </c:pt>
                <c:pt idx="3">
                  <c:v>8</c:v>
                </c:pt>
              </c:numCache>
            </c:numRef>
          </c:val>
          <c:extLst>
            <c:ext xmlns:c16="http://schemas.microsoft.com/office/drawing/2014/chart" uri="{C3380CC4-5D6E-409C-BE32-E72D297353CC}">
              <c16:uniqueId val="{00000001-238F-3E47-A832-0EF5BB2FA9F5}"/>
            </c:ext>
          </c:extLst>
        </c:ser>
        <c:ser>
          <c:idx val="2"/>
          <c:order val="2"/>
          <c:tx>
            <c:strRef>
              <c:f>Sheet10!$D$39</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Sheet10!$A$40:$A$43</c:f>
              <c:strCache>
                <c:ptCount val="4"/>
                <c:pt idx="0">
                  <c:v>It does significantly affect my decision to invest</c:v>
                </c:pt>
                <c:pt idx="1">
                  <c:v>It encourages me to invest in irrigation facilities</c:v>
                </c:pt>
                <c:pt idx="2">
                  <c:v>It provides me security to invest</c:v>
                </c:pt>
                <c:pt idx="3">
                  <c:v>It gives me access to credit</c:v>
                </c:pt>
              </c:strCache>
            </c:strRef>
          </c:cat>
          <c:val>
            <c:numRef>
              <c:f>Sheet10!$D$40:$D$43</c:f>
              <c:numCache>
                <c:formatCode>General</c:formatCode>
                <c:ptCount val="4"/>
                <c:pt idx="0">
                  <c:v>19</c:v>
                </c:pt>
                <c:pt idx="1">
                  <c:v>10</c:v>
                </c:pt>
                <c:pt idx="2">
                  <c:v>8</c:v>
                </c:pt>
                <c:pt idx="3">
                  <c:v>20</c:v>
                </c:pt>
              </c:numCache>
            </c:numRef>
          </c:val>
          <c:extLst>
            <c:ext xmlns:c16="http://schemas.microsoft.com/office/drawing/2014/chart" uri="{C3380CC4-5D6E-409C-BE32-E72D297353CC}">
              <c16:uniqueId val="{00000002-238F-3E47-A832-0EF5BB2FA9F5}"/>
            </c:ext>
          </c:extLst>
        </c:ser>
        <c:ser>
          <c:idx val="3"/>
          <c:order val="3"/>
          <c:tx>
            <c:strRef>
              <c:f>Sheet10!$E$39</c:f>
              <c:strCache>
                <c:ptCount val="1"/>
                <c:pt idx="0">
                  <c:v>Agree</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Sheet10!$A$40:$A$43</c:f>
              <c:strCache>
                <c:ptCount val="4"/>
                <c:pt idx="0">
                  <c:v>It does significantly affect my decision to invest</c:v>
                </c:pt>
                <c:pt idx="1">
                  <c:v>It encourages me to invest in irrigation facilities</c:v>
                </c:pt>
                <c:pt idx="2">
                  <c:v>It provides me security to invest</c:v>
                </c:pt>
                <c:pt idx="3">
                  <c:v>It gives me access to credit</c:v>
                </c:pt>
              </c:strCache>
            </c:strRef>
          </c:cat>
          <c:val>
            <c:numRef>
              <c:f>Sheet10!$E$40:$E$43</c:f>
              <c:numCache>
                <c:formatCode>General</c:formatCode>
                <c:ptCount val="4"/>
                <c:pt idx="0">
                  <c:v>51</c:v>
                </c:pt>
                <c:pt idx="1">
                  <c:v>66</c:v>
                </c:pt>
                <c:pt idx="2">
                  <c:v>69</c:v>
                </c:pt>
                <c:pt idx="3">
                  <c:v>59</c:v>
                </c:pt>
              </c:numCache>
            </c:numRef>
          </c:val>
          <c:extLst>
            <c:ext xmlns:c16="http://schemas.microsoft.com/office/drawing/2014/chart" uri="{C3380CC4-5D6E-409C-BE32-E72D297353CC}">
              <c16:uniqueId val="{00000003-238F-3E47-A832-0EF5BB2FA9F5}"/>
            </c:ext>
          </c:extLst>
        </c:ser>
        <c:ser>
          <c:idx val="4"/>
          <c:order val="4"/>
          <c:tx>
            <c:strRef>
              <c:f>Sheet10!$F$39</c:f>
              <c:strCache>
                <c:ptCount val="1"/>
                <c:pt idx="0">
                  <c:v>Strongly agree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Sheet10!$A$40:$A$43</c:f>
              <c:strCache>
                <c:ptCount val="4"/>
                <c:pt idx="0">
                  <c:v>It does significantly affect my decision to invest</c:v>
                </c:pt>
                <c:pt idx="1">
                  <c:v>It encourages me to invest in irrigation facilities</c:v>
                </c:pt>
                <c:pt idx="2">
                  <c:v>It provides me security to invest</c:v>
                </c:pt>
                <c:pt idx="3">
                  <c:v>It gives me access to credit</c:v>
                </c:pt>
              </c:strCache>
            </c:strRef>
          </c:cat>
          <c:val>
            <c:numRef>
              <c:f>Sheet10!$F$40:$F$43</c:f>
              <c:numCache>
                <c:formatCode>General</c:formatCode>
                <c:ptCount val="4"/>
                <c:pt idx="0">
                  <c:v>6</c:v>
                </c:pt>
                <c:pt idx="1">
                  <c:v>11</c:v>
                </c:pt>
                <c:pt idx="2">
                  <c:v>13</c:v>
                </c:pt>
                <c:pt idx="3">
                  <c:v>11</c:v>
                </c:pt>
              </c:numCache>
            </c:numRef>
          </c:val>
          <c:extLst>
            <c:ext xmlns:c16="http://schemas.microsoft.com/office/drawing/2014/chart" uri="{C3380CC4-5D6E-409C-BE32-E72D297353CC}">
              <c16:uniqueId val="{00000004-238F-3E47-A832-0EF5BB2FA9F5}"/>
            </c:ext>
          </c:extLst>
        </c:ser>
        <c:dLbls>
          <c:dLblPos val="ctr"/>
          <c:showLegendKey val="0"/>
          <c:showVal val="1"/>
          <c:showCatName val="0"/>
          <c:showSerName val="0"/>
          <c:showPercent val="0"/>
          <c:showBubbleSize val="0"/>
        </c:dLbls>
        <c:gapWidth val="150"/>
        <c:overlap val="100"/>
        <c:axId val="542681968"/>
        <c:axId val="542676528"/>
      </c:barChart>
      <c:catAx>
        <c:axId val="54268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42676528"/>
        <c:crosses val="autoZero"/>
        <c:auto val="1"/>
        <c:lblAlgn val="ctr"/>
        <c:lblOffset val="100"/>
        <c:noMultiLvlLbl val="0"/>
      </c:catAx>
      <c:valAx>
        <c:axId val="54267652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respondents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4268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3C6C-2839-4E6F-87B6-AE10CC400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394</TotalTime>
  <Pages>17</Pages>
  <Words>9183</Words>
  <Characters>52348</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61409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990</cp:revision>
  <cp:lastPrinted>1999-07-06T11:00:00Z</cp:lastPrinted>
  <dcterms:created xsi:type="dcterms:W3CDTF">2014-10-25T14:34:00Z</dcterms:created>
  <dcterms:modified xsi:type="dcterms:W3CDTF">2025-10-21T06:47:00Z</dcterms:modified>
</cp:coreProperties>
</file>