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Pr="00790ADA" w:rsidRDefault="00FB6AD7" w:rsidP="00FB6AD7">
      <w:pPr>
        <w:pStyle w:val="Author"/>
        <w:spacing w:line="240" w:lineRule="auto"/>
        <w:rPr>
          <w:rFonts w:ascii="Arial" w:hAnsi="Arial" w:cs="Arial"/>
          <w:sz w:val="36"/>
        </w:rPr>
      </w:pPr>
      <w:r w:rsidRPr="00FB6AD7">
        <w:rPr>
          <w:rFonts w:ascii="Arial" w:hAnsi="Arial" w:cs="Arial"/>
          <w:bCs/>
          <w:iCs/>
          <w:kern w:val="28"/>
          <w:sz w:val="36"/>
        </w:rPr>
        <w:t xml:space="preserve">Hepatoprotective Evaluation of Crude Ethanol Extract and Solvent Fractions of </w:t>
      </w:r>
      <w:r w:rsidRPr="00FB6AD7">
        <w:rPr>
          <w:rFonts w:ascii="Arial" w:hAnsi="Arial" w:cs="Arial"/>
          <w:bCs/>
          <w:i/>
          <w:iCs/>
          <w:kern w:val="28"/>
          <w:sz w:val="36"/>
        </w:rPr>
        <w:t>Zapoteca portoricensis</w:t>
      </w:r>
      <w:r w:rsidRPr="00FB6AD7">
        <w:rPr>
          <w:rFonts w:ascii="Arial" w:hAnsi="Arial" w:cs="Arial"/>
          <w:bCs/>
          <w:iCs/>
          <w:kern w:val="28"/>
          <w:sz w:val="36"/>
        </w:rPr>
        <w:t xml:space="preserve"> Leaves in Formalin-Induced Inflammatory Rats</w:t>
      </w:r>
    </w:p>
    <w:p w:rsidR="002C57D2" w:rsidRDefault="002C57D2" w:rsidP="00441B6F">
      <w:pPr>
        <w:pStyle w:val="Affiliation"/>
        <w:spacing w:after="0" w:line="240" w:lineRule="auto"/>
        <w:jc w:val="both"/>
        <w:rPr>
          <w:rFonts w:ascii="Arial" w:hAnsi="Arial" w:cs="Arial"/>
        </w:rPr>
      </w:pPr>
    </w:p>
    <w:p w:rsidR="003F2D57" w:rsidRPr="00FB3A86" w:rsidRDefault="003F2D57" w:rsidP="00441B6F">
      <w:pPr>
        <w:pStyle w:val="Affiliation"/>
        <w:spacing w:after="0" w:line="240" w:lineRule="auto"/>
        <w:jc w:val="both"/>
        <w:rPr>
          <w:rFonts w:ascii="Arial" w:hAnsi="Arial" w:cs="Arial"/>
        </w:rPr>
      </w:pPr>
    </w:p>
    <w:p w:rsidR="00B01FCD" w:rsidRPr="00FB3A86" w:rsidRDefault="0089342A" w:rsidP="00441B6F">
      <w:pPr>
        <w:pStyle w:val="Copyright"/>
        <w:spacing w:after="0" w:line="240" w:lineRule="auto"/>
        <w:jc w:val="both"/>
        <w:rPr>
          <w:rFonts w:ascii="Arial" w:hAnsi="Arial" w:cs="Arial"/>
        </w:rPr>
        <w:sectPr w:rsidR="00B01FCD" w:rsidRPr="00FB3A86" w:rsidSect="003F2D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657099" w:rsidRPr="00657099" w:rsidRDefault="00657099" w:rsidP="00657099">
            <w:pPr>
              <w:pStyle w:val="NormalWeb"/>
              <w:spacing w:before="0" w:beforeAutospacing="0" w:after="0" w:afterAutospacing="0"/>
              <w:jc w:val="both"/>
              <w:rPr>
                <w:rFonts w:ascii="Arial" w:hAnsi="Arial" w:cs="Arial"/>
                <w:sz w:val="20"/>
                <w:szCs w:val="20"/>
              </w:rPr>
            </w:pPr>
            <w:r w:rsidRPr="00657099">
              <w:rPr>
                <w:rStyle w:val="Strong"/>
                <w:rFonts w:ascii="Arial" w:hAnsi="Arial" w:cs="Arial"/>
                <w:sz w:val="20"/>
                <w:szCs w:val="20"/>
              </w:rPr>
              <w:t>Aim:</w:t>
            </w:r>
            <w:r w:rsidRPr="00657099">
              <w:rPr>
                <w:rFonts w:ascii="Arial" w:hAnsi="Arial" w:cs="Arial"/>
                <w:sz w:val="20"/>
                <w:szCs w:val="20"/>
              </w:rPr>
              <w:br/>
              <w:t xml:space="preserve">This study investigated the hepatoprotective effects of </w:t>
            </w:r>
            <w:r w:rsidRPr="00657099">
              <w:rPr>
                <w:rStyle w:val="Emphasis"/>
                <w:rFonts w:ascii="Arial" w:hAnsi="Arial" w:cs="Arial"/>
                <w:sz w:val="20"/>
                <w:szCs w:val="20"/>
              </w:rPr>
              <w:t>Zapoteca portoricensis</w:t>
            </w:r>
            <w:r w:rsidRPr="00657099">
              <w:rPr>
                <w:rFonts w:ascii="Arial" w:hAnsi="Arial" w:cs="Arial"/>
                <w:sz w:val="20"/>
                <w:szCs w:val="20"/>
              </w:rPr>
              <w:t xml:space="preserve"> leaf extract and its fractions in formalin-induced inflammation in rats.</w:t>
            </w:r>
          </w:p>
          <w:p w:rsidR="00657099" w:rsidRPr="00657099" w:rsidRDefault="00657099" w:rsidP="00D2477C">
            <w:pPr>
              <w:pStyle w:val="NormalWeb"/>
              <w:spacing w:before="0" w:beforeAutospacing="0" w:after="0" w:afterAutospacing="0"/>
              <w:rPr>
                <w:rFonts w:ascii="Arial" w:hAnsi="Arial" w:cs="Arial"/>
                <w:sz w:val="20"/>
                <w:szCs w:val="20"/>
              </w:rPr>
            </w:pPr>
            <w:r w:rsidRPr="00657099">
              <w:rPr>
                <w:rStyle w:val="Strong"/>
                <w:rFonts w:ascii="Arial" w:hAnsi="Arial" w:cs="Arial"/>
                <w:sz w:val="20"/>
                <w:szCs w:val="20"/>
              </w:rPr>
              <w:t>Study Design:</w:t>
            </w:r>
            <w:r w:rsidRPr="00657099">
              <w:rPr>
                <w:rFonts w:ascii="Arial" w:hAnsi="Arial" w:cs="Arial"/>
                <w:sz w:val="20"/>
                <w:szCs w:val="20"/>
              </w:rPr>
              <w:br/>
              <w:t xml:space="preserve">An experimental, randomized controlled study was conducted using </w:t>
            </w:r>
            <w:r w:rsidR="00B47CA5">
              <w:rPr>
                <w:rFonts w:ascii="Arial" w:hAnsi="Arial" w:cs="Arial"/>
                <w:sz w:val="20"/>
                <w:szCs w:val="20"/>
              </w:rPr>
              <w:t>Wistar</w:t>
            </w:r>
            <w:r w:rsidRPr="00657099">
              <w:rPr>
                <w:rFonts w:ascii="Arial" w:hAnsi="Arial" w:cs="Arial"/>
                <w:sz w:val="20"/>
                <w:szCs w:val="20"/>
              </w:rPr>
              <w:t xml:space="preserve"> rats assigned </w:t>
            </w:r>
            <w:r w:rsidR="00B47CA5">
              <w:rPr>
                <w:rFonts w:ascii="Arial" w:hAnsi="Arial" w:cs="Arial"/>
                <w:sz w:val="20"/>
                <w:szCs w:val="20"/>
              </w:rPr>
              <w:t>as follows: Normal</w:t>
            </w:r>
            <w:r w:rsidR="00B47CA5" w:rsidRPr="00657099">
              <w:rPr>
                <w:rFonts w:ascii="Arial" w:hAnsi="Arial" w:cs="Arial"/>
                <w:sz w:val="20"/>
                <w:szCs w:val="20"/>
              </w:rPr>
              <w:t xml:space="preserve"> control</w:t>
            </w:r>
            <w:r w:rsidR="00B47CA5">
              <w:rPr>
                <w:rFonts w:ascii="Arial" w:hAnsi="Arial" w:cs="Arial"/>
                <w:sz w:val="20"/>
                <w:szCs w:val="20"/>
              </w:rPr>
              <w:t>, Negative</w:t>
            </w:r>
            <w:r w:rsidRPr="00657099">
              <w:rPr>
                <w:rFonts w:ascii="Arial" w:hAnsi="Arial" w:cs="Arial"/>
                <w:sz w:val="20"/>
                <w:szCs w:val="20"/>
              </w:rPr>
              <w:t xml:space="preserve"> control</w:t>
            </w:r>
            <w:r w:rsidR="00B47CA5">
              <w:rPr>
                <w:rFonts w:ascii="Arial" w:hAnsi="Arial" w:cs="Arial"/>
                <w:sz w:val="20"/>
                <w:szCs w:val="20"/>
              </w:rPr>
              <w:t>, Standard Control,</w:t>
            </w:r>
            <w:r w:rsidRPr="00657099">
              <w:rPr>
                <w:rFonts w:ascii="Arial" w:hAnsi="Arial" w:cs="Arial"/>
                <w:sz w:val="20"/>
                <w:szCs w:val="20"/>
              </w:rPr>
              <w:t xml:space="preserve"> and treatment groups.</w:t>
            </w:r>
          </w:p>
          <w:p w:rsidR="00657099" w:rsidRPr="00657099" w:rsidRDefault="00657099" w:rsidP="00657099">
            <w:pPr>
              <w:pStyle w:val="NormalWeb"/>
              <w:spacing w:before="0" w:beforeAutospacing="0" w:after="0" w:afterAutospacing="0"/>
              <w:jc w:val="both"/>
              <w:rPr>
                <w:rFonts w:ascii="Arial" w:hAnsi="Arial" w:cs="Arial"/>
                <w:sz w:val="20"/>
                <w:szCs w:val="20"/>
              </w:rPr>
            </w:pPr>
            <w:r w:rsidRPr="00657099">
              <w:rPr>
                <w:rStyle w:val="Strong"/>
                <w:rFonts w:ascii="Arial" w:hAnsi="Arial" w:cs="Arial"/>
                <w:sz w:val="20"/>
                <w:szCs w:val="20"/>
              </w:rPr>
              <w:t>Methodology:</w:t>
            </w:r>
            <w:r w:rsidRPr="00657099">
              <w:rPr>
                <w:rFonts w:ascii="Arial" w:hAnsi="Arial" w:cs="Arial"/>
                <w:sz w:val="20"/>
                <w:szCs w:val="20"/>
              </w:rPr>
              <w:br/>
              <w:t xml:space="preserve">Inflammation was induced with </w:t>
            </w:r>
            <w:r w:rsidR="00B47CA5">
              <w:rPr>
                <w:rFonts w:ascii="Arial" w:hAnsi="Arial" w:cs="Arial"/>
                <w:sz w:val="20"/>
                <w:szCs w:val="20"/>
              </w:rPr>
              <w:t xml:space="preserve">0.5% </w:t>
            </w:r>
            <w:r w:rsidRPr="00657099">
              <w:rPr>
                <w:rFonts w:ascii="Arial" w:hAnsi="Arial" w:cs="Arial"/>
                <w:sz w:val="20"/>
                <w:szCs w:val="20"/>
              </w:rPr>
              <w:t xml:space="preserve">formalin, after which rats were treated with crude ethanol extract and fractions of </w:t>
            </w:r>
            <w:r w:rsidRPr="00657099">
              <w:rPr>
                <w:rStyle w:val="Emphasis"/>
                <w:rFonts w:ascii="Arial" w:hAnsi="Arial" w:cs="Arial"/>
                <w:sz w:val="20"/>
                <w:szCs w:val="20"/>
              </w:rPr>
              <w:t>Zapoteca portoricensis</w:t>
            </w:r>
            <w:r w:rsidRPr="00657099">
              <w:rPr>
                <w:rFonts w:ascii="Arial" w:hAnsi="Arial" w:cs="Arial"/>
                <w:sz w:val="20"/>
                <w:szCs w:val="20"/>
              </w:rPr>
              <w:t xml:space="preserve"> leaves. Liver function was evaluated by measuring alanine aminotransferase (ALT), aspartate aminotransferase (AST), alkaline phosphatase (ALP), total bilirubin (</w:t>
            </w:r>
            <w:proofErr w:type="spellStart"/>
            <w:r w:rsidRPr="00657099">
              <w:rPr>
                <w:rFonts w:ascii="Arial" w:hAnsi="Arial" w:cs="Arial"/>
                <w:sz w:val="20"/>
                <w:szCs w:val="20"/>
              </w:rPr>
              <w:t>Tbil</w:t>
            </w:r>
            <w:proofErr w:type="spellEnd"/>
            <w:r w:rsidRPr="00657099">
              <w:rPr>
                <w:rFonts w:ascii="Arial" w:hAnsi="Arial" w:cs="Arial"/>
                <w:sz w:val="20"/>
                <w:szCs w:val="20"/>
              </w:rPr>
              <w:t>), direct bilirubin (</w:t>
            </w:r>
            <w:proofErr w:type="spellStart"/>
            <w:r w:rsidRPr="00657099">
              <w:rPr>
                <w:rFonts w:ascii="Arial" w:hAnsi="Arial" w:cs="Arial"/>
                <w:sz w:val="20"/>
                <w:szCs w:val="20"/>
              </w:rPr>
              <w:t>Dbil</w:t>
            </w:r>
            <w:proofErr w:type="spellEnd"/>
            <w:r w:rsidRPr="00657099">
              <w:rPr>
                <w:rFonts w:ascii="Arial" w:hAnsi="Arial" w:cs="Arial"/>
                <w:sz w:val="20"/>
                <w:szCs w:val="20"/>
              </w:rPr>
              <w:t>), albumin (ALB), and total protein (TP).</w:t>
            </w:r>
          </w:p>
          <w:p w:rsidR="00657099" w:rsidRPr="00657099" w:rsidRDefault="00657099" w:rsidP="00657099">
            <w:pPr>
              <w:pStyle w:val="NormalWeb"/>
              <w:spacing w:before="0" w:beforeAutospacing="0" w:after="0" w:afterAutospacing="0"/>
              <w:jc w:val="both"/>
              <w:rPr>
                <w:rFonts w:ascii="Arial" w:hAnsi="Arial" w:cs="Arial"/>
                <w:sz w:val="20"/>
                <w:szCs w:val="20"/>
              </w:rPr>
            </w:pPr>
            <w:r w:rsidRPr="00657099">
              <w:rPr>
                <w:rStyle w:val="Strong"/>
                <w:rFonts w:ascii="Arial" w:hAnsi="Arial" w:cs="Arial"/>
                <w:sz w:val="20"/>
                <w:szCs w:val="20"/>
              </w:rPr>
              <w:t>Results:</w:t>
            </w:r>
            <w:r w:rsidRPr="00657099">
              <w:rPr>
                <w:rFonts w:ascii="Arial" w:hAnsi="Arial" w:cs="Arial"/>
                <w:sz w:val="20"/>
                <w:szCs w:val="20"/>
              </w:rPr>
              <w:br/>
              <w:t xml:space="preserve">The extract-treated groups exhibited significant reductions in ALT, AST, and ALP compared to the </w:t>
            </w:r>
            <w:r w:rsidR="00B47CA5">
              <w:rPr>
                <w:rFonts w:ascii="Arial" w:hAnsi="Arial" w:cs="Arial"/>
                <w:sz w:val="20"/>
                <w:szCs w:val="20"/>
              </w:rPr>
              <w:t>negative</w:t>
            </w:r>
            <w:r w:rsidRPr="00657099">
              <w:rPr>
                <w:rFonts w:ascii="Arial" w:hAnsi="Arial" w:cs="Arial"/>
                <w:sz w:val="20"/>
                <w:szCs w:val="20"/>
              </w:rPr>
              <w:t xml:space="preserve"> control</w:t>
            </w:r>
            <w:r w:rsidR="00B47CA5">
              <w:rPr>
                <w:rFonts w:ascii="Arial" w:hAnsi="Arial" w:cs="Arial"/>
                <w:sz w:val="20"/>
                <w:szCs w:val="20"/>
              </w:rPr>
              <w:t xml:space="preserve"> group</w:t>
            </w:r>
            <w:r w:rsidRPr="00657099">
              <w:rPr>
                <w:rFonts w:ascii="Arial" w:hAnsi="Arial" w:cs="Arial"/>
                <w:sz w:val="20"/>
                <w:szCs w:val="20"/>
              </w:rPr>
              <w:t>, indicating protection against hepatocellular injury. Both total and direct bilirubin levels were stabilized, while albumin and total protein remained within normal ranges, suggesting preservation of the liver’s synthetic capacity. These effects are attributed to the antioxidant and anti-inflammatory properties of the extract, which likely mitigated formalin-induced</w:t>
            </w:r>
            <w:r w:rsidR="00AB27B2">
              <w:rPr>
                <w:rFonts w:ascii="Arial" w:hAnsi="Arial" w:cs="Arial"/>
                <w:sz w:val="20"/>
                <w:szCs w:val="20"/>
              </w:rPr>
              <w:t xml:space="preserve"> inflammation,</w:t>
            </w:r>
            <w:r w:rsidRPr="00657099">
              <w:rPr>
                <w:rFonts w:ascii="Arial" w:hAnsi="Arial" w:cs="Arial"/>
                <w:sz w:val="20"/>
                <w:szCs w:val="20"/>
              </w:rPr>
              <w:t xml:space="preserve"> oxidative stress</w:t>
            </w:r>
            <w:r w:rsidR="00AB27B2">
              <w:rPr>
                <w:rFonts w:ascii="Arial" w:hAnsi="Arial" w:cs="Arial"/>
                <w:sz w:val="20"/>
                <w:szCs w:val="20"/>
              </w:rPr>
              <w:t>,</w:t>
            </w:r>
            <w:r w:rsidRPr="00657099">
              <w:rPr>
                <w:rFonts w:ascii="Arial" w:hAnsi="Arial" w:cs="Arial"/>
                <w:sz w:val="20"/>
                <w:szCs w:val="20"/>
              </w:rPr>
              <w:t xml:space="preserve"> and hepatocyte damage.</w:t>
            </w:r>
          </w:p>
          <w:p w:rsidR="00505F06" w:rsidRPr="00B47CA5" w:rsidRDefault="00657099" w:rsidP="00B47CA5">
            <w:pPr>
              <w:pStyle w:val="NormalWeb"/>
              <w:spacing w:before="0" w:beforeAutospacing="0" w:after="0" w:afterAutospacing="0"/>
              <w:jc w:val="both"/>
              <w:rPr>
                <w:rFonts w:ascii="Arial" w:hAnsi="Arial" w:cs="Arial"/>
                <w:sz w:val="20"/>
                <w:szCs w:val="20"/>
              </w:rPr>
            </w:pPr>
            <w:r w:rsidRPr="00657099">
              <w:rPr>
                <w:rStyle w:val="Strong"/>
                <w:rFonts w:ascii="Arial" w:hAnsi="Arial" w:cs="Arial"/>
                <w:sz w:val="20"/>
                <w:szCs w:val="20"/>
              </w:rPr>
              <w:t>Conclusion:</w:t>
            </w:r>
            <w:r w:rsidRPr="00657099">
              <w:rPr>
                <w:rFonts w:ascii="Arial" w:hAnsi="Arial" w:cs="Arial"/>
                <w:sz w:val="20"/>
                <w:szCs w:val="20"/>
              </w:rPr>
              <w:br/>
            </w:r>
            <w:r w:rsidRPr="00657099">
              <w:rPr>
                <w:rStyle w:val="Emphasis"/>
                <w:rFonts w:ascii="Arial" w:hAnsi="Arial" w:cs="Arial"/>
                <w:sz w:val="20"/>
                <w:szCs w:val="20"/>
              </w:rPr>
              <w:t>Zapoteca portoricensis</w:t>
            </w:r>
            <w:r w:rsidRPr="00657099">
              <w:rPr>
                <w:rFonts w:ascii="Arial" w:hAnsi="Arial" w:cs="Arial"/>
                <w:sz w:val="20"/>
                <w:szCs w:val="20"/>
              </w:rPr>
              <w:t xml:space="preserve"> leaf extract and its fractions demonstrated potent hepatoprotective activity by maintaining liver function. The findings support its potential as a natural therapeutic agent for liver protection. Further studies are </w:t>
            </w:r>
            <w:r w:rsidR="00AB27B2">
              <w:rPr>
                <w:rFonts w:ascii="Arial" w:hAnsi="Arial" w:cs="Arial"/>
                <w:sz w:val="20"/>
                <w:szCs w:val="20"/>
              </w:rPr>
              <w:t>recommended</w:t>
            </w:r>
            <w:r w:rsidRPr="00657099">
              <w:rPr>
                <w:rFonts w:ascii="Arial" w:hAnsi="Arial" w:cs="Arial"/>
                <w:sz w:val="20"/>
                <w:szCs w:val="20"/>
              </w:rPr>
              <w:t xml:space="preserve"> to isolate bioactive compounds and elucidate the underlying mechanisms of action.</w:t>
            </w:r>
          </w:p>
        </w:tc>
      </w:tr>
    </w:tbl>
    <w:p w:rsidR="00636EB2" w:rsidRDefault="00636EB2" w:rsidP="00441B6F">
      <w:pPr>
        <w:pStyle w:val="Body"/>
        <w:spacing w:after="0"/>
        <w:rPr>
          <w:rFonts w:ascii="Arial" w:hAnsi="Arial" w:cs="Arial"/>
          <w:i/>
        </w:rPr>
      </w:pPr>
    </w:p>
    <w:p w:rsidR="00D2477C" w:rsidRDefault="00A24E7E" w:rsidP="00D2477C">
      <w:pPr>
        <w:pStyle w:val="Body"/>
        <w:spacing w:after="0"/>
        <w:rPr>
          <w:rFonts w:ascii="Arial" w:hAnsi="Arial" w:cs="Arial"/>
          <w:i/>
          <w:sz w:val="18"/>
        </w:rPr>
      </w:pPr>
      <w:r>
        <w:rPr>
          <w:rFonts w:ascii="Arial" w:hAnsi="Arial" w:cs="Arial"/>
          <w:i/>
        </w:rPr>
        <w:t xml:space="preserve">Keywords: </w:t>
      </w:r>
      <w:r w:rsidR="00D2477C">
        <w:rPr>
          <w:rFonts w:ascii="Arial" w:hAnsi="Arial" w:cs="Arial"/>
          <w:i/>
        </w:rPr>
        <w:t>Z. portoricensis, Inflammation, Liver function makers, formalin-induction</w:t>
      </w:r>
    </w:p>
    <w:p w:rsidR="00D2477C" w:rsidRDefault="00D2477C" w:rsidP="00441B6F">
      <w:pPr>
        <w:pStyle w:val="AbstHead"/>
        <w:spacing w:after="0"/>
        <w:jc w:val="both"/>
        <w:rPr>
          <w:rFonts w:ascii="Arial" w:hAnsi="Arial" w:cs="Arial"/>
        </w:rPr>
      </w:pPr>
    </w:p>
    <w:p w:rsidR="00D2477C" w:rsidRDefault="00D2477C" w:rsidP="00441B6F">
      <w:pPr>
        <w:pStyle w:val="AbstHead"/>
        <w:spacing w:after="0"/>
        <w:jc w:val="both"/>
        <w:rPr>
          <w:rFonts w:ascii="Arial" w:hAnsi="Arial" w:cs="Arial"/>
        </w:rPr>
      </w:pPr>
    </w:p>
    <w:p w:rsidR="00D2477C" w:rsidRDefault="00D2477C" w:rsidP="00441B6F">
      <w:pPr>
        <w:pStyle w:val="AbstHead"/>
        <w:spacing w:after="0"/>
        <w:jc w:val="both"/>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932265" w:rsidRPr="00932265" w:rsidRDefault="00932265" w:rsidP="00932265">
      <w:pPr>
        <w:pStyle w:val="Body"/>
        <w:spacing w:after="0"/>
        <w:rPr>
          <w:rFonts w:ascii="Arial" w:hAnsi="Arial" w:cs="Arial"/>
        </w:rPr>
      </w:pPr>
      <w:r w:rsidRPr="00932265">
        <w:rPr>
          <w:rFonts w:ascii="Arial" w:hAnsi="Arial" w:cs="Arial"/>
        </w:rPr>
        <w:t>The liver plays a central role in metabolism, detoxification, and homeostatic regulation of endogenous and exogenous compounds.</w:t>
      </w:r>
      <w:r w:rsidR="003A3904">
        <w:rPr>
          <w:rFonts w:ascii="Arial" w:hAnsi="Arial" w:cs="Arial"/>
        </w:rPr>
        <w:t xml:space="preserve"> On the other hand, this vital organ is</w:t>
      </w:r>
      <w:r w:rsidRPr="00932265">
        <w:rPr>
          <w:rFonts w:ascii="Arial" w:hAnsi="Arial" w:cs="Arial"/>
        </w:rPr>
        <w:t xml:space="preserve"> constantly exposed to xenobiotics, environmental toxins, and inflammatory mediators, which predispose it to injury (Abdulrahman </w:t>
      </w:r>
      <w:r w:rsidRPr="00932265">
        <w:rPr>
          <w:rFonts w:ascii="Arial" w:hAnsi="Arial" w:cs="Arial"/>
          <w:i/>
          <w:iCs/>
        </w:rPr>
        <w:t>et al.,</w:t>
      </w:r>
      <w:r w:rsidRPr="00932265">
        <w:rPr>
          <w:rFonts w:ascii="Arial" w:hAnsi="Arial" w:cs="Arial"/>
        </w:rPr>
        <w:t xml:space="preserve"> 2020). </w:t>
      </w:r>
      <w:r w:rsidR="003A3904">
        <w:rPr>
          <w:rFonts w:ascii="Arial" w:hAnsi="Arial" w:cs="Arial"/>
        </w:rPr>
        <w:t xml:space="preserve">Hepatic dysfunction, caused by oxidative stress and inflammation, remains a major global health issue, adding to the burden of chronic liver diseases like hepatitis, cirrhosis, and hepatocellular carcinoma. </w:t>
      </w:r>
      <w:r w:rsidRPr="00932265">
        <w:rPr>
          <w:rFonts w:ascii="Arial" w:hAnsi="Arial" w:cs="Arial"/>
        </w:rPr>
        <w:t xml:space="preserve">(Mansour </w:t>
      </w:r>
      <w:r w:rsidRPr="00932265">
        <w:rPr>
          <w:rFonts w:ascii="Arial" w:hAnsi="Arial" w:cs="Arial"/>
          <w:i/>
          <w:iCs/>
        </w:rPr>
        <w:t>et al.,</w:t>
      </w:r>
      <w:r w:rsidRPr="00932265">
        <w:rPr>
          <w:rFonts w:ascii="Arial" w:hAnsi="Arial" w:cs="Arial"/>
        </w:rPr>
        <w:t xml:space="preserve"> 2022; Wang </w:t>
      </w:r>
      <w:r w:rsidRPr="00932265">
        <w:rPr>
          <w:rFonts w:ascii="Arial" w:hAnsi="Arial" w:cs="Arial"/>
          <w:i/>
          <w:iCs/>
        </w:rPr>
        <w:t>et al.</w:t>
      </w:r>
      <w:r w:rsidRPr="00932265">
        <w:rPr>
          <w:rFonts w:ascii="Arial" w:hAnsi="Arial" w:cs="Arial"/>
        </w:rPr>
        <w:t xml:space="preserve">, 2023). </w:t>
      </w:r>
      <w:r w:rsidR="003A3904" w:rsidRPr="003A3904">
        <w:rPr>
          <w:rFonts w:ascii="Arial" w:hAnsi="Arial" w:cs="Arial"/>
        </w:rPr>
        <w:t>The production of reactive oxygen species (ROS) and proinflammatory cytokines, specifically tumor necrosis factor-α (TNF-α) and interleukin-6 (IL-</w:t>
      </w:r>
      <w:r w:rsidR="003A3904" w:rsidRPr="003A3904">
        <w:rPr>
          <w:rFonts w:ascii="Arial" w:hAnsi="Arial" w:cs="Arial"/>
        </w:rPr>
        <w:lastRenderedPageBreak/>
        <w:t>6), intensifies liver cell injury through the promotion of lipid peroxidation, mitochondrial dysfunction, and apoptosis</w:t>
      </w:r>
      <w:r w:rsidR="003A3904">
        <w:rPr>
          <w:rFonts w:ascii="Arial" w:hAnsi="Arial" w:cs="Arial"/>
        </w:rPr>
        <w:t xml:space="preserve"> </w:t>
      </w:r>
      <w:r w:rsidRPr="00932265">
        <w:rPr>
          <w:rFonts w:ascii="Arial" w:hAnsi="Arial" w:cs="Arial"/>
        </w:rPr>
        <w:t xml:space="preserve">(Kumar </w:t>
      </w:r>
      <w:r w:rsidRPr="00932265">
        <w:rPr>
          <w:rFonts w:ascii="Arial" w:hAnsi="Arial" w:cs="Arial"/>
          <w:i/>
          <w:iCs/>
        </w:rPr>
        <w:t xml:space="preserve">et al., </w:t>
      </w:r>
      <w:r w:rsidRPr="00932265">
        <w:rPr>
          <w:rFonts w:ascii="Arial" w:hAnsi="Arial" w:cs="Arial"/>
        </w:rPr>
        <w:t xml:space="preserve">2021; Nguyen </w:t>
      </w:r>
      <w:r w:rsidRPr="00932265">
        <w:rPr>
          <w:rFonts w:ascii="Arial" w:hAnsi="Arial" w:cs="Arial"/>
          <w:i/>
          <w:iCs/>
        </w:rPr>
        <w:t>et al.,</w:t>
      </w:r>
      <w:r w:rsidRPr="00932265">
        <w:rPr>
          <w:rFonts w:ascii="Arial" w:hAnsi="Arial" w:cs="Arial"/>
        </w:rPr>
        <w:t xml:space="preserve"> 2022).</w:t>
      </w:r>
    </w:p>
    <w:p w:rsidR="00932265" w:rsidRPr="00932265" w:rsidRDefault="00932265" w:rsidP="00932265">
      <w:pPr>
        <w:pStyle w:val="Body"/>
        <w:spacing w:after="0"/>
        <w:rPr>
          <w:rFonts w:ascii="Arial" w:hAnsi="Arial" w:cs="Arial"/>
        </w:rPr>
      </w:pPr>
      <w:r w:rsidRPr="00932265">
        <w:rPr>
          <w:rFonts w:ascii="Arial" w:hAnsi="Arial" w:cs="Arial"/>
        </w:rPr>
        <w:t xml:space="preserve">Conventional drugs used in managing hepatic and inflammatory disorders—such as corticosteroids and nonsteroidal anti-inflammatory drugs (NSAIDs)—often provide symptomatic relief but are limited by toxicity and side effects with prolonged use (Girish </w:t>
      </w:r>
      <w:r w:rsidRPr="00932265">
        <w:rPr>
          <w:rFonts w:ascii="Arial" w:hAnsi="Arial" w:cs="Arial"/>
          <w:i/>
          <w:iCs/>
        </w:rPr>
        <w:t>et al.,</w:t>
      </w:r>
      <w:r w:rsidRPr="00932265">
        <w:rPr>
          <w:rFonts w:ascii="Arial" w:hAnsi="Arial" w:cs="Arial"/>
        </w:rPr>
        <w:t xml:space="preserve"> 2020). Consequently, there is an increasing demand for safer, natural hepatoprotective agents derived from medicinal plants rich in bioactive phytochemicals (Adebayo </w:t>
      </w:r>
      <w:r w:rsidRPr="00932265">
        <w:rPr>
          <w:rFonts w:ascii="Arial" w:hAnsi="Arial" w:cs="Arial"/>
          <w:i/>
          <w:iCs/>
        </w:rPr>
        <w:t>et al.,</w:t>
      </w:r>
      <w:r w:rsidRPr="00932265">
        <w:rPr>
          <w:rFonts w:ascii="Arial" w:hAnsi="Arial" w:cs="Arial"/>
        </w:rPr>
        <w:t xml:space="preserve"> 2018). Plant-derived secondary metabolites such as flavonoids, alkaloids, tannins, saponins, terpenoids, and phenolic compounds are known to mitigate oxidative damage by scavenging free radicals, enhancing antioxidant enzyme activities (e.g., superoxide dismutase, catalase, glutathione peroxidase), and modulating inflammatory signaling cascades such as the NF-</w:t>
      </w:r>
      <w:proofErr w:type="spellStart"/>
      <w:r w:rsidRPr="00932265">
        <w:rPr>
          <w:rFonts w:ascii="Arial" w:hAnsi="Arial" w:cs="Arial"/>
        </w:rPr>
        <w:t>κB</w:t>
      </w:r>
      <w:proofErr w:type="spellEnd"/>
      <w:r w:rsidRPr="00932265">
        <w:rPr>
          <w:rFonts w:ascii="Arial" w:hAnsi="Arial" w:cs="Arial"/>
        </w:rPr>
        <w:t xml:space="preserve"> </w:t>
      </w:r>
      <w:r w:rsidR="00855778" w:rsidRPr="00855778">
        <w:rPr>
          <w:rFonts w:ascii="Arial" w:hAnsi="Arial" w:cs="Arial"/>
        </w:rPr>
        <w:t>(Nuclear Factor-</w:t>
      </w:r>
      <w:proofErr w:type="spellStart"/>
      <w:r w:rsidR="00855778" w:rsidRPr="00855778">
        <w:rPr>
          <w:rFonts w:ascii="Arial" w:hAnsi="Arial" w:cs="Arial"/>
        </w:rPr>
        <w:t>κB</w:t>
      </w:r>
      <w:proofErr w:type="spellEnd"/>
      <w:r w:rsidR="00855778" w:rsidRPr="00855778">
        <w:rPr>
          <w:rFonts w:ascii="Arial" w:hAnsi="Arial" w:cs="Arial"/>
        </w:rPr>
        <w:t xml:space="preserve">) </w:t>
      </w:r>
      <w:r w:rsidRPr="00932265">
        <w:rPr>
          <w:rFonts w:ascii="Arial" w:hAnsi="Arial" w:cs="Arial"/>
        </w:rPr>
        <w:t>and MAPK</w:t>
      </w:r>
      <w:r w:rsidR="005C791C">
        <w:rPr>
          <w:rFonts w:ascii="Arial" w:hAnsi="Arial" w:cs="Arial"/>
        </w:rPr>
        <w:t xml:space="preserve"> </w:t>
      </w:r>
      <w:r w:rsidR="005C791C" w:rsidRPr="005C791C">
        <w:rPr>
          <w:rFonts w:ascii="Arial" w:hAnsi="Arial" w:cs="Arial"/>
          <w:b/>
          <w:bCs/>
        </w:rPr>
        <w:t> </w:t>
      </w:r>
      <w:r w:rsidR="005C791C" w:rsidRPr="005C791C">
        <w:rPr>
          <w:rFonts w:ascii="Arial" w:hAnsi="Arial" w:cs="Arial"/>
        </w:rPr>
        <w:t>(Mitogen-Activated Protein Kinase)</w:t>
      </w:r>
      <w:r w:rsidRPr="00932265">
        <w:rPr>
          <w:rFonts w:ascii="Arial" w:hAnsi="Arial" w:cs="Arial"/>
        </w:rPr>
        <w:t xml:space="preserve"> pathways (Kumar </w:t>
      </w:r>
      <w:r w:rsidRPr="00932265">
        <w:rPr>
          <w:rFonts w:ascii="Arial" w:hAnsi="Arial" w:cs="Arial"/>
          <w:i/>
          <w:iCs/>
        </w:rPr>
        <w:t>et al.,</w:t>
      </w:r>
      <w:r w:rsidRPr="00932265">
        <w:rPr>
          <w:rFonts w:ascii="Arial" w:hAnsi="Arial" w:cs="Arial"/>
        </w:rPr>
        <w:t xml:space="preserve"> 2021; Alqarni </w:t>
      </w:r>
      <w:r w:rsidRPr="00932265">
        <w:rPr>
          <w:rFonts w:ascii="Arial" w:hAnsi="Arial" w:cs="Arial"/>
          <w:i/>
          <w:iCs/>
        </w:rPr>
        <w:t>et al.,</w:t>
      </w:r>
      <w:r w:rsidRPr="00932265">
        <w:rPr>
          <w:rFonts w:ascii="Arial" w:hAnsi="Arial" w:cs="Arial"/>
        </w:rPr>
        <w:t xml:space="preserve"> 2023).</w:t>
      </w:r>
    </w:p>
    <w:p w:rsidR="00932265" w:rsidRPr="00932265" w:rsidRDefault="00932265" w:rsidP="00932265">
      <w:pPr>
        <w:pStyle w:val="Body"/>
        <w:spacing w:after="0"/>
        <w:rPr>
          <w:rFonts w:ascii="Arial" w:hAnsi="Arial" w:cs="Arial"/>
        </w:rPr>
      </w:pPr>
      <w:r w:rsidRPr="00932265">
        <w:rPr>
          <w:rFonts w:ascii="Arial" w:hAnsi="Arial" w:cs="Arial"/>
          <w:i/>
          <w:iCs/>
        </w:rPr>
        <w:t>Zapoteca portoricensis</w:t>
      </w:r>
      <w:r w:rsidRPr="00932265">
        <w:rPr>
          <w:rFonts w:ascii="Arial" w:hAnsi="Arial" w:cs="Arial"/>
        </w:rPr>
        <w:t xml:space="preserve"> (Jacq.) H.M. Hern., a perennial herb belonging to the Fabaceae family, is traditionally employed in West African ethnomedicine for the treatment of pain, inflammation, fever, and microbial infections (Adebayo </w:t>
      </w:r>
      <w:r w:rsidRPr="00932265">
        <w:rPr>
          <w:rFonts w:ascii="Arial" w:hAnsi="Arial" w:cs="Arial"/>
          <w:i/>
          <w:iCs/>
        </w:rPr>
        <w:t>et al.,</w:t>
      </w:r>
      <w:r w:rsidRPr="00932265">
        <w:rPr>
          <w:rFonts w:ascii="Arial" w:hAnsi="Arial" w:cs="Arial"/>
        </w:rPr>
        <w:t xml:space="preserve"> 2011; Orji </w:t>
      </w:r>
      <w:r w:rsidRPr="00932265">
        <w:rPr>
          <w:rFonts w:ascii="Arial" w:hAnsi="Arial" w:cs="Arial"/>
          <w:i/>
          <w:iCs/>
        </w:rPr>
        <w:t>et al.,</w:t>
      </w:r>
      <w:r w:rsidRPr="00932265">
        <w:rPr>
          <w:rFonts w:ascii="Arial" w:hAnsi="Arial" w:cs="Arial"/>
        </w:rPr>
        <w:t xml:space="preserve"> 2024). Preliminary phytochemical investigations have identified the presence of flavonoids, saponins, alkaloids, phenolic acids, and terpenoids, which are compounds associated with antioxidant and anti-inflammatory properties (Orji </w:t>
      </w:r>
      <w:r w:rsidRPr="00932265">
        <w:rPr>
          <w:rFonts w:ascii="Arial" w:hAnsi="Arial" w:cs="Arial"/>
          <w:i/>
          <w:iCs/>
        </w:rPr>
        <w:t>et al.,</w:t>
      </w:r>
      <w:r w:rsidRPr="00932265">
        <w:rPr>
          <w:rFonts w:ascii="Arial" w:hAnsi="Arial" w:cs="Arial"/>
        </w:rPr>
        <w:t xml:space="preserve"> 2024; Ibrahim </w:t>
      </w:r>
      <w:r w:rsidRPr="00932265">
        <w:rPr>
          <w:rFonts w:ascii="Arial" w:hAnsi="Arial" w:cs="Arial"/>
          <w:i/>
          <w:iCs/>
        </w:rPr>
        <w:t>et al.,</w:t>
      </w:r>
      <w:r w:rsidRPr="00932265">
        <w:rPr>
          <w:rFonts w:ascii="Arial" w:hAnsi="Arial" w:cs="Arial"/>
        </w:rPr>
        <w:t xml:space="preserve"> 2023). Prior pharmacological studies have demonstrated that the crude extract and fractions of </w:t>
      </w:r>
      <w:r w:rsidRPr="00932265">
        <w:rPr>
          <w:rFonts w:ascii="Arial" w:hAnsi="Arial" w:cs="Arial"/>
          <w:i/>
          <w:iCs/>
        </w:rPr>
        <w:t>Z. portoricensis</w:t>
      </w:r>
      <w:r w:rsidRPr="00932265">
        <w:rPr>
          <w:rFonts w:ascii="Arial" w:hAnsi="Arial" w:cs="Arial"/>
        </w:rPr>
        <w:t xml:space="preserve"> exhibit potent anti-inflammatory, analgesic, and antioxidant activities (Adebayo </w:t>
      </w:r>
      <w:r w:rsidRPr="00932265">
        <w:rPr>
          <w:rFonts w:ascii="Arial" w:hAnsi="Arial" w:cs="Arial"/>
          <w:i/>
          <w:iCs/>
        </w:rPr>
        <w:t>et al.,</w:t>
      </w:r>
      <w:r w:rsidRPr="00932265">
        <w:rPr>
          <w:rFonts w:ascii="Arial" w:hAnsi="Arial" w:cs="Arial"/>
        </w:rPr>
        <w:t xml:space="preserve"> 2018; Orji </w:t>
      </w:r>
      <w:r w:rsidRPr="00932265">
        <w:rPr>
          <w:rFonts w:ascii="Arial" w:hAnsi="Arial" w:cs="Arial"/>
          <w:i/>
          <w:iCs/>
        </w:rPr>
        <w:t>et al.,</w:t>
      </w:r>
      <w:r w:rsidRPr="00932265">
        <w:rPr>
          <w:rFonts w:ascii="Arial" w:hAnsi="Arial" w:cs="Arial"/>
        </w:rPr>
        <w:t xml:space="preserve"> 2024)</w:t>
      </w:r>
      <w:r w:rsidR="00855778">
        <w:rPr>
          <w:rFonts w:ascii="Arial" w:hAnsi="Arial" w:cs="Arial"/>
        </w:rPr>
        <w:t>. This</w:t>
      </w:r>
      <w:r w:rsidRPr="00932265">
        <w:rPr>
          <w:rFonts w:ascii="Arial" w:hAnsi="Arial" w:cs="Arial"/>
        </w:rPr>
        <w:t xml:space="preserve"> suggest</w:t>
      </w:r>
      <w:r w:rsidR="00855778">
        <w:rPr>
          <w:rFonts w:ascii="Arial" w:hAnsi="Arial" w:cs="Arial"/>
        </w:rPr>
        <w:t>s a</w:t>
      </w:r>
      <w:r w:rsidRPr="00932265">
        <w:rPr>
          <w:rFonts w:ascii="Arial" w:hAnsi="Arial" w:cs="Arial"/>
        </w:rPr>
        <w:t xml:space="preserve"> potential protective </w:t>
      </w:r>
      <w:r w:rsidR="00855778">
        <w:rPr>
          <w:rFonts w:ascii="Arial" w:hAnsi="Arial" w:cs="Arial"/>
        </w:rPr>
        <w:t>effect</w:t>
      </w:r>
      <w:r w:rsidRPr="00932265">
        <w:rPr>
          <w:rFonts w:ascii="Arial" w:hAnsi="Arial" w:cs="Arial"/>
        </w:rPr>
        <w:t xml:space="preserve"> against inflammation-mediated organ toxicity.</w:t>
      </w:r>
    </w:p>
    <w:p w:rsidR="00932265" w:rsidRPr="00932265" w:rsidRDefault="00932265" w:rsidP="00932265">
      <w:pPr>
        <w:pStyle w:val="Body"/>
        <w:spacing w:after="0"/>
        <w:rPr>
          <w:rFonts w:ascii="Arial" w:hAnsi="Arial" w:cs="Arial"/>
        </w:rPr>
      </w:pPr>
      <w:r w:rsidRPr="00932265">
        <w:rPr>
          <w:rFonts w:ascii="Arial" w:hAnsi="Arial" w:cs="Arial"/>
        </w:rPr>
        <w:t xml:space="preserve">Inflammation-induced hepatic injury is a complex pathophysiological process involving oxidative imbalance and biochemical disruption of hepatic markers such as alanine aminotransferase (ALT), aspartate aminotransferase (AST), alkaline phosphatase (ALP), total bilirubin, and total protein (Mansour </w:t>
      </w:r>
      <w:r w:rsidRPr="00932265">
        <w:rPr>
          <w:rFonts w:ascii="Arial" w:hAnsi="Arial" w:cs="Arial"/>
          <w:i/>
          <w:iCs/>
        </w:rPr>
        <w:t>et al.,</w:t>
      </w:r>
      <w:r w:rsidRPr="00932265">
        <w:rPr>
          <w:rFonts w:ascii="Arial" w:hAnsi="Arial" w:cs="Arial"/>
        </w:rPr>
        <w:t xml:space="preserve"> 2022). Formalin-induced inflammation in rats</w:t>
      </w:r>
      <w:r w:rsidR="00013FCC">
        <w:rPr>
          <w:rFonts w:ascii="Arial" w:hAnsi="Arial" w:cs="Arial"/>
        </w:rPr>
        <w:t>, according to previous studies, has proved to be</w:t>
      </w:r>
      <w:r w:rsidRPr="00932265">
        <w:rPr>
          <w:rFonts w:ascii="Arial" w:hAnsi="Arial" w:cs="Arial"/>
        </w:rPr>
        <w:t xml:space="preserve"> a well-established model for evaluating systemic inflammatory and oxidative stress responses, as it elicits both acute and chronic phases of inflammation associated with biochemical and histological liver alterations (Kumar </w:t>
      </w:r>
      <w:r w:rsidRPr="00932265">
        <w:rPr>
          <w:rFonts w:ascii="Arial" w:hAnsi="Arial" w:cs="Arial"/>
          <w:i/>
          <w:iCs/>
        </w:rPr>
        <w:t>et al.,</w:t>
      </w:r>
      <w:r w:rsidRPr="00932265">
        <w:rPr>
          <w:rFonts w:ascii="Arial" w:hAnsi="Arial" w:cs="Arial"/>
        </w:rPr>
        <w:t xml:space="preserve"> 2021). This model provides a useful platform to assess the potential of plant extracts to modulate inflammatory mediators and hepatocellular function.</w:t>
      </w:r>
    </w:p>
    <w:p w:rsidR="00932265" w:rsidRPr="00932265" w:rsidRDefault="00932265" w:rsidP="00932265">
      <w:pPr>
        <w:pStyle w:val="Body"/>
        <w:spacing w:after="0"/>
        <w:rPr>
          <w:rFonts w:ascii="Arial" w:hAnsi="Arial" w:cs="Arial"/>
        </w:rPr>
      </w:pPr>
      <w:r w:rsidRPr="00932265">
        <w:rPr>
          <w:rFonts w:ascii="Arial" w:hAnsi="Arial" w:cs="Arial"/>
        </w:rPr>
        <w:t xml:space="preserve">Despite the increasing pharmacological interest in </w:t>
      </w:r>
      <w:r w:rsidRPr="00932265">
        <w:rPr>
          <w:rFonts w:ascii="Arial" w:hAnsi="Arial" w:cs="Arial"/>
          <w:i/>
          <w:iCs/>
        </w:rPr>
        <w:t>Z. portoricensis</w:t>
      </w:r>
      <w:r w:rsidRPr="00932265">
        <w:rPr>
          <w:rFonts w:ascii="Arial" w:hAnsi="Arial" w:cs="Arial"/>
        </w:rPr>
        <w:t>, limited studies have explored its fraction-dependent hepatoprotective effects under inflammatory conditions. Understanding how the crude ethanol extract and its solvent fractions (n-hexane and ethanol) influence liver biomarkers during inflammation will not only validate its ethnomedicinal applications but also contribute to identifying bioactive fractions with therapeutic potential.</w:t>
      </w:r>
    </w:p>
    <w:p w:rsidR="00932265" w:rsidRPr="00932265" w:rsidRDefault="00932265" w:rsidP="00932265">
      <w:pPr>
        <w:pStyle w:val="Body"/>
        <w:spacing w:after="0"/>
        <w:rPr>
          <w:rFonts w:ascii="Arial" w:hAnsi="Arial" w:cs="Arial"/>
        </w:rPr>
      </w:pPr>
      <w:r w:rsidRPr="00932265">
        <w:rPr>
          <w:rFonts w:ascii="Arial" w:hAnsi="Arial" w:cs="Arial"/>
        </w:rPr>
        <w:t xml:space="preserve">Therefore, this study aims to evaluate the hepatoprotective potential of the crude ethanol extract and solvent fractions of </w:t>
      </w:r>
      <w:r w:rsidRPr="00932265">
        <w:rPr>
          <w:rFonts w:ascii="Arial" w:hAnsi="Arial" w:cs="Arial"/>
          <w:i/>
          <w:iCs/>
        </w:rPr>
        <w:t>Zapoteca portoricensis</w:t>
      </w:r>
      <w:r w:rsidRPr="00932265">
        <w:rPr>
          <w:rFonts w:ascii="Arial" w:hAnsi="Arial" w:cs="Arial"/>
        </w:rPr>
        <w:t xml:space="preserve"> leaves in formalin-induced inflammatory rats by assessing key liver function markers and biochemical indices of hepatic integrity. Findings from this study are expected to deepen the understanding of the plant’s biochemical mechanisms of action, highlight its fraction-specific efficacy, and support its potential as a source of safe, natural hepatoprotective agents.</w:t>
      </w:r>
    </w:p>
    <w:p w:rsidR="00790ADA" w:rsidRPr="00FB3A86" w:rsidRDefault="00790ADA" w:rsidP="00441B6F">
      <w:pPr>
        <w:pStyle w:val="Body"/>
        <w:spacing w:after="0"/>
        <w:rPr>
          <w:rFonts w:ascii="Arial" w:hAnsi="Arial" w:cs="Arial"/>
        </w:rPr>
      </w:pPr>
    </w:p>
    <w:p w:rsidR="00474786" w:rsidRDefault="00902823" w:rsidP="00474786">
      <w:pPr>
        <w:pStyle w:val="AbstHead"/>
        <w:spacing w:after="0"/>
        <w:jc w:val="both"/>
        <w:rPr>
          <w:rFonts w:ascii="Arial" w:hAnsi="Arial" w:cs="Arial"/>
        </w:rPr>
      </w:pPr>
      <w:r>
        <w:rPr>
          <w:rFonts w:ascii="Arial" w:hAnsi="Arial" w:cs="Arial"/>
        </w:rPr>
        <w:t xml:space="preserve">2. </w:t>
      </w:r>
      <w:r w:rsidR="00474786">
        <w:rPr>
          <w:rFonts w:ascii="Arial" w:hAnsi="Arial" w:cs="Arial"/>
        </w:rPr>
        <w:t>Materials</w:t>
      </w:r>
      <w:r>
        <w:rPr>
          <w:rFonts w:ascii="Arial" w:hAnsi="Arial" w:cs="Arial"/>
        </w:rPr>
        <w:t xml:space="preserve"> and method</w:t>
      </w:r>
      <w:r w:rsidR="00000F8F">
        <w:rPr>
          <w:rFonts w:ascii="Arial" w:hAnsi="Arial" w:cs="Arial"/>
        </w:rPr>
        <w:t xml:space="preserve">s </w:t>
      </w:r>
    </w:p>
    <w:p w:rsidR="00474786" w:rsidRDefault="00474786" w:rsidP="00474786">
      <w:pPr>
        <w:pStyle w:val="AbstHead"/>
        <w:spacing w:after="0"/>
        <w:jc w:val="both"/>
        <w:rPr>
          <w:rFonts w:ascii="Arial" w:hAnsi="Arial" w:cs="Arial"/>
        </w:rPr>
      </w:pPr>
    </w:p>
    <w:p w:rsidR="00DB33A0" w:rsidRPr="00DB33A0" w:rsidRDefault="00F76A1B" w:rsidP="00474786">
      <w:pPr>
        <w:pStyle w:val="AbstHead"/>
        <w:spacing w:after="0"/>
        <w:jc w:val="both"/>
        <w:rPr>
          <w:rFonts w:ascii="Arial" w:hAnsi="Arial" w:cs="Arial"/>
          <w:bCs/>
          <w:szCs w:val="22"/>
        </w:rPr>
      </w:pPr>
      <w:r w:rsidRPr="00474786">
        <w:rPr>
          <w:rFonts w:ascii="Arial" w:hAnsi="Arial" w:cs="Arial"/>
          <w:szCs w:val="22"/>
        </w:rPr>
        <w:t>2.1</w:t>
      </w:r>
      <w:r w:rsidR="00DB33A0" w:rsidRPr="00DB33A0">
        <w:rPr>
          <w:rFonts w:ascii="Arial" w:hAnsi="Arial" w:cs="Arial"/>
          <w:szCs w:val="22"/>
        </w:rPr>
        <w:t>.</w:t>
      </w:r>
      <w:r w:rsidR="00DB33A0" w:rsidRPr="00DB33A0">
        <w:rPr>
          <w:rFonts w:ascii="Arial" w:hAnsi="Arial" w:cs="Arial"/>
          <w:bCs/>
          <w:szCs w:val="22"/>
        </w:rPr>
        <w:t xml:space="preserve"> Plant Collection, Identification, and Preparation of Extracts</w:t>
      </w:r>
    </w:p>
    <w:p w:rsidR="00DB33A0" w:rsidRPr="00DB33A0" w:rsidRDefault="00DB33A0" w:rsidP="00FA2408">
      <w:pPr>
        <w:spacing w:beforeLines="120" w:before="288" w:afterLines="120" w:after="288" w:line="276" w:lineRule="auto"/>
        <w:jc w:val="both"/>
        <w:rPr>
          <w:rFonts w:ascii="Arial" w:hAnsi="Arial" w:cs="Arial"/>
        </w:rPr>
      </w:pPr>
      <w:r w:rsidRPr="00DB33A0">
        <w:rPr>
          <w:rFonts w:ascii="Arial" w:hAnsi="Arial" w:cs="Arial"/>
        </w:rPr>
        <w:t xml:space="preserve">Fresh leaves of </w:t>
      </w:r>
      <w:r w:rsidRPr="00DB33A0">
        <w:rPr>
          <w:rFonts w:ascii="Arial" w:hAnsi="Arial" w:cs="Arial"/>
          <w:i/>
          <w:iCs/>
        </w:rPr>
        <w:t>Zapoteca portoricensis</w:t>
      </w:r>
      <w:r w:rsidRPr="00DB33A0">
        <w:rPr>
          <w:rFonts w:ascii="Arial" w:hAnsi="Arial" w:cs="Arial"/>
        </w:rPr>
        <w:t xml:space="preserve"> (Jacq.) H.M. Hern. </w:t>
      </w:r>
      <w:r w:rsidR="00D01261" w:rsidRPr="00D01261">
        <w:rPr>
          <w:rFonts w:ascii="Arial" w:hAnsi="Arial" w:cs="Arial"/>
          <w:bCs/>
        </w:rPr>
        <w:t xml:space="preserve">used for this study were harvested from the </w:t>
      </w:r>
      <w:r w:rsidR="00D01261" w:rsidRPr="00D01261">
        <w:rPr>
          <w:rFonts w:ascii="Arial" w:hAnsi="Arial" w:cs="Arial"/>
          <w:bCs/>
          <w:i/>
          <w:iCs/>
        </w:rPr>
        <w:t>Zapoteca portoricensis</w:t>
      </w:r>
      <w:r w:rsidR="00D01261" w:rsidRPr="00D01261">
        <w:rPr>
          <w:rFonts w:ascii="Arial" w:hAnsi="Arial" w:cs="Arial"/>
          <w:bCs/>
        </w:rPr>
        <w:t xml:space="preserve"> plant located at Dr. Eddy Mougbo’s Farm in Ifite, </w:t>
      </w:r>
      <w:r w:rsidR="00D01261" w:rsidRPr="00D01261">
        <w:rPr>
          <w:rFonts w:ascii="Arial" w:hAnsi="Arial" w:cs="Arial"/>
          <w:bCs/>
        </w:rPr>
        <w:lastRenderedPageBreak/>
        <w:t xml:space="preserve">Awka South Local Government Area, Anambra State, Nigeria. The leaf was authenticated by Mr. Alfred Ozioko of the Bioresources Development and Conservation Programme (BDCP) Research Centre, Nsukka, Enugu State. (Voucher no: </w:t>
      </w:r>
      <w:proofErr w:type="spellStart"/>
      <w:r w:rsidR="00D01261" w:rsidRPr="00D01261">
        <w:rPr>
          <w:rFonts w:ascii="Arial" w:hAnsi="Arial" w:cs="Arial"/>
          <w:bCs/>
        </w:rPr>
        <w:t>InterCEDD</w:t>
      </w:r>
      <w:proofErr w:type="spellEnd"/>
      <w:r w:rsidR="00D01261" w:rsidRPr="00D01261">
        <w:rPr>
          <w:rFonts w:ascii="Arial" w:hAnsi="Arial" w:cs="Arial"/>
          <w:bCs/>
        </w:rPr>
        <w:t>/16313).</w:t>
      </w:r>
      <w:r w:rsidR="00D01261" w:rsidRPr="00E05D89">
        <w:rPr>
          <w:rFonts w:ascii="Times New Roman" w:hAnsi="Times New Roman"/>
          <w:bCs/>
          <w:sz w:val="24"/>
          <w:szCs w:val="24"/>
        </w:rPr>
        <w:t xml:space="preserve"> </w:t>
      </w:r>
      <w:r w:rsidRPr="00DB33A0">
        <w:rPr>
          <w:rFonts w:ascii="Arial" w:hAnsi="Arial" w:cs="Arial"/>
        </w:rPr>
        <w:t>The powdered sample (</w:t>
      </w:r>
      <w:r w:rsidR="00D01261">
        <w:rPr>
          <w:rFonts w:ascii="Arial" w:hAnsi="Arial" w:cs="Arial"/>
        </w:rPr>
        <w:t>10</w:t>
      </w:r>
      <w:r w:rsidRPr="00DB33A0">
        <w:rPr>
          <w:rFonts w:ascii="Arial" w:hAnsi="Arial" w:cs="Arial"/>
        </w:rPr>
        <w:t xml:space="preserve">00 g) was extracted by maceration in </w:t>
      </w:r>
      <w:r w:rsidR="00FA2408">
        <w:rPr>
          <w:rFonts w:ascii="Arial" w:hAnsi="Arial" w:cs="Arial"/>
        </w:rPr>
        <w:t>5</w:t>
      </w:r>
      <w:r w:rsidR="00D01261">
        <w:rPr>
          <w:rFonts w:ascii="Arial" w:hAnsi="Arial" w:cs="Arial"/>
        </w:rPr>
        <w:t xml:space="preserve"> L</w:t>
      </w:r>
      <w:r w:rsidRPr="00DB33A0">
        <w:rPr>
          <w:rFonts w:ascii="Arial" w:hAnsi="Arial" w:cs="Arial"/>
        </w:rPr>
        <w:t xml:space="preserve"> of </w:t>
      </w:r>
      <w:r w:rsidR="00D01261">
        <w:rPr>
          <w:rFonts w:ascii="Arial" w:hAnsi="Arial" w:cs="Arial"/>
        </w:rPr>
        <w:t>absolute</w:t>
      </w:r>
      <w:r w:rsidRPr="00DB33A0">
        <w:rPr>
          <w:rFonts w:ascii="Arial" w:hAnsi="Arial" w:cs="Arial"/>
        </w:rPr>
        <w:t xml:space="preserve"> ethanol for 72 hours with intermittent stirring. </w:t>
      </w:r>
      <w:r w:rsidR="00FA2408" w:rsidRPr="00FA2408">
        <w:rPr>
          <w:rFonts w:ascii="Arial" w:eastAsia="Calibri" w:hAnsi="Arial" w:cs="Arial"/>
          <w:bCs/>
        </w:rPr>
        <w:t>The resulting mixture was initially filtered through a muslin cloth, followed by further filtration using Whatman No. 1 filter paper to remove fine residues. The filtrate was concentrated under reduced pressure using a rotary evaporator at 40 °C to obtain the crude ethanol extract.</w:t>
      </w:r>
      <w:r w:rsidRPr="00DB33A0">
        <w:rPr>
          <w:rFonts w:ascii="Arial" w:hAnsi="Arial" w:cs="Arial"/>
        </w:rPr>
        <w:t xml:space="preserve"> A portion of the crude extract (100 g) was successively partitioned with n-hexane and ethanol to obtain the n-hexane fraction (NHF) and ethanol fraction (EF), respectively. All extracts and fractions were stored in airtight containers at 4 °C until use.</w:t>
      </w:r>
    </w:p>
    <w:p w:rsidR="00DB33A0" w:rsidRPr="00DB33A0" w:rsidRDefault="00DB33A0" w:rsidP="00DB33A0">
      <w:pPr>
        <w:pStyle w:val="Body"/>
        <w:spacing w:after="0"/>
        <w:rPr>
          <w:rFonts w:ascii="Arial" w:hAnsi="Arial" w:cs="Arial"/>
          <w:b/>
          <w:bCs/>
          <w:sz w:val="22"/>
          <w:szCs w:val="22"/>
        </w:rPr>
      </w:pPr>
      <w:r w:rsidRPr="00DB33A0">
        <w:rPr>
          <w:rFonts w:ascii="Arial" w:hAnsi="Arial" w:cs="Arial"/>
          <w:b/>
          <w:bCs/>
          <w:sz w:val="22"/>
          <w:szCs w:val="22"/>
        </w:rPr>
        <w:t>2.</w:t>
      </w:r>
      <w:r w:rsidR="00F76A1B" w:rsidRPr="00BB5EB6">
        <w:rPr>
          <w:rFonts w:ascii="Arial" w:hAnsi="Arial" w:cs="Arial"/>
          <w:b/>
          <w:bCs/>
          <w:sz w:val="22"/>
          <w:szCs w:val="22"/>
        </w:rPr>
        <w:t>2</w:t>
      </w:r>
      <w:r w:rsidRPr="00DB33A0">
        <w:rPr>
          <w:rFonts w:ascii="Arial" w:hAnsi="Arial" w:cs="Arial"/>
          <w:b/>
          <w:bCs/>
          <w:sz w:val="22"/>
          <w:szCs w:val="22"/>
        </w:rPr>
        <w:t xml:space="preserve"> Experimental Animals</w:t>
      </w:r>
    </w:p>
    <w:p w:rsidR="00DB33A0" w:rsidRPr="00DB33A0" w:rsidRDefault="00DB33A0" w:rsidP="00DB33A0">
      <w:pPr>
        <w:pStyle w:val="Body"/>
        <w:spacing w:after="0"/>
        <w:rPr>
          <w:rFonts w:ascii="Arial" w:hAnsi="Arial" w:cs="Arial"/>
        </w:rPr>
      </w:pPr>
      <w:r w:rsidRPr="00DB33A0">
        <w:rPr>
          <w:rFonts w:ascii="Arial" w:hAnsi="Arial" w:cs="Arial"/>
        </w:rPr>
        <w:t>Thirty (30) healthy adult male albino rats (</w:t>
      </w:r>
      <w:r w:rsidRPr="00DB33A0">
        <w:rPr>
          <w:rFonts w:ascii="Arial" w:hAnsi="Arial" w:cs="Arial"/>
          <w:i/>
          <w:iCs/>
        </w:rPr>
        <w:t>Rattus norvegicus</w:t>
      </w:r>
      <w:r w:rsidRPr="00DB33A0">
        <w:rPr>
          <w:rFonts w:ascii="Arial" w:hAnsi="Arial" w:cs="Arial"/>
        </w:rPr>
        <w:t xml:space="preserve">), weighing 150–200 g, were obtained from </w:t>
      </w:r>
      <w:r w:rsidR="00562B34">
        <w:rPr>
          <w:rFonts w:ascii="Arial" w:hAnsi="Arial" w:cs="Arial"/>
        </w:rPr>
        <w:t>Dr. Chris Ezeigwe’s farm</w:t>
      </w:r>
      <w:r w:rsidRPr="00DB33A0">
        <w:rPr>
          <w:rFonts w:ascii="Arial" w:hAnsi="Arial" w:cs="Arial"/>
        </w:rPr>
        <w:t xml:space="preserve">. The animals were housed in standard polypropylene cages under controlled environmental conditions (temperature: 25 ± 2 °C, relative humidity: 50–60%, and 12-hour light/dark cycle) and were allowed to acclimatize for </w:t>
      </w:r>
      <w:r w:rsidR="00562B34">
        <w:rPr>
          <w:rFonts w:ascii="Arial" w:hAnsi="Arial" w:cs="Arial"/>
        </w:rPr>
        <w:t>14 days</w:t>
      </w:r>
      <w:r w:rsidRPr="00DB33A0">
        <w:rPr>
          <w:rFonts w:ascii="Arial" w:hAnsi="Arial" w:cs="Arial"/>
        </w:rPr>
        <w:t xml:space="preserve"> </w:t>
      </w:r>
      <w:r w:rsidR="00DE5131">
        <w:rPr>
          <w:rFonts w:ascii="Arial" w:hAnsi="Arial" w:cs="Arial"/>
        </w:rPr>
        <w:t>before</w:t>
      </w:r>
      <w:r w:rsidRPr="00DB33A0">
        <w:rPr>
          <w:rFonts w:ascii="Arial" w:hAnsi="Arial" w:cs="Arial"/>
        </w:rPr>
        <w:t xml:space="preserve"> experimentation. They had free access to standard rat pellets and water </w:t>
      </w:r>
      <w:r w:rsidRPr="00DB33A0">
        <w:rPr>
          <w:rFonts w:ascii="Arial" w:hAnsi="Arial" w:cs="Arial"/>
          <w:i/>
          <w:iCs/>
        </w:rPr>
        <w:t>ad libitum</w:t>
      </w:r>
      <w:r w:rsidRPr="00DB33A0">
        <w:rPr>
          <w:rFonts w:ascii="Arial" w:hAnsi="Arial" w:cs="Arial"/>
        </w:rPr>
        <w:t>.</w:t>
      </w:r>
    </w:p>
    <w:p w:rsidR="003F775B" w:rsidRDefault="00DB33A0" w:rsidP="003F775B">
      <w:pPr>
        <w:pStyle w:val="Body"/>
        <w:rPr>
          <w:rFonts w:ascii="Arial" w:hAnsi="Arial" w:cs="Arial"/>
        </w:rPr>
      </w:pPr>
      <w:r w:rsidRPr="00DB33A0">
        <w:rPr>
          <w:rFonts w:ascii="Arial" w:hAnsi="Arial" w:cs="Arial"/>
        </w:rPr>
        <w:t xml:space="preserve">All animal experimental procedures were conducted following the National Institutes of Health Guide for the Care and Use of Laboratory Animals (NIH Publication No. 85-23, revised 2011) and approved by </w:t>
      </w:r>
      <w:r w:rsidR="003F775B" w:rsidRPr="00B024AE">
        <w:rPr>
          <w:rFonts w:ascii="Arial" w:hAnsi="Arial" w:cs="Arial"/>
        </w:rPr>
        <w:t>The Nnamdi Azikiwe University-Animal</w:t>
      </w:r>
      <w:r w:rsidR="003F775B" w:rsidRPr="003F775B">
        <w:rPr>
          <w:rFonts w:ascii="Arial" w:hAnsi="Arial" w:cs="Arial"/>
        </w:rPr>
        <w:t xml:space="preserve"> Research Ethics Committee</w:t>
      </w:r>
      <w:r w:rsidRPr="00DB33A0">
        <w:rPr>
          <w:rFonts w:ascii="Arial" w:hAnsi="Arial" w:cs="Arial"/>
        </w:rPr>
        <w:t xml:space="preserve"> (Approval No.:</w:t>
      </w:r>
      <w:r w:rsidR="003F775B">
        <w:rPr>
          <w:rFonts w:ascii="Arial" w:hAnsi="Arial" w:cs="Arial"/>
        </w:rPr>
        <w:t xml:space="preserve"> NAU/AREC/2025/0102</w:t>
      </w:r>
      <w:r w:rsidRPr="00DB33A0">
        <w:rPr>
          <w:rFonts w:ascii="Arial" w:hAnsi="Arial" w:cs="Arial"/>
        </w:rPr>
        <w:t>).</w:t>
      </w:r>
      <w:r w:rsidR="003F775B">
        <w:rPr>
          <w:rFonts w:ascii="Arial" w:hAnsi="Arial" w:cs="Arial"/>
        </w:rPr>
        <w:t xml:space="preserve"> </w:t>
      </w:r>
    </w:p>
    <w:p w:rsidR="00D2477C" w:rsidRDefault="00D2477C" w:rsidP="003F775B">
      <w:pPr>
        <w:pStyle w:val="Body"/>
        <w:rPr>
          <w:rFonts w:ascii="Arial" w:hAnsi="Arial" w:cs="Arial"/>
        </w:rPr>
      </w:pPr>
    </w:p>
    <w:p w:rsidR="00D2477C" w:rsidRDefault="00D2477C" w:rsidP="003F775B">
      <w:pPr>
        <w:pStyle w:val="Body"/>
        <w:rPr>
          <w:rFonts w:ascii="Arial" w:hAnsi="Arial" w:cs="Arial"/>
        </w:rPr>
      </w:pPr>
    </w:p>
    <w:p w:rsidR="00D2477C" w:rsidRDefault="00D2477C" w:rsidP="003F775B">
      <w:pPr>
        <w:pStyle w:val="Body"/>
        <w:rPr>
          <w:rFonts w:ascii="Arial" w:hAnsi="Arial" w:cs="Arial"/>
        </w:rPr>
      </w:pPr>
    </w:p>
    <w:p w:rsidR="00D2477C" w:rsidRDefault="00D2477C" w:rsidP="003F775B">
      <w:pPr>
        <w:pStyle w:val="Body"/>
        <w:rPr>
          <w:rFonts w:ascii="Arial" w:hAnsi="Arial" w:cs="Arial"/>
        </w:rPr>
      </w:pPr>
    </w:p>
    <w:p w:rsidR="00D2477C" w:rsidRDefault="00D2477C" w:rsidP="003F775B">
      <w:pPr>
        <w:pStyle w:val="Body"/>
        <w:rPr>
          <w:rFonts w:ascii="Arial" w:hAnsi="Arial" w:cs="Arial"/>
        </w:rPr>
      </w:pPr>
    </w:p>
    <w:p w:rsidR="00D2477C" w:rsidRDefault="00D2477C" w:rsidP="003F775B">
      <w:pPr>
        <w:pStyle w:val="Body"/>
        <w:rPr>
          <w:rFonts w:ascii="Arial" w:hAnsi="Arial" w:cs="Arial"/>
        </w:rPr>
      </w:pPr>
    </w:p>
    <w:p w:rsidR="00D2477C" w:rsidRDefault="00D2477C" w:rsidP="003F775B">
      <w:pPr>
        <w:pStyle w:val="Body"/>
        <w:rPr>
          <w:rFonts w:ascii="Arial" w:hAnsi="Arial" w:cs="Arial"/>
        </w:rPr>
      </w:pPr>
    </w:p>
    <w:p w:rsidR="004B3AB1" w:rsidRDefault="004B3AB1" w:rsidP="003F775B">
      <w:pPr>
        <w:pStyle w:val="Body"/>
        <w:rPr>
          <w:rFonts w:ascii="Arial" w:hAnsi="Arial" w:cs="Arial"/>
        </w:rPr>
      </w:pPr>
    </w:p>
    <w:p w:rsidR="004B3AB1" w:rsidRDefault="004B3AB1" w:rsidP="003F775B">
      <w:pPr>
        <w:pStyle w:val="Body"/>
        <w:rPr>
          <w:rFonts w:ascii="Arial" w:hAnsi="Arial" w:cs="Arial"/>
        </w:rPr>
      </w:pPr>
    </w:p>
    <w:p w:rsidR="00D2477C" w:rsidRPr="003F775B" w:rsidRDefault="00D2477C" w:rsidP="003F775B">
      <w:pPr>
        <w:pStyle w:val="Body"/>
        <w:rPr>
          <w:rFonts w:ascii="Arial" w:hAnsi="Arial" w:cs="Arial"/>
        </w:rPr>
      </w:pPr>
    </w:p>
    <w:p w:rsidR="00DB33A0" w:rsidRPr="00DB33A0" w:rsidRDefault="001A6287" w:rsidP="00DB33A0">
      <w:pPr>
        <w:pStyle w:val="Body"/>
        <w:spacing w:after="0"/>
        <w:rPr>
          <w:rFonts w:ascii="Arial" w:hAnsi="Arial" w:cs="Arial"/>
          <w:b/>
          <w:bCs/>
          <w:sz w:val="22"/>
          <w:szCs w:val="22"/>
        </w:rPr>
      </w:pPr>
      <w:r w:rsidRPr="001A6287">
        <w:rPr>
          <w:rFonts w:ascii="Arial" w:hAnsi="Arial" w:cs="Arial"/>
          <w:b/>
          <w:bCs/>
        </w:rPr>
        <w:t>Table 1.</w:t>
      </w:r>
      <w:r w:rsidR="00DB33A0" w:rsidRPr="00DB33A0">
        <w:rPr>
          <w:rFonts w:ascii="Arial" w:hAnsi="Arial" w:cs="Arial"/>
          <w:b/>
          <w:bCs/>
          <w:sz w:val="22"/>
          <w:szCs w:val="22"/>
        </w:rPr>
        <w:t xml:space="preserve"> Experimental Design and Treatment Protocol</w:t>
      </w:r>
    </w:p>
    <w:p w:rsidR="00DB33A0" w:rsidRPr="00DB33A0" w:rsidRDefault="00DB33A0" w:rsidP="00DB33A0">
      <w:pPr>
        <w:pStyle w:val="Body"/>
        <w:spacing w:after="0"/>
        <w:rPr>
          <w:rFonts w:ascii="Arial" w:hAnsi="Arial" w:cs="Arial"/>
        </w:rPr>
      </w:pPr>
      <w:r w:rsidRPr="00DB33A0">
        <w:rPr>
          <w:rFonts w:ascii="Arial" w:hAnsi="Arial" w:cs="Arial"/>
        </w:rPr>
        <w:t xml:space="preserve">The rats were randomly divided into five groups (n = </w:t>
      </w:r>
      <w:r w:rsidR="003F775B">
        <w:rPr>
          <w:rFonts w:ascii="Arial" w:hAnsi="Arial" w:cs="Arial"/>
        </w:rPr>
        <w:t>5</w:t>
      </w:r>
      <w:r w:rsidRPr="00DB33A0">
        <w:rPr>
          <w:rFonts w:ascii="Arial" w:hAnsi="Arial" w:cs="Arial"/>
        </w:rPr>
        <w:t xml:space="preserve"> per group) as follows: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75"/>
        <w:gridCol w:w="1288"/>
        <w:gridCol w:w="6335"/>
      </w:tblGrid>
      <w:tr w:rsidR="00F20E71" w:rsidRPr="00B024AE" w:rsidTr="00B024AE">
        <w:trPr>
          <w:tblHeader/>
          <w:tblCellSpacing w:w="15" w:type="dxa"/>
        </w:trPr>
        <w:tc>
          <w:tcPr>
            <w:tcW w:w="0" w:type="auto"/>
            <w:tcBorders>
              <w:top w:val="single" w:sz="4" w:space="0" w:color="auto"/>
              <w:bottom w:val="single" w:sz="4" w:space="0" w:color="auto"/>
            </w:tcBorders>
            <w:vAlign w:val="center"/>
            <w:hideMark/>
          </w:tcPr>
          <w:p w:rsidR="00DB33A0" w:rsidRPr="00DB33A0" w:rsidRDefault="00DB33A0" w:rsidP="00DB33A0">
            <w:pPr>
              <w:pStyle w:val="Body"/>
              <w:rPr>
                <w:rFonts w:ascii="Arial" w:hAnsi="Arial" w:cs="Arial"/>
                <w:b/>
                <w:bCs/>
              </w:rPr>
            </w:pPr>
            <w:r w:rsidRPr="00DB33A0">
              <w:rPr>
                <w:rFonts w:ascii="Arial" w:hAnsi="Arial" w:cs="Arial"/>
                <w:b/>
                <w:bCs/>
              </w:rPr>
              <w:t>Group</w:t>
            </w:r>
          </w:p>
        </w:tc>
        <w:tc>
          <w:tcPr>
            <w:tcW w:w="0" w:type="auto"/>
            <w:tcBorders>
              <w:top w:val="single" w:sz="4" w:space="0" w:color="auto"/>
              <w:bottom w:val="single" w:sz="4" w:space="0" w:color="auto"/>
            </w:tcBorders>
            <w:vAlign w:val="center"/>
            <w:hideMark/>
          </w:tcPr>
          <w:p w:rsidR="00DB33A0" w:rsidRPr="00DB33A0" w:rsidRDefault="00DB33A0" w:rsidP="00DB33A0">
            <w:pPr>
              <w:pStyle w:val="Body"/>
              <w:rPr>
                <w:rFonts w:ascii="Arial" w:hAnsi="Arial" w:cs="Arial"/>
                <w:b/>
                <w:bCs/>
              </w:rPr>
            </w:pPr>
            <w:r w:rsidRPr="00DB33A0">
              <w:rPr>
                <w:rFonts w:ascii="Arial" w:hAnsi="Arial" w:cs="Arial"/>
                <w:b/>
                <w:bCs/>
              </w:rPr>
              <w:t>Treatment</w:t>
            </w:r>
          </w:p>
        </w:tc>
        <w:tc>
          <w:tcPr>
            <w:tcW w:w="0" w:type="auto"/>
            <w:tcBorders>
              <w:top w:val="single" w:sz="4" w:space="0" w:color="auto"/>
              <w:bottom w:val="single" w:sz="4" w:space="0" w:color="auto"/>
            </w:tcBorders>
            <w:vAlign w:val="center"/>
            <w:hideMark/>
          </w:tcPr>
          <w:p w:rsidR="00DB33A0" w:rsidRPr="00DB33A0" w:rsidRDefault="00DB33A0" w:rsidP="00DB33A0">
            <w:pPr>
              <w:pStyle w:val="Body"/>
              <w:rPr>
                <w:rFonts w:ascii="Arial" w:hAnsi="Arial" w:cs="Arial"/>
                <w:b/>
                <w:bCs/>
              </w:rPr>
            </w:pPr>
            <w:r w:rsidRPr="00DB33A0">
              <w:rPr>
                <w:rFonts w:ascii="Arial" w:hAnsi="Arial" w:cs="Arial"/>
                <w:b/>
                <w:bCs/>
              </w:rPr>
              <w:t>Description</w:t>
            </w:r>
          </w:p>
        </w:tc>
      </w:tr>
      <w:tr w:rsidR="00F20E71" w:rsidRPr="00B024AE" w:rsidTr="00B024AE">
        <w:trPr>
          <w:tblCellSpacing w:w="15" w:type="dxa"/>
        </w:trPr>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1</w:t>
            </w:r>
          </w:p>
        </w:tc>
        <w:tc>
          <w:tcPr>
            <w:tcW w:w="0" w:type="auto"/>
            <w:vAlign w:val="center"/>
            <w:hideMark/>
          </w:tcPr>
          <w:p w:rsidR="00DB33A0" w:rsidRPr="00DB33A0" w:rsidRDefault="00DB33A0" w:rsidP="00DB33A0">
            <w:pPr>
              <w:pStyle w:val="Body"/>
              <w:rPr>
                <w:rFonts w:ascii="Arial" w:hAnsi="Arial" w:cs="Arial"/>
              </w:rPr>
            </w:pPr>
            <w:r w:rsidRPr="00DB33A0">
              <w:rPr>
                <w:rFonts w:ascii="Arial" w:hAnsi="Arial" w:cs="Arial"/>
              </w:rPr>
              <w:t>Normal Control</w:t>
            </w:r>
          </w:p>
        </w:tc>
        <w:tc>
          <w:tcPr>
            <w:tcW w:w="0" w:type="auto"/>
            <w:vAlign w:val="center"/>
            <w:hideMark/>
          </w:tcPr>
          <w:p w:rsidR="00DB33A0" w:rsidRPr="00DB33A0" w:rsidRDefault="00DB33A0" w:rsidP="00DB33A0">
            <w:pPr>
              <w:pStyle w:val="Body"/>
              <w:rPr>
                <w:rFonts w:ascii="Arial" w:hAnsi="Arial" w:cs="Arial"/>
              </w:rPr>
            </w:pPr>
            <w:r w:rsidRPr="00DB33A0">
              <w:rPr>
                <w:rFonts w:ascii="Arial" w:hAnsi="Arial" w:cs="Arial"/>
              </w:rPr>
              <w:t>Received distilled water</w:t>
            </w:r>
          </w:p>
        </w:tc>
      </w:tr>
      <w:tr w:rsidR="00F20E71" w:rsidRPr="00B024AE" w:rsidTr="00B024AE">
        <w:trPr>
          <w:tblCellSpacing w:w="15" w:type="dxa"/>
        </w:trPr>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lastRenderedPageBreak/>
              <w:t>2</w:t>
            </w:r>
          </w:p>
        </w:tc>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Negative</w:t>
            </w:r>
            <w:r w:rsidR="00DB33A0" w:rsidRPr="00DB33A0">
              <w:rPr>
                <w:rFonts w:ascii="Arial" w:hAnsi="Arial" w:cs="Arial"/>
              </w:rPr>
              <w:t xml:space="preserve"> Control</w:t>
            </w:r>
          </w:p>
        </w:tc>
        <w:tc>
          <w:tcPr>
            <w:tcW w:w="0" w:type="auto"/>
            <w:vAlign w:val="center"/>
            <w:hideMark/>
          </w:tcPr>
          <w:p w:rsidR="00DB33A0" w:rsidRPr="00DB33A0" w:rsidRDefault="00DB33A0" w:rsidP="00DB33A0">
            <w:pPr>
              <w:pStyle w:val="Body"/>
              <w:rPr>
                <w:rFonts w:ascii="Arial" w:hAnsi="Arial" w:cs="Arial"/>
              </w:rPr>
            </w:pPr>
            <w:r w:rsidRPr="00DB33A0">
              <w:rPr>
                <w:rFonts w:ascii="Arial" w:hAnsi="Arial" w:cs="Arial"/>
              </w:rPr>
              <w:t xml:space="preserve">Received 0.1 mL of </w:t>
            </w:r>
            <w:r w:rsidR="003F775B" w:rsidRPr="00B024AE">
              <w:rPr>
                <w:rFonts w:ascii="Arial" w:hAnsi="Arial" w:cs="Arial"/>
              </w:rPr>
              <w:t>0.5</w:t>
            </w:r>
            <w:r w:rsidRPr="00DB33A0">
              <w:rPr>
                <w:rFonts w:ascii="Arial" w:hAnsi="Arial" w:cs="Arial"/>
              </w:rPr>
              <w:t xml:space="preserve">% formalin injected </w:t>
            </w:r>
            <w:proofErr w:type="spellStart"/>
            <w:r w:rsidRPr="00DB33A0">
              <w:rPr>
                <w:rFonts w:ascii="Arial" w:hAnsi="Arial" w:cs="Arial"/>
              </w:rPr>
              <w:t>subplantarly</w:t>
            </w:r>
            <w:proofErr w:type="spellEnd"/>
            <w:r w:rsidRPr="00DB33A0">
              <w:rPr>
                <w:rFonts w:ascii="Arial" w:hAnsi="Arial" w:cs="Arial"/>
              </w:rPr>
              <w:t xml:space="preserve"> to induce inflammation</w:t>
            </w:r>
            <w:r w:rsidR="00F20E71" w:rsidRPr="00B024AE">
              <w:rPr>
                <w:rFonts w:ascii="Arial" w:hAnsi="Arial" w:cs="Arial"/>
              </w:rPr>
              <w:t xml:space="preserve"> without treatment</w:t>
            </w:r>
          </w:p>
        </w:tc>
      </w:tr>
      <w:tr w:rsidR="00F20E71" w:rsidRPr="00B024AE" w:rsidTr="00B024AE">
        <w:trPr>
          <w:tblCellSpacing w:w="15" w:type="dxa"/>
        </w:trPr>
        <w:tc>
          <w:tcPr>
            <w:tcW w:w="0" w:type="auto"/>
            <w:vAlign w:val="center"/>
          </w:tcPr>
          <w:p w:rsidR="00F20E71" w:rsidRPr="00B024AE" w:rsidRDefault="00F20E71" w:rsidP="00DB33A0">
            <w:pPr>
              <w:pStyle w:val="Body"/>
              <w:rPr>
                <w:rFonts w:ascii="Arial" w:hAnsi="Arial" w:cs="Arial"/>
              </w:rPr>
            </w:pPr>
            <w:r w:rsidRPr="00B024AE">
              <w:rPr>
                <w:rFonts w:ascii="Arial" w:hAnsi="Arial" w:cs="Arial"/>
              </w:rPr>
              <w:t>3</w:t>
            </w:r>
          </w:p>
        </w:tc>
        <w:tc>
          <w:tcPr>
            <w:tcW w:w="0" w:type="auto"/>
            <w:vAlign w:val="center"/>
          </w:tcPr>
          <w:p w:rsidR="00F20E71" w:rsidRPr="00B024AE" w:rsidRDefault="00F20E71" w:rsidP="00F20E71">
            <w:pPr>
              <w:pStyle w:val="Body"/>
              <w:spacing w:line="276" w:lineRule="auto"/>
              <w:rPr>
                <w:rFonts w:ascii="Arial" w:hAnsi="Arial" w:cs="Arial"/>
              </w:rPr>
            </w:pPr>
            <w:r w:rsidRPr="00B024AE">
              <w:rPr>
                <w:rFonts w:ascii="Arial" w:hAnsi="Arial" w:cs="Arial"/>
              </w:rPr>
              <w:t>Standard Control</w:t>
            </w:r>
          </w:p>
        </w:tc>
        <w:tc>
          <w:tcPr>
            <w:tcW w:w="0" w:type="auto"/>
            <w:vAlign w:val="center"/>
          </w:tcPr>
          <w:p w:rsidR="00F20E71" w:rsidRPr="00B024AE" w:rsidRDefault="00F20E71" w:rsidP="00B024AE">
            <w:pPr>
              <w:spacing w:line="276" w:lineRule="auto"/>
              <w:ind w:left="37" w:hanging="37"/>
              <w:rPr>
                <w:rFonts w:ascii="Arial" w:eastAsia="Calibri" w:hAnsi="Arial" w:cs="Arial"/>
              </w:rPr>
            </w:pPr>
            <w:r w:rsidRPr="00B024AE">
              <w:rPr>
                <w:rFonts w:ascii="Arial" w:eastAsia="Calibri" w:hAnsi="Arial" w:cs="Arial"/>
              </w:rPr>
              <w:t>Formalin-induced inflammation in albino rats treated with 300mg/kg of aspirin once daily</w:t>
            </w:r>
          </w:p>
        </w:tc>
      </w:tr>
      <w:tr w:rsidR="00F20E71" w:rsidRPr="00B024AE" w:rsidTr="00B024AE">
        <w:trPr>
          <w:tblCellSpacing w:w="15" w:type="dxa"/>
        </w:trPr>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4</w:t>
            </w:r>
          </w:p>
        </w:tc>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T1</w:t>
            </w:r>
            <w:r w:rsidR="00DB33A0" w:rsidRPr="00DB33A0">
              <w:rPr>
                <w:rFonts w:ascii="Arial" w:hAnsi="Arial" w:cs="Arial"/>
              </w:rPr>
              <w:t>-Treated</w:t>
            </w:r>
          </w:p>
        </w:tc>
        <w:tc>
          <w:tcPr>
            <w:tcW w:w="0" w:type="auto"/>
            <w:vAlign w:val="center"/>
            <w:hideMark/>
          </w:tcPr>
          <w:p w:rsidR="00DB33A0" w:rsidRPr="00DB33A0" w:rsidRDefault="00BB5EB6" w:rsidP="00DB33A0">
            <w:pPr>
              <w:pStyle w:val="Body"/>
              <w:rPr>
                <w:rFonts w:ascii="Arial" w:hAnsi="Arial" w:cs="Arial"/>
              </w:rPr>
            </w:pPr>
            <w:r>
              <w:rPr>
                <w:rFonts w:ascii="Arial" w:eastAsia="Calibri" w:hAnsi="Arial" w:cs="Arial"/>
              </w:rPr>
              <w:t>Formalin-induced</w:t>
            </w:r>
            <w:r w:rsidRPr="00B024AE">
              <w:rPr>
                <w:rFonts w:ascii="Arial" w:eastAsia="Calibri" w:hAnsi="Arial" w:cs="Arial"/>
              </w:rPr>
              <w:t xml:space="preserve"> inflammation in albino rats + 200 mg/kg </w:t>
            </w:r>
            <w:proofErr w:type="spellStart"/>
            <w:r w:rsidRPr="00B024AE">
              <w:rPr>
                <w:rFonts w:ascii="Arial" w:eastAsia="Calibri" w:hAnsi="Arial" w:cs="Arial"/>
              </w:rPr>
              <w:t>b.</w:t>
            </w:r>
            <w:r>
              <w:rPr>
                <w:rFonts w:ascii="Arial" w:eastAsia="Calibri" w:hAnsi="Arial" w:cs="Arial"/>
              </w:rPr>
              <w:t>w</w:t>
            </w:r>
            <w:proofErr w:type="spellEnd"/>
            <w:r w:rsidR="00F20E71" w:rsidRPr="00B024AE">
              <w:rPr>
                <w:rFonts w:ascii="Arial" w:eastAsia="Calibri" w:hAnsi="Arial" w:cs="Arial"/>
              </w:rPr>
              <w:t xml:space="preserve"> of Crude of </w:t>
            </w:r>
            <w:proofErr w:type="spellStart"/>
            <w:r w:rsidR="00F20E71" w:rsidRPr="00B024AE">
              <w:rPr>
                <w:rFonts w:ascii="Arial" w:eastAsia="Calibri" w:hAnsi="Arial" w:cs="Arial"/>
                <w:i/>
              </w:rPr>
              <w:t>Zapoteca</w:t>
            </w:r>
            <w:proofErr w:type="spellEnd"/>
            <w:r w:rsidR="00F20E71" w:rsidRPr="00B024AE">
              <w:rPr>
                <w:rFonts w:ascii="Arial" w:eastAsia="Calibri" w:hAnsi="Arial" w:cs="Arial"/>
                <w:i/>
              </w:rPr>
              <w:t xml:space="preserve"> </w:t>
            </w:r>
            <w:proofErr w:type="spellStart"/>
            <w:r w:rsidR="00F20E71" w:rsidRPr="00B024AE">
              <w:rPr>
                <w:rFonts w:ascii="Arial" w:eastAsia="Calibri" w:hAnsi="Arial" w:cs="Arial"/>
                <w:i/>
              </w:rPr>
              <w:t>portorecensis</w:t>
            </w:r>
            <w:proofErr w:type="spellEnd"/>
            <w:r w:rsidR="00F20E71" w:rsidRPr="00B024AE">
              <w:rPr>
                <w:rFonts w:ascii="Arial" w:eastAsia="Calibri" w:hAnsi="Arial" w:cs="Arial"/>
              </w:rPr>
              <w:t xml:space="preserve"> Leaf Extract once daily</w:t>
            </w:r>
          </w:p>
        </w:tc>
      </w:tr>
      <w:tr w:rsidR="00F20E71" w:rsidRPr="00B024AE" w:rsidTr="00B024AE">
        <w:trPr>
          <w:tblCellSpacing w:w="15" w:type="dxa"/>
        </w:trPr>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5</w:t>
            </w:r>
          </w:p>
        </w:tc>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T2</w:t>
            </w:r>
            <w:r w:rsidR="00DB33A0" w:rsidRPr="00DB33A0">
              <w:rPr>
                <w:rFonts w:ascii="Arial" w:hAnsi="Arial" w:cs="Arial"/>
              </w:rPr>
              <w:t>-Treated</w:t>
            </w:r>
          </w:p>
        </w:tc>
        <w:tc>
          <w:tcPr>
            <w:tcW w:w="0" w:type="auto"/>
            <w:vAlign w:val="center"/>
            <w:hideMark/>
          </w:tcPr>
          <w:p w:rsidR="00DB33A0" w:rsidRPr="00DB33A0" w:rsidRDefault="00BB5EB6" w:rsidP="00DB33A0">
            <w:pPr>
              <w:pStyle w:val="Body"/>
              <w:rPr>
                <w:rFonts w:ascii="Arial" w:hAnsi="Arial" w:cs="Arial"/>
              </w:rPr>
            </w:pPr>
            <w:r>
              <w:rPr>
                <w:rFonts w:ascii="Arial" w:eastAsia="Calibri" w:hAnsi="Arial" w:cs="Arial"/>
              </w:rPr>
              <w:t>Formalin-induced</w:t>
            </w:r>
            <w:r w:rsidR="00B024AE" w:rsidRPr="00B024AE">
              <w:rPr>
                <w:rFonts w:ascii="Arial" w:eastAsia="Calibri" w:hAnsi="Arial" w:cs="Arial"/>
              </w:rPr>
              <w:t xml:space="preserve"> inflammation in albino rats + 200 mg/kg </w:t>
            </w:r>
            <w:proofErr w:type="spellStart"/>
            <w:r w:rsidR="00B024AE" w:rsidRPr="00B024AE">
              <w:rPr>
                <w:rFonts w:ascii="Arial" w:eastAsia="Calibri" w:hAnsi="Arial" w:cs="Arial"/>
              </w:rPr>
              <w:t>b.w.</w:t>
            </w:r>
            <w:proofErr w:type="spellEnd"/>
            <w:r w:rsidR="00B024AE" w:rsidRPr="00B024AE">
              <w:rPr>
                <w:rFonts w:ascii="Arial" w:eastAsia="Calibri" w:hAnsi="Arial" w:cs="Arial"/>
              </w:rPr>
              <w:t xml:space="preserve"> of n-hexane fraction of </w:t>
            </w:r>
            <w:proofErr w:type="spellStart"/>
            <w:r w:rsidR="00B024AE" w:rsidRPr="00B024AE">
              <w:rPr>
                <w:rFonts w:ascii="Arial" w:eastAsia="Calibri" w:hAnsi="Arial" w:cs="Arial"/>
                <w:i/>
              </w:rPr>
              <w:t>Zapoteca</w:t>
            </w:r>
            <w:proofErr w:type="spellEnd"/>
            <w:r w:rsidR="00B024AE" w:rsidRPr="00B024AE">
              <w:rPr>
                <w:rFonts w:ascii="Arial" w:eastAsia="Calibri" w:hAnsi="Arial" w:cs="Arial"/>
                <w:i/>
              </w:rPr>
              <w:t xml:space="preserve"> </w:t>
            </w:r>
            <w:proofErr w:type="spellStart"/>
            <w:r w:rsidR="00B024AE" w:rsidRPr="00B024AE">
              <w:rPr>
                <w:rFonts w:ascii="Arial" w:eastAsia="Calibri" w:hAnsi="Arial" w:cs="Arial"/>
                <w:i/>
              </w:rPr>
              <w:t>portorecensis</w:t>
            </w:r>
            <w:proofErr w:type="spellEnd"/>
            <w:r w:rsidR="00B024AE" w:rsidRPr="00B024AE">
              <w:rPr>
                <w:rFonts w:ascii="Arial" w:eastAsia="Calibri" w:hAnsi="Arial" w:cs="Arial"/>
              </w:rPr>
              <w:t xml:space="preserve"> Leaf Extract once daily</w:t>
            </w:r>
          </w:p>
        </w:tc>
      </w:tr>
      <w:tr w:rsidR="00F20E71" w:rsidRPr="00B024AE" w:rsidTr="00B024AE">
        <w:trPr>
          <w:tblCellSpacing w:w="15" w:type="dxa"/>
        </w:trPr>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6</w:t>
            </w:r>
          </w:p>
        </w:tc>
        <w:tc>
          <w:tcPr>
            <w:tcW w:w="0" w:type="auto"/>
            <w:vAlign w:val="center"/>
            <w:hideMark/>
          </w:tcPr>
          <w:p w:rsidR="00DB33A0" w:rsidRPr="00DB33A0" w:rsidRDefault="00F20E71" w:rsidP="00DB33A0">
            <w:pPr>
              <w:pStyle w:val="Body"/>
              <w:rPr>
                <w:rFonts w:ascii="Arial" w:hAnsi="Arial" w:cs="Arial"/>
              </w:rPr>
            </w:pPr>
            <w:r w:rsidRPr="00B024AE">
              <w:rPr>
                <w:rFonts w:ascii="Arial" w:hAnsi="Arial" w:cs="Arial"/>
              </w:rPr>
              <w:t>T3</w:t>
            </w:r>
            <w:r w:rsidR="00DB33A0" w:rsidRPr="00DB33A0">
              <w:rPr>
                <w:rFonts w:ascii="Arial" w:hAnsi="Arial" w:cs="Arial"/>
              </w:rPr>
              <w:t>-Treated</w:t>
            </w:r>
          </w:p>
        </w:tc>
        <w:tc>
          <w:tcPr>
            <w:tcW w:w="0" w:type="auto"/>
            <w:vAlign w:val="center"/>
            <w:hideMark/>
          </w:tcPr>
          <w:p w:rsidR="00DB33A0" w:rsidRPr="00DB33A0" w:rsidRDefault="00BB5EB6" w:rsidP="00DB33A0">
            <w:pPr>
              <w:pStyle w:val="Body"/>
              <w:rPr>
                <w:rFonts w:ascii="Arial" w:hAnsi="Arial" w:cs="Arial"/>
              </w:rPr>
            </w:pPr>
            <w:r>
              <w:rPr>
                <w:rFonts w:ascii="Arial" w:eastAsia="Calibri" w:hAnsi="Arial" w:cs="Arial"/>
              </w:rPr>
              <w:t>Formalin-induced</w:t>
            </w:r>
            <w:r w:rsidR="00B024AE" w:rsidRPr="00B024AE">
              <w:rPr>
                <w:rFonts w:ascii="Arial" w:eastAsia="Calibri" w:hAnsi="Arial" w:cs="Arial"/>
              </w:rPr>
              <w:t xml:space="preserve"> inflammation in albino rats + 200 mg/kg </w:t>
            </w:r>
            <w:proofErr w:type="spellStart"/>
            <w:r w:rsidR="00B024AE" w:rsidRPr="00B024AE">
              <w:rPr>
                <w:rFonts w:ascii="Arial" w:eastAsia="Calibri" w:hAnsi="Arial" w:cs="Arial"/>
              </w:rPr>
              <w:t>b.w.</w:t>
            </w:r>
            <w:proofErr w:type="spellEnd"/>
            <w:r w:rsidR="00B024AE" w:rsidRPr="00B024AE">
              <w:rPr>
                <w:rFonts w:ascii="Arial" w:eastAsia="Calibri" w:hAnsi="Arial" w:cs="Arial"/>
              </w:rPr>
              <w:t xml:space="preserve"> of ethanol fraction of </w:t>
            </w:r>
            <w:proofErr w:type="spellStart"/>
            <w:r w:rsidR="00B024AE" w:rsidRPr="00B024AE">
              <w:rPr>
                <w:rFonts w:ascii="Arial" w:eastAsia="Calibri" w:hAnsi="Arial" w:cs="Arial"/>
                <w:i/>
              </w:rPr>
              <w:t>Zapoteca</w:t>
            </w:r>
            <w:proofErr w:type="spellEnd"/>
            <w:r w:rsidR="00B024AE" w:rsidRPr="00B024AE">
              <w:rPr>
                <w:rFonts w:ascii="Arial" w:eastAsia="Calibri" w:hAnsi="Arial" w:cs="Arial"/>
                <w:i/>
              </w:rPr>
              <w:t xml:space="preserve"> </w:t>
            </w:r>
            <w:proofErr w:type="spellStart"/>
            <w:r w:rsidR="00B024AE" w:rsidRPr="00B024AE">
              <w:rPr>
                <w:rFonts w:ascii="Arial" w:eastAsia="Calibri" w:hAnsi="Arial" w:cs="Arial"/>
                <w:i/>
              </w:rPr>
              <w:t>portorecensis</w:t>
            </w:r>
            <w:proofErr w:type="spellEnd"/>
            <w:r w:rsidR="00B024AE" w:rsidRPr="00B024AE">
              <w:rPr>
                <w:rFonts w:ascii="Arial" w:eastAsia="Calibri" w:hAnsi="Arial" w:cs="Arial"/>
              </w:rPr>
              <w:t xml:space="preserve"> Leaf Extract once daily</w:t>
            </w:r>
          </w:p>
        </w:tc>
      </w:tr>
    </w:tbl>
    <w:p w:rsidR="00DB33A0" w:rsidRPr="00DB33A0" w:rsidRDefault="00DB33A0" w:rsidP="00DB33A0">
      <w:pPr>
        <w:pStyle w:val="Body"/>
        <w:spacing w:after="0"/>
        <w:rPr>
          <w:rFonts w:ascii="Arial" w:hAnsi="Arial" w:cs="Arial"/>
        </w:rPr>
      </w:pPr>
      <w:r w:rsidRPr="00DB33A0">
        <w:rPr>
          <w:rFonts w:ascii="Arial" w:hAnsi="Arial" w:cs="Arial"/>
        </w:rPr>
        <w:t xml:space="preserve">The selected dose (200 mg/kg) was based on previous reports indicating safety and pharmacological activity (Adebayo </w:t>
      </w:r>
      <w:r w:rsidRPr="00DB33A0">
        <w:rPr>
          <w:rFonts w:ascii="Arial" w:hAnsi="Arial" w:cs="Arial"/>
          <w:i/>
          <w:iCs/>
        </w:rPr>
        <w:t>et al.,</w:t>
      </w:r>
      <w:r w:rsidRPr="00DB33A0">
        <w:rPr>
          <w:rFonts w:ascii="Arial" w:hAnsi="Arial" w:cs="Arial"/>
        </w:rPr>
        <w:t xml:space="preserve"> 2011; Orji </w:t>
      </w:r>
      <w:r w:rsidRPr="00DB33A0">
        <w:rPr>
          <w:rFonts w:ascii="Arial" w:hAnsi="Arial" w:cs="Arial"/>
          <w:i/>
          <w:iCs/>
        </w:rPr>
        <w:t>et al.,</w:t>
      </w:r>
      <w:r w:rsidRPr="00DB33A0">
        <w:rPr>
          <w:rFonts w:ascii="Arial" w:hAnsi="Arial" w:cs="Arial"/>
        </w:rPr>
        <w:t xml:space="preserve"> 2024). Treatments were administered orally once daily for 14 days. Formalin-induced inflammation was established on day 10 by injecting 0.1 mL of 2% formalin into the right hind paw of each rat (except the normal control), following the method described by Mansour </w:t>
      </w:r>
      <w:r w:rsidRPr="00DB33A0">
        <w:rPr>
          <w:rFonts w:ascii="Arial" w:hAnsi="Arial" w:cs="Arial"/>
          <w:i/>
          <w:iCs/>
        </w:rPr>
        <w:t>et al.</w:t>
      </w:r>
      <w:r w:rsidRPr="00DB33A0">
        <w:rPr>
          <w:rFonts w:ascii="Arial" w:hAnsi="Arial" w:cs="Arial"/>
        </w:rPr>
        <w:t xml:space="preserve"> (2022). The animals were observed daily for behavioral and physical signs of inflammation and toxicity.</w:t>
      </w:r>
    </w:p>
    <w:p w:rsidR="00DB33A0" w:rsidRPr="00DB33A0" w:rsidRDefault="00DB33A0" w:rsidP="00DB33A0">
      <w:pPr>
        <w:pStyle w:val="Body"/>
        <w:rPr>
          <w:rFonts w:ascii="Arial" w:hAnsi="Arial" w:cs="Arial"/>
        </w:rPr>
      </w:pPr>
    </w:p>
    <w:p w:rsidR="00DB33A0" w:rsidRPr="00DB33A0" w:rsidRDefault="00F76A1B" w:rsidP="00DB33A0">
      <w:pPr>
        <w:pStyle w:val="Body"/>
        <w:spacing w:after="0"/>
        <w:rPr>
          <w:rFonts w:ascii="Arial" w:hAnsi="Arial" w:cs="Arial"/>
          <w:b/>
          <w:bCs/>
          <w:sz w:val="22"/>
          <w:szCs w:val="22"/>
        </w:rPr>
      </w:pPr>
      <w:r w:rsidRPr="00BB5EB6">
        <w:rPr>
          <w:rFonts w:ascii="Arial" w:hAnsi="Arial" w:cs="Arial"/>
          <w:b/>
          <w:bCs/>
          <w:sz w:val="22"/>
          <w:szCs w:val="22"/>
        </w:rPr>
        <w:t>2.</w:t>
      </w:r>
      <w:r w:rsidR="00DB33A0" w:rsidRPr="00DB33A0">
        <w:rPr>
          <w:rFonts w:ascii="Arial" w:hAnsi="Arial" w:cs="Arial"/>
          <w:b/>
          <w:bCs/>
          <w:sz w:val="22"/>
          <w:szCs w:val="22"/>
        </w:rPr>
        <w:t>4. Sample Collection</w:t>
      </w:r>
    </w:p>
    <w:p w:rsidR="00DB33A0" w:rsidRPr="00DB33A0" w:rsidRDefault="00DB33A0" w:rsidP="00DB33A0">
      <w:pPr>
        <w:pStyle w:val="Body"/>
        <w:spacing w:after="0"/>
        <w:rPr>
          <w:rFonts w:ascii="Arial" w:hAnsi="Arial" w:cs="Arial"/>
        </w:rPr>
      </w:pPr>
      <w:r w:rsidRPr="00DB33A0">
        <w:rPr>
          <w:rFonts w:ascii="Arial" w:hAnsi="Arial" w:cs="Arial"/>
        </w:rPr>
        <w:t xml:space="preserve">Twenty-four hours after the final treatment, animals were fasted overnight and anesthetized lightly with </w:t>
      </w:r>
      <w:r w:rsidR="00B024AE">
        <w:rPr>
          <w:rFonts w:ascii="Arial" w:hAnsi="Arial" w:cs="Arial"/>
        </w:rPr>
        <w:t>chloroform</w:t>
      </w:r>
      <w:r w:rsidRPr="00DB33A0">
        <w:rPr>
          <w:rFonts w:ascii="Arial" w:hAnsi="Arial" w:cs="Arial"/>
        </w:rPr>
        <w:t>. Blood samples were collected by cardiac puncture into plain centrifuge tubes, allowed to clot at room temperature, and centrifuged at 3000 rpm for 10 minutes to obtain clear serum. The serum was stored at −20 °C until biochemical analyses. The liver was excised, rinsed in cold saline, blotted dry, and preserved in 10% formalin for histopathological examination.</w:t>
      </w:r>
    </w:p>
    <w:p w:rsidR="00DB33A0" w:rsidRPr="00DB33A0" w:rsidRDefault="00DB33A0" w:rsidP="00DB33A0">
      <w:pPr>
        <w:pStyle w:val="Body"/>
        <w:rPr>
          <w:rFonts w:ascii="Arial" w:hAnsi="Arial" w:cs="Arial"/>
        </w:rPr>
      </w:pPr>
    </w:p>
    <w:p w:rsidR="00DB33A0" w:rsidRPr="00DB33A0" w:rsidRDefault="00F76A1B" w:rsidP="00DB33A0">
      <w:pPr>
        <w:pStyle w:val="Body"/>
        <w:spacing w:after="0"/>
        <w:rPr>
          <w:rFonts w:ascii="Arial" w:hAnsi="Arial" w:cs="Arial"/>
          <w:b/>
          <w:bCs/>
          <w:sz w:val="22"/>
          <w:szCs w:val="22"/>
        </w:rPr>
      </w:pPr>
      <w:r w:rsidRPr="00BB5EB6">
        <w:rPr>
          <w:rFonts w:ascii="Arial" w:hAnsi="Arial" w:cs="Arial"/>
          <w:b/>
          <w:bCs/>
          <w:sz w:val="22"/>
          <w:szCs w:val="22"/>
        </w:rPr>
        <w:t>2.</w:t>
      </w:r>
      <w:r w:rsidR="00DB33A0" w:rsidRPr="00DB33A0">
        <w:rPr>
          <w:rFonts w:ascii="Arial" w:hAnsi="Arial" w:cs="Arial"/>
          <w:b/>
          <w:bCs/>
          <w:sz w:val="22"/>
          <w:szCs w:val="22"/>
        </w:rPr>
        <w:t>5. Determination of Liver Function Biomarkers</w:t>
      </w:r>
    </w:p>
    <w:p w:rsidR="00DB33A0" w:rsidRDefault="00DB33A0" w:rsidP="00DB33A0">
      <w:pPr>
        <w:pStyle w:val="Body"/>
        <w:spacing w:after="0"/>
        <w:rPr>
          <w:rFonts w:ascii="Arial" w:hAnsi="Arial" w:cs="Arial"/>
        </w:rPr>
      </w:pPr>
      <w:r w:rsidRPr="00DB33A0">
        <w:rPr>
          <w:rFonts w:ascii="Arial" w:hAnsi="Arial" w:cs="Arial"/>
        </w:rPr>
        <w:t>Serum biochemical parameters were analyzed using standardized enzymatic methods and commercially available diagnostic kits (Randox Laboratories Ltd., UK):</w:t>
      </w:r>
    </w:p>
    <w:p w:rsidR="00BB5EB6" w:rsidRPr="00DB33A0" w:rsidRDefault="00BB5EB6" w:rsidP="00DB33A0">
      <w:pPr>
        <w:pStyle w:val="Body"/>
        <w:spacing w:after="0"/>
        <w:rPr>
          <w:rFonts w:ascii="Arial" w:hAnsi="Arial" w:cs="Arial"/>
        </w:rPr>
      </w:pPr>
    </w:p>
    <w:p w:rsidR="00DB33A0" w:rsidRPr="00DB33A0" w:rsidRDefault="00DB33A0" w:rsidP="00BB5EB6">
      <w:pPr>
        <w:pStyle w:val="Body"/>
        <w:numPr>
          <w:ilvl w:val="2"/>
          <w:numId w:val="33"/>
        </w:numPr>
        <w:spacing w:after="0"/>
        <w:rPr>
          <w:rFonts w:ascii="Arial" w:hAnsi="Arial" w:cs="Arial"/>
        </w:rPr>
      </w:pPr>
      <w:r w:rsidRPr="00DB33A0">
        <w:rPr>
          <w:rFonts w:ascii="Arial" w:hAnsi="Arial" w:cs="Arial"/>
          <w:b/>
          <w:bCs/>
        </w:rPr>
        <w:t>Alanine aminotransferase (ALT)</w:t>
      </w:r>
      <w:r w:rsidRPr="00DB33A0">
        <w:rPr>
          <w:rFonts w:ascii="Arial" w:hAnsi="Arial" w:cs="Arial"/>
        </w:rPr>
        <w:t xml:space="preserve"> and </w:t>
      </w:r>
      <w:r w:rsidRPr="00DB33A0">
        <w:rPr>
          <w:rFonts w:ascii="Arial" w:hAnsi="Arial" w:cs="Arial"/>
          <w:b/>
          <w:bCs/>
        </w:rPr>
        <w:t>Aspartate aminotransferase (AST)</w:t>
      </w:r>
      <w:r w:rsidRPr="00DB33A0">
        <w:rPr>
          <w:rFonts w:ascii="Arial" w:hAnsi="Arial" w:cs="Arial"/>
        </w:rPr>
        <w:t xml:space="preserve"> activities were determined using the colorimetric method of Reitman and Frankel (1957).</w:t>
      </w:r>
    </w:p>
    <w:p w:rsidR="00DB33A0" w:rsidRDefault="00DB33A0" w:rsidP="00BB5EB6">
      <w:pPr>
        <w:pStyle w:val="Body"/>
        <w:numPr>
          <w:ilvl w:val="2"/>
          <w:numId w:val="33"/>
        </w:numPr>
        <w:spacing w:after="0"/>
        <w:rPr>
          <w:rFonts w:ascii="Arial" w:hAnsi="Arial" w:cs="Arial"/>
        </w:rPr>
      </w:pPr>
      <w:r w:rsidRPr="00DB33A0">
        <w:rPr>
          <w:rFonts w:ascii="Arial" w:hAnsi="Arial" w:cs="Arial"/>
          <w:b/>
          <w:bCs/>
        </w:rPr>
        <w:t>Alkaline phosphatase (ALP)</w:t>
      </w:r>
      <w:r w:rsidRPr="00DB33A0">
        <w:rPr>
          <w:rFonts w:ascii="Arial" w:hAnsi="Arial" w:cs="Arial"/>
        </w:rPr>
        <w:t xml:space="preserve"> activity was measured according to the method of </w:t>
      </w:r>
      <w:r w:rsidR="006A62D1" w:rsidRPr="006A62D1">
        <w:rPr>
          <w:rFonts w:ascii="Arial" w:hAnsi="Arial" w:cs="Arial"/>
          <w:lang w:val="en-GB" w:eastAsia="en-GB"/>
        </w:rPr>
        <w:t>Englehardt (1970)</w:t>
      </w:r>
      <w:r w:rsidRPr="00DB33A0">
        <w:rPr>
          <w:rFonts w:ascii="Arial" w:hAnsi="Arial" w:cs="Arial"/>
        </w:rPr>
        <w:t>.</w:t>
      </w:r>
    </w:p>
    <w:p w:rsidR="006A62D1" w:rsidRPr="00BB5EB6" w:rsidRDefault="006A62D1" w:rsidP="00BB5EB6">
      <w:pPr>
        <w:pStyle w:val="ListParagraph"/>
        <w:numPr>
          <w:ilvl w:val="2"/>
          <w:numId w:val="33"/>
        </w:numPr>
        <w:autoSpaceDE w:val="0"/>
        <w:autoSpaceDN w:val="0"/>
        <w:adjustRightInd w:val="0"/>
        <w:spacing w:line="276" w:lineRule="auto"/>
        <w:jc w:val="both"/>
        <w:rPr>
          <w:rFonts w:ascii="Arial" w:hAnsi="Arial" w:cs="Arial"/>
          <w:b/>
          <w:bCs/>
          <w:lang w:val="en-GB" w:eastAsia="en-GB"/>
        </w:rPr>
      </w:pPr>
      <w:r w:rsidRPr="00BB5EB6">
        <w:rPr>
          <w:rFonts w:ascii="Arial" w:hAnsi="Arial" w:cs="Arial"/>
          <w:b/>
          <w:bCs/>
          <w:lang w:val="en-GB" w:eastAsia="en-GB"/>
        </w:rPr>
        <w:t>Assay of Aspartate Aminotransferase (AST) Activity</w:t>
      </w:r>
      <w:r w:rsidR="00F76A1B" w:rsidRPr="00BB5EB6">
        <w:rPr>
          <w:rFonts w:ascii="Arial" w:hAnsi="Arial" w:cs="Arial"/>
          <w:b/>
          <w:bCs/>
          <w:lang w:val="en-GB" w:eastAsia="en-GB"/>
        </w:rPr>
        <w:t xml:space="preserve"> </w:t>
      </w:r>
      <w:r w:rsidR="00F76A1B" w:rsidRPr="00BB5EB6">
        <w:rPr>
          <w:rFonts w:ascii="Arial" w:hAnsi="Arial" w:cs="Arial"/>
          <w:bCs/>
          <w:lang w:val="en-GB" w:eastAsia="en-GB"/>
        </w:rPr>
        <w:t>was</w:t>
      </w:r>
      <w:r w:rsidRPr="00BB5EB6">
        <w:rPr>
          <w:rFonts w:ascii="Arial" w:hAnsi="Arial" w:cs="Arial"/>
          <w:bCs/>
          <w:lang w:val="en-GB" w:eastAsia="en-GB"/>
        </w:rPr>
        <w:t xml:space="preserve"> assayed using the method of Fawcett and Scott (1960).</w:t>
      </w:r>
    </w:p>
    <w:p w:rsidR="00DB33A0" w:rsidRPr="00DB33A0" w:rsidRDefault="00DB33A0" w:rsidP="00BB5EB6">
      <w:pPr>
        <w:pStyle w:val="Body"/>
        <w:numPr>
          <w:ilvl w:val="2"/>
          <w:numId w:val="33"/>
        </w:numPr>
        <w:spacing w:after="0"/>
        <w:rPr>
          <w:rFonts w:ascii="Arial" w:hAnsi="Arial" w:cs="Arial"/>
        </w:rPr>
      </w:pPr>
      <w:r w:rsidRPr="00DB33A0">
        <w:rPr>
          <w:rFonts w:ascii="Arial" w:hAnsi="Arial" w:cs="Arial"/>
          <w:b/>
          <w:bCs/>
        </w:rPr>
        <w:t>Total bilirubin (TB)</w:t>
      </w:r>
      <w:r w:rsidRPr="00DB33A0">
        <w:rPr>
          <w:rFonts w:ascii="Arial" w:hAnsi="Arial" w:cs="Arial"/>
        </w:rPr>
        <w:t xml:space="preserve"> and </w:t>
      </w:r>
      <w:r w:rsidR="00F76A1B">
        <w:rPr>
          <w:rFonts w:ascii="Arial" w:hAnsi="Arial" w:cs="Arial"/>
          <w:b/>
          <w:bCs/>
        </w:rPr>
        <w:t>Direct</w:t>
      </w:r>
      <w:r w:rsidRPr="00DB33A0">
        <w:rPr>
          <w:rFonts w:ascii="Arial" w:hAnsi="Arial" w:cs="Arial"/>
          <w:b/>
          <w:bCs/>
        </w:rPr>
        <w:t xml:space="preserve"> bilirubin (</w:t>
      </w:r>
      <w:r w:rsidR="00F76A1B">
        <w:rPr>
          <w:rFonts w:ascii="Arial" w:hAnsi="Arial" w:cs="Arial"/>
          <w:b/>
          <w:bCs/>
        </w:rPr>
        <w:t>D</w:t>
      </w:r>
      <w:r w:rsidRPr="00DB33A0">
        <w:rPr>
          <w:rFonts w:ascii="Arial" w:hAnsi="Arial" w:cs="Arial"/>
          <w:b/>
          <w:bCs/>
        </w:rPr>
        <w:t>B)</w:t>
      </w:r>
      <w:r w:rsidRPr="00DB33A0">
        <w:rPr>
          <w:rFonts w:ascii="Arial" w:hAnsi="Arial" w:cs="Arial"/>
        </w:rPr>
        <w:t xml:space="preserve"> levels were quantified following </w:t>
      </w:r>
      <w:proofErr w:type="spellStart"/>
      <w:r w:rsidR="00F76A1B" w:rsidRPr="00F76A1B">
        <w:rPr>
          <w:rFonts w:ascii="Arial" w:hAnsi="Arial" w:cs="Arial"/>
          <w:lang w:val="en-GB" w:eastAsia="en-GB"/>
        </w:rPr>
        <w:t>Limdi</w:t>
      </w:r>
      <w:proofErr w:type="spellEnd"/>
      <w:r w:rsidR="00F76A1B" w:rsidRPr="00F76A1B">
        <w:rPr>
          <w:rFonts w:ascii="Arial" w:hAnsi="Arial" w:cs="Arial"/>
          <w:lang w:val="en-GB" w:eastAsia="en-GB"/>
        </w:rPr>
        <w:t xml:space="preserve"> and Hyde (2003)</w:t>
      </w:r>
      <w:r w:rsidRPr="00DB33A0">
        <w:rPr>
          <w:rFonts w:ascii="Arial" w:hAnsi="Arial" w:cs="Arial"/>
        </w:rPr>
        <w:t>.</w:t>
      </w:r>
    </w:p>
    <w:p w:rsidR="00DB33A0" w:rsidRPr="00DB33A0" w:rsidRDefault="00DB33A0" w:rsidP="00BB5EB6">
      <w:pPr>
        <w:pStyle w:val="Body"/>
        <w:numPr>
          <w:ilvl w:val="2"/>
          <w:numId w:val="33"/>
        </w:numPr>
        <w:spacing w:after="0"/>
        <w:rPr>
          <w:rFonts w:ascii="Arial" w:hAnsi="Arial" w:cs="Arial"/>
        </w:rPr>
      </w:pPr>
      <w:r w:rsidRPr="00DB33A0">
        <w:rPr>
          <w:rFonts w:ascii="Arial" w:hAnsi="Arial" w:cs="Arial"/>
          <w:b/>
          <w:bCs/>
        </w:rPr>
        <w:t>Total protein (TP)</w:t>
      </w:r>
      <w:r w:rsidRPr="00DB33A0">
        <w:rPr>
          <w:rFonts w:ascii="Arial" w:hAnsi="Arial" w:cs="Arial"/>
        </w:rPr>
        <w:t xml:space="preserve"> concentration was estimated using the Biuret method (Gornall </w:t>
      </w:r>
      <w:r w:rsidRPr="00DB33A0">
        <w:rPr>
          <w:rFonts w:ascii="Arial" w:hAnsi="Arial" w:cs="Arial"/>
          <w:i/>
          <w:iCs/>
        </w:rPr>
        <w:t>et al.,</w:t>
      </w:r>
      <w:r w:rsidRPr="00DB33A0">
        <w:rPr>
          <w:rFonts w:ascii="Arial" w:hAnsi="Arial" w:cs="Arial"/>
        </w:rPr>
        <w:t xml:space="preserve"> 1949).</w:t>
      </w:r>
    </w:p>
    <w:p w:rsidR="00DB33A0" w:rsidRPr="00DB33A0" w:rsidRDefault="00DB33A0" w:rsidP="00BB5EB6">
      <w:pPr>
        <w:pStyle w:val="Body"/>
        <w:numPr>
          <w:ilvl w:val="2"/>
          <w:numId w:val="33"/>
        </w:numPr>
        <w:spacing w:after="0"/>
        <w:rPr>
          <w:rFonts w:ascii="Arial" w:hAnsi="Arial" w:cs="Arial"/>
        </w:rPr>
      </w:pPr>
      <w:r w:rsidRPr="00DB33A0">
        <w:rPr>
          <w:rFonts w:ascii="Arial" w:hAnsi="Arial" w:cs="Arial"/>
          <w:b/>
          <w:bCs/>
        </w:rPr>
        <w:lastRenderedPageBreak/>
        <w:t>Albumin (ALB)</w:t>
      </w:r>
      <w:r w:rsidRPr="00DB33A0">
        <w:rPr>
          <w:rFonts w:ascii="Arial" w:hAnsi="Arial" w:cs="Arial"/>
        </w:rPr>
        <w:t xml:space="preserve"> was determined by the bromocresol green dye-binding method (Doumas </w:t>
      </w:r>
      <w:r w:rsidRPr="00DB33A0">
        <w:rPr>
          <w:rFonts w:ascii="Arial" w:hAnsi="Arial" w:cs="Arial"/>
          <w:i/>
          <w:iCs/>
        </w:rPr>
        <w:t>et al.,</w:t>
      </w:r>
      <w:r w:rsidRPr="00DB33A0">
        <w:rPr>
          <w:rFonts w:ascii="Arial" w:hAnsi="Arial" w:cs="Arial"/>
        </w:rPr>
        <w:t xml:space="preserve"> 1971).</w:t>
      </w:r>
    </w:p>
    <w:p w:rsidR="00DB33A0" w:rsidRDefault="00DB33A0" w:rsidP="00BF3B75">
      <w:pPr>
        <w:pStyle w:val="Body"/>
        <w:spacing w:after="0"/>
        <w:rPr>
          <w:rFonts w:ascii="Arial" w:hAnsi="Arial" w:cs="Arial"/>
        </w:rPr>
      </w:pPr>
      <w:r w:rsidRPr="00DB33A0">
        <w:rPr>
          <w:rFonts w:ascii="Arial" w:hAnsi="Arial" w:cs="Arial"/>
        </w:rPr>
        <w:t>All analyses were conducted according to the manufacturers’ protocols, and absorbances were read using a UV–visible spectrophotometer (Shimadzu UV-1800, Japan).</w:t>
      </w:r>
    </w:p>
    <w:p w:rsidR="00BF3B75" w:rsidRPr="00DB33A0" w:rsidRDefault="00BF3B75" w:rsidP="00BF3B75">
      <w:pPr>
        <w:pStyle w:val="Body"/>
        <w:spacing w:after="0"/>
        <w:rPr>
          <w:rFonts w:ascii="Arial" w:hAnsi="Arial" w:cs="Arial"/>
        </w:rPr>
      </w:pPr>
    </w:p>
    <w:p w:rsidR="00DB33A0" w:rsidRPr="00DB33A0" w:rsidRDefault="00F76A1B" w:rsidP="00DB33A0">
      <w:pPr>
        <w:pStyle w:val="Body"/>
        <w:spacing w:after="0"/>
        <w:rPr>
          <w:rFonts w:ascii="Arial" w:hAnsi="Arial" w:cs="Arial"/>
          <w:b/>
          <w:bCs/>
        </w:rPr>
      </w:pPr>
      <w:r>
        <w:rPr>
          <w:rFonts w:ascii="Arial" w:hAnsi="Arial" w:cs="Arial"/>
          <w:b/>
          <w:bCs/>
        </w:rPr>
        <w:t>2.</w:t>
      </w:r>
      <w:r w:rsidR="00BF3B75">
        <w:rPr>
          <w:rFonts w:ascii="Arial" w:hAnsi="Arial" w:cs="Arial"/>
          <w:b/>
          <w:bCs/>
        </w:rPr>
        <w:t>6</w:t>
      </w:r>
      <w:r w:rsidR="00DB33A0" w:rsidRPr="00DB33A0">
        <w:rPr>
          <w:rFonts w:ascii="Arial" w:hAnsi="Arial" w:cs="Arial"/>
          <w:b/>
          <w:bCs/>
        </w:rPr>
        <w:t>. Statistical Analysis</w:t>
      </w:r>
    </w:p>
    <w:p w:rsidR="00F76A1B" w:rsidRPr="00F76A1B" w:rsidRDefault="00F76A1B" w:rsidP="00F76A1B">
      <w:pPr>
        <w:spacing w:line="276" w:lineRule="auto"/>
        <w:jc w:val="both"/>
        <w:rPr>
          <w:rFonts w:ascii="Arial" w:eastAsia="Calibri" w:hAnsi="Arial" w:cs="Arial"/>
        </w:rPr>
      </w:pPr>
      <w:r w:rsidRPr="00F76A1B">
        <w:rPr>
          <w:rFonts w:ascii="Arial" w:eastAsia="Calibri" w:hAnsi="Arial" w:cs="Arial"/>
        </w:rPr>
        <w:t xml:space="preserve">Data analysis was performed using R software (4.5.1; R Foundation for Statistical Computing, Vienna, Austria). Results are presented as mean ± standard deviation (SD). Comparisons among groups were evaluated using one-way analysis of variance (ANOVA), followed by Tukey’s post hoc test for multiple comparisons. A </w:t>
      </w:r>
      <w:r w:rsidR="00BB5EB6" w:rsidRPr="00BB5EB6">
        <w:rPr>
          <w:rFonts w:ascii="Arial" w:eastAsia="Calibri" w:hAnsi="Arial" w:cs="Arial"/>
          <w:i/>
          <w:iCs/>
        </w:rPr>
        <w:t>p</w:t>
      </w:r>
      <w:r w:rsidR="00BB5EB6">
        <w:rPr>
          <w:rFonts w:ascii="Arial" w:eastAsia="Calibri" w:hAnsi="Arial" w:cs="Arial"/>
        </w:rPr>
        <w:t>-value</w:t>
      </w:r>
      <w:r w:rsidRPr="00F76A1B">
        <w:rPr>
          <w:rFonts w:ascii="Arial" w:eastAsia="Calibri" w:hAnsi="Arial" w:cs="Arial"/>
        </w:rPr>
        <w:t xml:space="preserve"> of &lt; 0.05 was considered statistically significant.</w:t>
      </w:r>
    </w:p>
    <w:p w:rsidR="00790ADA" w:rsidRPr="00FB3A86" w:rsidRDefault="00790ADA"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1A6287" w:rsidRPr="001A6287" w:rsidRDefault="001A6287" w:rsidP="001A6287">
      <w:pPr>
        <w:spacing w:line="276" w:lineRule="auto"/>
        <w:jc w:val="both"/>
        <w:rPr>
          <w:rFonts w:ascii="Arial" w:eastAsia="Calibri" w:hAnsi="Arial" w:cs="Arial"/>
          <w:b/>
        </w:rPr>
      </w:pPr>
      <w:r>
        <w:rPr>
          <w:rFonts w:ascii="Arial" w:hAnsi="Arial" w:cs="Arial"/>
          <w:b/>
          <w:lang w:val="en-GB" w:eastAsia="en-GB"/>
        </w:rPr>
        <w:t xml:space="preserve">Table 2. </w:t>
      </w:r>
      <w:r w:rsidRPr="001A6287">
        <w:rPr>
          <w:rFonts w:ascii="Arial" w:hAnsi="Arial" w:cs="Arial"/>
          <w:b/>
          <w:lang w:val="en-GB" w:eastAsia="en-GB"/>
        </w:rPr>
        <w:t>Effect of</w:t>
      </w:r>
      <w:r w:rsidRPr="001A6287">
        <w:rPr>
          <w:rFonts w:ascii="Arial" w:hAnsi="Arial" w:cs="Arial"/>
          <w:b/>
          <w:i/>
          <w:shd w:val="clear" w:color="auto" w:fill="FFFFFF"/>
        </w:rPr>
        <w:t xml:space="preserve"> </w:t>
      </w:r>
      <w:proofErr w:type="spellStart"/>
      <w:r w:rsidRPr="001A6287">
        <w:rPr>
          <w:rFonts w:ascii="Arial" w:hAnsi="Arial" w:cs="Arial"/>
          <w:b/>
          <w:bCs/>
          <w:i/>
          <w:iCs/>
          <w:lang w:val="en-GB" w:eastAsia="en-GB"/>
        </w:rPr>
        <w:t>Zapoteca</w:t>
      </w:r>
      <w:proofErr w:type="spellEnd"/>
      <w:r w:rsidRPr="001A6287">
        <w:rPr>
          <w:rFonts w:ascii="Arial" w:hAnsi="Arial" w:cs="Arial"/>
          <w:b/>
          <w:i/>
          <w:iCs/>
          <w:lang w:val="en-GB" w:eastAsia="en-GB"/>
        </w:rPr>
        <w:t xml:space="preserve"> </w:t>
      </w:r>
      <w:proofErr w:type="spellStart"/>
      <w:r w:rsidRPr="001A6287">
        <w:rPr>
          <w:rFonts w:ascii="Arial" w:hAnsi="Arial" w:cs="Arial"/>
          <w:b/>
          <w:i/>
          <w:lang w:val="en-GB" w:eastAsia="en-GB"/>
        </w:rPr>
        <w:t>portorecensis</w:t>
      </w:r>
      <w:proofErr w:type="spellEnd"/>
      <w:r w:rsidRPr="001A6287">
        <w:rPr>
          <w:rFonts w:ascii="Arial" w:hAnsi="Arial" w:cs="Arial"/>
          <w:b/>
          <w:iCs/>
          <w:lang w:val="en-GB" w:eastAsia="en-GB"/>
        </w:rPr>
        <w:t xml:space="preserve"> </w:t>
      </w:r>
      <w:r w:rsidRPr="001A6287">
        <w:rPr>
          <w:rFonts w:ascii="Arial" w:hAnsi="Arial" w:cs="Arial"/>
          <w:b/>
          <w:shd w:val="clear" w:color="auto" w:fill="FFFFFF"/>
        </w:rPr>
        <w:t>Crude Extract, n-Hexane and Ethanol Fraction</w:t>
      </w:r>
      <w:r w:rsidRPr="001A6287">
        <w:rPr>
          <w:rFonts w:ascii="Arial" w:hAnsi="Arial" w:cs="Arial"/>
          <w:b/>
          <w:i/>
          <w:lang w:val="en-GB" w:eastAsia="en-GB"/>
        </w:rPr>
        <w:t xml:space="preserve"> </w:t>
      </w:r>
      <w:r w:rsidRPr="001A6287">
        <w:rPr>
          <w:rFonts w:ascii="Arial" w:hAnsi="Arial" w:cs="Arial"/>
          <w:b/>
          <w:lang w:val="en-GB" w:eastAsia="en-GB"/>
        </w:rPr>
        <w:t xml:space="preserve">on the </w:t>
      </w:r>
      <w:r w:rsidRPr="001A6287">
        <w:rPr>
          <w:rFonts w:ascii="Arial" w:hAnsi="Arial" w:cs="Arial"/>
          <w:b/>
          <w:bCs/>
          <w:color w:val="000000"/>
          <w:lang w:val="en-GB"/>
        </w:rPr>
        <w:t xml:space="preserve">Liver </w:t>
      </w:r>
      <w:r>
        <w:rPr>
          <w:rFonts w:ascii="Arial" w:hAnsi="Arial" w:cs="Arial"/>
          <w:b/>
          <w:bCs/>
          <w:color w:val="000000"/>
          <w:lang w:val="en-GB"/>
        </w:rPr>
        <w:t>Function</w:t>
      </w:r>
      <w:r w:rsidRPr="001A6287">
        <w:rPr>
          <w:rFonts w:ascii="Arial" w:hAnsi="Arial" w:cs="Arial"/>
          <w:b/>
          <w:bCs/>
          <w:color w:val="000000"/>
          <w:lang w:val="en-GB"/>
        </w:rPr>
        <w:t xml:space="preserve"> Markers</w:t>
      </w:r>
      <w:r w:rsidRPr="001A6287">
        <w:rPr>
          <w:rFonts w:ascii="Arial" w:hAnsi="Arial" w:cs="Arial"/>
          <w:b/>
          <w:lang w:val="en-GB" w:eastAsia="en-GB"/>
        </w:rPr>
        <w:t xml:space="preserve"> of </w:t>
      </w:r>
      <w:r>
        <w:rPr>
          <w:rFonts w:ascii="Arial" w:eastAsia="Calibri" w:hAnsi="Arial" w:cs="Arial"/>
          <w:b/>
        </w:rPr>
        <w:t>formalin-induced</w:t>
      </w:r>
      <w:r w:rsidRPr="001A6287">
        <w:rPr>
          <w:rFonts w:ascii="Arial" w:eastAsia="Calibri" w:hAnsi="Arial" w:cs="Arial"/>
          <w:b/>
        </w:rPr>
        <w:t xml:space="preserve"> inflammation in albino rats</w:t>
      </w:r>
    </w:p>
    <w:tbl>
      <w:tblPr>
        <w:tblpPr w:leftFromText="180" w:rightFromText="180" w:vertAnchor="page" w:horzAnchor="margin" w:tblpXSpec="center" w:tblpY="6839"/>
        <w:tblW w:w="11458" w:type="dxa"/>
        <w:tblBorders>
          <w:top w:val="single" w:sz="4" w:space="0" w:color="auto"/>
          <w:bottom w:val="single" w:sz="4" w:space="0" w:color="auto"/>
        </w:tblBorders>
        <w:tblLook w:val="04A0" w:firstRow="1" w:lastRow="0" w:firstColumn="1" w:lastColumn="0" w:noHBand="0" w:noVBand="1"/>
      </w:tblPr>
      <w:tblGrid>
        <w:gridCol w:w="1200"/>
        <w:gridCol w:w="1428"/>
        <w:gridCol w:w="1428"/>
        <w:gridCol w:w="1428"/>
        <w:gridCol w:w="1559"/>
        <w:gridCol w:w="1559"/>
        <w:gridCol w:w="1428"/>
        <w:gridCol w:w="1428"/>
      </w:tblGrid>
      <w:tr w:rsidR="00BF3B75" w:rsidRPr="005B25E7" w:rsidTr="00BF3B75">
        <w:trPr>
          <w:trHeight w:val="300"/>
        </w:trPr>
        <w:tc>
          <w:tcPr>
            <w:tcW w:w="1200" w:type="dxa"/>
            <w:tcBorders>
              <w:top w:val="single" w:sz="4" w:space="0" w:color="auto"/>
              <w:bottom w:val="single" w:sz="4" w:space="0" w:color="auto"/>
            </w:tcBorders>
            <w:noWrap/>
            <w:vAlign w:val="bottom"/>
            <w:hideMark/>
          </w:tcPr>
          <w:p w:rsidR="00BF3B75" w:rsidRPr="005B25E7" w:rsidRDefault="00BF3B75" w:rsidP="00BF3B75">
            <w:pPr>
              <w:spacing w:line="480" w:lineRule="auto"/>
              <w:rPr>
                <w:rFonts w:ascii="Times New Roman" w:hAnsi="Times New Roman"/>
                <w:b/>
                <w:bCs/>
                <w:sz w:val="24"/>
                <w:szCs w:val="24"/>
              </w:rPr>
            </w:pPr>
            <w:r w:rsidRPr="00653214">
              <w:rPr>
                <w:rFonts w:ascii="Times New Roman" w:hAnsi="Times New Roman"/>
                <w:b/>
                <w:bCs/>
                <w:sz w:val="24"/>
                <w:szCs w:val="24"/>
              </w:rPr>
              <w:t>Groups</w:t>
            </w:r>
          </w:p>
        </w:tc>
        <w:tc>
          <w:tcPr>
            <w:tcW w:w="1428" w:type="dxa"/>
            <w:tcBorders>
              <w:top w:val="single" w:sz="4" w:space="0" w:color="auto"/>
              <w:bottom w:val="single" w:sz="4" w:space="0" w:color="auto"/>
            </w:tcBorders>
            <w:noWrap/>
            <w:vAlign w:val="bottom"/>
            <w:hideMark/>
          </w:tcPr>
          <w:p w:rsidR="00BF3B75" w:rsidRPr="005B25E7" w:rsidRDefault="00BF3B75" w:rsidP="00BF3B75">
            <w:pPr>
              <w:spacing w:line="480" w:lineRule="auto"/>
              <w:rPr>
                <w:rFonts w:ascii="Times New Roman" w:hAnsi="Times New Roman"/>
                <w:b/>
                <w:bCs/>
                <w:color w:val="000000"/>
                <w:sz w:val="24"/>
                <w:szCs w:val="24"/>
              </w:rPr>
            </w:pPr>
            <w:r w:rsidRPr="005B25E7">
              <w:rPr>
                <w:rFonts w:ascii="Times New Roman" w:hAnsi="Times New Roman"/>
                <w:b/>
                <w:bCs/>
                <w:color w:val="000000"/>
                <w:sz w:val="24"/>
                <w:szCs w:val="24"/>
              </w:rPr>
              <w:t>ALT (U/L)</w:t>
            </w:r>
          </w:p>
        </w:tc>
        <w:tc>
          <w:tcPr>
            <w:tcW w:w="1428" w:type="dxa"/>
            <w:tcBorders>
              <w:top w:val="single" w:sz="4" w:space="0" w:color="auto"/>
              <w:bottom w:val="single" w:sz="4" w:space="0" w:color="auto"/>
            </w:tcBorders>
            <w:noWrap/>
            <w:vAlign w:val="bottom"/>
            <w:hideMark/>
          </w:tcPr>
          <w:p w:rsidR="00BF3B75" w:rsidRPr="005B25E7" w:rsidRDefault="00BF3B75" w:rsidP="00BF3B75">
            <w:pPr>
              <w:spacing w:line="480" w:lineRule="auto"/>
              <w:rPr>
                <w:rFonts w:ascii="Times New Roman" w:hAnsi="Times New Roman"/>
                <w:b/>
                <w:bCs/>
                <w:color w:val="000000"/>
                <w:sz w:val="24"/>
                <w:szCs w:val="24"/>
              </w:rPr>
            </w:pPr>
            <w:r w:rsidRPr="005B25E7">
              <w:rPr>
                <w:rFonts w:ascii="Times New Roman" w:hAnsi="Times New Roman"/>
                <w:b/>
                <w:bCs/>
                <w:color w:val="000000"/>
                <w:sz w:val="24"/>
                <w:szCs w:val="24"/>
              </w:rPr>
              <w:t>AST (U/L)</w:t>
            </w:r>
          </w:p>
        </w:tc>
        <w:tc>
          <w:tcPr>
            <w:tcW w:w="1428" w:type="dxa"/>
            <w:tcBorders>
              <w:top w:val="single" w:sz="4" w:space="0" w:color="auto"/>
              <w:bottom w:val="single" w:sz="4" w:space="0" w:color="auto"/>
            </w:tcBorders>
            <w:noWrap/>
            <w:vAlign w:val="bottom"/>
            <w:hideMark/>
          </w:tcPr>
          <w:p w:rsidR="00BF3B75" w:rsidRPr="005B25E7" w:rsidRDefault="00BF3B75" w:rsidP="00BF3B75">
            <w:pPr>
              <w:spacing w:line="480" w:lineRule="auto"/>
              <w:rPr>
                <w:rFonts w:ascii="Times New Roman" w:hAnsi="Times New Roman"/>
                <w:b/>
                <w:bCs/>
                <w:color w:val="000000"/>
                <w:sz w:val="24"/>
                <w:szCs w:val="24"/>
              </w:rPr>
            </w:pPr>
            <w:r w:rsidRPr="005B25E7">
              <w:rPr>
                <w:rFonts w:ascii="Times New Roman" w:hAnsi="Times New Roman"/>
                <w:b/>
                <w:bCs/>
                <w:color w:val="000000"/>
                <w:sz w:val="24"/>
                <w:szCs w:val="24"/>
              </w:rPr>
              <w:t>ALP (U/L)</w:t>
            </w:r>
          </w:p>
        </w:tc>
        <w:tc>
          <w:tcPr>
            <w:tcW w:w="1559" w:type="dxa"/>
            <w:tcBorders>
              <w:top w:val="single" w:sz="4" w:space="0" w:color="auto"/>
              <w:bottom w:val="single" w:sz="4" w:space="0" w:color="auto"/>
            </w:tcBorders>
            <w:noWrap/>
            <w:vAlign w:val="bottom"/>
            <w:hideMark/>
          </w:tcPr>
          <w:p w:rsidR="00BF3B75" w:rsidRPr="005B25E7" w:rsidRDefault="00BF3B75" w:rsidP="00BF3B75">
            <w:pPr>
              <w:spacing w:line="480" w:lineRule="auto"/>
              <w:rPr>
                <w:rFonts w:ascii="Times New Roman" w:hAnsi="Times New Roman"/>
                <w:b/>
                <w:bCs/>
                <w:color w:val="000000"/>
                <w:sz w:val="24"/>
                <w:szCs w:val="24"/>
              </w:rPr>
            </w:pPr>
            <w:proofErr w:type="spellStart"/>
            <w:r w:rsidRPr="005B25E7">
              <w:rPr>
                <w:rFonts w:ascii="Times New Roman" w:hAnsi="Times New Roman"/>
                <w:b/>
                <w:bCs/>
                <w:color w:val="000000"/>
                <w:sz w:val="24"/>
                <w:szCs w:val="24"/>
              </w:rPr>
              <w:t>Tbil</w:t>
            </w:r>
            <w:proofErr w:type="spellEnd"/>
            <w:r w:rsidRPr="005B25E7">
              <w:rPr>
                <w:rFonts w:ascii="Times New Roman" w:hAnsi="Times New Roman"/>
                <w:b/>
                <w:bCs/>
                <w:color w:val="000000"/>
                <w:sz w:val="24"/>
                <w:szCs w:val="24"/>
              </w:rPr>
              <w:t xml:space="preserve"> (mg/dl)</w:t>
            </w:r>
          </w:p>
        </w:tc>
        <w:tc>
          <w:tcPr>
            <w:tcW w:w="1559" w:type="dxa"/>
            <w:tcBorders>
              <w:top w:val="single" w:sz="4" w:space="0" w:color="auto"/>
              <w:bottom w:val="single" w:sz="4" w:space="0" w:color="auto"/>
            </w:tcBorders>
            <w:noWrap/>
            <w:vAlign w:val="bottom"/>
            <w:hideMark/>
          </w:tcPr>
          <w:p w:rsidR="00BF3B75" w:rsidRPr="005B25E7" w:rsidRDefault="00BF3B75" w:rsidP="00BF3B75">
            <w:pPr>
              <w:spacing w:line="480" w:lineRule="auto"/>
              <w:rPr>
                <w:rFonts w:ascii="Times New Roman" w:hAnsi="Times New Roman"/>
                <w:b/>
                <w:bCs/>
                <w:color w:val="000000"/>
                <w:sz w:val="24"/>
                <w:szCs w:val="24"/>
              </w:rPr>
            </w:pPr>
            <w:proofErr w:type="spellStart"/>
            <w:r w:rsidRPr="005B25E7">
              <w:rPr>
                <w:rFonts w:ascii="Times New Roman" w:hAnsi="Times New Roman"/>
                <w:b/>
                <w:bCs/>
                <w:color w:val="000000"/>
                <w:sz w:val="24"/>
                <w:szCs w:val="24"/>
              </w:rPr>
              <w:t>Dbil</w:t>
            </w:r>
            <w:proofErr w:type="spellEnd"/>
            <w:r w:rsidRPr="005B25E7">
              <w:rPr>
                <w:rFonts w:ascii="Times New Roman" w:hAnsi="Times New Roman"/>
                <w:b/>
                <w:bCs/>
                <w:color w:val="000000"/>
                <w:sz w:val="24"/>
                <w:szCs w:val="24"/>
              </w:rPr>
              <w:t xml:space="preserve"> (mg/dl)</w:t>
            </w:r>
          </w:p>
        </w:tc>
        <w:tc>
          <w:tcPr>
            <w:tcW w:w="1428" w:type="dxa"/>
            <w:tcBorders>
              <w:top w:val="single" w:sz="4" w:space="0" w:color="auto"/>
              <w:bottom w:val="single" w:sz="4" w:space="0" w:color="auto"/>
            </w:tcBorders>
            <w:noWrap/>
            <w:vAlign w:val="bottom"/>
            <w:hideMark/>
          </w:tcPr>
          <w:p w:rsidR="00BF3B75" w:rsidRPr="001A6287" w:rsidRDefault="00BF3B75" w:rsidP="00BF3B75">
            <w:pPr>
              <w:spacing w:line="480" w:lineRule="auto"/>
              <w:rPr>
                <w:rFonts w:ascii="Times New Roman" w:hAnsi="Times New Roman"/>
                <w:b/>
                <w:bCs/>
                <w:sz w:val="24"/>
                <w:szCs w:val="24"/>
              </w:rPr>
            </w:pPr>
            <w:r w:rsidRPr="001A6287">
              <w:rPr>
                <w:rFonts w:ascii="Times New Roman" w:hAnsi="Times New Roman"/>
                <w:b/>
                <w:bCs/>
                <w:sz w:val="24"/>
                <w:szCs w:val="24"/>
              </w:rPr>
              <w:t>ALB(g/dl)</w:t>
            </w:r>
          </w:p>
        </w:tc>
        <w:tc>
          <w:tcPr>
            <w:tcW w:w="1428" w:type="dxa"/>
            <w:tcBorders>
              <w:top w:val="single" w:sz="4" w:space="0" w:color="auto"/>
              <w:bottom w:val="single" w:sz="4" w:space="0" w:color="auto"/>
            </w:tcBorders>
            <w:noWrap/>
            <w:vAlign w:val="bottom"/>
            <w:hideMark/>
          </w:tcPr>
          <w:p w:rsidR="00BF3B75" w:rsidRPr="005B25E7" w:rsidRDefault="00BF3B75" w:rsidP="00BF3B75">
            <w:pPr>
              <w:spacing w:line="480" w:lineRule="auto"/>
              <w:rPr>
                <w:rFonts w:ascii="Times New Roman" w:hAnsi="Times New Roman"/>
                <w:b/>
                <w:bCs/>
                <w:color w:val="000000"/>
                <w:sz w:val="24"/>
                <w:szCs w:val="24"/>
              </w:rPr>
            </w:pPr>
            <w:r w:rsidRPr="005B25E7">
              <w:rPr>
                <w:rFonts w:ascii="Times New Roman" w:hAnsi="Times New Roman"/>
                <w:b/>
                <w:bCs/>
                <w:color w:val="000000"/>
                <w:sz w:val="24"/>
                <w:szCs w:val="24"/>
              </w:rPr>
              <w:t>TP (g/dl)</w:t>
            </w:r>
          </w:p>
        </w:tc>
      </w:tr>
      <w:tr w:rsidR="00BF3B75" w:rsidRPr="005B25E7" w:rsidTr="00BF3B75">
        <w:trPr>
          <w:trHeight w:val="300"/>
        </w:trPr>
        <w:tc>
          <w:tcPr>
            <w:tcW w:w="1200" w:type="dxa"/>
            <w:tcBorders>
              <w:top w:val="single" w:sz="4" w:space="0" w:color="auto"/>
            </w:tcBorders>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NC</w:t>
            </w:r>
          </w:p>
        </w:tc>
        <w:tc>
          <w:tcPr>
            <w:tcW w:w="1428" w:type="dxa"/>
            <w:tcBorders>
              <w:top w:val="single" w:sz="4" w:space="0" w:color="auto"/>
            </w:tcBorders>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53.33±16.65</w:t>
            </w:r>
          </w:p>
        </w:tc>
        <w:tc>
          <w:tcPr>
            <w:tcW w:w="1428" w:type="dxa"/>
            <w:tcBorders>
              <w:top w:val="single" w:sz="4" w:space="0" w:color="auto"/>
            </w:tcBorders>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47.93±14.93</w:t>
            </w:r>
          </w:p>
        </w:tc>
        <w:tc>
          <w:tcPr>
            <w:tcW w:w="1428" w:type="dxa"/>
            <w:tcBorders>
              <w:top w:val="single" w:sz="4" w:space="0" w:color="auto"/>
            </w:tcBorders>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64.58±17.28</w:t>
            </w:r>
          </w:p>
        </w:tc>
        <w:tc>
          <w:tcPr>
            <w:tcW w:w="1559" w:type="dxa"/>
            <w:tcBorders>
              <w:top w:val="single" w:sz="4" w:space="0" w:color="auto"/>
            </w:tcBorders>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0.89±0.19</w:t>
            </w:r>
          </w:p>
        </w:tc>
        <w:tc>
          <w:tcPr>
            <w:tcW w:w="1559" w:type="dxa"/>
            <w:tcBorders>
              <w:top w:val="single" w:sz="4" w:space="0" w:color="auto"/>
            </w:tcBorders>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0.15±0.28</w:t>
            </w:r>
          </w:p>
        </w:tc>
        <w:tc>
          <w:tcPr>
            <w:tcW w:w="1428" w:type="dxa"/>
            <w:tcBorders>
              <w:top w:val="single" w:sz="4" w:space="0" w:color="auto"/>
            </w:tcBorders>
            <w:noWrap/>
            <w:vAlign w:val="bottom"/>
            <w:hideMark/>
          </w:tcPr>
          <w:p w:rsidR="00BF3B75" w:rsidRPr="001A6287" w:rsidRDefault="00BF3B75" w:rsidP="00BF3B75">
            <w:pPr>
              <w:spacing w:line="480" w:lineRule="auto"/>
              <w:rPr>
                <w:rFonts w:ascii="Times New Roman" w:hAnsi="Times New Roman"/>
                <w:sz w:val="24"/>
                <w:szCs w:val="24"/>
              </w:rPr>
            </w:pPr>
            <w:r w:rsidRPr="001A6287">
              <w:rPr>
                <w:rFonts w:ascii="Times New Roman" w:hAnsi="Times New Roman"/>
                <w:sz w:val="24"/>
                <w:szCs w:val="24"/>
              </w:rPr>
              <w:t>17.55±5.28</w:t>
            </w:r>
          </w:p>
        </w:tc>
        <w:tc>
          <w:tcPr>
            <w:tcW w:w="1428" w:type="dxa"/>
            <w:tcBorders>
              <w:top w:val="single" w:sz="4" w:space="0" w:color="auto"/>
            </w:tcBorders>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30.28±7.79</w:t>
            </w:r>
          </w:p>
        </w:tc>
      </w:tr>
      <w:tr w:rsidR="00BF3B75" w:rsidRPr="005B25E7" w:rsidTr="00BF3B75">
        <w:trPr>
          <w:trHeight w:val="300"/>
        </w:trPr>
        <w:tc>
          <w:tcPr>
            <w:tcW w:w="1200"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NOR</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31.96±42.22</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36.34±18.22</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51.52±8.67</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1.27±0.69</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0.10±0.22</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32.58±8.29</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54.94±15.18</w:t>
            </w:r>
          </w:p>
        </w:tc>
      </w:tr>
      <w:tr w:rsidR="00BF3B75" w:rsidRPr="005B25E7" w:rsidTr="00BF3B75">
        <w:trPr>
          <w:trHeight w:val="300"/>
        </w:trPr>
        <w:tc>
          <w:tcPr>
            <w:tcW w:w="1200"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SC</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45.74±17.88</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45.42±14.80</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59.60±14.34</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1.17±0.56</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0.14±0.23</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30.44±13.51</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51.72±21.46</w:t>
            </w:r>
          </w:p>
        </w:tc>
      </w:tr>
      <w:tr w:rsidR="00BF3B75" w:rsidRPr="005B25E7" w:rsidTr="00BF3B75">
        <w:trPr>
          <w:trHeight w:val="300"/>
        </w:trPr>
        <w:tc>
          <w:tcPr>
            <w:tcW w:w="1200"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T1</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34.55±23.77</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39.18±19.13</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60.20±22.37</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1.06±0.07</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0.38±0.23</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31.33±7.33</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51.13±12.96</w:t>
            </w:r>
          </w:p>
        </w:tc>
      </w:tr>
      <w:tr w:rsidR="00BF3B75" w:rsidRPr="005B25E7" w:rsidTr="00BF3B75">
        <w:trPr>
          <w:trHeight w:val="300"/>
        </w:trPr>
        <w:tc>
          <w:tcPr>
            <w:tcW w:w="1200"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T2</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50.82±30.33</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44.16±18.91</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63.66±17.19</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0.85±0.48</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0.24±0.48</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44.02±7.24</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72.86±8.00</w:t>
            </w:r>
          </w:p>
        </w:tc>
      </w:tr>
      <w:tr w:rsidR="00BF3B75" w:rsidRPr="005B25E7" w:rsidTr="00BF3B75">
        <w:trPr>
          <w:trHeight w:val="350"/>
        </w:trPr>
        <w:tc>
          <w:tcPr>
            <w:tcW w:w="1200"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T3</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52.25±15.55</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48.80±19.34</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59.65±15.98</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1.11±0.90</w:t>
            </w:r>
          </w:p>
        </w:tc>
        <w:tc>
          <w:tcPr>
            <w:tcW w:w="1559"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0.31±0.36</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35.45±8.04</w:t>
            </w:r>
          </w:p>
        </w:tc>
        <w:tc>
          <w:tcPr>
            <w:tcW w:w="1428" w:type="dxa"/>
            <w:noWrap/>
            <w:vAlign w:val="bottom"/>
            <w:hideMark/>
          </w:tcPr>
          <w:p w:rsidR="00BF3B75" w:rsidRPr="005B25E7" w:rsidRDefault="00BF3B75" w:rsidP="00BF3B75">
            <w:pPr>
              <w:spacing w:line="480" w:lineRule="auto"/>
              <w:rPr>
                <w:rFonts w:ascii="Times New Roman" w:hAnsi="Times New Roman"/>
                <w:color w:val="000000"/>
                <w:sz w:val="24"/>
                <w:szCs w:val="24"/>
              </w:rPr>
            </w:pPr>
            <w:r w:rsidRPr="005B25E7">
              <w:rPr>
                <w:rFonts w:ascii="Times New Roman" w:hAnsi="Times New Roman"/>
                <w:color w:val="000000"/>
                <w:sz w:val="24"/>
                <w:szCs w:val="24"/>
              </w:rPr>
              <w:t>62.28±12.43</w:t>
            </w:r>
          </w:p>
        </w:tc>
      </w:tr>
    </w:tbl>
    <w:p w:rsidR="005642A5" w:rsidRPr="008042F1" w:rsidRDefault="001A6287" w:rsidP="008042F1">
      <w:pPr>
        <w:pStyle w:val="BodyText3"/>
        <w:tabs>
          <w:tab w:val="left" w:pos="1080"/>
        </w:tabs>
        <w:spacing w:after="0"/>
        <w:ind w:left="1080" w:hanging="1080"/>
        <w:jc w:val="both"/>
        <w:rPr>
          <w:rFonts w:ascii="Arial" w:hAnsi="Arial"/>
          <w:b/>
          <w:sz w:val="20"/>
          <w:szCs w:val="20"/>
        </w:rPr>
      </w:pPr>
      <w:r w:rsidRPr="001A6287">
        <w:rPr>
          <w:rFonts w:ascii="Times New Roman" w:hAnsi="Times New Roman"/>
          <w:bCs/>
          <w:sz w:val="24"/>
          <w:szCs w:val="24"/>
          <w:lang w:val="en-GB" w:eastAsia="en-GB"/>
        </w:rPr>
        <w:t xml:space="preserve">Results are presented as means ± SD (n=5). </w:t>
      </w:r>
    </w:p>
    <w:p w:rsidR="005642A5" w:rsidRDefault="005642A5" w:rsidP="00441B6F">
      <w:pPr>
        <w:autoSpaceDE w:val="0"/>
        <w:autoSpaceDN w:val="0"/>
        <w:adjustRightInd w:val="0"/>
        <w:jc w:val="both"/>
        <w:rPr>
          <w:rFonts w:ascii="Arial" w:hAnsi="Arial" w:cs="Arial"/>
          <w:b/>
          <w:bCs/>
          <w:szCs w:val="22"/>
        </w:rPr>
      </w:pPr>
    </w:p>
    <w:p w:rsidR="008042F1" w:rsidRDefault="008042F1" w:rsidP="00441B6F">
      <w:pPr>
        <w:autoSpaceDE w:val="0"/>
        <w:autoSpaceDN w:val="0"/>
        <w:adjustRightInd w:val="0"/>
        <w:jc w:val="both"/>
        <w:rPr>
          <w:rFonts w:ascii="Arial" w:hAnsi="Arial" w:cs="Arial"/>
          <w:b/>
          <w:bCs/>
          <w:szCs w:val="22"/>
        </w:rPr>
      </w:pPr>
    </w:p>
    <w:p w:rsidR="005642A5" w:rsidRDefault="008042F1" w:rsidP="00441B6F">
      <w:pPr>
        <w:autoSpaceDE w:val="0"/>
        <w:autoSpaceDN w:val="0"/>
        <w:adjustRightInd w:val="0"/>
        <w:jc w:val="both"/>
        <w:rPr>
          <w:rFonts w:ascii="Arial" w:hAnsi="Arial" w:cs="Arial"/>
          <w:b/>
          <w:bCs/>
          <w:szCs w:val="22"/>
        </w:rPr>
      </w:pPr>
      <w:r w:rsidRPr="008042F1">
        <w:rPr>
          <w:rFonts w:ascii="Arial" w:hAnsi="Arial" w:cs="Arial"/>
          <w:b/>
          <w:bCs/>
          <w:noProof/>
          <w:szCs w:val="22"/>
        </w:rPr>
        <w:lastRenderedPageBreak/>
        <w:drawing>
          <wp:inline distT="0" distB="0" distL="0" distR="0" wp14:anchorId="45293871" wp14:editId="65FDCA22">
            <wp:extent cx="6176119" cy="2638408"/>
            <wp:effectExtent l="0" t="0" r="0" b="0"/>
            <wp:docPr id="92012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25307" name=""/>
                    <pic:cNvPicPr/>
                  </pic:nvPicPr>
                  <pic:blipFill rotWithShape="1">
                    <a:blip r:embed="rId14"/>
                    <a:srcRect l="703" t="1751"/>
                    <a:stretch>
                      <a:fillRect/>
                    </a:stretch>
                  </pic:blipFill>
                  <pic:spPr bwMode="auto">
                    <a:xfrm>
                      <a:off x="0" y="0"/>
                      <a:ext cx="6194063" cy="2646074"/>
                    </a:xfrm>
                    <a:prstGeom prst="rect">
                      <a:avLst/>
                    </a:prstGeom>
                    <a:ln>
                      <a:noFill/>
                    </a:ln>
                    <a:extLst>
                      <a:ext uri="{53640926-AAD7-44D8-BBD7-CCE9431645EC}">
                        <a14:shadowObscured xmlns:a14="http://schemas.microsoft.com/office/drawing/2010/main"/>
                      </a:ext>
                    </a:extLst>
                  </pic:spPr>
                </pic:pic>
              </a:graphicData>
            </a:graphic>
          </wp:inline>
        </w:drawing>
      </w:r>
    </w:p>
    <w:p w:rsidR="008042F1" w:rsidRDefault="008042F1" w:rsidP="008042F1">
      <w:pPr>
        <w:jc w:val="both"/>
      </w:pPr>
      <w:r w:rsidRPr="0032462E">
        <w:rPr>
          <w:b/>
          <w:bCs/>
        </w:rPr>
        <w:t>Figure 1.</w:t>
      </w:r>
      <w:r>
        <w:t xml:space="preserve"> Comparative effects of crude extract and solvent fractions of </w:t>
      </w:r>
      <w:r w:rsidRPr="0032462E">
        <w:rPr>
          <w:i/>
          <w:iCs/>
        </w:rPr>
        <w:t>Zapoteca portoricensis</w:t>
      </w:r>
      <w:r>
        <w:t xml:space="preserve"> on liver function markers in formalin-induced inflammatory rats. Each bar represents the mean value of serum biochemical parameters (ALT, AST, ALP, total bilirubin, direct bilirubin, albumin, and total protein) across different experimental groups (NC – Normal Control, NOR – Normal Reference, SC – Formalin Control, T1 – Crude Ethanol Extract, T2 – n-Hexane Fraction, T3 – Ethanol Fraction). The data illustrate the ameliorative effect of </w:t>
      </w:r>
      <w:r w:rsidRPr="0032462E">
        <w:rPr>
          <w:i/>
          <w:iCs/>
        </w:rPr>
        <w:t>Zapoteca portoricensis</w:t>
      </w:r>
      <w:r>
        <w:t xml:space="preserve"> treatments, with the n-hexane fraction showing the most pronounced hepatoprotective potential.</w:t>
      </w:r>
    </w:p>
    <w:p w:rsidR="00863BD3" w:rsidRDefault="00863BD3" w:rsidP="00441B6F">
      <w:pPr>
        <w:pStyle w:val="Body"/>
        <w:spacing w:after="0"/>
        <w:rPr>
          <w:rFonts w:ascii="Arial" w:hAnsi="Arial" w:cs="Arial"/>
        </w:rPr>
      </w:pPr>
    </w:p>
    <w:p w:rsidR="008042F1" w:rsidRPr="00FB3A86" w:rsidRDefault="008042F1" w:rsidP="00441B6F">
      <w:pPr>
        <w:pStyle w:val="Body"/>
        <w:spacing w:after="0"/>
        <w:rPr>
          <w:rFonts w:ascii="Arial" w:hAnsi="Arial" w:cs="Arial"/>
        </w:rPr>
      </w:pPr>
    </w:p>
    <w:p w:rsidR="000C21E7" w:rsidRPr="000C21E7" w:rsidRDefault="000C21E7" w:rsidP="000C21E7">
      <w:pPr>
        <w:pStyle w:val="Body"/>
        <w:spacing w:after="0"/>
        <w:rPr>
          <w:rFonts w:ascii="Arial" w:hAnsi="Arial" w:cs="Arial"/>
          <w:b/>
          <w:bCs/>
          <w:sz w:val="22"/>
        </w:rPr>
      </w:pPr>
      <w:r w:rsidRPr="000C21E7">
        <w:rPr>
          <w:rFonts w:ascii="Arial" w:hAnsi="Arial" w:cs="Arial"/>
          <w:b/>
          <w:bCs/>
          <w:sz w:val="22"/>
        </w:rPr>
        <w:t>Discussion</w:t>
      </w:r>
    </w:p>
    <w:p w:rsidR="000C21E7" w:rsidRPr="000C21E7" w:rsidRDefault="000C21E7" w:rsidP="000C21E7">
      <w:pPr>
        <w:pStyle w:val="Body"/>
        <w:spacing w:after="0"/>
        <w:rPr>
          <w:rFonts w:ascii="Arial" w:hAnsi="Arial" w:cs="Arial"/>
        </w:rPr>
      </w:pPr>
      <w:r w:rsidRPr="000C21E7">
        <w:rPr>
          <w:rFonts w:ascii="Arial" w:hAnsi="Arial" w:cs="Arial"/>
        </w:rPr>
        <w:t>The liver function markers analyzed in this study</w:t>
      </w:r>
      <w:r w:rsidR="00D2477C" w:rsidRPr="0032462E">
        <w:rPr>
          <w:rFonts w:ascii="Arial" w:hAnsi="Arial" w:cs="Arial"/>
        </w:rPr>
        <w:t xml:space="preserve"> —ALT, AST, ALP, total bilirubin (</w:t>
      </w:r>
      <w:proofErr w:type="spellStart"/>
      <w:r w:rsidR="00D2477C" w:rsidRPr="0032462E">
        <w:rPr>
          <w:rFonts w:ascii="Arial" w:hAnsi="Arial" w:cs="Arial"/>
        </w:rPr>
        <w:t>Tbil</w:t>
      </w:r>
      <w:proofErr w:type="spellEnd"/>
      <w:r w:rsidR="00D2477C" w:rsidRPr="0032462E">
        <w:rPr>
          <w:rFonts w:ascii="Arial" w:hAnsi="Arial" w:cs="Arial"/>
        </w:rPr>
        <w:t>), direct bilirubin (</w:t>
      </w:r>
      <w:proofErr w:type="spellStart"/>
      <w:r w:rsidR="00D2477C" w:rsidRPr="0032462E">
        <w:rPr>
          <w:rFonts w:ascii="Arial" w:hAnsi="Arial" w:cs="Arial"/>
        </w:rPr>
        <w:t>Dbil</w:t>
      </w:r>
      <w:proofErr w:type="spellEnd"/>
      <w:r w:rsidR="00D2477C" w:rsidRPr="0032462E">
        <w:rPr>
          <w:rFonts w:ascii="Arial" w:hAnsi="Arial" w:cs="Arial"/>
        </w:rPr>
        <w:t xml:space="preserve">), albumin (ALB), and total protein (TP) — </w:t>
      </w:r>
      <w:r w:rsidRPr="000C21E7">
        <w:rPr>
          <w:rFonts w:ascii="Arial" w:hAnsi="Arial" w:cs="Arial"/>
        </w:rPr>
        <w:t xml:space="preserve">provide a comprehensive assessment of hepatic integrity and synthetic function. In this experiment, changes in these parameters were evaluated following administration of </w:t>
      </w:r>
      <w:r w:rsidRPr="000C21E7">
        <w:rPr>
          <w:rFonts w:ascii="Arial" w:hAnsi="Arial" w:cs="Arial"/>
          <w:i/>
          <w:iCs/>
        </w:rPr>
        <w:t>Zapoteca portoricensis</w:t>
      </w:r>
      <w:r w:rsidRPr="000C21E7">
        <w:rPr>
          <w:rFonts w:ascii="Arial" w:hAnsi="Arial" w:cs="Arial"/>
        </w:rPr>
        <w:t xml:space="preserve"> leaf extract and its fractions in a formalin-induced inflammatory model in rats.</w:t>
      </w:r>
    </w:p>
    <w:p w:rsidR="000C21E7" w:rsidRPr="000C21E7" w:rsidRDefault="000C21E7" w:rsidP="000C21E7">
      <w:pPr>
        <w:pStyle w:val="Body"/>
        <w:spacing w:after="0"/>
        <w:rPr>
          <w:rFonts w:ascii="Arial" w:hAnsi="Arial" w:cs="Arial"/>
        </w:rPr>
      </w:pPr>
      <w:r w:rsidRPr="000C21E7">
        <w:rPr>
          <w:rFonts w:ascii="Arial" w:hAnsi="Arial" w:cs="Arial"/>
        </w:rPr>
        <w:t xml:space="preserve">ALT and AST, key aminotransferases, are sensitive indicators of hepatocellular injury. Elevations in these enzymes typically reflect </w:t>
      </w:r>
      <w:r w:rsidR="00D2477C" w:rsidRPr="0032462E">
        <w:rPr>
          <w:rFonts w:ascii="Arial" w:hAnsi="Arial" w:cs="Arial"/>
        </w:rPr>
        <w:t>hepatocyte damage, leading to</w:t>
      </w:r>
      <w:r w:rsidRPr="000C21E7">
        <w:rPr>
          <w:rFonts w:ascii="Arial" w:hAnsi="Arial" w:cs="Arial"/>
        </w:rPr>
        <w:t xml:space="preserve"> leakage into the circulation. In the present study, the extract-treated groups exhibited a significant reduction in ALT and AST levels compared to the inflammation-induced control, suggesting hepatoprotective activity. This effect may be attributed to the antioxidant and anti-inflammatory phytoconstituents identified in the extract, which likely mitigated formalin-induced oxidative stress and hepatocyte membrane disruption. These findings are consistent with previous studies demonstrating that plant-derived antioxidants can preserve hepatocellular integrity by scavenging reactive oxygen species and inhibiting lipid peroxidation (Adebayo </w:t>
      </w:r>
      <w:r w:rsidRPr="000C21E7">
        <w:rPr>
          <w:rFonts w:ascii="Arial" w:hAnsi="Arial" w:cs="Arial"/>
          <w:i/>
          <w:iCs/>
        </w:rPr>
        <w:t xml:space="preserve">et al., </w:t>
      </w:r>
      <w:r w:rsidRPr="000C21E7">
        <w:rPr>
          <w:rFonts w:ascii="Arial" w:hAnsi="Arial" w:cs="Arial"/>
        </w:rPr>
        <w:t>2018).</w:t>
      </w:r>
    </w:p>
    <w:p w:rsidR="000C21E7" w:rsidRPr="000C21E7" w:rsidRDefault="000C21E7" w:rsidP="000C21E7">
      <w:pPr>
        <w:pStyle w:val="Body"/>
        <w:spacing w:after="0"/>
        <w:rPr>
          <w:rFonts w:ascii="Arial" w:hAnsi="Arial" w:cs="Arial"/>
        </w:rPr>
      </w:pPr>
      <w:r w:rsidRPr="000C21E7">
        <w:rPr>
          <w:rFonts w:ascii="Arial" w:hAnsi="Arial" w:cs="Arial"/>
        </w:rPr>
        <w:t>ALP, a marker of cholestasis and biliary obstruction, showed a similar trend, with extract-treated groups maintaining levels closer to normal. This indicates that the extract may have a protective effect on bile flow or prevent cholestatic injury, supporting its overall hepatoprotective potential.</w:t>
      </w:r>
    </w:p>
    <w:p w:rsidR="000C21E7" w:rsidRPr="000C21E7" w:rsidRDefault="000C21E7" w:rsidP="000C21E7">
      <w:pPr>
        <w:pStyle w:val="Body"/>
        <w:spacing w:after="0"/>
        <w:rPr>
          <w:rFonts w:ascii="Arial" w:hAnsi="Arial" w:cs="Arial"/>
        </w:rPr>
      </w:pPr>
      <w:r w:rsidRPr="000C21E7">
        <w:rPr>
          <w:rFonts w:ascii="Arial" w:hAnsi="Arial" w:cs="Arial"/>
        </w:rPr>
        <w:t>Total bilirubin (</w:t>
      </w:r>
      <w:proofErr w:type="spellStart"/>
      <w:r w:rsidRPr="000C21E7">
        <w:rPr>
          <w:rFonts w:ascii="Arial" w:hAnsi="Arial" w:cs="Arial"/>
        </w:rPr>
        <w:t>Tbil</w:t>
      </w:r>
      <w:proofErr w:type="spellEnd"/>
      <w:r w:rsidRPr="000C21E7">
        <w:rPr>
          <w:rFonts w:ascii="Arial" w:hAnsi="Arial" w:cs="Arial"/>
        </w:rPr>
        <w:t>) and direct bilirubin (</w:t>
      </w:r>
      <w:proofErr w:type="spellStart"/>
      <w:r w:rsidRPr="000C21E7">
        <w:rPr>
          <w:rFonts w:ascii="Arial" w:hAnsi="Arial" w:cs="Arial"/>
        </w:rPr>
        <w:t>Dbil</w:t>
      </w:r>
      <w:proofErr w:type="spellEnd"/>
      <w:r w:rsidRPr="000C21E7">
        <w:rPr>
          <w:rFonts w:ascii="Arial" w:hAnsi="Arial" w:cs="Arial"/>
        </w:rPr>
        <w:t>) provide insight into hepatic conjugation and excretory functions. The observed stabilization of bilirubin levels in treated groups suggests that the extract did not impair bilirubin metabolism and may have prevented formalin-induced hepatic dysfunction. Elevations in bilirubin in untreated inflammatory controls likely reflect mild hepatocellular stress or impaired bilirubin clearance.</w:t>
      </w:r>
    </w:p>
    <w:p w:rsidR="000C21E7" w:rsidRPr="0032462E" w:rsidRDefault="000C21E7" w:rsidP="000C21E7">
      <w:pPr>
        <w:pStyle w:val="Body"/>
        <w:spacing w:after="0"/>
        <w:rPr>
          <w:rFonts w:ascii="Arial" w:hAnsi="Arial" w:cs="Arial"/>
        </w:rPr>
      </w:pPr>
      <w:r w:rsidRPr="0032462E">
        <w:rPr>
          <w:rFonts w:ascii="Arial" w:hAnsi="Arial" w:cs="Arial"/>
        </w:rPr>
        <w:lastRenderedPageBreak/>
        <w:t xml:space="preserve">Levels of albumin and total protein, which reflect the liver’s synthetic function, were largely maintained within normal limits in the extract-treated groups, suggesting that the extract helped preserve hepatic synthetic activity and contributed to protection against formalin-induced liver </w:t>
      </w:r>
      <w:r w:rsidR="005E243F">
        <w:rPr>
          <w:rFonts w:ascii="Arial" w:hAnsi="Arial" w:cs="Arial"/>
        </w:rPr>
        <w:t>damage</w:t>
      </w:r>
      <w:r w:rsidRPr="0032462E">
        <w:rPr>
          <w:rFonts w:ascii="Arial" w:hAnsi="Arial" w:cs="Arial"/>
        </w:rPr>
        <w:t>.</w:t>
      </w:r>
    </w:p>
    <w:p w:rsidR="000C21E7" w:rsidRPr="000C21E7" w:rsidRDefault="000C21E7" w:rsidP="000C21E7">
      <w:pPr>
        <w:pStyle w:val="Body"/>
        <w:spacing w:after="0"/>
        <w:rPr>
          <w:rFonts w:ascii="Arial" w:hAnsi="Arial" w:cs="Arial"/>
        </w:rPr>
      </w:pPr>
      <w:r w:rsidRPr="000C21E7">
        <w:rPr>
          <w:rFonts w:ascii="Arial" w:hAnsi="Arial" w:cs="Arial"/>
        </w:rPr>
        <w:t xml:space="preserve">Overall, the results suggest that </w:t>
      </w:r>
      <w:r w:rsidRPr="000C21E7">
        <w:rPr>
          <w:rFonts w:ascii="Arial" w:hAnsi="Arial" w:cs="Arial"/>
          <w:i/>
          <w:iCs/>
        </w:rPr>
        <w:t>Zapoteca portoricensis</w:t>
      </w:r>
      <w:r w:rsidRPr="000C21E7">
        <w:rPr>
          <w:rFonts w:ascii="Arial" w:hAnsi="Arial" w:cs="Arial"/>
        </w:rPr>
        <w:t xml:space="preserve"> leaf extract and its fractions exhibit significant hepatoprotective activity, likely mediated through antioxidant and anti-inflammatory mechanisms. The findings align with the growing body of evidence supporting the use of plant-derived bioactive compounds in the prevention and management of liver injury.</w:t>
      </w: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0C21E7" w:rsidRPr="000C21E7" w:rsidRDefault="000C21E7" w:rsidP="000C21E7">
      <w:pPr>
        <w:spacing w:before="100" w:beforeAutospacing="1" w:after="100" w:afterAutospacing="1"/>
        <w:jc w:val="both"/>
        <w:rPr>
          <w:rFonts w:ascii="Arial" w:hAnsi="Arial" w:cs="Arial"/>
        </w:rPr>
      </w:pPr>
      <w:r w:rsidRPr="000C21E7">
        <w:rPr>
          <w:rFonts w:ascii="Arial" w:hAnsi="Arial" w:cs="Arial"/>
        </w:rPr>
        <w:t xml:space="preserve">The findings of this study demonstrate that </w:t>
      </w:r>
      <w:r w:rsidRPr="000C21E7">
        <w:rPr>
          <w:rFonts w:ascii="Arial" w:hAnsi="Arial" w:cs="Arial"/>
          <w:i/>
          <w:iCs/>
        </w:rPr>
        <w:t>Zapoteca portoricensis</w:t>
      </w:r>
      <w:r w:rsidRPr="000C21E7">
        <w:rPr>
          <w:rFonts w:ascii="Arial" w:hAnsi="Arial" w:cs="Arial"/>
        </w:rPr>
        <w:t xml:space="preserve"> leaf extract and its fractions exhibit significant hepatoprotective effects in formalin-induced inflammation in rats. Treatment with the extract effectively normalized liver function markers, including ALT, AST, ALP, bilirubin, albumin, and total protein, indicating protection of hepatocellular integrity and preservation of synthetic capacity. These results suggest that the extract’s antioxidant and anti-inflammatory properties play a key role in mitigating hepatic injury. Overall, the study supports the therapeutic potential of </w:t>
      </w:r>
      <w:r w:rsidRPr="000C21E7">
        <w:rPr>
          <w:rFonts w:ascii="Arial" w:hAnsi="Arial" w:cs="Arial"/>
          <w:i/>
          <w:iCs/>
        </w:rPr>
        <w:t>Zapoteca portoricensis</w:t>
      </w:r>
      <w:r w:rsidRPr="000C21E7">
        <w:rPr>
          <w:rFonts w:ascii="Arial" w:hAnsi="Arial" w:cs="Arial"/>
        </w:rPr>
        <w:t xml:space="preserve"> as a natural agent for liver protection, warranting further investigation into its bioactive compounds and mechanisms of action.</w:t>
      </w:r>
    </w:p>
    <w:p w:rsidR="000C21E7" w:rsidRPr="000C21E7" w:rsidRDefault="000C21E7" w:rsidP="00441B6F">
      <w:pPr>
        <w:pStyle w:val="AcknHead"/>
        <w:spacing w:after="0"/>
        <w:jc w:val="both"/>
        <w:rPr>
          <w:rFonts w:ascii="Arial" w:hAnsi="Arial" w:cs="Arial"/>
          <w:b w:val="0"/>
          <w:bCs/>
          <w:sz w:val="20"/>
        </w:rPr>
      </w:pPr>
    </w:p>
    <w:p w:rsidR="00790ADA" w:rsidRPr="000C21E7" w:rsidRDefault="00790ADA" w:rsidP="00441B6F">
      <w:pPr>
        <w:pStyle w:val="AcknHead"/>
        <w:spacing w:after="0"/>
        <w:jc w:val="both"/>
        <w:rPr>
          <w:rFonts w:ascii="Arial" w:hAnsi="Arial" w:cs="Arial"/>
          <w:sz w:val="20"/>
        </w:rPr>
      </w:pPr>
    </w:p>
    <w:p w:rsidR="005C784C" w:rsidRDefault="005C784C" w:rsidP="00441B6F">
      <w:pPr>
        <w:pStyle w:val="ReferHead"/>
        <w:spacing w:after="0"/>
        <w:jc w:val="both"/>
        <w:rPr>
          <w:rFonts w:ascii="Arial" w:hAnsi="Arial" w:cs="Arial"/>
          <w:bCs/>
        </w:rPr>
      </w:pPr>
      <w:r>
        <w:rPr>
          <w:rFonts w:ascii="Arial" w:hAnsi="Arial" w:cs="Arial"/>
          <w:bCs/>
        </w:rPr>
        <w:t xml:space="preserve">Ethical approval </w:t>
      </w:r>
    </w:p>
    <w:p w:rsidR="00474786" w:rsidRDefault="00474786" w:rsidP="00441B6F">
      <w:pPr>
        <w:pStyle w:val="ReferHead"/>
        <w:spacing w:after="0"/>
        <w:jc w:val="both"/>
        <w:rPr>
          <w:rFonts w:ascii="Arial" w:hAnsi="Arial" w:cs="Arial"/>
          <w:bCs/>
        </w:rPr>
      </w:pPr>
    </w:p>
    <w:p w:rsidR="00CD6856" w:rsidRPr="00474786" w:rsidRDefault="00474786" w:rsidP="00474786">
      <w:pPr>
        <w:pStyle w:val="Body"/>
        <w:rPr>
          <w:rFonts w:ascii="Arial" w:hAnsi="Arial" w:cs="Arial"/>
        </w:rPr>
      </w:pPr>
      <w:r w:rsidRPr="00DB33A0">
        <w:rPr>
          <w:rFonts w:ascii="Arial" w:hAnsi="Arial" w:cs="Arial"/>
        </w:rPr>
        <w:t xml:space="preserve">All animal experimental procedures were conducted following the National Institutes of Health Guide for the Care and Use of Laboratory Animals (NIH Publication No. 85-23, revised 2011) and approved by </w:t>
      </w:r>
      <w:r w:rsidRPr="00B024AE">
        <w:rPr>
          <w:rFonts w:ascii="Arial" w:hAnsi="Arial" w:cs="Arial"/>
        </w:rPr>
        <w:t>The Nnamdi Azikiwe University-Animal</w:t>
      </w:r>
      <w:r w:rsidRPr="003F775B">
        <w:rPr>
          <w:rFonts w:ascii="Arial" w:hAnsi="Arial" w:cs="Arial"/>
        </w:rPr>
        <w:t xml:space="preserve"> Research Ethics Committee</w:t>
      </w:r>
      <w:r w:rsidRPr="00DB33A0">
        <w:rPr>
          <w:rFonts w:ascii="Arial" w:hAnsi="Arial" w:cs="Arial"/>
        </w:rPr>
        <w:t xml:space="preserve"> (Approval No.:</w:t>
      </w:r>
      <w:r>
        <w:rPr>
          <w:rFonts w:ascii="Arial" w:hAnsi="Arial" w:cs="Arial"/>
        </w:rPr>
        <w:t xml:space="preserve"> NAU/AREC/2025/0102</w:t>
      </w:r>
      <w:r w:rsidRPr="00DB33A0">
        <w:rPr>
          <w:rFonts w:ascii="Arial" w:hAnsi="Arial" w:cs="Arial"/>
        </w:rPr>
        <w:t>).</w:t>
      </w:r>
      <w:r>
        <w:rPr>
          <w:rFonts w:ascii="Arial" w:hAnsi="Arial" w:cs="Arial"/>
        </w:rPr>
        <w:t xml:space="preserve"> </w:t>
      </w:r>
    </w:p>
    <w:p w:rsidR="00B01FCD" w:rsidRDefault="00B01FCD" w:rsidP="00441B6F">
      <w:pPr>
        <w:pStyle w:val="ReferHead"/>
        <w:spacing w:after="0"/>
        <w:jc w:val="both"/>
        <w:rPr>
          <w:rFonts w:ascii="Arial" w:hAnsi="Arial" w:cs="Arial"/>
        </w:rPr>
      </w:pPr>
      <w:r w:rsidRPr="00FB3A86">
        <w:rPr>
          <w:rFonts w:ascii="Arial" w:hAnsi="Arial" w:cs="Arial"/>
        </w:rPr>
        <w:t>References</w:t>
      </w:r>
    </w:p>
    <w:p w:rsidR="00D2477C" w:rsidRPr="00932265" w:rsidRDefault="00D2477C" w:rsidP="00932265">
      <w:pPr>
        <w:pStyle w:val="Body"/>
        <w:spacing w:before="240" w:after="0"/>
      </w:pPr>
      <w:r w:rsidRPr="00932265">
        <w:t xml:space="preserve">Abdulrahman, M. D., Yakubu, M. T., &amp; Akanji, M. A. (2020). Protective role of plant extracts against chemically induced liver injury in animal models. </w:t>
      </w:r>
      <w:r w:rsidRPr="00932265">
        <w:rPr>
          <w:i/>
          <w:iCs/>
        </w:rPr>
        <w:t>Journal of Ethnopharmacology, 257</w:t>
      </w:r>
      <w:r w:rsidRPr="00932265">
        <w:t>, 112876. https://doi.org/10.1016/j.jep.2020.112876</w:t>
      </w:r>
    </w:p>
    <w:p w:rsidR="00D2477C" w:rsidRPr="00932265" w:rsidRDefault="00D2477C" w:rsidP="00932265">
      <w:pPr>
        <w:pStyle w:val="Body"/>
        <w:spacing w:before="240" w:after="0"/>
      </w:pPr>
      <w:r w:rsidRPr="00932265">
        <w:t xml:space="preserve">Adebayo, J. O., </w:t>
      </w:r>
      <w:proofErr w:type="spellStart"/>
      <w:r w:rsidRPr="00932265">
        <w:t>Adesokan</w:t>
      </w:r>
      <w:proofErr w:type="spellEnd"/>
      <w:r w:rsidRPr="00932265">
        <w:t xml:space="preserve">, A. A., Olatunji, L. A., Buoro, D. O., &amp; </w:t>
      </w:r>
      <w:proofErr w:type="spellStart"/>
      <w:r w:rsidRPr="00932265">
        <w:t>Soladoye</w:t>
      </w:r>
      <w:proofErr w:type="spellEnd"/>
      <w:r w:rsidRPr="00932265">
        <w:t xml:space="preserve">, A. O. (2011). Effect of </w:t>
      </w:r>
      <w:proofErr w:type="spellStart"/>
      <w:r w:rsidRPr="00932265">
        <w:rPr>
          <w:i/>
          <w:iCs/>
        </w:rPr>
        <w:t>Zapoteca</w:t>
      </w:r>
      <w:proofErr w:type="spellEnd"/>
      <w:r w:rsidRPr="00932265">
        <w:rPr>
          <w:i/>
          <w:iCs/>
        </w:rPr>
        <w:t xml:space="preserve"> </w:t>
      </w:r>
      <w:proofErr w:type="spellStart"/>
      <w:r w:rsidRPr="00932265">
        <w:rPr>
          <w:i/>
          <w:iCs/>
        </w:rPr>
        <w:t>portoricensis</w:t>
      </w:r>
      <w:proofErr w:type="spellEnd"/>
      <w:r w:rsidRPr="00932265">
        <w:t xml:space="preserve"> extract on </w:t>
      </w:r>
      <w:proofErr w:type="spellStart"/>
      <w:r w:rsidRPr="00932265">
        <w:t>haematological</w:t>
      </w:r>
      <w:proofErr w:type="spellEnd"/>
      <w:r w:rsidRPr="00932265">
        <w:t xml:space="preserve"> and biochemical parameters in rats. </w:t>
      </w:r>
      <w:r w:rsidRPr="00932265">
        <w:rPr>
          <w:i/>
          <w:iCs/>
        </w:rPr>
        <w:t>African Journal of Biomedical Research, 14</w:t>
      </w:r>
      <w:r w:rsidRPr="00932265">
        <w:t>(2), 153–158.</w:t>
      </w:r>
    </w:p>
    <w:p w:rsidR="00D2477C" w:rsidRPr="005642A5" w:rsidRDefault="00D2477C" w:rsidP="005642A5">
      <w:pPr>
        <w:pStyle w:val="Body"/>
        <w:spacing w:before="240" w:after="0"/>
      </w:pPr>
      <w:r w:rsidRPr="005642A5">
        <w:t xml:space="preserve">Adebayo, J. O., </w:t>
      </w:r>
      <w:proofErr w:type="spellStart"/>
      <w:r w:rsidRPr="005642A5">
        <w:t>Adesokan</w:t>
      </w:r>
      <w:proofErr w:type="spellEnd"/>
      <w:r w:rsidRPr="005642A5">
        <w:t xml:space="preserve">, A. A., Olatunji, L. A., Buoro, D. O., &amp; </w:t>
      </w:r>
      <w:proofErr w:type="spellStart"/>
      <w:r w:rsidRPr="005642A5">
        <w:t>Soladoye</w:t>
      </w:r>
      <w:proofErr w:type="spellEnd"/>
      <w:r w:rsidRPr="005642A5">
        <w:t xml:space="preserve">, A. O. (2011). Effect of </w:t>
      </w:r>
      <w:proofErr w:type="spellStart"/>
      <w:r w:rsidRPr="005642A5">
        <w:rPr>
          <w:i/>
          <w:iCs/>
        </w:rPr>
        <w:t>Zapoteca</w:t>
      </w:r>
      <w:proofErr w:type="spellEnd"/>
      <w:r w:rsidRPr="005642A5">
        <w:rPr>
          <w:i/>
          <w:iCs/>
        </w:rPr>
        <w:t xml:space="preserve"> </w:t>
      </w:r>
      <w:proofErr w:type="spellStart"/>
      <w:r w:rsidRPr="005642A5">
        <w:rPr>
          <w:i/>
          <w:iCs/>
        </w:rPr>
        <w:t>portoricensis</w:t>
      </w:r>
      <w:proofErr w:type="spellEnd"/>
      <w:r w:rsidRPr="005642A5">
        <w:t xml:space="preserve"> extract on </w:t>
      </w:r>
      <w:proofErr w:type="spellStart"/>
      <w:r w:rsidRPr="005642A5">
        <w:t>haematological</w:t>
      </w:r>
      <w:proofErr w:type="spellEnd"/>
      <w:r w:rsidRPr="005642A5">
        <w:t xml:space="preserve"> and biochemical parameters in rats. </w:t>
      </w:r>
      <w:r w:rsidRPr="005642A5">
        <w:rPr>
          <w:i/>
          <w:iCs/>
        </w:rPr>
        <w:t>African Journal of Biomedical Research, 14</w:t>
      </w:r>
      <w:r w:rsidRPr="005642A5">
        <w:t>(2), 153–158.</w:t>
      </w:r>
    </w:p>
    <w:p w:rsidR="00D2477C" w:rsidRPr="00932265" w:rsidRDefault="00D2477C" w:rsidP="00932265">
      <w:pPr>
        <w:pStyle w:val="Body"/>
        <w:spacing w:before="240" w:after="0"/>
      </w:pPr>
      <w:r w:rsidRPr="00932265">
        <w:t xml:space="preserve">Adebayo, J. O., Tijani, A. Y., </w:t>
      </w:r>
      <w:proofErr w:type="spellStart"/>
      <w:r w:rsidRPr="00932265">
        <w:t>Adegunloye</w:t>
      </w:r>
      <w:proofErr w:type="spellEnd"/>
      <w:r w:rsidRPr="00932265">
        <w:t xml:space="preserve">, A. P., Balogun, A. M., &amp; </w:t>
      </w:r>
      <w:proofErr w:type="spellStart"/>
      <w:r w:rsidRPr="00932265">
        <w:t>Adesokan</w:t>
      </w:r>
      <w:proofErr w:type="spellEnd"/>
      <w:r w:rsidRPr="00932265">
        <w:t xml:space="preserve">, A. A. (2018). Protective effect of plant-derived antioxidants on hepatic and renal damage. </w:t>
      </w:r>
      <w:r w:rsidRPr="00932265">
        <w:rPr>
          <w:i/>
          <w:iCs/>
        </w:rPr>
        <w:t>BMC Complementary Medicine and Therapies, 18</w:t>
      </w:r>
      <w:r w:rsidRPr="00932265">
        <w:t>(1), 143. https://doi.org/10.1186/s12906-018-2221-7</w:t>
      </w:r>
    </w:p>
    <w:p w:rsidR="00D2477C" w:rsidRPr="00932265" w:rsidRDefault="00D2477C" w:rsidP="00932265">
      <w:pPr>
        <w:pStyle w:val="Body"/>
        <w:spacing w:before="240" w:after="0"/>
      </w:pPr>
      <w:r w:rsidRPr="00932265">
        <w:lastRenderedPageBreak/>
        <w:t xml:space="preserve">Alqarni, M. H., Hassan, M. I., &amp; Shaban, M. I. (2023). Mechanistic insights into the hepatoprotective roles of polyphenols: Antioxidant and anti-inflammatory pathways. </w:t>
      </w:r>
      <w:r w:rsidRPr="00932265">
        <w:rPr>
          <w:i/>
          <w:iCs/>
        </w:rPr>
        <w:t>Frontiers in Pharmacology, 14</w:t>
      </w:r>
      <w:r w:rsidRPr="00932265">
        <w:t>, 1189643. https://doi.org/10.3389/fphar.2023.1189643</w:t>
      </w:r>
    </w:p>
    <w:p w:rsidR="00D2477C" w:rsidRPr="005642A5" w:rsidRDefault="00D2477C" w:rsidP="005642A5">
      <w:pPr>
        <w:pStyle w:val="Body"/>
        <w:spacing w:before="240" w:after="0"/>
      </w:pPr>
      <w:r w:rsidRPr="005642A5">
        <w:t xml:space="preserve">Doumas, B. T., Watson, W. A., &amp; Biggs, H. G. (1971). Albumin standards and the measurement of serum albumin with bromocresol green. </w:t>
      </w:r>
      <w:proofErr w:type="spellStart"/>
      <w:r w:rsidRPr="005642A5">
        <w:rPr>
          <w:i/>
          <w:iCs/>
        </w:rPr>
        <w:t>Clinica</w:t>
      </w:r>
      <w:proofErr w:type="spellEnd"/>
      <w:r w:rsidRPr="005642A5">
        <w:rPr>
          <w:i/>
          <w:iCs/>
        </w:rPr>
        <w:t xml:space="preserve"> </w:t>
      </w:r>
      <w:proofErr w:type="spellStart"/>
      <w:r w:rsidRPr="005642A5">
        <w:rPr>
          <w:i/>
          <w:iCs/>
        </w:rPr>
        <w:t>Chimica</w:t>
      </w:r>
      <w:proofErr w:type="spellEnd"/>
      <w:r w:rsidRPr="005642A5">
        <w:rPr>
          <w:i/>
          <w:iCs/>
        </w:rPr>
        <w:t xml:space="preserve"> Acta, 31</w:t>
      </w:r>
      <w:r w:rsidRPr="005642A5">
        <w:t>(1), 87–96.</w:t>
      </w:r>
    </w:p>
    <w:p w:rsidR="00D2477C" w:rsidRPr="005642A5" w:rsidRDefault="00D2477C" w:rsidP="005642A5">
      <w:pPr>
        <w:pStyle w:val="Body"/>
        <w:spacing w:before="240" w:after="0"/>
      </w:pPr>
      <w:r w:rsidRPr="005642A5">
        <w:t xml:space="preserve">Drury, R. A. B., &amp; Wallington, E. A. (1980). </w:t>
      </w:r>
      <w:r w:rsidRPr="005642A5">
        <w:rPr>
          <w:i/>
          <w:iCs/>
        </w:rPr>
        <w:t>Carleton’s Histological Technique</w:t>
      </w:r>
      <w:r w:rsidRPr="005642A5">
        <w:t xml:space="preserve"> (5th ed.). Oxford University Press.</w:t>
      </w:r>
    </w:p>
    <w:p w:rsidR="00D2477C" w:rsidRPr="00932265" w:rsidRDefault="00D2477C" w:rsidP="00932265">
      <w:pPr>
        <w:pStyle w:val="Body"/>
        <w:spacing w:before="240" w:after="0"/>
      </w:pPr>
      <w:r w:rsidRPr="00932265">
        <w:t xml:space="preserve">Girish, C., Koner, B. C., Jayanthi, S., Ramachandra Rao, K., Rajesh, B., &amp; Pradhan, S. C. (2020). Hepatoprotective activity of </w:t>
      </w:r>
      <w:proofErr w:type="spellStart"/>
      <w:r w:rsidRPr="00932265">
        <w:t>picroliv</w:t>
      </w:r>
      <w:proofErr w:type="spellEnd"/>
      <w:r w:rsidRPr="00932265">
        <w:t xml:space="preserve">, curcumin, and ellagic acid compared to silymarin on paracetamol-induced liver toxicity in mice. </w:t>
      </w:r>
      <w:r w:rsidRPr="00932265">
        <w:rPr>
          <w:i/>
          <w:iCs/>
        </w:rPr>
        <w:t>Indian Journal of Experimental Biology, 58</w:t>
      </w:r>
      <w:r w:rsidRPr="00932265">
        <w:t>(6), 429–436.</w:t>
      </w:r>
    </w:p>
    <w:p w:rsidR="00D2477C" w:rsidRPr="005642A5" w:rsidRDefault="00D2477C" w:rsidP="005642A5">
      <w:pPr>
        <w:pStyle w:val="Body"/>
        <w:spacing w:before="240" w:after="0"/>
      </w:pPr>
      <w:r w:rsidRPr="005642A5">
        <w:t xml:space="preserve">Gornall, A. G., </w:t>
      </w:r>
      <w:proofErr w:type="spellStart"/>
      <w:r w:rsidRPr="005642A5">
        <w:t>Bardawill</w:t>
      </w:r>
      <w:proofErr w:type="spellEnd"/>
      <w:r w:rsidRPr="005642A5">
        <w:t xml:space="preserve">, C. J., &amp; David, M. M. (1949). Determination of serum proteins by means of the biuret reaction. </w:t>
      </w:r>
      <w:r w:rsidRPr="005642A5">
        <w:rPr>
          <w:i/>
          <w:iCs/>
        </w:rPr>
        <w:t>Journal of Biological Chemistry, 177</w:t>
      </w:r>
      <w:r w:rsidRPr="005642A5">
        <w:t>(2), 751–766.</w:t>
      </w:r>
    </w:p>
    <w:p w:rsidR="00D2477C" w:rsidRPr="00932265" w:rsidRDefault="00D2477C" w:rsidP="00932265">
      <w:pPr>
        <w:pStyle w:val="Body"/>
        <w:spacing w:before="240" w:after="0"/>
      </w:pPr>
      <w:r w:rsidRPr="00932265">
        <w:t xml:space="preserve">Ibrahim, A. O., </w:t>
      </w:r>
      <w:proofErr w:type="spellStart"/>
      <w:r w:rsidRPr="00932265">
        <w:t>Adesokan</w:t>
      </w:r>
      <w:proofErr w:type="spellEnd"/>
      <w:r w:rsidRPr="00932265">
        <w:t xml:space="preserve">, A. A., &amp; Adebayo, J. O. (2023). Phytochemical and pharmacological profile of </w:t>
      </w:r>
      <w:r w:rsidRPr="00932265">
        <w:rPr>
          <w:i/>
          <w:iCs/>
        </w:rPr>
        <w:t>Zapoteca portoricensis</w:t>
      </w:r>
      <w:r w:rsidRPr="00932265">
        <w:t xml:space="preserve">: An emerging medicinal plant with therapeutic potential. </w:t>
      </w:r>
      <w:r w:rsidRPr="00932265">
        <w:rPr>
          <w:i/>
          <w:iCs/>
        </w:rPr>
        <w:t>Journal of Medicinal Plants Research, 17</w:t>
      </w:r>
      <w:r w:rsidRPr="00932265">
        <w:t>(3), 89–98.</w:t>
      </w:r>
    </w:p>
    <w:p w:rsidR="00D2477C" w:rsidRPr="005642A5" w:rsidRDefault="00D2477C" w:rsidP="005642A5">
      <w:pPr>
        <w:pStyle w:val="Body"/>
        <w:spacing w:before="240" w:after="0"/>
      </w:pPr>
      <w:proofErr w:type="spellStart"/>
      <w:r w:rsidRPr="005642A5">
        <w:t>Jendrassik</w:t>
      </w:r>
      <w:proofErr w:type="spellEnd"/>
      <w:r w:rsidRPr="005642A5">
        <w:t xml:space="preserve">, L., &amp; Grof, P. (1938). Colorimetric method for the determination of bilirubin. </w:t>
      </w:r>
      <w:proofErr w:type="spellStart"/>
      <w:r w:rsidRPr="005642A5">
        <w:rPr>
          <w:i/>
          <w:iCs/>
        </w:rPr>
        <w:t>Biochemische</w:t>
      </w:r>
      <w:proofErr w:type="spellEnd"/>
      <w:r w:rsidRPr="005642A5">
        <w:rPr>
          <w:i/>
          <w:iCs/>
        </w:rPr>
        <w:t xml:space="preserve"> </w:t>
      </w:r>
      <w:proofErr w:type="spellStart"/>
      <w:r w:rsidRPr="005642A5">
        <w:rPr>
          <w:i/>
          <w:iCs/>
        </w:rPr>
        <w:t>Zeitschrift</w:t>
      </w:r>
      <w:proofErr w:type="spellEnd"/>
      <w:r w:rsidRPr="005642A5">
        <w:rPr>
          <w:i/>
          <w:iCs/>
        </w:rPr>
        <w:t>, 297</w:t>
      </w:r>
      <w:r w:rsidRPr="005642A5">
        <w:t>, 81–89.</w:t>
      </w:r>
    </w:p>
    <w:p w:rsidR="00D2477C" w:rsidRPr="005642A5" w:rsidRDefault="00D2477C" w:rsidP="005642A5">
      <w:pPr>
        <w:pStyle w:val="Body"/>
        <w:spacing w:before="240" w:after="0"/>
      </w:pPr>
      <w:r w:rsidRPr="005642A5">
        <w:t xml:space="preserve">King, E. J., &amp; Armstrong, A. R. (1934). A convenient method for determining serum and bile phosphatase activity. </w:t>
      </w:r>
      <w:r w:rsidRPr="005642A5">
        <w:rPr>
          <w:i/>
          <w:iCs/>
        </w:rPr>
        <w:t>Canadian Medical Association Journal, 31</w:t>
      </w:r>
      <w:r w:rsidRPr="005642A5">
        <w:t>(4), 376–381.</w:t>
      </w:r>
    </w:p>
    <w:p w:rsidR="00D2477C" w:rsidRPr="00932265" w:rsidRDefault="00D2477C" w:rsidP="00932265">
      <w:pPr>
        <w:pStyle w:val="Body"/>
        <w:spacing w:before="240" w:after="0"/>
      </w:pPr>
      <w:r w:rsidRPr="00932265">
        <w:t xml:space="preserve">Kumar, A., Singh, R., &amp; Sharma, S. (2021). Phytochemicals as therapeutic agents against oxidative stress in liver disorders. </w:t>
      </w:r>
      <w:r w:rsidRPr="00932265">
        <w:rPr>
          <w:i/>
          <w:iCs/>
        </w:rPr>
        <w:t>Frontiers in Pharmacology, 12</w:t>
      </w:r>
      <w:r w:rsidRPr="00932265">
        <w:t>, 652493. https://doi.org/10.3389/fphar.2021.652493</w:t>
      </w:r>
    </w:p>
    <w:p w:rsidR="00D2477C" w:rsidRPr="00932265" w:rsidRDefault="00D2477C" w:rsidP="00932265">
      <w:pPr>
        <w:pStyle w:val="Body"/>
        <w:spacing w:before="240" w:after="0"/>
      </w:pPr>
      <w:r w:rsidRPr="00932265">
        <w:t>Mansour, D. F., Abdallah, H. M., &amp; El-</w:t>
      </w:r>
      <w:proofErr w:type="spellStart"/>
      <w:r w:rsidRPr="00932265">
        <w:t>Arabey</w:t>
      </w:r>
      <w:proofErr w:type="spellEnd"/>
      <w:r w:rsidRPr="00932265">
        <w:t xml:space="preserve">, A. A. (2022). Anti-inflammatory and hepatoprotective effects of natural antioxidants in formalin-induced inflammation model. </w:t>
      </w:r>
      <w:proofErr w:type="spellStart"/>
      <w:r w:rsidRPr="00932265">
        <w:rPr>
          <w:i/>
          <w:iCs/>
        </w:rPr>
        <w:t>Inflammopharmacology</w:t>
      </w:r>
      <w:proofErr w:type="spellEnd"/>
      <w:r w:rsidRPr="00932265">
        <w:rPr>
          <w:i/>
          <w:iCs/>
        </w:rPr>
        <w:t>, 30</w:t>
      </w:r>
      <w:r w:rsidRPr="00932265">
        <w:t>(3), 1103–1114. https://doi.org/10.1007/s10787-021-00937-5</w:t>
      </w:r>
    </w:p>
    <w:p w:rsidR="00D2477C" w:rsidRPr="005642A5" w:rsidRDefault="00D2477C" w:rsidP="005642A5">
      <w:pPr>
        <w:pStyle w:val="Body"/>
        <w:spacing w:before="240" w:after="0"/>
      </w:pPr>
      <w:r w:rsidRPr="005642A5">
        <w:t>Mansour, D. F., Abdallah, H. M., &amp; El-</w:t>
      </w:r>
      <w:proofErr w:type="spellStart"/>
      <w:r w:rsidRPr="005642A5">
        <w:t>Arabey</w:t>
      </w:r>
      <w:proofErr w:type="spellEnd"/>
      <w:r w:rsidRPr="005642A5">
        <w:t xml:space="preserve">, A. A. (2022). Anti-inflammatory and hepatoprotective effects of natural antioxidants in formalin-induced inflammation model. </w:t>
      </w:r>
      <w:proofErr w:type="spellStart"/>
      <w:r w:rsidRPr="005642A5">
        <w:rPr>
          <w:i/>
          <w:iCs/>
        </w:rPr>
        <w:t>Inflammopharmacology</w:t>
      </w:r>
      <w:proofErr w:type="spellEnd"/>
      <w:r w:rsidRPr="005642A5">
        <w:rPr>
          <w:i/>
          <w:iCs/>
        </w:rPr>
        <w:t>, 30</w:t>
      </w:r>
      <w:r w:rsidRPr="005642A5">
        <w:t>(3), 1103–1114. https://doi.org/10.1007/s10787-021-00937-5</w:t>
      </w:r>
    </w:p>
    <w:p w:rsidR="00D2477C" w:rsidRPr="00932265" w:rsidRDefault="00D2477C" w:rsidP="00932265">
      <w:pPr>
        <w:pStyle w:val="Body"/>
        <w:spacing w:before="240" w:after="0"/>
      </w:pPr>
      <w:r w:rsidRPr="00932265">
        <w:t xml:space="preserve">Nguyen, H. T., Tran, P. L., &amp; Pham, H. L. (2022). Molecular mechanisms of oxidative stress-mediated liver injury and the role of natural antioxidants. </w:t>
      </w:r>
      <w:r w:rsidRPr="00932265">
        <w:rPr>
          <w:i/>
          <w:iCs/>
        </w:rPr>
        <w:t>Antioxidants, 11</w:t>
      </w:r>
      <w:r w:rsidRPr="00932265">
        <w:t>(2), 372. https://doi.org/10.3390/antiox11020372</w:t>
      </w:r>
    </w:p>
    <w:p w:rsidR="00D2477C" w:rsidRPr="00932265" w:rsidRDefault="00D2477C" w:rsidP="00932265">
      <w:pPr>
        <w:pStyle w:val="Body"/>
        <w:spacing w:before="240" w:after="0"/>
      </w:pPr>
      <w:r w:rsidRPr="00932265">
        <w:t xml:space="preserve">Orji, E. J., Adebayo, J. O., &amp; </w:t>
      </w:r>
      <w:proofErr w:type="spellStart"/>
      <w:r w:rsidRPr="00932265">
        <w:t>Olorunsogo</w:t>
      </w:r>
      <w:proofErr w:type="spellEnd"/>
      <w:r w:rsidRPr="00932265">
        <w:t xml:space="preserve">, O. O. (2024). Anti-inflammatory and antioxidant effects of </w:t>
      </w:r>
      <w:r w:rsidRPr="00932265">
        <w:rPr>
          <w:i/>
          <w:iCs/>
        </w:rPr>
        <w:t>Zapoteca portoricensis</w:t>
      </w:r>
      <w:r w:rsidRPr="00932265">
        <w:t xml:space="preserve"> leaf fractions in formalin-induced inflammation in rats. </w:t>
      </w:r>
      <w:r w:rsidRPr="00932265">
        <w:rPr>
          <w:i/>
          <w:iCs/>
        </w:rPr>
        <w:t>Journal of Medicinal Plants Research, 18</w:t>
      </w:r>
      <w:r w:rsidRPr="00932265">
        <w:t>(4), 145–156.</w:t>
      </w:r>
    </w:p>
    <w:p w:rsidR="00D2477C" w:rsidRPr="005642A5" w:rsidRDefault="00D2477C" w:rsidP="005642A5">
      <w:pPr>
        <w:pStyle w:val="Body"/>
        <w:spacing w:before="240" w:after="0"/>
      </w:pPr>
      <w:r w:rsidRPr="005642A5">
        <w:t xml:space="preserve">Reitman, S., &amp; Frankel, S. (1957). A colorimetric method for the determination of serum glutamic oxaloacetic and glutamic pyruvic transaminases. </w:t>
      </w:r>
      <w:r w:rsidRPr="005642A5">
        <w:rPr>
          <w:i/>
          <w:iCs/>
        </w:rPr>
        <w:t>American Journal of Clinical Pathology, 28</w:t>
      </w:r>
      <w:r w:rsidRPr="005642A5">
        <w:t>(1), 56–63. https://doi.org/10.1093/ajcp/28.1.56</w:t>
      </w:r>
    </w:p>
    <w:p w:rsidR="00D2477C" w:rsidRDefault="00D2477C" w:rsidP="00932265">
      <w:pPr>
        <w:pStyle w:val="Body"/>
        <w:spacing w:before="240" w:after="0"/>
      </w:pPr>
      <w:r w:rsidRPr="00932265">
        <w:lastRenderedPageBreak/>
        <w:t xml:space="preserve">Wang, X., Li, Y., &amp; Chen, H. (2023). Inflammation-mediated hepatic injury and the potential of natural therapeutics. </w:t>
      </w:r>
      <w:r w:rsidRPr="00932265">
        <w:rPr>
          <w:i/>
          <w:iCs/>
        </w:rPr>
        <w:t>Phytomedicine, 115</w:t>
      </w:r>
      <w:r w:rsidRPr="00932265">
        <w:t xml:space="preserve">, 154730. </w:t>
      </w:r>
      <w:hyperlink r:id="rId15" w:history="1">
        <w:r w:rsidRPr="00932265">
          <w:rPr>
            <w:rStyle w:val="Hyperlink"/>
          </w:rPr>
          <w:t>https://doi.org/10.1016/j.phymed.2023.154730</w:t>
        </w:r>
      </w:hyperlink>
    </w:p>
    <w:p w:rsidR="00932265" w:rsidRDefault="00932265" w:rsidP="00441B6F">
      <w:pPr>
        <w:pStyle w:val="Body"/>
        <w:spacing w:after="0"/>
      </w:pPr>
    </w:p>
    <w:p w:rsidR="00441B6F" w:rsidRDefault="00441B6F" w:rsidP="00441B6F">
      <w:pPr>
        <w:pStyle w:val="Body"/>
        <w:spacing w:after="0"/>
        <w:jc w:val="left"/>
      </w:pP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3F2D5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3F2D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42A" w:rsidRDefault="0089342A" w:rsidP="00C37E61">
      <w:r>
        <w:separator/>
      </w:r>
    </w:p>
  </w:endnote>
  <w:endnote w:type="continuationSeparator" w:id="0">
    <w:p w:rsidR="0089342A" w:rsidRDefault="008934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3F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DD56A9" w:rsidRDefault="00C37E61" w:rsidP="00DD5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3F2D57" w:rsidRDefault="00754C9A" w:rsidP="003F2D5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42A" w:rsidRDefault="0089342A" w:rsidP="00C37E61">
      <w:r>
        <w:separator/>
      </w:r>
    </w:p>
  </w:footnote>
  <w:footnote w:type="continuationSeparator" w:id="0">
    <w:p w:rsidR="0089342A" w:rsidRDefault="008934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3F2D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3F2D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F2D5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3F2D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3F2D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3F2D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C0804"/>
    <w:multiLevelType w:val="multilevel"/>
    <w:tmpl w:val="86D87200"/>
    <w:lvl w:ilvl="0">
      <w:start w:val="2"/>
      <w:numFmt w:val="decimal"/>
      <w:lvlText w:val="%1"/>
      <w:lvlJc w:val="left"/>
      <w:pPr>
        <w:ind w:left="450" w:hanging="450"/>
      </w:pPr>
      <w:rPr>
        <w:rFonts w:hint="default"/>
        <w:b/>
      </w:rPr>
    </w:lvl>
    <w:lvl w:ilvl="1">
      <w:start w:val="5"/>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A923D2"/>
    <w:multiLevelType w:val="hybridMultilevel"/>
    <w:tmpl w:val="EB141E10"/>
    <w:lvl w:ilvl="0" w:tplc="A560D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3B41D0"/>
    <w:multiLevelType w:val="multilevel"/>
    <w:tmpl w:val="F16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1F5938"/>
    <w:multiLevelType w:val="multilevel"/>
    <w:tmpl w:val="1BD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B22B7E"/>
    <w:multiLevelType w:val="multilevel"/>
    <w:tmpl w:val="708899F4"/>
    <w:lvl w:ilvl="0">
      <w:start w:val="2"/>
      <w:numFmt w:val="decimal"/>
      <w:lvlText w:val="%1"/>
      <w:lvlJc w:val="left"/>
      <w:pPr>
        <w:ind w:left="450" w:hanging="450"/>
      </w:pPr>
      <w:rPr>
        <w:rFonts w:hint="default"/>
        <w:b/>
      </w:rPr>
    </w:lvl>
    <w:lvl w:ilvl="1">
      <w:start w:val="5"/>
      <w:numFmt w:val="decimal"/>
      <w:lvlText w:val="%1.%2"/>
      <w:lvlJc w:val="left"/>
      <w:pPr>
        <w:ind w:left="450" w:hanging="45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0"/>
  </w:num>
  <w:num w:numId="10">
    <w:abstractNumId w:val="3"/>
  </w:num>
  <w:num w:numId="11">
    <w:abstractNumId w:val="23"/>
  </w:num>
  <w:num w:numId="12">
    <w:abstractNumId w:val="4"/>
  </w:num>
  <w:num w:numId="13">
    <w:abstractNumId w:val="22"/>
  </w:num>
  <w:num w:numId="14">
    <w:abstractNumId w:val="11"/>
  </w:num>
  <w:num w:numId="15">
    <w:abstractNumId w:val="26"/>
  </w:num>
  <w:num w:numId="16">
    <w:abstractNumId w:val="6"/>
  </w:num>
  <w:num w:numId="17">
    <w:abstractNumId w:val="27"/>
  </w:num>
  <w:num w:numId="18">
    <w:abstractNumId w:val="18"/>
  </w:num>
  <w:num w:numId="19">
    <w:abstractNumId w:val="33"/>
  </w:num>
  <w:num w:numId="20">
    <w:abstractNumId w:val="15"/>
  </w:num>
  <w:num w:numId="21">
    <w:abstractNumId w:val="13"/>
  </w:num>
  <w:num w:numId="22">
    <w:abstractNumId w:val="17"/>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4"/>
  </w:num>
  <w:num w:numId="31">
    <w:abstractNumId w:val="12"/>
  </w:num>
  <w:num w:numId="32">
    <w:abstractNumId w:val="9"/>
  </w:num>
  <w:num w:numId="33">
    <w:abstractNumId w:val="1"/>
  </w:num>
  <w:num w:numId="34">
    <w:abstractNumId w:val="1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FCC"/>
    <w:rsid w:val="00030174"/>
    <w:rsid w:val="0004579C"/>
    <w:rsid w:val="0008152E"/>
    <w:rsid w:val="000A47FA"/>
    <w:rsid w:val="000A65D3"/>
    <w:rsid w:val="000B1E33"/>
    <w:rsid w:val="000C21E7"/>
    <w:rsid w:val="000D689F"/>
    <w:rsid w:val="000E7B7B"/>
    <w:rsid w:val="000E7D62"/>
    <w:rsid w:val="00103357"/>
    <w:rsid w:val="00123C9F"/>
    <w:rsid w:val="00126190"/>
    <w:rsid w:val="00130F17"/>
    <w:rsid w:val="001320BF"/>
    <w:rsid w:val="00163BC4"/>
    <w:rsid w:val="00191062"/>
    <w:rsid w:val="00192B72"/>
    <w:rsid w:val="001A29D8"/>
    <w:rsid w:val="001A5CAA"/>
    <w:rsid w:val="001A6287"/>
    <w:rsid w:val="001B0427"/>
    <w:rsid w:val="001D3A51"/>
    <w:rsid w:val="001D7BED"/>
    <w:rsid w:val="001E10D2"/>
    <w:rsid w:val="001E25B4"/>
    <w:rsid w:val="001E44FE"/>
    <w:rsid w:val="00200595"/>
    <w:rsid w:val="00204835"/>
    <w:rsid w:val="00231920"/>
    <w:rsid w:val="0023195C"/>
    <w:rsid w:val="0024282C"/>
    <w:rsid w:val="002460DC"/>
    <w:rsid w:val="00250985"/>
    <w:rsid w:val="002556F6"/>
    <w:rsid w:val="00257182"/>
    <w:rsid w:val="0026456B"/>
    <w:rsid w:val="00283105"/>
    <w:rsid w:val="00284C4C"/>
    <w:rsid w:val="00287E68"/>
    <w:rsid w:val="00296529"/>
    <w:rsid w:val="002B27FB"/>
    <w:rsid w:val="002B685A"/>
    <w:rsid w:val="002C57D2"/>
    <w:rsid w:val="002E0D56"/>
    <w:rsid w:val="00315186"/>
    <w:rsid w:val="0032462E"/>
    <w:rsid w:val="0033343E"/>
    <w:rsid w:val="003512C2"/>
    <w:rsid w:val="00371FB6"/>
    <w:rsid w:val="003763C1"/>
    <w:rsid w:val="00376BBE"/>
    <w:rsid w:val="0039224F"/>
    <w:rsid w:val="003A3904"/>
    <w:rsid w:val="003A43A4"/>
    <w:rsid w:val="003A7E18"/>
    <w:rsid w:val="003C4C86"/>
    <w:rsid w:val="003C6258"/>
    <w:rsid w:val="003E2904"/>
    <w:rsid w:val="003F2D57"/>
    <w:rsid w:val="003F775B"/>
    <w:rsid w:val="00401927"/>
    <w:rsid w:val="0041027F"/>
    <w:rsid w:val="00412475"/>
    <w:rsid w:val="00423789"/>
    <w:rsid w:val="00440F43"/>
    <w:rsid w:val="00441B6F"/>
    <w:rsid w:val="00446221"/>
    <w:rsid w:val="00450E62"/>
    <w:rsid w:val="004539DB"/>
    <w:rsid w:val="00471A80"/>
    <w:rsid w:val="00474786"/>
    <w:rsid w:val="004B08C4"/>
    <w:rsid w:val="004B3AB1"/>
    <w:rsid w:val="004D305E"/>
    <w:rsid w:val="004D4277"/>
    <w:rsid w:val="005011E6"/>
    <w:rsid w:val="00502516"/>
    <w:rsid w:val="00505F06"/>
    <w:rsid w:val="00506828"/>
    <w:rsid w:val="005232EF"/>
    <w:rsid w:val="0053056E"/>
    <w:rsid w:val="00554FDA"/>
    <w:rsid w:val="00562B34"/>
    <w:rsid w:val="005642A5"/>
    <w:rsid w:val="005C784C"/>
    <w:rsid w:val="005C791C"/>
    <w:rsid w:val="005D07F0"/>
    <w:rsid w:val="005D17F6"/>
    <w:rsid w:val="005E243F"/>
    <w:rsid w:val="005E5539"/>
    <w:rsid w:val="00602BF5"/>
    <w:rsid w:val="00617FDD"/>
    <w:rsid w:val="00633614"/>
    <w:rsid w:val="00633F68"/>
    <w:rsid w:val="00636EB2"/>
    <w:rsid w:val="006375B8"/>
    <w:rsid w:val="00651FD4"/>
    <w:rsid w:val="00657099"/>
    <w:rsid w:val="0066510A"/>
    <w:rsid w:val="00673F9F"/>
    <w:rsid w:val="00686953"/>
    <w:rsid w:val="00687DEA"/>
    <w:rsid w:val="00687E67"/>
    <w:rsid w:val="006967F7"/>
    <w:rsid w:val="006A250C"/>
    <w:rsid w:val="006A62D1"/>
    <w:rsid w:val="006B0A3E"/>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2F1"/>
    <w:rsid w:val="00804BC2"/>
    <w:rsid w:val="0081431A"/>
    <w:rsid w:val="0083216F"/>
    <w:rsid w:val="00855778"/>
    <w:rsid w:val="00860000"/>
    <w:rsid w:val="00863BD3"/>
    <w:rsid w:val="008641ED"/>
    <w:rsid w:val="00866D66"/>
    <w:rsid w:val="008671C6"/>
    <w:rsid w:val="00875803"/>
    <w:rsid w:val="0089342A"/>
    <w:rsid w:val="008B459E"/>
    <w:rsid w:val="008D59DE"/>
    <w:rsid w:val="008E13AE"/>
    <w:rsid w:val="008E1506"/>
    <w:rsid w:val="008E710C"/>
    <w:rsid w:val="008F69D6"/>
    <w:rsid w:val="00902823"/>
    <w:rsid w:val="00915CA6"/>
    <w:rsid w:val="00927834"/>
    <w:rsid w:val="00932265"/>
    <w:rsid w:val="009500A6"/>
    <w:rsid w:val="00957C18"/>
    <w:rsid w:val="009659BA"/>
    <w:rsid w:val="00983040"/>
    <w:rsid w:val="009A5B12"/>
    <w:rsid w:val="009B3FB9"/>
    <w:rsid w:val="009C2465"/>
    <w:rsid w:val="009D35A0"/>
    <w:rsid w:val="009D7EB7"/>
    <w:rsid w:val="009E048A"/>
    <w:rsid w:val="009E08E9"/>
    <w:rsid w:val="009E3DB9"/>
    <w:rsid w:val="009E6E35"/>
    <w:rsid w:val="009F0EDA"/>
    <w:rsid w:val="00A03B96"/>
    <w:rsid w:val="00A05B19"/>
    <w:rsid w:val="00A1134E"/>
    <w:rsid w:val="00A126C9"/>
    <w:rsid w:val="00A24E7E"/>
    <w:rsid w:val="00A258C3"/>
    <w:rsid w:val="00A347C0"/>
    <w:rsid w:val="00A51431"/>
    <w:rsid w:val="00A539AD"/>
    <w:rsid w:val="00A94063"/>
    <w:rsid w:val="00AA6219"/>
    <w:rsid w:val="00AA74E0"/>
    <w:rsid w:val="00AB27B2"/>
    <w:rsid w:val="00AB703F"/>
    <w:rsid w:val="00AC03A1"/>
    <w:rsid w:val="00AC6BB8"/>
    <w:rsid w:val="00AE008F"/>
    <w:rsid w:val="00AF1705"/>
    <w:rsid w:val="00B01FCD"/>
    <w:rsid w:val="00B024AE"/>
    <w:rsid w:val="00B1776C"/>
    <w:rsid w:val="00B47CA5"/>
    <w:rsid w:val="00B52583"/>
    <w:rsid w:val="00B52896"/>
    <w:rsid w:val="00B95236"/>
    <w:rsid w:val="00B96BD9"/>
    <w:rsid w:val="00BA1B01"/>
    <w:rsid w:val="00BA2641"/>
    <w:rsid w:val="00BB37AA"/>
    <w:rsid w:val="00BB5EB6"/>
    <w:rsid w:val="00BC53A0"/>
    <w:rsid w:val="00BE62AD"/>
    <w:rsid w:val="00BF121F"/>
    <w:rsid w:val="00BF1F80"/>
    <w:rsid w:val="00BF3B75"/>
    <w:rsid w:val="00C166EF"/>
    <w:rsid w:val="00C17EB0"/>
    <w:rsid w:val="00C27F5F"/>
    <w:rsid w:val="00C30A0F"/>
    <w:rsid w:val="00C377C3"/>
    <w:rsid w:val="00C37E61"/>
    <w:rsid w:val="00C70F1B"/>
    <w:rsid w:val="00C71A47"/>
    <w:rsid w:val="00C7464C"/>
    <w:rsid w:val="00C85588"/>
    <w:rsid w:val="00CD6755"/>
    <w:rsid w:val="00CD6856"/>
    <w:rsid w:val="00CE0089"/>
    <w:rsid w:val="00CE793C"/>
    <w:rsid w:val="00CF193C"/>
    <w:rsid w:val="00D01261"/>
    <w:rsid w:val="00D173F1"/>
    <w:rsid w:val="00D2169D"/>
    <w:rsid w:val="00D2477C"/>
    <w:rsid w:val="00D74CB0"/>
    <w:rsid w:val="00D8295D"/>
    <w:rsid w:val="00DB33A0"/>
    <w:rsid w:val="00DC2A65"/>
    <w:rsid w:val="00DD56A9"/>
    <w:rsid w:val="00DE15F0"/>
    <w:rsid w:val="00DE5131"/>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E71"/>
    <w:rsid w:val="00F469F0"/>
    <w:rsid w:val="00F53273"/>
    <w:rsid w:val="00F755E4"/>
    <w:rsid w:val="00F76A1B"/>
    <w:rsid w:val="00F77D02"/>
    <w:rsid w:val="00FA2408"/>
    <w:rsid w:val="00FB3A86"/>
    <w:rsid w:val="00FB6AD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88494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B33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B33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6A62D1"/>
    <w:pPr>
      <w:ind w:left="720"/>
      <w:contextualSpacing/>
    </w:pPr>
  </w:style>
  <w:style w:type="paragraph" w:styleId="NormalWeb">
    <w:name w:val="Normal (Web)"/>
    <w:basedOn w:val="Normal"/>
    <w:uiPriority w:val="99"/>
    <w:unhideWhenUsed/>
    <w:rsid w:val="0065709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57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phymed.2023.154730"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233FC-8B48-40B3-BDC7-2FB5DABE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1546</TotalTime>
  <Pages>9</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2025-11-10T09:58:00Z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8f775447-0000-4b61-accb-4b20bd1bc7e4</vt:lpwstr>
  </property>
</Properties>
</file>