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3D36F" w14:textId="77777777" w:rsidR="00754C9A" w:rsidRDefault="00754C9A" w:rsidP="00441B6F">
      <w:pPr>
        <w:pStyle w:val="Title"/>
        <w:spacing w:after="0"/>
        <w:jc w:val="both"/>
        <w:rPr>
          <w:rFonts w:ascii="Arial" w:hAnsi="Arial" w:cs="Arial"/>
        </w:rPr>
      </w:pPr>
    </w:p>
    <w:p w14:paraId="137AEB5A" w14:textId="77777777" w:rsidR="00F518CB" w:rsidRPr="00F518CB" w:rsidRDefault="00F518CB" w:rsidP="00F518CB">
      <w:pPr>
        <w:pStyle w:val="Author"/>
        <w:rPr>
          <w:rFonts w:ascii="Arial" w:hAnsi="Arial" w:cs="Arial"/>
          <w:bCs/>
          <w:i/>
          <w:iCs/>
          <w:kern w:val="28"/>
          <w:sz w:val="28"/>
          <w:szCs w:val="16"/>
          <w:u w:val="single"/>
        </w:rPr>
      </w:pPr>
      <w:r w:rsidRPr="00F518CB">
        <w:rPr>
          <w:rFonts w:ascii="Arial" w:hAnsi="Arial" w:cs="Arial"/>
          <w:bCs/>
          <w:i/>
          <w:iCs/>
          <w:kern w:val="28"/>
          <w:sz w:val="28"/>
          <w:szCs w:val="16"/>
          <w:u w:val="single"/>
        </w:rPr>
        <w:t>Short Research Article</w:t>
      </w:r>
    </w:p>
    <w:p w14:paraId="1DE63268" w14:textId="77777777" w:rsidR="00F518CB" w:rsidRDefault="00F518CB" w:rsidP="00441B6F">
      <w:pPr>
        <w:pStyle w:val="Author"/>
        <w:spacing w:line="240" w:lineRule="auto"/>
        <w:rPr>
          <w:rFonts w:ascii="Arial" w:hAnsi="Arial" w:cs="Arial"/>
          <w:bCs/>
          <w:iCs/>
          <w:kern w:val="28"/>
          <w:sz w:val="36"/>
          <w:lang w:val="en-GB"/>
        </w:rPr>
      </w:pPr>
    </w:p>
    <w:p w14:paraId="7D43075D" w14:textId="18B3A7B0" w:rsidR="00163BC4" w:rsidRPr="00163BC4" w:rsidRDefault="00B42B10" w:rsidP="00441B6F">
      <w:pPr>
        <w:pStyle w:val="Author"/>
        <w:spacing w:line="240" w:lineRule="auto"/>
        <w:rPr>
          <w:rFonts w:ascii="Arial" w:hAnsi="Arial" w:cs="Arial"/>
          <w:bCs/>
          <w:iCs/>
          <w:kern w:val="28"/>
          <w:sz w:val="36"/>
        </w:rPr>
      </w:pPr>
      <w:r w:rsidRPr="00B42B10">
        <w:rPr>
          <w:rFonts w:ascii="Arial" w:hAnsi="Arial" w:cs="Arial"/>
          <w:bCs/>
          <w:iCs/>
          <w:kern w:val="28"/>
          <w:sz w:val="36"/>
          <w:lang w:val="en-GB"/>
        </w:rPr>
        <w:t xml:space="preserve">Smudge </w:t>
      </w:r>
      <w:r w:rsidR="00740441" w:rsidRPr="00B42B10">
        <w:rPr>
          <w:rFonts w:ascii="Arial" w:hAnsi="Arial" w:cs="Arial"/>
          <w:bCs/>
          <w:iCs/>
          <w:kern w:val="28"/>
          <w:sz w:val="36"/>
          <w:lang w:val="en-GB"/>
        </w:rPr>
        <w:t>Cells</w:t>
      </w:r>
      <w:r w:rsidR="00740441">
        <w:rPr>
          <w:rFonts w:ascii="Arial" w:hAnsi="Arial" w:cs="Arial"/>
          <w:bCs/>
          <w:iCs/>
          <w:kern w:val="28"/>
          <w:sz w:val="36"/>
          <w:lang w:val="en-GB"/>
        </w:rPr>
        <w:t xml:space="preserve"> </w:t>
      </w:r>
      <w:r w:rsidR="00740441" w:rsidRPr="00727A79">
        <w:rPr>
          <w:rFonts w:ascii="Arial" w:hAnsi="Arial" w:cs="Arial"/>
          <w:bCs/>
          <w:iCs/>
          <w:kern w:val="28"/>
          <w:sz w:val="36"/>
          <w:lang w:val="en-GB"/>
        </w:rPr>
        <w:t>Reporting</w:t>
      </w:r>
      <w:r w:rsidR="00CA724F">
        <w:rPr>
          <w:rFonts w:ascii="Arial" w:hAnsi="Arial" w:cs="Arial"/>
          <w:bCs/>
          <w:iCs/>
          <w:kern w:val="28"/>
          <w:sz w:val="36"/>
          <w:lang w:val="en-GB"/>
        </w:rPr>
        <w:t xml:space="preserve"> </w:t>
      </w:r>
      <w:r w:rsidR="00DD5BEB">
        <w:rPr>
          <w:rFonts w:ascii="Arial" w:hAnsi="Arial" w:cs="Arial"/>
          <w:bCs/>
          <w:iCs/>
          <w:kern w:val="28"/>
          <w:sz w:val="36"/>
          <w:lang w:val="en-GB"/>
        </w:rPr>
        <w:t xml:space="preserve">in </w:t>
      </w:r>
      <w:r w:rsidR="00DD5BEB" w:rsidRPr="00DD5BEB">
        <w:rPr>
          <w:rFonts w:ascii="Arial" w:hAnsi="Arial" w:cs="Arial"/>
          <w:bCs/>
          <w:iCs/>
          <w:kern w:val="28"/>
          <w:sz w:val="36"/>
          <w:lang w:val="en-GB"/>
        </w:rPr>
        <w:t xml:space="preserve">Chronic Lymphocytic </w:t>
      </w:r>
      <w:proofErr w:type="spellStart"/>
      <w:r w:rsidR="00DD5BEB" w:rsidRPr="00DD5BEB">
        <w:rPr>
          <w:rFonts w:ascii="Arial" w:hAnsi="Arial" w:cs="Arial"/>
          <w:bCs/>
          <w:iCs/>
          <w:kern w:val="28"/>
          <w:sz w:val="36"/>
          <w:lang w:val="en-GB"/>
        </w:rPr>
        <w:t>Leukemia</w:t>
      </w:r>
      <w:proofErr w:type="spellEnd"/>
      <w:r w:rsidR="00DD5BEB" w:rsidRPr="00DD5BEB">
        <w:rPr>
          <w:rFonts w:ascii="Arial" w:hAnsi="Arial" w:cs="Arial"/>
          <w:bCs/>
          <w:iCs/>
          <w:kern w:val="28"/>
          <w:sz w:val="36"/>
          <w:lang w:val="en-GB"/>
        </w:rPr>
        <w:t>:</w:t>
      </w:r>
      <w:r w:rsidRPr="00B42B10">
        <w:rPr>
          <w:rFonts w:ascii="Arial" w:hAnsi="Arial" w:cs="Arial"/>
          <w:bCs/>
          <w:iCs/>
          <w:kern w:val="28"/>
          <w:sz w:val="36"/>
          <w:lang w:val="en-GB"/>
        </w:rPr>
        <w:t xml:space="preserve"> </w:t>
      </w:r>
      <w:r w:rsidR="004E0E16" w:rsidRPr="004E0E16">
        <w:rPr>
          <w:rFonts w:ascii="Arial" w:hAnsi="Arial" w:cs="Arial"/>
          <w:bCs/>
          <w:iCs/>
          <w:kern w:val="28"/>
          <w:sz w:val="36"/>
          <w:lang w:val="en-GB"/>
        </w:rPr>
        <w:t>Evaluation of</w:t>
      </w:r>
      <w:r w:rsidR="00104ED5">
        <w:rPr>
          <w:rFonts w:ascii="Arial" w:hAnsi="Arial" w:cs="Arial"/>
          <w:bCs/>
          <w:iCs/>
          <w:kern w:val="28"/>
          <w:sz w:val="36"/>
          <w:lang w:val="en-GB"/>
        </w:rPr>
        <w:t xml:space="preserve"> </w:t>
      </w:r>
      <w:r w:rsidR="007571D8" w:rsidRPr="007571D8">
        <w:rPr>
          <w:rFonts w:ascii="Arial" w:hAnsi="Arial" w:cs="Arial"/>
          <w:bCs/>
          <w:iCs/>
          <w:kern w:val="28"/>
          <w:sz w:val="36"/>
          <w:lang w:val="en-GB"/>
        </w:rPr>
        <w:t xml:space="preserve">Manual Differential </w:t>
      </w:r>
      <w:r w:rsidR="00D173F0" w:rsidRPr="007E6510">
        <w:rPr>
          <w:rFonts w:ascii="Arial" w:hAnsi="Arial" w:cs="Arial"/>
          <w:bCs/>
          <w:iCs/>
          <w:kern w:val="28"/>
          <w:sz w:val="36"/>
          <w:lang w:val="en-GB"/>
        </w:rPr>
        <w:t xml:space="preserve">Blood Count </w:t>
      </w:r>
      <w:r w:rsidR="007571D8" w:rsidRPr="007571D8">
        <w:rPr>
          <w:rFonts w:ascii="Arial" w:hAnsi="Arial" w:cs="Arial"/>
          <w:bCs/>
          <w:iCs/>
          <w:kern w:val="28"/>
          <w:sz w:val="36"/>
          <w:lang w:val="en-GB"/>
        </w:rPr>
        <w:t>and the Impact of Albumin Pre</w:t>
      </w:r>
      <w:r w:rsidR="00390E24">
        <w:rPr>
          <w:rFonts w:ascii="Arial" w:hAnsi="Arial" w:cs="Arial"/>
          <w:bCs/>
          <w:iCs/>
          <w:kern w:val="28"/>
          <w:sz w:val="36"/>
          <w:lang w:val="en-GB"/>
        </w:rPr>
        <w:t>-</w:t>
      </w:r>
      <w:r w:rsidR="007571D8" w:rsidRPr="007571D8">
        <w:rPr>
          <w:rFonts w:ascii="Arial" w:hAnsi="Arial" w:cs="Arial"/>
          <w:bCs/>
          <w:iCs/>
          <w:kern w:val="28"/>
          <w:sz w:val="36"/>
          <w:lang w:val="en-GB"/>
        </w:rPr>
        <w:t>treatment</w:t>
      </w:r>
    </w:p>
    <w:p w14:paraId="0F7E63EA" w14:textId="77777777" w:rsidR="00A258C3" w:rsidRPr="00790ADA" w:rsidRDefault="00A258C3" w:rsidP="00441B6F">
      <w:pPr>
        <w:pStyle w:val="Author"/>
        <w:spacing w:line="240" w:lineRule="auto"/>
        <w:jc w:val="both"/>
        <w:rPr>
          <w:rFonts w:ascii="Arial" w:hAnsi="Arial" w:cs="Arial"/>
          <w:sz w:val="36"/>
        </w:rPr>
      </w:pPr>
    </w:p>
    <w:p w14:paraId="643EB9BC" w14:textId="77777777" w:rsidR="00B01FCD" w:rsidRPr="00FB3A86" w:rsidRDefault="006A1D6A" w:rsidP="00441B6F">
      <w:pPr>
        <w:pStyle w:val="Copyright"/>
        <w:spacing w:after="0" w:line="240" w:lineRule="auto"/>
        <w:jc w:val="both"/>
        <w:rPr>
          <w:rFonts w:ascii="Arial" w:hAnsi="Arial" w:cs="Arial"/>
        </w:rPr>
        <w:sectPr w:rsidR="00B01FCD" w:rsidRPr="00FB3A86" w:rsidSect="00B647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EC419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684E8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D99FD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63AA6AB" w14:textId="77777777" w:rsidTr="001E44FE">
        <w:tc>
          <w:tcPr>
            <w:tcW w:w="9576" w:type="dxa"/>
            <w:shd w:val="clear" w:color="auto" w:fill="F2F2F2"/>
          </w:tcPr>
          <w:p w14:paraId="37ADF409" w14:textId="77777777" w:rsidR="00BA1B0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1F6B49" w:rsidRPr="001F6B49">
              <w:rPr>
                <w:rFonts w:ascii="Arial" w:eastAsia="Calibri" w:hAnsi="Arial" w:cs="Arial"/>
                <w:szCs w:val="22"/>
                <w:lang w:val="en-GB"/>
              </w:rPr>
              <w:t>Smudge cells, an in vitro phenomenon, are one of the common morphologic abnormalities in smears of patients with CLL. However, there is a diversity regarding smudge cell reporting.</w:t>
            </w:r>
          </w:p>
          <w:p w14:paraId="2777DFCD" w14:textId="77777777" w:rsid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1F6B49" w:rsidRPr="001F6B49">
              <w:rPr>
                <w:rFonts w:ascii="Arial" w:eastAsia="Calibri" w:hAnsi="Arial" w:cs="Arial"/>
                <w:szCs w:val="22"/>
                <w:lang w:val="en-GB"/>
              </w:rPr>
              <w:t>We conducted a comparative analysis of manual differential blood count (</w:t>
            </w:r>
            <w:proofErr w:type="spellStart"/>
            <w:r w:rsidR="001F6B49" w:rsidRPr="001F6B49">
              <w:rPr>
                <w:rFonts w:ascii="Arial" w:eastAsia="Calibri" w:hAnsi="Arial" w:cs="Arial"/>
                <w:szCs w:val="22"/>
                <w:lang w:val="en-GB"/>
              </w:rPr>
              <w:t>mDIFF</w:t>
            </w:r>
            <w:proofErr w:type="spellEnd"/>
            <w:r w:rsidR="001F6B49" w:rsidRPr="001F6B49">
              <w:rPr>
                <w:rFonts w:ascii="Arial" w:eastAsia="Calibri" w:hAnsi="Arial" w:cs="Arial"/>
                <w:szCs w:val="22"/>
                <w:lang w:val="en-GB"/>
              </w:rPr>
              <w:t xml:space="preserve">) to a </w:t>
            </w:r>
            <w:proofErr w:type="spellStart"/>
            <w:r w:rsidR="001F6B49" w:rsidRPr="001F6B49">
              <w:rPr>
                <w:rFonts w:ascii="Arial" w:eastAsia="Calibri" w:hAnsi="Arial" w:cs="Arial"/>
                <w:szCs w:val="22"/>
                <w:lang w:val="en-GB"/>
              </w:rPr>
              <w:t>hematological</w:t>
            </w:r>
            <w:proofErr w:type="spellEnd"/>
            <w:r w:rsidR="001F6B49" w:rsidRPr="001F6B49">
              <w:rPr>
                <w:rFonts w:ascii="Arial" w:eastAsia="Calibri" w:hAnsi="Arial" w:cs="Arial"/>
                <w:szCs w:val="22"/>
                <w:lang w:val="en-GB"/>
              </w:rPr>
              <w:t xml:space="preserve"> </w:t>
            </w:r>
            <w:proofErr w:type="spellStart"/>
            <w:r w:rsidR="001F6B49" w:rsidRPr="001F6B49">
              <w:rPr>
                <w:rFonts w:ascii="Arial" w:eastAsia="Calibri" w:hAnsi="Arial" w:cs="Arial"/>
                <w:szCs w:val="22"/>
                <w:lang w:val="en-GB"/>
              </w:rPr>
              <w:t>analyzer</w:t>
            </w:r>
            <w:proofErr w:type="spellEnd"/>
            <w:r w:rsidR="001F6B49" w:rsidRPr="001F6B49">
              <w:rPr>
                <w:rFonts w:ascii="Arial" w:eastAsia="Calibri" w:hAnsi="Arial" w:cs="Arial"/>
                <w:szCs w:val="22"/>
                <w:lang w:val="en-GB"/>
              </w:rPr>
              <w:t xml:space="preserve"> differential (</w:t>
            </w:r>
            <w:proofErr w:type="spellStart"/>
            <w:r w:rsidR="001F6B49" w:rsidRPr="001F6B49">
              <w:rPr>
                <w:rFonts w:ascii="Arial" w:eastAsia="Calibri" w:hAnsi="Arial" w:cs="Arial"/>
                <w:szCs w:val="22"/>
                <w:lang w:val="en-GB"/>
              </w:rPr>
              <w:t>aDIFF</w:t>
            </w:r>
            <w:proofErr w:type="spellEnd"/>
            <w:r w:rsidR="001F6B49" w:rsidRPr="001F6B49">
              <w:rPr>
                <w:rFonts w:ascii="Arial" w:eastAsia="Calibri" w:hAnsi="Arial" w:cs="Arial"/>
                <w:szCs w:val="22"/>
                <w:lang w:val="en-GB"/>
              </w:rPr>
              <w:t xml:space="preserve">). </w:t>
            </w:r>
            <w:proofErr w:type="spellStart"/>
            <w:r w:rsidR="001F6B49" w:rsidRPr="001F6B49">
              <w:rPr>
                <w:rFonts w:ascii="Arial" w:eastAsia="Calibri" w:hAnsi="Arial" w:cs="Arial"/>
                <w:szCs w:val="22"/>
                <w:lang w:val="en-GB"/>
              </w:rPr>
              <w:t>mDIFF</w:t>
            </w:r>
            <w:proofErr w:type="spellEnd"/>
            <w:r w:rsidR="001F6B49" w:rsidRPr="001F6B49">
              <w:rPr>
                <w:rFonts w:ascii="Arial" w:eastAsia="Calibri" w:hAnsi="Arial" w:cs="Arial"/>
                <w:szCs w:val="22"/>
                <w:lang w:val="en-GB"/>
              </w:rPr>
              <w:t xml:space="preserve"> was conducted in three manners: by excluding smudge cells from 100 leukocyte count (mDIFF1); by including smudge cells into lymphocyte count (mDIFF2); differential on an albumenized smear (</w:t>
            </w:r>
            <w:proofErr w:type="spellStart"/>
            <w:r w:rsidR="001F6B49" w:rsidRPr="001F6B49">
              <w:rPr>
                <w:rFonts w:ascii="Arial" w:eastAsia="Calibri" w:hAnsi="Arial" w:cs="Arial"/>
                <w:szCs w:val="22"/>
                <w:lang w:val="en-GB"/>
              </w:rPr>
              <w:t>mDIFF_alb</w:t>
            </w:r>
            <w:proofErr w:type="spellEnd"/>
            <w:r w:rsidR="001F6B49" w:rsidRPr="001F6B49">
              <w:rPr>
                <w:rFonts w:ascii="Arial" w:eastAsia="Calibri" w:hAnsi="Arial" w:cs="Arial"/>
                <w:szCs w:val="22"/>
                <w:lang w:val="en-GB"/>
              </w:rPr>
              <w:t>). The Mann-Whitney test was used for smudge cell count comparison in standard and albuminized smears, and Friedman’s test for comparison of differential counts (lymphocytes, neutrophils and their ratio). P-value &lt;0.05 was considered significant.</w:t>
            </w:r>
          </w:p>
          <w:p w14:paraId="3CD18FD8" w14:textId="77777777" w:rsid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1F6B49" w:rsidRPr="001F6B49">
              <w:rPr>
                <w:rFonts w:ascii="Arial" w:eastAsia="Calibri" w:hAnsi="Arial" w:cs="Arial"/>
                <w:szCs w:val="22"/>
                <w:lang w:val="en-GB"/>
              </w:rPr>
              <w:t xml:space="preserve">The smudge cell count was significantly lower in albumenized smears (median 7, range 0–34), compared to standard smears (median 25, range 7–169), P&lt;0,0001.  mDIFF2 results significantly differed in neutrophil and lymphocyte count compared to other methods (P&lt;0.05). The relative lymphocyte count in a manual method mDIFF1 did not significantly differ from the </w:t>
            </w:r>
            <w:proofErr w:type="spellStart"/>
            <w:r w:rsidR="001F6B49" w:rsidRPr="001F6B49">
              <w:rPr>
                <w:rFonts w:ascii="Arial" w:eastAsia="Calibri" w:hAnsi="Arial" w:cs="Arial"/>
                <w:szCs w:val="22"/>
                <w:lang w:val="en-GB"/>
              </w:rPr>
              <w:t>aDIFF</w:t>
            </w:r>
            <w:proofErr w:type="spellEnd"/>
            <w:r w:rsidR="001F6B49" w:rsidRPr="001F6B49">
              <w:rPr>
                <w:rFonts w:ascii="Arial" w:eastAsia="Calibri" w:hAnsi="Arial" w:cs="Arial"/>
                <w:szCs w:val="22"/>
                <w:lang w:val="en-GB"/>
              </w:rPr>
              <w:t>.</w:t>
            </w:r>
          </w:p>
          <w:p w14:paraId="4E88192D" w14:textId="77777777" w:rsidR="00505F06" w:rsidRP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1F6B49" w:rsidRPr="001F6B49">
              <w:rPr>
                <w:rFonts w:ascii="Arial" w:eastAsia="Calibri" w:hAnsi="Arial" w:cs="Arial"/>
                <w:szCs w:val="22"/>
                <w:lang w:val="en-GB"/>
              </w:rPr>
              <w:t>Although albumin pre-treatment effectively reduces smudge cell formation, it is not essential for obtaining clinically reliable differentials in routine practice. Reporting smudge cells as their number per 100 leukocytes provides a suitable alternative to automated differential leukocyte counts.</w:t>
            </w:r>
          </w:p>
        </w:tc>
      </w:tr>
    </w:tbl>
    <w:p w14:paraId="2318C75D" w14:textId="77777777" w:rsidR="00636EB2" w:rsidRDefault="00636EB2" w:rsidP="00441B6F">
      <w:pPr>
        <w:pStyle w:val="Body"/>
        <w:spacing w:after="0"/>
        <w:rPr>
          <w:rFonts w:ascii="Arial" w:hAnsi="Arial" w:cs="Arial"/>
          <w:i/>
        </w:rPr>
      </w:pPr>
    </w:p>
    <w:p w14:paraId="08A4FB14" w14:textId="77777777" w:rsidR="00A24E7E" w:rsidRDefault="00A24E7E" w:rsidP="00441B6F">
      <w:pPr>
        <w:pStyle w:val="Body"/>
        <w:spacing w:after="0"/>
        <w:rPr>
          <w:rFonts w:ascii="Arial" w:hAnsi="Arial" w:cs="Arial"/>
          <w:i/>
        </w:rPr>
      </w:pPr>
      <w:r>
        <w:rPr>
          <w:rFonts w:ascii="Arial" w:hAnsi="Arial" w:cs="Arial"/>
          <w:i/>
        </w:rPr>
        <w:t xml:space="preserve">Keywords: </w:t>
      </w:r>
      <w:r w:rsidR="00791656" w:rsidRPr="00791656">
        <w:rPr>
          <w:rFonts w:ascii="Arial" w:hAnsi="Arial" w:cs="Arial"/>
          <w:i/>
          <w:lang w:val="en-GB"/>
        </w:rPr>
        <w:t>chronic lymphocytic leukemia (CLL), smudge cells, morphology</w:t>
      </w:r>
    </w:p>
    <w:p w14:paraId="3C40DBE6" w14:textId="77777777" w:rsidR="00505F06" w:rsidRPr="00A24E7E" w:rsidRDefault="00505F06" w:rsidP="00441B6F">
      <w:pPr>
        <w:pStyle w:val="Body"/>
        <w:spacing w:after="0"/>
        <w:rPr>
          <w:rFonts w:ascii="Arial" w:hAnsi="Arial" w:cs="Arial"/>
          <w:i/>
        </w:rPr>
      </w:pPr>
    </w:p>
    <w:p w14:paraId="1F40D1C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BCCD96" w14:textId="77777777" w:rsidR="00790ADA" w:rsidRPr="00FB3A86" w:rsidRDefault="00790ADA" w:rsidP="00441B6F">
      <w:pPr>
        <w:pStyle w:val="AbstHead"/>
        <w:spacing w:after="0"/>
        <w:jc w:val="both"/>
        <w:rPr>
          <w:rFonts w:ascii="Arial" w:hAnsi="Arial" w:cs="Arial"/>
        </w:rPr>
      </w:pPr>
    </w:p>
    <w:p w14:paraId="2A27A47F" w14:textId="77777777" w:rsidR="00DD21EF" w:rsidRPr="00DD21EF" w:rsidRDefault="00DD21EF" w:rsidP="00DD21EF">
      <w:pPr>
        <w:pStyle w:val="Body"/>
        <w:rPr>
          <w:rFonts w:ascii="Arial" w:hAnsi="Arial" w:cs="Arial"/>
          <w:lang w:val="en-GB"/>
        </w:rPr>
      </w:pPr>
      <w:r w:rsidRPr="00DD21EF">
        <w:rPr>
          <w:rFonts w:ascii="Arial" w:hAnsi="Arial" w:cs="Arial"/>
          <w:lang w:val="en-GB"/>
        </w:rPr>
        <w:t xml:space="preserve">While performing manual differential blood count on smears with Gumprecht shadows (smudge cells), we observed different practices in reporting their count. Gumprecht shadows, shadow cells, or smudge cells are leukocytes damaged during smear-making. They can be observed in blood smears of patients with hematological cancers, solid cancers, infections, and out-of-hospital cardiac arrest </w:t>
      </w:r>
      <w:r w:rsidR="00E91A52">
        <w:rPr>
          <w:rFonts w:ascii="Arial" w:hAnsi="Arial" w:cs="Arial"/>
          <w:lang w:val="en-GB"/>
        </w:rPr>
        <w:t>(Chang</w:t>
      </w:r>
      <w:r w:rsidR="00705623">
        <w:rPr>
          <w:rFonts w:ascii="Arial" w:hAnsi="Arial" w:cs="Arial"/>
          <w:lang w:val="en-GB"/>
        </w:rPr>
        <w:t>, 2016)</w:t>
      </w:r>
      <w:r w:rsidRPr="00DD21EF">
        <w:rPr>
          <w:rFonts w:ascii="Arial" w:hAnsi="Arial" w:cs="Arial"/>
          <w:lang w:val="en-GB"/>
        </w:rPr>
        <w:t xml:space="preserve">. Smudge cells are one of the common morphologic abnormalities in smears of patients with chronic lymphocytic leukemia (CLL). Their number can vary from 1-75% of total leukocytes. Lymphocytes in CLL are more fragile than normal lymphocytes due to defects of proteins of the nuclear envelope and plasma membrane. These defects make them more prone to smudging while making a blood smear </w:t>
      </w:r>
      <w:r w:rsidR="00705623">
        <w:rPr>
          <w:rFonts w:ascii="Arial" w:hAnsi="Arial" w:cs="Arial"/>
          <w:lang w:val="en-GB"/>
        </w:rPr>
        <w:t>(Gogia, 2014)</w:t>
      </w:r>
      <w:r w:rsidRPr="00DD21EF">
        <w:rPr>
          <w:rFonts w:ascii="Arial" w:hAnsi="Arial" w:cs="Arial"/>
          <w:lang w:val="en-GB"/>
        </w:rPr>
        <w:t xml:space="preserve">. This phenomenon appears in vitro, but in vivo, these cells stay intact and, therefore, are counted as lymphocytes while performing a leukocyte differential </w:t>
      </w:r>
      <w:r w:rsidRPr="00DD21EF">
        <w:rPr>
          <w:rFonts w:ascii="Arial" w:hAnsi="Arial" w:cs="Arial"/>
          <w:lang w:val="en-GB"/>
        </w:rPr>
        <w:lastRenderedPageBreak/>
        <w:t xml:space="preserve">count on a </w:t>
      </w:r>
      <w:proofErr w:type="spellStart"/>
      <w:r w:rsidRPr="00DD21EF">
        <w:rPr>
          <w:rFonts w:ascii="Arial" w:hAnsi="Arial" w:cs="Arial"/>
          <w:lang w:val="en-GB"/>
        </w:rPr>
        <w:t>hematological</w:t>
      </w:r>
      <w:proofErr w:type="spellEnd"/>
      <w:r w:rsidRPr="00DD21EF">
        <w:rPr>
          <w:rFonts w:ascii="Arial" w:hAnsi="Arial" w:cs="Arial"/>
          <w:lang w:val="en-GB"/>
        </w:rPr>
        <w:t xml:space="preserve"> analyser </w:t>
      </w:r>
      <w:r w:rsidR="00705623">
        <w:rPr>
          <w:rFonts w:ascii="Arial" w:hAnsi="Arial" w:cs="Arial"/>
          <w:lang w:val="en-GB"/>
        </w:rPr>
        <w:t>(</w:t>
      </w:r>
      <w:proofErr w:type="spellStart"/>
      <w:r w:rsidR="00705623">
        <w:rPr>
          <w:rFonts w:ascii="Arial" w:hAnsi="Arial" w:cs="Arial"/>
          <w:lang w:val="en-GB"/>
        </w:rPr>
        <w:t>Marionneaux</w:t>
      </w:r>
      <w:proofErr w:type="spellEnd"/>
      <w:r w:rsidR="00705623">
        <w:rPr>
          <w:rFonts w:ascii="Arial" w:hAnsi="Arial" w:cs="Arial"/>
          <w:lang w:val="en-GB"/>
        </w:rPr>
        <w:t>, 2021)</w:t>
      </w:r>
      <w:r w:rsidRPr="00DD21EF">
        <w:rPr>
          <w:rFonts w:ascii="Arial" w:hAnsi="Arial" w:cs="Arial"/>
          <w:lang w:val="en-GB"/>
        </w:rPr>
        <w:t>.  If a blood smear is prepared with albumin, the formation of smudge cells could be decreased</w:t>
      </w:r>
      <w:r w:rsidRPr="00DD21EF">
        <w:rPr>
          <w:rFonts w:ascii="Arial" w:hAnsi="Arial" w:cs="Arial"/>
          <w:vertAlign w:val="superscript"/>
          <w:lang w:val="en-GB"/>
        </w:rPr>
        <w:t xml:space="preserve"> </w:t>
      </w:r>
      <w:r w:rsidR="00705623">
        <w:rPr>
          <w:rFonts w:ascii="Arial" w:hAnsi="Arial" w:cs="Arial"/>
          <w:lang w:val="en-GB"/>
        </w:rPr>
        <w:t>(Lunning, 2004)</w:t>
      </w:r>
      <w:r w:rsidRPr="00DD21EF">
        <w:rPr>
          <w:rFonts w:ascii="Arial" w:hAnsi="Arial" w:cs="Arial"/>
          <w:lang w:val="en-GB"/>
        </w:rPr>
        <w:t xml:space="preserve">. </w:t>
      </w:r>
    </w:p>
    <w:p w14:paraId="4DDE6E08" w14:textId="77777777" w:rsidR="00DD21EF" w:rsidRPr="00DD21EF" w:rsidRDefault="00DD21EF" w:rsidP="00DD21EF">
      <w:pPr>
        <w:pStyle w:val="Body"/>
        <w:rPr>
          <w:rFonts w:ascii="Arial" w:hAnsi="Arial" w:cs="Arial"/>
          <w:lang w:val="en-GB"/>
        </w:rPr>
      </w:pPr>
      <w:r w:rsidRPr="00DD21EF">
        <w:rPr>
          <w:rFonts w:ascii="Arial" w:hAnsi="Arial" w:cs="Arial"/>
          <w:lang w:val="en-GB"/>
        </w:rPr>
        <w:t>The issue we came across was a discrepancy in reporting between different guidelines, external quality control management systems, and digital tools. ICSH guidelines suggest that an automatic differential count from a hematological analyzer should be reported in case of a blood smear with a significant number of smudge cells, while their presence may be commented on the smear report. If the report from the analyzer is not available, smudge cells should be counted as the cell line from which they derived in manual differential count if their morphology is apparent</w:t>
      </w:r>
      <w:r w:rsidRPr="00DD21EF">
        <w:rPr>
          <w:rFonts w:ascii="Arial" w:hAnsi="Arial" w:cs="Arial"/>
          <w:vertAlign w:val="superscript"/>
          <w:lang w:val="en-GB"/>
        </w:rPr>
        <w:t xml:space="preserve"> </w:t>
      </w:r>
      <w:r w:rsidR="00705623">
        <w:rPr>
          <w:rFonts w:ascii="Arial" w:hAnsi="Arial" w:cs="Arial"/>
          <w:lang w:val="en-GB"/>
        </w:rPr>
        <w:t>(</w:t>
      </w:r>
      <w:r w:rsidR="00D74FD9">
        <w:rPr>
          <w:rFonts w:ascii="Arial" w:hAnsi="Arial" w:cs="Arial"/>
          <w:lang w:val="en-GB"/>
        </w:rPr>
        <w:t>Palmer, 2015</w:t>
      </w:r>
      <w:r w:rsidR="00705623">
        <w:rPr>
          <w:rFonts w:ascii="Arial" w:hAnsi="Arial" w:cs="Arial"/>
          <w:lang w:val="en-GB"/>
        </w:rPr>
        <w:t>)</w:t>
      </w:r>
      <w:r w:rsidRPr="00DD21EF">
        <w:rPr>
          <w:rFonts w:ascii="Arial" w:hAnsi="Arial" w:cs="Arial"/>
          <w:lang w:val="en-GB"/>
        </w:rPr>
        <w:t xml:space="preserve">. In patients with CLL those would be lymphocytes. If the smudge cells are not identifiable CLSI guidelines suggest their number should be classified separately and reported as others, including a comment on the laboratory report </w:t>
      </w:r>
      <w:r w:rsidR="00D74FD9">
        <w:rPr>
          <w:rFonts w:ascii="Arial" w:hAnsi="Arial" w:cs="Arial"/>
          <w:lang w:val="en-GB"/>
        </w:rPr>
        <w:t>(CLSI H20-A2, 2007)</w:t>
      </w:r>
      <w:r w:rsidRPr="00DD21EF">
        <w:rPr>
          <w:rFonts w:ascii="Arial" w:hAnsi="Arial" w:cs="Arial"/>
          <w:lang w:val="en-GB"/>
        </w:rPr>
        <w:t xml:space="preserve">. A study that questioned the feasibility of counting smudge cells as lymphocytes suggested an algorithm for reporting differential in patients with CLL </w:t>
      </w:r>
      <w:r w:rsidR="00D74FD9">
        <w:rPr>
          <w:rFonts w:ascii="Arial" w:hAnsi="Arial" w:cs="Arial"/>
          <w:lang w:val="en-GB"/>
        </w:rPr>
        <w:t>(Gulati, 2017)</w:t>
      </w:r>
      <w:r w:rsidRPr="00DD21EF">
        <w:rPr>
          <w:rFonts w:ascii="Arial" w:hAnsi="Arial" w:cs="Arial"/>
          <w:lang w:val="en-GB"/>
        </w:rPr>
        <w:t>. They suggest that the differential leukocyte count should be reported from the analyzer when no flags are present. If flags are generated, the differential should be performed on a non-albuminized peripheral blood smear, with smudge cells classified as lymphocytes. In cases with present blasts or more than 10% other lymphoid cells, an albuminized smear should be used.</w:t>
      </w:r>
    </w:p>
    <w:p w14:paraId="69301733" w14:textId="77777777" w:rsidR="00B95236" w:rsidRDefault="00DD21EF" w:rsidP="00DD21EF">
      <w:pPr>
        <w:pStyle w:val="Body"/>
        <w:spacing w:after="0"/>
        <w:rPr>
          <w:rFonts w:ascii="Arial" w:hAnsi="Arial" w:cs="Arial"/>
        </w:rPr>
      </w:pPr>
      <w:r w:rsidRPr="00DD21EF">
        <w:rPr>
          <w:rFonts w:ascii="Arial" w:hAnsi="Arial" w:cs="Arial"/>
          <w:lang w:val="en-GB"/>
        </w:rPr>
        <w:t>When it comes to slide quality control programs, some suggest that smudge cells should be counted as lymphocytes if manual differential is reported, while others include them in 100 leukocyte differentials as a separate categor</w:t>
      </w:r>
      <w:r w:rsidR="00D74FD9">
        <w:rPr>
          <w:rFonts w:ascii="Arial" w:hAnsi="Arial" w:cs="Arial"/>
          <w:lang w:val="en-GB"/>
        </w:rPr>
        <w:t xml:space="preserve">y (QSP, 2023; </w:t>
      </w:r>
      <w:proofErr w:type="spellStart"/>
      <w:r w:rsidR="00D74FD9">
        <w:rPr>
          <w:rFonts w:ascii="Arial" w:hAnsi="Arial" w:cs="Arial"/>
          <w:lang w:val="en-GB"/>
        </w:rPr>
        <w:t>RfB</w:t>
      </w:r>
      <w:proofErr w:type="spellEnd"/>
      <w:r w:rsidR="00D74FD9">
        <w:rPr>
          <w:rFonts w:ascii="Arial" w:hAnsi="Arial" w:cs="Arial"/>
          <w:lang w:val="en-GB"/>
        </w:rPr>
        <w:t>, 2012)</w:t>
      </w:r>
      <w:r w:rsidRPr="00DD21EF">
        <w:rPr>
          <w:rFonts w:ascii="Arial" w:hAnsi="Arial" w:cs="Arial"/>
          <w:lang w:val="en-GB"/>
        </w:rPr>
        <w:t xml:space="preserve">. Digital microscopy tools, such as Cellavision or Easycell, count such cells as fragments and report their number by expressing the total counted number per 100 leukocytes </w:t>
      </w:r>
      <w:r w:rsidR="00D74FD9">
        <w:rPr>
          <w:rFonts w:ascii="Arial" w:hAnsi="Arial" w:cs="Arial"/>
          <w:lang w:val="en-GB"/>
        </w:rPr>
        <w:t>(CellaVision, 2022)</w:t>
      </w:r>
      <w:r w:rsidRPr="00DD21EF">
        <w:rPr>
          <w:rFonts w:ascii="Arial" w:hAnsi="Arial" w:cs="Arial"/>
          <w:lang w:val="en-GB"/>
        </w:rPr>
        <w:t>. A common practice in laboratories is to exclude smudge cells from a 100-cell differential count and comment their presence on a smear report. Albumenized smears are not so common since albumin is not always easily available, especially in a small laboratory. In order to evaluate different approaches of result reporting, we compared three different methods of manual differential blood count to a differential of a haematological analyser. We conducted a comparative analysis of differential blood count in patients with confirmed CLL diagnosis. This was a group of choice since they have a great tendency of forming smudge cells due to fragility of lymphocytes and, also, we can be confident of the origin of the smudge cells.</w:t>
      </w:r>
    </w:p>
    <w:p w14:paraId="74F6E7C0" w14:textId="77777777" w:rsidR="00790ADA" w:rsidRPr="00FB3A86" w:rsidRDefault="00790ADA" w:rsidP="00441B6F">
      <w:pPr>
        <w:pStyle w:val="Body"/>
        <w:spacing w:after="0"/>
        <w:rPr>
          <w:rFonts w:ascii="Arial" w:hAnsi="Arial" w:cs="Arial"/>
        </w:rPr>
      </w:pPr>
    </w:p>
    <w:p w14:paraId="3F25A3F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21108D6" w14:textId="77777777" w:rsidR="00790ADA" w:rsidRPr="00FB3A86" w:rsidRDefault="00790ADA" w:rsidP="00441B6F">
      <w:pPr>
        <w:pStyle w:val="AbstHead"/>
        <w:spacing w:after="0"/>
        <w:jc w:val="both"/>
        <w:rPr>
          <w:rFonts w:ascii="Arial" w:hAnsi="Arial" w:cs="Arial"/>
        </w:rPr>
      </w:pPr>
    </w:p>
    <w:p w14:paraId="028CD11D" w14:textId="77777777" w:rsidR="00DD21EF" w:rsidRPr="00DD21EF" w:rsidRDefault="00DD21EF" w:rsidP="00DD21EF">
      <w:pPr>
        <w:pStyle w:val="Body"/>
        <w:rPr>
          <w:rFonts w:ascii="Arial" w:eastAsia="Calibri" w:hAnsi="Arial" w:cs="Arial"/>
          <w:szCs w:val="22"/>
          <w:lang w:val="hr-HR"/>
        </w:rPr>
      </w:pPr>
      <w:r w:rsidRPr="00DD21EF">
        <w:rPr>
          <w:rFonts w:ascii="Arial" w:eastAsia="Calibri" w:hAnsi="Arial" w:cs="Arial"/>
          <w:szCs w:val="22"/>
          <w:lang w:val="en-GB"/>
        </w:rPr>
        <w:t xml:space="preserve">Automatic differential leukocyte counts were performed on 27 samples from patients with CLL on the Siemens ADVIA 2120i hematology analyzer (Siemens, Marburg, Germany) (aDIFF). </w:t>
      </w:r>
      <w:r w:rsidRPr="00DD21EF">
        <w:rPr>
          <w:rFonts w:ascii="Arial" w:eastAsia="Calibri" w:hAnsi="Arial" w:cs="Arial"/>
          <w:szCs w:val="22"/>
          <w:lang w:val="hr-HR"/>
        </w:rPr>
        <w:t xml:space="preserve">For each sample, two blood smears were prepared following the protocol illustrated in Figure 1. </w:t>
      </w:r>
      <w:r w:rsidRPr="00DD21EF">
        <w:rPr>
          <w:rFonts w:ascii="Arial" w:eastAsia="Calibri" w:hAnsi="Arial" w:cs="Arial"/>
          <w:szCs w:val="22"/>
          <w:lang w:val="en-GB"/>
        </w:rPr>
        <w:t>One smear followed our usual laboratory routine protocol (without additives), and the other was made by using 20% human serum albumin (1 part of albumin solution to 4 parts of blood). Both types of smears were stained by standard May-Grünwald Giemsa protocol. Manual differential (</w:t>
      </w:r>
      <w:proofErr w:type="spellStart"/>
      <w:r w:rsidRPr="00DD21EF">
        <w:rPr>
          <w:rFonts w:ascii="Arial" w:eastAsia="Calibri" w:hAnsi="Arial" w:cs="Arial"/>
          <w:szCs w:val="22"/>
          <w:lang w:val="en-GB"/>
        </w:rPr>
        <w:t>mDIFF</w:t>
      </w:r>
      <w:proofErr w:type="spellEnd"/>
      <w:r w:rsidRPr="00DD21EF">
        <w:rPr>
          <w:rFonts w:ascii="Arial" w:eastAsia="Calibri" w:hAnsi="Arial" w:cs="Arial"/>
          <w:szCs w:val="22"/>
          <w:lang w:val="en-GB"/>
        </w:rPr>
        <w:t>) was performed in three manners:</w:t>
      </w:r>
    </w:p>
    <w:p w14:paraId="6F3EF111"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1. On a routine blood smear: excluding smudge cells from 100 leukocyte count and reporting their number on 100 cells (mDIFF1),</w:t>
      </w:r>
    </w:p>
    <w:p w14:paraId="5CB30779"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2. On a routine blood smear: including smudge cells into lymphocyte count (mDIFF2),</w:t>
      </w:r>
    </w:p>
    <w:p w14:paraId="5B3285E5"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3. On an albumin smear: the presence of smudge cells was minimized, so they were excluded from 100 leukocyte count (mDIFF_alb).</w:t>
      </w:r>
    </w:p>
    <w:p w14:paraId="3C479355" w14:textId="77777777" w:rsidR="00DD21EF" w:rsidRPr="00DD21EF" w:rsidRDefault="00E74928" w:rsidP="00DD21EF">
      <w:pPr>
        <w:pStyle w:val="Body"/>
        <w:rPr>
          <w:rFonts w:ascii="Arial" w:eastAsia="Calibri" w:hAnsi="Arial" w:cs="Arial"/>
          <w:szCs w:val="22"/>
          <w:lang w:val="en-GB"/>
        </w:rPr>
      </w:pPr>
      <w:r>
        <w:rPr>
          <w:rFonts w:ascii="Arial" w:eastAsia="Calibri" w:hAnsi="Arial" w:cs="Arial"/>
          <w:noProof/>
          <w:szCs w:val="22"/>
        </w:rPr>
        <w:lastRenderedPageBreak/>
        <w:drawing>
          <wp:inline distT="0" distB="0" distL="0" distR="0" wp14:anchorId="029CEE30" wp14:editId="596A60FB">
            <wp:extent cx="5212080" cy="424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5212080" cy="4245610"/>
                    </a:xfrm>
                    <a:prstGeom prst="rect">
                      <a:avLst/>
                    </a:prstGeom>
                  </pic:spPr>
                </pic:pic>
              </a:graphicData>
            </a:graphic>
          </wp:inline>
        </w:drawing>
      </w:r>
    </w:p>
    <w:p w14:paraId="20EC085C" w14:textId="77777777" w:rsidR="00DD21EF" w:rsidRPr="008247A6" w:rsidRDefault="00DD21EF" w:rsidP="00DD21E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74928" w:rsidRPr="00E74928">
        <w:rPr>
          <w:rFonts w:ascii="Arial" w:hAnsi="Arial" w:cs="Arial"/>
          <w:b/>
          <w:bCs/>
          <w:szCs w:val="22"/>
          <w:lang w:val="en-GB"/>
        </w:rPr>
        <w:t>Workflow of the study aimed at evaluating smudge cell reporting as part of differential leukocyte counts in CLL patients.</w:t>
      </w:r>
    </w:p>
    <w:p w14:paraId="1A097B27" w14:textId="77777777" w:rsidR="00DD21EF" w:rsidRPr="008247A6" w:rsidRDefault="00E74928" w:rsidP="00DD21EF">
      <w:pPr>
        <w:autoSpaceDE w:val="0"/>
        <w:autoSpaceDN w:val="0"/>
        <w:adjustRightInd w:val="0"/>
        <w:ind w:left="360"/>
        <w:jc w:val="both"/>
        <w:rPr>
          <w:rFonts w:ascii="Arial" w:hAnsi="Arial" w:cs="Arial"/>
          <w:i/>
          <w:sz w:val="18"/>
        </w:rPr>
      </w:pPr>
      <w:r>
        <w:rPr>
          <w:rFonts w:ascii="Arial" w:hAnsi="Arial" w:cs="Arial"/>
          <w:i/>
          <w:sz w:val="18"/>
        </w:rPr>
        <w:t>CLL-</w:t>
      </w:r>
      <w:r w:rsidRPr="00E74928">
        <w:rPr>
          <w:rFonts w:ascii="Arial" w:hAnsi="Arial" w:cs="Arial"/>
          <w:i/>
          <w:lang w:val="en-GB"/>
        </w:rPr>
        <w:t xml:space="preserve"> </w:t>
      </w:r>
      <w:r w:rsidRPr="00E74928">
        <w:rPr>
          <w:rFonts w:ascii="Arial" w:hAnsi="Arial" w:cs="Arial"/>
          <w:i/>
          <w:sz w:val="18"/>
          <w:lang w:val="en-GB"/>
        </w:rPr>
        <w:t xml:space="preserve">chronic lymphocytic leukemia, </w:t>
      </w:r>
      <w:r w:rsidR="002D249A">
        <w:rPr>
          <w:rFonts w:ascii="Arial" w:hAnsi="Arial" w:cs="Arial"/>
          <w:i/>
          <w:sz w:val="18"/>
          <w:lang w:val="en-GB"/>
        </w:rPr>
        <w:t xml:space="preserve">DIFF- </w:t>
      </w:r>
      <w:r w:rsidR="002D249A" w:rsidRPr="002D249A">
        <w:rPr>
          <w:rFonts w:ascii="Arial" w:hAnsi="Arial" w:cs="Arial"/>
          <w:i/>
          <w:sz w:val="18"/>
          <w:lang w:val="en-GB"/>
        </w:rPr>
        <w:t>differentials</w:t>
      </w:r>
      <w:r w:rsidR="002D249A">
        <w:rPr>
          <w:rFonts w:ascii="Arial" w:hAnsi="Arial" w:cs="Arial"/>
          <w:i/>
          <w:sz w:val="18"/>
          <w:lang w:val="en-GB"/>
        </w:rPr>
        <w:t xml:space="preserve">, </w:t>
      </w:r>
      <w:r>
        <w:rPr>
          <w:rFonts w:ascii="Arial" w:hAnsi="Arial" w:cs="Arial"/>
          <w:i/>
          <w:sz w:val="18"/>
          <w:lang w:val="en-GB"/>
        </w:rPr>
        <w:t xml:space="preserve">SCs- </w:t>
      </w:r>
      <w:r w:rsidRPr="00E74928">
        <w:rPr>
          <w:rFonts w:ascii="Arial" w:hAnsi="Arial" w:cs="Arial"/>
          <w:i/>
          <w:sz w:val="18"/>
          <w:lang w:val="en-GB"/>
        </w:rPr>
        <w:t>smudge cells</w:t>
      </w:r>
      <w:r w:rsidR="002D249A">
        <w:rPr>
          <w:rFonts w:ascii="Arial" w:hAnsi="Arial" w:cs="Arial"/>
          <w:i/>
          <w:sz w:val="18"/>
          <w:lang w:val="en-GB"/>
        </w:rPr>
        <w:t>.</w:t>
      </w:r>
    </w:p>
    <w:p w14:paraId="78C656D0" w14:textId="77777777" w:rsidR="002D249A" w:rsidRDefault="002D249A" w:rsidP="00DD21EF">
      <w:pPr>
        <w:pStyle w:val="Body"/>
        <w:spacing w:after="0"/>
        <w:rPr>
          <w:rFonts w:ascii="Arial" w:eastAsia="Calibri" w:hAnsi="Arial" w:cs="Arial"/>
          <w:szCs w:val="22"/>
          <w:lang w:val="en-GB"/>
        </w:rPr>
      </w:pPr>
    </w:p>
    <w:p w14:paraId="6BFD6CFC" w14:textId="77777777" w:rsidR="002D249A" w:rsidRDefault="002D249A" w:rsidP="00DD21EF">
      <w:pPr>
        <w:pStyle w:val="Body"/>
        <w:spacing w:after="0"/>
        <w:rPr>
          <w:rFonts w:ascii="Arial" w:eastAsia="Calibri" w:hAnsi="Arial" w:cs="Arial"/>
          <w:szCs w:val="22"/>
          <w:lang w:val="en-GB"/>
        </w:rPr>
      </w:pPr>
    </w:p>
    <w:p w14:paraId="744AF076" w14:textId="77777777" w:rsidR="00502516" w:rsidRDefault="00DD21EF" w:rsidP="00DD21EF">
      <w:pPr>
        <w:pStyle w:val="Body"/>
        <w:spacing w:after="0"/>
        <w:rPr>
          <w:rFonts w:ascii="Arial" w:hAnsi="Arial" w:cs="Arial"/>
        </w:rPr>
      </w:pPr>
      <w:r w:rsidRPr="00DD21EF">
        <w:rPr>
          <w:rFonts w:ascii="Arial" w:eastAsia="Calibri" w:hAnsi="Arial" w:cs="Arial"/>
          <w:szCs w:val="22"/>
          <w:lang w:val="en-GB"/>
        </w:rPr>
        <w:t xml:space="preserve">Our main focus were two leukocyte groups: lymphocytes and neutrophils, and their ratio. Atypical lymphocytes and prolymphocytes were categorized as lymphocytes for this study. Bands were included in the total </w:t>
      </w:r>
      <w:r w:rsidR="003823FD" w:rsidRPr="00DD21EF">
        <w:rPr>
          <w:rFonts w:ascii="Arial" w:eastAsia="Calibri" w:hAnsi="Arial" w:cs="Arial"/>
          <w:szCs w:val="22"/>
          <w:lang w:val="en-GB"/>
        </w:rPr>
        <w:t>neutrophil</w:t>
      </w:r>
      <w:r w:rsidRPr="00DD21EF">
        <w:rPr>
          <w:rFonts w:ascii="Arial" w:eastAsia="Calibri" w:hAnsi="Arial" w:cs="Arial"/>
          <w:szCs w:val="22"/>
          <w:lang w:val="en-GB"/>
        </w:rPr>
        <w:t xml:space="preserve"> count. Two results were excluded from statistical analysis because the patients were not in absolute lymphocytosis (absolute lymphocyte count &lt;5x10</w:t>
      </w:r>
      <w:r w:rsidRPr="00DD21EF">
        <w:rPr>
          <w:rFonts w:ascii="Arial" w:eastAsia="Calibri" w:hAnsi="Arial" w:cs="Arial"/>
          <w:szCs w:val="22"/>
          <w:vertAlign w:val="superscript"/>
          <w:lang w:val="en-GB"/>
        </w:rPr>
        <w:t>9</w:t>
      </w:r>
      <w:r w:rsidRPr="00DD21EF">
        <w:rPr>
          <w:rFonts w:ascii="Arial" w:eastAsia="Calibri" w:hAnsi="Arial" w:cs="Arial"/>
          <w:szCs w:val="22"/>
          <w:lang w:val="en-GB"/>
        </w:rPr>
        <w:t>/L). The whole study was performed on leftover routine samples. The Institutional Ethics Committee approved the use of residual patient blood samples for the purposes of laboratory method evaluation and quality improvement (approval number 01-2013).</w:t>
      </w:r>
    </w:p>
    <w:p w14:paraId="79F7D4E0" w14:textId="77777777" w:rsidR="00790ADA" w:rsidRPr="00FB3A86" w:rsidRDefault="00790ADA" w:rsidP="00441B6F">
      <w:pPr>
        <w:pStyle w:val="Body"/>
        <w:spacing w:after="0"/>
        <w:rPr>
          <w:rFonts w:ascii="Arial" w:hAnsi="Arial" w:cs="Arial"/>
        </w:rPr>
      </w:pPr>
    </w:p>
    <w:p w14:paraId="33AE98E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2B9AD2" w14:textId="77777777" w:rsidR="00790ADA" w:rsidRPr="00FB3A86" w:rsidRDefault="00790ADA" w:rsidP="00441B6F">
      <w:pPr>
        <w:pStyle w:val="Head1"/>
        <w:spacing w:after="0"/>
        <w:jc w:val="both"/>
        <w:rPr>
          <w:rFonts w:ascii="Arial" w:hAnsi="Arial" w:cs="Arial"/>
        </w:rPr>
      </w:pPr>
    </w:p>
    <w:p w14:paraId="3FDF5523" w14:textId="77777777" w:rsidR="00DD21EF" w:rsidRDefault="00DD21EF" w:rsidP="00DD21EF">
      <w:pPr>
        <w:pStyle w:val="Body"/>
        <w:rPr>
          <w:rFonts w:ascii="Arial" w:hAnsi="Arial" w:cs="Arial"/>
          <w:lang w:val="en-GB"/>
        </w:rPr>
      </w:pPr>
      <w:r w:rsidRPr="00DD21EF">
        <w:rPr>
          <w:rFonts w:ascii="Arial" w:hAnsi="Arial" w:cs="Arial"/>
          <w:lang w:val="en-GB"/>
        </w:rPr>
        <w:t xml:space="preserve">Spearman’s rank correlation analysis showed that the number of smudge cells is dependent on total leukocyte count (r=0.562, 95%CI: 0.231 to 0.776, P=0.0023). The examples of smudged cells in CLL patient are shown in Figure 2. The smudge cell count was compared in standard (median 25, range 7–169) and albumenized smears (median 7, range 0–34) (mDIFF1 and mDIFF_alb) by using the Mann-Whitney test. The reduction in smudge cell formation was statistically significant in albumenized smears (P&lt;0.0001). Medians and </w:t>
      </w:r>
      <w:r w:rsidRPr="00DD21EF">
        <w:rPr>
          <w:rFonts w:ascii="Arial" w:hAnsi="Arial" w:cs="Arial"/>
          <w:lang w:val="en-GB"/>
        </w:rPr>
        <w:lastRenderedPageBreak/>
        <w:t xml:space="preserve">ranges of relative </w:t>
      </w:r>
      <w:r w:rsidR="002D249A" w:rsidRPr="00DD21EF">
        <w:rPr>
          <w:rFonts w:ascii="Arial" w:hAnsi="Arial" w:cs="Arial"/>
          <w:lang w:val="en-GB"/>
        </w:rPr>
        <w:t>neutrophil</w:t>
      </w:r>
      <w:r w:rsidRPr="00DD21EF">
        <w:rPr>
          <w:rFonts w:ascii="Arial" w:hAnsi="Arial" w:cs="Arial"/>
          <w:lang w:val="en-GB"/>
        </w:rPr>
        <w:t xml:space="preserve">, lymphocyte counts, and their ratio for three manual differentials and automated differential are listed in Table 1. </w:t>
      </w:r>
    </w:p>
    <w:p w14:paraId="75D1FA4D" w14:textId="77777777" w:rsidR="002D249A" w:rsidRDefault="002D249A" w:rsidP="00DD21EF">
      <w:pPr>
        <w:pStyle w:val="Body"/>
        <w:rPr>
          <w:rFonts w:ascii="Arial" w:hAnsi="Arial" w:cs="Arial"/>
          <w:lang w:val="en-GB"/>
        </w:rPr>
      </w:pPr>
      <w:r>
        <w:rPr>
          <w:rFonts w:ascii="Arial" w:hAnsi="Arial" w:cs="Arial"/>
          <w:noProof/>
        </w:rPr>
        <w:drawing>
          <wp:inline distT="0" distB="0" distL="0" distR="0" wp14:anchorId="611775B4" wp14:editId="1B83C68D">
            <wp:extent cx="5212080" cy="340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406775"/>
                    </a:xfrm>
                    <a:prstGeom prst="rect">
                      <a:avLst/>
                    </a:prstGeom>
                  </pic:spPr>
                </pic:pic>
              </a:graphicData>
            </a:graphic>
          </wp:inline>
        </w:drawing>
      </w:r>
    </w:p>
    <w:p w14:paraId="137C4CF8" w14:textId="77777777" w:rsidR="00DD21EF" w:rsidRPr="008247A6" w:rsidRDefault="00DD21EF" w:rsidP="00DD21E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2D249A">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2D249A" w:rsidRPr="002D249A">
        <w:rPr>
          <w:rFonts w:ascii="Arial" w:hAnsi="Arial" w:cs="Arial"/>
          <w:b/>
          <w:bCs/>
          <w:szCs w:val="22"/>
          <w:lang w:val="en-GB"/>
        </w:rPr>
        <w:t>Smudged cells in a peripheral blood smear from a patient with chronic lymphocytic leukemia, acquired with the CellaVision DC-60 system.</w:t>
      </w:r>
    </w:p>
    <w:p w14:paraId="22A17646" w14:textId="77777777" w:rsidR="00DD21EF" w:rsidRDefault="00DD21EF" w:rsidP="00DD21EF">
      <w:pPr>
        <w:pStyle w:val="Body"/>
        <w:rPr>
          <w:rFonts w:ascii="Arial" w:hAnsi="Arial" w:cs="Arial"/>
          <w:lang w:val="en-GB"/>
        </w:rPr>
      </w:pPr>
    </w:p>
    <w:p w14:paraId="27432D67" w14:textId="77777777" w:rsidR="00111146" w:rsidRDefault="00111146" w:rsidP="00247C4A">
      <w:pPr>
        <w:tabs>
          <w:tab w:val="left" w:pos="1080"/>
        </w:tabs>
        <w:jc w:val="both"/>
        <w:rPr>
          <w:rFonts w:ascii="Arial" w:hAnsi="Arial"/>
          <w:b/>
        </w:rPr>
      </w:pPr>
    </w:p>
    <w:p w14:paraId="57319751" w14:textId="77777777" w:rsidR="00247C4A" w:rsidRDefault="00247C4A" w:rsidP="00247C4A">
      <w:pPr>
        <w:tabs>
          <w:tab w:val="left" w:pos="1080"/>
        </w:tabs>
        <w:jc w:val="both"/>
        <w:rPr>
          <w:rFonts w:ascii="Arial" w:hAnsi="Arial"/>
          <w:b/>
          <w:lang w:val="en-GB"/>
        </w:rPr>
      </w:pPr>
      <w:r>
        <w:rPr>
          <w:rFonts w:ascii="Arial" w:hAnsi="Arial"/>
          <w:b/>
        </w:rPr>
        <w:t>Table 1.</w:t>
      </w:r>
      <w:r w:rsidRPr="00DC3180">
        <w:rPr>
          <w:rFonts w:ascii="Arial" w:hAnsi="Arial"/>
          <w:b/>
        </w:rPr>
        <w:tab/>
      </w:r>
      <w:r w:rsidRPr="002D249A">
        <w:rPr>
          <w:rFonts w:ascii="Arial" w:hAnsi="Arial"/>
          <w:b/>
          <w:lang w:val="en-GB"/>
        </w:rPr>
        <w:t>Summary statistics on relative fractions of lymphocytes, neutrophils and their ratio (L/N) in automatic differential and three different manual differential types.</w:t>
      </w:r>
    </w:p>
    <w:p w14:paraId="2486E288" w14:textId="77777777" w:rsidR="00F878C7" w:rsidRPr="002D249A" w:rsidRDefault="00F878C7" w:rsidP="00247C4A">
      <w:pPr>
        <w:tabs>
          <w:tab w:val="left" w:pos="1080"/>
        </w:tabs>
        <w:jc w:val="both"/>
        <w:rPr>
          <w:rFonts w:ascii="Arial" w:hAnsi="Arial"/>
          <w:b/>
          <w:lang w:val="en-GB"/>
        </w:rPr>
      </w:pPr>
    </w:p>
    <w:tbl>
      <w:tblPr>
        <w:tblStyle w:val="TableGrid"/>
        <w:tblW w:w="9453" w:type="dxa"/>
        <w:jc w:val="center"/>
        <w:tblLayout w:type="fixed"/>
        <w:tblCellMar>
          <w:left w:w="28" w:type="dxa"/>
          <w:right w:w="28" w:type="dxa"/>
        </w:tblCellMar>
        <w:tblLook w:val="04A0" w:firstRow="1" w:lastRow="0" w:firstColumn="1" w:lastColumn="0" w:noHBand="0" w:noVBand="1"/>
      </w:tblPr>
      <w:tblGrid>
        <w:gridCol w:w="1314"/>
        <w:gridCol w:w="992"/>
        <w:gridCol w:w="1134"/>
        <w:gridCol w:w="709"/>
        <w:gridCol w:w="992"/>
        <w:gridCol w:w="709"/>
        <w:gridCol w:w="992"/>
        <w:gridCol w:w="709"/>
        <w:gridCol w:w="992"/>
        <w:gridCol w:w="910"/>
      </w:tblGrid>
      <w:tr w:rsidR="00247C4A" w:rsidRPr="002D249A" w14:paraId="27207173" w14:textId="77777777" w:rsidTr="00247C4A">
        <w:trPr>
          <w:trHeight w:val="111"/>
          <w:jc w:val="center"/>
        </w:trPr>
        <w:tc>
          <w:tcPr>
            <w:tcW w:w="1314" w:type="dxa"/>
            <w:vMerge w:val="restart"/>
            <w:tcBorders>
              <w:top w:val="single" w:sz="4" w:space="0" w:color="auto"/>
              <w:left w:val="nil"/>
              <w:right w:val="nil"/>
            </w:tcBorders>
            <w:vAlign w:val="center"/>
            <w:hideMark/>
          </w:tcPr>
          <w:p w14:paraId="65AD48A8"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N = 25</w:t>
            </w:r>
          </w:p>
        </w:tc>
        <w:tc>
          <w:tcPr>
            <w:tcW w:w="2126" w:type="dxa"/>
            <w:gridSpan w:val="2"/>
            <w:tcBorders>
              <w:top w:val="single" w:sz="4" w:space="0" w:color="auto"/>
              <w:left w:val="nil"/>
              <w:bottom w:val="single" w:sz="4" w:space="0" w:color="auto"/>
              <w:right w:val="nil"/>
            </w:tcBorders>
            <w:vAlign w:val="center"/>
            <w:hideMark/>
          </w:tcPr>
          <w:p w14:paraId="43C93949"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aDIFF</w:t>
            </w:r>
          </w:p>
        </w:tc>
        <w:tc>
          <w:tcPr>
            <w:tcW w:w="1701" w:type="dxa"/>
            <w:gridSpan w:val="2"/>
            <w:tcBorders>
              <w:top w:val="single" w:sz="4" w:space="0" w:color="auto"/>
              <w:left w:val="nil"/>
              <w:bottom w:val="single" w:sz="4" w:space="0" w:color="auto"/>
              <w:right w:val="nil"/>
            </w:tcBorders>
            <w:vAlign w:val="center"/>
            <w:hideMark/>
          </w:tcPr>
          <w:p w14:paraId="19A780B6"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mDIFF1</w:t>
            </w:r>
          </w:p>
        </w:tc>
        <w:tc>
          <w:tcPr>
            <w:tcW w:w="1701" w:type="dxa"/>
            <w:gridSpan w:val="2"/>
            <w:tcBorders>
              <w:top w:val="single" w:sz="4" w:space="0" w:color="auto"/>
              <w:left w:val="nil"/>
              <w:bottom w:val="single" w:sz="4" w:space="0" w:color="auto"/>
              <w:right w:val="nil"/>
            </w:tcBorders>
            <w:vAlign w:val="center"/>
            <w:hideMark/>
          </w:tcPr>
          <w:p w14:paraId="4A017BC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mDIFF2</w:t>
            </w:r>
          </w:p>
        </w:tc>
        <w:tc>
          <w:tcPr>
            <w:tcW w:w="1701" w:type="dxa"/>
            <w:gridSpan w:val="2"/>
            <w:tcBorders>
              <w:top w:val="single" w:sz="4" w:space="0" w:color="auto"/>
              <w:left w:val="nil"/>
              <w:bottom w:val="single" w:sz="4" w:space="0" w:color="auto"/>
              <w:right w:val="nil"/>
            </w:tcBorders>
            <w:vAlign w:val="center"/>
            <w:hideMark/>
          </w:tcPr>
          <w:p w14:paraId="35F5EA2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mDIFF_alb</w:t>
            </w:r>
          </w:p>
        </w:tc>
        <w:tc>
          <w:tcPr>
            <w:tcW w:w="910" w:type="dxa"/>
            <w:tcBorders>
              <w:top w:val="single" w:sz="4" w:space="0" w:color="auto"/>
              <w:left w:val="nil"/>
              <w:bottom w:val="single" w:sz="4" w:space="0" w:color="auto"/>
              <w:right w:val="nil"/>
            </w:tcBorders>
            <w:vAlign w:val="center"/>
          </w:tcPr>
          <w:p w14:paraId="36243C0C" w14:textId="77777777" w:rsidR="00247C4A" w:rsidRPr="002D249A" w:rsidRDefault="00247C4A" w:rsidP="00247C4A">
            <w:pPr>
              <w:pStyle w:val="Body"/>
              <w:spacing w:after="0"/>
              <w:jc w:val="center"/>
              <w:rPr>
                <w:rFonts w:ascii="Arial" w:hAnsi="Arial" w:cs="Arial"/>
                <w:sz w:val="20"/>
                <w:lang w:val="en-GB"/>
              </w:rPr>
            </w:pPr>
          </w:p>
        </w:tc>
      </w:tr>
      <w:tr w:rsidR="00247C4A" w:rsidRPr="002D249A" w14:paraId="2150408D" w14:textId="77777777" w:rsidTr="00247C4A">
        <w:trPr>
          <w:trHeight w:val="103"/>
          <w:jc w:val="center"/>
        </w:trPr>
        <w:tc>
          <w:tcPr>
            <w:tcW w:w="1314" w:type="dxa"/>
            <w:vMerge/>
            <w:tcBorders>
              <w:left w:val="nil"/>
              <w:bottom w:val="single" w:sz="4" w:space="0" w:color="auto"/>
              <w:right w:val="nil"/>
            </w:tcBorders>
            <w:vAlign w:val="center"/>
          </w:tcPr>
          <w:p w14:paraId="22AD217F" w14:textId="77777777" w:rsidR="00247C4A" w:rsidRPr="002D249A" w:rsidRDefault="00247C4A" w:rsidP="00247C4A">
            <w:pPr>
              <w:pStyle w:val="Body"/>
              <w:spacing w:after="0"/>
              <w:jc w:val="center"/>
              <w:rPr>
                <w:rFonts w:ascii="Arial" w:hAnsi="Arial" w:cs="Arial"/>
                <w:sz w:val="20"/>
                <w:lang w:val="en-GB"/>
              </w:rPr>
            </w:pPr>
          </w:p>
        </w:tc>
        <w:tc>
          <w:tcPr>
            <w:tcW w:w="992" w:type="dxa"/>
            <w:tcBorders>
              <w:top w:val="single" w:sz="4" w:space="0" w:color="auto"/>
              <w:left w:val="nil"/>
              <w:bottom w:val="single" w:sz="4" w:space="0" w:color="auto"/>
              <w:right w:val="nil"/>
            </w:tcBorders>
            <w:vAlign w:val="center"/>
            <w:hideMark/>
          </w:tcPr>
          <w:p w14:paraId="66EABB02"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1134" w:type="dxa"/>
            <w:tcBorders>
              <w:top w:val="single" w:sz="4" w:space="0" w:color="auto"/>
              <w:left w:val="nil"/>
              <w:bottom w:val="single" w:sz="4" w:space="0" w:color="auto"/>
              <w:right w:val="nil"/>
            </w:tcBorders>
            <w:vAlign w:val="center"/>
            <w:hideMark/>
          </w:tcPr>
          <w:p w14:paraId="56152C91"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055BA5A6"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27EE8528"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04771DAF"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68BA875B"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56E7A485"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0F9F62D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910" w:type="dxa"/>
            <w:tcBorders>
              <w:top w:val="single" w:sz="4" w:space="0" w:color="auto"/>
              <w:left w:val="nil"/>
              <w:bottom w:val="single" w:sz="4" w:space="0" w:color="auto"/>
              <w:right w:val="nil"/>
            </w:tcBorders>
            <w:vAlign w:val="center"/>
            <w:hideMark/>
          </w:tcPr>
          <w:p w14:paraId="709F10B1"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P</w:t>
            </w:r>
          </w:p>
        </w:tc>
      </w:tr>
      <w:tr w:rsidR="00247C4A" w:rsidRPr="002D249A" w14:paraId="642F8657" w14:textId="77777777" w:rsidTr="00247C4A">
        <w:trPr>
          <w:trHeight w:val="111"/>
          <w:jc w:val="center"/>
        </w:trPr>
        <w:tc>
          <w:tcPr>
            <w:tcW w:w="1314" w:type="dxa"/>
            <w:tcBorders>
              <w:top w:val="single" w:sz="4" w:space="0" w:color="auto"/>
              <w:left w:val="nil"/>
              <w:bottom w:val="single" w:sz="4" w:space="0" w:color="auto"/>
              <w:right w:val="nil"/>
            </w:tcBorders>
            <w:vAlign w:val="center"/>
            <w:hideMark/>
          </w:tcPr>
          <w:p w14:paraId="1EC92A9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Lymphocytes (%)</w:t>
            </w:r>
          </w:p>
        </w:tc>
        <w:tc>
          <w:tcPr>
            <w:tcW w:w="992" w:type="dxa"/>
            <w:tcBorders>
              <w:top w:val="single" w:sz="4" w:space="0" w:color="auto"/>
              <w:left w:val="nil"/>
              <w:bottom w:val="single" w:sz="4" w:space="0" w:color="auto"/>
              <w:right w:val="nil"/>
            </w:tcBorders>
            <w:vAlign w:val="center"/>
            <w:hideMark/>
          </w:tcPr>
          <w:p w14:paraId="267342F0"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54.5–96.2</w:t>
            </w:r>
          </w:p>
        </w:tc>
        <w:tc>
          <w:tcPr>
            <w:tcW w:w="1134" w:type="dxa"/>
            <w:tcBorders>
              <w:top w:val="single" w:sz="4" w:space="0" w:color="auto"/>
              <w:left w:val="nil"/>
              <w:bottom w:val="single" w:sz="4" w:space="0" w:color="auto"/>
              <w:right w:val="nil"/>
            </w:tcBorders>
            <w:vAlign w:val="center"/>
            <w:hideMark/>
          </w:tcPr>
          <w:p w14:paraId="2EDBBC7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80.6</w:t>
            </w:r>
          </w:p>
          <w:p w14:paraId="3EDAF64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(70.2–91.1)</w:t>
            </w:r>
          </w:p>
        </w:tc>
        <w:tc>
          <w:tcPr>
            <w:tcW w:w="709" w:type="dxa"/>
            <w:tcBorders>
              <w:top w:val="single" w:sz="4" w:space="0" w:color="auto"/>
              <w:left w:val="nil"/>
              <w:bottom w:val="single" w:sz="4" w:space="0" w:color="auto"/>
              <w:right w:val="nil"/>
            </w:tcBorders>
            <w:vAlign w:val="center"/>
            <w:hideMark/>
          </w:tcPr>
          <w:p w14:paraId="7127E19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52–98</w:t>
            </w:r>
          </w:p>
        </w:tc>
        <w:tc>
          <w:tcPr>
            <w:tcW w:w="992" w:type="dxa"/>
            <w:tcBorders>
              <w:top w:val="single" w:sz="4" w:space="0" w:color="auto"/>
              <w:left w:val="nil"/>
              <w:bottom w:val="single" w:sz="4" w:space="0" w:color="auto"/>
              <w:right w:val="nil"/>
            </w:tcBorders>
            <w:vAlign w:val="center"/>
            <w:hideMark/>
          </w:tcPr>
          <w:p w14:paraId="2205E36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82</w:t>
            </w:r>
          </w:p>
          <w:p w14:paraId="56F1AAFA"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(63–92)</w:t>
            </w:r>
          </w:p>
        </w:tc>
        <w:tc>
          <w:tcPr>
            <w:tcW w:w="709" w:type="dxa"/>
            <w:tcBorders>
              <w:top w:val="single" w:sz="4" w:space="0" w:color="auto"/>
              <w:left w:val="nil"/>
              <w:bottom w:val="single" w:sz="4" w:space="0" w:color="auto"/>
              <w:right w:val="nil"/>
            </w:tcBorders>
            <w:vAlign w:val="center"/>
            <w:hideMark/>
          </w:tcPr>
          <w:p w14:paraId="10391A61"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58–99</w:t>
            </w:r>
          </w:p>
        </w:tc>
        <w:tc>
          <w:tcPr>
            <w:tcW w:w="992" w:type="dxa"/>
            <w:tcBorders>
              <w:top w:val="single" w:sz="4" w:space="0" w:color="auto"/>
              <w:left w:val="nil"/>
              <w:bottom w:val="single" w:sz="4" w:space="0" w:color="auto"/>
              <w:right w:val="nil"/>
            </w:tcBorders>
            <w:vAlign w:val="center"/>
            <w:hideMark/>
          </w:tcPr>
          <w:p w14:paraId="79B5C1B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86</w:t>
            </w:r>
          </w:p>
          <w:p w14:paraId="4CD6934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(79–97)</w:t>
            </w:r>
          </w:p>
        </w:tc>
        <w:tc>
          <w:tcPr>
            <w:tcW w:w="709" w:type="dxa"/>
            <w:tcBorders>
              <w:top w:val="single" w:sz="4" w:space="0" w:color="auto"/>
              <w:left w:val="nil"/>
              <w:bottom w:val="single" w:sz="4" w:space="0" w:color="auto"/>
              <w:right w:val="nil"/>
            </w:tcBorders>
            <w:vAlign w:val="center"/>
            <w:hideMark/>
          </w:tcPr>
          <w:p w14:paraId="5EDDE5C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44–99</w:t>
            </w:r>
          </w:p>
        </w:tc>
        <w:tc>
          <w:tcPr>
            <w:tcW w:w="992" w:type="dxa"/>
            <w:tcBorders>
              <w:top w:val="single" w:sz="4" w:space="0" w:color="auto"/>
              <w:left w:val="nil"/>
              <w:bottom w:val="single" w:sz="4" w:space="0" w:color="auto"/>
              <w:right w:val="nil"/>
            </w:tcBorders>
            <w:vAlign w:val="center"/>
            <w:hideMark/>
          </w:tcPr>
          <w:p w14:paraId="01C530A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84</w:t>
            </w:r>
          </w:p>
          <w:p w14:paraId="04E942D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(72–94)</w:t>
            </w:r>
          </w:p>
        </w:tc>
        <w:tc>
          <w:tcPr>
            <w:tcW w:w="910" w:type="dxa"/>
            <w:tcBorders>
              <w:top w:val="single" w:sz="4" w:space="0" w:color="auto"/>
              <w:left w:val="nil"/>
              <w:bottom w:val="single" w:sz="4" w:space="0" w:color="auto"/>
              <w:right w:val="nil"/>
            </w:tcBorders>
            <w:vAlign w:val="center"/>
            <w:hideMark/>
          </w:tcPr>
          <w:p w14:paraId="03B57AAA"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&lt;0.0001</w:t>
            </w:r>
          </w:p>
        </w:tc>
      </w:tr>
      <w:tr w:rsidR="00247C4A" w:rsidRPr="002D249A" w14:paraId="6F62262D" w14:textId="77777777" w:rsidTr="00247C4A">
        <w:trPr>
          <w:trHeight w:val="103"/>
          <w:jc w:val="center"/>
        </w:trPr>
        <w:tc>
          <w:tcPr>
            <w:tcW w:w="1314" w:type="dxa"/>
            <w:tcBorders>
              <w:top w:val="single" w:sz="4" w:space="0" w:color="auto"/>
              <w:left w:val="nil"/>
              <w:bottom w:val="single" w:sz="4" w:space="0" w:color="auto"/>
              <w:right w:val="nil"/>
            </w:tcBorders>
            <w:vAlign w:val="center"/>
            <w:hideMark/>
          </w:tcPr>
          <w:p w14:paraId="0E41AA3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Neutrophils (%)</w:t>
            </w:r>
          </w:p>
        </w:tc>
        <w:tc>
          <w:tcPr>
            <w:tcW w:w="992" w:type="dxa"/>
            <w:tcBorders>
              <w:top w:val="single" w:sz="4" w:space="0" w:color="auto"/>
              <w:left w:val="nil"/>
              <w:bottom w:val="single" w:sz="4" w:space="0" w:color="auto"/>
              <w:right w:val="nil"/>
            </w:tcBorders>
            <w:vAlign w:val="center"/>
            <w:hideMark/>
          </w:tcPr>
          <w:p w14:paraId="082B3D5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3.1–40.0</w:t>
            </w:r>
          </w:p>
        </w:tc>
        <w:tc>
          <w:tcPr>
            <w:tcW w:w="1134" w:type="dxa"/>
            <w:tcBorders>
              <w:top w:val="single" w:sz="4" w:space="0" w:color="auto"/>
              <w:left w:val="nil"/>
              <w:bottom w:val="single" w:sz="4" w:space="0" w:color="auto"/>
              <w:right w:val="nil"/>
            </w:tcBorders>
            <w:vAlign w:val="center"/>
            <w:hideMark/>
          </w:tcPr>
          <w:p w14:paraId="7DDE2CF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16.7</w:t>
            </w:r>
          </w:p>
          <w:p w14:paraId="4F70F10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(6.0–25.1)</w:t>
            </w:r>
          </w:p>
        </w:tc>
        <w:tc>
          <w:tcPr>
            <w:tcW w:w="709" w:type="dxa"/>
            <w:tcBorders>
              <w:top w:val="single" w:sz="4" w:space="0" w:color="auto"/>
              <w:left w:val="nil"/>
              <w:bottom w:val="single" w:sz="4" w:space="0" w:color="auto"/>
              <w:right w:val="nil"/>
            </w:tcBorders>
            <w:vAlign w:val="center"/>
            <w:hideMark/>
          </w:tcPr>
          <w:p w14:paraId="3ADC656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2–48</w:t>
            </w:r>
          </w:p>
        </w:tc>
        <w:tc>
          <w:tcPr>
            <w:tcW w:w="992" w:type="dxa"/>
            <w:tcBorders>
              <w:top w:val="single" w:sz="4" w:space="0" w:color="auto"/>
              <w:left w:val="nil"/>
              <w:bottom w:val="single" w:sz="4" w:space="0" w:color="auto"/>
              <w:right w:val="nil"/>
            </w:tcBorders>
            <w:vAlign w:val="center"/>
            <w:hideMark/>
          </w:tcPr>
          <w:p w14:paraId="342AE68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16</w:t>
            </w:r>
          </w:p>
          <w:p w14:paraId="6CDB89A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(6–31)</w:t>
            </w:r>
          </w:p>
        </w:tc>
        <w:tc>
          <w:tcPr>
            <w:tcW w:w="709" w:type="dxa"/>
            <w:tcBorders>
              <w:top w:val="single" w:sz="4" w:space="0" w:color="auto"/>
              <w:left w:val="nil"/>
              <w:bottom w:val="single" w:sz="4" w:space="0" w:color="auto"/>
              <w:right w:val="nil"/>
            </w:tcBorders>
            <w:vAlign w:val="center"/>
            <w:hideMark/>
          </w:tcPr>
          <w:p w14:paraId="3D3CFB73"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1–35</w:t>
            </w:r>
          </w:p>
        </w:tc>
        <w:tc>
          <w:tcPr>
            <w:tcW w:w="992" w:type="dxa"/>
            <w:tcBorders>
              <w:top w:val="single" w:sz="4" w:space="0" w:color="auto"/>
              <w:left w:val="nil"/>
              <w:bottom w:val="single" w:sz="4" w:space="0" w:color="auto"/>
              <w:right w:val="nil"/>
            </w:tcBorders>
            <w:vAlign w:val="center"/>
            <w:hideMark/>
          </w:tcPr>
          <w:p w14:paraId="678749B6"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10</w:t>
            </w:r>
          </w:p>
          <w:p w14:paraId="4C23AA4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(3–18)</w:t>
            </w:r>
          </w:p>
        </w:tc>
        <w:tc>
          <w:tcPr>
            <w:tcW w:w="709" w:type="dxa"/>
            <w:tcBorders>
              <w:top w:val="single" w:sz="4" w:space="0" w:color="auto"/>
              <w:left w:val="nil"/>
              <w:bottom w:val="single" w:sz="4" w:space="0" w:color="auto"/>
              <w:right w:val="nil"/>
            </w:tcBorders>
            <w:vAlign w:val="center"/>
            <w:hideMark/>
          </w:tcPr>
          <w:p w14:paraId="0F48337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0–41</w:t>
            </w:r>
          </w:p>
        </w:tc>
        <w:tc>
          <w:tcPr>
            <w:tcW w:w="992" w:type="dxa"/>
            <w:tcBorders>
              <w:top w:val="single" w:sz="4" w:space="0" w:color="auto"/>
              <w:left w:val="nil"/>
              <w:bottom w:val="single" w:sz="4" w:space="0" w:color="auto"/>
              <w:right w:val="nil"/>
            </w:tcBorders>
            <w:vAlign w:val="center"/>
            <w:hideMark/>
          </w:tcPr>
          <w:p w14:paraId="5FEC507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13</w:t>
            </w:r>
          </w:p>
          <w:p w14:paraId="07D81AC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(6–25)</w:t>
            </w:r>
          </w:p>
        </w:tc>
        <w:tc>
          <w:tcPr>
            <w:tcW w:w="910" w:type="dxa"/>
            <w:tcBorders>
              <w:top w:val="single" w:sz="4" w:space="0" w:color="auto"/>
              <w:left w:val="nil"/>
              <w:bottom w:val="single" w:sz="4" w:space="0" w:color="auto"/>
              <w:right w:val="nil"/>
            </w:tcBorders>
            <w:vAlign w:val="center"/>
            <w:hideMark/>
          </w:tcPr>
          <w:p w14:paraId="088848EB"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0.00001</w:t>
            </w:r>
          </w:p>
        </w:tc>
      </w:tr>
      <w:tr w:rsidR="00247C4A" w:rsidRPr="002D249A" w14:paraId="12FA2B21" w14:textId="77777777" w:rsidTr="00247C4A">
        <w:trPr>
          <w:trHeight w:val="111"/>
          <w:jc w:val="center"/>
        </w:trPr>
        <w:tc>
          <w:tcPr>
            <w:tcW w:w="1314" w:type="dxa"/>
            <w:tcBorders>
              <w:top w:val="single" w:sz="4" w:space="0" w:color="auto"/>
              <w:left w:val="nil"/>
              <w:bottom w:val="single" w:sz="4" w:space="0" w:color="auto"/>
              <w:right w:val="nil"/>
            </w:tcBorders>
            <w:vAlign w:val="center"/>
            <w:hideMark/>
          </w:tcPr>
          <w:p w14:paraId="235F7F2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Lymphocytes/Neutrophils</w:t>
            </w:r>
          </w:p>
        </w:tc>
        <w:tc>
          <w:tcPr>
            <w:tcW w:w="992" w:type="dxa"/>
            <w:tcBorders>
              <w:top w:val="single" w:sz="4" w:space="0" w:color="auto"/>
              <w:left w:val="nil"/>
              <w:bottom w:val="single" w:sz="4" w:space="0" w:color="auto"/>
              <w:right w:val="nil"/>
            </w:tcBorders>
            <w:vAlign w:val="center"/>
            <w:hideMark/>
          </w:tcPr>
          <w:p w14:paraId="219D460C"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0.3–31 .0</w:t>
            </w:r>
          </w:p>
        </w:tc>
        <w:tc>
          <w:tcPr>
            <w:tcW w:w="1134" w:type="dxa"/>
            <w:tcBorders>
              <w:top w:val="single" w:sz="4" w:space="0" w:color="auto"/>
              <w:left w:val="nil"/>
              <w:bottom w:val="single" w:sz="4" w:space="0" w:color="auto"/>
              <w:right w:val="nil"/>
            </w:tcBorders>
            <w:vAlign w:val="center"/>
            <w:hideMark/>
          </w:tcPr>
          <w:p w14:paraId="2994F62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4.3</w:t>
            </w:r>
          </w:p>
          <w:p w14:paraId="52B40E0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(2.2–15.2)</w:t>
            </w:r>
          </w:p>
        </w:tc>
        <w:tc>
          <w:tcPr>
            <w:tcW w:w="709" w:type="dxa"/>
            <w:tcBorders>
              <w:top w:val="single" w:sz="4" w:space="0" w:color="auto"/>
              <w:left w:val="nil"/>
              <w:bottom w:val="single" w:sz="4" w:space="0" w:color="auto"/>
              <w:right w:val="nil"/>
            </w:tcBorders>
            <w:vAlign w:val="center"/>
            <w:hideMark/>
          </w:tcPr>
          <w:p w14:paraId="608C31C2"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0.2–49</w:t>
            </w:r>
          </w:p>
        </w:tc>
        <w:tc>
          <w:tcPr>
            <w:tcW w:w="992" w:type="dxa"/>
            <w:tcBorders>
              <w:top w:val="single" w:sz="4" w:space="0" w:color="auto"/>
              <w:left w:val="nil"/>
              <w:bottom w:val="single" w:sz="4" w:space="0" w:color="auto"/>
              <w:right w:val="nil"/>
            </w:tcBorders>
            <w:vAlign w:val="center"/>
            <w:hideMark/>
          </w:tcPr>
          <w:p w14:paraId="7D5DD74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4.1</w:t>
            </w:r>
          </w:p>
          <w:p w14:paraId="1418F65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(1.5–13.5)</w:t>
            </w:r>
          </w:p>
        </w:tc>
        <w:tc>
          <w:tcPr>
            <w:tcW w:w="709" w:type="dxa"/>
            <w:tcBorders>
              <w:top w:val="single" w:sz="4" w:space="0" w:color="auto"/>
              <w:left w:val="nil"/>
              <w:bottom w:val="single" w:sz="4" w:space="0" w:color="auto"/>
              <w:right w:val="nil"/>
            </w:tcBorders>
            <w:vAlign w:val="center"/>
            <w:hideMark/>
          </w:tcPr>
          <w:p w14:paraId="1CB04EE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0.4–99</w:t>
            </w:r>
          </w:p>
        </w:tc>
        <w:tc>
          <w:tcPr>
            <w:tcW w:w="992" w:type="dxa"/>
            <w:tcBorders>
              <w:top w:val="single" w:sz="4" w:space="0" w:color="auto"/>
              <w:left w:val="nil"/>
              <w:bottom w:val="single" w:sz="4" w:space="0" w:color="auto"/>
              <w:right w:val="nil"/>
            </w:tcBorders>
            <w:vAlign w:val="center"/>
            <w:hideMark/>
          </w:tcPr>
          <w:p w14:paraId="32CF3308"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5.4</w:t>
            </w:r>
          </w:p>
          <w:p w14:paraId="51E58835"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(3.1–32.1)</w:t>
            </w:r>
          </w:p>
        </w:tc>
        <w:tc>
          <w:tcPr>
            <w:tcW w:w="709" w:type="dxa"/>
            <w:tcBorders>
              <w:top w:val="single" w:sz="4" w:space="0" w:color="auto"/>
              <w:left w:val="nil"/>
              <w:bottom w:val="single" w:sz="4" w:space="0" w:color="auto"/>
              <w:right w:val="nil"/>
            </w:tcBorders>
            <w:vAlign w:val="center"/>
            <w:hideMark/>
          </w:tcPr>
          <w:p w14:paraId="6DA72BF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0.4–99</w:t>
            </w:r>
          </w:p>
        </w:tc>
        <w:tc>
          <w:tcPr>
            <w:tcW w:w="992" w:type="dxa"/>
            <w:tcBorders>
              <w:top w:val="single" w:sz="4" w:space="0" w:color="auto"/>
              <w:left w:val="nil"/>
              <w:bottom w:val="single" w:sz="4" w:space="0" w:color="auto"/>
              <w:right w:val="nil"/>
            </w:tcBorders>
            <w:vAlign w:val="center"/>
            <w:hideMark/>
          </w:tcPr>
          <w:p w14:paraId="414EDDA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4.1</w:t>
            </w:r>
          </w:p>
          <w:p w14:paraId="099B172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(2.3–15.7)</w:t>
            </w:r>
          </w:p>
        </w:tc>
        <w:tc>
          <w:tcPr>
            <w:tcW w:w="910" w:type="dxa"/>
            <w:tcBorders>
              <w:top w:val="single" w:sz="4" w:space="0" w:color="auto"/>
              <w:left w:val="nil"/>
              <w:bottom w:val="single" w:sz="4" w:space="0" w:color="auto"/>
              <w:right w:val="nil"/>
            </w:tcBorders>
            <w:vAlign w:val="center"/>
            <w:hideMark/>
          </w:tcPr>
          <w:p w14:paraId="1DD517A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0.00001</w:t>
            </w:r>
          </w:p>
        </w:tc>
      </w:tr>
    </w:tbl>
    <w:p w14:paraId="22555E51" w14:textId="77777777" w:rsidR="00247C4A" w:rsidRPr="00247C4A" w:rsidRDefault="00247C4A" w:rsidP="00247C4A">
      <w:pPr>
        <w:pStyle w:val="Body"/>
        <w:spacing w:after="0"/>
        <w:rPr>
          <w:rFonts w:ascii="Arial" w:hAnsi="Arial"/>
          <w:bCs/>
          <w:i/>
          <w:sz w:val="18"/>
          <w:szCs w:val="16"/>
        </w:rPr>
      </w:pPr>
      <w:proofErr w:type="spellStart"/>
      <w:r w:rsidRPr="00247C4A">
        <w:rPr>
          <w:rFonts w:ascii="Arial" w:hAnsi="Arial"/>
          <w:bCs/>
          <w:i/>
          <w:sz w:val="18"/>
          <w:szCs w:val="16"/>
        </w:rPr>
        <w:t>aDIFF</w:t>
      </w:r>
      <w:proofErr w:type="spellEnd"/>
      <w:r w:rsidRPr="00247C4A">
        <w:rPr>
          <w:rFonts w:ascii="Arial" w:hAnsi="Arial"/>
          <w:bCs/>
          <w:i/>
          <w:sz w:val="18"/>
          <w:szCs w:val="16"/>
        </w:rPr>
        <w:t xml:space="preserve"> - Automatic differential leukocyte counts were performed on hematology </w:t>
      </w:r>
      <w:proofErr w:type="spellStart"/>
      <w:r w:rsidRPr="00247C4A">
        <w:rPr>
          <w:rFonts w:ascii="Arial" w:hAnsi="Arial"/>
          <w:bCs/>
          <w:i/>
          <w:sz w:val="18"/>
          <w:szCs w:val="16"/>
        </w:rPr>
        <w:t>analyser</w:t>
      </w:r>
      <w:proofErr w:type="spellEnd"/>
      <w:r w:rsidRPr="00247C4A">
        <w:rPr>
          <w:rFonts w:ascii="Arial" w:hAnsi="Arial"/>
          <w:bCs/>
          <w:i/>
          <w:sz w:val="18"/>
          <w:szCs w:val="16"/>
        </w:rPr>
        <w:t xml:space="preserve"> Siemens ADVIA 2120i; </w:t>
      </w:r>
    </w:p>
    <w:p w14:paraId="40100E49" w14:textId="77777777" w:rsidR="00247C4A" w:rsidRPr="00247C4A" w:rsidRDefault="00247C4A" w:rsidP="00247C4A">
      <w:pPr>
        <w:pStyle w:val="Body"/>
        <w:spacing w:after="0"/>
        <w:rPr>
          <w:rFonts w:ascii="Arial" w:hAnsi="Arial"/>
          <w:bCs/>
          <w:i/>
          <w:sz w:val="18"/>
          <w:szCs w:val="16"/>
        </w:rPr>
      </w:pPr>
      <w:r w:rsidRPr="00247C4A">
        <w:rPr>
          <w:rFonts w:ascii="Arial" w:hAnsi="Arial"/>
          <w:bCs/>
          <w:i/>
          <w:sz w:val="18"/>
          <w:szCs w:val="16"/>
        </w:rPr>
        <w:t xml:space="preserve">mDIFF1 - Manual differential by excluding smudge cells from 100 leukocyte count and reporting their number on 100 cells; </w:t>
      </w:r>
    </w:p>
    <w:p w14:paraId="4300DD96" w14:textId="77777777" w:rsidR="00247C4A" w:rsidRPr="00247C4A" w:rsidRDefault="00247C4A" w:rsidP="00247C4A">
      <w:pPr>
        <w:pStyle w:val="Body"/>
        <w:spacing w:after="0"/>
        <w:rPr>
          <w:rFonts w:ascii="Arial" w:hAnsi="Arial"/>
          <w:bCs/>
          <w:i/>
          <w:sz w:val="18"/>
          <w:szCs w:val="16"/>
        </w:rPr>
      </w:pPr>
      <w:r w:rsidRPr="00247C4A">
        <w:rPr>
          <w:rFonts w:ascii="Arial" w:hAnsi="Arial"/>
          <w:bCs/>
          <w:i/>
          <w:sz w:val="18"/>
          <w:szCs w:val="16"/>
        </w:rPr>
        <w:t xml:space="preserve">mDIFF2 - Manual differential by including smudge cells into lymphocyte count; </w:t>
      </w:r>
    </w:p>
    <w:p w14:paraId="13419FE2" w14:textId="77777777" w:rsidR="00DD21EF" w:rsidRPr="00247C4A" w:rsidRDefault="00247C4A" w:rsidP="00247C4A">
      <w:pPr>
        <w:pStyle w:val="Body"/>
        <w:rPr>
          <w:rFonts w:ascii="Arial" w:hAnsi="Arial"/>
          <w:bCs/>
          <w:i/>
          <w:sz w:val="18"/>
          <w:szCs w:val="16"/>
        </w:rPr>
      </w:pPr>
      <w:r w:rsidRPr="00247C4A">
        <w:rPr>
          <w:rFonts w:ascii="Arial" w:hAnsi="Arial"/>
          <w:bCs/>
          <w:i/>
          <w:sz w:val="18"/>
          <w:szCs w:val="16"/>
        </w:rPr>
        <w:t>mDIFF_alb - Manual differential on an albumenized smear.</w:t>
      </w:r>
    </w:p>
    <w:p w14:paraId="579F5327" w14:textId="77777777" w:rsidR="00DD21EF" w:rsidRPr="00DD21EF" w:rsidRDefault="00DD21EF" w:rsidP="00DD21EF">
      <w:pPr>
        <w:pStyle w:val="Body"/>
        <w:rPr>
          <w:rFonts w:ascii="Arial" w:hAnsi="Arial" w:cs="Arial"/>
          <w:lang w:val="en-GB"/>
        </w:rPr>
      </w:pPr>
      <w:r w:rsidRPr="00DD21EF">
        <w:rPr>
          <w:rFonts w:ascii="Arial" w:hAnsi="Arial" w:cs="Arial"/>
          <w:lang w:val="en-GB"/>
        </w:rPr>
        <w:t xml:space="preserve">Data on the differential counts were compared by using Friedman's test. A statistically significant difference (P&lt;0.05) was obtained for mDIFF2 results for all three variables </w:t>
      </w:r>
      <w:r w:rsidRPr="00DD21EF">
        <w:rPr>
          <w:rFonts w:ascii="Arial" w:hAnsi="Arial" w:cs="Arial"/>
          <w:lang w:val="en-GB"/>
        </w:rPr>
        <w:lastRenderedPageBreak/>
        <w:t xml:space="preserve">(neutrophil count, lymphocyte count, and their ratio) when compared to other methods. Lymphocyte count was also significantly different for mDIFF_alb (P&lt;0.05) compared to other three groups (aDIFF, mDIFF1 and mDIFF2), while they did not significantly differ between mDIFF1 and aDIFF. </w:t>
      </w:r>
    </w:p>
    <w:p w14:paraId="1645E5E6" w14:textId="77777777" w:rsidR="00DD21EF" w:rsidRPr="00DD21EF" w:rsidRDefault="00DD21EF" w:rsidP="00DD21EF">
      <w:pPr>
        <w:pStyle w:val="Body"/>
        <w:rPr>
          <w:rFonts w:ascii="Arial" w:hAnsi="Arial" w:cs="Arial"/>
          <w:lang w:val="en-GB"/>
        </w:rPr>
      </w:pPr>
      <w:r w:rsidRPr="00DD21EF">
        <w:rPr>
          <w:rFonts w:ascii="Arial" w:hAnsi="Arial" w:cs="Arial"/>
          <w:lang w:val="en-GB"/>
        </w:rPr>
        <w:t>In this preliminary study, the relative lymphocyte count in a manual method that excluded smudge cells from a 100-cell differential did not differ significantly from the automatic differential, which is considered the preferred reporting option. This finding supports the practice already used in the majority of laboratories, where smudge cells are excluded from the manual differential and only commented upon in the morphological description. On the other hand, when smudge cells were included in the lymphocyte count, results significantly differed from aDIFF and other manual methods, confirming that such an approach may lead to overestimation of lymphocytes and underestimation of neutrophils, and therefore to clinically misleading results.</w:t>
      </w:r>
    </w:p>
    <w:p w14:paraId="12915D28" w14:textId="77777777" w:rsidR="00DD21EF" w:rsidRPr="00DD21EF" w:rsidRDefault="00DD21EF" w:rsidP="00DD21EF">
      <w:pPr>
        <w:pStyle w:val="Body"/>
        <w:spacing w:after="0"/>
        <w:rPr>
          <w:rFonts w:ascii="Arial" w:hAnsi="Arial" w:cs="Arial"/>
          <w:lang w:val="en-GB"/>
        </w:rPr>
      </w:pPr>
      <w:r w:rsidRPr="00DD21EF">
        <w:rPr>
          <w:rFonts w:ascii="Arial" w:hAnsi="Arial" w:cs="Arial"/>
          <w:lang w:val="en-GB"/>
        </w:rPr>
        <w:t xml:space="preserve">The use of albumin pre-treatment substantially reduced the number of smudge cells in our study, consistent with earlier observations </w:t>
      </w:r>
      <w:r w:rsidR="00BA7D7C">
        <w:rPr>
          <w:rFonts w:ascii="Arial" w:hAnsi="Arial" w:cs="Arial"/>
          <w:lang w:val="en-GB"/>
        </w:rPr>
        <w:t>(Lunning, 2004)</w:t>
      </w:r>
      <w:r w:rsidRPr="00DD21EF">
        <w:rPr>
          <w:rFonts w:ascii="Arial" w:hAnsi="Arial" w:cs="Arial"/>
          <w:lang w:val="en-GB"/>
        </w:rPr>
        <w:t>. Although this method improves smear quality and minimizes artefacts, it is not widely implemented in routine laboratories, mainly due to limited availability of albumin and additional workload. Our results suggest that, in everyday practice, simply excluding smudge cells from the differential yields results most consistent with analyzer data, without the need for albumin pre-treatment. This is especially relevant for smaller laboratories where albumin preparations are not feasible.</w:t>
      </w:r>
    </w:p>
    <w:p w14:paraId="6DAF8EA3" w14:textId="77777777" w:rsidR="00DD21EF" w:rsidRPr="00DD21EF" w:rsidRDefault="00DD21EF" w:rsidP="00DD21EF">
      <w:pPr>
        <w:pStyle w:val="Body"/>
        <w:spacing w:after="0"/>
        <w:rPr>
          <w:rFonts w:ascii="Arial" w:hAnsi="Arial" w:cs="Arial"/>
          <w:lang w:val="en-GB"/>
        </w:rPr>
      </w:pPr>
      <w:r w:rsidRPr="00DD21EF">
        <w:rPr>
          <w:rFonts w:ascii="Arial" w:hAnsi="Arial" w:cs="Arial"/>
          <w:lang w:val="en-GB"/>
        </w:rPr>
        <w:t xml:space="preserve">Beyond analytical considerations, smudge cells have been investigated as potential prognostic markers in CLL. Some studies have reported that a higher percentage of smudge cells correlates with more indolent disease and longer survival, possibly reflecting increased lymphocyte fragility </w:t>
      </w:r>
      <w:r w:rsidR="00BA7D7C">
        <w:rPr>
          <w:rFonts w:ascii="Arial" w:hAnsi="Arial" w:cs="Arial"/>
          <w:lang w:val="en-GB"/>
        </w:rPr>
        <w:t>(Gogia, 2014)</w:t>
      </w:r>
      <w:r w:rsidRPr="00DD21EF">
        <w:rPr>
          <w:rFonts w:ascii="Arial" w:hAnsi="Arial" w:cs="Arial"/>
          <w:lang w:val="en-GB"/>
        </w:rPr>
        <w:t>. However, this aspect was beyond the scope of our study, which focused exclusively on their impact on leukocyte differential reporting. Still, the prognostic role of smudge cells reinforces the importance of documenting their presence, even if they are excluded from the manual count.</w:t>
      </w:r>
    </w:p>
    <w:p w14:paraId="02FFEB85" w14:textId="77777777" w:rsidR="00DD21EF" w:rsidRPr="00DD21EF" w:rsidRDefault="00DD21EF" w:rsidP="00DD21EF">
      <w:pPr>
        <w:pStyle w:val="Body"/>
        <w:spacing w:after="0"/>
        <w:rPr>
          <w:rFonts w:ascii="Arial" w:hAnsi="Arial" w:cs="Arial"/>
          <w:lang w:val="en-GB"/>
        </w:rPr>
      </w:pPr>
      <w:r w:rsidRPr="00DD21EF">
        <w:rPr>
          <w:rFonts w:ascii="Arial" w:hAnsi="Arial" w:cs="Arial"/>
          <w:lang w:val="en-GB"/>
        </w:rPr>
        <w:t xml:space="preserve">This study has some limitations. It is performed on a relatively small number of CLL patient samples. However, we did not </w:t>
      </w:r>
      <w:r w:rsidR="0078075E">
        <w:rPr>
          <w:rFonts w:ascii="Arial" w:hAnsi="Arial" w:cs="Arial"/>
          <w:lang w:val="en-GB"/>
        </w:rPr>
        <w:t xml:space="preserve">want </w:t>
      </w:r>
      <w:r w:rsidRPr="00DD21EF">
        <w:rPr>
          <w:rFonts w:ascii="Arial" w:hAnsi="Arial" w:cs="Arial"/>
          <w:lang w:val="en-GB"/>
        </w:rPr>
        <w:t>to duplicate the smears from the same patients, so the included number reveals the true incidence of CLL patients in our hospital. Additionally, the cell count was performed only once on 100 cells manual count for all the samples. However, while recreating the everyday routine work, we were able to assess the real-life performance of this manual technique and understand the size of the uncertainty of the reported results. A study on a larger number of samples and an additional comparison of a 200-cell differential in the future could provide us with more insight into the selected procedure.</w:t>
      </w:r>
    </w:p>
    <w:p w14:paraId="2EFAFACD" w14:textId="06149A15" w:rsidR="00DD21EF" w:rsidRDefault="00DD21EF">
      <w:pPr>
        <w:rPr>
          <w:rFonts w:ascii="Arial" w:hAnsi="Arial" w:cs="Arial"/>
        </w:rPr>
      </w:pPr>
    </w:p>
    <w:p w14:paraId="6D7447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F20B03" w14:textId="77777777" w:rsidR="00790ADA" w:rsidRPr="00FB3A86" w:rsidRDefault="00790ADA" w:rsidP="00441B6F">
      <w:pPr>
        <w:pStyle w:val="ConcHead"/>
        <w:spacing w:after="0"/>
        <w:jc w:val="both"/>
        <w:rPr>
          <w:rFonts w:ascii="Arial" w:hAnsi="Arial" w:cs="Arial"/>
        </w:rPr>
      </w:pPr>
    </w:p>
    <w:p w14:paraId="009D3FA5" w14:textId="77777777" w:rsidR="0085312D" w:rsidRPr="0085312D" w:rsidRDefault="0085312D" w:rsidP="0085312D">
      <w:pPr>
        <w:pStyle w:val="Body"/>
        <w:spacing w:after="0"/>
        <w:rPr>
          <w:rFonts w:ascii="Arial" w:hAnsi="Arial" w:cs="Arial"/>
          <w:lang w:val="en-GB"/>
        </w:rPr>
      </w:pPr>
      <w:r w:rsidRPr="0085312D">
        <w:rPr>
          <w:rFonts w:ascii="Arial" w:hAnsi="Arial" w:cs="Arial"/>
          <w:lang w:val="en-GB"/>
        </w:rPr>
        <w:t>In conclusion, our findings indicate that excluding smudge cells from the 100-cell manual differential and reporting their presence separately provides results most consistent with hematology analyzer differentials. Including smudge cells into 100-cell differentials could possibly lead to erroneous results and therefore should be avoided. Although albumin pre-treatment effectively reduces smudge cell formation, it is not essential for obtaining clinically reliable differentials in routine practice. Standardization of reporting practices, aligned with international guidelines, would help reduce interlaboratory variability and improve consistency in hematology laboratory reporting.</w:t>
      </w:r>
    </w:p>
    <w:p w14:paraId="6CBEA598" w14:textId="77777777" w:rsidR="005C784C" w:rsidRDefault="005C784C" w:rsidP="00441B6F">
      <w:pPr>
        <w:pStyle w:val="ReferHead"/>
        <w:spacing w:after="0"/>
        <w:jc w:val="both"/>
        <w:rPr>
          <w:rFonts w:ascii="Arial" w:hAnsi="Arial" w:cs="Arial"/>
          <w:bCs/>
        </w:rPr>
      </w:pPr>
      <w:bookmarkStart w:id="0" w:name="_GoBack"/>
      <w:bookmarkEnd w:id="0"/>
      <w:r>
        <w:rPr>
          <w:rFonts w:ascii="Arial" w:hAnsi="Arial" w:cs="Arial"/>
          <w:bCs/>
        </w:rPr>
        <w:lastRenderedPageBreak/>
        <w:t>Ethical approval</w:t>
      </w:r>
    </w:p>
    <w:p w14:paraId="68E3A8D5" w14:textId="77777777" w:rsidR="005C784C" w:rsidRPr="002B685A" w:rsidRDefault="005C784C" w:rsidP="00441B6F">
      <w:pPr>
        <w:pStyle w:val="ReferHead"/>
        <w:spacing w:after="0"/>
        <w:jc w:val="both"/>
        <w:rPr>
          <w:rFonts w:ascii="Arial" w:hAnsi="Arial" w:cs="Arial"/>
          <w:bCs/>
        </w:rPr>
      </w:pPr>
    </w:p>
    <w:p w14:paraId="00D0F3E3" w14:textId="77777777" w:rsidR="0041027F" w:rsidRDefault="001A29D8" w:rsidP="00441B6F">
      <w:pPr>
        <w:pStyle w:val="ReferHead"/>
        <w:spacing w:after="0"/>
        <w:jc w:val="both"/>
        <w:rPr>
          <w:rFonts w:ascii="Arial" w:hAnsi="Arial" w:cs="Arial"/>
          <w:b w:val="0"/>
          <w:caps w:val="0"/>
          <w:sz w:val="20"/>
        </w:rPr>
      </w:pPr>
      <w:r w:rsidRPr="00F21952">
        <w:rPr>
          <w:rFonts w:ascii="Arial" w:hAnsi="Arial" w:cs="Arial"/>
          <w:b w:val="0"/>
          <w:caps w:val="0"/>
          <w:sz w:val="20"/>
        </w:rPr>
        <w:t>All authors hereby declare that a</w:t>
      </w:r>
      <w:r w:rsidR="0041027F" w:rsidRPr="00F21952">
        <w:rPr>
          <w:rFonts w:ascii="Arial" w:hAnsi="Arial" w:cs="Arial"/>
          <w:b w:val="0"/>
          <w:caps w:val="0"/>
          <w:sz w:val="20"/>
        </w:rPr>
        <w:t xml:space="preserve">ll </w:t>
      </w:r>
      <w:r w:rsidR="00F469F0" w:rsidRPr="00F21952">
        <w:rPr>
          <w:rFonts w:ascii="Arial" w:hAnsi="Arial" w:cs="Arial"/>
          <w:b w:val="0"/>
          <w:caps w:val="0"/>
          <w:sz w:val="20"/>
        </w:rPr>
        <w:t>experiments</w:t>
      </w:r>
      <w:r w:rsidR="0041027F" w:rsidRPr="00F21952">
        <w:rPr>
          <w:rFonts w:ascii="Arial" w:hAnsi="Arial" w:cs="Arial"/>
          <w:b w:val="0"/>
          <w:caps w:val="0"/>
          <w:sz w:val="20"/>
        </w:rPr>
        <w:t xml:space="preserve"> have been examined</w:t>
      </w:r>
      <w:r w:rsidRPr="00F21952">
        <w:rPr>
          <w:rFonts w:ascii="Arial" w:hAnsi="Arial" w:cs="Arial"/>
          <w:b w:val="0"/>
          <w:caps w:val="0"/>
          <w:sz w:val="20"/>
        </w:rPr>
        <w:t xml:space="preserve"> and approved</w:t>
      </w:r>
      <w:r w:rsidR="0041027F" w:rsidRPr="00F21952">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5F699E34" w14:textId="77777777" w:rsidR="00F66097" w:rsidRDefault="00F66097" w:rsidP="00441B6F">
      <w:pPr>
        <w:pStyle w:val="ReferHead"/>
        <w:spacing w:after="0"/>
        <w:jc w:val="both"/>
        <w:rPr>
          <w:rFonts w:ascii="Arial" w:hAnsi="Arial" w:cs="Arial"/>
          <w:b w:val="0"/>
          <w:caps w:val="0"/>
          <w:sz w:val="20"/>
        </w:rPr>
      </w:pPr>
    </w:p>
    <w:p w14:paraId="6BF442D3" w14:textId="77777777" w:rsidR="00F66097" w:rsidRPr="003A29C6" w:rsidRDefault="00F66097" w:rsidP="00F66097">
      <w:pPr>
        <w:jc w:val="both"/>
        <w:outlineLvl w:val="0"/>
        <w:rPr>
          <w:rFonts w:ascii="Arial" w:hAnsi="Arial" w:cs="Arial"/>
        </w:rPr>
      </w:pPr>
      <w:r w:rsidRPr="003A29C6">
        <w:rPr>
          <w:rFonts w:ascii="Arial" w:hAnsi="Arial" w:cs="Arial"/>
          <w:b/>
          <w:bCs/>
        </w:rPr>
        <w:t>COMPETING INTERESTS DISCLAIMER:</w:t>
      </w:r>
    </w:p>
    <w:p w14:paraId="14B477AA" w14:textId="77777777" w:rsidR="00F66097" w:rsidRDefault="00F66097" w:rsidP="00F66097">
      <w:r w:rsidRPr="00A10EDE">
        <w:t>Authors have declared that they have no known competing financial interests OR non-financial interests OR personal relationships that could have appeared to influence the work reported in this paper.</w:t>
      </w:r>
    </w:p>
    <w:p w14:paraId="39952326" w14:textId="77777777" w:rsidR="00F66097" w:rsidRPr="00F21952" w:rsidRDefault="00F66097" w:rsidP="00441B6F">
      <w:pPr>
        <w:pStyle w:val="ReferHead"/>
        <w:spacing w:after="0"/>
        <w:jc w:val="both"/>
        <w:rPr>
          <w:rFonts w:ascii="Arial" w:hAnsi="Arial" w:cs="Arial"/>
          <w:b w:val="0"/>
          <w:caps w:val="0"/>
          <w:sz w:val="20"/>
        </w:rPr>
      </w:pPr>
    </w:p>
    <w:p w14:paraId="6B28EC48" w14:textId="77777777" w:rsidR="00860000" w:rsidRDefault="00860000" w:rsidP="00441B6F">
      <w:pPr>
        <w:pStyle w:val="ReferHead"/>
        <w:spacing w:after="0"/>
        <w:jc w:val="both"/>
        <w:rPr>
          <w:rFonts w:ascii="Arial" w:hAnsi="Arial" w:cs="Arial"/>
        </w:rPr>
      </w:pPr>
    </w:p>
    <w:p w14:paraId="1BFD756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8EB1EF" w14:textId="77777777" w:rsidR="00F21952" w:rsidRDefault="00F21952" w:rsidP="00F21952">
      <w:pPr>
        <w:pStyle w:val="Body"/>
        <w:spacing w:after="0"/>
        <w:rPr>
          <w:rFonts w:ascii="Arial" w:hAnsi="Arial" w:cs="Arial"/>
          <w:lang w:val="en-GB"/>
        </w:rPr>
      </w:pPr>
      <w:r w:rsidRPr="00F21952">
        <w:rPr>
          <w:rFonts w:ascii="Arial" w:hAnsi="Arial" w:cs="Arial"/>
          <w:lang w:val="en-GB"/>
        </w:rPr>
        <w:fldChar w:fldCharType="begin"/>
      </w:r>
      <w:r w:rsidRPr="00F21952">
        <w:rPr>
          <w:rFonts w:ascii="Arial" w:hAnsi="Arial" w:cs="Arial"/>
          <w:lang w:val="en-GB"/>
        </w:rPr>
        <w:instrText xml:space="preserve"> ADDIN ZOTERO_BIBL {"uncited":[],"omitted":[],"custom":[]} CSL_BIBLIOGRAPHY </w:instrText>
      </w:r>
      <w:r w:rsidRPr="00F21952">
        <w:rPr>
          <w:rFonts w:ascii="Arial" w:hAnsi="Arial" w:cs="Arial"/>
          <w:lang w:val="en-GB"/>
        </w:rPr>
        <w:fldChar w:fldCharType="separate"/>
      </w:r>
    </w:p>
    <w:p w14:paraId="2E4D07C6" w14:textId="77777777" w:rsidR="00591373" w:rsidRDefault="00591373" w:rsidP="00F21952">
      <w:pPr>
        <w:pStyle w:val="Body"/>
        <w:spacing w:after="0"/>
        <w:rPr>
          <w:rFonts w:ascii="Arial" w:hAnsi="Arial" w:cs="Arial"/>
        </w:rPr>
      </w:pPr>
      <w:r>
        <w:rPr>
          <w:rFonts w:ascii="Arial" w:hAnsi="Arial" w:cs="Arial"/>
          <w:lang w:val="en-GB"/>
        </w:rPr>
        <w:t xml:space="preserve">1. </w:t>
      </w:r>
      <w:r w:rsidRPr="00591373">
        <w:rPr>
          <w:rFonts w:ascii="Arial" w:hAnsi="Arial" w:cs="Arial"/>
        </w:rPr>
        <w:t>Chang, C. C., Sun, J. T., Liou, T. H., Kuo, C. F., Bei, C. H., Lin, S. J.</w:t>
      </w:r>
      <w:r w:rsidR="00D67ECE">
        <w:rPr>
          <w:rFonts w:ascii="Arial" w:hAnsi="Arial" w:cs="Arial"/>
        </w:rPr>
        <w:t xml:space="preserve"> et al</w:t>
      </w:r>
      <w:r w:rsidRPr="00591373">
        <w:rPr>
          <w:rFonts w:ascii="Arial" w:hAnsi="Arial" w:cs="Arial"/>
        </w:rPr>
        <w:t xml:space="preserve"> (2016). Clinical Significance of Smudge Cells in Peripheral Blood Smears in Hematological Malignancies and Other Diseases. </w:t>
      </w:r>
      <w:r w:rsidRPr="00591373">
        <w:rPr>
          <w:rFonts w:ascii="Arial" w:hAnsi="Arial" w:cs="Arial"/>
          <w:i/>
          <w:iCs/>
        </w:rPr>
        <w:t>Asian Pacific journal of cancer prevention:</w:t>
      </w:r>
      <w:r>
        <w:rPr>
          <w:rFonts w:ascii="Arial" w:hAnsi="Arial" w:cs="Arial"/>
          <w:i/>
          <w:iCs/>
        </w:rPr>
        <w:t xml:space="preserve"> </w:t>
      </w:r>
      <w:r w:rsidRPr="00591373">
        <w:rPr>
          <w:rFonts w:ascii="Arial" w:hAnsi="Arial" w:cs="Arial"/>
          <w:i/>
          <w:iCs/>
        </w:rPr>
        <w:t>APJCP</w:t>
      </w:r>
      <w:r w:rsidRPr="00591373">
        <w:rPr>
          <w:rFonts w:ascii="Arial" w:hAnsi="Arial" w:cs="Arial"/>
        </w:rPr>
        <w:t>, </w:t>
      </w:r>
      <w:r w:rsidRPr="00591373">
        <w:rPr>
          <w:rFonts w:ascii="Arial" w:hAnsi="Arial" w:cs="Arial"/>
          <w:i/>
          <w:iCs/>
        </w:rPr>
        <w:t>17</w:t>
      </w:r>
      <w:r w:rsidRPr="00591373">
        <w:rPr>
          <w:rFonts w:ascii="Arial" w:hAnsi="Arial" w:cs="Arial"/>
        </w:rPr>
        <w:t>(4), 1847–1850. https://doi.org/10.7314/apjcp.2016.17.4.1847</w:t>
      </w:r>
    </w:p>
    <w:p w14:paraId="5C300AA0" w14:textId="77777777" w:rsidR="001229AC" w:rsidRPr="00F21952" w:rsidRDefault="001229AC" w:rsidP="00F21952">
      <w:pPr>
        <w:pStyle w:val="Body"/>
        <w:spacing w:after="0"/>
        <w:rPr>
          <w:rFonts w:ascii="Arial" w:hAnsi="Arial" w:cs="Arial"/>
          <w:lang w:val="en-GB"/>
        </w:rPr>
      </w:pPr>
      <w:r>
        <w:rPr>
          <w:rFonts w:ascii="Arial" w:hAnsi="Arial" w:cs="Arial"/>
          <w:lang w:val="en-GB"/>
        </w:rPr>
        <w:t xml:space="preserve">2. </w:t>
      </w:r>
      <w:r w:rsidRPr="001229AC">
        <w:rPr>
          <w:rFonts w:ascii="Arial" w:hAnsi="Arial" w:cs="Arial"/>
        </w:rPr>
        <w:t>Gogia, A., Raina, V., Gupta, R., Gajendra, S., Kumar, L., Sharma, A.</w:t>
      </w:r>
      <w:r w:rsidR="002462B0">
        <w:rPr>
          <w:rFonts w:ascii="Arial" w:hAnsi="Arial" w:cs="Arial"/>
        </w:rPr>
        <w:t xml:space="preserve"> et al</w:t>
      </w:r>
      <w:r w:rsidRPr="001229AC">
        <w:rPr>
          <w:rFonts w:ascii="Arial" w:hAnsi="Arial" w:cs="Arial"/>
        </w:rPr>
        <w:t xml:space="preserve"> (2014). Prognostic and predictive significance of smudge cell percentage on routine blood smear in chronic lymphocytic leukemia. </w:t>
      </w:r>
      <w:r w:rsidRPr="001229AC">
        <w:rPr>
          <w:rFonts w:ascii="Arial" w:hAnsi="Arial" w:cs="Arial"/>
          <w:i/>
          <w:iCs/>
        </w:rPr>
        <w:t>Clinical lymphoma, myeloma &amp; leukemia</w:t>
      </w:r>
      <w:r w:rsidRPr="001229AC">
        <w:rPr>
          <w:rFonts w:ascii="Arial" w:hAnsi="Arial" w:cs="Arial"/>
        </w:rPr>
        <w:t>, </w:t>
      </w:r>
      <w:r w:rsidRPr="001229AC">
        <w:rPr>
          <w:rFonts w:ascii="Arial" w:hAnsi="Arial" w:cs="Arial"/>
          <w:i/>
          <w:iCs/>
        </w:rPr>
        <w:t>14</w:t>
      </w:r>
      <w:r w:rsidRPr="001229AC">
        <w:rPr>
          <w:rFonts w:ascii="Arial" w:hAnsi="Arial" w:cs="Arial"/>
        </w:rPr>
        <w:t>(6), 514–517. https://doi.org/10.1016/j.clml.2014.02.007</w:t>
      </w:r>
    </w:p>
    <w:p w14:paraId="3A1471D8" w14:textId="77777777" w:rsidR="00F21952" w:rsidRPr="00F21952" w:rsidRDefault="002462B0" w:rsidP="00F21952">
      <w:pPr>
        <w:pStyle w:val="Body"/>
        <w:spacing w:after="0"/>
        <w:rPr>
          <w:rFonts w:ascii="Arial" w:hAnsi="Arial" w:cs="Arial"/>
          <w:lang w:val="en-GB"/>
        </w:rPr>
      </w:pPr>
      <w:r>
        <w:rPr>
          <w:rFonts w:ascii="Arial" w:hAnsi="Arial" w:cs="Arial"/>
          <w:lang w:val="en-GB"/>
        </w:rPr>
        <w:t xml:space="preserve">3. </w:t>
      </w:r>
      <w:r w:rsidRPr="002462B0">
        <w:rPr>
          <w:rFonts w:ascii="Arial" w:hAnsi="Arial" w:cs="Arial"/>
        </w:rPr>
        <w:t>Marionneaux, S. M., Keohane, E. M., Lamanna, N., King, T. C., &amp; Mehta, S. R. (2021). Smudge Cells in Chronic Lymphocytic Leukemia: Pathophysiology, Laboratory Considerations, and Clinical Significance. </w:t>
      </w:r>
      <w:r w:rsidRPr="002462B0">
        <w:rPr>
          <w:rFonts w:ascii="Arial" w:hAnsi="Arial" w:cs="Arial"/>
          <w:i/>
          <w:iCs/>
        </w:rPr>
        <w:t>Laboratory medicine</w:t>
      </w:r>
      <w:r w:rsidRPr="002462B0">
        <w:rPr>
          <w:rFonts w:ascii="Arial" w:hAnsi="Arial" w:cs="Arial"/>
        </w:rPr>
        <w:t>, </w:t>
      </w:r>
      <w:r w:rsidRPr="002462B0">
        <w:rPr>
          <w:rFonts w:ascii="Arial" w:hAnsi="Arial" w:cs="Arial"/>
          <w:i/>
          <w:iCs/>
        </w:rPr>
        <w:t>52</w:t>
      </w:r>
      <w:r w:rsidRPr="002462B0">
        <w:rPr>
          <w:rFonts w:ascii="Arial" w:hAnsi="Arial" w:cs="Arial"/>
        </w:rPr>
        <w:t>(5), 426–438. https://doi.org/10.1093/labmed/lmaa119</w:t>
      </w:r>
    </w:p>
    <w:p w14:paraId="3D603D84" w14:textId="77777777" w:rsidR="002462B0" w:rsidRDefault="002462B0" w:rsidP="00F21952">
      <w:pPr>
        <w:pStyle w:val="Body"/>
        <w:spacing w:after="0"/>
        <w:rPr>
          <w:rFonts w:ascii="Arial" w:hAnsi="Arial" w:cs="Arial"/>
          <w:lang w:val="en-GB"/>
        </w:rPr>
      </w:pPr>
      <w:r>
        <w:rPr>
          <w:rFonts w:ascii="Arial" w:hAnsi="Arial" w:cs="Arial"/>
          <w:lang w:val="en-GB"/>
        </w:rPr>
        <w:t xml:space="preserve">4. </w:t>
      </w:r>
      <w:r w:rsidRPr="002462B0">
        <w:rPr>
          <w:rFonts w:ascii="Arial" w:hAnsi="Arial" w:cs="Arial"/>
        </w:rPr>
        <w:t>Lunning, M. A., Zenger, V. E., Dreyfuss, R., Stetler-Stevenson, M., Rick, M. E., White, T. A., Wilson, W. H., &amp; Marti, G. E. (2004). Albumin enhanced morphometric image analysis in CLL. </w:t>
      </w:r>
      <w:r w:rsidRPr="002462B0">
        <w:rPr>
          <w:rFonts w:ascii="Arial" w:hAnsi="Arial" w:cs="Arial"/>
          <w:i/>
          <w:iCs/>
        </w:rPr>
        <w:t>Cytometry. Part B, Clinical cytometry</w:t>
      </w:r>
      <w:r w:rsidRPr="002462B0">
        <w:rPr>
          <w:rFonts w:ascii="Arial" w:hAnsi="Arial" w:cs="Arial"/>
        </w:rPr>
        <w:t>, </w:t>
      </w:r>
      <w:r w:rsidRPr="002462B0">
        <w:rPr>
          <w:rFonts w:ascii="Arial" w:hAnsi="Arial" w:cs="Arial"/>
          <w:i/>
          <w:iCs/>
        </w:rPr>
        <w:t>57</w:t>
      </w:r>
      <w:r w:rsidRPr="002462B0">
        <w:rPr>
          <w:rFonts w:ascii="Arial" w:hAnsi="Arial" w:cs="Arial"/>
        </w:rPr>
        <w:t>(1), 7–14. https://doi.org/10.1002/cyto.b.10059</w:t>
      </w:r>
    </w:p>
    <w:p w14:paraId="3024C6D2" w14:textId="77777777" w:rsidR="002462B0" w:rsidRDefault="002462B0" w:rsidP="00F21952">
      <w:pPr>
        <w:pStyle w:val="Body"/>
        <w:spacing w:after="0"/>
        <w:rPr>
          <w:rFonts w:ascii="Arial" w:hAnsi="Arial" w:cs="Arial"/>
          <w:lang w:val="en-GB"/>
        </w:rPr>
      </w:pPr>
      <w:r>
        <w:rPr>
          <w:rFonts w:ascii="Arial" w:hAnsi="Arial" w:cs="Arial"/>
          <w:lang w:val="en-GB"/>
        </w:rPr>
        <w:t xml:space="preserve">5. </w:t>
      </w:r>
      <w:r w:rsidRPr="002462B0">
        <w:rPr>
          <w:rFonts w:ascii="Arial" w:hAnsi="Arial" w:cs="Arial"/>
        </w:rPr>
        <w:t>Palmer, L., Briggs, C., McFadden, S., Zini, G., Burthem, J., Rozenberg, G., Proytcheva, M., &amp; Machin, S. J. (2015). ICSH recommendations for the standardization of nomenclature and grading of peripheral blood cell morphological features. </w:t>
      </w:r>
      <w:r w:rsidRPr="002462B0">
        <w:rPr>
          <w:rFonts w:ascii="Arial" w:hAnsi="Arial" w:cs="Arial"/>
          <w:i/>
          <w:iCs/>
        </w:rPr>
        <w:t>International journal of laboratory hematology</w:t>
      </w:r>
      <w:r w:rsidRPr="002462B0">
        <w:rPr>
          <w:rFonts w:ascii="Arial" w:hAnsi="Arial" w:cs="Arial"/>
        </w:rPr>
        <w:t>, </w:t>
      </w:r>
      <w:r w:rsidRPr="002462B0">
        <w:rPr>
          <w:rFonts w:ascii="Arial" w:hAnsi="Arial" w:cs="Arial"/>
          <w:i/>
          <w:iCs/>
        </w:rPr>
        <w:t>37</w:t>
      </w:r>
      <w:r w:rsidRPr="002462B0">
        <w:rPr>
          <w:rFonts w:ascii="Arial" w:hAnsi="Arial" w:cs="Arial"/>
        </w:rPr>
        <w:t>(3), 287–303. https://doi.org/10.1111/ijlh.12327</w:t>
      </w:r>
    </w:p>
    <w:p w14:paraId="0DEC4647" w14:textId="77777777" w:rsidR="00F21952" w:rsidRDefault="002462B0" w:rsidP="00F21952">
      <w:pPr>
        <w:pStyle w:val="Body"/>
        <w:spacing w:after="0"/>
        <w:rPr>
          <w:rFonts w:ascii="Arial" w:hAnsi="Arial" w:cs="Arial"/>
          <w:lang w:val="en-GB"/>
        </w:rPr>
      </w:pPr>
      <w:r>
        <w:rPr>
          <w:rFonts w:ascii="Arial" w:hAnsi="Arial" w:cs="Arial"/>
          <w:lang w:val="en-GB"/>
        </w:rPr>
        <w:t>6</w:t>
      </w:r>
      <w:r w:rsidR="00F21952" w:rsidRPr="00F21952">
        <w:rPr>
          <w:rFonts w:ascii="Arial" w:hAnsi="Arial" w:cs="Arial"/>
          <w:lang w:val="en-GB"/>
        </w:rPr>
        <w:t>.</w:t>
      </w:r>
      <w:r>
        <w:rPr>
          <w:rFonts w:ascii="Arial" w:hAnsi="Arial" w:cs="Arial"/>
          <w:lang w:val="en-GB"/>
        </w:rPr>
        <w:t xml:space="preserve"> Clinical and Laboratory Standards Institute (CLSI) </w:t>
      </w:r>
      <w:r w:rsidR="00F21952" w:rsidRPr="00F21952">
        <w:rPr>
          <w:rFonts w:ascii="Arial" w:hAnsi="Arial" w:cs="Arial"/>
          <w:lang w:val="en-GB"/>
        </w:rPr>
        <w:t>Reference Leukocyte (WBC) Differential Count (Proportional) and Evaluation of Instrumental Methods; Approved Standard—Second Edition.</w:t>
      </w:r>
      <w:r w:rsidR="00B81769">
        <w:rPr>
          <w:rFonts w:ascii="Arial" w:hAnsi="Arial" w:cs="Arial"/>
          <w:lang w:val="en-GB"/>
        </w:rPr>
        <w:t xml:space="preserve"> CLSI document H20-A2. Wayne, PA; 2007.</w:t>
      </w:r>
    </w:p>
    <w:p w14:paraId="3C50B90E" w14:textId="77777777" w:rsidR="00B81769" w:rsidRPr="00F21952" w:rsidRDefault="00B81769" w:rsidP="00F21952">
      <w:pPr>
        <w:pStyle w:val="Body"/>
        <w:spacing w:after="0"/>
        <w:rPr>
          <w:rFonts w:ascii="Arial" w:hAnsi="Arial" w:cs="Arial"/>
          <w:lang w:val="en-GB"/>
        </w:rPr>
      </w:pPr>
      <w:r>
        <w:rPr>
          <w:rFonts w:ascii="Arial" w:hAnsi="Arial" w:cs="Arial"/>
          <w:lang w:val="en-GB"/>
        </w:rPr>
        <w:t xml:space="preserve">7. </w:t>
      </w:r>
      <w:r w:rsidRPr="00B81769">
        <w:rPr>
          <w:rFonts w:ascii="Arial" w:hAnsi="Arial" w:cs="Arial"/>
        </w:rPr>
        <w:t>Gulati, G., Ly, V., Uppal, G., &amp; Gong, J. (2017). Feasibility of Counting Smudge Cells as Lymphocytes in Differential Leukocyte Counts Performed on Blood Smears of Patients With Established or Suspected Chronic Lymphocytic Leukemia/Small Lymphocytic Lymphoma. </w:t>
      </w:r>
      <w:r w:rsidRPr="00B81769">
        <w:rPr>
          <w:rFonts w:ascii="Arial" w:hAnsi="Arial" w:cs="Arial"/>
          <w:i/>
          <w:iCs/>
        </w:rPr>
        <w:t>Laboratory medicine</w:t>
      </w:r>
      <w:r w:rsidRPr="00B81769">
        <w:rPr>
          <w:rFonts w:ascii="Arial" w:hAnsi="Arial" w:cs="Arial"/>
        </w:rPr>
        <w:t>, </w:t>
      </w:r>
      <w:r w:rsidRPr="00B81769">
        <w:rPr>
          <w:rFonts w:ascii="Arial" w:hAnsi="Arial" w:cs="Arial"/>
          <w:i/>
          <w:iCs/>
        </w:rPr>
        <w:t>48</w:t>
      </w:r>
      <w:r w:rsidRPr="00B81769">
        <w:rPr>
          <w:rFonts w:ascii="Arial" w:hAnsi="Arial" w:cs="Arial"/>
        </w:rPr>
        <w:t>(2), 137–147. https://doi.org/10.1093/labmed/lmx002</w:t>
      </w:r>
    </w:p>
    <w:p w14:paraId="7FD82ED1" w14:textId="77777777" w:rsidR="00F21952" w:rsidRPr="00F21952" w:rsidRDefault="00B81769" w:rsidP="00F21952">
      <w:pPr>
        <w:pStyle w:val="Body"/>
        <w:spacing w:after="0"/>
        <w:rPr>
          <w:rFonts w:ascii="Arial" w:hAnsi="Arial" w:cs="Arial"/>
          <w:lang w:val="en-GB"/>
        </w:rPr>
      </w:pPr>
      <w:r>
        <w:rPr>
          <w:rFonts w:ascii="Arial" w:hAnsi="Arial" w:cs="Arial"/>
          <w:lang w:val="en-GB"/>
        </w:rPr>
        <w:t xml:space="preserve">8. </w:t>
      </w:r>
      <w:r w:rsidR="00F21952" w:rsidRPr="00F21952">
        <w:rPr>
          <w:rFonts w:ascii="Arial" w:hAnsi="Arial" w:cs="Arial"/>
          <w:lang w:val="en-GB"/>
        </w:rPr>
        <w:t>QSP Newsletter #42</w:t>
      </w:r>
      <w:r>
        <w:rPr>
          <w:rFonts w:ascii="Arial" w:hAnsi="Arial" w:cs="Arial"/>
          <w:lang w:val="en-GB"/>
        </w:rPr>
        <w:t>. Monthly Digital Case Study:</w:t>
      </w:r>
      <w:r w:rsidR="00F21952" w:rsidRPr="00F21952">
        <w:rPr>
          <w:rFonts w:ascii="Arial" w:hAnsi="Arial" w:cs="Arial"/>
          <w:lang w:val="en-GB"/>
        </w:rPr>
        <w:t xml:space="preserve"> Acute Leukemia</w:t>
      </w:r>
      <w:r>
        <w:rPr>
          <w:rFonts w:ascii="Arial" w:hAnsi="Arial" w:cs="Arial"/>
          <w:lang w:val="en-GB"/>
        </w:rPr>
        <w:t xml:space="preserve"> (2023)</w:t>
      </w:r>
      <w:r w:rsidR="00F21952" w:rsidRPr="00F21952">
        <w:rPr>
          <w:rFonts w:ascii="Arial" w:hAnsi="Arial" w:cs="Arial"/>
          <w:lang w:val="en-GB"/>
        </w:rPr>
        <w:t xml:space="preserve"> https://yro2.mjt.lu/nl3/wQf-d78c6kGBZ8WcPxzzQg?m=AVoAADBlFOQAAc3H6YoAALHCktcAAYDOMdcAnsnQAAviVQBliveohvSigr_eRqeAxWEpnR4rGwAL9Xk&amp;b=d5049ce5&amp;e=5e32e65f&amp;x=PWRbu6pszQDfOY55WF3FnZOzEK0ndhH4qCFXMbPjWms</w:t>
      </w:r>
    </w:p>
    <w:p w14:paraId="2388F4E0" w14:textId="77777777" w:rsidR="00F21952" w:rsidRPr="00F21952" w:rsidRDefault="00F21952" w:rsidP="00F21952">
      <w:pPr>
        <w:pStyle w:val="Body"/>
        <w:spacing w:after="0"/>
        <w:rPr>
          <w:rFonts w:ascii="Arial" w:hAnsi="Arial" w:cs="Arial"/>
          <w:lang w:val="en-GB"/>
        </w:rPr>
      </w:pPr>
      <w:r w:rsidRPr="00F21952">
        <w:rPr>
          <w:rFonts w:ascii="Arial" w:hAnsi="Arial" w:cs="Arial"/>
          <w:lang w:val="en-GB"/>
        </w:rPr>
        <w:t>9.</w:t>
      </w:r>
      <w:r w:rsidRPr="00F21952">
        <w:rPr>
          <w:rFonts w:ascii="Arial" w:hAnsi="Arial" w:cs="Arial"/>
          <w:lang w:val="en-GB"/>
        </w:rPr>
        <w:tab/>
        <w:t>Reference Institute for Bioanalytics, RfB - Surveys for Laboratory Medicine</w:t>
      </w:r>
      <w:r w:rsidR="00B81769">
        <w:rPr>
          <w:rFonts w:ascii="Arial" w:hAnsi="Arial" w:cs="Arial"/>
          <w:lang w:val="en-GB"/>
        </w:rPr>
        <w:t xml:space="preserve"> (2012)</w:t>
      </w:r>
      <w:r w:rsidRPr="00F21952">
        <w:rPr>
          <w:rFonts w:ascii="Arial" w:hAnsi="Arial" w:cs="Arial"/>
          <w:lang w:val="en-GB"/>
        </w:rPr>
        <w:t>. https://www.rfb.bio/cgi/results?rv_type=all&amp;rvTypeForDetails=DF&amp;year=2012&amp;rv_num=4&amp;analyte=all&amp;searchType=rv_type</w:t>
      </w:r>
    </w:p>
    <w:p w14:paraId="5826ED0C" w14:textId="77777777" w:rsidR="00F21952" w:rsidRPr="00F21952" w:rsidRDefault="00F21952" w:rsidP="00F21952">
      <w:pPr>
        <w:pStyle w:val="Body"/>
        <w:spacing w:after="0"/>
        <w:rPr>
          <w:rFonts w:ascii="Arial" w:hAnsi="Arial" w:cs="Arial"/>
          <w:lang w:val="en-GB"/>
        </w:rPr>
      </w:pPr>
      <w:r w:rsidRPr="00F21952">
        <w:rPr>
          <w:rFonts w:ascii="Arial" w:hAnsi="Arial" w:cs="Arial"/>
          <w:lang w:val="en-GB"/>
        </w:rPr>
        <w:t>10.</w:t>
      </w:r>
      <w:r w:rsidRPr="00F21952">
        <w:rPr>
          <w:rFonts w:ascii="Arial" w:hAnsi="Arial" w:cs="Arial"/>
          <w:lang w:val="en-GB"/>
        </w:rPr>
        <w:tab/>
      </w:r>
      <w:r w:rsidR="00D74FD9">
        <w:rPr>
          <w:rFonts w:ascii="Arial" w:hAnsi="Arial" w:cs="Arial"/>
          <w:lang w:val="en-GB"/>
        </w:rPr>
        <w:t xml:space="preserve">CellaVision, </w:t>
      </w:r>
      <w:r w:rsidRPr="00F21952">
        <w:rPr>
          <w:rFonts w:ascii="Arial" w:hAnsi="Arial" w:cs="Arial"/>
          <w:lang w:val="en-GB"/>
        </w:rPr>
        <w:t>Patient case #1 - Sezary Syndrome</w:t>
      </w:r>
      <w:r w:rsidR="00D74FD9">
        <w:rPr>
          <w:rFonts w:ascii="Arial" w:hAnsi="Arial" w:cs="Arial"/>
          <w:lang w:val="en-GB"/>
        </w:rPr>
        <w:t xml:space="preserve"> </w:t>
      </w:r>
      <w:r w:rsidR="00B81769">
        <w:rPr>
          <w:rFonts w:ascii="Arial" w:hAnsi="Arial" w:cs="Arial"/>
          <w:lang w:val="en-GB"/>
        </w:rPr>
        <w:t>(2022).</w:t>
      </w:r>
      <w:r w:rsidRPr="00F21952">
        <w:rPr>
          <w:rFonts w:ascii="Arial" w:hAnsi="Arial" w:cs="Arial"/>
          <w:lang w:val="en-GB"/>
        </w:rPr>
        <w:t xml:space="preserve"> https://www.cellavision.com/patient-case-sezary-syndrome</w:t>
      </w:r>
    </w:p>
    <w:p w14:paraId="6860BD9F" w14:textId="77777777" w:rsidR="00F21952" w:rsidRPr="002C57D2" w:rsidRDefault="00F21952" w:rsidP="00F21952">
      <w:pPr>
        <w:pStyle w:val="Body"/>
        <w:spacing w:after="0"/>
        <w:rPr>
          <w:rFonts w:ascii="Arial" w:hAnsi="Arial" w:cs="Arial"/>
        </w:rPr>
      </w:pPr>
      <w:r w:rsidRPr="00F21952">
        <w:rPr>
          <w:rFonts w:ascii="Arial" w:hAnsi="Arial" w:cs="Arial"/>
        </w:rPr>
        <w:fldChar w:fldCharType="end"/>
      </w:r>
    </w:p>
    <w:p w14:paraId="62577BEA" w14:textId="77777777" w:rsidR="004D4277" w:rsidRPr="00FB3A86" w:rsidRDefault="004D4277" w:rsidP="00B81769">
      <w:pPr>
        <w:rPr>
          <w:rFonts w:ascii="Arial" w:hAnsi="Arial" w:cs="Arial"/>
          <w:b/>
        </w:rPr>
        <w:sectPr w:rsidR="004D4277" w:rsidRPr="00FB3A86" w:rsidSect="00B6477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139A336" w14:textId="77777777" w:rsidR="00B01FCD" w:rsidRPr="00FB3A86" w:rsidRDefault="00B01FCD" w:rsidP="00441B6F">
      <w:pPr>
        <w:pStyle w:val="Appendix"/>
        <w:spacing w:after="0"/>
        <w:jc w:val="both"/>
        <w:rPr>
          <w:rFonts w:ascii="Arial" w:hAnsi="Arial" w:cs="Arial"/>
          <w:b w:val="0"/>
        </w:rPr>
      </w:pPr>
    </w:p>
    <w:sectPr w:rsidR="00B01FCD" w:rsidRPr="00FB3A86" w:rsidSect="00B647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350A" w14:textId="77777777" w:rsidR="006A1D6A" w:rsidRDefault="006A1D6A" w:rsidP="00C37E61">
      <w:r>
        <w:separator/>
      </w:r>
    </w:p>
  </w:endnote>
  <w:endnote w:type="continuationSeparator" w:id="0">
    <w:p w14:paraId="28908D93" w14:textId="77777777" w:rsidR="006A1D6A" w:rsidRDefault="006A1D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073C" w14:textId="77777777" w:rsidR="00B64775" w:rsidRDefault="00B6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2812" w14:textId="1CE73EEE" w:rsidR="000248BA" w:rsidRPr="00F518CB" w:rsidRDefault="000248BA" w:rsidP="00F51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7E4F" w14:textId="63E626AE" w:rsidR="00754C9A" w:rsidRPr="007477D8" w:rsidRDefault="00754C9A" w:rsidP="00747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4B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8625" w14:textId="77777777" w:rsidR="006A1D6A" w:rsidRDefault="006A1D6A" w:rsidP="00C37E61">
      <w:r>
        <w:separator/>
      </w:r>
    </w:p>
  </w:footnote>
  <w:footnote w:type="continuationSeparator" w:id="0">
    <w:p w14:paraId="03267019" w14:textId="77777777" w:rsidR="006A1D6A" w:rsidRDefault="006A1D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57C5" w14:textId="345A95AD" w:rsidR="00B64775" w:rsidRDefault="00B64775">
    <w:pPr>
      <w:pStyle w:val="Header"/>
    </w:pPr>
    <w:r>
      <w:rPr>
        <w:noProof/>
      </w:rPr>
      <w:pict w14:anchorId="63AE6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6959" w14:textId="7B3D5A87" w:rsidR="00B64775" w:rsidRDefault="00B64775">
    <w:pPr>
      <w:pStyle w:val="Header"/>
    </w:pPr>
    <w:r>
      <w:rPr>
        <w:noProof/>
      </w:rPr>
      <w:pict w14:anchorId="38324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6D7" w14:textId="0A52FE23" w:rsidR="00296529" w:rsidRPr="00296529" w:rsidRDefault="00B64775" w:rsidP="00296529">
    <w:pPr>
      <w:ind w:left="2160"/>
      <w:jc w:val="center"/>
      <w:rPr>
        <w:rFonts w:ascii="Times New Roman" w:eastAsia="Calibri" w:hAnsi="Times New Roman"/>
        <w:i/>
        <w:sz w:val="18"/>
        <w:szCs w:val="22"/>
      </w:rPr>
    </w:pPr>
    <w:r>
      <w:rPr>
        <w:noProof/>
      </w:rPr>
      <w:pict w14:anchorId="4C3AE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8EA4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4073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AE55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A94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D26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2E21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2581" w14:textId="27DA25E5" w:rsidR="00B64775" w:rsidRDefault="00B64775">
    <w:pPr>
      <w:pStyle w:val="Header"/>
    </w:pPr>
    <w:r>
      <w:rPr>
        <w:noProof/>
      </w:rPr>
      <w:pict w14:anchorId="564B7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B093" w14:textId="1EE158CE" w:rsidR="00B64775" w:rsidRDefault="00B64775">
    <w:pPr>
      <w:pStyle w:val="Header"/>
    </w:pPr>
    <w:r>
      <w:rPr>
        <w:noProof/>
      </w:rPr>
      <w:pict w14:anchorId="5BC49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DE17" w14:textId="47E409ED" w:rsidR="00B64775" w:rsidRDefault="00B64775">
    <w:pPr>
      <w:pStyle w:val="Header"/>
    </w:pPr>
    <w:r>
      <w:rPr>
        <w:noProof/>
      </w:rPr>
      <w:pict w14:anchorId="4C6B3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0MDUyMTE0sjQzMjBU0lEKTi0uzszPAykwqgUAID2+HSwAAAA="/>
  </w:docVars>
  <w:rsids>
    <w:rsidRoot w:val="00AA6219"/>
    <w:rsid w:val="00000F8F"/>
    <w:rsid w:val="000248BA"/>
    <w:rsid w:val="00030174"/>
    <w:rsid w:val="00032ACC"/>
    <w:rsid w:val="0004579C"/>
    <w:rsid w:val="000A47FA"/>
    <w:rsid w:val="000A65D3"/>
    <w:rsid w:val="000B1E33"/>
    <w:rsid w:val="000D689F"/>
    <w:rsid w:val="000E7B7B"/>
    <w:rsid w:val="000E7D62"/>
    <w:rsid w:val="00103357"/>
    <w:rsid w:val="00104ED5"/>
    <w:rsid w:val="00111146"/>
    <w:rsid w:val="001229AC"/>
    <w:rsid w:val="00123C9F"/>
    <w:rsid w:val="00126190"/>
    <w:rsid w:val="00130F17"/>
    <w:rsid w:val="001320BF"/>
    <w:rsid w:val="00140377"/>
    <w:rsid w:val="00163BC4"/>
    <w:rsid w:val="00180F34"/>
    <w:rsid w:val="00181B51"/>
    <w:rsid w:val="00191062"/>
    <w:rsid w:val="00192B72"/>
    <w:rsid w:val="001A29D8"/>
    <w:rsid w:val="001A5CAA"/>
    <w:rsid w:val="001B0427"/>
    <w:rsid w:val="001D3A51"/>
    <w:rsid w:val="001E10D2"/>
    <w:rsid w:val="001E25B4"/>
    <w:rsid w:val="001E44FE"/>
    <w:rsid w:val="001F6B49"/>
    <w:rsid w:val="00200595"/>
    <w:rsid w:val="00204835"/>
    <w:rsid w:val="00206147"/>
    <w:rsid w:val="00231920"/>
    <w:rsid w:val="0023195C"/>
    <w:rsid w:val="0024282C"/>
    <w:rsid w:val="002460DC"/>
    <w:rsid w:val="002462B0"/>
    <w:rsid w:val="00247C4A"/>
    <w:rsid w:val="00250985"/>
    <w:rsid w:val="002556F6"/>
    <w:rsid w:val="00257A22"/>
    <w:rsid w:val="00280C04"/>
    <w:rsid w:val="00283105"/>
    <w:rsid w:val="00284C4C"/>
    <w:rsid w:val="00287E68"/>
    <w:rsid w:val="00296529"/>
    <w:rsid w:val="002B27FB"/>
    <w:rsid w:val="002B685A"/>
    <w:rsid w:val="002C348A"/>
    <w:rsid w:val="002C57D2"/>
    <w:rsid w:val="002D249A"/>
    <w:rsid w:val="002E0D56"/>
    <w:rsid w:val="00315186"/>
    <w:rsid w:val="0033343E"/>
    <w:rsid w:val="00350AA6"/>
    <w:rsid w:val="003512C2"/>
    <w:rsid w:val="00371FB6"/>
    <w:rsid w:val="003763C1"/>
    <w:rsid w:val="00376BBE"/>
    <w:rsid w:val="003823FD"/>
    <w:rsid w:val="00390E24"/>
    <w:rsid w:val="0039224F"/>
    <w:rsid w:val="003A43A4"/>
    <w:rsid w:val="003A7E18"/>
    <w:rsid w:val="003C4C86"/>
    <w:rsid w:val="003C6258"/>
    <w:rsid w:val="003E2904"/>
    <w:rsid w:val="00401927"/>
    <w:rsid w:val="00406FB7"/>
    <w:rsid w:val="0041027F"/>
    <w:rsid w:val="00412475"/>
    <w:rsid w:val="00423789"/>
    <w:rsid w:val="00440F43"/>
    <w:rsid w:val="00441B6F"/>
    <w:rsid w:val="00446221"/>
    <w:rsid w:val="00450E62"/>
    <w:rsid w:val="004539DB"/>
    <w:rsid w:val="00471A80"/>
    <w:rsid w:val="004D305E"/>
    <w:rsid w:val="004D4277"/>
    <w:rsid w:val="004E0E16"/>
    <w:rsid w:val="004F203D"/>
    <w:rsid w:val="00502516"/>
    <w:rsid w:val="00505F06"/>
    <w:rsid w:val="00506828"/>
    <w:rsid w:val="0053056E"/>
    <w:rsid w:val="00554FDA"/>
    <w:rsid w:val="00591373"/>
    <w:rsid w:val="005C784C"/>
    <w:rsid w:val="005D17F6"/>
    <w:rsid w:val="005E5539"/>
    <w:rsid w:val="00602BF5"/>
    <w:rsid w:val="00606925"/>
    <w:rsid w:val="00617FDD"/>
    <w:rsid w:val="00633614"/>
    <w:rsid w:val="00633DC1"/>
    <w:rsid w:val="00633F68"/>
    <w:rsid w:val="00636EB2"/>
    <w:rsid w:val="006375B8"/>
    <w:rsid w:val="0066510A"/>
    <w:rsid w:val="00673F9F"/>
    <w:rsid w:val="00686953"/>
    <w:rsid w:val="00687DEA"/>
    <w:rsid w:val="00687E67"/>
    <w:rsid w:val="006967F7"/>
    <w:rsid w:val="006A1D6A"/>
    <w:rsid w:val="006A250C"/>
    <w:rsid w:val="006B21D3"/>
    <w:rsid w:val="006B57D0"/>
    <w:rsid w:val="006D30FF"/>
    <w:rsid w:val="006D6940"/>
    <w:rsid w:val="006D7F7B"/>
    <w:rsid w:val="006F11EC"/>
    <w:rsid w:val="0070082C"/>
    <w:rsid w:val="007017DB"/>
    <w:rsid w:val="00705623"/>
    <w:rsid w:val="00727A79"/>
    <w:rsid w:val="007369E6"/>
    <w:rsid w:val="00740441"/>
    <w:rsid w:val="00746E59"/>
    <w:rsid w:val="007477D8"/>
    <w:rsid w:val="00754C9A"/>
    <w:rsid w:val="0075599A"/>
    <w:rsid w:val="007571D8"/>
    <w:rsid w:val="00761D52"/>
    <w:rsid w:val="0077749E"/>
    <w:rsid w:val="0078075E"/>
    <w:rsid w:val="00790ADA"/>
    <w:rsid w:val="00791656"/>
    <w:rsid w:val="007D2288"/>
    <w:rsid w:val="007E088F"/>
    <w:rsid w:val="007E6510"/>
    <w:rsid w:val="007F7B32"/>
    <w:rsid w:val="00801B34"/>
    <w:rsid w:val="00804BC2"/>
    <w:rsid w:val="0081431A"/>
    <w:rsid w:val="0083216F"/>
    <w:rsid w:val="0085312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0DE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CAE"/>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2B10"/>
    <w:rsid w:val="00B52583"/>
    <w:rsid w:val="00B52896"/>
    <w:rsid w:val="00B64775"/>
    <w:rsid w:val="00B72797"/>
    <w:rsid w:val="00B81769"/>
    <w:rsid w:val="00B95236"/>
    <w:rsid w:val="00B96BD9"/>
    <w:rsid w:val="00BA1B01"/>
    <w:rsid w:val="00BA2641"/>
    <w:rsid w:val="00BA7D7C"/>
    <w:rsid w:val="00BB37AA"/>
    <w:rsid w:val="00BC0491"/>
    <w:rsid w:val="00BC53A0"/>
    <w:rsid w:val="00BE62AD"/>
    <w:rsid w:val="00BE7A1E"/>
    <w:rsid w:val="00BF121F"/>
    <w:rsid w:val="00BF1F80"/>
    <w:rsid w:val="00C166EF"/>
    <w:rsid w:val="00C17EB0"/>
    <w:rsid w:val="00C27F5F"/>
    <w:rsid w:val="00C30A0F"/>
    <w:rsid w:val="00C37E61"/>
    <w:rsid w:val="00C70F1B"/>
    <w:rsid w:val="00C71A47"/>
    <w:rsid w:val="00C7464C"/>
    <w:rsid w:val="00C85588"/>
    <w:rsid w:val="00CA724F"/>
    <w:rsid w:val="00CD6755"/>
    <w:rsid w:val="00CD6856"/>
    <w:rsid w:val="00CE0089"/>
    <w:rsid w:val="00CE793C"/>
    <w:rsid w:val="00CF193C"/>
    <w:rsid w:val="00D02F9D"/>
    <w:rsid w:val="00D173F0"/>
    <w:rsid w:val="00D173F1"/>
    <w:rsid w:val="00D5542A"/>
    <w:rsid w:val="00D67ECE"/>
    <w:rsid w:val="00D74CB0"/>
    <w:rsid w:val="00D74FD9"/>
    <w:rsid w:val="00D8295D"/>
    <w:rsid w:val="00DC2A65"/>
    <w:rsid w:val="00DD21EF"/>
    <w:rsid w:val="00DD5BEB"/>
    <w:rsid w:val="00DE15F0"/>
    <w:rsid w:val="00DE5663"/>
    <w:rsid w:val="00DE78AA"/>
    <w:rsid w:val="00E053D0"/>
    <w:rsid w:val="00E15994"/>
    <w:rsid w:val="00E171A7"/>
    <w:rsid w:val="00E3114E"/>
    <w:rsid w:val="00E31A70"/>
    <w:rsid w:val="00E35B02"/>
    <w:rsid w:val="00E66496"/>
    <w:rsid w:val="00E66B35"/>
    <w:rsid w:val="00E66E10"/>
    <w:rsid w:val="00E74928"/>
    <w:rsid w:val="00E769F6"/>
    <w:rsid w:val="00E8407C"/>
    <w:rsid w:val="00E84F3C"/>
    <w:rsid w:val="00E91A52"/>
    <w:rsid w:val="00EA012C"/>
    <w:rsid w:val="00EC6A55"/>
    <w:rsid w:val="00ED0288"/>
    <w:rsid w:val="00EE52CB"/>
    <w:rsid w:val="00EF581D"/>
    <w:rsid w:val="00EF7FD8"/>
    <w:rsid w:val="00F06F59"/>
    <w:rsid w:val="00F17988"/>
    <w:rsid w:val="00F21952"/>
    <w:rsid w:val="00F469F0"/>
    <w:rsid w:val="00F518CB"/>
    <w:rsid w:val="00F53273"/>
    <w:rsid w:val="00F66097"/>
    <w:rsid w:val="00F755E4"/>
    <w:rsid w:val="00F77D02"/>
    <w:rsid w:val="00F878C7"/>
    <w:rsid w:val="00FB3A86"/>
    <w:rsid w:val="00FD36C8"/>
    <w:rsid w:val="00FE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80B52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F21952"/>
  </w:style>
  <w:style w:type="paragraph" w:styleId="CommentSubject">
    <w:name w:val="annotation subject"/>
    <w:basedOn w:val="CommentText"/>
    <w:next w:val="CommentText"/>
    <w:link w:val="CommentSubjectChar"/>
    <w:semiHidden/>
    <w:unhideWhenUsed/>
    <w:rsid w:val="00247C4A"/>
    <w:rPr>
      <w:rFonts w:ascii="Helvetica" w:hAnsi="Helvetica"/>
      <w:b/>
      <w:bCs/>
      <w:lang w:val="en-US" w:eastAsia="en-US"/>
    </w:rPr>
  </w:style>
  <w:style w:type="character" w:customStyle="1" w:styleId="CommentSubjectChar">
    <w:name w:val="Comment Subject Char"/>
    <w:basedOn w:val="CommentTextChar"/>
    <w:link w:val="CommentSubject"/>
    <w:semiHidden/>
    <w:rsid w:val="00247C4A"/>
    <w:rPr>
      <w:rFonts w:ascii="Helvetica" w:hAnsi="Helvetica"/>
      <w:b/>
      <w:bCs/>
      <w:lang w:val="nb-NO" w:eastAsia="nb-NO"/>
    </w:rPr>
  </w:style>
  <w:style w:type="character" w:styleId="UnresolvedMention">
    <w:name w:val="Unresolved Mention"/>
    <w:basedOn w:val="DefaultParagraphFont"/>
    <w:uiPriority w:val="99"/>
    <w:semiHidden/>
    <w:unhideWhenUsed/>
    <w:rsid w:val="0074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3C62-17FA-4B0D-8440-E56B9280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6</Pages>
  <Words>2412</Words>
  <Characters>13752</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16132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53</cp:revision>
  <cp:lastPrinted>2025-11-05T18:56:00Z</cp:lastPrinted>
  <dcterms:created xsi:type="dcterms:W3CDTF">2014-10-25T14:34:00Z</dcterms:created>
  <dcterms:modified xsi:type="dcterms:W3CDTF">2025-11-07T07:38:00Z</dcterms:modified>
</cp:coreProperties>
</file>