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png" ContentType="image/png;base64"/>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52F69" w14:textId="77777777" w:rsidR="00EF126D" w:rsidRPr="00DB11F6" w:rsidRDefault="00EF126D" w:rsidP="003F3638">
      <w:pPr>
        <w:spacing w:line="360" w:lineRule="auto"/>
        <w:jc w:val="both"/>
        <w:rPr>
          <w:rFonts w:ascii="Arial" w:hAnsi="Arial" w:cs="Arial"/>
          <w:b/>
          <w:lang w:val="en-US"/>
        </w:rPr>
      </w:pPr>
      <w:r w:rsidRPr="00DB11F6">
        <w:rPr>
          <w:rFonts w:ascii="Arial" w:hAnsi="Arial" w:cs="Arial"/>
          <w:b/>
          <w:lang w:val="en-US"/>
        </w:rPr>
        <w:t xml:space="preserve">Resistance to Oxyimino-Cephalosporins via Enzyme Production in </w:t>
      </w:r>
      <w:r w:rsidRPr="00DB11F6">
        <w:rPr>
          <w:rFonts w:ascii="Arial" w:hAnsi="Arial" w:cs="Arial"/>
          <w:b/>
          <w:i/>
          <w:lang w:val="en-US"/>
        </w:rPr>
        <w:t>Klebsiella pneumoniae</w:t>
      </w:r>
      <w:r w:rsidRPr="00DB11F6">
        <w:rPr>
          <w:rFonts w:ascii="Arial" w:hAnsi="Arial" w:cs="Arial"/>
          <w:b/>
          <w:lang w:val="en-US"/>
        </w:rPr>
        <w:t xml:space="preserve"> Strains Isolated from Urine Samples at the Pietro </w:t>
      </w:r>
      <w:proofErr w:type="spellStart"/>
      <w:r w:rsidRPr="00DB11F6">
        <w:rPr>
          <w:rFonts w:ascii="Arial" w:hAnsi="Arial" w:cs="Arial"/>
          <w:b/>
          <w:lang w:val="en-US"/>
        </w:rPr>
        <w:t>Annigoni</w:t>
      </w:r>
      <w:proofErr w:type="spellEnd"/>
      <w:r w:rsidRPr="00DB11F6">
        <w:rPr>
          <w:rFonts w:ascii="Arial" w:hAnsi="Arial" w:cs="Arial"/>
          <w:b/>
          <w:lang w:val="en-US"/>
        </w:rPr>
        <w:t xml:space="preserve"> Biomolecular Research Center (CERBA), Burkina Faso</w:t>
      </w:r>
    </w:p>
    <w:p w14:paraId="0AA8BEA4" w14:textId="77777777" w:rsidR="00EF126D" w:rsidRPr="00DB11F6" w:rsidRDefault="00EF126D" w:rsidP="00EF126D">
      <w:pPr>
        <w:jc w:val="both"/>
        <w:rPr>
          <w:rFonts w:ascii="Arial" w:hAnsi="Arial" w:cs="Arial"/>
          <w:lang w:val="en-US"/>
        </w:rPr>
      </w:pPr>
    </w:p>
    <w:p w14:paraId="1DC44D1E" w14:textId="20325734" w:rsidR="00B6475E" w:rsidRPr="00DB11F6" w:rsidRDefault="00B6475E" w:rsidP="003F082A">
      <w:pPr>
        <w:spacing w:before="100" w:beforeAutospacing="1" w:after="100" w:afterAutospacing="1" w:line="360" w:lineRule="auto"/>
        <w:jc w:val="both"/>
        <w:rPr>
          <w:rFonts w:ascii="Arial" w:eastAsia="Times New Roman" w:hAnsi="Arial" w:cs="Arial"/>
          <w:lang w:val="en-US" w:eastAsia="fr-FR"/>
        </w:rPr>
      </w:pPr>
    </w:p>
    <w:p w14:paraId="0ECF48F9" w14:textId="77777777" w:rsidR="00B6475E" w:rsidRPr="00DB11F6" w:rsidRDefault="00B6475E" w:rsidP="00B6475E">
      <w:pPr>
        <w:jc w:val="both"/>
        <w:rPr>
          <w:rFonts w:ascii="Arial" w:hAnsi="Arial" w:cs="Arial"/>
          <w:b/>
          <w:lang w:val="en-US"/>
        </w:rPr>
      </w:pPr>
      <w:r w:rsidRPr="00DB11F6">
        <w:rPr>
          <w:rFonts w:ascii="Arial" w:hAnsi="Arial" w:cs="Arial"/>
          <w:b/>
          <w:lang w:val="en-US"/>
        </w:rPr>
        <w:t>Abstract</w:t>
      </w:r>
    </w:p>
    <w:p w14:paraId="412F4077" w14:textId="77777777" w:rsidR="00B6475E" w:rsidRPr="00DB11F6" w:rsidRDefault="00B6475E" w:rsidP="005A7E67">
      <w:pPr>
        <w:spacing w:line="360" w:lineRule="auto"/>
        <w:jc w:val="both"/>
        <w:rPr>
          <w:rFonts w:ascii="Arial" w:hAnsi="Arial" w:cs="Arial"/>
          <w:lang w:val="en-US"/>
        </w:rPr>
      </w:pPr>
      <w:r w:rsidRPr="00DB11F6">
        <w:rPr>
          <w:rFonts w:ascii="Arial" w:hAnsi="Arial" w:cs="Arial"/>
          <w:lang w:val="en-US"/>
        </w:rPr>
        <w:t xml:space="preserve">β-lactam antibiotics represent the most widely developed and utilized class of antimicrobials globally. However, the increasing resistance to these antibiotics—primarily among Gram-negative bacteria such as </w:t>
      </w:r>
      <w:r w:rsidRPr="00DB11F6">
        <w:rPr>
          <w:rFonts w:ascii="Arial" w:hAnsi="Arial" w:cs="Arial"/>
          <w:i/>
          <w:lang w:val="en-US"/>
        </w:rPr>
        <w:t>Klebsiella pneumoniae</w:t>
      </w:r>
      <w:r w:rsidRPr="00DB11F6">
        <w:rPr>
          <w:rFonts w:ascii="Arial" w:hAnsi="Arial" w:cs="Arial"/>
          <w:lang w:val="en-US"/>
        </w:rPr>
        <w:t>—poses a significant public health concern. The most commonly observed resistance mechanism involves the enzymatic inactivation of β-lactams by β-lactamases, which hydrolyze the β-lactam ring.</w:t>
      </w:r>
    </w:p>
    <w:p w14:paraId="4CC8DE0F" w14:textId="77777777" w:rsidR="00B6475E" w:rsidRPr="00DB11F6" w:rsidRDefault="00B6475E" w:rsidP="005A7E67">
      <w:pPr>
        <w:spacing w:line="360" w:lineRule="auto"/>
        <w:jc w:val="both"/>
        <w:rPr>
          <w:rFonts w:ascii="Arial" w:hAnsi="Arial" w:cs="Arial"/>
          <w:lang w:val="en-US"/>
        </w:rPr>
      </w:pPr>
      <w:r w:rsidRPr="00DB11F6">
        <w:rPr>
          <w:rFonts w:ascii="Arial" w:hAnsi="Arial" w:cs="Arial"/>
          <w:lang w:val="en-US"/>
        </w:rPr>
        <w:t>The objective of this study was to investigate resistance to oxyimino-cephalosporins (ceftazidime [CAZ], ceftriaxone [CTR], and cefotaxime [CTX]) through the production of β-lactamase enzymes (SHV, TEM, CTX-M) in K. pneumoniae strains isolated from urine samples, and to assess potential correlations between these resistance enzymes and specific antibiotics.</w:t>
      </w:r>
    </w:p>
    <w:p w14:paraId="50FBD491" w14:textId="77777777" w:rsidR="00B6475E" w:rsidRPr="00DB11F6" w:rsidRDefault="00B6475E" w:rsidP="005A7E67">
      <w:pPr>
        <w:spacing w:line="360" w:lineRule="auto"/>
        <w:jc w:val="both"/>
        <w:rPr>
          <w:rFonts w:ascii="Arial" w:hAnsi="Arial" w:cs="Arial"/>
          <w:lang w:val="en-US"/>
        </w:rPr>
      </w:pPr>
      <w:r w:rsidRPr="00DB11F6">
        <w:rPr>
          <w:rFonts w:ascii="Arial" w:hAnsi="Arial" w:cs="Arial"/>
          <w:lang w:val="en-US"/>
        </w:rPr>
        <w:t xml:space="preserve">A total of 23 </w:t>
      </w:r>
      <w:r w:rsidRPr="00DB11F6">
        <w:rPr>
          <w:rFonts w:ascii="Arial" w:hAnsi="Arial" w:cs="Arial"/>
          <w:i/>
          <w:lang w:val="en-US"/>
        </w:rPr>
        <w:t>K. pneumoniae</w:t>
      </w:r>
      <w:r w:rsidRPr="00DB11F6">
        <w:rPr>
          <w:rFonts w:ascii="Arial" w:hAnsi="Arial" w:cs="Arial"/>
          <w:lang w:val="en-US"/>
        </w:rPr>
        <w:t xml:space="preserve"> urinary isolates were collected at the Pietro </w:t>
      </w:r>
      <w:proofErr w:type="spellStart"/>
      <w:r w:rsidRPr="00DB11F6">
        <w:rPr>
          <w:rFonts w:ascii="Arial" w:hAnsi="Arial" w:cs="Arial"/>
          <w:lang w:val="en-US"/>
        </w:rPr>
        <w:t>Annigoni</w:t>
      </w:r>
      <w:proofErr w:type="spellEnd"/>
      <w:r w:rsidRPr="00DB11F6">
        <w:rPr>
          <w:rFonts w:ascii="Arial" w:hAnsi="Arial" w:cs="Arial"/>
          <w:lang w:val="en-US"/>
        </w:rPr>
        <w:t xml:space="preserve"> Biomolecular Research Center (CERBA) for bacteriological and molecular analysis. Resistance rates to CAZ, CTR, and CTX were found to be 50%, 42.85%, and 28.57%, respectively. Molecular analysis revealed a predominance of the TEM gene, detected in 50% of the isolates. Correlation analysis demonstrated a positive association between the presence of TEM and resistance to CAZ and CTX, as well as a positive correlation between CTX-M and ceftriaxone (CRO), indicating the involvement of these enzymes in antibiotic resistance.</w:t>
      </w:r>
    </w:p>
    <w:p w14:paraId="6816A6D3" w14:textId="77777777" w:rsidR="00B6475E" w:rsidRPr="00DB11F6" w:rsidRDefault="00B6475E" w:rsidP="005A7E67">
      <w:pPr>
        <w:spacing w:line="360" w:lineRule="auto"/>
        <w:jc w:val="both"/>
        <w:rPr>
          <w:rFonts w:ascii="Arial" w:hAnsi="Arial" w:cs="Arial"/>
          <w:lang w:val="en-US"/>
        </w:rPr>
      </w:pPr>
      <w:r w:rsidRPr="00DB11F6">
        <w:rPr>
          <w:rFonts w:ascii="Arial" w:hAnsi="Arial" w:cs="Arial"/>
          <w:lang w:val="en-US"/>
        </w:rPr>
        <w:t>This study highlights resistance patterns and the distribution of resistance genes among the isolates, providing valuable insights for guiding therapeutic strategies and strengthening epidemiological surveillance.</w:t>
      </w:r>
    </w:p>
    <w:p w14:paraId="480AD8EC" w14:textId="77777777" w:rsidR="00B6475E" w:rsidRPr="00DB11F6" w:rsidRDefault="00B6475E" w:rsidP="005A7E67">
      <w:pPr>
        <w:spacing w:line="360" w:lineRule="auto"/>
        <w:jc w:val="both"/>
        <w:rPr>
          <w:rFonts w:ascii="Arial" w:hAnsi="Arial" w:cs="Arial"/>
          <w:lang w:val="en-US"/>
        </w:rPr>
      </w:pPr>
      <w:r w:rsidRPr="00DB11F6">
        <w:rPr>
          <w:rFonts w:ascii="Arial" w:hAnsi="Arial" w:cs="Arial"/>
          <w:b/>
          <w:lang w:val="en-US"/>
        </w:rPr>
        <w:t>Keywords</w:t>
      </w:r>
      <w:r w:rsidRPr="00DB11F6">
        <w:rPr>
          <w:rFonts w:ascii="Arial" w:hAnsi="Arial" w:cs="Arial"/>
          <w:lang w:val="en-US"/>
        </w:rPr>
        <w:t>: Oxyimino-</w:t>
      </w:r>
      <w:r w:rsidR="00531237" w:rsidRPr="00DB11F6">
        <w:rPr>
          <w:rFonts w:ascii="Arial" w:hAnsi="Arial" w:cs="Arial"/>
          <w:lang w:val="en-US"/>
        </w:rPr>
        <w:t>cephalosporins, ESBL</w:t>
      </w:r>
      <w:r w:rsidRPr="00DB11F6">
        <w:rPr>
          <w:rFonts w:ascii="Arial" w:hAnsi="Arial" w:cs="Arial"/>
          <w:lang w:val="en-US"/>
        </w:rPr>
        <w:t xml:space="preserve">, </w:t>
      </w:r>
      <w:r w:rsidRPr="00DB11F6">
        <w:rPr>
          <w:rFonts w:ascii="Arial" w:hAnsi="Arial" w:cs="Arial"/>
          <w:i/>
          <w:lang w:val="en-US"/>
        </w:rPr>
        <w:t>Klebsiella pneumoniae</w:t>
      </w:r>
      <w:r w:rsidRPr="00DB11F6">
        <w:rPr>
          <w:rFonts w:ascii="Arial" w:hAnsi="Arial" w:cs="Arial"/>
          <w:lang w:val="en-US"/>
        </w:rPr>
        <w:t>, Burkina Faso</w:t>
      </w:r>
    </w:p>
    <w:p w14:paraId="6330C1A1" w14:textId="77777777" w:rsidR="00531237" w:rsidRPr="00DB11F6" w:rsidRDefault="00531237" w:rsidP="005A7E67">
      <w:pPr>
        <w:spacing w:line="360" w:lineRule="auto"/>
        <w:jc w:val="both"/>
        <w:rPr>
          <w:rFonts w:ascii="Arial" w:hAnsi="Arial" w:cs="Arial"/>
          <w:b/>
          <w:lang w:val="en-US"/>
        </w:rPr>
      </w:pPr>
    </w:p>
    <w:p w14:paraId="60812CE8" w14:textId="77777777" w:rsidR="00531237" w:rsidRPr="00DB11F6" w:rsidRDefault="00531237" w:rsidP="005A7E67">
      <w:pPr>
        <w:spacing w:line="360" w:lineRule="auto"/>
        <w:jc w:val="both"/>
        <w:rPr>
          <w:rFonts w:ascii="Arial" w:hAnsi="Arial" w:cs="Arial"/>
          <w:b/>
          <w:lang w:val="en-US"/>
        </w:rPr>
      </w:pPr>
    </w:p>
    <w:p w14:paraId="56A49DF1" w14:textId="77777777" w:rsidR="00060C76" w:rsidRPr="00DB11F6" w:rsidRDefault="00060C76" w:rsidP="005A7E67">
      <w:pPr>
        <w:spacing w:line="360" w:lineRule="auto"/>
        <w:jc w:val="both"/>
        <w:rPr>
          <w:rFonts w:ascii="Arial" w:hAnsi="Arial" w:cs="Arial"/>
          <w:b/>
          <w:lang w:val="en-US"/>
        </w:rPr>
      </w:pPr>
      <w:r w:rsidRPr="00DB11F6">
        <w:rPr>
          <w:rFonts w:ascii="Arial" w:hAnsi="Arial" w:cs="Arial"/>
          <w:b/>
          <w:lang w:val="en-US"/>
        </w:rPr>
        <w:t>Introduction</w:t>
      </w:r>
    </w:p>
    <w:p w14:paraId="044C0258" w14:textId="77777777" w:rsidR="00060C76" w:rsidRPr="00DB11F6" w:rsidRDefault="00060C76" w:rsidP="005A7E67">
      <w:pPr>
        <w:spacing w:line="360" w:lineRule="auto"/>
        <w:jc w:val="both"/>
        <w:rPr>
          <w:rFonts w:ascii="Arial" w:hAnsi="Arial" w:cs="Arial"/>
          <w:lang w:val="en-US"/>
        </w:rPr>
      </w:pPr>
      <w:r w:rsidRPr="00DB11F6">
        <w:rPr>
          <w:rFonts w:ascii="Arial" w:hAnsi="Arial" w:cs="Arial"/>
          <w:lang w:val="en-US"/>
        </w:rPr>
        <w:t xml:space="preserve">β-lactam antibiotics constitute the most extensively developed and widely used class of antimicrobials worldwide [1]. Their widespread use is largely attributed to their broad-spectrum </w:t>
      </w:r>
      <w:r w:rsidRPr="00DB11F6">
        <w:rPr>
          <w:rFonts w:ascii="Arial" w:hAnsi="Arial" w:cs="Arial"/>
          <w:lang w:val="en-US"/>
        </w:rPr>
        <w:lastRenderedPageBreak/>
        <w:t>activity, low toxicity, high efficacy, and relatively low cost for certain molecules [2,3]. However, bacteria have evolved various resistance mechanisms to counteract their activity, including overexpression of efflux pumps, porin inactivation, and acquisition of β-lactamase genes [1,4,5].</w:t>
      </w:r>
    </w:p>
    <w:p w14:paraId="73028AA2" w14:textId="77777777" w:rsidR="00060C76" w:rsidRPr="00DB11F6" w:rsidRDefault="00060C76" w:rsidP="005A7E67">
      <w:pPr>
        <w:spacing w:line="360" w:lineRule="auto"/>
        <w:jc w:val="both"/>
        <w:rPr>
          <w:rFonts w:ascii="Arial" w:hAnsi="Arial" w:cs="Arial"/>
          <w:lang w:val="en-US"/>
        </w:rPr>
      </w:pPr>
      <w:r w:rsidRPr="00DB11F6">
        <w:rPr>
          <w:rFonts w:ascii="Arial" w:hAnsi="Arial" w:cs="Arial"/>
          <w:lang w:val="en-US"/>
        </w:rPr>
        <w:t xml:space="preserve">Among Gram-negative bacteria (GNB), </w:t>
      </w:r>
      <w:r w:rsidRPr="00DB11F6">
        <w:rPr>
          <w:rFonts w:ascii="Arial" w:hAnsi="Arial" w:cs="Arial"/>
          <w:i/>
          <w:lang w:val="en-US"/>
        </w:rPr>
        <w:t>Klebsiella pneumoniae</w:t>
      </w:r>
      <w:r w:rsidRPr="00DB11F6">
        <w:rPr>
          <w:rFonts w:ascii="Arial" w:hAnsi="Arial" w:cs="Arial"/>
          <w:lang w:val="en-US"/>
        </w:rPr>
        <w:t xml:space="preserve"> is particularly concerning due to its high level of resistance to β-lactam antibiotics [6]. This pathogen is clinically significant in hospital settings, especially in intensive care units (ICUs), where it contributes to increased morbidity and mortality [4]. The most prevalent resistance mechanism to β-lactams is the enzymatic hydrolysis of the β-lactam ring by β-lactamases [7–10].</w:t>
      </w:r>
    </w:p>
    <w:p w14:paraId="438D708C" w14:textId="77777777" w:rsidR="00060C76" w:rsidRPr="00DB11F6" w:rsidRDefault="00060C76" w:rsidP="005A7E67">
      <w:pPr>
        <w:spacing w:line="360" w:lineRule="auto"/>
        <w:jc w:val="both"/>
        <w:rPr>
          <w:rFonts w:ascii="Arial" w:hAnsi="Arial" w:cs="Arial"/>
          <w:lang w:val="en-US"/>
        </w:rPr>
      </w:pPr>
      <w:r w:rsidRPr="00DB11F6">
        <w:rPr>
          <w:rFonts w:ascii="Arial" w:hAnsi="Arial" w:cs="Arial"/>
          <w:lang w:val="en-US"/>
        </w:rPr>
        <w:t>To date, hundreds of β-lactamases have been identified and classified into four main groups (A, B, C, D) based on their primary structure, according to the Ambler classification [11,12]. Class A enzymes are the most widespread and include the extended-spectrum β-lactamases (ESBLs) such as TEM, SHV, and CTX-M types [13]. The term "ESBL" was originally used to describe derivatives of TEM and SHV enzymes capable of hydrolyzing oxyimino-cephalosporins (e.g., cefotaxime [CTX], ceftriaxone [CRO], and ceftazidime [CAZ]). It was later expanded to include CTX-M and other enzymes with similar hydrolytic profiles derived from different genetic backgrounds [13,14].</w:t>
      </w:r>
    </w:p>
    <w:p w14:paraId="242382E7" w14:textId="77777777" w:rsidR="00060C76" w:rsidRPr="00DB11F6" w:rsidRDefault="00060C76" w:rsidP="005A7E67">
      <w:pPr>
        <w:spacing w:line="360" w:lineRule="auto"/>
        <w:jc w:val="both"/>
        <w:rPr>
          <w:rFonts w:ascii="Arial" w:hAnsi="Arial" w:cs="Arial"/>
          <w:lang w:val="en-US"/>
        </w:rPr>
      </w:pPr>
      <w:r w:rsidRPr="00DB11F6">
        <w:rPr>
          <w:rFonts w:ascii="Arial" w:hAnsi="Arial" w:cs="Arial"/>
          <w:lang w:val="en-US"/>
        </w:rPr>
        <w:t xml:space="preserve">Class A ESBLs are often plasmid-encoded and transmissible by conjugation, making them major contributors to the dissemination of antibiotic resistance [15]. These enzymes pose a particular challenge among GNB, including members of the ESKAPE group (Enterococcus faecium, Staphylococcus aureus, </w:t>
      </w:r>
      <w:r w:rsidRPr="00DB11F6">
        <w:rPr>
          <w:rFonts w:ascii="Arial" w:hAnsi="Arial" w:cs="Arial"/>
          <w:i/>
          <w:lang w:val="en-US"/>
        </w:rPr>
        <w:t>Klebsiella pneumoniae</w:t>
      </w:r>
      <w:r w:rsidRPr="00DB11F6">
        <w:rPr>
          <w:rFonts w:ascii="Arial" w:hAnsi="Arial" w:cs="Arial"/>
          <w:lang w:val="en-US"/>
        </w:rPr>
        <w:t>,</w:t>
      </w:r>
      <w:r w:rsidRPr="00DB11F6">
        <w:rPr>
          <w:rFonts w:ascii="Arial" w:hAnsi="Arial" w:cs="Arial"/>
          <w:i/>
          <w:lang w:val="en-US"/>
        </w:rPr>
        <w:t xml:space="preserve"> Acinetobacter baumannii, Pseudomonas aeruginosa</w:t>
      </w:r>
      <w:r w:rsidR="00C356D6" w:rsidRPr="00DB11F6">
        <w:rPr>
          <w:rFonts w:ascii="Arial" w:hAnsi="Arial" w:cs="Arial"/>
          <w:i/>
          <w:lang w:val="en-US"/>
        </w:rPr>
        <w:t xml:space="preserve"> </w:t>
      </w:r>
      <w:r w:rsidRPr="00DB11F6">
        <w:rPr>
          <w:rFonts w:ascii="Arial" w:hAnsi="Arial" w:cs="Arial"/>
          <w:i/>
          <w:lang w:val="en-US"/>
        </w:rPr>
        <w:t>and Enterobacter spp</w:t>
      </w:r>
      <w:r w:rsidRPr="00DB11F6">
        <w:rPr>
          <w:rFonts w:ascii="Arial" w:hAnsi="Arial" w:cs="Arial"/>
          <w:lang w:val="en-US"/>
        </w:rPr>
        <w:t>.) [8,15,16].</w:t>
      </w:r>
    </w:p>
    <w:p w14:paraId="01619BCF" w14:textId="77777777" w:rsidR="0054435E" w:rsidRPr="00DB11F6" w:rsidRDefault="00060C76" w:rsidP="005A7E67">
      <w:pPr>
        <w:spacing w:line="360" w:lineRule="auto"/>
        <w:jc w:val="both"/>
        <w:rPr>
          <w:rFonts w:ascii="Arial" w:hAnsi="Arial" w:cs="Arial"/>
          <w:lang w:val="en-US"/>
        </w:rPr>
      </w:pPr>
      <w:r w:rsidRPr="00DB11F6">
        <w:rPr>
          <w:rFonts w:ascii="Arial" w:hAnsi="Arial" w:cs="Arial"/>
          <w:lang w:val="en-US"/>
        </w:rPr>
        <w:t xml:space="preserve">In Burkina Faso, previous studies have reported K. pneumoniae isolates producing GES- or CTX-M-type ESBLs resistant to oxyimino-cephalosporins [17,18]. The increasing prevalence of such resistance mechanisms remains a significant public health concern in the country. The present study aimed to assess the prevalence of TEM, SHV, and CTX-M β-lactamase genes among </w:t>
      </w:r>
      <w:r w:rsidRPr="00DB11F6">
        <w:rPr>
          <w:rFonts w:ascii="Arial" w:hAnsi="Arial" w:cs="Arial"/>
          <w:i/>
          <w:lang w:val="en-US"/>
        </w:rPr>
        <w:t>K. pneumoniae</w:t>
      </w:r>
      <w:r w:rsidRPr="00DB11F6">
        <w:rPr>
          <w:rFonts w:ascii="Arial" w:hAnsi="Arial" w:cs="Arial"/>
          <w:lang w:val="en-US"/>
        </w:rPr>
        <w:t xml:space="preserve"> isolates resistant to oxyimino-cephalosporins (CTR, CTX, CAZ), and to evaluate potential correlations between these resistance genes and antibiotic susceptibility patterns. This work seeks to contribute to the understanding of resistance dynamics and to inform therapeutic and e</w:t>
      </w:r>
      <w:r w:rsidR="000C0B92" w:rsidRPr="00DB11F6">
        <w:rPr>
          <w:rFonts w:ascii="Arial" w:hAnsi="Arial" w:cs="Arial"/>
          <w:lang w:val="en-US"/>
        </w:rPr>
        <w:t>pidemiological decision-making.</w:t>
      </w:r>
    </w:p>
    <w:p w14:paraId="18A2F70B" w14:textId="77777777" w:rsidR="00060C76" w:rsidRPr="00DB11F6" w:rsidRDefault="00060C76" w:rsidP="005A7E67">
      <w:pPr>
        <w:spacing w:line="360" w:lineRule="auto"/>
        <w:jc w:val="both"/>
        <w:rPr>
          <w:rFonts w:ascii="Arial" w:hAnsi="Arial" w:cs="Arial"/>
          <w:b/>
          <w:lang w:val="en-US"/>
        </w:rPr>
      </w:pPr>
      <w:r w:rsidRPr="00DB11F6">
        <w:rPr>
          <w:rFonts w:ascii="Arial" w:hAnsi="Arial" w:cs="Arial"/>
          <w:b/>
          <w:lang w:val="en-US"/>
        </w:rPr>
        <w:t>I.</w:t>
      </w:r>
      <w:r w:rsidRPr="00DB11F6">
        <w:rPr>
          <w:rFonts w:ascii="Arial" w:hAnsi="Arial" w:cs="Arial"/>
          <w:lang w:val="en-US"/>
        </w:rPr>
        <w:t xml:space="preserve"> </w:t>
      </w:r>
      <w:r w:rsidRPr="00DB11F6">
        <w:rPr>
          <w:rFonts w:ascii="Arial" w:hAnsi="Arial" w:cs="Arial"/>
          <w:b/>
          <w:lang w:val="en-US"/>
        </w:rPr>
        <w:t>Methodology</w:t>
      </w:r>
    </w:p>
    <w:p w14:paraId="3EEC263B" w14:textId="77777777" w:rsidR="00060C76" w:rsidRPr="00DB11F6" w:rsidRDefault="00060C76" w:rsidP="005A7E67">
      <w:pPr>
        <w:spacing w:line="360" w:lineRule="auto"/>
        <w:jc w:val="both"/>
        <w:rPr>
          <w:rFonts w:ascii="Arial" w:hAnsi="Arial" w:cs="Arial"/>
          <w:b/>
          <w:lang w:val="en-US"/>
        </w:rPr>
      </w:pPr>
      <w:r w:rsidRPr="00DB11F6">
        <w:rPr>
          <w:rFonts w:ascii="Arial" w:hAnsi="Arial" w:cs="Arial"/>
          <w:b/>
          <w:lang w:val="en-US"/>
        </w:rPr>
        <w:t>1. Sample Collection</w:t>
      </w:r>
    </w:p>
    <w:p w14:paraId="0483847C" w14:textId="77777777" w:rsidR="00060C76" w:rsidRPr="00DB11F6" w:rsidRDefault="00060C76" w:rsidP="005A7E67">
      <w:pPr>
        <w:spacing w:line="360" w:lineRule="auto"/>
        <w:jc w:val="both"/>
        <w:rPr>
          <w:rFonts w:ascii="Arial" w:hAnsi="Arial" w:cs="Arial"/>
          <w:lang w:val="en-US"/>
        </w:rPr>
      </w:pPr>
      <w:r w:rsidRPr="00DB11F6">
        <w:rPr>
          <w:rFonts w:ascii="Arial" w:hAnsi="Arial" w:cs="Arial"/>
          <w:lang w:val="en-US"/>
        </w:rPr>
        <w:t>A total of 23</w:t>
      </w:r>
      <w:r w:rsidR="00C356D6" w:rsidRPr="00DB11F6">
        <w:rPr>
          <w:rFonts w:ascii="Arial" w:hAnsi="Arial" w:cs="Arial"/>
          <w:lang w:val="en-US"/>
        </w:rPr>
        <w:t xml:space="preserve"> urinary isolates of </w:t>
      </w:r>
      <w:r w:rsidR="00C356D6" w:rsidRPr="00DB11F6">
        <w:rPr>
          <w:rFonts w:ascii="Arial" w:hAnsi="Arial" w:cs="Arial"/>
          <w:i/>
          <w:lang w:val="en-US"/>
        </w:rPr>
        <w:t xml:space="preserve">K. </w:t>
      </w:r>
      <w:r w:rsidRPr="00DB11F6">
        <w:rPr>
          <w:rFonts w:ascii="Arial" w:hAnsi="Arial" w:cs="Arial"/>
          <w:i/>
          <w:lang w:val="en-US"/>
        </w:rPr>
        <w:t>pneumoniae</w:t>
      </w:r>
      <w:r w:rsidRPr="00DB11F6">
        <w:rPr>
          <w:rFonts w:ascii="Arial" w:hAnsi="Arial" w:cs="Arial"/>
          <w:lang w:val="en-US"/>
        </w:rPr>
        <w:t xml:space="preserve"> were collected from the Pietro </w:t>
      </w:r>
      <w:proofErr w:type="spellStart"/>
      <w:r w:rsidRPr="00DB11F6">
        <w:rPr>
          <w:rFonts w:ascii="Arial" w:hAnsi="Arial" w:cs="Arial"/>
          <w:lang w:val="en-US"/>
        </w:rPr>
        <w:t>Annigoni</w:t>
      </w:r>
      <w:proofErr w:type="spellEnd"/>
      <w:r w:rsidRPr="00DB11F6">
        <w:rPr>
          <w:rFonts w:ascii="Arial" w:hAnsi="Arial" w:cs="Arial"/>
          <w:lang w:val="en-US"/>
        </w:rPr>
        <w:t xml:space="preserve"> Biomolecular Research Center (CERBA) over a one-month period (March–April 2024).</w:t>
      </w:r>
    </w:p>
    <w:p w14:paraId="447E3927" w14:textId="77777777" w:rsidR="00060C76" w:rsidRPr="00DB11F6" w:rsidRDefault="00060C76" w:rsidP="005A7E67">
      <w:pPr>
        <w:spacing w:line="360" w:lineRule="auto"/>
        <w:jc w:val="both"/>
        <w:rPr>
          <w:rFonts w:ascii="Arial" w:hAnsi="Arial" w:cs="Arial"/>
          <w:b/>
          <w:lang w:val="en-US"/>
        </w:rPr>
      </w:pPr>
      <w:r w:rsidRPr="00DB11F6">
        <w:rPr>
          <w:rFonts w:ascii="Arial" w:hAnsi="Arial" w:cs="Arial"/>
          <w:b/>
          <w:lang w:val="en-US"/>
        </w:rPr>
        <w:lastRenderedPageBreak/>
        <w:t>2. Bacteriological Analysis</w:t>
      </w:r>
    </w:p>
    <w:p w14:paraId="3963582C" w14:textId="77777777" w:rsidR="00060C76" w:rsidRPr="00DB11F6" w:rsidRDefault="00060C76" w:rsidP="005A7E67">
      <w:pPr>
        <w:spacing w:line="360" w:lineRule="auto"/>
        <w:jc w:val="both"/>
        <w:rPr>
          <w:rFonts w:ascii="Arial" w:hAnsi="Arial" w:cs="Arial"/>
          <w:b/>
          <w:lang w:val="en-US"/>
        </w:rPr>
      </w:pPr>
      <w:r w:rsidRPr="00DB11F6">
        <w:rPr>
          <w:rFonts w:ascii="Arial" w:hAnsi="Arial" w:cs="Arial"/>
          <w:b/>
          <w:lang w:val="en-US"/>
        </w:rPr>
        <w:t>a. Bacterial Identification</w:t>
      </w:r>
    </w:p>
    <w:p w14:paraId="333A6302" w14:textId="77777777" w:rsidR="00060C76" w:rsidRPr="00DB11F6" w:rsidRDefault="00060C76" w:rsidP="005A7E67">
      <w:pPr>
        <w:spacing w:line="360" w:lineRule="auto"/>
        <w:jc w:val="both"/>
        <w:rPr>
          <w:rFonts w:ascii="Arial" w:hAnsi="Arial" w:cs="Arial"/>
          <w:lang w:val="en-US"/>
        </w:rPr>
      </w:pPr>
      <w:r w:rsidRPr="00DB11F6">
        <w:rPr>
          <w:rFonts w:ascii="Arial" w:hAnsi="Arial" w:cs="Arial"/>
          <w:lang w:val="en-US"/>
        </w:rPr>
        <w:t>Urine samples underwent standard bacteriological procedures, including macroscopic examination, culture and incubation, microscopic analysis, isolation, identification, and antibiotic susceptibility testing. Isolation of bacteria was performed on Eosin Methylene Blue (EMB) selective agar. Presumptive colonies were further identified using biochemical testing via the API 20E identification system, following the manufacturer's instructions.</w:t>
      </w:r>
    </w:p>
    <w:p w14:paraId="61F50117" w14:textId="77777777" w:rsidR="00060C76" w:rsidRPr="00DB11F6" w:rsidRDefault="00060C76" w:rsidP="005A7E67">
      <w:pPr>
        <w:spacing w:line="360" w:lineRule="auto"/>
        <w:jc w:val="both"/>
        <w:rPr>
          <w:rFonts w:ascii="Arial" w:hAnsi="Arial" w:cs="Arial"/>
          <w:b/>
          <w:lang w:val="en-US"/>
        </w:rPr>
      </w:pPr>
      <w:r w:rsidRPr="00DB11F6">
        <w:rPr>
          <w:rFonts w:ascii="Arial" w:hAnsi="Arial" w:cs="Arial"/>
          <w:b/>
          <w:lang w:val="en-US"/>
        </w:rPr>
        <w:t>b. Antibiotic Susceptibility Testing</w:t>
      </w:r>
    </w:p>
    <w:p w14:paraId="0F37C67F" w14:textId="77777777" w:rsidR="00060C76" w:rsidRPr="00DB11F6" w:rsidRDefault="00060C76" w:rsidP="005A7E67">
      <w:pPr>
        <w:spacing w:line="360" w:lineRule="auto"/>
        <w:jc w:val="both"/>
        <w:rPr>
          <w:rFonts w:ascii="Arial" w:hAnsi="Arial" w:cs="Arial"/>
          <w:lang w:val="en-US"/>
        </w:rPr>
      </w:pPr>
      <w:r w:rsidRPr="00DB11F6">
        <w:rPr>
          <w:rFonts w:ascii="Arial" w:hAnsi="Arial" w:cs="Arial"/>
          <w:lang w:val="en-US"/>
        </w:rPr>
        <w:t>Antibiotic susceptibility was assessed using the Mueller-Hinton agar disk diffusion method, following the guidelines of the French Socie</w:t>
      </w:r>
      <w:r w:rsidR="00BF5792" w:rsidRPr="00DB11F6">
        <w:rPr>
          <w:rFonts w:ascii="Arial" w:hAnsi="Arial" w:cs="Arial"/>
          <w:lang w:val="en-US"/>
        </w:rPr>
        <w:t>ty for Microbiology (CA-SFM</w:t>
      </w:r>
      <w:r w:rsidRPr="00DB11F6">
        <w:rPr>
          <w:rFonts w:ascii="Arial" w:hAnsi="Arial" w:cs="Arial"/>
          <w:lang w:val="en-US"/>
        </w:rPr>
        <w:t>). The following antibiotics were tested: Amoxicillin–Clavulanic Acid (AMC), Ceftriaxone (CTR), Ceftazidime (CAZ), and Cefotaxime (CTX).</w:t>
      </w:r>
    </w:p>
    <w:p w14:paraId="69C6A244" w14:textId="77777777" w:rsidR="00060C76" w:rsidRPr="00DB11F6" w:rsidRDefault="00060C76" w:rsidP="005A7E67">
      <w:pPr>
        <w:spacing w:line="360" w:lineRule="auto"/>
        <w:jc w:val="both"/>
        <w:rPr>
          <w:rFonts w:ascii="Arial" w:hAnsi="Arial" w:cs="Arial"/>
          <w:lang w:val="en-US"/>
        </w:rPr>
      </w:pPr>
      <w:r w:rsidRPr="00DB11F6">
        <w:rPr>
          <w:rFonts w:ascii="Arial" w:hAnsi="Arial" w:cs="Arial"/>
          <w:lang w:val="en-US"/>
        </w:rPr>
        <w:t>The antibiotic disks were arranged to visualize the characteristic synergy pattern (champagne-cork appearance) between AMC and oxyimino-cephalosporins, indicative of ESBL production. Only isolates resistant to at least one of the tested antibiotics were selected for molecular analysis.</w:t>
      </w:r>
    </w:p>
    <w:p w14:paraId="044C0A63" w14:textId="77777777" w:rsidR="00060C76" w:rsidRPr="00DB11F6" w:rsidRDefault="00060C76" w:rsidP="005A7E67">
      <w:pPr>
        <w:spacing w:line="360" w:lineRule="auto"/>
        <w:jc w:val="both"/>
        <w:rPr>
          <w:rFonts w:ascii="Arial" w:hAnsi="Arial" w:cs="Arial"/>
          <w:b/>
          <w:lang w:val="en-US"/>
        </w:rPr>
      </w:pPr>
      <w:r w:rsidRPr="00DB11F6">
        <w:rPr>
          <w:rFonts w:ascii="Arial" w:hAnsi="Arial" w:cs="Arial"/>
          <w:b/>
          <w:lang w:val="en-US"/>
        </w:rPr>
        <w:t>3. Bacterial DNA Extraction</w:t>
      </w:r>
    </w:p>
    <w:p w14:paraId="743718DB" w14:textId="77777777" w:rsidR="00060C76" w:rsidRPr="00DB11F6" w:rsidRDefault="00060C76" w:rsidP="005A7E67">
      <w:pPr>
        <w:spacing w:line="360" w:lineRule="auto"/>
        <w:jc w:val="both"/>
        <w:rPr>
          <w:rFonts w:ascii="Arial" w:hAnsi="Arial" w:cs="Arial"/>
          <w:lang w:val="en-US"/>
        </w:rPr>
      </w:pPr>
      <w:r w:rsidRPr="00DB11F6">
        <w:rPr>
          <w:rFonts w:ascii="Arial" w:hAnsi="Arial" w:cs="Arial"/>
          <w:lang w:val="en-US"/>
        </w:rPr>
        <w:t>Genomic DNA was extracted using the heat-shock method. Briefly, bacterial cells were suspended in sterile water and heated to 100°C for 15 minutes to lyse the cells and release genomic material. The suspension was then centrifuged to separate cellular debris, and the supernatant containing the DNA was recovered. DNA concentration and purity were evaluated using a Nanodrop spectrophotometer prior to PCR amplification.</w:t>
      </w:r>
    </w:p>
    <w:p w14:paraId="00C17FCD" w14:textId="77777777" w:rsidR="00060C76" w:rsidRPr="00DB11F6" w:rsidRDefault="00060C76" w:rsidP="005A7E67">
      <w:pPr>
        <w:spacing w:line="360" w:lineRule="auto"/>
        <w:jc w:val="both"/>
        <w:rPr>
          <w:rFonts w:ascii="Arial" w:hAnsi="Arial" w:cs="Arial"/>
          <w:lang w:val="en-US"/>
        </w:rPr>
      </w:pPr>
      <w:r w:rsidRPr="00DB11F6">
        <w:rPr>
          <w:rFonts w:ascii="Arial" w:hAnsi="Arial" w:cs="Arial"/>
          <w:lang w:val="en-US"/>
        </w:rPr>
        <w:t>4. Polymerase Chain Reaction (PCR)</w:t>
      </w:r>
    </w:p>
    <w:p w14:paraId="1A5080DD" w14:textId="77777777" w:rsidR="00060C76" w:rsidRPr="00DB11F6" w:rsidRDefault="00060C76" w:rsidP="005A7E67">
      <w:pPr>
        <w:spacing w:line="360" w:lineRule="auto"/>
        <w:jc w:val="both"/>
        <w:rPr>
          <w:rFonts w:ascii="Arial" w:hAnsi="Arial" w:cs="Arial"/>
          <w:lang w:val="en-US"/>
        </w:rPr>
      </w:pPr>
      <w:r w:rsidRPr="00DB11F6">
        <w:rPr>
          <w:rFonts w:ascii="Arial" w:hAnsi="Arial" w:cs="Arial"/>
          <w:lang w:val="en-US"/>
        </w:rPr>
        <w:t>Conventional PCR was conducted to detect the presence of SHV, TEM, and CTX-M resistance genes using specific primers (see Table 1) and thermocycling conditions tailored to each gene (see Table 2). PCR products were analyzed by agarose gel electrophoresis to confirm amplification and visualize expected bands.</w:t>
      </w:r>
    </w:p>
    <w:p w14:paraId="1D6C6A44" w14:textId="77777777" w:rsidR="00474FEA" w:rsidRPr="00DB11F6" w:rsidRDefault="00474FEA" w:rsidP="00060C76">
      <w:pPr>
        <w:jc w:val="both"/>
        <w:rPr>
          <w:rFonts w:ascii="Arial" w:hAnsi="Arial" w:cs="Arial"/>
          <w:lang w:val="en-US"/>
        </w:rPr>
      </w:pPr>
    </w:p>
    <w:p w14:paraId="633578B9" w14:textId="77777777" w:rsidR="00474FEA" w:rsidRPr="00DB11F6" w:rsidRDefault="00863EA8" w:rsidP="00474FEA">
      <w:pPr>
        <w:jc w:val="both"/>
        <w:rPr>
          <w:rFonts w:ascii="Arial" w:hAnsi="Arial" w:cs="Arial"/>
          <w:b/>
          <w:lang w:val="en-US"/>
        </w:rPr>
      </w:pPr>
      <w:r w:rsidRPr="00DB11F6">
        <w:rPr>
          <w:rFonts w:ascii="Arial" w:hAnsi="Arial" w:cs="Arial"/>
          <w:b/>
          <w:lang w:val="en-US"/>
        </w:rPr>
        <w:t>Table 1. Primer Sequences Used for PCR Amplification</w:t>
      </w:r>
    </w:p>
    <w:tbl>
      <w:tblPr>
        <w:tblStyle w:val="PlainTable2"/>
        <w:tblW w:w="9214" w:type="dxa"/>
        <w:tblLayout w:type="fixed"/>
        <w:tblLook w:val="04A0" w:firstRow="1" w:lastRow="0" w:firstColumn="1" w:lastColumn="0" w:noHBand="0" w:noVBand="1"/>
      </w:tblPr>
      <w:tblGrid>
        <w:gridCol w:w="1129"/>
        <w:gridCol w:w="4395"/>
        <w:gridCol w:w="2131"/>
        <w:gridCol w:w="1559"/>
      </w:tblGrid>
      <w:tr w:rsidR="00474FEA" w:rsidRPr="00DB11F6" w14:paraId="4B50DCD5" w14:textId="77777777" w:rsidTr="00521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5653461" w14:textId="77777777" w:rsidR="00474FEA" w:rsidRPr="00DB11F6" w:rsidRDefault="00474FEA" w:rsidP="00521904">
            <w:pPr>
              <w:spacing w:after="160" w:line="259" w:lineRule="auto"/>
              <w:jc w:val="center"/>
              <w:rPr>
                <w:rFonts w:ascii="Arial" w:hAnsi="Arial" w:cs="Arial"/>
                <w:lang w:val="en-US"/>
              </w:rPr>
            </w:pPr>
            <w:r w:rsidRPr="00DB11F6">
              <w:rPr>
                <w:rFonts w:ascii="Arial" w:hAnsi="Arial" w:cs="Arial"/>
                <w:lang w:val="en-US"/>
              </w:rPr>
              <w:t>Genes</w:t>
            </w:r>
          </w:p>
        </w:tc>
        <w:tc>
          <w:tcPr>
            <w:tcW w:w="4395" w:type="dxa"/>
          </w:tcPr>
          <w:p w14:paraId="66971CE4" w14:textId="77777777" w:rsidR="00474FEA" w:rsidRPr="00DB11F6" w:rsidRDefault="00474FEA" w:rsidP="0052190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DB11F6">
              <w:rPr>
                <w:rFonts w:ascii="Arial" w:hAnsi="Arial" w:cs="Arial"/>
                <w:lang w:val="en-US"/>
              </w:rPr>
              <w:t>Primer Sequences (5' → 3')</w:t>
            </w:r>
          </w:p>
        </w:tc>
        <w:tc>
          <w:tcPr>
            <w:tcW w:w="2131" w:type="dxa"/>
          </w:tcPr>
          <w:p w14:paraId="4E3C44BF" w14:textId="77777777" w:rsidR="00474FEA" w:rsidRPr="00DB11F6" w:rsidRDefault="00474FEA" w:rsidP="0052190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DB11F6">
              <w:rPr>
                <w:rFonts w:ascii="Arial" w:hAnsi="Arial" w:cs="Arial"/>
                <w:lang w:val="en-US"/>
              </w:rPr>
              <w:t>Amplicon Size (bp)</w:t>
            </w:r>
          </w:p>
        </w:tc>
        <w:tc>
          <w:tcPr>
            <w:tcW w:w="1559" w:type="dxa"/>
          </w:tcPr>
          <w:p w14:paraId="79263F21" w14:textId="77777777" w:rsidR="00474FEA" w:rsidRPr="00DB11F6" w:rsidRDefault="00474FEA" w:rsidP="0052190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DB11F6">
              <w:rPr>
                <w:rFonts w:ascii="Arial" w:hAnsi="Arial" w:cs="Arial"/>
                <w:lang w:val="en-US"/>
              </w:rPr>
              <w:t>REFERENCES</w:t>
            </w:r>
          </w:p>
        </w:tc>
      </w:tr>
      <w:tr w:rsidR="00474FEA" w:rsidRPr="00DB11F6" w14:paraId="4E2F6FBC" w14:textId="77777777" w:rsidTr="00521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834BD5A" w14:textId="77777777" w:rsidR="00474FEA" w:rsidRPr="00DB11F6" w:rsidRDefault="00474FEA" w:rsidP="00521904">
            <w:pPr>
              <w:spacing w:after="160" w:line="259" w:lineRule="auto"/>
              <w:jc w:val="center"/>
              <w:rPr>
                <w:rFonts w:ascii="Arial" w:hAnsi="Arial" w:cs="Arial"/>
                <w:lang w:val="en-US"/>
              </w:rPr>
            </w:pPr>
            <w:r w:rsidRPr="00DB11F6">
              <w:rPr>
                <w:rFonts w:ascii="Arial" w:hAnsi="Arial" w:cs="Arial"/>
                <w:lang w:val="en-US"/>
              </w:rPr>
              <w:t>SHV</w:t>
            </w:r>
          </w:p>
        </w:tc>
        <w:tc>
          <w:tcPr>
            <w:tcW w:w="4395" w:type="dxa"/>
          </w:tcPr>
          <w:p w14:paraId="1A512E11" w14:textId="77777777" w:rsidR="00474FEA" w:rsidRPr="00DB11F6" w:rsidRDefault="00521904"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DB11F6">
              <w:rPr>
                <w:rFonts w:ascii="Arial" w:hAnsi="Arial" w:cs="Arial"/>
                <w:lang w:val="en-US"/>
              </w:rPr>
              <w:t>For</w:t>
            </w:r>
            <w:r w:rsidR="00474FEA" w:rsidRPr="00DB11F6">
              <w:rPr>
                <w:rFonts w:ascii="Arial" w:hAnsi="Arial" w:cs="Arial"/>
                <w:lang w:val="en-US"/>
              </w:rPr>
              <w:t>: ATGCGTTATATTCGCCTTG</w:t>
            </w:r>
          </w:p>
          <w:p w14:paraId="37610C21" w14:textId="77777777" w:rsidR="00474FEA" w:rsidRPr="00DB11F6" w:rsidRDefault="00474FEA"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DB11F6">
              <w:rPr>
                <w:rFonts w:ascii="Arial" w:hAnsi="Arial" w:cs="Arial"/>
                <w:lang w:val="en-US"/>
              </w:rPr>
              <w:lastRenderedPageBreak/>
              <w:t>Rev: TTAGCGTTGCCAGTG CTC</w:t>
            </w:r>
          </w:p>
        </w:tc>
        <w:tc>
          <w:tcPr>
            <w:tcW w:w="2131" w:type="dxa"/>
          </w:tcPr>
          <w:p w14:paraId="211B328B" w14:textId="77777777" w:rsidR="00474FEA" w:rsidRPr="00DB11F6" w:rsidRDefault="00474FEA"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DB11F6">
              <w:rPr>
                <w:rFonts w:ascii="Arial" w:hAnsi="Arial" w:cs="Arial"/>
                <w:lang w:val="en-US"/>
              </w:rPr>
              <w:lastRenderedPageBreak/>
              <w:t>816 bp</w:t>
            </w:r>
          </w:p>
        </w:tc>
        <w:tc>
          <w:tcPr>
            <w:tcW w:w="1559" w:type="dxa"/>
          </w:tcPr>
          <w:p w14:paraId="2B6ECF32" w14:textId="77777777" w:rsidR="00474FEA" w:rsidRPr="00DB11F6" w:rsidRDefault="00474FEA"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DB11F6">
              <w:rPr>
                <w:rFonts w:ascii="Arial" w:hAnsi="Arial" w:cs="Arial"/>
                <w:lang w:val="en-US"/>
              </w:rPr>
              <w:fldChar w:fldCharType="begin"/>
            </w:r>
            <w:r w:rsidRPr="00DB11F6">
              <w:rPr>
                <w:rFonts w:ascii="Arial" w:hAnsi="Arial" w:cs="Arial"/>
                <w:lang w:val="en-US"/>
              </w:rPr>
              <w:instrText xml:space="preserve"> ADDIN ZOTERO_ITEM CSL_CITATION {"citationID":"ljeab7Nz","properties":{"formattedCitation":"[25]","plainCitation":"[25]","noteIndex":0},"citationItems":[{"id":1621,"uris":["http://zotero.org/users/11484758/items/QXJV4FDN"],"itemData":{"id":1621,"type":"article-journal","abstract":"Twelve isolates of Enterobacteriaceae (1 of Klebsiella pneumoniae, 8 of Escherichia coli, 1 of Proteus mirabilis, and 2 of Proteus vulgaris) classified as extended-spectrum β-lactamase (ESBL) producers according to the ESBL screen flow application of the BD-Phoenix automatic system and for which the cefotaxime MICs were higher than those of ceftazidime were collected between January 2001 and July 2002 at the Laboratory of Clinical Microbiology of the San Matteo University Hospital of Pavia (northern Italy). By PCR and sequencing, a CTX-M-type determinant was detected in six isolates, including three of E. coli (carrying blaCTX-M-1), two of P. vulgaris (carrying blaCTX-M-2), and one of K. pneumoniae (carrying blaCTX-M-15). The three CTX-M-1-producing E. coli isolates were from different wards, and genotyping by pulsed-field gel electrophoresis (PFGE) revealed that they were clonally unrelated to each other. The two CTX-M-2-producing P. vulgaris isolates were from the same ward (although isolated several months apart), and PFGE analysis revealed probable clonal relatedness. The blaCTX-M-1 and blaCTX-M-2 determinants were transferable to E. coli by conjugation, while conjugative transfer of the blaCTX-M-15 determinant from K. pneumoniae was not detectable. Present findings indicate that CTX-M enzymes of various types are present also in Italy and underscore that different CTX-M determinants can be found in a single hospital and can show different dissemination patterns. This is also the first report of CTX-M-2 in P. vulgaris.","container-title":"Journal of Clinical Microbiology","DOI":"10.1128/JCM.41.9.4264-4269.2003","ISSN":"0095-1137","issue":"9","journalAbbreviation":"J Clin Microbiol","note":"PMID: 12958255\nPMCID: PMC193787","page":"4264-4269","source":"PubMed Central","title":"Multiple CTX-M-Type Extended-Spectrum β-Lactamases in Nosocomial Isolates of Enterobacteriaceae from a Hospital in Northern Italy","volume":"41","author":[{"family":"Pagani","given":"Laura"},{"family":"Dell'Amico","given":"Emanuela"},{"family":"Migliavacca","given":"Roberta"},{"family":"D'Andrea","given":"Marco Maria"},{"family":"Giacobone","given":"Ernesto"},{"family":"Amicosante","given":"Gianfranco"},{"family":"Romero","given":"Egidio"},{"family":"Rossolini","given":"Gian Maria"}],"issued":{"date-parts":[["2003",9]]}}}],"schema":"https://github.com/citation-style-language/schema/raw/master/csl-citation.json"} </w:instrText>
            </w:r>
            <w:r w:rsidRPr="00DB11F6">
              <w:rPr>
                <w:rFonts w:ascii="Arial" w:hAnsi="Arial" w:cs="Arial"/>
                <w:lang w:val="en-US"/>
              </w:rPr>
              <w:fldChar w:fldCharType="separate"/>
            </w:r>
            <w:r w:rsidRPr="00DB11F6">
              <w:rPr>
                <w:rFonts w:ascii="Arial" w:hAnsi="Arial" w:cs="Arial"/>
                <w:lang w:val="en-US"/>
              </w:rPr>
              <w:t>[19]</w:t>
            </w:r>
            <w:r w:rsidRPr="00DB11F6">
              <w:rPr>
                <w:rFonts w:ascii="Arial" w:hAnsi="Arial" w:cs="Arial"/>
                <w:lang w:val="en-US"/>
              </w:rPr>
              <w:fldChar w:fldCharType="end"/>
            </w:r>
          </w:p>
          <w:p w14:paraId="550F7CB1" w14:textId="77777777" w:rsidR="00474FEA" w:rsidRPr="00DB11F6" w:rsidRDefault="00474FEA"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474FEA" w:rsidRPr="00DB11F6" w14:paraId="4F2394AB" w14:textId="77777777" w:rsidTr="00521904">
        <w:trPr>
          <w:trHeight w:val="789"/>
        </w:trPr>
        <w:tc>
          <w:tcPr>
            <w:cnfStyle w:val="001000000000" w:firstRow="0" w:lastRow="0" w:firstColumn="1" w:lastColumn="0" w:oddVBand="0" w:evenVBand="0" w:oddHBand="0" w:evenHBand="0" w:firstRowFirstColumn="0" w:firstRowLastColumn="0" w:lastRowFirstColumn="0" w:lastRowLastColumn="0"/>
            <w:tcW w:w="1129" w:type="dxa"/>
          </w:tcPr>
          <w:p w14:paraId="0CDE6C8C" w14:textId="77777777" w:rsidR="00474FEA" w:rsidRPr="00DB11F6" w:rsidRDefault="00474FEA" w:rsidP="00521904">
            <w:pPr>
              <w:spacing w:after="160" w:line="259" w:lineRule="auto"/>
              <w:jc w:val="center"/>
              <w:rPr>
                <w:rFonts w:ascii="Arial" w:hAnsi="Arial" w:cs="Arial"/>
                <w:lang w:val="en-US"/>
              </w:rPr>
            </w:pPr>
            <w:r w:rsidRPr="00DB11F6">
              <w:rPr>
                <w:rFonts w:ascii="Arial" w:hAnsi="Arial" w:cs="Arial"/>
                <w:lang w:val="en-US"/>
              </w:rPr>
              <w:lastRenderedPageBreak/>
              <w:t>TEM</w:t>
            </w:r>
          </w:p>
        </w:tc>
        <w:tc>
          <w:tcPr>
            <w:tcW w:w="4395" w:type="dxa"/>
          </w:tcPr>
          <w:p w14:paraId="4BF6E3E4" w14:textId="77777777" w:rsidR="00474FEA" w:rsidRPr="00DB11F6" w:rsidRDefault="00474FEA" w:rsidP="0052190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DB11F6">
              <w:rPr>
                <w:rFonts w:ascii="Arial" w:hAnsi="Arial" w:cs="Arial"/>
                <w:lang w:val="en-US"/>
              </w:rPr>
              <w:t>For: ATAAAATTCTTGAAGACGAAA</w:t>
            </w:r>
          </w:p>
          <w:p w14:paraId="59918209" w14:textId="77777777" w:rsidR="00474FEA" w:rsidRPr="00DB11F6" w:rsidRDefault="00474FEA" w:rsidP="0052190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DB11F6">
              <w:rPr>
                <w:rFonts w:ascii="Arial" w:hAnsi="Arial" w:cs="Arial"/>
                <w:lang w:val="en-US"/>
              </w:rPr>
              <w:t>Rev: GACAGTTACCAATGCTTAATCA</w:t>
            </w:r>
          </w:p>
        </w:tc>
        <w:tc>
          <w:tcPr>
            <w:tcW w:w="2131" w:type="dxa"/>
          </w:tcPr>
          <w:p w14:paraId="3E3675CD" w14:textId="77777777" w:rsidR="00474FEA" w:rsidRPr="00DB11F6" w:rsidRDefault="00474FEA" w:rsidP="0052190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DB11F6">
              <w:rPr>
                <w:rFonts w:ascii="Arial" w:hAnsi="Arial" w:cs="Arial"/>
                <w:lang w:val="en-US"/>
              </w:rPr>
              <w:t>1000 bp</w:t>
            </w:r>
          </w:p>
        </w:tc>
        <w:tc>
          <w:tcPr>
            <w:tcW w:w="1559" w:type="dxa"/>
          </w:tcPr>
          <w:p w14:paraId="4A520DD7" w14:textId="77777777" w:rsidR="00474FEA" w:rsidRPr="00DB11F6" w:rsidRDefault="00474FEA" w:rsidP="0052190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DB11F6">
              <w:rPr>
                <w:rFonts w:ascii="Arial" w:hAnsi="Arial" w:cs="Arial"/>
                <w:lang w:val="en-US"/>
              </w:rPr>
              <w:fldChar w:fldCharType="begin"/>
            </w:r>
            <w:r w:rsidRPr="00DB11F6">
              <w:rPr>
                <w:rFonts w:ascii="Arial" w:hAnsi="Arial" w:cs="Arial"/>
                <w:lang w:val="en-US"/>
              </w:rPr>
              <w:instrText xml:space="preserve"> ADDIN ZOTERO_ITEM CSL_CITATION {"citationID":"FHo7cm5L","properties":{"formattedCitation":"[25]","plainCitation":"[25]","noteIndex":0},"citationItems":[{"id":1621,"uris":["http://zotero.org/users/11484758/items/QXJV4FDN"],"itemData":{"id":1621,"type":"article-journal","abstract":"Twelve isolates of Enterobacteriaceae (1 of Klebsiella pneumoniae, 8 of Escherichia coli, 1 of Proteus mirabilis, and 2 of Proteus vulgaris) classified as extended-spectrum β-lactamase (ESBL) producers according to the ESBL screen flow application of the BD-Phoenix automatic system and for which the cefotaxime MICs were higher than those of ceftazidime were collected between January 2001 and July 2002 at the Laboratory of Clinical Microbiology of the San Matteo University Hospital of Pavia (northern Italy). By PCR and sequencing, a CTX-M-type determinant was detected in six isolates, including three of E. coli (carrying blaCTX-M-1), two of P. vulgaris (carrying blaCTX-M-2), and one of K. pneumoniae (carrying blaCTX-M-15). The three CTX-M-1-producing E. coli isolates were from different wards, and genotyping by pulsed-field gel electrophoresis (PFGE) revealed that they were clonally unrelated to each other. The two CTX-M-2-producing P. vulgaris isolates were from the same ward (although isolated several months apart), and PFGE analysis revealed probable clonal relatedness. The blaCTX-M-1 and blaCTX-M-2 determinants were transferable to E. coli by conjugation, while conjugative transfer of the blaCTX-M-15 determinant from K. pneumoniae was not detectable. Present findings indicate that CTX-M enzymes of various types are present also in Italy and underscore that different CTX-M determinants can be found in a single hospital and can show different dissemination patterns. This is also the first report of CTX-M-2 in P. vulgaris.","container-title":"Journal of Clinical Microbiology","DOI":"10.1128/JCM.41.9.4264-4269.2003","ISSN":"0095-1137","issue":"9","journalAbbreviation":"J Clin Microbiol","note":"PMID: 12958255\nPMCID: PMC193787","page":"4264-4269","source":"PubMed Central","title":"Multiple CTX-M-Type Extended-Spectrum β-Lactamases in Nosocomial Isolates of Enterobacteriaceae from a Hospital in Northern Italy","volume":"41","author":[{"family":"Pagani","given":"Laura"},{"family":"Dell'Amico","given":"Emanuela"},{"family":"Migliavacca","given":"Roberta"},{"family":"D'Andrea","given":"Marco Maria"},{"family":"Giacobone","given":"Ernesto"},{"family":"Amicosante","given":"Gianfranco"},{"family":"Romero","given":"Egidio"},{"family":"Rossolini","given":"Gian Maria"}],"issued":{"date-parts":[["2003",9]]}}}],"schema":"https://github.com/citation-style-language/schema/raw/master/csl-citation.json"} </w:instrText>
            </w:r>
            <w:r w:rsidRPr="00DB11F6">
              <w:rPr>
                <w:rFonts w:ascii="Arial" w:hAnsi="Arial" w:cs="Arial"/>
                <w:lang w:val="en-US"/>
              </w:rPr>
              <w:fldChar w:fldCharType="separate"/>
            </w:r>
            <w:r w:rsidRPr="00DB11F6">
              <w:rPr>
                <w:rFonts w:ascii="Arial" w:hAnsi="Arial" w:cs="Arial"/>
                <w:lang w:val="en-US"/>
              </w:rPr>
              <w:t>[19]</w:t>
            </w:r>
            <w:r w:rsidRPr="00DB11F6">
              <w:rPr>
                <w:rFonts w:ascii="Arial" w:hAnsi="Arial" w:cs="Arial"/>
                <w:lang w:val="en-US"/>
              </w:rPr>
              <w:fldChar w:fldCharType="end"/>
            </w:r>
          </w:p>
          <w:p w14:paraId="48E9DF2D" w14:textId="77777777" w:rsidR="00474FEA" w:rsidRPr="00DB11F6" w:rsidRDefault="00474FEA" w:rsidP="0052190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474FEA" w:rsidRPr="00DB11F6" w14:paraId="61FEAEB5" w14:textId="77777777" w:rsidTr="00521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30B3D5D" w14:textId="77777777" w:rsidR="00474FEA" w:rsidRPr="00DB11F6" w:rsidRDefault="00474FEA" w:rsidP="00521904">
            <w:pPr>
              <w:spacing w:after="160" w:line="259" w:lineRule="auto"/>
              <w:jc w:val="center"/>
              <w:rPr>
                <w:rFonts w:ascii="Arial" w:hAnsi="Arial" w:cs="Arial"/>
                <w:lang w:val="en-US"/>
              </w:rPr>
            </w:pPr>
            <w:r w:rsidRPr="00DB11F6">
              <w:rPr>
                <w:rFonts w:ascii="Arial" w:hAnsi="Arial" w:cs="Arial"/>
                <w:lang w:val="en-US"/>
              </w:rPr>
              <w:t>CTX-M</w:t>
            </w:r>
          </w:p>
        </w:tc>
        <w:tc>
          <w:tcPr>
            <w:tcW w:w="4395" w:type="dxa"/>
          </w:tcPr>
          <w:p w14:paraId="013DD914" w14:textId="77777777" w:rsidR="00474FEA" w:rsidRPr="00DB11F6" w:rsidRDefault="00474FEA"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DB11F6">
              <w:rPr>
                <w:rFonts w:ascii="Arial" w:hAnsi="Arial" w:cs="Arial"/>
                <w:lang w:val="en-US"/>
              </w:rPr>
              <w:t>For: GTTACAATGTGTGAGAAGCAG</w:t>
            </w:r>
          </w:p>
          <w:p w14:paraId="3CBD81E6" w14:textId="77777777" w:rsidR="00474FEA" w:rsidRPr="00DB11F6" w:rsidRDefault="00474FEA"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DB11F6">
              <w:rPr>
                <w:rFonts w:ascii="Arial" w:hAnsi="Arial" w:cs="Arial"/>
                <w:lang w:val="en-US"/>
              </w:rPr>
              <w:t>Rev: CCGTTTCCGCTATTACAAAC</w:t>
            </w:r>
          </w:p>
        </w:tc>
        <w:tc>
          <w:tcPr>
            <w:tcW w:w="2131" w:type="dxa"/>
          </w:tcPr>
          <w:p w14:paraId="4D2D1FC9" w14:textId="77777777" w:rsidR="00474FEA" w:rsidRPr="00DB11F6" w:rsidRDefault="00474FEA"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DB11F6">
              <w:rPr>
                <w:rFonts w:ascii="Arial" w:hAnsi="Arial" w:cs="Arial"/>
                <w:lang w:val="en-US"/>
              </w:rPr>
              <w:t>1080 bp</w:t>
            </w:r>
          </w:p>
        </w:tc>
        <w:tc>
          <w:tcPr>
            <w:tcW w:w="1559" w:type="dxa"/>
          </w:tcPr>
          <w:p w14:paraId="57292F0B" w14:textId="77777777" w:rsidR="00474FEA" w:rsidRPr="00DB11F6" w:rsidRDefault="00474FEA" w:rsidP="0052190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DB11F6">
              <w:rPr>
                <w:rFonts w:ascii="Arial" w:hAnsi="Arial" w:cs="Arial"/>
                <w:lang w:val="en-US"/>
              </w:rPr>
              <w:fldChar w:fldCharType="begin"/>
            </w:r>
            <w:r w:rsidRPr="00DB11F6">
              <w:rPr>
                <w:rFonts w:ascii="Arial" w:hAnsi="Arial" w:cs="Arial"/>
                <w:lang w:val="en-US"/>
              </w:rPr>
              <w:instrText xml:space="preserve"> ADDIN ZOTERO_ITEM CSL_CITATION {"citationID":"lmI299RA","properties":{"formattedCitation":"[25]","plainCitation":"[25]","noteIndex":0},"citationItems":[{"id":1621,"uris":["http://zotero.org/users/11484758/items/QXJV4FDN"],"itemData":{"id":1621,"type":"article-journal","abstract":"Twelve isolates of Enterobacteriaceae (1 of Klebsiella pneumoniae, 8 of Escherichia coli, 1 of Proteus mirabilis, and 2 of Proteus vulgaris) classified as extended-spectrum β-lactamase (ESBL) producers according to the ESBL screen flow application of the BD-Phoenix automatic system and for which the cefotaxime MICs were higher than those of ceftazidime were collected between January 2001 and July 2002 at the Laboratory of Clinical Microbiology of the San Matteo University Hospital of Pavia (northern Italy). By PCR and sequencing, a CTX-M-type determinant was detected in six isolates, including three of E. coli (carrying blaCTX-M-1), two of P. vulgaris (carrying blaCTX-M-2), and one of K. pneumoniae (carrying blaCTX-M-15). The three CTX-M-1-producing E. coli isolates were from different wards, and genotyping by pulsed-field gel electrophoresis (PFGE) revealed that they were clonally unrelated to each other. The two CTX-M-2-producing P. vulgaris isolates were from the same ward (although isolated several months apart), and PFGE analysis revealed probable clonal relatedness. The blaCTX-M-1 and blaCTX-M-2 determinants were transferable to E. coli by conjugation, while conjugative transfer of the blaCTX-M-15 determinant from K. pneumoniae was not detectable. Present findings indicate that CTX-M enzymes of various types are present also in Italy and underscore that different CTX-M determinants can be found in a single hospital and can show different dissemination patterns. This is also the first report of CTX-M-2 in P. vulgaris.","container-title":"Journal of Clinical Microbiology","DOI":"10.1128/JCM.41.9.4264-4269.2003","ISSN":"0095-1137","issue":"9","journalAbbreviation":"J Clin Microbiol","note":"PMID: 12958255\nPMCID: PMC193787","page":"4264-4269","source":"PubMed Central","title":"Multiple CTX-M-Type Extended-Spectrum β-Lactamases in Nosocomial Isolates of Enterobacteriaceae from a Hospital in Northern Italy","volume":"41","author":[{"family":"Pagani","given":"Laura"},{"family":"Dell'Amico","given":"Emanuela"},{"family":"Migliavacca","given":"Roberta"},{"family":"D'Andrea","given":"Marco Maria"},{"family":"Giacobone","given":"Ernesto"},{"family":"Amicosante","given":"Gianfranco"},{"family":"Romero","given":"Egidio"},{"family":"Rossolini","given":"Gian Maria"}],"issued":{"date-parts":[["2003",9]]}}}],"schema":"https://github.com/citation-style-language/schema/raw/master/csl-citation.json"} </w:instrText>
            </w:r>
            <w:r w:rsidRPr="00DB11F6">
              <w:rPr>
                <w:rFonts w:ascii="Arial" w:hAnsi="Arial" w:cs="Arial"/>
                <w:lang w:val="en-US"/>
              </w:rPr>
              <w:fldChar w:fldCharType="separate"/>
            </w:r>
            <w:r w:rsidRPr="00DB11F6">
              <w:rPr>
                <w:rFonts w:ascii="Arial" w:hAnsi="Arial" w:cs="Arial"/>
                <w:lang w:val="en-US"/>
              </w:rPr>
              <w:t>[19]</w:t>
            </w:r>
            <w:r w:rsidRPr="00DB11F6">
              <w:rPr>
                <w:rFonts w:ascii="Arial" w:hAnsi="Arial" w:cs="Arial"/>
                <w:lang w:val="en-US"/>
              </w:rPr>
              <w:fldChar w:fldCharType="end"/>
            </w:r>
          </w:p>
        </w:tc>
      </w:tr>
    </w:tbl>
    <w:p w14:paraId="02813D4F" w14:textId="77777777" w:rsidR="00422F8F" w:rsidRPr="00DB11F6" w:rsidRDefault="00422F8F" w:rsidP="00C86395">
      <w:pPr>
        <w:jc w:val="both"/>
        <w:rPr>
          <w:rFonts w:ascii="Arial" w:hAnsi="Arial" w:cs="Arial"/>
          <w:b/>
          <w:bCs/>
          <w:lang w:val="en-US"/>
        </w:rPr>
      </w:pPr>
    </w:p>
    <w:p w14:paraId="3319B43A" w14:textId="77777777" w:rsidR="00422F8F" w:rsidRPr="00DB11F6" w:rsidRDefault="00422F8F" w:rsidP="00C86395">
      <w:pPr>
        <w:jc w:val="both"/>
        <w:rPr>
          <w:rFonts w:ascii="Arial" w:hAnsi="Arial" w:cs="Arial"/>
          <w:b/>
          <w:bCs/>
          <w:lang w:val="en-US"/>
        </w:rPr>
      </w:pPr>
    </w:p>
    <w:p w14:paraId="7C23D535" w14:textId="77777777" w:rsidR="00422F8F" w:rsidRPr="00DB11F6" w:rsidRDefault="00422F8F" w:rsidP="00C86395">
      <w:pPr>
        <w:jc w:val="both"/>
        <w:rPr>
          <w:rFonts w:ascii="Arial" w:hAnsi="Arial" w:cs="Arial"/>
          <w:b/>
          <w:bCs/>
          <w:lang w:val="en-US"/>
        </w:rPr>
      </w:pPr>
    </w:p>
    <w:p w14:paraId="05B755AF" w14:textId="77777777" w:rsidR="00C86395" w:rsidRPr="00DB11F6" w:rsidRDefault="00F438F1" w:rsidP="00C86395">
      <w:pPr>
        <w:jc w:val="both"/>
        <w:rPr>
          <w:rFonts w:ascii="Arial" w:hAnsi="Arial" w:cs="Arial"/>
          <w:b/>
          <w:lang w:val="en-US"/>
        </w:rPr>
      </w:pPr>
      <w:r w:rsidRPr="00DB11F6">
        <w:rPr>
          <w:rFonts w:ascii="Arial" w:hAnsi="Arial" w:cs="Arial"/>
          <w:b/>
          <w:bCs/>
          <w:lang w:val="en-US"/>
        </w:rPr>
        <w:t>Table 2.  PCR Conditions for the Amplification of</w:t>
      </w:r>
      <w:r w:rsidRPr="00DB11F6">
        <w:rPr>
          <w:rFonts w:ascii="Arial" w:hAnsi="Arial" w:cs="Arial"/>
          <w:b/>
          <w:lang w:val="en-US"/>
        </w:rPr>
        <w:t xml:space="preserve"> </w:t>
      </w:r>
      <w:proofErr w:type="spellStart"/>
      <w:r w:rsidRPr="00DB11F6">
        <w:rPr>
          <w:rFonts w:ascii="Arial" w:hAnsi="Arial" w:cs="Arial"/>
          <w:b/>
          <w:i/>
          <w:iCs/>
          <w:lang w:val="en-US"/>
        </w:rPr>
        <w:t>bla</w:t>
      </w:r>
      <w:proofErr w:type="spellEnd"/>
      <w:r w:rsidRPr="00DB11F6">
        <w:rPr>
          <w:rFonts w:ascii="Arial" w:hAnsi="Arial" w:cs="Arial"/>
          <w:b/>
          <w:i/>
          <w:iCs/>
          <w:lang w:val="en-US"/>
        </w:rPr>
        <w:t>&lt;sub&gt;SHV&lt;/sub&gt;</w:t>
      </w:r>
      <w:r w:rsidRPr="00DB11F6">
        <w:rPr>
          <w:rFonts w:ascii="Arial" w:hAnsi="Arial" w:cs="Arial"/>
          <w:b/>
          <w:lang w:val="en-US"/>
        </w:rPr>
        <w:t xml:space="preserve">, </w:t>
      </w:r>
      <w:proofErr w:type="spellStart"/>
      <w:r w:rsidRPr="00DB11F6">
        <w:rPr>
          <w:rFonts w:ascii="Arial" w:hAnsi="Arial" w:cs="Arial"/>
          <w:b/>
          <w:i/>
          <w:iCs/>
          <w:lang w:val="en-US"/>
        </w:rPr>
        <w:t>bla</w:t>
      </w:r>
      <w:proofErr w:type="spellEnd"/>
      <w:r w:rsidRPr="00DB11F6">
        <w:rPr>
          <w:rFonts w:ascii="Arial" w:hAnsi="Arial" w:cs="Arial"/>
          <w:b/>
          <w:i/>
          <w:iCs/>
          <w:lang w:val="en-US"/>
        </w:rPr>
        <w:t>&lt;sub&gt;TEM&lt;/sub&gt;</w:t>
      </w:r>
      <w:r w:rsidRPr="00DB11F6">
        <w:rPr>
          <w:rFonts w:ascii="Arial" w:hAnsi="Arial" w:cs="Arial"/>
          <w:b/>
          <w:lang w:val="en-US"/>
        </w:rPr>
        <w:t xml:space="preserve">, </w:t>
      </w:r>
      <w:r w:rsidRPr="00DB11F6">
        <w:rPr>
          <w:rFonts w:ascii="Arial" w:hAnsi="Arial" w:cs="Arial"/>
          <w:b/>
          <w:bCs/>
          <w:lang w:val="en-US"/>
        </w:rPr>
        <w:t>and</w:t>
      </w:r>
      <w:r w:rsidRPr="00DB11F6">
        <w:rPr>
          <w:rFonts w:ascii="Arial" w:hAnsi="Arial" w:cs="Arial"/>
          <w:b/>
          <w:lang w:val="en-US"/>
        </w:rPr>
        <w:t xml:space="preserve"> </w:t>
      </w:r>
      <w:proofErr w:type="spellStart"/>
      <w:r w:rsidRPr="00DB11F6">
        <w:rPr>
          <w:rFonts w:ascii="Arial" w:hAnsi="Arial" w:cs="Arial"/>
          <w:b/>
          <w:i/>
          <w:iCs/>
          <w:lang w:val="en-US"/>
        </w:rPr>
        <w:t>bla</w:t>
      </w:r>
      <w:proofErr w:type="spellEnd"/>
      <w:r w:rsidRPr="00DB11F6">
        <w:rPr>
          <w:rFonts w:ascii="Arial" w:hAnsi="Arial" w:cs="Arial"/>
          <w:b/>
          <w:i/>
          <w:iCs/>
          <w:lang w:val="en-US"/>
        </w:rPr>
        <w:t>&lt;sub&gt;CTX-M&lt;/sub&gt;</w:t>
      </w:r>
      <w:r w:rsidRPr="00DB11F6">
        <w:rPr>
          <w:rFonts w:ascii="Arial" w:hAnsi="Arial" w:cs="Arial"/>
          <w:b/>
          <w:lang w:val="en-US"/>
        </w:rPr>
        <w:t xml:space="preserve"> </w:t>
      </w:r>
      <w:r w:rsidRPr="00DB11F6">
        <w:rPr>
          <w:rFonts w:ascii="Arial" w:hAnsi="Arial" w:cs="Arial"/>
          <w:b/>
          <w:bCs/>
          <w:lang w:val="en-US"/>
        </w:rPr>
        <w:t>Genes</w:t>
      </w:r>
    </w:p>
    <w:tbl>
      <w:tblPr>
        <w:tblW w:w="9356" w:type="dxa"/>
        <w:jc w:val="center"/>
        <w:tblCellSpacing w:w="15" w:type="dxa"/>
        <w:tblCellMar>
          <w:top w:w="15" w:type="dxa"/>
          <w:left w:w="15" w:type="dxa"/>
          <w:bottom w:w="15" w:type="dxa"/>
          <w:right w:w="15" w:type="dxa"/>
        </w:tblCellMar>
        <w:tblLook w:val="04A0" w:firstRow="1" w:lastRow="0" w:firstColumn="1" w:lastColumn="0" w:noHBand="0" w:noVBand="1"/>
      </w:tblPr>
      <w:tblGrid>
        <w:gridCol w:w="2484"/>
        <w:gridCol w:w="2194"/>
        <w:gridCol w:w="2268"/>
        <w:gridCol w:w="2410"/>
      </w:tblGrid>
      <w:tr w:rsidR="008004B4" w:rsidRPr="00DB11F6" w14:paraId="3F9902E8" w14:textId="77777777" w:rsidTr="008004B4">
        <w:trPr>
          <w:tblHeader/>
          <w:tblCellSpacing w:w="15" w:type="dxa"/>
          <w:jc w:val="center"/>
        </w:trPr>
        <w:tc>
          <w:tcPr>
            <w:tcW w:w="0" w:type="auto"/>
            <w:vAlign w:val="center"/>
            <w:hideMark/>
          </w:tcPr>
          <w:p w14:paraId="655EBEC3" w14:textId="77777777" w:rsidR="008004B4" w:rsidRPr="00DB11F6" w:rsidRDefault="008004B4" w:rsidP="008004B4">
            <w:pPr>
              <w:jc w:val="center"/>
              <w:rPr>
                <w:rFonts w:ascii="Arial" w:hAnsi="Arial" w:cs="Arial"/>
                <w:b/>
                <w:bCs/>
              </w:rPr>
            </w:pPr>
            <w:proofErr w:type="spellStart"/>
            <w:r w:rsidRPr="00DB11F6">
              <w:rPr>
                <w:rFonts w:ascii="Arial" w:hAnsi="Arial" w:cs="Arial"/>
                <w:b/>
                <w:bCs/>
              </w:rPr>
              <w:t>Parameters</w:t>
            </w:r>
            <w:proofErr w:type="spellEnd"/>
          </w:p>
        </w:tc>
        <w:tc>
          <w:tcPr>
            <w:tcW w:w="2164" w:type="dxa"/>
            <w:vAlign w:val="center"/>
            <w:hideMark/>
          </w:tcPr>
          <w:p w14:paraId="7EC934C6" w14:textId="77777777" w:rsidR="008004B4" w:rsidRPr="00DB11F6" w:rsidRDefault="008004B4" w:rsidP="008004B4">
            <w:pPr>
              <w:jc w:val="center"/>
              <w:rPr>
                <w:rFonts w:ascii="Arial" w:hAnsi="Arial" w:cs="Arial"/>
                <w:b/>
                <w:bCs/>
              </w:rPr>
            </w:pPr>
            <w:proofErr w:type="spellStart"/>
            <w:proofErr w:type="gramStart"/>
            <w:r w:rsidRPr="00DB11F6">
              <w:rPr>
                <w:rFonts w:ascii="Arial" w:hAnsi="Arial" w:cs="Arial"/>
                <w:b/>
                <w:bCs/>
              </w:rPr>
              <w:t>blaSHV</w:t>
            </w:r>
            <w:proofErr w:type="spellEnd"/>
            <w:proofErr w:type="gramEnd"/>
          </w:p>
        </w:tc>
        <w:tc>
          <w:tcPr>
            <w:tcW w:w="2238" w:type="dxa"/>
            <w:vAlign w:val="center"/>
            <w:hideMark/>
          </w:tcPr>
          <w:p w14:paraId="07FA8C64" w14:textId="77777777" w:rsidR="008004B4" w:rsidRPr="00DB11F6" w:rsidRDefault="008004B4" w:rsidP="008004B4">
            <w:pPr>
              <w:jc w:val="center"/>
              <w:rPr>
                <w:rFonts w:ascii="Arial" w:hAnsi="Arial" w:cs="Arial"/>
                <w:b/>
                <w:bCs/>
              </w:rPr>
            </w:pPr>
            <w:proofErr w:type="spellStart"/>
            <w:proofErr w:type="gramStart"/>
            <w:r w:rsidRPr="00DB11F6">
              <w:rPr>
                <w:rFonts w:ascii="Arial" w:hAnsi="Arial" w:cs="Arial"/>
                <w:b/>
                <w:bCs/>
              </w:rPr>
              <w:t>blaTEM</w:t>
            </w:r>
            <w:proofErr w:type="spellEnd"/>
            <w:proofErr w:type="gramEnd"/>
          </w:p>
        </w:tc>
        <w:tc>
          <w:tcPr>
            <w:tcW w:w="2365" w:type="dxa"/>
            <w:vAlign w:val="center"/>
            <w:hideMark/>
          </w:tcPr>
          <w:p w14:paraId="31E88091" w14:textId="77777777" w:rsidR="008004B4" w:rsidRPr="00DB11F6" w:rsidRDefault="008004B4" w:rsidP="008004B4">
            <w:pPr>
              <w:jc w:val="center"/>
              <w:rPr>
                <w:rFonts w:ascii="Arial" w:hAnsi="Arial" w:cs="Arial"/>
                <w:b/>
                <w:bCs/>
              </w:rPr>
            </w:pPr>
            <w:proofErr w:type="spellStart"/>
            <w:proofErr w:type="gramStart"/>
            <w:r w:rsidRPr="00DB11F6">
              <w:rPr>
                <w:rFonts w:ascii="Arial" w:hAnsi="Arial" w:cs="Arial"/>
                <w:b/>
                <w:bCs/>
              </w:rPr>
              <w:t>blaCTX</w:t>
            </w:r>
            <w:proofErr w:type="spellEnd"/>
            <w:proofErr w:type="gramEnd"/>
            <w:r w:rsidRPr="00DB11F6">
              <w:rPr>
                <w:rFonts w:ascii="Arial" w:hAnsi="Arial" w:cs="Arial"/>
                <w:b/>
                <w:bCs/>
              </w:rPr>
              <w:t>-M</w:t>
            </w:r>
          </w:p>
        </w:tc>
      </w:tr>
      <w:tr w:rsidR="008004B4" w:rsidRPr="00DB11F6" w14:paraId="058D2BDA" w14:textId="77777777" w:rsidTr="008004B4">
        <w:trPr>
          <w:tblCellSpacing w:w="15" w:type="dxa"/>
          <w:jc w:val="center"/>
        </w:trPr>
        <w:tc>
          <w:tcPr>
            <w:tcW w:w="0" w:type="auto"/>
            <w:vAlign w:val="center"/>
            <w:hideMark/>
          </w:tcPr>
          <w:p w14:paraId="6C115C04" w14:textId="77777777" w:rsidR="008004B4" w:rsidRPr="00DB11F6" w:rsidRDefault="008004B4" w:rsidP="008004B4">
            <w:pPr>
              <w:jc w:val="center"/>
              <w:rPr>
                <w:rFonts w:ascii="Arial" w:hAnsi="Arial" w:cs="Arial"/>
                <w:bCs/>
              </w:rPr>
            </w:pPr>
            <w:r w:rsidRPr="00DB11F6">
              <w:rPr>
                <w:rFonts w:ascii="Arial" w:hAnsi="Arial" w:cs="Arial"/>
                <w:bCs/>
              </w:rPr>
              <w:t xml:space="preserve">Initial </w:t>
            </w:r>
            <w:proofErr w:type="spellStart"/>
            <w:r w:rsidRPr="00DB11F6">
              <w:rPr>
                <w:rFonts w:ascii="Arial" w:hAnsi="Arial" w:cs="Arial"/>
                <w:bCs/>
              </w:rPr>
              <w:t>denaturation</w:t>
            </w:r>
            <w:proofErr w:type="spellEnd"/>
          </w:p>
        </w:tc>
        <w:tc>
          <w:tcPr>
            <w:tcW w:w="2164" w:type="dxa"/>
            <w:vAlign w:val="center"/>
            <w:hideMark/>
          </w:tcPr>
          <w:p w14:paraId="7103E835" w14:textId="77777777" w:rsidR="008004B4" w:rsidRPr="00DB11F6" w:rsidRDefault="008004B4" w:rsidP="008004B4">
            <w:pPr>
              <w:jc w:val="center"/>
              <w:rPr>
                <w:rFonts w:ascii="Arial" w:hAnsi="Arial" w:cs="Arial"/>
                <w:bCs/>
              </w:rPr>
            </w:pPr>
            <w:r w:rsidRPr="00DB11F6">
              <w:rPr>
                <w:rFonts w:ascii="Arial" w:hAnsi="Arial" w:cs="Arial"/>
                <w:bCs/>
              </w:rPr>
              <w:t>96°C for 5 min</w:t>
            </w:r>
          </w:p>
        </w:tc>
        <w:tc>
          <w:tcPr>
            <w:tcW w:w="2238" w:type="dxa"/>
            <w:vAlign w:val="center"/>
            <w:hideMark/>
          </w:tcPr>
          <w:p w14:paraId="3DF022AE" w14:textId="77777777" w:rsidR="008004B4" w:rsidRPr="00DB11F6" w:rsidRDefault="008004B4" w:rsidP="008004B4">
            <w:pPr>
              <w:jc w:val="center"/>
              <w:rPr>
                <w:rFonts w:ascii="Arial" w:hAnsi="Arial" w:cs="Arial"/>
                <w:bCs/>
              </w:rPr>
            </w:pPr>
            <w:r w:rsidRPr="00DB11F6">
              <w:rPr>
                <w:rFonts w:ascii="Arial" w:hAnsi="Arial" w:cs="Arial"/>
                <w:bCs/>
              </w:rPr>
              <w:t>96°C for 5 min</w:t>
            </w:r>
          </w:p>
        </w:tc>
        <w:tc>
          <w:tcPr>
            <w:tcW w:w="2365" w:type="dxa"/>
            <w:vAlign w:val="center"/>
            <w:hideMark/>
          </w:tcPr>
          <w:p w14:paraId="406F3691" w14:textId="77777777" w:rsidR="008004B4" w:rsidRPr="00DB11F6" w:rsidRDefault="008004B4" w:rsidP="008004B4">
            <w:pPr>
              <w:jc w:val="center"/>
              <w:rPr>
                <w:rFonts w:ascii="Arial" w:hAnsi="Arial" w:cs="Arial"/>
                <w:bCs/>
              </w:rPr>
            </w:pPr>
            <w:r w:rsidRPr="00DB11F6">
              <w:rPr>
                <w:rFonts w:ascii="Arial" w:hAnsi="Arial" w:cs="Arial"/>
                <w:bCs/>
              </w:rPr>
              <w:t>96°C for 5 min</w:t>
            </w:r>
          </w:p>
        </w:tc>
      </w:tr>
      <w:tr w:rsidR="008004B4" w:rsidRPr="00DB11F6" w14:paraId="605766AF" w14:textId="77777777" w:rsidTr="008004B4">
        <w:trPr>
          <w:tblCellSpacing w:w="15" w:type="dxa"/>
          <w:jc w:val="center"/>
        </w:trPr>
        <w:tc>
          <w:tcPr>
            <w:tcW w:w="0" w:type="auto"/>
            <w:vAlign w:val="center"/>
            <w:hideMark/>
          </w:tcPr>
          <w:p w14:paraId="13D7EF23" w14:textId="77777777" w:rsidR="008004B4" w:rsidRPr="00DB11F6" w:rsidRDefault="008004B4" w:rsidP="008004B4">
            <w:pPr>
              <w:jc w:val="center"/>
              <w:rPr>
                <w:rFonts w:ascii="Arial" w:hAnsi="Arial" w:cs="Arial"/>
                <w:bCs/>
              </w:rPr>
            </w:pPr>
            <w:proofErr w:type="spellStart"/>
            <w:r w:rsidRPr="00DB11F6">
              <w:rPr>
                <w:rFonts w:ascii="Arial" w:hAnsi="Arial" w:cs="Arial"/>
                <w:bCs/>
              </w:rPr>
              <w:t>Denaturation</w:t>
            </w:r>
            <w:proofErr w:type="spellEnd"/>
            <w:r w:rsidRPr="00DB11F6">
              <w:rPr>
                <w:rFonts w:ascii="Arial" w:hAnsi="Arial" w:cs="Arial"/>
                <w:bCs/>
              </w:rPr>
              <w:t xml:space="preserve"> (per cycle)</w:t>
            </w:r>
          </w:p>
        </w:tc>
        <w:tc>
          <w:tcPr>
            <w:tcW w:w="2164" w:type="dxa"/>
            <w:vAlign w:val="center"/>
            <w:hideMark/>
          </w:tcPr>
          <w:p w14:paraId="5DFDDA3E" w14:textId="77777777" w:rsidR="008004B4" w:rsidRPr="00DB11F6" w:rsidRDefault="008004B4" w:rsidP="008004B4">
            <w:pPr>
              <w:jc w:val="center"/>
              <w:rPr>
                <w:rFonts w:ascii="Arial" w:hAnsi="Arial" w:cs="Arial"/>
                <w:bCs/>
              </w:rPr>
            </w:pPr>
            <w:r w:rsidRPr="00DB11F6">
              <w:rPr>
                <w:rFonts w:ascii="Arial" w:hAnsi="Arial" w:cs="Arial"/>
                <w:bCs/>
              </w:rPr>
              <w:t>96°C for 1 min</w:t>
            </w:r>
          </w:p>
        </w:tc>
        <w:tc>
          <w:tcPr>
            <w:tcW w:w="2238" w:type="dxa"/>
            <w:vAlign w:val="center"/>
            <w:hideMark/>
          </w:tcPr>
          <w:p w14:paraId="6EAA7621" w14:textId="77777777" w:rsidR="008004B4" w:rsidRPr="00DB11F6" w:rsidRDefault="008004B4" w:rsidP="008004B4">
            <w:pPr>
              <w:jc w:val="center"/>
              <w:rPr>
                <w:rFonts w:ascii="Arial" w:hAnsi="Arial" w:cs="Arial"/>
                <w:bCs/>
              </w:rPr>
            </w:pPr>
            <w:r w:rsidRPr="00DB11F6">
              <w:rPr>
                <w:rFonts w:ascii="Arial" w:hAnsi="Arial" w:cs="Arial"/>
                <w:bCs/>
              </w:rPr>
              <w:t>96°C for 1 min</w:t>
            </w:r>
          </w:p>
        </w:tc>
        <w:tc>
          <w:tcPr>
            <w:tcW w:w="2365" w:type="dxa"/>
            <w:vAlign w:val="center"/>
            <w:hideMark/>
          </w:tcPr>
          <w:p w14:paraId="1C82C8A0" w14:textId="77777777" w:rsidR="008004B4" w:rsidRPr="00DB11F6" w:rsidRDefault="008004B4" w:rsidP="008004B4">
            <w:pPr>
              <w:jc w:val="center"/>
              <w:rPr>
                <w:rFonts w:ascii="Arial" w:hAnsi="Arial" w:cs="Arial"/>
                <w:bCs/>
              </w:rPr>
            </w:pPr>
            <w:r w:rsidRPr="00DB11F6">
              <w:rPr>
                <w:rFonts w:ascii="Arial" w:hAnsi="Arial" w:cs="Arial"/>
                <w:bCs/>
              </w:rPr>
              <w:t>96°C for 1 min</w:t>
            </w:r>
          </w:p>
        </w:tc>
      </w:tr>
      <w:tr w:rsidR="008004B4" w:rsidRPr="00DB11F6" w14:paraId="74D2E33E" w14:textId="77777777" w:rsidTr="008004B4">
        <w:trPr>
          <w:tblCellSpacing w:w="15" w:type="dxa"/>
          <w:jc w:val="center"/>
        </w:trPr>
        <w:tc>
          <w:tcPr>
            <w:tcW w:w="0" w:type="auto"/>
            <w:vAlign w:val="center"/>
            <w:hideMark/>
          </w:tcPr>
          <w:p w14:paraId="140B2922" w14:textId="77777777" w:rsidR="008004B4" w:rsidRPr="00DB11F6" w:rsidRDefault="008004B4" w:rsidP="008004B4">
            <w:pPr>
              <w:jc w:val="center"/>
              <w:rPr>
                <w:rFonts w:ascii="Arial" w:hAnsi="Arial" w:cs="Arial"/>
                <w:bCs/>
              </w:rPr>
            </w:pPr>
            <w:proofErr w:type="spellStart"/>
            <w:r w:rsidRPr="00DB11F6">
              <w:rPr>
                <w:rFonts w:ascii="Arial" w:hAnsi="Arial" w:cs="Arial"/>
                <w:bCs/>
              </w:rPr>
              <w:t>Annealing</w:t>
            </w:r>
            <w:proofErr w:type="spellEnd"/>
          </w:p>
        </w:tc>
        <w:tc>
          <w:tcPr>
            <w:tcW w:w="2164" w:type="dxa"/>
            <w:vAlign w:val="center"/>
            <w:hideMark/>
          </w:tcPr>
          <w:p w14:paraId="0B35C3DD" w14:textId="77777777" w:rsidR="008004B4" w:rsidRPr="00DB11F6" w:rsidRDefault="008004B4" w:rsidP="008004B4">
            <w:pPr>
              <w:jc w:val="center"/>
              <w:rPr>
                <w:rFonts w:ascii="Arial" w:hAnsi="Arial" w:cs="Arial"/>
                <w:bCs/>
              </w:rPr>
            </w:pPr>
            <w:r w:rsidRPr="00DB11F6">
              <w:rPr>
                <w:rFonts w:ascii="Arial" w:hAnsi="Arial" w:cs="Arial"/>
                <w:bCs/>
              </w:rPr>
              <w:t>60°C for 1 min</w:t>
            </w:r>
          </w:p>
        </w:tc>
        <w:tc>
          <w:tcPr>
            <w:tcW w:w="2238" w:type="dxa"/>
            <w:vAlign w:val="center"/>
            <w:hideMark/>
          </w:tcPr>
          <w:p w14:paraId="28A7A5D7" w14:textId="77777777" w:rsidR="008004B4" w:rsidRPr="00DB11F6" w:rsidRDefault="008004B4" w:rsidP="008004B4">
            <w:pPr>
              <w:jc w:val="center"/>
              <w:rPr>
                <w:rFonts w:ascii="Arial" w:hAnsi="Arial" w:cs="Arial"/>
                <w:bCs/>
              </w:rPr>
            </w:pPr>
            <w:r w:rsidRPr="00DB11F6">
              <w:rPr>
                <w:rFonts w:ascii="Arial" w:hAnsi="Arial" w:cs="Arial"/>
                <w:bCs/>
              </w:rPr>
              <w:t>58°C for 1 min</w:t>
            </w:r>
          </w:p>
        </w:tc>
        <w:tc>
          <w:tcPr>
            <w:tcW w:w="2365" w:type="dxa"/>
            <w:vAlign w:val="center"/>
            <w:hideMark/>
          </w:tcPr>
          <w:p w14:paraId="4291F78E" w14:textId="77777777" w:rsidR="008004B4" w:rsidRPr="00DB11F6" w:rsidRDefault="008004B4" w:rsidP="008004B4">
            <w:pPr>
              <w:jc w:val="center"/>
              <w:rPr>
                <w:rFonts w:ascii="Arial" w:hAnsi="Arial" w:cs="Arial"/>
                <w:bCs/>
              </w:rPr>
            </w:pPr>
            <w:r w:rsidRPr="00DB11F6">
              <w:rPr>
                <w:rFonts w:ascii="Arial" w:hAnsi="Arial" w:cs="Arial"/>
                <w:bCs/>
              </w:rPr>
              <w:t>50°C for 1 min</w:t>
            </w:r>
          </w:p>
        </w:tc>
      </w:tr>
      <w:tr w:rsidR="008004B4" w:rsidRPr="00DB11F6" w14:paraId="1D2E2A9B" w14:textId="77777777" w:rsidTr="008004B4">
        <w:trPr>
          <w:tblCellSpacing w:w="15" w:type="dxa"/>
          <w:jc w:val="center"/>
        </w:trPr>
        <w:tc>
          <w:tcPr>
            <w:tcW w:w="0" w:type="auto"/>
            <w:vAlign w:val="center"/>
            <w:hideMark/>
          </w:tcPr>
          <w:p w14:paraId="5964A780" w14:textId="77777777" w:rsidR="008004B4" w:rsidRPr="00DB11F6" w:rsidRDefault="008004B4" w:rsidP="008004B4">
            <w:pPr>
              <w:jc w:val="center"/>
              <w:rPr>
                <w:rFonts w:ascii="Arial" w:hAnsi="Arial" w:cs="Arial"/>
                <w:bCs/>
              </w:rPr>
            </w:pPr>
            <w:r w:rsidRPr="00DB11F6">
              <w:rPr>
                <w:rFonts w:ascii="Arial" w:hAnsi="Arial" w:cs="Arial"/>
                <w:bCs/>
              </w:rPr>
              <w:t>Extension (per cycle)</w:t>
            </w:r>
          </w:p>
        </w:tc>
        <w:tc>
          <w:tcPr>
            <w:tcW w:w="2164" w:type="dxa"/>
            <w:vAlign w:val="center"/>
            <w:hideMark/>
          </w:tcPr>
          <w:p w14:paraId="057ABB96" w14:textId="77777777" w:rsidR="008004B4" w:rsidRPr="00DB11F6" w:rsidRDefault="008004B4" w:rsidP="008004B4">
            <w:pPr>
              <w:jc w:val="center"/>
              <w:rPr>
                <w:rFonts w:ascii="Arial" w:hAnsi="Arial" w:cs="Arial"/>
                <w:bCs/>
              </w:rPr>
            </w:pPr>
            <w:r w:rsidRPr="00DB11F6">
              <w:rPr>
                <w:rFonts w:ascii="Arial" w:hAnsi="Arial" w:cs="Arial"/>
                <w:bCs/>
              </w:rPr>
              <w:t>72°C for 1 min</w:t>
            </w:r>
          </w:p>
        </w:tc>
        <w:tc>
          <w:tcPr>
            <w:tcW w:w="2238" w:type="dxa"/>
            <w:vAlign w:val="center"/>
            <w:hideMark/>
          </w:tcPr>
          <w:p w14:paraId="507B140D" w14:textId="77777777" w:rsidR="008004B4" w:rsidRPr="00DB11F6" w:rsidRDefault="008004B4" w:rsidP="008004B4">
            <w:pPr>
              <w:jc w:val="center"/>
              <w:rPr>
                <w:rFonts w:ascii="Arial" w:hAnsi="Arial" w:cs="Arial"/>
                <w:bCs/>
              </w:rPr>
            </w:pPr>
            <w:r w:rsidRPr="00DB11F6">
              <w:rPr>
                <w:rFonts w:ascii="Arial" w:hAnsi="Arial" w:cs="Arial"/>
                <w:bCs/>
              </w:rPr>
              <w:t>72°C for 1 min</w:t>
            </w:r>
          </w:p>
        </w:tc>
        <w:tc>
          <w:tcPr>
            <w:tcW w:w="2365" w:type="dxa"/>
            <w:vAlign w:val="center"/>
            <w:hideMark/>
          </w:tcPr>
          <w:p w14:paraId="1CBD1728" w14:textId="77777777" w:rsidR="008004B4" w:rsidRPr="00DB11F6" w:rsidRDefault="008004B4" w:rsidP="008004B4">
            <w:pPr>
              <w:jc w:val="center"/>
              <w:rPr>
                <w:rFonts w:ascii="Arial" w:hAnsi="Arial" w:cs="Arial"/>
                <w:bCs/>
              </w:rPr>
            </w:pPr>
            <w:r w:rsidRPr="00DB11F6">
              <w:rPr>
                <w:rFonts w:ascii="Arial" w:hAnsi="Arial" w:cs="Arial"/>
                <w:bCs/>
              </w:rPr>
              <w:t>72°C for 1 min</w:t>
            </w:r>
          </w:p>
        </w:tc>
      </w:tr>
      <w:tr w:rsidR="008004B4" w:rsidRPr="00DB11F6" w14:paraId="41B0B3E7" w14:textId="77777777" w:rsidTr="008004B4">
        <w:trPr>
          <w:tblCellSpacing w:w="15" w:type="dxa"/>
          <w:jc w:val="center"/>
        </w:trPr>
        <w:tc>
          <w:tcPr>
            <w:tcW w:w="0" w:type="auto"/>
            <w:vAlign w:val="center"/>
            <w:hideMark/>
          </w:tcPr>
          <w:p w14:paraId="0F254451" w14:textId="77777777" w:rsidR="008004B4" w:rsidRPr="00DB11F6" w:rsidRDefault="008004B4" w:rsidP="008004B4">
            <w:pPr>
              <w:jc w:val="center"/>
              <w:rPr>
                <w:rFonts w:ascii="Arial" w:hAnsi="Arial" w:cs="Arial"/>
                <w:bCs/>
              </w:rPr>
            </w:pPr>
            <w:r w:rsidRPr="00DB11F6">
              <w:rPr>
                <w:rFonts w:ascii="Arial" w:hAnsi="Arial" w:cs="Arial"/>
                <w:bCs/>
              </w:rPr>
              <w:t>Final extension</w:t>
            </w:r>
          </w:p>
        </w:tc>
        <w:tc>
          <w:tcPr>
            <w:tcW w:w="2164" w:type="dxa"/>
            <w:vAlign w:val="center"/>
            <w:hideMark/>
          </w:tcPr>
          <w:p w14:paraId="23BAA042" w14:textId="77777777" w:rsidR="008004B4" w:rsidRPr="00DB11F6" w:rsidRDefault="008004B4" w:rsidP="008004B4">
            <w:pPr>
              <w:jc w:val="center"/>
              <w:rPr>
                <w:rFonts w:ascii="Arial" w:hAnsi="Arial" w:cs="Arial"/>
                <w:bCs/>
              </w:rPr>
            </w:pPr>
            <w:r w:rsidRPr="00DB11F6">
              <w:rPr>
                <w:rFonts w:ascii="Arial" w:hAnsi="Arial" w:cs="Arial"/>
                <w:bCs/>
              </w:rPr>
              <w:t>72°C for 10 min</w:t>
            </w:r>
          </w:p>
        </w:tc>
        <w:tc>
          <w:tcPr>
            <w:tcW w:w="2238" w:type="dxa"/>
            <w:vAlign w:val="center"/>
            <w:hideMark/>
          </w:tcPr>
          <w:p w14:paraId="49A2CCBB" w14:textId="77777777" w:rsidR="008004B4" w:rsidRPr="00DB11F6" w:rsidRDefault="008004B4" w:rsidP="008004B4">
            <w:pPr>
              <w:jc w:val="center"/>
              <w:rPr>
                <w:rFonts w:ascii="Arial" w:hAnsi="Arial" w:cs="Arial"/>
                <w:bCs/>
              </w:rPr>
            </w:pPr>
            <w:r w:rsidRPr="00DB11F6">
              <w:rPr>
                <w:rFonts w:ascii="Arial" w:hAnsi="Arial" w:cs="Arial"/>
                <w:bCs/>
              </w:rPr>
              <w:t>72°C for 10 min</w:t>
            </w:r>
          </w:p>
        </w:tc>
        <w:tc>
          <w:tcPr>
            <w:tcW w:w="2365" w:type="dxa"/>
            <w:vAlign w:val="center"/>
            <w:hideMark/>
          </w:tcPr>
          <w:p w14:paraId="05950A16" w14:textId="77777777" w:rsidR="008004B4" w:rsidRPr="00DB11F6" w:rsidRDefault="008004B4" w:rsidP="008004B4">
            <w:pPr>
              <w:jc w:val="center"/>
              <w:rPr>
                <w:rFonts w:ascii="Arial" w:hAnsi="Arial" w:cs="Arial"/>
                <w:bCs/>
              </w:rPr>
            </w:pPr>
            <w:r w:rsidRPr="00DB11F6">
              <w:rPr>
                <w:rFonts w:ascii="Arial" w:hAnsi="Arial" w:cs="Arial"/>
                <w:bCs/>
              </w:rPr>
              <w:t>72°C for 10 min</w:t>
            </w:r>
          </w:p>
        </w:tc>
      </w:tr>
      <w:tr w:rsidR="008004B4" w:rsidRPr="00DB11F6" w14:paraId="2E49DC29" w14:textId="77777777" w:rsidTr="008004B4">
        <w:trPr>
          <w:tblCellSpacing w:w="15" w:type="dxa"/>
          <w:jc w:val="center"/>
        </w:trPr>
        <w:tc>
          <w:tcPr>
            <w:tcW w:w="0" w:type="auto"/>
            <w:vAlign w:val="center"/>
            <w:hideMark/>
          </w:tcPr>
          <w:p w14:paraId="32F26A74" w14:textId="77777777" w:rsidR="008004B4" w:rsidRPr="00DB11F6" w:rsidRDefault="008004B4" w:rsidP="008004B4">
            <w:pPr>
              <w:jc w:val="center"/>
              <w:rPr>
                <w:rFonts w:ascii="Arial" w:hAnsi="Arial" w:cs="Arial"/>
                <w:bCs/>
              </w:rPr>
            </w:pPr>
            <w:proofErr w:type="spellStart"/>
            <w:r w:rsidRPr="00DB11F6">
              <w:rPr>
                <w:rFonts w:ascii="Arial" w:hAnsi="Arial" w:cs="Arial"/>
                <w:bCs/>
              </w:rPr>
              <w:t>Number</w:t>
            </w:r>
            <w:proofErr w:type="spellEnd"/>
            <w:r w:rsidRPr="00DB11F6">
              <w:rPr>
                <w:rFonts w:ascii="Arial" w:hAnsi="Arial" w:cs="Arial"/>
                <w:bCs/>
              </w:rPr>
              <w:t xml:space="preserve"> of cycles</w:t>
            </w:r>
          </w:p>
        </w:tc>
        <w:tc>
          <w:tcPr>
            <w:tcW w:w="2164" w:type="dxa"/>
            <w:vAlign w:val="center"/>
            <w:hideMark/>
          </w:tcPr>
          <w:p w14:paraId="18EAAD33" w14:textId="77777777" w:rsidR="008004B4" w:rsidRPr="00DB11F6" w:rsidRDefault="008004B4" w:rsidP="008004B4">
            <w:pPr>
              <w:jc w:val="center"/>
              <w:rPr>
                <w:rFonts w:ascii="Arial" w:hAnsi="Arial" w:cs="Arial"/>
                <w:bCs/>
              </w:rPr>
            </w:pPr>
            <w:r w:rsidRPr="00DB11F6">
              <w:rPr>
                <w:rFonts w:ascii="Arial" w:hAnsi="Arial" w:cs="Arial"/>
                <w:bCs/>
              </w:rPr>
              <w:t>35</w:t>
            </w:r>
          </w:p>
        </w:tc>
        <w:tc>
          <w:tcPr>
            <w:tcW w:w="2238" w:type="dxa"/>
            <w:vAlign w:val="center"/>
            <w:hideMark/>
          </w:tcPr>
          <w:p w14:paraId="7E0334D2" w14:textId="77777777" w:rsidR="008004B4" w:rsidRPr="00DB11F6" w:rsidRDefault="008004B4" w:rsidP="008004B4">
            <w:pPr>
              <w:jc w:val="center"/>
              <w:rPr>
                <w:rFonts w:ascii="Arial" w:hAnsi="Arial" w:cs="Arial"/>
                <w:bCs/>
              </w:rPr>
            </w:pPr>
            <w:r w:rsidRPr="00DB11F6">
              <w:rPr>
                <w:rFonts w:ascii="Arial" w:hAnsi="Arial" w:cs="Arial"/>
                <w:bCs/>
              </w:rPr>
              <w:t>35</w:t>
            </w:r>
          </w:p>
        </w:tc>
        <w:tc>
          <w:tcPr>
            <w:tcW w:w="2365" w:type="dxa"/>
            <w:vAlign w:val="center"/>
            <w:hideMark/>
          </w:tcPr>
          <w:p w14:paraId="5C0E5E70" w14:textId="77777777" w:rsidR="008004B4" w:rsidRPr="00DB11F6" w:rsidRDefault="008004B4" w:rsidP="008004B4">
            <w:pPr>
              <w:jc w:val="center"/>
              <w:rPr>
                <w:rFonts w:ascii="Arial" w:hAnsi="Arial" w:cs="Arial"/>
                <w:bCs/>
              </w:rPr>
            </w:pPr>
            <w:r w:rsidRPr="00DB11F6">
              <w:rPr>
                <w:rFonts w:ascii="Arial" w:hAnsi="Arial" w:cs="Arial"/>
                <w:bCs/>
              </w:rPr>
              <w:t>35</w:t>
            </w:r>
          </w:p>
        </w:tc>
      </w:tr>
    </w:tbl>
    <w:p w14:paraId="628FD2D4" w14:textId="77777777" w:rsidR="00C86395" w:rsidRPr="00DB11F6" w:rsidRDefault="00C86395" w:rsidP="00531237">
      <w:pPr>
        <w:pStyle w:val="ListParagraph"/>
        <w:numPr>
          <w:ilvl w:val="0"/>
          <w:numId w:val="6"/>
        </w:numPr>
        <w:jc w:val="both"/>
        <w:rPr>
          <w:rFonts w:ascii="Arial" w:hAnsi="Arial" w:cs="Arial"/>
          <w:b/>
          <w:bCs/>
        </w:rPr>
      </w:pPr>
      <w:r w:rsidRPr="00DB11F6">
        <w:rPr>
          <w:rFonts w:ascii="Arial" w:hAnsi="Arial" w:cs="Arial"/>
          <w:b/>
          <w:bCs/>
        </w:rPr>
        <w:t xml:space="preserve">Data </w:t>
      </w:r>
      <w:proofErr w:type="spellStart"/>
      <w:r w:rsidRPr="00DB11F6">
        <w:rPr>
          <w:rFonts w:ascii="Arial" w:hAnsi="Arial" w:cs="Arial"/>
          <w:b/>
          <w:bCs/>
        </w:rPr>
        <w:t>Processing</w:t>
      </w:r>
      <w:proofErr w:type="spellEnd"/>
    </w:p>
    <w:p w14:paraId="42980939" w14:textId="77777777" w:rsidR="000C0B92" w:rsidRPr="00DB11F6" w:rsidRDefault="00C86395" w:rsidP="00C86395">
      <w:pPr>
        <w:jc w:val="both"/>
        <w:rPr>
          <w:rFonts w:ascii="Arial" w:hAnsi="Arial" w:cs="Arial"/>
          <w:lang w:val="en-US"/>
        </w:rPr>
      </w:pPr>
      <w:r w:rsidRPr="00DB11F6">
        <w:rPr>
          <w:rFonts w:ascii="Arial" w:hAnsi="Arial" w:cs="Arial"/>
          <w:lang w:val="en-US"/>
        </w:rPr>
        <w:t xml:space="preserve">Data were compiled using </w:t>
      </w:r>
      <w:r w:rsidRPr="00DB11F6">
        <w:rPr>
          <w:rFonts w:ascii="Arial" w:hAnsi="Arial" w:cs="Arial"/>
          <w:b/>
          <w:bCs/>
          <w:lang w:val="en-US"/>
        </w:rPr>
        <w:t>Microsoft Excel</w:t>
      </w:r>
      <w:r w:rsidRPr="00DB11F6">
        <w:rPr>
          <w:rFonts w:ascii="Arial" w:hAnsi="Arial" w:cs="Arial"/>
          <w:lang w:val="en-US"/>
        </w:rPr>
        <w:t xml:space="preserve"> and statistically analyzed with </w:t>
      </w:r>
      <w:r w:rsidRPr="00DB11F6">
        <w:rPr>
          <w:rFonts w:ascii="Arial" w:hAnsi="Arial" w:cs="Arial"/>
          <w:b/>
          <w:bCs/>
          <w:lang w:val="en-US"/>
        </w:rPr>
        <w:t>R software, version 4.3.3</w:t>
      </w:r>
      <w:r w:rsidRPr="00DB11F6">
        <w:rPr>
          <w:rFonts w:ascii="Arial" w:hAnsi="Arial" w:cs="Arial"/>
          <w:lang w:val="en-US"/>
        </w:rPr>
        <w:t>.</w:t>
      </w:r>
    </w:p>
    <w:p w14:paraId="5DA6B35C" w14:textId="77777777" w:rsidR="000C0B92" w:rsidRPr="00DB11F6" w:rsidRDefault="000C0B92" w:rsidP="00C86395">
      <w:pPr>
        <w:jc w:val="both"/>
        <w:rPr>
          <w:rFonts w:ascii="Arial" w:hAnsi="Arial" w:cs="Arial"/>
          <w:lang w:val="en-US"/>
        </w:rPr>
      </w:pPr>
    </w:p>
    <w:p w14:paraId="5F3BC097" w14:textId="77777777" w:rsidR="00C86395" w:rsidRPr="00DB11F6" w:rsidRDefault="00C86395" w:rsidP="00C86395">
      <w:pPr>
        <w:jc w:val="both"/>
        <w:rPr>
          <w:rFonts w:ascii="Arial" w:hAnsi="Arial" w:cs="Arial"/>
          <w:b/>
          <w:bCs/>
          <w:lang w:val="en-US"/>
        </w:rPr>
      </w:pPr>
      <w:r w:rsidRPr="00DB11F6">
        <w:rPr>
          <w:rFonts w:ascii="Arial" w:hAnsi="Arial" w:cs="Arial"/>
          <w:b/>
          <w:bCs/>
          <w:lang w:val="en-US"/>
        </w:rPr>
        <w:t>Results</w:t>
      </w:r>
    </w:p>
    <w:p w14:paraId="1258377A" w14:textId="77777777" w:rsidR="00C86395" w:rsidRPr="00DB11F6" w:rsidRDefault="00C86395" w:rsidP="00C86395">
      <w:pPr>
        <w:jc w:val="both"/>
        <w:rPr>
          <w:rFonts w:ascii="Arial" w:hAnsi="Arial" w:cs="Arial"/>
          <w:lang w:val="en-US"/>
        </w:rPr>
      </w:pPr>
      <w:r w:rsidRPr="00DB11F6">
        <w:rPr>
          <w:rFonts w:ascii="Arial" w:hAnsi="Arial" w:cs="Arial"/>
          <w:lang w:val="en-US"/>
        </w:rPr>
        <w:t xml:space="preserve">A total of </w:t>
      </w:r>
      <w:r w:rsidRPr="00DB11F6">
        <w:rPr>
          <w:rFonts w:ascii="Arial" w:hAnsi="Arial" w:cs="Arial"/>
          <w:bCs/>
          <w:lang w:val="en-US"/>
        </w:rPr>
        <w:t xml:space="preserve">23 isolates of </w:t>
      </w:r>
      <w:r w:rsidR="006F1DA1" w:rsidRPr="00DB11F6">
        <w:rPr>
          <w:rFonts w:ascii="Arial" w:hAnsi="Arial" w:cs="Arial"/>
          <w:bCs/>
          <w:i/>
          <w:iCs/>
          <w:lang w:val="en-US"/>
        </w:rPr>
        <w:t xml:space="preserve">K. </w:t>
      </w:r>
      <w:r w:rsidRPr="00DB11F6">
        <w:rPr>
          <w:rFonts w:ascii="Arial" w:hAnsi="Arial" w:cs="Arial"/>
          <w:bCs/>
          <w:i/>
          <w:iCs/>
          <w:lang w:val="en-US"/>
        </w:rPr>
        <w:t>pneumoniae</w:t>
      </w:r>
      <w:r w:rsidRPr="00DB11F6">
        <w:rPr>
          <w:rFonts w:ascii="Arial" w:hAnsi="Arial" w:cs="Arial"/>
          <w:lang w:val="en-US"/>
        </w:rPr>
        <w:t xml:space="preserve"> were collected for this study. A detailed analysis of antibiotic resistance profiles and the presence of resistance genes yielded the following findings:</w:t>
      </w:r>
    </w:p>
    <w:p w14:paraId="5D54F5E5" w14:textId="77777777" w:rsidR="00C86395" w:rsidRPr="00DB11F6" w:rsidRDefault="00C86395" w:rsidP="003D2E10">
      <w:pPr>
        <w:spacing w:line="360" w:lineRule="auto"/>
        <w:jc w:val="both"/>
        <w:rPr>
          <w:rFonts w:ascii="Arial" w:hAnsi="Arial" w:cs="Arial"/>
          <w:b/>
          <w:bCs/>
          <w:lang w:val="en-US"/>
        </w:rPr>
      </w:pPr>
      <w:r w:rsidRPr="00DB11F6">
        <w:rPr>
          <w:rFonts w:ascii="Arial" w:hAnsi="Arial" w:cs="Arial"/>
          <w:b/>
          <w:bCs/>
          <w:lang w:val="en-US"/>
        </w:rPr>
        <w:t>1. Antibiotic Resistance Rates</w:t>
      </w:r>
    </w:p>
    <w:p w14:paraId="1F6A4356" w14:textId="77777777" w:rsidR="00C86395" w:rsidRPr="00DB11F6" w:rsidRDefault="00C86395" w:rsidP="003D2E10">
      <w:pPr>
        <w:spacing w:line="360" w:lineRule="auto"/>
        <w:jc w:val="both"/>
        <w:rPr>
          <w:rFonts w:ascii="Arial" w:hAnsi="Arial" w:cs="Arial"/>
          <w:lang w:val="en-US"/>
        </w:rPr>
      </w:pPr>
      <w:r w:rsidRPr="00DB11F6">
        <w:rPr>
          <w:rFonts w:ascii="Arial" w:hAnsi="Arial" w:cs="Arial"/>
          <w:lang w:val="en-US"/>
        </w:rPr>
        <w:t xml:space="preserve">Antibiotic susceptibility testing revealed a </w:t>
      </w:r>
      <w:r w:rsidRPr="00DB11F6">
        <w:rPr>
          <w:rFonts w:ascii="Arial" w:hAnsi="Arial" w:cs="Arial"/>
          <w:bCs/>
          <w:lang w:val="en-US"/>
        </w:rPr>
        <w:t>high level of resistance</w:t>
      </w:r>
      <w:r w:rsidRPr="00DB11F6">
        <w:rPr>
          <w:rFonts w:ascii="Arial" w:hAnsi="Arial" w:cs="Arial"/>
          <w:lang w:val="en-US"/>
        </w:rPr>
        <w:t xml:space="preserve"> to </w:t>
      </w:r>
      <w:r w:rsidRPr="00DB11F6">
        <w:rPr>
          <w:rFonts w:ascii="Arial" w:hAnsi="Arial" w:cs="Arial"/>
          <w:bCs/>
          <w:lang w:val="en-US"/>
        </w:rPr>
        <w:t>CTX</w:t>
      </w:r>
      <w:r w:rsidRPr="00DB11F6">
        <w:rPr>
          <w:rFonts w:ascii="Arial" w:hAnsi="Arial" w:cs="Arial"/>
          <w:lang w:val="en-US"/>
        </w:rPr>
        <w:t xml:space="preserve"> and </w:t>
      </w:r>
      <w:r w:rsidR="00F93999" w:rsidRPr="00DB11F6">
        <w:rPr>
          <w:rFonts w:ascii="Arial" w:hAnsi="Arial" w:cs="Arial"/>
          <w:bCs/>
          <w:lang w:val="en-US"/>
        </w:rPr>
        <w:t>CTR</w:t>
      </w:r>
      <w:r w:rsidRPr="00DB11F6">
        <w:rPr>
          <w:rFonts w:ascii="Arial" w:hAnsi="Arial" w:cs="Arial"/>
          <w:lang w:val="en-US"/>
        </w:rPr>
        <w:t xml:space="preserve">, with resistance rates of </w:t>
      </w:r>
      <w:r w:rsidRPr="00DB11F6">
        <w:rPr>
          <w:rFonts w:ascii="Arial" w:hAnsi="Arial" w:cs="Arial"/>
          <w:bCs/>
          <w:lang w:val="en-US"/>
        </w:rPr>
        <w:t>66.67%</w:t>
      </w:r>
      <w:r w:rsidRPr="00DB11F6">
        <w:rPr>
          <w:rFonts w:ascii="Arial" w:hAnsi="Arial" w:cs="Arial"/>
          <w:lang w:val="en-US"/>
        </w:rPr>
        <w:t xml:space="preserve"> and </w:t>
      </w:r>
      <w:r w:rsidRPr="00DB11F6">
        <w:rPr>
          <w:rFonts w:ascii="Arial" w:hAnsi="Arial" w:cs="Arial"/>
          <w:bCs/>
          <w:lang w:val="en-US"/>
        </w:rPr>
        <w:t>53.33%</w:t>
      </w:r>
      <w:r w:rsidRPr="00DB11F6">
        <w:rPr>
          <w:rFonts w:ascii="Arial" w:hAnsi="Arial" w:cs="Arial"/>
          <w:lang w:val="en-US"/>
        </w:rPr>
        <w:t xml:space="preserve">, respectively. A </w:t>
      </w:r>
      <w:r w:rsidRPr="00DB11F6">
        <w:rPr>
          <w:rFonts w:ascii="Arial" w:hAnsi="Arial" w:cs="Arial"/>
          <w:bCs/>
          <w:lang w:val="en-US"/>
        </w:rPr>
        <w:t>moderate resistance</w:t>
      </w:r>
      <w:r w:rsidRPr="00DB11F6">
        <w:rPr>
          <w:rFonts w:ascii="Arial" w:hAnsi="Arial" w:cs="Arial"/>
          <w:lang w:val="en-US"/>
        </w:rPr>
        <w:t xml:space="preserve"> was observed to </w:t>
      </w:r>
      <w:r w:rsidR="00F93999" w:rsidRPr="00DB11F6">
        <w:rPr>
          <w:rFonts w:ascii="Arial" w:hAnsi="Arial" w:cs="Arial"/>
          <w:bCs/>
          <w:lang w:val="en-US"/>
        </w:rPr>
        <w:t>CAZ</w:t>
      </w:r>
      <w:r w:rsidRPr="00DB11F6">
        <w:rPr>
          <w:rFonts w:ascii="Arial" w:hAnsi="Arial" w:cs="Arial"/>
          <w:lang w:val="en-US"/>
        </w:rPr>
        <w:t xml:space="preserve">, with a rate of </w:t>
      </w:r>
      <w:r w:rsidRPr="00DB11F6">
        <w:rPr>
          <w:rFonts w:ascii="Arial" w:hAnsi="Arial" w:cs="Arial"/>
          <w:bCs/>
          <w:lang w:val="en-US"/>
        </w:rPr>
        <w:t>33.33%</w:t>
      </w:r>
      <w:r w:rsidRPr="00DB11F6">
        <w:rPr>
          <w:rFonts w:ascii="Arial" w:hAnsi="Arial" w:cs="Arial"/>
          <w:lang w:val="en-US"/>
        </w:rPr>
        <w:t>.</w:t>
      </w:r>
    </w:p>
    <w:p w14:paraId="4AA5F85B" w14:textId="77777777" w:rsidR="000C15B4" w:rsidRPr="00DB11F6" w:rsidRDefault="000C15B4" w:rsidP="003D2E10">
      <w:pPr>
        <w:spacing w:line="360" w:lineRule="auto"/>
        <w:jc w:val="both"/>
        <w:rPr>
          <w:rFonts w:ascii="Arial" w:hAnsi="Arial" w:cs="Arial"/>
          <w:b/>
          <w:lang w:val="en-US"/>
        </w:rPr>
      </w:pPr>
      <w:r w:rsidRPr="00DB11F6">
        <w:rPr>
          <w:rFonts w:ascii="Arial" w:hAnsi="Arial" w:cs="Arial"/>
          <w:b/>
          <w:lang w:val="en-US"/>
        </w:rPr>
        <w:t xml:space="preserve">Table 3: Antibiotic Resistance Rates (%) Among </w:t>
      </w:r>
      <w:r w:rsidRPr="00DB11F6">
        <w:rPr>
          <w:rFonts w:ascii="Arial" w:hAnsi="Arial" w:cs="Arial"/>
          <w:b/>
          <w:i/>
          <w:iCs/>
          <w:lang w:val="en-US"/>
        </w:rPr>
        <w:t>K. pneumoniae</w:t>
      </w:r>
      <w:r w:rsidRPr="00DB11F6">
        <w:rPr>
          <w:rFonts w:ascii="Arial" w:hAnsi="Arial" w:cs="Arial"/>
          <w:b/>
          <w:lang w:val="en-US"/>
        </w:rPr>
        <w:t xml:space="preserve"> Isolates</w:t>
      </w:r>
    </w:p>
    <w:tbl>
      <w:tblPr>
        <w:tblW w:w="0" w:type="auto"/>
        <w:jc w:val="center"/>
        <w:tblLayout w:type="fixed"/>
        <w:tblLook w:val="0420" w:firstRow="1" w:lastRow="0" w:firstColumn="0" w:lastColumn="0" w:noHBand="0" w:noVBand="1"/>
      </w:tblPr>
      <w:tblGrid>
        <w:gridCol w:w="2068"/>
        <w:gridCol w:w="2108"/>
        <w:gridCol w:w="2133"/>
        <w:gridCol w:w="2092"/>
      </w:tblGrid>
      <w:tr w:rsidR="000C15B4" w:rsidRPr="00DB11F6" w14:paraId="47554510" w14:textId="77777777" w:rsidTr="003A4415">
        <w:trPr>
          <w:tblHeader/>
          <w:jc w:val="center"/>
        </w:trPr>
        <w:tc>
          <w:tcPr>
            <w:tcW w:w="20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35AB26" w14:textId="77777777" w:rsidR="000C15B4" w:rsidRPr="00DB11F6" w:rsidRDefault="000C15B4" w:rsidP="003D2E10">
            <w:pPr>
              <w:spacing w:line="360" w:lineRule="auto"/>
              <w:jc w:val="both"/>
              <w:rPr>
                <w:rFonts w:ascii="Arial" w:hAnsi="Arial" w:cs="Arial"/>
                <w:b/>
                <w:lang w:val="en-US"/>
              </w:rPr>
            </w:pPr>
            <w:r w:rsidRPr="00DB11F6">
              <w:rPr>
                <w:rFonts w:ascii="Arial" w:hAnsi="Arial" w:cs="Arial"/>
                <w:b/>
                <w:lang w:val="en-US"/>
              </w:rPr>
              <w:lastRenderedPageBreak/>
              <w:t>Species</w:t>
            </w:r>
          </w:p>
        </w:tc>
        <w:tc>
          <w:tcPr>
            <w:tcW w:w="210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F3C6D2" w14:textId="77777777" w:rsidR="000C15B4" w:rsidRPr="00DB11F6" w:rsidRDefault="000C15B4" w:rsidP="003D2E10">
            <w:pPr>
              <w:spacing w:line="360" w:lineRule="auto"/>
              <w:jc w:val="both"/>
              <w:rPr>
                <w:rFonts w:ascii="Arial" w:hAnsi="Arial" w:cs="Arial"/>
                <w:b/>
                <w:lang w:val="en-US"/>
              </w:rPr>
            </w:pPr>
            <w:proofErr w:type="spellStart"/>
            <w:r w:rsidRPr="00DB11F6">
              <w:rPr>
                <w:rFonts w:ascii="Arial" w:hAnsi="Arial" w:cs="Arial"/>
                <w:b/>
                <w:lang w:val="en-US"/>
              </w:rPr>
              <w:t>CAZ_resistance</w:t>
            </w:r>
            <w:proofErr w:type="spellEnd"/>
          </w:p>
        </w:tc>
        <w:tc>
          <w:tcPr>
            <w:tcW w:w="213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1F1CFC" w14:textId="77777777" w:rsidR="000C15B4" w:rsidRPr="00DB11F6" w:rsidRDefault="000C15B4" w:rsidP="003D2E10">
            <w:pPr>
              <w:spacing w:line="360" w:lineRule="auto"/>
              <w:jc w:val="both"/>
              <w:rPr>
                <w:rFonts w:ascii="Arial" w:hAnsi="Arial" w:cs="Arial"/>
                <w:b/>
                <w:lang w:val="en-US"/>
              </w:rPr>
            </w:pPr>
            <w:proofErr w:type="spellStart"/>
            <w:r w:rsidRPr="00DB11F6">
              <w:rPr>
                <w:rFonts w:ascii="Arial" w:hAnsi="Arial" w:cs="Arial"/>
                <w:b/>
                <w:lang w:val="en-US"/>
              </w:rPr>
              <w:t>CRO_resistance</w:t>
            </w:r>
            <w:proofErr w:type="spellEnd"/>
          </w:p>
        </w:tc>
        <w:tc>
          <w:tcPr>
            <w:tcW w:w="209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4A7E050" w14:textId="77777777" w:rsidR="000C15B4" w:rsidRPr="00DB11F6" w:rsidRDefault="000C15B4" w:rsidP="003D2E10">
            <w:pPr>
              <w:spacing w:line="360" w:lineRule="auto"/>
              <w:jc w:val="both"/>
              <w:rPr>
                <w:rFonts w:ascii="Arial" w:hAnsi="Arial" w:cs="Arial"/>
                <w:b/>
                <w:lang w:val="en-US"/>
              </w:rPr>
            </w:pPr>
            <w:proofErr w:type="spellStart"/>
            <w:r w:rsidRPr="00DB11F6">
              <w:rPr>
                <w:rFonts w:ascii="Arial" w:hAnsi="Arial" w:cs="Arial"/>
                <w:b/>
                <w:lang w:val="en-US"/>
              </w:rPr>
              <w:t>CTX_resistance</w:t>
            </w:r>
            <w:proofErr w:type="spellEnd"/>
          </w:p>
        </w:tc>
      </w:tr>
      <w:tr w:rsidR="000C15B4" w:rsidRPr="00DB11F6" w14:paraId="6712D22D" w14:textId="77777777" w:rsidTr="003A4415">
        <w:trPr>
          <w:jc w:val="center"/>
        </w:trPr>
        <w:tc>
          <w:tcPr>
            <w:tcW w:w="2068"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2D475526" w14:textId="77777777" w:rsidR="000C15B4" w:rsidRPr="00DB11F6" w:rsidRDefault="000C15B4" w:rsidP="003D2E10">
            <w:pPr>
              <w:spacing w:line="360" w:lineRule="auto"/>
              <w:jc w:val="both"/>
              <w:rPr>
                <w:rFonts w:ascii="Arial" w:hAnsi="Arial" w:cs="Arial"/>
                <w:i/>
                <w:lang w:val="en-US"/>
              </w:rPr>
            </w:pPr>
            <w:r w:rsidRPr="00DB11F6">
              <w:rPr>
                <w:rFonts w:ascii="Arial" w:hAnsi="Arial" w:cs="Arial"/>
                <w:i/>
                <w:lang w:val="en-US"/>
              </w:rPr>
              <w:t>K. pneumoniae</w:t>
            </w:r>
          </w:p>
        </w:tc>
        <w:tc>
          <w:tcPr>
            <w:tcW w:w="2108"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249A6095" w14:textId="77777777" w:rsidR="000C15B4" w:rsidRPr="00DB11F6" w:rsidRDefault="000C15B4" w:rsidP="003D2E10">
            <w:pPr>
              <w:spacing w:line="360" w:lineRule="auto"/>
              <w:jc w:val="both"/>
              <w:rPr>
                <w:rFonts w:ascii="Arial" w:hAnsi="Arial" w:cs="Arial"/>
                <w:lang w:val="en-US"/>
              </w:rPr>
            </w:pPr>
            <w:r w:rsidRPr="00DB11F6">
              <w:rPr>
                <w:rFonts w:ascii="Arial" w:hAnsi="Arial" w:cs="Arial"/>
                <w:lang w:val="en-US"/>
              </w:rPr>
              <w:t>33.33333</w:t>
            </w:r>
          </w:p>
        </w:tc>
        <w:tc>
          <w:tcPr>
            <w:tcW w:w="2133"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177FC6F" w14:textId="77777777" w:rsidR="000C15B4" w:rsidRPr="00DB11F6" w:rsidRDefault="000C15B4" w:rsidP="003D2E10">
            <w:pPr>
              <w:spacing w:line="360" w:lineRule="auto"/>
              <w:jc w:val="both"/>
              <w:rPr>
                <w:rFonts w:ascii="Arial" w:hAnsi="Arial" w:cs="Arial"/>
                <w:lang w:val="en-US"/>
              </w:rPr>
            </w:pPr>
            <w:r w:rsidRPr="00DB11F6">
              <w:rPr>
                <w:rFonts w:ascii="Arial" w:hAnsi="Arial" w:cs="Arial"/>
                <w:lang w:val="en-US"/>
              </w:rPr>
              <w:t>66.66667</w:t>
            </w:r>
          </w:p>
        </w:tc>
        <w:tc>
          <w:tcPr>
            <w:tcW w:w="2092"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031C1308" w14:textId="77777777" w:rsidR="000C15B4" w:rsidRPr="00DB11F6" w:rsidRDefault="000C15B4" w:rsidP="003D2E10">
            <w:pPr>
              <w:spacing w:line="360" w:lineRule="auto"/>
              <w:jc w:val="both"/>
              <w:rPr>
                <w:rFonts w:ascii="Arial" w:hAnsi="Arial" w:cs="Arial"/>
                <w:lang w:val="en-US"/>
              </w:rPr>
            </w:pPr>
            <w:r w:rsidRPr="00DB11F6">
              <w:rPr>
                <w:rFonts w:ascii="Arial" w:hAnsi="Arial" w:cs="Arial"/>
                <w:lang w:val="en-US"/>
              </w:rPr>
              <w:t>53.33333</w:t>
            </w:r>
          </w:p>
        </w:tc>
      </w:tr>
    </w:tbl>
    <w:p w14:paraId="5815F1FF" w14:textId="77777777" w:rsidR="001C60CA" w:rsidRPr="00DB11F6" w:rsidRDefault="001C60CA" w:rsidP="003D2E10">
      <w:pPr>
        <w:spacing w:line="360" w:lineRule="auto"/>
        <w:jc w:val="both"/>
        <w:rPr>
          <w:rFonts w:ascii="Arial" w:hAnsi="Arial" w:cs="Arial"/>
          <w:lang w:val="en-US"/>
        </w:rPr>
      </w:pPr>
    </w:p>
    <w:p w14:paraId="5CF1B8D3" w14:textId="77777777" w:rsidR="000C15B4" w:rsidRPr="00DB11F6" w:rsidRDefault="007B31DE" w:rsidP="003D2E10">
      <w:pPr>
        <w:spacing w:line="360" w:lineRule="auto"/>
        <w:jc w:val="both"/>
        <w:rPr>
          <w:rFonts w:ascii="Arial" w:hAnsi="Arial" w:cs="Arial"/>
          <w:b/>
          <w:lang w:val="en-US"/>
        </w:rPr>
      </w:pPr>
      <w:r w:rsidRPr="00DB11F6">
        <w:rPr>
          <w:rFonts w:ascii="Arial" w:hAnsi="Arial" w:cs="Arial"/>
          <w:b/>
          <w:lang w:val="en-US"/>
        </w:rPr>
        <w:t>2. Analysis of Resistance Genes</w:t>
      </w:r>
    </w:p>
    <w:p w14:paraId="404C53CA" w14:textId="77777777" w:rsidR="000C15B4" w:rsidRPr="00DB11F6" w:rsidRDefault="000C15B4" w:rsidP="003D2E10">
      <w:pPr>
        <w:spacing w:line="360" w:lineRule="auto"/>
        <w:jc w:val="both"/>
        <w:rPr>
          <w:rFonts w:ascii="Arial" w:hAnsi="Arial" w:cs="Arial"/>
          <w:lang w:val="en-US"/>
        </w:rPr>
      </w:pPr>
      <w:r w:rsidRPr="00DB11F6">
        <w:rPr>
          <w:rFonts w:ascii="Arial" w:hAnsi="Arial" w:cs="Arial"/>
          <w:lang w:val="en-US"/>
        </w:rPr>
        <w:t>a. Overall Gene Prevalence</w:t>
      </w:r>
    </w:p>
    <w:p w14:paraId="4B373DC1" w14:textId="77777777" w:rsidR="000C15B4" w:rsidRPr="00DB11F6" w:rsidRDefault="000C15B4" w:rsidP="003D2E10">
      <w:pPr>
        <w:spacing w:line="360" w:lineRule="auto"/>
        <w:jc w:val="both"/>
        <w:rPr>
          <w:rFonts w:ascii="Arial" w:hAnsi="Arial" w:cs="Arial"/>
          <w:lang w:val="en-US"/>
        </w:rPr>
      </w:pPr>
      <w:r w:rsidRPr="00DB11F6">
        <w:rPr>
          <w:rFonts w:ascii="Arial" w:hAnsi="Arial" w:cs="Arial"/>
          <w:lang w:val="en-US"/>
        </w:rPr>
        <w:t>Molecular analysis revealed that the TEM gene was the most frequently detected, being present in 50% of the isolates. This was followed by the SHV gene, identified in 42.86% of the strains, and the CTX-M gene, found in 28.57% of the isolates</w:t>
      </w:r>
      <w:r w:rsidR="0002590D" w:rsidRPr="00DB11F6">
        <w:rPr>
          <w:rFonts w:ascii="Arial" w:hAnsi="Arial" w:cs="Arial"/>
          <w:lang w:val="en-US"/>
        </w:rPr>
        <w:t xml:space="preserve"> (Refer to Table 4)</w:t>
      </w:r>
      <w:r w:rsidRPr="00DB11F6">
        <w:rPr>
          <w:rFonts w:ascii="Arial" w:hAnsi="Arial" w:cs="Arial"/>
          <w:lang w:val="en-US"/>
        </w:rPr>
        <w:t>.</w:t>
      </w:r>
    </w:p>
    <w:p w14:paraId="2148F8FF" w14:textId="77777777" w:rsidR="007B31DE" w:rsidRPr="00DB11F6" w:rsidRDefault="007B31DE" w:rsidP="003D2E10">
      <w:pPr>
        <w:spacing w:line="360" w:lineRule="auto"/>
        <w:jc w:val="both"/>
        <w:rPr>
          <w:rFonts w:ascii="Arial" w:hAnsi="Arial" w:cs="Arial"/>
          <w:b/>
          <w:lang w:val="en-US"/>
        </w:rPr>
      </w:pPr>
      <w:r w:rsidRPr="00DB11F6">
        <w:rPr>
          <w:rFonts w:ascii="Arial" w:hAnsi="Arial" w:cs="Arial"/>
          <w:b/>
          <w:lang w:val="en-US"/>
        </w:rPr>
        <w:t>Table 4: Overall Frequency (%) of Resistance Genes in the Study Population</w:t>
      </w:r>
    </w:p>
    <w:tbl>
      <w:tblPr>
        <w:tblW w:w="0" w:type="auto"/>
        <w:jc w:val="center"/>
        <w:tblLayout w:type="fixed"/>
        <w:tblLook w:val="0420" w:firstRow="1" w:lastRow="0" w:firstColumn="0" w:lastColumn="0" w:noHBand="0" w:noVBand="1"/>
      </w:tblPr>
      <w:tblGrid>
        <w:gridCol w:w="1460"/>
        <w:gridCol w:w="1460"/>
        <w:gridCol w:w="874"/>
      </w:tblGrid>
      <w:tr w:rsidR="007B31DE" w:rsidRPr="00DB11F6" w14:paraId="55B44B58" w14:textId="77777777" w:rsidTr="003A4415">
        <w:trPr>
          <w:tblHeader/>
          <w:jc w:val="center"/>
        </w:trPr>
        <w:tc>
          <w:tcPr>
            <w:tcW w:w="14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78506FD" w14:textId="77777777" w:rsidR="007B31DE" w:rsidRPr="00DB11F6" w:rsidRDefault="007B31DE" w:rsidP="003D2E10">
            <w:pPr>
              <w:spacing w:line="360" w:lineRule="auto"/>
              <w:jc w:val="both"/>
              <w:rPr>
                <w:rFonts w:ascii="Arial" w:hAnsi="Arial" w:cs="Arial"/>
                <w:b/>
              </w:rPr>
            </w:pPr>
            <w:r w:rsidRPr="00DB11F6">
              <w:rPr>
                <w:rFonts w:ascii="Arial" w:hAnsi="Arial" w:cs="Arial"/>
                <w:b/>
              </w:rPr>
              <w:t>SHV</w:t>
            </w:r>
          </w:p>
        </w:tc>
        <w:tc>
          <w:tcPr>
            <w:tcW w:w="14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569BBCE" w14:textId="77777777" w:rsidR="007B31DE" w:rsidRPr="00DB11F6" w:rsidRDefault="007B31DE" w:rsidP="003D2E10">
            <w:pPr>
              <w:spacing w:line="360" w:lineRule="auto"/>
              <w:jc w:val="both"/>
              <w:rPr>
                <w:rFonts w:ascii="Arial" w:hAnsi="Arial" w:cs="Arial"/>
                <w:b/>
              </w:rPr>
            </w:pPr>
            <w:r w:rsidRPr="00DB11F6">
              <w:rPr>
                <w:rFonts w:ascii="Arial" w:hAnsi="Arial" w:cs="Arial"/>
                <w:b/>
              </w:rPr>
              <w:t>CTX_M</w:t>
            </w:r>
          </w:p>
        </w:tc>
        <w:tc>
          <w:tcPr>
            <w:tcW w:w="87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456818A" w14:textId="77777777" w:rsidR="007B31DE" w:rsidRPr="00DB11F6" w:rsidRDefault="007B31DE" w:rsidP="003D2E10">
            <w:pPr>
              <w:spacing w:line="360" w:lineRule="auto"/>
              <w:jc w:val="both"/>
              <w:rPr>
                <w:rFonts w:ascii="Arial" w:hAnsi="Arial" w:cs="Arial"/>
                <w:b/>
              </w:rPr>
            </w:pPr>
            <w:r w:rsidRPr="00DB11F6">
              <w:rPr>
                <w:rFonts w:ascii="Arial" w:hAnsi="Arial" w:cs="Arial"/>
                <w:b/>
              </w:rPr>
              <w:t>TEM</w:t>
            </w:r>
          </w:p>
        </w:tc>
      </w:tr>
      <w:tr w:rsidR="007B31DE" w:rsidRPr="00DB11F6" w14:paraId="45FB404A" w14:textId="77777777" w:rsidTr="003A4415">
        <w:trPr>
          <w:jc w:val="center"/>
        </w:trPr>
        <w:tc>
          <w:tcPr>
            <w:tcW w:w="14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0BB625D" w14:textId="77777777" w:rsidR="007B31DE" w:rsidRPr="00DB11F6" w:rsidRDefault="007B31DE" w:rsidP="003D2E10">
            <w:pPr>
              <w:spacing w:line="360" w:lineRule="auto"/>
              <w:jc w:val="both"/>
              <w:rPr>
                <w:rFonts w:ascii="Arial" w:hAnsi="Arial" w:cs="Arial"/>
              </w:rPr>
            </w:pPr>
            <w:r w:rsidRPr="00DB11F6">
              <w:rPr>
                <w:rFonts w:ascii="Arial" w:hAnsi="Arial" w:cs="Arial"/>
              </w:rPr>
              <w:t>42.85714</w:t>
            </w:r>
          </w:p>
        </w:tc>
        <w:tc>
          <w:tcPr>
            <w:tcW w:w="14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FB932C6" w14:textId="77777777" w:rsidR="007B31DE" w:rsidRPr="00DB11F6" w:rsidRDefault="007B31DE" w:rsidP="003D2E10">
            <w:pPr>
              <w:spacing w:line="360" w:lineRule="auto"/>
              <w:jc w:val="both"/>
              <w:rPr>
                <w:rFonts w:ascii="Arial" w:hAnsi="Arial" w:cs="Arial"/>
              </w:rPr>
            </w:pPr>
            <w:r w:rsidRPr="00DB11F6">
              <w:rPr>
                <w:rFonts w:ascii="Arial" w:hAnsi="Arial" w:cs="Arial"/>
              </w:rPr>
              <w:t>28.57143</w:t>
            </w:r>
          </w:p>
        </w:tc>
        <w:tc>
          <w:tcPr>
            <w:tcW w:w="87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DD971E" w14:textId="77777777" w:rsidR="007B31DE" w:rsidRPr="00DB11F6" w:rsidRDefault="007B31DE" w:rsidP="003D2E10">
            <w:pPr>
              <w:spacing w:line="360" w:lineRule="auto"/>
              <w:jc w:val="both"/>
              <w:rPr>
                <w:rFonts w:ascii="Arial" w:hAnsi="Arial" w:cs="Arial"/>
              </w:rPr>
            </w:pPr>
            <w:r w:rsidRPr="00DB11F6">
              <w:rPr>
                <w:rFonts w:ascii="Arial" w:hAnsi="Arial" w:cs="Arial"/>
              </w:rPr>
              <w:t>50</w:t>
            </w:r>
          </w:p>
        </w:tc>
      </w:tr>
    </w:tbl>
    <w:p w14:paraId="52DE25C8" w14:textId="77777777" w:rsidR="00DD398A" w:rsidRPr="00DB11F6" w:rsidRDefault="00DD398A" w:rsidP="003D2E10">
      <w:pPr>
        <w:spacing w:line="360" w:lineRule="auto"/>
        <w:jc w:val="both"/>
        <w:rPr>
          <w:rFonts w:ascii="Arial" w:hAnsi="Arial" w:cs="Arial"/>
          <w:lang w:val="en-US"/>
        </w:rPr>
      </w:pPr>
    </w:p>
    <w:p w14:paraId="2F5C4DC3" w14:textId="77777777" w:rsidR="004977E5" w:rsidRPr="00DB11F6" w:rsidRDefault="004977E5" w:rsidP="003D2E10">
      <w:pPr>
        <w:spacing w:line="360" w:lineRule="auto"/>
        <w:jc w:val="both"/>
        <w:rPr>
          <w:rFonts w:ascii="Arial" w:hAnsi="Arial" w:cs="Arial"/>
          <w:b/>
          <w:lang w:val="en-US"/>
        </w:rPr>
      </w:pPr>
      <w:r w:rsidRPr="00DB11F6">
        <w:rPr>
          <w:rFonts w:ascii="Arial" w:hAnsi="Arial" w:cs="Arial"/>
          <w:b/>
          <w:lang w:val="en-US"/>
        </w:rPr>
        <w:t>b. Coexistence of Resistance Genes</w:t>
      </w:r>
    </w:p>
    <w:p w14:paraId="031FFF18" w14:textId="77777777" w:rsidR="00EF126D" w:rsidRPr="00DB11F6" w:rsidRDefault="00D751DA" w:rsidP="003D2E10">
      <w:pPr>
        <w:spacing w:line="360" w:lineRule="auto"/>
        <w:jc w:val="both"/>
        <w:rPr>
          <w:rFonts w:ascii="Arial" w:hAnsi="Arial" w:cs="Arial"/>
          <w:lang w:val="en-US"/>
        </w:rPr>
      </w:pPr>
      <w:r w:rsidRPr="00DB11F6">
        <w:rPr>
          <w:rFonts w:ascii="Arial" w:hAnsi="Arial" w:cs="Arial"/>
          <w:lang w:val="en-US"/>
        </w:rPr>
        <w:t>G</w:t>
      </w:r>
      <w:r w:rsidR="004977E5" w:rsidRPr="00DB11F6">
        <w:rPr>
          <w:rFonts w:ascii="Arial" w:hAnsi="Arial" w:cs="Arial"/>
          <w:lang w:val="en-US"/>
        </w:rPr>
        <w:t>ene combinations were identified in several isolates. The SHV + CTX-M combination was detected in 7.14% of strains, while SHV + TEM and CTX-M + TEM co-occurred in 14.28% of isolates each.</w:t>
      </w:r>
      <w:r w:rsidR="00422F8F" w:rsidRPr="00DB11F6">
        <w:rPr>
          <w:rFonts w:ascii="Arial" w:hAnsi="Arial" w:cs="Arial"/>
          <w:lang w:val="en-US"/>
        </w:rPr>
        <w:t xml:space="preserve"> </w:t>
      </w:r>
      <w:r w:rsidR="00C3440F" w:rsidRPr="00DB11F6">
        <w:rPr>
          <w:rFonts w:ascii="Arial" w:hAnsi="Arial" w:cs="Arial"/>
          <w:lang w:val="en-US"/>
        </w:rPr>
        <w:t>Coexistence patterns of resistance g</w:t>
      </w:r>
      <w:r w:rsidR="00422F8F" w:rsidRPr="00DB11F6">
        <w:rPr>
          <w:rFonts w:ascii="Arial" w:hAnsi="Arial" w:cs="Arial"/>
          <w:lang w:val="en-US"/>
        </w:rPr>
        <w:t>enes</w:t>
      </w:r>
      <w:r w:rsidR="00422F8F" w:rsidRPr="00DB11F6">
        <w:rPr>
          <w:rFonts w:ascii="Arial" w:eastAsia="Times New Roman" w:hAnsi="Arial" w:cs="Arial"/>
          <w:lang w:val="en-US" w:eastAsia="fr-FR"/>
        </w:rPr>
        <w:t xml:space="preserve"> and </w:t>
      </w:r>
      <w:r w:rsidR="00422F8F" w:rsidRPr="00DB11F6">
        <w:rPr>
          <w:rFonts w:ascii="Arial" w:hAnsi="Arial" w:cs="Arial"/>
          <w:lang w:val="en-US"/>
        </w:rPr>
        <w:t>the results of the PCR product visualization are displayed respectively in ta</w:t>
      </w:r>
      <w:r w:rsidR="00C3440F" w:rsidRPr="00DB11F6">
        <w:rPr>
          <w:rFonts w:ascii="Arial" w:hAnsi="Arial" w:cs="Arial"/>
          <w:lang w:val="en-US"/>
        </w:rPr>
        <w:t>ble 5 and</w:t>
      </w:r>
      <w:r w:rsidR="00422F8F" w:rsidRPr="00DB11F6">
        <w:rPr>
          <w:rFonts w:ascii="Arial" w:hAnsi="Arial" w:cs="Arial"/>
          <w:lang w:val="en-US"/>
        </w:rPr>
        <w:t xml:space="preserve"> Figure 1.</w:t>
      </w:r>
    </w:p>
    <w:p w14:paraId="7D89F99B" w14:textId="77777777" w:rsidR="001C60CA" w:rsidRPr="00DB11F6" w:rsidRDefault="00863EA8" w:rsidP="00422F8F">
      <w:pPr>
        <w:keepNext/>
        <w:pBdr>
          <w:top w:val="none" w:sz="0" w:space="0" w:color="000000"/>
          <w:left w:val="none" w:sz="0" w:space="0" w:color="000000"/>
          <w:bottom w:val="none" w:sz="0" w:space="0" w:color="000000"/>
          <w:right w:val="none" w:sz="0" w:space="0" w:color="000000"/>
        </w:pBdr>
        <w:spacing w:before="60" w:after="60" w:line="360" w:lineRule="auto"/>
        <w:ind w:left="60" w:right="60"/>
        <w:jc w:val="both"/>
        <w:rPr>
          <w:rFonts w:ascii="Arial" w:eastAsia="Aptos" w:hAnsi="Arial" w:cs="Arial"/>
          <w:b/>
          <w:lang w:val="en-US"/>
        </w:rPr>
      </w:pPr>
      <w:r w:rsidRPr="00DB11F6">
        <w:rPr>
          <w:rFonts w:ascii="Arial" w:hAnsi="Arial" w:cs="Arial"/>
          <w:b/>
          <w:lang w:val="en-US"/>
        </w:rPr>
        <w:t>Table 5. Coexistence Patterns (%) of Resistance Genes</w:t>
      </w:r>
      <w:r w:rsidR="00422F8F" w:rsidRPr="00DB11F6">
        <w:rPr>
          <w:rFonts w:ascii="Arial" w:eastAsia="Aptos" w:hAnsi="Arial" w:cs="Arial"/>
          <w:b/>
          <w:lang w:val="en-US"/>
        </w:rPr>
        <w:t xml:space="preserve"> </w:t>
      </w:r>
    </w:p>
    <w:tbl>
      <w:tblPr>
        <w:tblStyle w:val="Table1"/>
        <w:tblW w:w="9896" w:type="dxa"/>
        <w:jc w:val="center"/>
        <w:tblLayout w:type="fixed"/>
        <w:tblLook w:val="0420" w:firstRow="1" w:lastRow="0" w:firstColumn="0" w:lastColumn="0" w:noHBand="0" w:noVBand="1"/>
      </w:tblPr>
      <w:tblGrid>
        <w:gridCol w:w="2068"/>
        <w:gridCol w:w="2239"/>
        <w:gridCol w:w="1963"/>
        <w:gridCol w:w="2246"/>
        <w:gridCol w:w="1380"/>
      </w:tblGrid>
      <w:tr w:rsidR="001C60CA" w:rsidRPr="00DB11F6" w14:paraId="64C49FE1" w14:textId="77777777" w:rsidTr="003A4415">
        <w:trPr>
          <w:cnfStyle w:val="100000000000" w:firstRow="1" w:lastRow="0" w:firstColumn="0" w:lastColumn="0" w:oddVBand="0" w:evenVBand="0" w:oddHBand="0" w:evenHBand="0" w:firstRowFirstColumn="0" w:firstRowLastColumn="0" w:lastRowFirstColumn="0" w:lastRowLastColumn="0"/>
          <w:tblHeader/>
          <w:jc w:val="center"/>
        </w:trPr>
        <w:tc>
          <w:tcPr>
            <w:tcW w:w="20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139B0DD" w14:textId="77777777" w:rsidR="001C60CA" w:rsidRPr="00DB11F6" w:rsidRDefault="00863EA8"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b/>
                <w:color w:val="000000"/>
                <w:sz w:val="22"/>
                <w:szCs w:val="22"/>
              </w:rPr>
            </w:pPr>
            <w:r w:rsidRPr="00DB11F6">
              <w:rPr>
                <w:rFonts w:ascii="Arial" w:hAnsi="Arial" w:cs="Arial"/>
                <w:b/>
                <w:color w:val="000000"/>
                <w:sz w:val="22"/>
                <w:szCs w:val="22"/>
              </w:rPr>
              <w:t>Species</w:t>
            </w:r>
          </w:p>
        </w:tc>
        <w:tc>
          <w:tcPr>
            <w:tcW w:w="223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D42DAF1"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b/>
                <w:color w:val="000000"/>
                <w:sz w:val="22"/>
                <w:szCs w:val="22"/>
              </w:rPr>
            </w:pPr>
            <w:proofErr w:type="spellStart"/>
            <w:r w:rsidRPr="00DB11F6">
              <w:rPr>
                <w:rFonts w:ascii="Arial" w:hAnsi="Arial" w:cs="Arial"/>
                <w:b/>
                <w:color w:val="000000"/>
                <w:sz w:val="22"/>
                <w:szCs w:val="22"/>
              </w:rPr>
              <w:t>SHV_and_CTX_M</w:t>
            </w:r>
            <w:proofErr w:type="spellEnd"/>
          </w:p>
        </w:tc>
        <w:tc>
          <w:tcPr>
            <w:tcW w:w="196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D5FC0F"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b/>
                <w:color w:val="000000"/>
                <w:sz w:val="22"/>
                <w:szCs w:val="22"/>
              </w:rPr>
            </w:pPr>
            <w:proofErr w:type="spellStart"/>
            <w:r w:rsidRPr="00DB11F6">
              <w:rPr>
                <w:rFonts w:ascii="Arial" w:hAnsi="Arial" w:cs="Arial"/>
                <w:b/>
                <w:color w:val="000000"/>
                <w:sz w:val="22"/>
                <w:szCs w:val="22"/>
              </w:rPr>
              <w:t>SHV_and_TEM</w:t>
            </w:r>
            <w:proofErr w:type="spellEnd"/>
          </w:p>
        </w:tc>
        <w:tc>
          <w:tcPr>
            <w:tcW w:w="22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433A13E"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b/>
                <w:color w:val="000000"/>
                <w:sz w:val="22"/>
                <w:szCs w:val="22"/>
              </w:rPr>
            </w:pPr>
            <w:proofErr w:type="spellStart"/>
            <w:r w:rsidRPr="00DB11F6">
              <w:rPr>
                <w:rFonts w:ascii="Arial" w:hAnsi="Arial" w:cs="Arial"/>
                <w:b/>
                <w:color w:val="000000"/>
                <w:sz w:val="22"/>
                <w:szCs w:val="22"/>
              </w:rPr>
              <w:t>CTX_M_and_TEM</w:t>
            </w:r>
            <w:proofErr w:type="spellEnd"/>
          </w:p>
        </w:tc>
        <w:tc>
          <w:tcPr>
            <w:tcW w:w="13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BBDA089"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b/>
                <w:color w:val="000000"/>
                <w:sz w:val="22"/>
                <w:szCs w:val="22"/>
              </w:rPr>
            </w:pPr>
            <w:proofErr w:type="spellStart"/>
            <w:r w:rsidRPr="00DB11F6">
              <w:rPr>
                <w:rFonts w:ascii="Arial" w:hAnsi="Arial" w:cs="Arial"/>
                <w:b/>
                <w:color w:val="000000"/>
                <w:sz w:val="22"/>
                <w:szCs w:val="22"/>
              </w:rPr>
              <w:t>All_three</w:t>
            </w:r>
            <w:proofErr w:type="spellEnd"/>
          </w:p>
        </w:tc>
      </w:tr>
      <w:tr w:rsidR="001C60CA" w:rsidRPr="00DB11F6" w14:paraId="5783F1C9" w14:textId="77777777" w:rsidTr="003A4415">
        <w:trPr>
          <w:jc w:val="center"/>
        </w:trPr>
        <w:tc>
          <w:tcPr>
            <w:tcW w:w="2068"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66365B2B"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i/>
                <w:color w:val="000000"/>
                <w:sz w:val="22"/>
                <w:szCs w:val="22"/>
              </w:rPr>
            </w:pPr>
            <w:r w:rsidRPr="00DB11F6">
              <w:rPr>
                <w:rFonts w:ascii="Arial" w:hAnsi="Arial" w:cs="Arial"/>
                <w:i/>
                <w:color w:val="000000"/>
                <w:sz w:val="22"/>
                <w:szCs w:val="22"/>
              </w:rPr>
              <w:t>K. pneumonia</w:t>
            </w:r>
          </w:p>
        </w:tc>
        <w:tc>
          <w:tcPr>
            <w:tcW w:w="2239"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4E54780E"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color w:val="000000"/>
                <w:sz w:val="22"/>
                <w:szCs w:val="22"/>
              </w:rPr>
            </w:pPr>
            <w:r w:rsidRPr="00DB11F6">
              <w:rPr>
                <w:rFonts w:ascii="Arial" w:hAnsi="Arial" w:cs="Arial"/>
                <w:color w:val="000000"/>
                <w:sz w:val="22"/>
                <w:szCs w:val="22"/>
              </w:rPr>
              <w:t>7.142857</w:t>
            </w:r>
          </w:p>
        </w:tc>
        <w:tc>
          <w:tcPr>
            <w:tcW w:w="1963"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198E9F75"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color w:val="000000"/>
                <w:sz w:val="22"/>
                <w:szCs w:val="22"/>
              </w:rPr>
            </w:pPr>
            <w:r w:rsidRPr="00DB11F6">
              <w:rPr>
                <w:rFonts w:ascii="Arial" w:hAnsi="Arial" w:cs="Arial"/>
                <w:color w:val="000000"/>
                <w:sz w:val="22"/>
                <w:szCs w:val="22"/>
              </w:rPr>
              <w:t>14.28571</w:t>
            </w:r>
          </w:p>
        </w:tc>
        <w:tc>
          <w:tcPr>
            <w:tcW w:w="2246"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0F881456"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color w:val="000000"/>
                <w:sz w:val="22"/>
                <w:szCs w:val="22"/>
              </w:rPr>
            </w:pPr>
            <w:r w:rsidRPr="00DB11F6">
              <w:rPr>
                <w:rFonts w:ascii="Arial" w:hAnsi="Arial" w:cs="Arial"/>
                <w:color w:val="000000"/>
                <w:sz w:val="22"/>
                <w:szCs w:val="22"/>
              </w:rPr>
              <w:t>14.28571</w:t>
            </w:r>
          </w:p>
        </w:tc>
        <w:tc>
          <w:tcPr>
            <w:tcW w:w="1380"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7280EFFF" w14:textId="77777777" w:rsidR="001C60CA" w:rsidRPr="00DB11F6" w:rsidRDefault="001C60CA" w:rsidP="001C60CA">
            <w:pPr>
              <w:pBdr>
                <w:top w:val="none" w:sz="0" w:space="0" w:color="000000"/>
                <w:left w:val="none" w:sz="0" w:space="0" w:color="000000"/>
                <w:bottom w:val="none" w:sz="0" w:space="0" w:color="000000"/>
                <w:right w:val="none" w:sz="0" w:space="0" w:color="000000"/>
              </w:pBdr>
              <w:spacing w:line="360" w:lineRule="auto"/>
              <w:ind w:left="100" w:right="100"/>
              <w:jc w:val="both"/>
              <w:rPr>
                <w:rFonts w:ascii="Arial" w:hAnsi="Arial" w:cs="Arial"/>
                <w:color w:val="000000"/>
                <w:sz w:val="22"/>
                <w:szCs w:val="22"/>
              </w:rPr>
            </w:pPr>
            <w:r w:rsidRPr="00DB11F6">
              <w:rPr>
                <w:rFonts w:ascii="Arial" w:hAnsi="Arial" w:cs="Arial"/>
                <w:color w:val="000000"/>
                <w:sz w:val="22"/>
                <w:szCs w:val="22"/>
              </w:rPr>
              <w:t>0</w:t>
            </w:r>
          </w:p>
        </w:tc>
      </w:tr>
    </w:tbl>
    <w:p w14:paraId="7BDF9870" w14:textId="77777777" w:rsidR="001C60CA" w:rsidRPr="00DB11F6" w:rsidRDefault="001C60CA" w:rsidP="001C60CA">
      <w:pPr>
        <w:spacing w:before="180" w:after="180" w:line="360" w:lineRule="auto"/>
        <w:jc w:val="both"/>
        <w:rPr>
          <w:rFonts w:ascii="Arial" w:hAnsi="Arial" w:cs="Arial"/>
          <w:noProof/>
          <w:lang w:val="en-US" w:eastAsia="fr-FR"/>
        </w:rPr>
      </w:pPr>
      <w:r w:rsidRPr="00DB11F6">
        <w:rPr>
          <w:rFonts w:ascii="Arial" w:hAnsi="Arial" w:cs="Arial"/>
          <w:noProof/>
          <w:lang w:eastAsia="fr-FR"/>
        </w:rPr>
        <mc:AlternateContent>
          <mc:Choice Requires="wps">
            <w:drawing>
              <wp:anchor distT="0" distB="0" distL="114300" distR="114300" simplePos="0" relativeHeight="251664384" behindDoc="0" locked="0" layoutInCell="1" allowOverlap="1" wp14:anchorId="0EB2217B" wp14:editId="62BB2D9E">
                <wp:simplePos x="0" y="0"/>
                <wp:positionH relativeFrom="column">
                  <wp:posOffset>-742950</wp:posOffset>
                </wp:positionH>
                <wp:positionV relativeFrom="paragraph">
                  <wp:posOffset>361315</wp:posOffset>
                </wp:positionV>
                <wp:extent cx="7553325" cy="2457450"/>
                <wp:effectExtent l="0" t="0" r="9525" b="0"/>
                <wp:wrapNone/>
                <wp:docPr id="5" name="Zone de texte 5"/>
                <wp:cNvGraphicFramePr/>
                <a:graphic xmlns:a="http://schemas.openxmlformats.org/drawingml/2006/main">
                  <a:graphicData uri="http://schemas.microsoft.com/office/word/2010/wordprocessingShape">
                    <wps:wsp>
                      <wps:cNvSpPr txBox="1"/>
                      <wps:spPr>
                        <a:xfrm>
                          <a:off x="0" y="0"/>
                          <a:ext cx="7553325" cy="2457450"/>
                        </a:xfrm>
                        <a:prstGeom prst="rect">
                          <a:avLst/>
                        </a:prstGeom>
                        <a:solidFill>
                          <a:sysClr val="window" lastClr="FFFFFF"/>
                        </a:solidFill>
                        <a:ln w="6350">
                          <a:noFill/>
                        </a:ln>
                      </wps:spPr>
                      <wps:txbx>
                        <w:txbxContent>
                          <w:p w14:paraId="2BA056E0" w14:textId="77777777" w:rsidR="001C60CA" w:rsidRDefault="001C60CA" w:rsidP="001C60CA">
                            <w:r>
                              <w:t xml:space="preserve">             </w:t>
                            </w:r>
                            <w:r w:rsidRPr="00755EAC">
                              <w:rPr>
                                <w:noProof/>
                                <w:lang w:eastAsia="fr-FR"/>
                              </w:rPr>
                              <w:drawing>
                                <wp:inline distT="0" distB="0" distL="0" distR="0" wp14:anchorId="066D5A34" wp14:editId="2C2A3AA2">
                                  <wp:extent cx="1905000" cy="17621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762125"/>
                                          </a:xfrm>
                                          <a:prstGeom prst="rect">
                                            <a:avLst/>
                                          </a:prstGeom>
                                          <a:noFill/>
                                          <a:ln>
                                            <a:noFill/>
                                          </a:ln>
                                        </pic:spPr>
                                      </pic:pic>
                                    </a:graphicData>
                                  </a:graphic>
                                </wp:inline>
                              </w:drawing>
                            </w:r>
                            <w:r w:rsidRPr="00755EAC">
                              <w:t xml:space="preserve"> </w:t>
                            </w:r>
                            <w:r>
                              <w:t xml:space="preserve">                 </w:t>
                            </w:r>
                            <w:r w:rsidRPr="00755EAC">
                              <w:rPr>
                                <w:noProof/>
                                <w:lang w:eastAsia="fr-FR"/>
                              </w:rPr>
                              <w:drawing>
                                <wp:inline distT="0" distB="0" distL="0" distR="0" wp14:anchorId="6B183199" wp14:editId="1A33A5D8">
                                  <wp:extent cx="1781175" cy="17907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1790700"/>
                                          </a:xfrm>
                                          <a:prstGeom prst="rect">
                                            <a:avLst/>
                                          </a:prstGeom>
                                          <a:noFill/>
                                          <a:ln>
                                            <a:noFill/>
                                          </a:ln>
                                        </pic:spPr>
                                      </pic:pic>
                                    </a:graphicData>
                                  </a:graphic>
                                </wp:inline>
                              </w:drawing>
                            </w:r>
                            <w:r w:rsidRPr="00755EAC">
                              <w:t xml:space="preserve"> </w:t>
                            </w:r>
                            <w:r>
                              <w:t xml:space="preserve">                  </w:t>
                            </w:r>
                            <w:r>
                              <w:rPr>
                                <w:noProof/>
                                <w:lang w:eastAsia="fr-FR"/>
                              </w:rPr>
                              <w:drawing>
                                <wp:inline distT="0" distB="0" distL="0" distR="0" wp14:anchorId="4A6E16E0" wp14:editId="7C706D2F">
                                  <wp:extent cx="1847285" cy="1724025"/>
                                  <wp:effectExtent l="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7285" cy="1724025"/>
                                          </a:xfrm>
                                          <a:prstGeom prst="rect">
                                            <a:avLst/>
                                          </a:prstGeom>
                                        </pic:spPr>
                                      </pic:pic>
                                    </a:graphicData>
                                  </a:graphic>
                                </wp:inline>
                              </w:drawing>
                            </w:r>
                            <w:r w:rsidRPr="00755EAC">
                              <w:rPr>
                                <w:noProof/>
                                <w:lang w:eastAsia="fr-FR"/>
                              </w:rPr>
                              <w:t xml:space="preserve"> </w:t>
                            </w:r>
                          </w:p>
                          <w:p w14:paraId="41319EB9" w14:textId="77777777" w:rsidR="001C60CA" w:rsidRDefault="001C60CA" w:rsidP="001C60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2217B" id="_x0000_t202" coordsize="21600,21600" o:spt="202" path="m,l,21600r21600,l21600,xe">
                <v:stroke joinstyle="miter"/>
                <v:path gradientshapeok="t" o:connecttype="rect"/>
              </v:shapetype>
              <v:shape id="Zone de texte 5" o:spid="_x0000_s1026" type="#_x0000_t202" style="position:absolute;left:0;text-align:left;margin-left:-58.5pt;margin-top:28.45pt;width:594.75pt;height:1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" fillcolor="window" stroked="f" strokeweight=".5pt">
                <v:textbox>
                  <w:txbxContent>
                    <w:p w14:paraId="2BA056E0" w14:textId="77777777" w:rsidR="001C60CA" w:rsidRDefault="001C60CA" w:rsidP="001C60CA">
                      <w:r>
                        <w:t xml:space="preserve">             </w:t>
                      </w:r>
                      <w:r w:rsidRPr="00755EAC">
                        <w:rPr>
                          <w:noProof/>
                          <w:lang w:eastAsia="fr-FR"/>
                        </w:rPr>
                        <w:drawing>
                          <wp:inline distT="0" distB="0" distL="0" distR="0" wp14:anchorId="066D5A34" wp14:editId="2C2A3AA2">
                            <wp:extent cx="1905000" cy="17621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762125"/>
                                    </a:xfrm>
                                    <a:prstGeom prst="rect">
                                      <a:avLst/>
                                    </a:prstGeom>
                                    <a:noFill/>
                                    <a:ln>
                                      <a:noFill/>
                                    </a:ln>
                                  </pic:spPr>
                                </pic:pic>
                              </a:graphicData>
                            </a:graphic>
                          </wp:inline>
                        </w:drawing>
                      </w:r>
                      <w:r w:rsidRPr="00755EAC">
                        <w:t xml:space="preserve"> </w:t>
                      </w:r>
                      <w:r>
                        <w:t xml:space="preserve">                 </w:t>
                      </w:r>
                      <w:r w:rsidRPr="00755EAC">
                        <w:rPr>
                          <w:noProof/>
                          <w:lang w:eastAsia="fr-FR"/>
                        </w:rPr>
                        <w:drawing>
                          <wp:inline distT="0" distB="0" distL="0" distR="0" wp14:anchorId="6B183199" wp14:editId="1A33A5D8">
                            <wp:extent cx="1781175" cy="17907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1790700"/>
                                    </a:xfrm>
                                    <a:prstGeom prst="rect">
                                      <a:avLst/>
                                    </a:prstGeom>
                                    <a:noFill/>
                                    <a:ln>
                                      <a:noFill/>
                                    </a:ln>
                                  </pic:spPr>
                                </pic:pic>
                              </a:graphicData>
                            </a:graphic>
                          </wp:inline>
                        </w:drawing>
                      </w:r>
                      <w:r w:rsidRPr="00755EAC">
                        <w:t xml:space="preserve"> </w:t>
                      </w:r>
                      <w:r>
                        <w:t xml:space="preserve">                  </w:t>
                      </w:r>
                      <w:r>
                        <w:rPr>
                          <w:noProof/>
                          <w:lang w:eastAsia="fr-FR"/>
                        </w:rPr>
                        <w:drawing>
                          <wp:inline distT="0" distB="0" distL="0" distR="0" wp14:anchorId="4A6E16E0" wp14:editId="7C706D2F">
                            <wp:extent cx="1847285" cy="1724025"/>
                            <wp:effectExtent l="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7285" cy="1724025"/>
                                    </a:xfrm>
                                    <a:prstGeom prst="rect">
                                      <a:avLst/>
                                    </a:prstGeom>
                                  </pic:spPr>
                                </pic:pic>
                              </a:graphicData>
                            </a:graphic>
                          </wp:inline>
                        </w:drawing>
                      </w:r>
                      <w:r w:rsidRPr="00755EAC">
                        <w:rPr>
                          <w:noProof/>
                          <w:lang w:eastAsia="fr-FR"/>
                        </w:rPr>
                        <w:t xml:space="preserve"> </w:t>
                      </w:r>
                    </w:p>
                    <w:p w14:paraId="41319EB9" w14:textId="77777777" w:rsidR="001C60CA" w:rsidRDefault="001C60CA" w:rsidP="001C60CA"/>
                  </w:txbxContent>
                </v:textbox>
              </v:shape>
            </w:pict>
          </mc:Fallback>
        </mc:AlternateContent>
      </w:r>
      <w:r w:rsidRPr="00DB11F6">
        <w:rPr>
          <w:rFonts w:ascii="Arial" w:hAnsi="Arial" w:cs="Arial"/>
          <w:noProof/>
          <w:lang w:val="en-US" w:eastAsia="fr-FR"/>
        </w:rPr>
        <w:t xml:space="preserve"> </w:t>
      </w:r>
    </w:p>
    <w:p w14:paraId="4BE7FA85" w14:textId="77777777" w:rsidR="001C60CA" w:rsidRPr="00DB11F6" w:rsidRDefault="001C60CA" w:rsidP="001C60CA">
      <w:pPr>
        <w:spacing w:before="180" w:after="180" w:line="360" w:lineRule="auto"/>
        <w:jc w:val="both"/>
        <w:rPr>
          <w:rFonts w:ascii="Arial" w:hAnsi="Arial" w:cs="Arial"/>
          <w:noProof/>
          <w:lang w:val="en-US" w:eastAsia="fr-FR"/>
        </w:rPr>
      </w:pPr>
      <w:r w:rsidRPr="00DB11F6">
        <w:rPr>
          <w:rFonts w:ascii="Arial" w:hAnsi="Arial" w:cs="Arial"/>
          <w:noProof/>
          <w:lang w:eastAsia="fr-FR"/>
        </w:rPr>
        <mc:AlternateContent>
          <mc:Choice Requires="wps">
            <w:drawing>
              <wp:anchor distT="0" distB="0" distL="114300" distR="114300" simplePos="0" relativeHeight="251667456" behindDoc="0" locked="0" layoutInCell="1" allowOverlap="1" wp14:anchorId="41D2009B" wp14:editId="306E1DF7">
                <wp:simplePos x="0" y="0"/>
                <wp:positionH relativeFrom="column">
                  <wp:posOffset>-790576</wp:posOffset>
                </wp:positionH>
                <wp:positionV relativeFrom="paragraph">
                  <wp:posOffset>370840</wp:posOffset>
                </wp:positionV>
                <wp:extent cx="476250" cy="247650"/>
                <wp:effectExtent l="0" t="0" r="0" b="0"/>
                <wp:wrapNone/>
                <wp:docPr id="21" name="Zone de texte 21"/>
                <wp:cNvGraphicFramePr/>
                <a:graphic xmlns:a="http://schemas.openxmlformats.org/drawingml/2006/main">
                  <a:graphicData uri="http://schemas.microsoft.com/office/word/2010/wordprocessingShape">
                    <wps:wsp>
                      <wps:cNvSpPr txBox="1"/>
                      <wps:spPr>
                        <a:xfrm flipH="1">
                          <a:off x="0" y="0"/>
                          <a:ext cx="476250" cy="247650"/>
                        </a:xfrm>
                        <a:prstGeom prst="rect">
                          <a:avLst/>
                        </a:prstGeom>
                        <a:solidFill>
                          <a:sysClr val="window" lastClr="FFFFFF"/>
                        </a:solidFill>
                        <a:ln w="6350">
                          <a:noFill/>
                        </a:ln>
                      </wps:spPr>
                      <wps:txbx>
                        <w:txbxContent>
                          <w:p w14:paraId="34471B5E" w14:textId="77777777" w:rsidR="001C60CA" w:rsidRPr="003B3C1E" w:rsidRDefault="001C60CA" w:rsidP="001C60CA">
                            <w:pPr>
                              <w:rPr>
                                <w:rFonts w:ascii="Times New Roman" w:hAnsi="Times New Roman" w:cs="Times New Roman"/>
                                <w:sz w:val="16"/>
                                <w:szCs w:val="16"/>
                              </w:rPr>
                            </w:pPr>
                            <w:r>
                              <w:rPr>
                                <w:rFonts w:ascii="Times New Roman" w:hAnsi="Times New Roman" w:cs="Times New Roman"/>
                                <w:sz w:val="16"/>
                                <w:szCs w:val="16"/>
                              </w:rPr>
                              <w:t xml:space="preserve">816 </w:t>
                            </w:r>
                            <w:r w:rsidRPr="003B3C1E">
                              <w:rPr>
                                <w:rFonts w:ascii="Times New Roman" w:hAnsi="Times New Roman" w:cs="Times New Roman"/>
                                <w:sz w:val="16"/>
                                <w:szCs w:val="16"/>
                              </w:rPr>
                              <w:t>b</w:t>
                            </w:r>
                            <w:r>
                              <w:rPr>
                                <w:rFonts w:ascii="Times New Roman" w:hAnsi="Times New Roman" w:cs="Times New Roman"/>
                                <w:sz w:val="16"/>
                                <w:szCs w:val="16"/>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2009B" id="Zone de texte 21" o:spid="_x0000_s1027" type="#_x0000_t202" style="position:absolute;left:0;text-align:left;margin-left:-62.25pt;margin-top:29.2pt;width:37.5pt;height:1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" fillcolor="window" stroked="f" strokeweight=".5pt">
                <v:textbox>
                  <w:txbxContent>
                    <w:p w14:paraId="34471B5E" w14:textId="77777777" w:rsidR="001C60CA" w:rsidRPr="003B3C1E" w:rsidRDefault="001C60CA" w:rsidP="001C60CA">
                      <w:pPr>
                        <w:rPr>
                          <w:rFonts w:ascii="Times New Roman" w:hAnsi="Times New Roman" w:cs="Times New Roman"/>
                          <w:sz w:val="16"/>
                          <w:szCs w:val="16"/>
                        </w:rPr>
                      </w:pPr>
                      <w:r>
                        <w:rPr>
                          <w:rFonts w:ascii="Times New Roman" w:hAnsi="Times New Roman" w:cs="Times New Roman"/>
                          <w:sz w:val="16"/>
                          <w:szCs w:val="16"/>
                        </w:rPr>
                        <w:t xml:space="preserve">816 </w:t>
                      </w:r>
                      <w:r w:rsidRPr="003B3C1E">
                        <w:rPr>
                          <w:rFonts w:ascii="Times New Roman" w:hAnsi="Times New Roman" w:cs="Times New Roman"/>
                          <w:sz w:val="16"/>
                          <w:szCs w:val="16"/>
                        </w:rPr>
                        <w:t>b</w:t>
                      </w:r>
                      <w:r>
                        <w:rPr>
                          <w:rFonts w:ascii="Times New Roman" w:hAnsi="Times New Roman" w:cs="Times New Roman"/>
                          <w:sz w:val="16"/>
                          <w:szCs w:val="16"/>
                        </w:rPr>
                        <w:t>p</w:t>
                      </w:r>
                    </w:p>
                  </w:txbxContent>
                </v:textbox>
              </v:shape>
            </w:pict>
          </mc:Fallback>
        </mc:AlternateContent>
      </w:r>
    </w:p>
    <w:p w14:paraId="1D82A7A5" w14:textId="77777777" w:rsidR="001C60CA" w:rsidRPr="00DB11F6" w:rsidRDefault="001C60CA" w:rsidP="001C60CA">
      <w:pPr>
        <w:spacing w:before="180" w:after="180" w:line="360" w:lineRule="auto"/>
        <w:jc w:val="both"/>
        <w:rPr>
          <w:rFonts w:ascii="Arial" w:hAnsi="Arial" w:cs="Arial"/>
          <w:noProof/>
          <w:lang w:val="en-US" w:eastAsia="fr-FR"/>
        </w:rPr>
      </w:pPr>
      <w:r w:rsidRPr="00DB11F6">
        <w:rPr>
          <w:rFonts w:ascii="Arial" w:hAnsi="Arial" w:cs="Arial"/>
          <w:noProof/>
          <w:lang w:eastAsia="fr-FR"/>
        </w:rPr>
        <mc:AlternateContent>
          <mc:Choice Requires="wps">
            <w:drawing>
              <wp:anchor distT="0" distB="0" distL="114300" distR="114300" simplePos="0" relativeHeight="251675648" behindDoc="0" locked="0" layoutInCell="1" allowOverlap="1" wp14:anchorId="0B80568A" wp14:editId="55849C63">
                <wp:simplePos x="0" y="0"/>
                <wp:positionH relativeFrom="column">
                  <wp:posOffset>4124326</wp:posOffset>
                </wp:positionH>
                <wp:positionV relativeFrom="paragraph">
                  <wp:posOffset>13970</wp:posOffset>
                </wp:positionV>
                <wp:extent cx="533400" cy="238125"/>
                <wp:effectExtent l="0" t="0" r="0" b="9525"/>
                <wp:wrapNone/>
                <wp:docPr id="29" name="Zone de texte 29"/>
                <wp:cNvGraphicFramePr/>
                <a:graphic xmlns:a="http://schemas.openxmlformats.org/drawingml/2006/main">
                  <a:graphicData uri="http://schemas.microsoft.com/office/word/2010/wordprocessingShape">
                    <wps:wsp>
                      <wps:cNvSpPr txBox="1"/>
                      <wps:spPr>
                        <a:xfrm>
                          <a:off x="0" y="0"/>
                          <a:ext cx="533400" cy="238125"/>
                        </a:xfrm>
                        <a:prstGeom prst="rect">
                          <a:avLst/>
                        </a:prstGeom>
                        <a:solidFill>
                          <a:sysClr val="window" lastClr="FFFFFF"/>
                        </a:solidFill>
                        <a:ln w="6350">
                          <a:noFill/>
                        </a:ln>
                      </wps:spPr>
                      <wps:txbx>
                        <w:txbxContent>
                          <w:p w14:paraId="1F5ECDF1" w14:textId="77777777" w:rsidR="001C60CA" w:rsidRPr="006D14AE" w:rsidRDefault="001C60CA" w:rsidP="001C60CA">
                            <w:pPr>
                              <w:rPr>
                                <w:rFonts w:ascii="Times New Roman" w:hAnsi="Times New Roman" w:cs="Times New Roman"/>
                                <w:sz w:val="16"/>
                                <w:szCs w:val="16"/>
                              </w:rPr>
                            </w:pPr>
                            <w:r>
                              <w:rPr>
                                <w:rFonts w:ascii="Times New Roman" w:hAnsi="Times New Roman" w:cs="Times New Roman"/>
                                <w:sz w:val="16"/>
                                <w:szCs w:val="16"/>
                              </w:rPr>
                              <w:t>1000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0568A" id="Zone de texte 29" o:spid="_x0000_s1028" type="#_x0000_t202" style="position:absolute;left:0;text-align:left;margin-left:324.75pt;margin-top:1.1pt;width:42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" fillcolor="window" stroked="f" strokeweight=".5pt">
                <v:textbox>
                  <w:txbxContent>
                    <w:p w14:paraId="1F5ECDF1" w14:textId="77777777" w:rsidR="001C60CA" w:rsidRPr="006D14AE" w:rsidRDefault="001C60CA" w:rsidP="001C60CA">
                      <w:pPr>
                        <w:rPr>
                          <w:rFonts w:ascii="Times New Roman" w:hAnsi="Times New Roman" w:cs="Times New Roman"/>
                          <w:sz w:val="16"/>
                          <w:szCs w:val="16"/>
                        </w:rPr>
                      </w:pPr>
                      <w:r>
                        <w:rPr>
                          <w:rFonts w:ascii="Times New Roman" w:hAnsi="Times New Roman" w:cs="Times New Roman"/>
                          <w:sz w:val="16"/>
                          <w:szCs w:val="16"/>
                        </w:rPr>
                        <w:t>1000 bp</w:t>
                      </w:r>
                    </w:p>
                  </w:txbxContent>
                </v:textbox>
              </v:shape>
            </w:pict>
          </mc:Fallback>
        </mc:AlternateContent>
      </w:r>
      <w:r w:rsidRPr="00DB11F6">
        <w:rPr>
          <w:rFonts w:ascii="Arial" w:hAnsi="Arial" w:cs="Arial"/>
          <w:noProof/>
          <w:lang w:eastAsia="fr-FR"/>
        </w:rPr>
        <mc:AlternateContent>
          <mc:Choice Requires="wps">
            <w:drawing>
              <wp:anchor distT="0" distB="0" distL="114300" distR="114300" simplePos="0" relativeHeight="251672576" behindDoc="0" locked="0" layoutInCell="1" allowOverlap="1" wp14:anchorId="5B705AE7" wp14:editId="005C4110">
                <wp:simplePos x="0" y="0"/>
                <wp:positionH relativeFrom="column">
                  <wp:posOffset>2199640</wp:posOffset>
                </wp:positionH>
                <wp:positionV relativeFrom="paragraph">
                  <wp:posOffset>137160</wp:posOffset>
                </wp:positionV>
                <wp:extent cx="38100" cy="0"/>
                <wp:effectExtent l="0" t="0" r="19050" b="19050"/>
                <wp:wrapNone/>
                <wp:docPr id="26" name="Connecteur droit 26"/>
                <wp:cNvGraphicFramePr/>
                <a:graphic xmlns:a="http://schemas.openxmlformats.org/drawingml/2006/main">
                  <a:graphicData uri="http://schemas.microsoft.com/office/word/2010/wordprocessingShape">
                    <wps:wsp>
                      <wps:cNvCnPr/>
                      <wps:spPr>
                        <a:xfrm>
                          <a:off x="0" y="0"/>
                          <a:ext cx="3810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E665138" id="Connecteur droit 2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pt,10.8pt" to="176.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" strokecolor="#5b9bd5" strokeweight=".5pt">
                <v:stroke joinstyle="miter"/>
              </v:line>
            </w:pict>
          </mc:Fallback>
        </mc:AlternateContent>
      </w:r>
      <w:r w:rsidRPr="00DB11F6">
        <w:rPr>
          <w:rFonts w:ascii="Arial" w:hAnsi="Arial" w:cs="Arial"/>
          <w:noProof/>
          <w:lang w:eastAsia="fr-FR"/>
        </w:rPr>
        <mc:AlternateContent>
          <mc:Choice Requires="wps">
            <w:drawing>
              <wp:anchor distT="0" distB="0" distL="114300" distR="114300" simplePos="0" relativeHeight="251671552" behindDoc="0" locked="0" layoutInCell="1" allowOverlap="1" wp14:anchorId="6E38C0ED" wp14:editId="124E3432">
                <wp:simplePos x="0" y="0"/>
                <wp:positionH relativeFrom="column">
                  <wp:posOffset>1714500</wp:posOffset>
                </wp:positionH>
                <wp:positionV relativeFrom="paragraph">
                  <wp:posOffset>13335</wp:posOffset>
                </wp:positionV>
                <wp:extent cx="53340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533400" cy="247650"/>
                        </a:xfrm>
                        <a:prstGeom prst="rect">
                          <a:avLst/>
                        </a:prstGeom>
                        <a:solidFill>
                          <a:sysClr val="window" lastClr="FFFFFF"/>
                        </a:solidFill>
                        <a:ln w="6350">
                          <a:noFill/>
                        </a:ln>
                      </wps:spPr>
                      <wps:txbx>
                        <w:txbxContent>
                          <w:p w14:paraId="516328FE" w14:textId="77777777" w:rsidR="001C60CA" w:rsidRPr="00473701" w:rsidRDefault="001C60CA" w:rsidP="001C60CA">
                            <w:pPr>
                              <w:rPr>
                                <w:rFonts w:ascii="Times New Roman" w:hAnsi="Times New Roman" w:cs="Times New Roman"/>
                                <w:sz w:val="16"/>
                                <w:szCs w:val="16"/>
                              </w:rPr>
                            </w:pPr>
                            <w:r w:rsidRPr="00473701">
                              <w:rPr>
                                <w:rFonts w:ascii="Times New Roman" w:hAnsi="Times New Roman" w:cs="Times New Roman"/>
                                <w:sz w:val="16"/>
                                <w:szCs w:val="16"/>
                              </w:rPr>
                              <w:t>1080</w:t>
                            </w:r>
                            <w:r>
                              <w:rPr>
                                <w:rFonts w:ascii="Times New Roman" w:hAnsi="Times New Roman" w:cs="Times New Roman"/>
                                <w:sz w:val="16"/>
                                <w:szCs w:val="16"/>
                              </w:rPr>
                              <w:t xml:space="preserve">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8C0ED" id="Zone de texte 25" o:spid="_x0000_s1029" type="#_x0000_t202" style="position:absolute;left:0;text-align:left;margin-left:135pt;margin-top:1.05pt;width:42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" fillcolor="window" stroked="f" strokeweight=".5pt">
                <v:textbox>
                  <w:txbxContent>
                    <w:p w14:paraId="516328FE" w14:textId="77777777" w:rsidR="001C60CA" w:rsidRPr="00473701" w:rsidRDefault="001C60CA" w:rsidP="001C60CA">
                      <w:pPr>
                        <w:rPr>
                          <w:rFonts w:ascii="Times New Roman" w:hAnsi="Times New Roman" w:cs="Times New Roman"/>
                          <w:sz w:val="16"/>
                          <w:szCs w:val="16"/>
                        </w:rPr>
                      </w:pPr>
                      <w:r w:rsidRPr="00473701">
                        <w:rPr>
                          <w:rFonts w:ascii="Times New Roman" w:hAnsi="Times New Roman" w:cs="Times New Roman"/>
                          <w:sz w:val="16"/>
                          <w:szCs w:val="16"/>
                        </w:rPr>
                        <w:t>1080</w:t>
                      </w:r>
                      <w:r>
                        <w:rPr>
                          <w:rFonts w:ascii="Times New Roman" w:hAnsi="Times New Roman" w:cs="Times New Roman"/>
                          <w:sz w:val="16"/>
                          <w:szCs w:val="16"/>
                        </w:rPr>
                        <w:t xml:space="preserve"> bp</w:t>
                      </w:r>
                    </w:p>
                  </w:txbxContent>
                </v:textbox>
              </v:shape>
            </w:pict>
          </mc:Fallback>
        </mc:AlternateContent>
      </w:r>
      <w:r w:rsidRPr="00DB11F6">
        <w:rPr>
          <w:rFonts w:ascii="Arial" w:hAnsi="Arial" w:cs="Arial"/>
          <w:noProof/>
          <w:lang w:eastAsia="fr-FR"/>
        </w:rPr>
        <mc:AlternateContent>
          <mc:Choice Requires="wps">
            <w:drawing>
              <wp:anchor distT="0" distB="0" distL="114300" distR="114300" simplePos="0" relativeHeight="251676672" behindDoc="0" locked="0" layoutInCell="1" allowOverlap="1" wp14:anchorId="5D3519D6" wp14:editId="592CFF02">
                <wp:simplePos x="0" y="0"/>
                <wp:positionH relativeFrom="column">
                  <wp:posOffset>4610100</wp:posOffset>
                </wp:positionH>
                <wp:positionV relativeFrom="paragraph">
                  <wp:posOffset>108585</wp:posOffset>
                </wp:positionV>
                <wp:extent cx="142875" cy="9525"/>
                <wp:effectExtent l="0" t="0" r="28575" b="28575"/>
                <wp:wrapNone/>
                <wp:docPr id="30" name="Connecteur droit 30"/>
                <wp:cNvGraphicFramePr/>
                <a:graphic xmlns:a="http://schemas.openxmlformats.org/drawingml/2006/main">
                  <a:graphicData uri="http://schemas.microsoft.com/office/word/2010/wordprocessingShape">
                    <wps:wsp>
                      <wps:cNvCnPr/>
                      <wps:spPr>
                        <a:xfrm>
                          <a:off x="0" y="0"/>
                          <a:ext cx="14287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DC48F74" id="Connecteur droit 3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8.55pt" to="374.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" strokecolor="#5b9bd5" strokeweight=".5pt">
                <v:stroke joinstyle="miter"/>
              </v:line>
            </w:pict>
          </mc:Fallback>
        </mc:AlternateContent>
      </w:r>
      <w:r w:rsidRPr="00DB11F6">
        <w:rPr>
          <w:rFonts w:ascii="Arial" w:hAnsi="Arial" w:cs="Arial"/>
          <w:noProof/>
          <w:lang w:eastAsia="fr-FR"/>
        </w:rPr>
        <mc:AlternateContent>
          <mc:Choice Requires="wps">
            <w:drawing>
              <wp:anchor distT="0" distB="0" distL="114300" distR="114300" simplePos="0" relativeHeight="251668480" behindDoc="0" locked="0" layoutInCell="1" allowOverlap="1" wp14:anchorId="2E3FC885" wp14:editId="5FFC5328">
                <wp:simplePos x="0" y="0"/>
                <wp:positionH relativeFrom="column">
                  <wp:posOffset>-764540</wp:posOffset>
                </wp:positionH>
                <wp:positionV relativeFrom="paragraph">
                  <wp:posOffset>280035</wp:posOffset>
                </wp:positionV>
                <wp:extent cx="914400" cy="228600"/>
                <wp:effectExtent l="0" t="0" r="6985" b="0"/>
                <wp:wrapNone/>
                <wp:docPr id="22" name="Zone de texte 22"/>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ysClr val="window" lastClr="FFFFFF"/>
                        </a:solidFill>
                        <a:ln w="6350">
                          <a:noFill/>
                        </a:ln>
                      </wps:spPr>
                      <wps:txbx>
                        <w:txbxContent>
                          <w:p w14:paraId="7F5DEC51" w14:textId="77777777" w:rsidR="001C60CA" w:rsidRPr="003B3C1E" w:rsidRDefault="001C60CA" w:rsidP="001C60CA">
                            <w:pPr>
                              <w:rPr>
                                <w:rFonts w:ascii="Times New Roman" w:hAnsi="Times New Roman" w:cs="Times New Roman"/>
                                <w:sz w:val="16"/>
                                <w:szCs w:val="16"/>
                              </w:rPr>
                            </w:pPr>
                            <w:r w:rsidRPr="003B3C1E">
                              <w:rPr>
                                <w:rFonts w:ascii="Times New Roman" w:hAnsi="Times New Roman" w:cs="Times New Roman"/>
                                <w:sz w:val="16"/>
                                <w:szCs w:val="16"/>
                              </w:rPr>
                              <w:t xml:space="preserve">100 </w:t>
                            </w:r>
                            <w:r>
                              <w:rPr>
                                <w:rFonts w:ascii="Times New Roman" w:hAnsi="Times New Roman" w:cs="Times New Roman"/>
                                <w:sz w:val="16"/>
                                <w:szCs w:val="16"/>
                              </w:rPr>
                              <w:t>bp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3FC885" id="Zone de texte 22" o:spid="_x0000_s1030" type="#_x0000_t202" style="position:absolute;left:0;text-align:left;margin-left:-60.2pt;margin-top:22.05pt;width:1in;height:18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" fillcolor="window" stroked="f" strokeweight=".5pt">
                <v:textbox>
                  <w:txbxContent>
                    <w:p w14:paraId="7F5DEC51" w14:textId="77777777" w:rsidR="001C60CA" w:rsidRPr="003B3C1E" w:rsidRDefault="001C60CA" w:rsidP="001C60CA">
                      <w:pPr>
                        <w:rPr>
                          <w:rFonts w:ascii="Times New Roman" w:hAnsi="Times New Roman" w:cs="Times New Roman"/>
                          <w:sz w:val="16"/>
                          <w:szCs w:val="16"/>
                        </w:rPr>
                      </w:pPr>
                      <w:r w:rsidRPr="003B3C1E">
                        <w:rPr>
                          <w:rFonts w:ascii="Times New Roman" w:hAnsi="Times New Roman" w:cs="Times New Roman"/>
                          <w:sz w:val="16"/>
                          <w:szCs w:val="16"/>
                        </w:rPr>
                        <w:t xml:space="preserve">100 </w:t>
                      </w:r>
                      <w:r>
                        <w:rPr>
                          <w:rFonts w:ascii="Times New Roman" w:hAnsi="Times New Roman" w:cs="Times New Roman"/>
                          <w:sz w:val="16"/>
                          <w:szCs w:val="16"/>
                        </w:rPr>
                        <w:t>bp</w:t>
                      </w:r>
                    </w:p>
                  </w:txbxContent>
                </v:textbox>
              </v:shape>
            </w:pict>
          </mc:Fallback>
        </mc:AlternateContent>
      </w:r>
      <w:r w:rsidRPr="00DB11F6">
        <w:rPr>
          <w:rFonts w:ascii="Arial" w:hAnsi="Arial" w:cs="Arial"/>
          <w:noProof/>
          <w:lang w:eastAsia="fr-FR"/>
        </w:rPr>
        <mc:AlternateContent>
          <mc:Choice Requires="wps">
            <w:drawing>
              <wp:anchor distT="0" distB="0" distL="114300" distR="114300" simplePos="0" relativeHeight="251666432" behindDoc="0" locked="0" layoutInCell="1" allowOverlap="1" wp14:anchorId="6E0F1240" wp14:editId="533C1098">
                <wp:simplePos x="0" y="0"/>
                <wp:positionH relativeFrom="leftMargin">
                  <wp:posOffset>628651</wp:posOffset>
                </wp:positionH>
                <wp:positionV relativeFrom="paragraph">
                  <wp:posOffset>108584</wp:posOffset>
                </wp:positionV>
                <wp:extent cx="114300" cy="0"/>
                <wp:effectExtent l="0" t="0" r="19050" b="19050"/>
                <wp:wrapNone/>
                <wp:docPr id="20" name="Connecteur droit 20"/>
                <wp:cNvGraphicFramePr/>
                <a:graphic xmlns:a="http://schemas.openxmlformats.org/drawingml/2006/main">
                  <a:graphicData uri="http://schemas.microsoft.com/office/word/2010/wordprocessingShape">
                    <wps:wsp>
                      <wps:cNvCnPr/>
                      <wps:spPr>
                        <a:xfrm flipV="1">
                          <a:off x="0" y="0"/>
                          <a:ext cx="11430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AE9B996" id="Connecteur droit 20" o:spid="_x0000_s1026" style="position:absolute;flip:y;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49.5pt,8.55pt" to="5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" strokecolor="#5b9bd5" strokeweight=".5pt">
                <v:stroke joinstyle="miter"/>
                <w10:wrap anchorx="margin"/>
              </v:line>
            </w:pict>
          </mc:Fallback>
        </mc:AlternateContent>
      </w:r>
      <w:r w:rsidRPr="00DB11F6">
        <w:rPr>
          <w:rFonts w:ascii="Arial" w:hAnsi="Arial" w:cs="Arial"/>
          <w:noProof/>
          <w:lang w:eastAsia="fr-FR"/>
        </w:rPr>
        <mc:AlternateContent>
          <mc:Choice Requires="wps">
            <w:drawing>
              <wp:anchor distT="0" distB="0" distL="114300" distR="114300" simplePos="0" relativeHeight="251665408" behindDoc="0" locked="0" layoutInCell="1" allowOverlap="1" wp14:anchorId="42556E10" wp14:editId="626C234B">
                <wp:simplePos x="0" y="0"/>
                <wp:positionH relativeFrom="column">
                  <wp:posOffset>-295276</wp:posOffset>
                </wp:positionH>
                <wp:positionV relativeFrom="paragraph">
                  <wp:posOffset>403860</wp:posOffset>
                </wp:positionV>
                <wp:extent cx="85725" cy="0"/>
                <wp:effectExtent l="0" t="0" r="9525" b="19050"/>
                <wp:wrapNone/>
                <wp:docPr id="18" name="Connecteur droit 18"/>
                <wp:cNvGraphicFramePr/>
                <a:graphic xmlns:a="http://schemas.openxmlformats.org/drawingml/2006/main">
                  <a:graphicData uri="http://schemas.microsoft.com/office/word/2010/wordprocessingShape">
                    <wps:wsp>
                      <wps:cNvCnPr/>
                      <wps:spPr>
                        <a:xfrm flipH="1">
                          <a:off x="0" y="0"/>
                          <a:ext cx="8572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2FBCCA2" id="Connecteur droit 18"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31.8pt" to="-16.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" strokecolor="#5b9bd5" strokeweight=".5pt">
                <v:stroke joinstyle="miter"/>
              </v:line>
            </w:pict>
          </mc:Fallback>
        </mc:AlternateContent>
      </w:r>
    </w:p>
    <w:p w14:paraId="38662AED" w14:textId="77777777" w:rsidR="001C60CA" w:rsidRPr="00DB11F6" w:rsidRDefault="001C60CA" w:rsidP="001C60CA">
      <w:pPr>
        <w:spacing w:before="180" w:after="180" w:line="360" w:lineRule="auto"/>
        <w:jc w:val="both"/>
        <w:rPr>
          <w:rFonts w:ascii="Arial" w:hAnsi="Arial" w:cs="Arial"/>
          <w:noProof/>
          <w:lang w:val="en-US" w:eastAsia="fr-FR"/>
        </w:rPr>
      </w:pPr>
      <w:r w:rsidRPr="00DB11F6">
        <w:rPr>
          <w:rFonts w:ascii="Arial" w:hAnsi="Arial" w:cs="Arial"/>
          <w:noProof/>
          <w:lang w:eastAsia="fr-FR"/>
        </w:rPr>
        <mc:AlternateContent>
          <mc:Choice Requires="wps">
            <w:drawing>
              <wp:anchor distT="0" distB="0" distL="114300" distR="114300" simplePos="0" relativeHeight="251670528" behindDoc="0" locked="0" layoutInCell="1" allowOverlap="1" wp14:anchorId="6992D906" wp14:editId="419CA0C8">
                <wp:simplePos x="0" y="0"/>
                <wp:positionH relativeFrom="column">
                  <wp:posOffset>1743075</wp:posOffset>
                </wp:positionH>
                <wp:positionV relativeFrom="paragraph">
                  <wp:posOffset>249555</wp:posOffset>
                </wp:positionV>
                <wp:extent cx="495300" cy="352425"/>
                <wp:effectExtent l="0" t="0" r="0" b="9525"/>
                <wp:wrapNone/>
                <wp:docPr id="24" name="Zone de texte 24"/>
                <wp:cNvGraphicFramePr/>
                <a:graphic xmlns:a="http://schemas.openxmlformats.org/drawingml/2006/main">
                  <a:graphicData uri="http://schemas.microsoft.com/office/word/2010/wordprocessingShape">
                    <wps:wsp>
                      <wps:cNvSpPr txBox="1"/>
                      <wps:spPr>
                        <a:xfrm>
                          <a:off x="0" y="0"/>
                          <a:ext cx="495300" cy="352425"/>
                        </a:xfrm>
                        <a:prstGeom prst="rect">
                          <a:avLst/>
                        </a:prstGeom>
                        <a:solidFill>
                          <a:sysClr val="window" lastClr="FFFFFF"/>
                        </a:solidFill>
                        <a:ln w="6350">
                          <a:noFill/>
                        </a:ln>
                      </wps:spPr>
                      <wps:txbx>
                        <w:txbxContent>
                          <w:p w14:paraId="17343AB0" w14:textId="77777777" w:rsidR="001C60CA" w:rsidRPr="00473701" w:rsidRDefault="001C60CA" w:rsidP="001C60CA">
                            <w:pPr>
                              <w:rPr>
                                <w:rFonts w:ascii="Times New Roman" w:hAnsi="Times New Roman" w:cs="Times New Roman"/>
                                <w:sz w:val="16"/>
                                <w:szCs w:val="16"/>
                              </w:rPr>
                            </w:pPr>
                            <w:r>
                              <w:rPr>
                                <w:rFonts w:ascii="Times New Roman" w:hAnsi="Times New Roman" w:cs="Times New Roman"/>
                                <w:sz w:val="16"/>
                                <w:szCs w:val="16"/>
                              </w:rPr>
                              <w:t>100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2D906" id="Zone de texte 24" o:spid="_x0000_s1031" type="#_x0000_t202" style="position:absolute;left:0;text-align:left;margin-left:137.25pt;margin-top:19.65pt;width:39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" fillcolor="window" stroked="f" strokeweight=".5pt">
                <v:textbox>
                  <w:txbxContent>
                    <w:p w14:paraId="17343AB0" w14:textId="77777777" w:rsidR="001C60CA" w:rsidRPr="00473701" w:rsidRDefault="001C60CA" w:rsidP="001C60CA">
                      <w:pPr>
                        <w:rPr>
                          <w:rFonts w:ascii="Times New Roman" w:hAnsi="Times New Roman" w:cs="Times New Roman"/>
                          <w:sz w:val="16"/>
                          <w:szCs w:val="16"/>
                        </w:rPr>
                      </w:pPr>
                      <w:r>
                        <w:rPr>
                          <w:rFonts w:ascii="Times New Roman" w:hAnsi="Times New Roman" w:cs="Times New Roman"/>
                          <w:sz w:val="16"/>
                          <w:szCs w:val="16"/>
                        </w:rPr>
                        <w:t>100 bp</w:t>
                      </w:r>
                    </w:p>
                  </w:txbxContent>
                </v:textbox>
              </v:shape>
            </w:pict>
          </mc:Fallback>
        </mc:AlternateContent>
      </w:r>
      <w:r w:rsidRPr="00DB11F6">
        <w:rPr>
          <w:rFonts w:ascii="Arial" w:hAnsi="Arial" w:cs="Arial"/>
          <w:noProof/>
          <w:lang w:eastAsia="fr-FR"/>
        </w:rPr>
        <mc:AlternateContent>
          <mc:Choice Requires="wps">
            <w:drawing>
              <wp:anchor distT="0" distB="0" distL="114300" distR="114300" simplePos="0" relativeHeight="251669504" behindDoc="0" locked="0" layoutInCell="1" allowOverlap="1" wp14:anchorId="30D0FE2F" wp14:editId="5CB42FA2">
                <wp:simplePos x="0" y="0"/>
                <wp:positionH relativeFrom="column">
                  <wp:posOffset>2247900</wp:posOffset>
                </wp:positionH>
                <wp:positionV relativeFrom="paragraph">
                  <wp:posOffset>354329</wp:posOffset>
                </wp:positionV>
                <wp:extent cx="85725" cy="0"/>
                <wp:effectExtent l="0" t="0" r="28575" b="19050"/>
                <wp:wrapNone/>
                <wp:docPr id="23" name="Connecteur droit 23"/>
                <wp:cNvGraphicFramePr/>
                <a:graphic xmlns:a="http://schemas.openxmlformats.org/drawingml/2006/main">
                  <a:graphicData uri="http://schemas.microsoft.com/office/word/2010/wordprocessingShape">
                    <wps:wsp>
                      <wps:cNvCnPr/>
                      <wps:spPr>
                        <a:xfrm>
                          <a:off x="0" y="0"/>
                          <a:ext cx="8572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45F779D" id="Connecteur droit 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27.9pt" to="183.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" strokecolor="#5b9bd5" strokeweight=".5pt">
                <v:stroke joinstyle="miter"/>
              </v:line>
            </w:pict>
          </mc:Fallback>
        </mc:AlternateContent>
      </w:r>
      <w:r w:rsidRPr="00DB11F6">
        <w:rPr>
          <w:rFonts w:ascii="Arial" w:hAnsi="Arial" w:cs="Arial"/>
          <w:noProof/>
          <w:lang w:eastAsia="fr-FR"/>
        </w:rPr>
        <mc:AlternateContent>
          <mc:Choice Requires="wps">
            <w:drawing>
              <wp:anchor distT="0" distB="0" distL="114300" distR="114300" simplePos="0" relativeHeight="251674624" behindDoc="0" locked="0" layoutInCell="1" allowOverlap="1" wp14:anchorId="07943C89" wp14:editId="5CE30FB6">
                <wp:simplePos x="0" y="0"/>
                <wp:positionH relativeFrom="column">
                  <wp:posOffset>4610100</wp:posOffset>
                </wp:positionH>
                <wp:positionV relativeFrom="paragraph">
                  <wp:posOffset>177799</wp:posOffset>
                </wp:positionV>
                <wp:extent cx="85725" cy="0"/>
                <wp:effectExtent l="0" t="0" r="28575" b="19050"/>
                <wp:wrapNone/>
                <wp:docPr id="28" name="Connecteur droit 28"/>
                <wp:cNvGraphicFramePr/>
                <a:graphic xmlns:a="http://schemas.openxmlformats.org/drawingml/2006/main">
                  <a:graphicData uri="http://schemas.microsoft.com/office/word/2010/wordprocessingShape">
                    <wps:wsp>
                      <wps:cNvCnPr/>
                      <wps:spPr>
                        <a:xfrm flipV="1">
                          <a:off x="0" y="0"/>
                          <a:ext cx="8572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A7C17D9" id="Connecteur droit 2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4pt" to="369.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" strokecolor="#5b9bd5" strokeweight=".5pt">
                <v:stroke joinstyle="miter"/>
              </v:line>
            </w:pict>
          </mc:Fallback>
        </mc:AlternateContent>
      </w:r>
      <w:r w:rsidRPr="00DB11F6">
        <w:rPr>
          <w:rFonts w:ascii="Arial" w:hAnsi="Arial" w:cs="Arial"/>
          <w:noProof/>
          <w:lang w:eastAsia="fr-FR"/>
        </w:rPr>
        <mc:AlternateContent>
          <mc:Choice Requires="wps">
            <w:drawing>
              <wp:anchor distT="0" distB="0" distL="114300" distR="114300" simplePos="0" relativeHeight="251673600" behindDoc="0" locked="0" layoutInCell="1" allowOverlap="1" wp14:anchorId="0DDE9EF3" wp14:editId="30847DFC">
                <wp:simplePos x="0" y="0"/>
                <wp:positionH relativeFrom="column">
                  <wp:posOffset>4133850</wp:posOffset>
                </wp:positionH>
                <wp:positionV relativeFrom="paragraph">
                  <wp:posOffset>112395</wp:posOffset>
                </wp:positionV>
                <wp:extent cx="914400" cy="22860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ysClr val="window" lastClr="FFFFFF"/>
                        </a:solidFill>
                        <a:ln w="6350">
                          <a:noFill/>
                        </a:ln>
                      </wps:spPr>
                      <wps:txbx>
                        <w:txbxContent>
                          <w:p w14:paraId="543BAAED" w14:textId="77777777" w:rsidR="001C60CA" w:rsidRPr="006D14AE" w:rsidRDefault="001C60CA" w:rsidP="001C60CA">
                            <w:pPr>
                              <w:rPr>
                                <w:rFonts w:ascii="Times New Roman" w:hAnsi="Times New Roman" w:cs="Times New Roman"/>
                                <w:sz w:val="16"/>
                                <w:szCs w:val="16"/>
                              </w:rPr>
                            </w:pPr>
                            <w:r>
                              <w:rPr>
                                <w:rFonts w:ascii="Times New Roman" w:hAnsi="Times New Roman" w:cs="Times New Roman"/>
                                <w:sz w:val="16"/>
                                <w:szCs w:val="16"/>
                              </w:rPr>
                              <w:t>100bp</w:t>
                            </w:r>
                            <w:r w:rsidRPr="006D14AE">
                              <w:rPr>
                                <w:rFonts w:ascii="Times New Roman" w:hAnsi="Times New Roman" w:cs="Times New Roman"/>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DE9EF3" id="Zone de texte 27" o:spid="_x0000_s1032" type="#_x0000_t202" style="position:absolute;left:0;text-align:left;margin-left:325.5pt;margin-top:8.85pt;width:1in;height:18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" fillcolor="window" stroked="f" strokeweight=".5pt">
                <v:textbox>
                  <w:txbxContent>
                    <w:p w14:paraId="543BAAED" w14:textId="77777777" w:rsidR="001C60CA" w:rsidRPr="006D14AE" w:rsidRDefault="001C60CA" w:rsidP="001C60CA">
                      <w:pPr>
                        <w:rPr>
                          <w:rFonts w:ascii="Times New Roman" w:hAnsi="Times New Roman" w:cs="Times New Roman"/>
                          <w:sz w:val="16"/>
                          <w:szCs w:val="16"/>
                        </w:rPr>
                      </w:pPr>
                      <w:r>
                        <w:rPr>
                          <w:rFonts w:ascii="Times New Roman" w:hAnsi="Times New Roman" w:cs="Times New Roman"/>
                          <w:sz w:val="16"/>
                          <w:szCs w:val="16"/>
                        </w:rPr>
                        <w:t>100bp</w:t>
                      </w:r>
                      <w:r w:rsidRPr="006D14AE">
                        <w:rPr>
                          <w:rFonts w:ascii="Times New Roman" w:hAnsi="Times New Roman" w:cs="Times New Roman"/>
                          <w:sz w:val="16"/>
                          <w:szCs w:val="16"/>
                        </w:rPr>
                        <w:t xml:space="preserve"> </w:t>
                      </w:r>
                    </w:p>
                  </w:txbxContent>
                </v:textbox>
              </v:shape>
            </w:pict>
          </mc:Fallback>
        </mc:AlternateContent>
      </w:r>
    </w:p>
    <w:p w14:paraId="4289929A" w14:textId="77777777" w:rsidR="001C60CA" w:rsidRPr="00DB11F6" w:rsidRDefault="001C60CA" w:rsidP="001C60CA">
      <w:pPr>
        <w:spacing w:before="180" w:after="180" w:line="360" w:lineRule="auto"/>
        <w:jc w:val="both"/>
        <w:rPr>
          <w:rFonts w:ascii="Arial" w:hAnsi="Arial" w:cs="Arial"/>
          <w:noProof/>
          <w:lang w:val="en-US" w:eastAsia="fr-FR"/>
        </w:rPr>
      </w:pPr>
    </w:p>
    <w:p w14:paraId="32C9E2E1" w14:textId="77777777" w:rsidR="001C60CA" w:rsidRPr="00DB11F6" w:rsidRDefault="001C60CA" w:rsidP="001C60CA">
      <w:pPr>
        <w:spacing w:before="180" w:after="180" w:line="360" w:lineRule="auto"/>
        <w:jc w:val="both"/>
        <w:rPr>
          <w:rFonts w:ascii="Arial" w:hAnsi="Arial" w:cs="Arial"/>
          <w:noProof/>
          <w:lang w:val="en-US" w:eastAsia="fr-FR"/>
        </w:rPr>
      </w:pPr>
      <w:r w:rsidRPr="00DB11F6">
        <w:rPr>
          <w:rFonts w:ascii="Arial" w:hAnsi="Arial" w:cs="Arial"/>
          <w:noProof/>
          <w:lang w:eastAsia="fr-FR"/>
        </w:rPr>
        <mc:AlternateContent>
          <mc:Choice Requires="wps">
            <w:drawing>
              <wp:anchor distT="0" distB="0" distL="114300" distR="114300" simplePos="0" relativeHeight="251678720" behindDoc="0" locked="0" layoutInCell="1" allowOverlap="1" wp14:anchorId="65E1FEBE" wp14:editId="29F6A2D4">
                <wp:simplePos x="0" y="0"/>
                <wp:positionH relativeFrom="column">
                  <wp:posOffset>2190750</wp:posOffset>
                </wp:positionH>
                <wp:positionV relativeFrom="paragraph">
                  <wp:posOffset>361950</wp:posOffset>
                </wp:positionV>
                <wp:extent cx="2133600" cy="904875"/>
                <wp:effectExtent l="0" t="0" r="0" b="9525"/>
                <wp:wrapNone/>
                <wp:docPr id="32" name="Zone de texte 32"/>
                <wp:cNvGraphicFramePr/>
                <a:graphic xmlns:a="http://schemas.openxmlformats.org/drawingml/2006/main">
                  <a:graphicData uri="http://schemas.microsoft.com/office/word/2010/wordprocessingShape">
                    <wps:wsp>
                      <wps:cNvSpPr txBox="1"/>
                      <wps:spPr>
                        <a:xfrm>
                          <a:off x="0" y="0"/>
                          <a:ext cx="2133600" cy="904875"/>
                        </a:xfrm>
                        <a:prstGeom prst="rect">
                          <a:avLst/>
                        </a:prstGeom>
                        <a:solidFill>
                          <a:sysClr val="window" lastClr="FFFFFF"/>
                        </a:solidFill>
                        <a:ln w="6350">
                          <a:noFill/>
                        </a:ln>
                      </wps:spPr>
                      <wps:txbx>
                        <w:txbxContent>
                          <w:p w14:paraId="2FF65FD5" w14:textId="77777777" w:rsidR="001C60CA" w:rsidRPr="00885131" w:rsidRDefault="001C60CA" w:rsidP="001C60CA">
                            <w:pPr>
                              <w:jc w:val="both"/>
                              <w:rPr>
                                <w:rFonts w:ascii="Calibri" w:hAnsi="Calibri" w:cs="Calibri"/>
                                <w:lang w:val="en-US"/>
                              </w:rPr>
                            </w:pPr>
                            <w:r w:rsidRPr="00885131">
                              <w:rPr>
                                <w:rFonts w:ascii="Calibri" w:hAnsi="Calibri" w:cs="Calibri"/>
                                <w:lang w:val="en-US"/>
                              </w:rPr>
                              <w:t xml:space="preserve">Figure 2. Agarose Gel Electrophoresis of PCR-Amplified </w:t>
                            </w:r>
                            <w:r w:rsidRPr="00885131">
                              <w:rPr>
                                <w:rStyle w:val="Emphasis"/>
                                <w:rFonts w:ascii="Calibri" w:hAnsi="Calibri" w:cs="Calibri"/>
                                <w:lang w:val="en-US"/>
                              </w:rPr>
                              <w:t>bla&lt;sub&gt;TEM&lt;/sub&gt;</w:t>
                            </w:r>
                            <w:r w:rsidRPr="00885131">
                              <w:rPr>
                                <w:rFonts w:ascii="Calibri" w:hAnsi="Calibri" w:cs="Calibri"/>
                                <w:lang w:val="en-US"/>
                              </w:rPr>
                              <w:t xml:space="preserve"> Gene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1FEBE" id="Zone de texte 32" o:spid="_x0000_s1033" type="#_x0000_t202" style="position:absolute;left:0;text-align:left;margin-left:172.5pt;margin-top:28.5pt;width:168pt;height:7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" fillcolor="window" stroked="f" strokeweight=".5pt">
                <v:textbox>
                  <w:txbxContent>
                    <w:p w14:paraId="2FF65FD5" w14:textId="77777777" w:rsidR="001C60CA" w:rsidRPr="00885131" w:rsidRDefault="001C60CA" w:rsidP="001C60CA">
                      <w:pPr>
                        <w:jc w:val="both"/>
                        <w:rPr>
                          <w:rFonts w:ascii="Calibri" w:hAnsi="Calibri" w:cs="Calibri"/>
                          <w:lang w:val="en-US"/>
                        </w:rPr>
                      </w:pPr>
                      <w:r w:rsidRPr="00885131">
                        <w:rPr>
                          <w:rFonts w:ascii="Calibri" w:hAnsi="Calibri" w:cs="Calibri"/>
                          <w:lang w:val="en-US"/>
                        </w:rPr>
                        <w:t xml:space="preserve">Figure 2. Agarose Gel Electrophoresis of PCR-Amplified </w:t>
                      </w:r>
                      <w:r w:rsidRPr="00885131">
                        <w:rPr>
                          <w:rStyle w:val="Emphasis"/>
                          <w:rFonts w:ascii="Calibri" w:hAnsi="Calibri" w:cs="Calibri"/>
                          <w:lang w:val="en-US"/>
                        </w:rPr>
                        <w:t>bla&lt;sub&gt;TEM&lt;/sub&gt;</w:t>
                      </w:r>
                      <w:r w:rsidRPr="00885131">
                        <w:rPr>
                          <w:rFonts w:ascii="Calibri" w:hAnsi="Calibri" w:cs="Calibri"/>
                          <w:lang w:val="en-US"/>
                        </w:rPr>
                        <w:t xml:space="preserve"> Gene Products</w:t>
                      </w:r>
                    </w:p>
                  </w:txbxContent>
                </v:textbox>
              </v:shape>
            </w:pict>
          </mc:Fallback>
        </mc:AlternateContent>
      </w:r>
      <w:r w:rsidRPr="00DB11F6">
        <w:rPr>
          <w:rFonts w:ascii="Arial" w:hAnsi="Arial" w:cs="Arial"/>
          <w:noProof/>
          <w:lang w:eastAsia="fr-FR"/>
        </w:rPr>
        <mc:AlternateContent>
          <mc:Choice Requires="wps">
            <w:drawing>
              <wp:anchor distT="0" distB="0" distL="114300" distR="114300" simplePos="0" relativeHeight="251677696" behindDoc="0" locked="0" layoutInCell="1" allowOverlap="1" wp14:anchorId="75D176C1" wp14:editId="7FC5BED9">
                <wp:simplePos x="0" y="0"/>
                <wp:positionH relativeFrom="column">
                  <wp:posOffset>-371475</wp:posOffset>
                </wp:positionH>
                <wp:positionV relativeFrom="paragraph">
                  <wp:posOffset>357505</wp:posOffset>
                </wp:positionV>
                <wp:extent cx="1924050" cy="100965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1924050" cy="1009650"/>
                        </a:xfrm>
                        <a:prstGeom prst="rect">
                          <a:avLst/>
                        </a:prstGeom>
                        <a:solidFill>
                          <a:sysClr val="window" lastClr="FFFFFF"/>
                        </a:solidFill>
                        <a:ln w="6350">
                          <a:noFill/>
                        </a:ln>
                      </wps:spPr>
                      <wps:txbx>
                        <w:txbxContent>
                          <w:p w14:paraId="0D277E26" w14:textId="77777777" w:rsidR="001C60CA" w:rsidRPr="00885131" w:rsidRDefault="001C60CA" w:rsidP="001C60CA">
                            <w:pPr>
                              <w:rPr>
                                <w:rFonts w:ascii="Calibri" w:hAnsi="Calibri" w:cs="Calibri"/>
                                <w:lang w:val="en-US"/>
                              </w:rPr>
                            </w:pPr>
                            <w:r w:rsidRPr="00885131">
                              <w:rPr>
                                <w:rFonts w:ascii="Calibri" w:hAnsi="Calibri" w:cs="Calibri"/>
                                <w:lang w:val="en-US"/>
                              </w:rPr>
                              <w:t xml:space="preserve">Figure 1. Agarose Gel Electrophoresis of PCR-Amplified </w:t>
                            </w:r>
                            <w:r w:rsidRPr="00885131">
                              <w:rPr>
                                <w:rFonts w:ascii="Calibri" w:hAnsi="Calibri" w:cs="Calibri"/>
                                <w:i/>
                                <w:iCs/>
                                <w:lang w:val="en-US"/>
                              </w:rPr>
                              <w:t>bla&lt;sub&gt;SHV&lt;/sub&gt;</w:t>
                            </w:r>
                            <w:r w:rsidRPr="00885131">
                              <w:rPr>
                                <w:rFonts w:ascii="Calibri" w:hAnsi="Calibri" w:cs="Calibri"/>
                                <w:lang w:val="en-US"/>
                              </w:rPr>
                              <w:t xml:space="preserve"> Gene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76C1" id="Zone de texte 31" o:spid="_x0000_s1034" type="#_x0000_t202" style="position:absolute;left:0;text-align:left;margin-left:-29.25pt;margin-top:28.15pt;width:151.5pt;height: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" fillcolor="window" stroked="f" strokeweight=".5pt">
                <v:textbox>
                  <w:txbxContent>
                    <w:p w14:paraId="0D277E26" w14:textId="77777777" w:rsidR="001C60CA" w:rsidRPr="00885131" w:rsidRDefault="001C60CA" w:rsidP="001C60CA">
                      <w:pPr>
                        <w:rPr>
                          <w:rFonts w:ascii="Calibri" w:hAnsi="Calibri" w:cs="Calibri"/>
                          <w:lang w:val="en-US"/>
                        </w:rPr>
                      </w:pPr>
                      <w:r w:rsidRPr="00885131">
                        <w:rPr>
                          <w:rFonts w:ascii="Calibri" w:hAnsi="Calibri" w:cs="Calibri"/>
                          <w:lang w:val="en-US"/>
                        </w:rPr>
                        <w:t xml:space="preserve">Figure 1. Agarose Gel Electrophoresis of PCR-Amplified </w:t>
                      </w:r>
                      <w:r w:rsidRPr="00885131">
                        <w:rPr>
                          <w:rFonts w:ascii="Calibri" w:hAnsi="Calibri" w:cs="Calibri"/>
                          <w:i/>
                          <w:iCs/>
                          <w:lang w:val="en-US"/>
                        </w:rPr>
                        <w:t>bla&lt;sub&gt;SHV&lt;/sub&gt;</w:t>
                      </w:r>
                      <w:r w:rsidRPr="00885131">
                        <w:rPr>
                          <w:rFonts w:ascii="Calibri" w:hAnsi="Calibri" w:cs="Calibri"/>
                          <w:lang w:val="en-US"/>
                        </w:rPr>
                        <w:t xml:space="preserve"> Gene Products</w:t>
                      </w:r>
                    </w:p>
                  </w:txbxContent>
                </v:textbox>
              </v:shape>
            </w:pict>
          </mc:Fallback>
        </mc:AlternateContent>
      </w:r>
    </w:p>
    <w:p w14:paraId="0611AFC7" w14:textId="77777777" w:rsidR="001C60CA" w:rsidRPr="00DB11F6" w:rsidRDefault="001C60CA" w:rsidP="001C60CA">
      <w:pPr>
        <w:spacing w:before="180" w:after="180" w:line="360" w:lineRule="auto"/>
        <w:jc w:val="both"/>
        <w:rPr>
          <w:rFonts w:ascii="Arial" w:hAnsi="Arial" w:cs="Arial"/>
          <w:noProof/>
          <w:lang w:val="en-US" w:eastAsia="fr-FR"/>
        </w:rPr>
      </w:pPr>
      <w:r w:rsidRPr="00DB11F6">
        <w:rPr>
          <w:rFonts w:ascii="Arial" w:hAnsi="Arial" w:cs="Arial"/>
          <w:noProof/>
          <w:lang w:eastAsia="fr-FR"/>
        </w:rPr>
        <mc:AlternateContent>
          <mc:Choice Requires="wps">
            <w:drawing>
              <wp:anchor distT="0" distB="0" distL="114300" distR="114300" simplePos="0" relativeHeight="251679744" behindDoc="0" locked="0" layoutInCell="1" allowOverlap="1" wp14:anchorId="60378B08" wp14:editId="4DDDAA04">
                <wp:simplePos x="0" y="0"/>
                <wp:positionH relativeFrom="page">
                  <wp:align>right</wp:align>
                </wp:positionH>
                <wp:positionV relativeFrom="paragraph">
                  <wp:posOffset>15875</wp:posOffset>
                </wp:positionV>
                <wp:extent cx="2190750" cy="102870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2190750" cy="1028700"/>
                        </a:xfrm>
                        <a:prstGeom prst="rect">
                          <a:avLst/>
                        </a:prstGeom>
                        <a:solidFill>
                          <a:sysClr val="window" lastClr="FFFFFF"/>
                        </a:solidFill>
                        <a:ln w="6350">
                          <a:noFill/>
                        </a:ln>
                      </wps:spPr>
                      <wps:txbx>
                        <w:txbxContent>
                          <w:p w14:paraId="2A59147E" w14:textId="77777777" w:rsidR="001C60CA" w:rsidRPr="00885131" w:rsidRDefault="001C60CA" w:rsidP="001C60CA">
                            <w:pPr>
                              <w:jc w:val="both"/>
                              <w:rPr>
                                <w:rFonts w:ascii="Calibri" w:hAnsi="Calibri" w:cs="Calibri"/>
                                <w:lang w:val="en-US"/>
                              </w:rPr>
                            </w:pPr>
                            <w:r w:rsidRPr="00885131">
                              <w:rPr>
                                <w:rFonts w:ascii="Calibri" w:hAnsi="Calibri" w:cs="Calibri"/>
                                <w:lang w:val="en-US"/>
                              </w:rPr>
                              <w:t xml:space="preserve">Figure 3. Agarose Gel Electrophoresis of PCR-Amplified </w:t>
                            </w:r>
                            <w:r w:rsidRPr="00885131">
                              <w:rPr>
                                <w:rStyle w:val="Emphasis"/>
                                <w:rFonts w:ascii="Calibri" w:hAnsi="Calibri" w:cs="Calibri"/>
                                <w:lang w:val="en-US"/>
                              </w:rPr>
                              <w:t>bla&lt;sub&gt;CTX&lt;/sub&gt;</w:t>
                            </w:r>
                            <w:r w:rsidRPr="00885131">
                              <w:rPr>
                                <w:rFonts w:ascii="Calibri" w:hAnsi="Calibri" w:cs="Calibri"/>
                                <w:lang w:val="en-US"/>
                              </w:rPr>
                              <w:t xml:space="preserve"> Gene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78B08" id="Zone de texte 33" o:spid="_x0000_s1035" type="#_x0000_t202" style="position:absolute;left:0;text-align:left;margin-left:121.3pt;margin-top:1.25pt;width:172.5pt;height:81pt;z-index:251679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" fillcolor="window" stroked="f" strokeweight=".5pt">
                <v:textbox>
                  <w:txbxContent>
                    <w:p w14:paraId="2A59147E" w14:textId="77777777" w:rsidR="001C60CA" w:rsidRPr="00885131" w:rsidRDefault="001C60CA" w:rsidP="001C60CA">
                      <w:pPr>
                        <w:jc w:val="both"/>
                        <w:rPr>
                          <w:rFonts w:ascii="Calibri" w:hAnsi="Calibri" w:cs="Calibri"/>
                          <w:lang w:val="en-US"/>
                        </w:rPr>
                      </w:pPr>
                      <w:r w:rsidRPr="00885131">
                        <w:rPr>
                          <w:rFonts w:ascii="Calibri" w:hAnsi="Calibri" w:cs="Calibri"/>
                          <w:lang w:val="en-US"/>
                        </w:rPr>
                        <w:t xml:space="preserve">Figure 3. Agarose Gel Electrophoresis of PCR-Amplified </w:t>
                      </w:r>
                      <w:r w:rsidRPr="00885131">
                        <w:rPr>
                          <w:rStyle w:val="Emphasis"/>
                          <w:rFonts w:ascii="Calibri" w:hAnsi="Calibri" w:cs="Calibri"/>
                          <w:lang w:val="en-US"/>
                        </w:rPr>
                        <w:t>bla&lt;sub&gt;CTX&lt;/sub&gt;</w:t>
                      </w:r>
                      <w:r w:rsidRPr="00885131">
                        <w:rPr>
                          <w:rFonts w:ascii="Calibri" w:hAnsi="Calibri" w:cs="Calibri"/>
                          <w:lang w:val="en-US"/>
                        </w:rPr>
                        <w:t xml:space="preserve"> Gene Products</w:t>
                      </w:r>
                    </w:p>
                  </w:txbxContent>
                </v:textbox>
                <w10:wrap anchorx="page"/>
              </v:shape>
            </w:pict>
          </mc:Fallback>
        </mc:AlternateContent>
      </w:r>
    </w:p>
    <w:p w14:paraId="6F911731" w14:textId="77777777" w:rsidR="001C60CA" w:rsidRPr="00DB11F6" w:rsidRDefault="001C60CA" w:rsidP="001C60CA">
      <w:pPr>
        <w:spacing w:before="180" w:after="180" w:line="360" w:lineRule="auto"/>
        <w:jc w:val="both"/>
        <w:rPr>
          <w:rFonts w:ascii="Arial" w:hAnsi="Arial" w:cs="Arial"/>
          <w:noProof/>
          <w:lang w:val="en-US" w:eastAsia="fr-FR"/>
        </w:rPr>
      </w:pPr>
    </w:p>
    <w:p w14:paraId="2C33B1F5" w14:textId="77777777" w:rsidR="00100A20" w:rsidRPr="00DB11F6" w:rsidRDefault="00100A20" w:rsidP="00335C77">
      <w:pPr>
        <w:jc w:val="both"/>
        <w:rPr>
          <w:rFonts w:ascii="Arial" w:hAnsi="Arial" w:cs="Arial"/>
          <w:lang w:val="en-US"/>
        </w:rPr>
      </w:pPr>
    </w:p>
    <w:p w14:paraId="563EC0EB" w14:textId="77777777" w:rsidR="00335C77" w:rsidRPr="00DB11F6" w:rsidRDefault="00335C77" w:rsidP="004B5346">
      <w:pPr>
        <w:spacing w:line="360" w:lineRule="auto"/>
        <w:jc w:val="both"/>
        <w:rPr>
          <w:rFonts w:ascii="Arial" w:hAnsi="Arial" w:cs="Arial"/>
          <w:lang w:val="en-US"/>
        </w:rPr>
      </w:pPr>
      <w:r w:rsidRPr="00DB11F6">
        <w:rPr>
          <w:rFonts w:ascii="Arial" w:hAnsi="Arial" w:cs="Arial"/>
          <w:lang w:val="en-US"/>
        </w:rPr>
        <w:t xml:space="preserve">We performed a </w:t>
      </w:r>
      <w:r w:rsidRPr="00DB11F6">
        <w:rPr>
          <w:rFonts w:ascii="Arial" w:hAnsi="Arial" w:cs="Arial"/>
          <w:b/>
          <w:bCs/>
          <w:lang w:val="en-US"/>
        </w:rPr>
        <w:t>correlation analysis</w:t>
      </w:r>
      <w:r w:rsidRPr="00DB11F6">
        <w:rPr>
          <w:rFonts w:ascii="Arial" w:hAnsi="Arial" w:cs="Arial"/>
          <w:lang w:val="en-US"/>
        </w:rPr>
        <w:t xml:space="preserve"> between resistance genes and the antibiotics to which they confer resistance in order to identify potential associations between these variables. The analysis revea</w:t>
      </w:r>
      <w:r w:rsidR="006636B6" w:rsidRPr="00DB11F6">
        <w:rPr>
          <w:rFonts w:ascii="Arial" w:hAnsi="Arial" w:cs="Arial"/>
          <w:lang w:val="en-US"/>
        </w:rPr>
        <w:t>led the following relationships:</w:t>
      </w:r>
    </w:p>
    <w:p w14:paraId="407BEB10" w14:textId="77777777" w:rsidR="00DA3AF7" w:rsidRPr="00DB11F6" w:rsidRDefault="00DA3AF7" w:rsidP="008061AC">
      <w:pPr>
        <w:numPr>
          <w:ilvl w:val="0"/>
          <w:numId w:val="4"/>
        </w:numPr>
        <w:spacing w:line="360" w:lineRule="auto"/>
        <w:jc w:val="both"/>
        <w:rPr>
          <w:rFonts w:ascii="Arial" w:hAnsi="Arial" w:cs="Arial"/>
          <w:lang w:val="en-US"/>
        </w:rPr>
      </w:pPr>
      <w:r w:rsidRPr="00DB11F6">
        <w:rPr>
          <w:rFonts w:ascii="Arial" w:hAnsi="Arial" w:cs="Arial"/>
          <w:lang w:val="en-US"/>
        </w:rPr>
        <w:t xml:space="preserve">A </w:t>
      </w:r>
      <w:r w:rsidRPr="00DB11F6">
        <w:rPr>
          <w:rFonts w:ascii="Arial" w:hAnsi="Arial" w:cs="Arial"/>
          <w:bCs/>
          <w:lang w:val="en-US"/>
        </w:rPr>
        <w:t>significant positive correlation</w:t>
      </w:r>
      <w:r w:rsidRPr="00DB11F6">
        <w:rPr>
          <w:rFonts w:ascii="Arial" w:hAnsi="Arial" w:cs="Arial"/>
          <w:lang w:val="en-US"/>
        </w:rPr>
        <w:t xml:space="preserve"> was observed between the </w:t>
      </w:r>
      <w:r w:rsidRPr="00DB11F6">
        <w:rPr>
          <w:rFonts w:ascii="Arial" w:hAnsi="Arial" w:cs="Arial"/>
          <w:bCs/>
          <w:lang w:val="en-US"/>
        </w:rPr>
        <w:t>TEM</w:t>
      </w:r>
      <w:r w:rsidRPr="00DB11F6">
        <w:rPr>
          <w:rFonts w:ascii="Arial" w:hAnsi="Arial" w:cs="Arial"/>
          <w:lang w:val="en-US"/>
        </w:rPr>
        <w:t xml:space="preserve"> gene and resistance to </w:t>
      </w:r>
      <w:r w:rsidR="008B1084" w:rsidRPr="00DB11F6">
        <w:rPr>
          <w:rFonts w:ascii="Arial" w:hAnsi="Arial" w:cs="Arial"/>
          <w:bCs/>
          <w:lang w:val="en-US"/>
        </w:rPr>
        <w:t>CAZ</w:t>
      </w:r>
      <w:r w:rsidRPr="00DB11F6">
        <w:rPr>
          <w:rFonts w:ascii="Arial" w:hAnsi="Arial" w:cs="Arial"/>
          <w:lang w:val="en-US"/>
        </w:rPr>
        <w:t xml:space="preserve"> and </w:t>
      </w:r>
      <w:r w:rsidR="008B1084" w:rsidRPr="00DB11F6">
        <w:rPr>
          <w:rFonts w:ascii="Arial" w:hAnsi="Arial" w:cs="Arial"/>
          <w:bCs/>
          <w:lang w:val="en-US"/>
        </w:rPr>
        <w:t>CTX</w:t>
      </w:r>
      <w:r w:rsidRPr="00DB11F6">
        <w:rPr>
          <w:rFonts w:ascii="Arial" w:hAnsi="Arial" w:cs="Arial"/>
          <w:lang w:val="en-US"/>
        </w:rPr>
        <w:t>.</w:t>
      </w:r>
    </w:p>
    <w:p w14:paraId="6CF589AB" w14:textId="77777777" w:rsidR="00DA3AF7" w:rsidRPr="00DB11F6" w:rsidRDefault="00DA3AF7" w:rsidP="00121454">
      <w:pPr>
        <w:numPr>
          <w:ilvl w:val="0"/>
          <w:numId w:val="4"/>
        </w:numPr>
        <w:spacing w:line="360" w:lineRule="auto"/>
        <w:jc w:val="both"/>
        <w:rPr>
          <w:rFonts w:ascii="Arial" w:hAnsi="Arial" w:cs="Arial"/>
          <w:lang w:val="en-US"/>
        </w:rPr>
      </w:pPr>
      <w:r w:rsidRPr="00DB11F6">
        <w:rPr>
          <w:rFonts w:ascii="Arial" w:hAnsi="Arial" w:cs="Arial"/>
          <w:lang w:val="en-US"/>
        </w:rPr>
        <w:t xml:space="preserve">A </w:t>
      </w:r>
      <w:r w:rsidRPr="00DB11F6">
        <w:rPr>
          <w:rFonts w:ascii="Arial" w:hAnsi="Arial" w:cs="Arial"/>
          <w:bCs/>
          <w:lang w:val="en-US"/>
        </w:rPr>
        <w:t>non-significant positive correlation</w:t>
      </w:r>
      <w:r w:rsidRPr="00DB11F6">
        <w:rPr>
          <w:rFonts w:ascii="Arial" w:hAnsi="Arial" w:cs="Arial"/>
          <w:lang w:val="en-US"/>
        </w:rPr>
        <w:t xml:space="preserve"> was noted between </w:t>
      </w:r>
      <w:r w:rsidRPr="00DB11F6">
        <w:rPr>
          <w:rFonts w:ascii="Arial" w:hAnsi="Arial" w:cs="Arial"/>
          <w:bCs/>
          <w:lang w:val="en-US"/>
        </w:rPr>
        <w:t>TEM</w:t>
      </w:r>
      <w:r w:rsidRPr="00DB11F6">
        <w:rPr>
          <w:rFonts w:ascii="Arial" w:hAnsi="Arial" w:cs="Arial"/>
          <w:lang w:val="en-US"/>
        </w:rPr>
        <w:t xml:space="preserve"> and </w:t>
      </w:r>
      <w:r w:rsidR="008B1084" w:rsidRPr="00DB11F6">
        <w:rPr>
          <w:rFonts w:ascii="Arial" w:hAnsi="Arial" w:cs="Arial"/>
          <w:bCs/>
          <w:lang w:val="en-US"/>
        </w:rPr>
        <w:t>CTR</w:t>
      </w:r>
      <w:r w:rsidRPr="00DB11F6">
        <w:rPr>
          <w:rFonts w:ascii="Arial" w:hAnsi="Arial" w:cs="Arial"/>
          <w:lang w:val="en-US"/>
        </w:rPr>
        <w:t>.</w:t>
      </w:r>
    </w:p>
    <w:p w14:paraId="22AF628E" w14:textId="77777777" w:rsidR="00DA3AF7" w:rsidRPr="00DB11F6" w:rsidRDefault="00DA3AF7" w:rsidP="00121454">
      <w:pPr>
        <w:numPr>
          <w:ilvl w:val="0"/>
          <w:numId w:val="4"/>
        </w:numPr>
        <w:spacing w:line="360" w:lineRule="auto"/>
        <w:jc w:val="both"/>
        <w:rPr>
          <w:rFonts w:ascii="Arial" w:hAnsi="Arial" w:cs="Arial"/>
          <w:lang w:val="en-US"/>
        </w:rPr>
      </w:pPr>
      <w:r w:rsidRPr="00DB11F6">
        <w:rPr>
          <w:rFonts w:ascii="Arial" w:hAnsi="Arial" w:cs="Arial"/>
          <w:lang w:val="en-US"/>
        </w:rPr>
        <w:t xml:space="preserve">The </w:t>
      </w:r>
      <w:r w:rsidRPr="00DB11F6">
        <w:rPr>
          <w:rFonts w:ascii="Arial" w:hAnsi="Arial" w:cs="Arial"/>
          <w:bCs/>
          <w:lang w:val="en-US"/>
        </w:rPr>
        <w:t>SHV</w:t>
      </w:r>
      <w:r w:rsidRPr="00DB11F6">
        <w:rPr>
          <w:rFonts w:ascii="Arial" w:hAnsi="Arial" w:cs="Arial"/>
          <w:lang w:val="en-US"/>
        </w:rPr>
        <w:t xml:space="preserve"> gene showed a </w:t>
      </w:r>
      <w:r w:rsidRPr="00DB11F6">
        <w:rPr>
          <w:rFonts w:ascii="Arial" w:hAnsi="Arial" w:cs="Arial"/>
          <w:bCs/>
          <w:lang w:val="en-US"/>
        </w:rPr>
        <w:t>non-significant positive correlation</w:t>
      </w:r>
      <w:r w:rsidRPr="00DB11F6">
        <w:rPr>
          <w:rFonts w:ascii="Arial" w:hAnsi="Arial" w:cs="Arial"/>
          <w:lang w:val="en-US"/>
        </w:rPr>
        <w:t xml:space="preserve"> with </w:t>
      </w:r>
      <w:r w:rsidRPr="00DB11F6">
        <w:rPr>
          <w:rFonts w:ascii="Arial" w:hAnsi="Arial" w:cs="Arial"/>
          <w:bCs/>
          <w:lang w:val="en-US"/>
        </w:rPr>
        <w:t>CTX</w:t>
      </w:r>
      <w:r w:rsidRPr="00DB11F6">
        <w:rPr>
          <w:rFonts w:ascii="Arial" w:hAnsi="Arial" w:cs="Arial"/>
          <w:lang w:val="en-US"/>
        </w:rPr>
        <w:t xml:space="preserve">, and a </w:t>
      </w:r>
      <w:r w:rsidRPr="00DB11F6">
        <w:rPr>
          <w:rFonts w:ascii="Arial" w:hAnsi="Arial" w:cs="Arial"/>
          <w:bCs/>
          <w:lang w:val="en-US"/>
        </w:rPr>
        <w:t>negative correlation</w:t>
      </w:r>
      <w:r w:rsidRPr="00DB11F6">
        <w:rPr>
          <w:rFonts w:ascii="Arial" w:hAnsi="Arial" w:cs="Arial"/>
          <w:lang w:val="en-US"/>
        </w:rPr>
        <w:t xml:space="preserve"> with </w:t>
      </w:r>
      <w:r w:rsidRPr="00DB11F6">
        <w:rPr>
          <w:rFonts w:ascii="Arial" w:hAnsi="Arial" w:cs="Arial"/>
          <w:bCs/>
          <w:lang w:val="en-US"/>
        </w:rPr>
        <w:t>CAZ</w:t>
      </w:r>
      <w:r w:rsidRPr="00DB11F6">
        <w:rPr>
          <w:rFonts w:ascii="Arial" w:hAnsi="Arial" w:cs="Arial"/>
          <w:lang w:val="en-US"/>
        </w:rPr>
        <w:t xml:space="preserve"> and </w:t>
      </w:r>
      <w:r w:rsidR="008B1084" w:rsidRPr="00DB11F6">
        <w:rPr>
          <w:rFonts w:ascii="Arial" w:hAnsi="Arial" w:cs="Arial"/>
          <w:bCs/>
          <w:lang w:val="en-US"/>
        </w:rPr>
        <w:t>CRO</w:t>
      </w:r>
      <w:r w:rsidRPr="00DB11F6">
        <w:rPr>
          <w:rFonts w:ascii="Arial" w:hAnsi="Arial" w:cs="Arial"/>
          <w:lang w:val="en-US"/>
        </w:rPr>
        <w:t>.</w:t>
      </w:r>
    </w:p>
    <w:p w14:paraId="3D6497C2" w14:textId="77777777" w:rsidR="00DA3AF7" w:rsidRPr="00DB11F6" w:rsidRDefault="00DA3AF7" w:rsidP="00121454">
      <w:pPr>
        <w:spacing w:line="360" w:lineRule="auto"/>
        <w:jc w:val="both"/>
        <w:rPr>
          <w:rFonts w:ascii="Arial" w:hAnsi="Arial" w:cs="Arial"/>
          <w:lang w:val="en-US"/>
        </w:rPr>
      </w:pPr>
      <w:r w:rsidRPr="00DB11F6">
        <w:rPr>
          <w:rFonts w:ascii="Arial" w:hAnsi="Arial" w:cs="Arial"/>
          <w:lang w:val="en-US"/>
        </w:rPr>
        <w:t xml:space="preserve">- A </w:t>
      </w:r>
      <w:r w:rsidRPr="00DB11F6">
        <w:rPr>
          <w:rFonts w:ascii="Arial" w:hAnsi="Arial" w:cs="Arial"/>
          <w:bCs/>
          <w:lang w:val="en-US"/>
        </w:rPr>
        <w:t>significant positive correlation</w:t>
      </w:r>
      <w:r w:rsidRPr="00DB11F6">
        <w:rPr>
          <w:rFonts w:ascii="Arial" w:hAnsi="Arial" w:cs="Arial"/>
          <w:lang w:val="en-US"/>
        </w:rPr>
        <w:t xml:space="preserve"> was identified between the </w:t>
      </w:r>
      <w:r w:rsidRPr="00DB11F6">
        <w:rPr>
          <w:rFonts w:ascii="Arial" w:hAnsi="Arial" w:cs="Arial"/>
          <w:bCs/>
          <w:lang w:val="en-US"/>
        </w:rPr>
        <w:t>CTX-M</w:t>
      </w:r>
      <w:r w:rsidRPr="00DB11F6">
        <w:rPr>
          <w:rFonts w:ascii="Arial" w:hAnsi="Arial" w:cs="Arial"/>
          <w:lang w:val="en-US"/>
        </w:rPr>
        <w:t xml:space="preserve"> gene and </w:t>
      </w:r>
      <w:r w:rsidRPr="00DB11F6">
        <w:rPr>
          <w:rFonts w:ascii="Arial" w:hAnsi="Arial" w:cs="Arial"/>
          <w:bCs/>
          <w:lang w:val="en-US"/>
        </w:rPr>
        <w:t>CRO</w:t>
      </w:r>
      <w:r w:rsidRPr="00DB11F6">
        <w:rPr>
          <w:rFonts w:ascii="Arial" w:hAnsi="Arial" w:cs="Arial"/>
          <w:lang w:val="en-US"/>
        </w:rPr>
        <w:t xml:space="preserve">, while </w:t>
      </w:r>
      <w:r w:rsidRPr="00DB11F6">
        <w:rPr>
          <w:rFonts w:ascii="Arial" w:hAnsi="Arial" w:cs="Arial"/>
          <w:bCs/>
          <w:lang w:val="en-US"/>
        </w:rPr>
        <w:t>negative correlations</w:t>
      </w:r>
      <w:r w:rsidRPr="00DB11F6">
        <w:rPr>
          <w:rFonts w:ascii="Arial" w:hAnsi="Arial" w:cs="Arial"/>
          <w:lang w:val="en-US"/>
        </w:rPr>
        <w:t xml:space="preserve"> were observed between </w:t>
      </w:r>
      <w:r w:rsidRPr="00DB11F6">
        <w:rPr>
          <w:rFonts w:ascii="Arial" w:hAnsi="Arial" w:cs="Arial"/>
          <w:bCs/>
          <w:lang w:val="en-US"/>
        </w:rPr>
        <w:t>CTX-M</w:t>
      </w:r>
      <w:r w:rsidRPr="00DB11F6">
        <w:rPr>
          <w:rFonts w:ascii="Arial" w:hAnsi="Arial" w:cs="Arial"/>
          <w:lang w:val="en-US"/>
        </w:rPr>
        <w:t xml:space="preserve"> and both </w:t>
      </w:r>
      <w:r w:rsidRPr="00DB11F6">
        <w:rPr>
          <w:rFonts w:ascii="Arial" w:hAnsi="Arial" w:cs="Arial"/>
          <w:bCs/>
          <w:lang w:val="en-US"/>
        </w:rPr>
        <w:t>CAZ</w:t>
      </w:r>
      <w:r w:rsidRPr="00DB11F6">
        <w:rPr>
          <w:rFonts w:ascii="Arial" w:hAnsi="Arial" w:cs="Arial"/>
          <w:lang w:val="en-US"/>
        </w:rPr>
        <w:t xml:space="preserve"> and </w:t>
      </w:r>
      <w:r w:rsidRPr="00DB11F6">
        <w:rPr>
          <w:rFonts w:ascii="Arial" w:hAnsi="Arial" w:cs="Arial"/>
          <w:bCs/>
          <w:lang w:val="en-US"/>
        </w:rPr>
        <w:t>CTR</w:t>
      </w:r>
      <w:r w:rsidRPr="00DB11F6">
        <w:rPr>
          <w:rFonts w:ascii="Arial" w:hAnsi="Arial" w:cs="Arial"/>
          <w:lang w:val="en-US"/>
        </w:rPr>
        <w:t>.</w:t>
      </w:r>
    </w:p>
    <w:p w14:paraId="571ED3D4" w14:textId="77777777" w:rsidR="00DA3AF7" w:rsidRPr="00DB11F6" w:rsidRDefault="00DA3AF7" w:rsidP="00335C77">
      <w:pPr>
        <w:jc w:val="both"/>
        <w:rPr>
          <w:rFonts w:ascii="Arial" w:hAnsi="Arial" w:cs="Arial"/>
          <w:lang w:val="en-US"/>
        </w:rPr>
      </w:pPr>
    </w:p>
    <w:p w14:paraId="54B14A80" w14:textId="77777777" w:rsidR="006636B6" w:rsidRPr="00DB11F6" w:rsidRDefault="00A23A56" w:rsidP="005A67DC">
      <w:pPr>
        <w:jc w:val="both"/>
        <w:rPr>
          <w:rFonts w:ascii="Arial" w:hAnsi="Arial" w:cs="Arial"/>
          <w:lang w:val="en-US"/>
        </w:rPr>
      </w:pPr>
      <w:r w:rsidRPr="00A23A56">
        <w:rPr>
          <w:rFonts w:ascii="Arial" w:hAnsi="Arial" w:cs="Arial"/>
          <w:noProof/>
          <w:lang w:eastAsia="fr-FR"/>
        </w:rPr>
        <w:drawing>
          <wp:inline distT="0" distB="0" distL="0" distR="0" wp14:anchorId="4BD03BCF" wp14:editId="0E9364AC">
            <wp:extent cx="2733675" cy="2495550"/>
            <wp:effectExtent l="0" t="0" r="9525" b="0"/>
            <wp:docPr id="2" name="Image 2" descr="C:\Users\HP\Desktop\DOCUMENT POUR LA THESE\oxiimino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OCUMENT POUR LA THESE\oxiimino 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9473" cy="2546488"/>
                    </a:xfrm>
                    <a:prstGeom prst="rect">
                      <a:avLst/>
                    </a:prstGeom>
                    <a:noFill/>
                    <a:ln>
                      <a:noFill/>
                    </a:ln>
                  </pic:spPr>
                </pic:pic>
              </a:graphicData>
            </a:graphic>
          </wp:inline>
        </w:drawing>
      </w:r>
      <w:r w:rsidR="005A6299" w:rsidRPr="00DB11F6">
        <w:rPr>
          <w:rFonts w:ascii="Arial" w:hAnsi="Arial" w:cs="Arial"/>
          <w:noProof/>
          <w:lang w:eastAsia="fr-FR"/>
        </w:rPr>
        <mc:AlternateContent>
          <mc:Choice Requires="wps">
            <w:drawing>
              <wp:anchor distT="0" distB="0" distL="114300" distR="114300" simplePos="0" relativeHeight="251662336" behindDoc="0" locked="0" layoutInCell="1" allowOverlap="1" wp14:anchorId="4789C040" wp14:editId="0AA11FB6">
                <wp:simplePos x="0" y="0"/>
                <wp:positionH relativeFrom="margin">
                  <wp:posOffset>-375920</wp:posOffset>
                </wp:positionH>
                <wp:positionV relativeFrom="paragraph">
                  <wp:posOffset>2481580</wp:posOffset>
                </wp:positionV>
                <wp:extent cx="3095625" cy="3171825"/>
                <wp:effectExtent l="0" t="0" r="9525" b="9525"/>
                <wp:wrapNone/>
                <wp:docPr id="34" name="Zone de texte 34"/>
                <wp:cNvGraphicFramePr/>
                <a:graphic xmlns:a="http://schemas.openxmlformats.org/drawingml/2006/main">
                  <a:graphicData uri="http://schemas.microsoft.com/office/word/2010/wordprocessingShape">
                    <wps:wsp>
                      <wps:cNvSpPr txBox="1"/>
                      <wps:spPr>
                        <a:xfrm>
                          <a:off x="0" y="0"/>
                          <a:ext cx="3095625" cy="3171825"/>
                        </a:xfrm>
                        <a:prstGeom prst="rect">
                          <a:avLst/>
                        </a:prstGeom>
                        <a:solidFill>
                          <a:schemeClr val="lt1"/>
                        </a:solidFill>
                        <a:ln w="6350">
                          <a:noFill/>
                        </a:ln>
                      </wps:spPr>
                      <wps:txbx>
                        <w:txbxContent>
                          <w:p w14:paraId="198CADF2" w14:textId="77777777" w:rsidR="00062C40" w:rsidRPr="006F1DA1" w:rsidRDefault="00062C40" w:rsidP="00062C40">
                            <w:pPr>
                              <w:spacing w:before="100" w:beforeAutospacing="1" w:after="100" w:afterAutospacing="1" w:line="240" w:lineRule="auto"/>
                              <w:jc w:val="both"/>
                              <w:rPr>
                                <w:rFonts w:ascii="Times New Roman" w:eastAsia="Times New Roman" w:hAnsi="Times New Roman" w:cs="Times New Roman"/>
                                <w:b/>
                                <w:bCs/>
                                <w:sz w:val="24"/>
                                <w:szCs w:val="24"/>
                                <w:lang w:val="en-US" w:eastAsia="fr-FR"/>
                              </w:rPr>
                            </w:pPr>
                            <w:r w:rsidRPr="006F1DA1">
                              <w:rPr>
                                <w:rFonts w:ascii="Times New Roman" w:eastAsia="Times New Roman" w:hAnsi="Times New Roman" w:cs="Times New Roman"/>
                                <w:b/>
                                <w:bCs/>
                                <w:sz w:val="24"/>
                                <w:szCs w:val="24"/>
                                <w:lang w:val="en-US" w:eastAsia="fr-FR"/>
                              </w:rPr>
                              <w:t xml:space="preserve">Figure 4. Correlation Between Identified Resistance </w:t>
                            </w:r>
                            <w:r w:rsidRPr="00757973">
                              <w:rPr>
                                <w:rFonts w:ascii="Arial" w:eastAsia="Times New Roman" w:hAnsi="Arial" w:cs="Arial"/>
                                <w:b/>
                                <w:bCs/>
                                <w:lang w:val="en-US" w:eastAsia="fr-FR"/>
                              </w:rPr>
                              <w:t>Genes</w:t>
                            </w:r>
                            <w:r w:rsidRPr="006F1DA1">
                              <w:rPr>
                                <w:rFonts w:ascii="Times New Roman" w:eastAsia="Times New Roman" w:hAnsi="Times New Roman" w:cs="Times New Roman"/>
                                <w:b/>
                                <w:bCs/>
                                <w:sz w:val="24"/>
                                <w:szCs w:val="24"/>
                                <w:lang w:val="en-US" w:eastAsia="fr-FR"/>
                              </w:rPr>
                              <w:t xml:space="preserve"> and Antibiotics</w:t>
                            </w:r>
                          </w:p>
                          <w:p w14:paraId="44F9D58F" w14:textId="77777777" w:rsidR="00062C40" w:rsidRPr="00062C40" w:rsidRDefault="00062C40" w:rsidP="00062C40">
                            <w:pPr>
                              <w:spacing w:before="100" w:beforeAutospacing="1" w:after="100" w:afterAutospacing="1" w:line="240" w:lineRule="auto"/>
                              <w:jc w:val="both"/>
                              <w:rPr>
                                <w:rFonts w:ascii="Times New Roman" w:eastAsia="Times New Roman" w:hAnsi="Times New Roman" w:cs="Times New Roman"/>
                                <w:i/>
                                <w:sz w:val="24"/>
                                <w:szCs w:val="24"/>
                                <w:lang w:val="en-US" w:eastAsia="fr-FR"/>
                              </w:rPr>
                            </w:pPr>
                            <w:r w:rsidRPr="00062C40">
                              <w:rPr>
                                <w:rFonts w:ascii="Times New Roman" w:eastAsia="Times New Roman" w:hAnsi="Times New Roman" w:cs="Times New Roman"/>
                                <w:i/>
                                <w:sz w:val="24"/>
                                <w:szCs w:val="24"/>
                                <w:lang w:val="en-US" w:eastAsia="fr-FR"/>
                              </w:rPr>
                              <w:br/>
                              <w:t>This heatmap illustrates the correlation coefficients between each resistance gene (rows) and each antibiotic (columns). The color gradient represents both the strength and direction of the correlation:</w:t>
                            </w:r>
                          </w:p>
                          <w:p w14:paraId="3F82B514" w14:textId="77777777" w:rsidR="00062C40" w:rsidRPr="00062C40" w:rsidRDefault="00062C40" w:rsidP="00062C40">
                            <w:pPr>
                              <w:numPr>
                                <w:ilvl w:val="0"/>
                                <w:numId w:val="3"/>
                              </w:numPr>
                              <w:spacing w:before="100" w:beforeAutospacing="1" w:after="100" w:afterAutospacing="1" w:line="240" w:lineRule="auto"/>
                              <w:jc w:val="both"/>
                              <w:rPr>
                                <w:rFonts w:ascii="Times New Roman" w:eastAsia="Times New Roman" w:hAnsi="Times New Roman" w:cs="Times New Roman"/>
                                <w:i/>
                                <w:sz w:val="24"/>
                                <w:szCs w:val="24"/>
                                <w:lang w:val="en-US" w:eastAsia="fr-FR"/>
                              </w:rPr>
                            </w:pPr>
                            <w:r w:rsidRPr="00062C40">
                              <w:rPr>
                                <w:rFonts w:ascii="Times New Roman" w:eastAsia="Times New Roman" w:hAnsi="Times New Roman" w:cs="Times New Roman"/>
                                <w:b/>
                                <w:bCs/>
                                <w:i/>
                                <w:sz w:val="24"/>
                                <w:szCs w:val="24"/>
                                <w:lang w:val="en-US" w:eastAsia="fr-FR"/>
                              </w:rPr>
                              <w:t>Red</w:t>
                            </w:r>
                            <w:r w:rsidRPr="00062C40">
                              <w:rPr>
                                <w:rFonts w:ascii="Times New Roman" w:eastAsia="Times New Roman" w:hAnsi="Times New Roman" w:cs="Times New Roman"/>
                                <w:i/>
                                <w:sz w:val="24"/>
                                <w:szCs w:val="24"/>
                                <w:lang w:val="en-US" w:eastAsia="fr-FR"/>
                              </w:rPr>
                              <w:t xml:space="preserve"> indicates a positive correlation (the gene is associated with antibiotic resistance);</w:t>
                            </w:r>
                          </w:p>
                          <w:p w14:paraId="146989D9" w14:textId="77777777" w:rsidR="00062C40" w:rsidRPr="00062C40" w:rsidRDefault="00062C40" w:rsidP="00062C40">
                            <w:pPr>
                              <w:numPr>
                                <w:ilvl w:val="0"/>
                                <w:numId w:val="3"/>
                              </w:numPr>
                              <w:spacing w:before="100" w:beforeAutospacing="1" w:after="100" w:afterAutospacing="1" w:line="240" w:lineRule="auto"/>
                              <w:jc w:val="both"/>
                              <w:rPr>
                                <w:rFonts w:ascii="Times New Roman" w:eastAsia="Times New Roman" w:hAnsi="Times New Roman" w:cs="Times New Roman"/>
                                <w:i/>
                                <w:sz w:val="24"/>
                                <w:szCs w:val="24"/>
                                <w:lang w:val="en-US" w:eastAsia="fr-FR"/>
                              </w:rPr>
                            </w:pPr>
                            <w:r w:rsidRPr="00062C40">
                              <w:rPr>
                                <w:rFonts w:ascii="Times New Roman" w:eastAsia="Times New Roman" w:hAnsi="Times New Roman" w:cs="Times New Roman"/>
                                <w:b/>
                                <w:bCs/>
                                <w:i/>
                                <w:sz w:val="24"/>
                                <w:szCs w:val="24"/>
                                <w:lang w:val="en-US" w:eastAsia="fr-FR"/>
                              </w:rPr>
                              <w:t>Blue</w:t>
                            </w:r>
                            <w:r w:rsidRPr="00062C40">
                              <w:rPr>
                                <w:rFonts w:ascii="Times New Roman" w:eastAsia="Times New Roman" w:hAnsi="Times New Roman" w:cs="Times New Roman"/>
                                <w:i/>
                                <w:sz w:val="24"/>
                                <w:szCs w:val="24"/>
                                <w:lang w:val="en-US" w:eastAsia="fr-FR"/>
                              </w:rPr>
                              <w:t xml:space="preserve"> indicates a negative correlation (the gene is associated with susceptibility);</w:t>
                            </w:r>
                          </w:p>
                          <w:p w14:paraId="2FDA0B8C" w14:textId="77777777" w:rsidR="00062C40" w:rsidRPr="00062C40" w:rsidRDefault="00062C40" w:rsidP="00062C40">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062C40">
                              <w:rPr>
                                <w:rFonts w:ascii="Times New Roman" w:eastAsia="Times New Roman" w:hAnsi="Times New Roman" w:cs="Times New Roman"/>
                                <w:b/>
                                <w:bCs/>
                                <w:i/>
                                <w:sz w:val="24"/>
                                <w:szCs w:val="24"/>
                                <w:lang w:val="en-US" w:eastAsia="fr-FR"/>
                              </w:rPr>
                              <w:t>White</w:t>
                            </w:r>
                            <w:r w:rsidRPr="00062C40">
                              <w:rPr>
                                <w:rFonts w:ascii="Times New Roman" w:eastAsia="Times New Roman" w:hAnsi="Times New Roman" w:cs="Times New Roman"/>
                                <w:i/>
                                <w:sz w:val="24"/>
                                <w:szCs w:val="24"/>
                                <w:lang w:val="en-US" w:eastAsia="fr-FR"/>
                              </w:rPr>
                              <w:t xml:space="preserve"> denotes weak or no correlation</w:t>
                            </w:r>
                            <w:r w:rsidRPr="00062C40">
                              <w:rPr>
                                <w:rFonts w:ascii="Times New Roman" w:eastAsia="Times New Roman" w:hAnsi="Times New Roman" w:cs="Times New Roman"/>
                                <w:sz w:val="24"/>
                                <w:szCs w:val="24"/>
                                <w:lang w:val="en-US" w:eastAsia="fr-FR"/>
                              </w:rPr>
                              <w:t>.</w:t>
                            </w:r>
                          </w:p>
                          <w:p w14:paraId="5AF9B8CC" w14:textId="77777777" w:rsidR="00062C40" w:rsidRPr="00062C40" w:rsidRDefault="00062C40" w:rsidP="00062C40">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9C040" id="Zone de texte 34" o:spid="_x0000_s1036" type="#_x0000_t202" style="position:absolute;left:0;text-align:left;margin-left:-29.6pt;margin-top:195.4pt;width:243.75pt;height:249.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" fillcolor="white [3201]" stroked="f" strokeweight=".5pt">
                <v:textbox>
                  <w:txbxContent>
                    <w:p w14:paraId="198CADF2" w14:textId="77777777" w:rsidR="00062C40" w:rsidRPr="006F1DA1" w:rsidRDefault="00062C40" w:rsidP="00062C40">
                      <w:pPr>
                        <w:spacing w:before="100" w:beforeAutospacing="1" w:after="100" w:afterAutospacing="1" w:line="240" w:lineRule="auto"/>
                        <w:jc w:val="both"/>
                        <w:rPr>
                          <w:rFonts w:ascii="Times New Roman" w:eastAsia="Times New Roman" w:hAnsi="Times New Roman" w:cs="Times New Roman"/>
                          <w:b/>
                          <w:bCs/>
                          <w:sz w:val="24"/>
                          <w:szCs w:val="24"/>
                          <w:lang w:val="en-US" w:eastAsia="fr-FR"/>
                        </w:rPr>
                      </w:pPr>
                      <w:r w:rsidRPr="006F1DA1">
                        <w:rPr>
                          <w:rFonts w:ascii="Times New Roman" w:eastAsia="Times New Roman" w:hAnsi="Times New Roman" w:cs="Times New Roman"/>
                          <w:b/>
                          <w:bCs/>
                          <w:sz w:val="24"/>
                          <w:szCs w:val="24"/>
                          <w:lang w:val="en-US" w:eastAsia="fr-FR"/>
                        </w:rPr>
                        <w:t xml:space="preserve">Figure 4. Correlation Between Identified Resistance </w:t>
                      </w:r>
                      <w:r w:rsidRPr="00757973">
                        <w:rPr>
                          <w:rFonts w:ascii="Arial" w:eastAsia="Times New Roman" w:hAnsi="Arial" w:cs="Arial"/>
                          <w:b/>
                          <w:bCs/>
                          <w:lang w:val="en-US" w:eastAsia="fr-FR"/>
                        </w:rPr>
                        <w:t>Genes</w:t>
                      </w:r>
                      <w:r w:rsidRPr="006F1DA1">
                        <w:rPr>
                          <w:rFonts w:ascii="Times New Roman" w:eastAsia="Times New Roman" w:hAnsi="Times New Roman" w:cs="Times New Roman"/>
                          <w:b/>
                          <w:bCs/>
                          <w:sz w:val="24"/>
                          <w:szCs w:val="24"/>
                          <w:lang w:val="en-US" w:eastAsia="fr-FR"/>
                        </w:rPr>
                        <w:t xml:space="preserve"> and Antibiotics</w:t>
                      </w:r>
                    </w:p>
                    <w:p w14:paraId="44F9D58F" w14:textId="77777777" w:rsidR="00062C40" w:rsidRPr="00062C40" w:rsidRDefault="00062C40" w:rsidP="00062C40">
                      <w:pPr>
                        <w:spacing w:before="100" w:beforeAutospacing="1" w:after="100" w:afterAutospacing="1" w:line="240" w:lineRule="auto"/>
                        <w:jc w:val="both"/>
                        <w:rPr>
                          <w:rFonts w:ascii="Times New Roman" w:eastAsia="Times New Roman" w:hAnsi="Times New Roman" w:cs="Times New Roman"/>
                          <w:i/>
                          <w:sz w:val="24"/>
                          <w:szCs w:val="24"/>
                          <w:lang w:val="en-US" w:eastAsia="fr-FR"/>
                        </w:rPr>
                      </w:pPr>
                      <w:r w:rsidRPr="00062C40">
                        <w:rPr>
                          <w:rFonts w:ascii="Times New Roman" w:eastAsia="Times New Roman" w:hAnsi="Times New Roman" w:cs="Times New Roman"/>
                          <w:i/>
                          <w:sz w:val="24"/>
                          <w:szCs w:val="24"/>
                          <w:lang w:val="en-US" w:eastAsia="fr-FR"/>
                        </w:rPr>
                        <w:br/>
                        <w:t>This heatmap illustrates the correlation coefficients between each resistance gene (rows) and each antibiotic (columns). The color gradient represents both the strength and direction of the correlation:</w:t>
                      </w:r>
                    </w:p>
                    <w:p w14:paraId="3F82B514" w14:textId="77777777" w:rsidR="00062C40" w:rsidRPr="00062C40" w:rsidRDefault="00062C40" w:rsidP="00062C40">
                      <w:pPr>
                        <w:numPr>
                          <w:ilvl w:val="0"/>
                          <w:numId w:val="3"/>
                        </w:numPr>
                        <w:spacing w:before="100" w:beforeAutospacing="1" w:after="100" w:afterAutospacing="1" w:line="240" w:lineRule="auto"/>
                        <w:jc w:val="both"/>
                        <w:rPr>
                          <w:rFonts w:ascii="Times New Roman" w:eastAsia="Times New Roman" w:hAnsi="Times New Roman" w:cs="Times New Roman"/>
                          <w:i/>
                          <w:sz w:val="24"/>
                          <w:szCs w:val="24"/>
                          <w:lang w:val="en-US" w:eastAsia="fr-FR"/>
                        </w:rPr>
                      </w:pPr>
                      <w:r w:rsidRPr="00062C40">
                        <w:rPr>
                          <w:rFonts w:ascii="Times New Roman" w:eastAsia="Times New Roman" w:hAnsi="Times New Roman" w:cs="Times New Roman"/>
                          <w:b/>
                          <w:bCs/>
                          <w:i/>
                          <w:sz w:val="24"/>
                          <w:szCs w:val="24"/>
                          <w:lang w:val="en-US" w:eastAsia="fr-FR"/>
                        </w:rPr>
                        <w:t>Red</w:t>
                      </w:r>
                      <w:r w:rsidRPr="00062C40">
                        <w:rPr>
                          <w:rFonts w:ascii="Times New Roman" w:eastAsia="Times New Roman" w:hAnsi="Times New Roman" w:cs="Times New Roman"/>
                          <w:i/>
                          <w:sz w:val="24"/>
                          <w:szCs w:val="24"/>
                          <w:lang w:val="en-US" w:eastAsia="fr-FR"/>
                        </w:rPr>
                        <w:t xml:space="preserve"> indicates a positive correlation (the gene is associated with antibiotic resistance);</w:t>
                      </w:r>
                    </w:p>
                    <w:p w14:paraId="146989D9" w14:textId="77777777" w:rsidR="00062C40" w:rsidRPr="00062C40" w:rsidRDefault="00062C40" w:rsidP="00062C40">
                      <w:pPr>
                        <w:numPr>
                          <w:ilvl w:val="0"/>
                          <w:numId w:val="3"/>
                        </w:numPr>
                        <w:spacing w:before="100" w:beforeAutospacing="1" w:after="100" w:afterAutospacing="1" w:line="240" w:lineRule="auto"/>
                        <w:jc w:val="both"/>
                        <w:rPr>
                          <w:rFonts w:ascii="Times New Roman" w:eastAsia="Times New Roman" w:hAnsi="Times New Roman" w:cs="Times New Roman"/>
                          <w:i/>
                          <w:sz w:val="24"/>
                          <w:szCs w:val="24"/>
                          <w:lang w:val="en-US" w:eastAsia="fr-FR"/>
                        </w:rPr>
                      </w:pPr>
                      <w:r w:rsidRPr="00062C40">
                        <w:rPr>
                          <w:rFonts w:ascii="Times New Roman" w:eastAsia="Times New Roman" w:hAnsi="Times New Roman" w:cs="Times New Roman"/>
                          <w:b/>
                          <w:bCs/>
                          <w:i/>
                          <w:sz w:val="24"/>
                          <w:szCs w:val="24"/>
                          <w:lang w:val="en-US" w:eastAsia="fr-FR"/>
                        </w:rPr>
                        <w:t>Blue</w:t>
                      </w:r>
                      <w:r w:rsidRPr="00062C40">
                        <w:rPr>
                          <w:rFonts w:ascii="Times New Roman" w:eastAsia="Times New Roman" w:hAnsi="Times New Roman" w:cs="Times New Roman"/>
                          <w:i/>
                          <w:sz w:val="24"/>
                          <w:szCs w:val="24"/>
                          <w:lang w:val="en-US" w:eastAsia="fr-FR"/>
                        </w:rPr>
                        <w:t xml:space="preserve"> indicates a negative correlation (the gene is associated with susceptibility);</w:t>
                      </w:r>
                    </w:p>
                    <w:p w14:paraId="2FDA0B8C" w14:textId="77777777" w:rsidR="00062C40" w:rsidRPr="00062C40" w:rsidRDefault="00062C40" w:rsidP="00062C40">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062C40">
                        <w:rPr>
                          <w:rFonts w:ascii="Times New Roman" w:eastAsia="Times New Roman" w:hAnsi="Times New Roman" w:cs="Times New Roman"/>
                          <w:b/>
                          <w:bCs/>
                          <w:i/>
                          <w:sz w:val="24"/>
                          <w:szCs w:val="24"/>
                          <w:lang w:val="en-US" w:eastAsia="fr-FR"/>
                        </w:rPr>
                        <w:t>White</w:t>
                      </w:r>
                      <w:r w:rsidRPr="00062C40">
                        <w:rPr>
                          <w:rFonts w:ascii="Times New Roman" w:eastAsia="Times New Roman" w:hAnsi="Times New Roman" w:cs="Times New Roman"/>
                          <w:i/>
                          <w:sz w:val="24"/>
                          <w:szCs w:val="24"/>
                          <w:lang w:val="en-US" w:eastAsia="fr-FR"/>
                        </w:rPr>
                        <w:t xml:space="preserve"> denotes weak or no correlation</w:t>
                      </w:r>
                      <w:r w:rsidRPr="00062C40">
                        <w:rPr>
                          <w:rFonts w:ascii="Times New Roman" w:eastAsia="Times New Roman" w:hAnsi="Times New Roman" w:cs="Times New Roman"/>
                          <w:sz w:val="24"/>
                          <w:szCs w:val="24"/>
                          <w:lang w:val="en-US" w:eastAsia="fr-FR"/>
                        </w:rPr>
                        <w:t>.</w:t>
                      </w:r>
                    </w:p>
                    <w:p w14:paraId="5AF9B8CC" w14:textId="77777777" w:rsidR="00062C40" w:rsidRPr="00062C40" w:rsidRDefault="00062C40" w:rsidP="00062C40">
                      <w:pPr>
                        <w:rPr>
                          <w:lang w:val="en-US"/>
                        </w:rPr>
                      </w:pPr>
                    </w:p>
                  </w:txbxContent>
                </v:textbox>
                <w10:wrap anchorx="margin"/>
              </v:shape>
            </w:pict>
          </mc:Fallback>
        </mc:AlternateContent>
      </w:r>
      <w:r w:rsidR="00AF1557" w:rsidRPr="00DB11F6">
        <w:rPr>
          <w:rFonts w:ascii="Arial" w:hAnsi="Arial" w:cs="Arial"/>
          <w:noProof/>
          <w:lang w:eastAsia="fr-FR"/>
        </w:rPr>
        <mc:AlternateContent>
          <mc:Choice Requires="wps">
            <w:drawing>
              <wp:anchor distT="0" distB="0" distL="114300" distR="114300" simplePos="0" relativeHeight="251660288" behindDoc="0" locked="0" layoutInCell="1" allowOverlap="1" wp14:anchorId="624A2F07" wp14:editId="52FB1C4C">
                <wp:simplePos x="0" y="0"/>
                <wp:positionH relativeFrom="margin">
                  <wp:posOffset>3100705</wp:posOffset>
                </wp:positionH>
                <wp:positionV relativeFrom="paragraph">
                  <wp:posOffset>2522855</wp:posOffset>
                </wp:positionV>
                <wp:extent cx="3419475" cy="3000375"/>
                <wp:effectExtent l="0" t="0" r="9525" b="9525"/>
                <wp:wrapNone/>
                <wp:docPr id="3" name="Zone de texte 3"/>
                <wp:cNvGraphicFramePr/>
                <a:graphic xmlns:a="http://schemas.openxmlformats.org/drawingml/2006/main">
                  <a:graphicData uri="http://schemas.microsoft.com/office/word/2010/wordprocessingShape">
                    <wps:wsp>
                      <wps:cNvSpPr txBox="1"/>
                      <wps:spPr>
                        <a:xfrm>
                          <a:off x="0" y="0"/>
                          <a:ext cx="3419475" cy="3000375"/>
                        </a:xfrm>
                        <a:prstGeom prst="rect">
                          <a:avLst/>
                        </a:prstGeom>
                        <a:solidFill>
                          <a:schemeClr val="lt1"/>
                        </a:solidFill>
                        <a:ln w="6350">
                          <a:noFill/>
                        </a:ln>
                      </wps:spPr>
                      <wps:txbx>
                        <w:txbxContent>
                          <w:p w14:paraId="02156CAC" w14:textId="77777777" w:rsidR="006636B6" w:rsidRPr="006F1DA1" w:rsidRDefault="006636B6" w:rsidP="006636B6">
                            <w:pPr>
                              <w:pStyle w:val="NormalWeb"/>
                              <w:rPr>
                                <w:rStyle w:val="Strong"/>
                                <w:lang w:val="en-US"/>
                              </w:rPr>
                            </w:pPr>
                            <w:r w:rsidRPr="006F1DA1">
                              <w:rPr>
                                <w:rStyle w:val="Strong"/>
                                <w:lang w:val="en-US"/>
                              </w:rPr>
                              <w:t xml:space="preserve">Figure 5: Correlation Biplot Between Resistance </w:t>
                            </w:r>
                            <w:r w:rsidRPr="00757973">
                              <w:rPr>
                                <w:rStyle w:val="Strong"/>
                                <w:rFonts w:ascii="Arial" w:hAnsi="Arial" w:cs="Arial"/>
                                <w:sz w:val="22"/>
                                <w:szCs w:val="22"/>
                                <w:lang w:val="en-US"/>
                              </w:rPr>
                              <w:t>Genes</w:t>
                            </w:r>
                            <w:r w:rsidRPr="006F1DA1">
                              <w:rPr>
                                <w:rStyle w:val="Strong"/>
                                <w:lang w:val="en-US"/>
                              </w:rPr>
                              <w:t xml:space="preserve"> and Antibiotics</w:t>
                            </w:r>
                          </w:p>
                          <w:p w14:paraId="0AF6BD4F" w14:textId="77777777" w:rsidR="006636B6" w:rsidRPr="003D2ACC" w:rsidRDefault="006636B6" w:rsidP="00062C40">
                            <w:pPr>
                              <w:pStyle w:val="NormalWeb"/>
                              <w:rPr>
                                <w:b/>
                                <w:bCs/>
                                <w:lang w:val="en-US"/>
                              </w:rPr>
                            </w:pPr>
                            <w:r w:rsidRPr="003D2ACC">
                              <w:rPr>
                                <w:lang w:val="en-US"/>
                              </w:rPr>
                              <w:br/>
                            </w:r>
                            <w:r w:rsidRPr="003D2ACC">
                              <w:rPr>
                                <w:rFonts w:ascii="Calibri" w:hAnsi="Calibri"/>
                                <w:i/>
                                <w:lang w:val="en-US"/>
                              </w:rPr>
                              <w:t>The biplot depicts the relationships between variables (genes and antibiotics) as vectors, where:</w:t>
                            </w:r>
                          </w:p>
                          <w:p w14:paraId="36C9235E" w14:textId="77777777" w:rsidR="006636B6" w:rsidRPr="00517278" w:rsidRDefault="006636B6" w:rsidP="00062C40">
                            <w:pPr>
                              <w:pStyle w:val="NormalWeb"/>
                              <w:numPr>
                                <w:ilvl w:val="0"/>
                                <w:numId w:val="2"/>
                              </w:numPr>
                              <w:jc w:val="both"/>
                              <w:rPr>
                                <w:rFonts w:ascii="Calibri" w:hAnsi="Calibri"/>
                                <w:i/>
                              </w:rPr>
                            </w:pPr>
                            <w:r w:rsidRPr="00517278">
                              <w:rPr>
                                <w:rFonts w:ascii="Calibri" w:hAnsi="Calibri"/>
                                <w:i/>
                              </w:rPr>
                              <w:t>Vectors pointing in similar directions indicate positive correlations.</w:t>
                            </w:r>
                          </w:p>
                          <w:p w14:paraId="5D5EA94D" w14:textId="77777777" w:rsidR="006636B6" w:rsidRPr="00517278" w:rsidRDefault="006636B6" w:rsidP="00062C40">
                            <w:pPr>
                              <w:pStyle w:val="NormalWeb"/>
                              <w:numPr>
                                <w:ilvl w:val="0"/>
                                <w:numId w:val="2"/>
                              </w:numPr>
                              <w:jc w:val="both"/>
                              <w:rPr>
                                <w:rFonts w:ascii="Calibri" w:hAnsi="Calibri"/>
                                <w:i/>
                              </w:rPr>
                            </w:pPr>
                            <w:r w:rsidRPr="00517278">
                              <w:rPr>
                                <w:rFonts w:ascii="Calibri" w:hAnsi="Calibri"/>
                                <w:i/>
                              </w:rPr>
                              <w:t>Vectors pointing in opposite directions indicate negative correlations.</w:t>
                            </w:r>
                          </w:p>
                          <w:p w14:paraId="1391C990" w14:textId="77777777" w:rsidR="006636B6" w:rsidRPr="003D2ACC" w:rsidRDefault="006636B6" w:rsidP="00062C40">
                            <w:pPr>
                              <w:pStyle w:val="NormalWeb"/>
                              <w:numPr>
                                <w:ilvl w:val="0"/>
                                <w:numId w:val="2"/>
                              </w:numPr>
                              <w:jc w:val="both"/>
                              <w:rPr>
                                <w:rFonts w:ascii="Calibri" w:hAnsi="Calibri"/>
                                <w:i/>
                                <w:lang w:val="en-US"/>
                              </w:rPr>
                            </w:pPr>
                            <w:r w:rsidRPr="003D2ACC">
                              <w:rPr>
                                <w:rFonts w:ascii="Calibri" w:hAnsi="Calibri"/>
                                <w:i/>
                                <w:lang w:val="en-US"/>
                              </w:rPr>
                              <w:t>Perpendicular vectors suggest little or no correlation.</w:t>
                            </w:r>
                          </w:p>
                          <w:p w14:paraId="5AEE63F1" w14:textId="77777777" w:rsidR="006636B6" w:rsidRPr="003D2ACC" w:rsidRDefault="006636B6" w:rsidP="006636B6">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A2F07" id="Zone de texte 3" o:spid="_x0000_s1037" type="#_x0000_t202" style="position:absolute;left:0;text-align:left;margin-left:244.15pt;margin-top:198.65pt;width:269.25pt;height:23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" fillcolor="white [3201]" stroked="f" strokeweight=".5pt">
                <v:textbox>
                  <w:txbxContent>
                    <w:p w14:paraId="02156CAC" w14:textId="77777777" w:rsidR="006636B6" w:rsidRPr="006F1DA1" w:rsidRDefault="006636B6" w:rsidP="006636B6">
                      <w:pPr>
                        <w:pStyle w:val="NormalWeb"/>
                        <w:rPr>
                          <w:rStyle w:val="Strong"/>
                          <w:lang w:val="en-US"/>
                        </w:rPr>
                      </w:pPr>
                      <w:r w:rsidRPr="006F1DA1">
                        <w:rPr>
                          <w:rStyle w:val="Strong"/>
                          <w:lang w:val="en-US"/>
                        </w:rPr>
                        <w:t xml:space="preserve">Figure 5: Correlation Biplot Between Resistance </w:t>
                      </w:r>
                      <w:r w:rsidRPr="00757973">
                        <w:rPr>
                          <w:rStyle w:val="Strong"/>
                          <w:rFonts w:ascii="Arial" w:hAnsi="Arial" w:cs="Arial"/>
                          <w:sz w:val="22"/>
                          <w:szCs w:val="22"/>
                          <w:lang w:val="en-US"/>
                        </w:rPr>
                        <w:t>Genes</w:t>
                      </w:r>
                      <w:r w:rsidRPr="006F1DA1">
                        <w:rPr>
                          <w:rStyle w:val="Strong"/>
                          <w:lang w:val="en-US"/>
                        </w:rPr>
                        <w:t xml:space="preserve"> and Antibiotics</w:t>
                      </w:r>
                    </w:p>
                    <w:p w14:paraId="0AF6BD4F" w14:textId="77777777" w:rsidR="006636B6" w:rsidRPr="003D2ACC" w:rsidRDefault="006636B6" w:rsidP="00062C40">
                      <w:pPr>
                        <w:pStyle w:val="NormalWeb"/>
                        <w:rPr>
                          <w:b/>
                          <w:bCs/>
                          <w:lang w:val="en-US"/>
                        </w:rPr>
                      </w:pPr>
                      <w:r w:rsidRPr="003D2ACC">
                        <w:rPr>
                          <w:lang w:val="en-US"/>
                        </w:rPr>
                        <w:br/>
                      </w:r>
                      <w:r w:rsidRPr="003D2ACC">
                        <w:rPr>
                          <w:rFonts w:ascii="Calibri" w:hAnsi="Calibri"/>
                          <w:i/>
                          <w:lang w:val="en-US"/>
                        </w:rPr>
                        <w:t>The biplot depicts the relationships between variables (genes and antibiotics) as vectors, where:</w:t>
                      </w:r>
                    </w:p>
                    <w:p w14:paraId="36C9235E" w14:textId="77777777" w:rsidR="006636B6" w:rsidRPr="00517278" w:rsidRDefault="006636B6" w:rsidP="00062C40">
                      <w:pPr>
                        <w:pStyle w:val="NormalWeb"/>
                        <w:numPr>
                          <w:ilvl w:val="0"/>
                          <w:numId w:val="2"/>
                        </w:numPr>
                        <w:jc w:val="both"/>
                        <w:rPr>
                          <w:rFonts w:ascii="Calibri" w:hAnsi="Calibri"/>
                          <w:i/>
                        </w:rPr>
                      </w:pPr>
                      <w:r w:rsidRPr="00517278">
                        <w:rPr>
                          <w:rFonts w:ascii="Calibri" w:hAnsi="Calibri"/>
                          <w:i/>
                        </w:rPr>
                        <w:t>Vectors pointing in similar directions indicate positive correlations.</w:t>
                      </w:r>
                    </w:p>
                    <w:p w14:paraId="5D5EA94D" w14:textId="77777777" w:rsidR="006636B6" w:rsidRPr="00517278" w:rsidRDefault="006636B6" w:rsidP="00062C40">
                      <w:pPr>
                        <w:pStyle w:val="NormalWeb"/>
                        <w:numPr>
                          <w:ilvl w:val="0"/>
                          <w:numId w:val="2"/>
                        </w:numPr>
                        <w:jc w:val="both"/>
                        <w:rPr>
                          <w:rFonts w:ascii="Calibri" w:hAnsi="Calibri"/>
                          <w:i/>
                        </w:rPr>
                      </w:pPr>
                      <w:r w:rsidRPr="00517278">
                        <w:rPr>
                          <w:rFonts w:ascii="Calibri" w:hAnsi="Calibri"/>
                          <w:i/>
                        </w:rPr>
                        <w:t>Vectors pointing in opposite directions indicate negative correlations.</w:t>
                      </w:r>
                    </w:p>
                    <w:p w14:paraId="1391C990" w14:textId="77777777" w:rsidR="006636B6" w:rsidRPr="003D2ACC" w:rsidRDefault="006636B6" w:rsidP="00062C40">
                      <w:pPr>
                        <w:pStyle w:val="NormalWeb"/>
                        <w:numPr>
                          <w:ilvl w:val="0"/>
                          <w:numId w:val="2"/>
                        </w:numPr>
                        <w:jc w:val="both"/>
                        <w:rPr>
                          <w:rFonts w:ascii="Calibri" w:hAnsi="Calibri"/>
                          <w:i/>
                          <w:lang w:val="en-US"/>
                        </w:rPr>
                      </w:pPr>
                      <w:r w:rsidRPr="003D2ACC">
                        <w:rPr>
                          <w:rFonts w:ascii="Calibri" w:hAnsi="Calibri"/>
                          <w:i/>
                          <w:lang w:val="en-US"/>
                        </w:rPr>
                        <w:t>Perpendicular vectors suggest little or no correlation.</w:t>
                      </w:r>
                    </w:p>
                    <w:p w14:paraId="5AEE63F1" w14:textId="77777777" w:rsidR="006636B6" w:rsidRPr="003D2ACC" w:rsidRDefault="006636B6" w:rsidP="006636B6">
                      <w:pPr>
                        <w:jc w:val="both"/>
                        <w:rPr>
                          <w:lang w:val="en-US"/>
                        </w:rPr>
                      </w:pPr>
                    </w:p>
                  </w:txbxContent>
                </v:textbox>
                <w10:wrap anchorx="margin"/>
              </v:shape>
            </w:pict>
          </mc:Fallback>
        </mc:AlternateContent>
      </w:r>
      <w:r w:rsidR="006636B6" w:rsidRPr="00DB11F6">
        <w:rPr>
          <w:rFonts w:ascii="Arial" w:hAnsi="Arial" w:cs="Arial"/>
          <w:noProof/>
          <w:lang w:eastAsia="fr-FR"/>
        </w:rPr>
        <w:drawing>
          <wp:inline distT="0" distB="0" distL="0" distR="0" wp14:anchorId="06797A03" wp14:editId="7D4A75DD">
            <wp:extent cx="2962275" cy="2505075"/>
            <wp:effectExtent l="0" t="0" r="9525" b="9525"/>
            <wp:docPr id="116" name="Picture"/>
            <wp:cNvGraphicFramePr/>
            <a:graphic xmlns:a="http://schemas.openxmlformats.org/drawingml/2006/main">
              <a:graphicData uri="http://schemas.openxmlformats.org/drawingml/2006/picture">
                <pic:pic xmlns:pic="http://schemas.openxmlformats.org/drawingml/2006/picture">
                  <pic:nvPicPr>
                    <pic:cNvPr id="116" name="Picture"/>
                    <pic:cNvPicPr/>
                  </pic:nvPicPr>
                  <pic:blipFill>
                    <a:blip r:embed="rId12"/>
                    <a:stretch>
                      <a:fillRect/>
                    </a:stretch>
                  </pic:blipFill>
                  <pic:spPr bwMode="auto">
                    <a:xfrm>
                      <a:off x="0" y="0"/>
                      <a:ext cx="2962275" cy="2505075"/>
                    </a:xfrm>
                    <a:prstGeom prst="rect">
                      <a:avLst/>
                    </a:prstGeom>
                    <a:noFill/>
                    <a:ln w="9525">
                      <a:noFill/>
                      <a:headEnd/>
                      <a:tailEnd/>
                    </a:ln>
                  </pic:spPr>
                </pic:pic>
              </a:graphicData>
            </a:graphic>
          </wp:inline>
        </w:drawing>
      </w:r>
    </w:p>
    <w:p w14:paraId="3083EC37" w14:textId="77777777" w:rsidR="006636B6" w:rsidRPr="00DB11F6" w:rsidRDefault="006636B6" w:rsidP="00EB2B27">
      <w:pPr>
        <w:rPr>
          <w:rFonts w:ascii="Arial" w:hAnsi="Arial" w:cs="Arial"/>
          <w:lang w:val="en-US"/>
        </w:rPr>
      </w:pPr>
      <w:r w:rsidRPr="00DB11F6">
        <w:rPr>
          <w:rFonts w:ascii="Arial" w:hAnsi="Arial" w:cs="Arial"/>
          <w:lang w:val="en-US"/>
        </w:rPr>
        <w:br w:type="textWrapping" w:clear="all"/>
      </w:r>
    </w:p>
    <w:p w14:paraId="5009BA0B" w14:textId="77777777" w:rsidR="00062C40" w:rsidRPr="00DB11F6" w:rsidRDefault="00062C40" w:rsidP="00062C40">
      <w:pPr>
        <w:spacing w:line="360" w:lineRule="auto"/>
        <w:ind w:left="360"/>
        <w:jc w:val="both"/>
        <w:rPr>
          <w:rFonts w:ascii="Arial" w:hAnsi="Arial" w:cs="Arial"/>
          <w:lang w:val="en-US"/>
        </w:rPr>
      </w:pPr>
    </w:p>
    <w:p w14:paraId="20331D74" w14:textId="77777777" w:rsidR="00062C40" w:rsidRPr="00DB11F6" w:rsidRDefault="00062C40" w:rsidP="00885131">
      <w:pPr>
        <w:spacing w:line="360" w:lineRule="auto"/>
        <w:jc w:val="both"/>
        <w:rPr>
          <w:rFonts w:ascii="Arial" w:hAnsi="Arial" w:cs="Arial"/>
          <w:lang w:val="en-US"/>
        </w:rPr>
      </w:pPr>
    </w:p>
    <w:p w14:paraId="63FD9C5E" w14:textId="77777777" w:rsidR="00750A9E" w:rsidRPr="00DB11F6" w:rsidRDefault="00750A9E" w:rsidP="00885131">
      <w:pPr>
        <w:spacing w:line="360" w:lineRule="auto"/>
        <w:jc w:val="both"/>
        <w:rPr>
          <w:rFonts w:ascii="Arial" w:hAnsi="Arial" w:cs="Arial"/>
          <w:lang w:val="en-US"/>
        </w:rPr>
      </w:pPr>
    </w:p>
    <w:p w14:paraId="1364A8F4" w14:textId="77777777" w:rsidR="00750A9E" w:rsidRPr="00DB11F6" w:rsidRDefault="00750A9E" w:rsidP="00885131">
      <w:pPr>
        <w:spacing w:line="360" w:lineRule="auto"/>
        <w:jc w:val="both"/>
        <w:rPr>
          <w:rFonts w:ascii="Arial" w:hAnsi="Arial" w:cs="Arial"/>
          <w:lang w:val="en-US"/>
        </w:rPr>
      </w:pPr>
    </w:p>
    <w:p w14:paraId="17B25436" w14:textId="77777777" w:rsidR="00885131" w:rsidRPr="00DB11F6" w:rsidRDefault="00885131" w:rsidP="00885131">
      <w:pPr>
        <w:spacing w:line="360" w:lineRule="auto"/>
        <w:jc w:val="both"/>
        <w:rPr>
          <w:rFonts w:ascii="Arial" w:hAnsi="Arial" w:cs="Arial"/>
          <w:lang w:val="en-US"/>
        </w:rPr>
      </w:pPr>
    </w:p>
    <w:p w14:paraId="2F555E9B" w14:textId="77777777" w:rsidR="00460251" w:rsidRDefault="00460251" w:rsidP="00105CE0">
      <w:pPr>
        <w:spacing w:before="100" w:beforeAutospacing="1" w:after="100" w:afterAutospacing="1" w:line="360" w:lineRule="auto"/>
        <w:jc w:val="both"/>
        <w:rPr>
          <w:rFonts w:ascii="Arial" w:eastAsia="Times New Roman" w:hAnsi="Arial" w:cs="Arial"/>
          <w:b/>
          <w:bCs/>
          <w:lang w:val="en-US" w:eastAsia="fr-FR"/>
        </w:rPr>
      </w:pPr>
    </w:p>
    <w:p w14:paraId="791B229E" w14:textId="77777777" w:rsidR="00460251" w:rsidRDefault="00460251" w:rsidP="00105CE0">
      <w:pPr>
        <w:spacing w:before="100" w:beforeAutospacing="1" w:after="100" w:afterAutospacing="1" w:line="360" w:lineRule="auto"/>
        <w:jc w:val="both"/>
        <w:rPr>
          <w:rFonts w:ascii="Arial" w:eastAsia="Times New Roman" w:hAnsi="Arial" w:cs="Arial"/>
          <w:b/>
          <w:bCs/>
          <w:lang w:val="en-US" w:eastAsia="fr-FR"/>
        </w:rPr>
      </w:pPr>
    </w:p>
    <w:p w14:paraId="210BFE16" w14:textId="77777777" w:rsidR="00460251" w:rsidRDefault="00460251" w:rsidP="00105CE0">
      <w:pPr>
        <w:spacing w:before="100" w:beforeAutospacing="1" w:after="100" w:afterAutospacing="1" w:line="360" w:lineRule="auto"/>
        <w:jc w:val="both"/>
        <w:rPr>
          <w:rFonts w:ascii="Arial" w:eastAsia="Times New Roman" w:hAnsi="Arial" w:cs="Arial"/>
          <w:b/>
          <w:bCs/>
          <w:lang w:val="en-US" w:eastAsia="fr-FR"/>
        </w:rPr>
      </w:pPr>
    </w:p>
    <w:p w14:paraId="641F610A" w14:textId="77777777" w:rsidR="00460251" w:rsidRDefault="00460251" w:rsidP="00105CE0">
      <w:pPr>
        <w:spacing w:before="100" w:beforeAutospacing="1" w:after="100" w:afterAutospacing="1" w:line="360" w:lineRule="auto"/>
        <w:jc w:val="both"/>
        <w:rPr>
          <w:rFonts w:ascii="Arial" w:eastAsia="Times New Roman" w:hAnsi="Arial" w:cs="Arial"/>
          <w:b/>
          <w:bCs/>
          <w:lang w:val="en-US" w:eastAsia="fr-FR"/>
        </w:rPr>
      </w:pPr>
    </w:p>
    <w:p w14:paraId="22DAAEAD" w14:textId="77777777" w:rsidR="00A23A56" w:rsidRDefault="00A23A56" w:rsidP="00105CE0">
      <w:pPr>
        <w:spacing w:before="100" w:beforeAutospacing="1" w:after="100" w:afterAutospacing="1" w:line="360" w:lineRule="auto"/>
        <w:jc w:val="both"/>
        <w:rPr>
          <w:rFonts w:ascii="Arial" w:eastAsia="Times New Roman" w:hAnsi="Arial" w:cs="Arial"/>
          <w:b/>
          <w:bCs/>
          <w:lang w:val="en-US" w:eastAsia="fr-FR"/>
        </w:rPr>
      </w:pPr>
    </w:p>
    <w:p w14:paraId="3A6BE7DB" w14:textId="77777777" w:rsidR="00460251" w:rsidRDefault="00105CE0" w:rsidP="00105CE0">
      <w:pPr>
        <w:spacing w:before="100" w:beforeAutospacing="1" w:after="100" w:afterAutospacing="1" w:line="360" w:lineRule="auto"/>
        <w:jc w:val="both"/>
        <w:rPr>
          <w:rFonts w:ascii="Arial" w:eastAsia="Times New Roman" w:hAnsi="Arial" w:cs="Arial"/>
          <w:lang w:val="en-US" w:eastAsia="fr-FR"/>
        </w:rPr>
      </w:pPr>
      <w:r w:rsidRPr="00DB11F6">
        <w:rPr>
          <w:rFonts w:ascii="Arial" w:eastAsia="Times New Roman" w:hAnsi="Arial" w:cs="Arial"/>
          <w:b/>
          <w:bCs/>
          <w:lang w:val="en-US" w:eastAsia="fr-FR"/>
        </w:rPr>
        <w:t>DISCUSSION</w:t>
      </w:r>
      <w:r w:rsidRPr="00DB11F6">
        <w:rPr>
          <w:rFonts w:ascii="Arial" w:eastAsia="Times New Roman" w:hAnsi="Arial" w:cs="Arial"/>
          <w:lang w:val="en-US" w:eastAsia="fr-FR"/>
        </w:rPr>
        <w:br/>
      </w:r>
    </w:p>
    <w:p w14:paraId="58AAA190" w14:textId="77777777" w:rsidR="00105CE0" w:rsidRPr="00DB11F6" w:rsidRDefault="00105CE0" w:rsidP="00105CE0">
      <w:pPr>
        <w:spacing w:before="100" w:beforeAutospacing="1" w:after="100" w:afterAutospacing="1" w:line="360" w:lineRule="auto"/>
        <w:jc w:val="both"/>
        <w:rPr>
          <w:rFonts w:ascii="Arial" w:eastAsia="Times New Roman" w:hAnsi="Arial" w:cs="Arial"/>
          <w:lang w:val="en-US" w:eastAsia="fr-FR"/>
        </w:rPr>
      </w:pPr>
      <w:r w:rsidRPr="00DB11F6">
        <w:rPr>
          <w:rFonts w:ascii="Arial" w:eastAsia="Times New Roman" w:hAnsi="Arial" w:cs="Arial"/>
          <w:lang w:val="en-US" w:eastAsia="fr-FR"/>
        </w:rPr>
        <w:t xml:space="preserve">The primary purpose of antibiotics is to inhibit the growth or eradicate bacteria responsible for infections and diseases [20]. However, the emergence of extended-spectrum </w:t>
      </w:r>
      <w:r w:rsidRPr="00DB11F6">
        <w:rPr>
          <w:rFonts w:ascii="Arial" w:eastAsia="Times New Roman" w:hAnsi="Arial" w:cs="Arial"/>
          <w:lang w:eastAsia="fr-FR"/>
        </w:rPr>
        <w:t>β</w:t>
      </w:r>
      <w:r w:rsidRPr="00DB11F6">
        <w:rPr>
          <w:rFonts w:ascii="Arial" w:eastAsia="Times New Roman" w:hAnsi="Arial" w:cs="Arial"/>
          <w:lang w:val="en-US" w:eastAsia="fr-FR"/>
        </w:rPr>
        <w:t xml:space="preserve">-lactamase (ESBL)-producing bacteria represents a significant development in antimicrobial resistance [21]. </w:t>
      </w:r>
      <w:r w:rsidR="00CE09A1" w:rsidRPr="00DB11F6">
        <w:rPr>
          <w:rFonts w:ascii="Arial" w:eastAsia="Times New Roman" w:hAnsi="Arial" w:cs="Arial"/>
          <w:i/>
          <w:iCs/>
          <w:lang w:val="en-US" w:eastAsia="fr-FR"/>
        </w:rPr>
        <w:t>K.</w:t>
      </w:r>
      <w:r w:rsidRPr="00DB11F6">
        <w:rPr>
          <w:rFonts w:ascii="Arial" w:eastAsia="Times New Roman" w:hAnsi="Arial" w:cs="Arial"/>
          <w:i/>
          <w:iCs/>
          <w:lang w:val="en-US" w:eastAsia="fr-FR"/>
        </w:rPr>
        <w:t xml:space="preserve"> pneumoniae</w:t>
      </w:r>
      <w:r w:rsidRPr="00DB11F6">
        <w:rPr>
          <w:rFonts w:ascii="Arial" w:eastAsia="Times New Roman" w:hAnsi="Arial" w:cs="Arial"/>
          <w:lang w:val="en-US" w:eastAsia="fr-FR"/>
        </w:rPr>
        <w:t xml:space="preserve"> is a notable opportunistic pathogen of the urinary tract, and its emergence with multiple antibiotic resistance phenotypes has considerably complicated the treatment and management of urinary tract infections [22]. This study focused on the resistance to oxyimino-cephalosporins in ESBL-producing </w:t>
      </w:r>
      <w:r w:rsidRPr="00DB11F6">
        <w:rPr>
          <w:rFonts w:ascii="Arial" w:eastAsia="Times New Roman" w:hAnsi="Arial" w:cs="Arial"/>
          <w:i/>
          <w:iCs/>
          <w:lang w:val="en-US" w:eastAsia="fr-FR"/>
        </w:rPr>
        <w:t>K. pneumoniae</w:t>
      </w:r>
      <w:r w:rsidRPr="00DB11F6">
        <w:rPr>
          <w:rFonts w:ascii="Arial" w:eastAsia="Times New Roman" w:hAnsi="Arial" w:cs="Arial"/>
          <w:lang w:val="en-US" w:eastAsia="fr-FR"/>
        </w:rPr>
        <w:t xml:space="preserve"> isolates. Approximately 33.33% of strains exhib</w:t>
      </w:r>
      <w:r w:rsidR="00C72576" w:rsidRPr="00DB11F6">
        <w:rPr>
          <w:rFonts w:ascii="Arial" w:eastAsia="Times New Roman" w:hAnsi="Arial" w:cs="Arial"/>
          <w:lang w:val="en-US" w:eastAsia="fr-FR"/>
        </w:rPr>
        <w:t>ited resistance to CAZ, 66.66% to CTX, and 53.33% to CRO</w:t>
      </w:r>
      <w:r w:rsidRPr="00DB11F6">
        <w:rPr>
          <w:rFonts w:ascii="Arial" w:eastAsia="Times New Roman" w:hAnsi="Arial" w:cs="Arial"/>
          <w:lang w:val="en-US" w:eastAsia="fr-FR"/>
        </w:rPr>
        <w:t xml:space="preserve">. Similar studies reporting the extent of </w:t>
      </w:r>
      <w:r w:rsidRPr="00DB11F6">
        <w:rPr>
          <w:rFonts w:ascii="Arial" w:eastAsia="Times New Roman" w:hAnsi="Arial" w:cs="Arial"/>
          <w:i/>
          <w:iCs/>
          <w:lang w:val="en-US" w:eastAsia="fr-FR"/>
        </w:rPr>
        <w:t>K. pneumoniae</w:t>
      </w:r>
      <w:r w:rsidRPr="00DB11F6">
        <w:rPr>
          <w:rFonts w:ascii="Arial" w:eastAsia="Times New Roman" w:hAnsi="Arial" w:cs="Arial"/>
          <w:lang w:val="en-US" w:eastAsia="fr-FR"/>
        </w:rPr>
        <w:t xml:space="preserve"> resistance to oxyimino-cephalosporins have been conducted in Burkina Faso [17, 18, 23, 24], Togo [25], Gabon [26], and Asia [27, 28]. The observed resistance rates may be attributed to self-medication practices, unregulated access to antibiotics available over the counter [29, 30], and insufficient infection control measures in healthcare settings, which heighten the risk of dissemination of resistant strains and their plasmids [30]. Clinicians frequently employ </w:t>
      </w:r>
      <w:r w:rsidRPr="00DB11F6">
        <w:rPr>
          <w:rFonts w:ascii="Arial" w:eastAsia="Times New Roman" w:hAnsi="Arial" w:cs="Arial"/>
          <w:lang w:eastAsia="fr-FR"/>
        </w:rPr>
        <w:t>β</w:t>
      </w:r>
      <w:r w:rsidRPr="00DB11F6">
        <w:rPr>
          <w:rFonts w:ascii="Arial" w:eastAsia="Times New Roman" w:hAnsi="Arial" w:cs="Arial"/>
          <w:lang w:val="en-US" w:eastAsia="fr-FR"/>
        </w:rPr>
        <w:t xml:space="preserve">-lactams, including oxyimino-cephalosporins, in large quantities to treat patients. The widespread use of these antimicrobials for treatment or prophylaxis is likely a key driver of resistance, contributing to the emergence and spread of highly resistant bacteria within healthcare facilities [31]. Resistance to oxyimino-cephalosporins in </w:t>
      </w:r>
      <w:r w:rsidRPr="00DB11F6">
        <w:rPr>
          <w:rFonts w:ascii="Arial" w:eastAsia="Times New Roman" w:hAnsi="Arial" w:cs="Arial"/>
          <w:i/>
          <w:iCs/>
          <w:lang w:val="en-US" w:eastAsia="fr-FR"/>
        </w:rPr>
        <w:t>K. pneumoniae</w:t>
      </w:r>
      <w:r w:rsidRPr="00DB11F6">
        <w:rPr>
          <w:rFonts w:ascii="Arial" w:eastAsia="Times New Roman" w:hAnsi="Arial" w:cs="Arial"/>
          <w:lang w:val="en-US" w:eastAsia="fr-FR"/>
        </w:rPr>
        <w:t xml:space="preserve"> is primarily linked to plasmid-mediated ESBL production [32]. In this study, ESBL genes SHV, TEM, and CTX-M involved in oxyimino-cephalosporin resistance were identified, with prevalences of 50%, 42.85%, and 28.57%, respectively. These findings</w:t>
      </w:r>
      <w:r w:rsidR="00D93199" w:rsidRPr="00DB11F6">
        <w:rPr>
          <w:rFonts w:ascii="Arial" w:eastAsia="Times New Roman" w:hAnsi="Arial" w:cs="Arial"/>
          <w:lang w:val="en-US" w:eastAsia="fr-FR"/>
        </w:rPr>
        <w:t xml:space="preserve"> </w:t>
      </w:r>
      <w:r w:rsidR="005A5777" w:rsidRPr="00DB11F6">
        <w:rPr>
          <w:rFonts w:ascii="Arial" w:eastAsia="Times New Roman" w:hAnsi="Arial" w:cs="Arial"/>
          <w:lang w:val="en-US" w:eastAsia="fr-FR"/>
        </w:rPr>
        <w:t xml:space="preserve">align with those of </w:t>
      </w:r>
      <w:proofErr w:type="spellStart"/>
      <w:r w:rsidR="005A5777" w:rsidRPr="00DB11F6">
        <w:rPr>
          <w:rFonts w:ascii="Arial" w:eastAsia="Times New Roman" w:hAnsi="Arial" w:cs="Arial"/>
          <w:lang w:val="en-US" w:eastAsia="fr-FR"/>
        </w:rPr>
        <w:t>Sharashi</w:t>
      </w:r>
      <w:proofErr w:type="spellEnd"/>
      <w:r w:rsidR="005A5777" w:rsidRPr="00DB11F6">
        <w:rPr>
          <w:rFonts w:ascii="Arial" w:eastAsia="Times New Roman" w:hAnsi="Arial" w:cs="Arial"/>
          <w:lang w:val="en-US" w:eastAsia="fr-FR"/>
        </w:rPr>
        <w:t xml:space="preserve"> et</w:t>
      </w:r>
      <w:r w:rsidRPr="00DB11F6">
        <w:rPr>
          <w:rFonts w:ascii="Arial" w:eastAsia="Times New Roman" w:hAnsi="Arial" w:cs="Arial"/>
          <w:lang w:val="en-US" w:eastAsia="fr-FR"/>
        </w:rPr>
        <w:t xml:space="preserve"> </w:t>
      </w:r>
      <w:r w:rsidRPr="00DB11F6">
        <w:rPr>
          <w:rFonts w:ascii="Arial" w:eastAsia="Times New Roman" w:hAnsi="Arial" w:cs="Arial"/>
          <w:i/>
          <w:lang w:val="en-US" w:eastAsia="fr-FR"/>
        </w:rPr>
        <w:t>al.</w:t>
      </w:r>
      <w:r w:rsidRPr="00DB11F6">
        <w:rPr>
          <w:rFonts w:ascii="Arial" w:eastAsia="Times New Roman" w:hAnsi="Arial" w:cs="Arial"/>
          <w:lang w:val="en-US" w:eastAsia="fr-FR"/>
        </w:rPr>
        <w:t xml:space="preserve"> [33], </w:t>
      </w:r>
      <w:r w:rsidR="005A5777" w:rsidRPr="00DB11F6">
        <w:rPr>
          <w:rFonts w:ascii="Arial" w:eastAsia="Times New Roman" w:hAnsi="Arial" w:cs="Arial"/>
          <w:lang w:val="en-US" w:eastAsia="fr-FR"/>
        </w:rPr>
        <w:t>Bajpai et</w:t>
      </w:r>
      <w:r w:rsidR="00D93199" w:rsidRPr="00DB11F6">
        <w:rPr>
          <w:rFonts w:ascii="Arial" w:eastAsia="Times New Roman" w:hAnsi="Arial" w:cs="Arial"/>
          <w:lang w:val="en-US" w:eastAsia="fr-FR"/>
        </w:rPr>
        <w:t xml:space="preserve"> </w:t>
      </w:r>
      <w:r w:rsidR="00D93199" w:rsidRPr="00DB11F6">
        <w:rPr>
          <w:rFonts w:ascii="Arial" w:eastAsia="Times New Roman" w:hAnsi="Arial" w:cs="Arial"/>
          <w:i/>
          <w:lang w:val="en-US" w:eastAsia="fr-FR"/>
        </w:rPr>
        <w:t>al.</w:t>
      </w:r>
      <w:r w:rsidR="005A5777" w:rsidRPr="00DB11F6">
        <w:rPr>
          <w:rFonts w:ascii="Arial" w:eastAsia="Times New Roman" w:hAnsi="Arial" w:cs="Arial"/>
          <w:lang w:val="en-US" w:eastAsia="fr-FR"/>
        </w:rPr>
        <w:t xml:space="preserve"> [34], Shanmugam et </w:t>
      </w:r>
      <w:r w:rsidR="00D93199" w:rsidRPr="00DB11F6">
        <w:rPr>
          <w:rFonts w:ascii="Arial" w:eastAsia="Times New Roman" w:hAnsi="Arial" w:cs="Arial"/>
          <w:i/>
          <w:lang w:val="en-US" w:eastAsia="fr-FR"/>
        </w:rPr>
        <w:t>al.</w:t>
      </w:r>
      <w:r w:rsidR="005A5777" w:rsidRPr="00DB11F6">
        <w:rPr>
          <w:rFonts w:ascii="Arial" w:eastAsia="Times New Roman" w:hAnsi="Arial" w:cs="Arial"/>
          <w:lang w:val="en-US" w:eastAsia="fr-FR"/>
        </w:rPr>
        <w:t xml:space="preserve"> [35], and Jaskulski et</w:t>
      </w:r>
      <w:r w:rsidRPr="00DB11F6">
        <w:rPr>
          <w:rFonts w:ascii="Arial" w:eastAsia="Times New Roman" w:hAnsi="Arial" w:cs="Arial"/>
          <w:lang w:val="en-US" w:eastAsia="fr-FR"/>
        </w:rPr>
        <w:t xml:space="preserve"> </w:t>
      </w:r>
      <w:r w:rsidRPr="00DB11F6">
        <w:rPr>
          <w:rFonts w:ascii="Arial" w:eastAsia="Times New Roman" w:hAnsi="Arial" w:cs="Arial"/>
          <w:i/>
          <w:lang w:val="en-US" w:eastAsia="fr-FR"/>
        </w:rPr>
        <w:t>al.</w:t>
      </w:r>
      <w:r w:rsidRPr="00DB11F6">
        <w:rPr>
          <w:rFonts w:ascii="Arial" w:eastAsia="Times New Roman" w:hAnsi="Arial" w:cs="Arial"/>
          <w:lang w:val="en-US" w:eastAsia="fr-FR"/>
        </w:rPr>
        <w:t xml:space="preserve"> [36], who also reported a predominance of the TEM gene. Conversely, many other studies have identified CTX-M [37, 38] or SHV [39] as the predominant genes. In the 1990s, the main ESBLs derived from TEM- and SHV-type enzymes and predominantly spread within hospital clones of </w:t>
      </w:r>
      <w:r w:rsidRPr="00DB11F6">
        <w:rPr>
          <w:rFonts w:ascii="Arial" w:eastAsia="Times New Roman" w:hAnsi="Arial" w:cs="Arial"/>
          <w:i/>
          <w:iCs/>
          <w:lang w:val="en-US" w:eastAsia="fr-FR"/>
        </w:rPr>
        <w:t>K. pneumoniae</w:t>
      </w:r>
      <w:r w:rsidRPr="00DB11F6">
        <w:rPr>
          <w:rFonts w:ascii="Arial" w:eastAsia="Times New Roman" w:hAnsi="Arial" w:cs="Arial"/>
          <w:lang w:val="en-US" w:eastAsia="fr-FR"/>
        </w:rPr>
        <w:t xml:space="preserve"> and </w:t>
      </w:r>
      <w:r w:rsidRPr="00DB11F6">
        <w:rPr>
          <w:rFonts w:ascii="Arial" w:eastAsia="Times New Roman" w:hAnsi="Arial" w:cs="Arial"/>
          <w:i/>
          <w:iCs/>
          <w:lang w:val="en-US" w:eastAsia="fr-FR"/>
        </w:rPr>
        <w:t>Enterobacter</w:t>
      </w:r>
      <w:r w:rsidRPr="00DB11F6">
        <w:rPr>
          <w:rFonts w:ascii="Arial" w:eastAsia="Times New Roman" w:hAnsi="Arial" w:cs="Arial"/>
          <w:lang w:val="en-US" w:eastAsia="fr-FR"/>
        </w:rPr>
        <w:t xml:space="preserve"> species [9, 40]. Currently, CTX-M enzymes constitute the majority of ESBLs worldwide, with their dissemination described as pandemic [37, 40]. The discrepancy between our results and other studies may be explained </w:t>
      </w:r>
      <w:r w:rsidRPr="00DB11F6">
        <w:rPr>
          <w:rFonts w:ascii="Arial" w:eastAsia="Times New Roman" w:hAnsi="Arial" w:cs="Arial"/>
          <w:lang w:val="en-US" w:eastAsia="fr-FR"/>
        </w:rPr>
        <w:lastRenderedPageBreak/>
        <w:t>by the selection bias in our strain collection, which predominantly harbored TEM genes. Coexistence of resistance genes was observed as follows: CTX-M/SHV (7.14%), SHV/TEM (14.28%), and CTX-M/TEM (14.28%). A similar study in Kenya reported lower prevalences of CTX-M/TEM (9.5%) and CTX-M/SHV (2.4%) [41]. Additional studies from Togo, Tunisia, and Sweden [42–44] have documented coexistence of all three genes SHV/TEM/CTX-M in some isolates.</w:t>
      </w:r>
    </w:p>
    <w:p w14:paraId="2504E575" w14:textId="77777777" w:rsidR="00105CE0" w:rsidRPr="00DB11F6" w:rsidRDefault="00105CE0" w:rsidP="00105CE0">
      <w:pPr>
        <w:spacing w:before="100" w:beforeAutospacing="1" w:after="100" w:afterAutospacing="1" w:line="360" w:lineRule="auto"/>
        <w:jc w:val="both"/>
        <w:rPr>
          <w:rFonts w:ascii="Arial" w:eastAsia="Times New Roman" w:hAnsi="Arial" w:cs="Arial"/>
          <w:lang w:val="en-US" w:eastAsia="fr-FR"/>
        </w:rPr>
      </w:pPr>
      <w:r w:rsidRPr="00DB11F6">
        <w:rPr>
          <w:rFonts w:ascii="Arial" w:eastAsia="Times New Roman" w:hAnsi="Arial" w:cs="Arial"/>
          <w:lang w:val="en-US" w:eastAsia="fr-FR"/>
        </w:rPr>
        <w:t>We also performed correlation analysis between resistance genes and the antibiotics to which they confer resistance, in order to explore potential associations. We observed a significant positive correlation (r = 0.52) between TEM and CTX/CAZ, as well as a positive correlation between CTX-M and CRO. Similar findings were reported by Rod</w:t>
      </w:r>
      <w:r w:rsidR="005A5777" w:rsidRPr="00DB11F6">
        <w:rPr>
          <w:rFonts w:ascii="Arial" w:eastAsia="Times New Roman" w:hAnsi="Arial" w:cs="Arial"/>
          <w:lang w:val="en-US" w:eastAsia="fr-FR"/>
        </w:rPr>
        <w:t>riguez et</w:t>
      </w:r>
      <w:r w:rsidR="00D93199" w:rsidRPr="00DB11F6">
        <w:rPr>
          <w:rFonts w:ascii="Arial" w:eastAsia="Times New Roman" w:hAnsi="Arial" w:cs="Arial"/>
          <w:lang w:val="en-US" w:eastAsia="fr-FR"/>
        </w:rPr>
        <w:t xml:space="preserve"> </w:t>
      </w:r>
      <w:r w:rsidR="00D93199" w:rsidRPr="00DB11F6">
        <w:rPr>
          <w:rFonts w:ascii="Arial" w:eastAsia="Times New Roman" w:hAnsi="Arial" w:cs="Arial"/>
          <w:i/>
          <w:lang w:val="en-US" w:eastAsia="fr-FR"/>
        </w:rPr>
        <w:t>al.</w:t>
      </w:r>
      <w:r w:rsidR="005A5777" w:rsidRPr="00DB11F6">
        <w:rPr>
          <w:rFonts w:ascii="Arial" w:eastAsia="Times New Roman" w:hAnsi="Arial" w:cs="Arial"/>
          <w:lang w:val="en-US" w:eastAsia="fr-FR"/>
        </w:rPr>
        <w:t xml:space="preserve"> [45]</w:t>
      </w:r>
      <w:r w:rsidR="000C4EEC" w:rsidRPr="00DB11F6">
        <w:rPr>
          <w:rFonts w:ascii="Arial" w:eastAsia="Times New Roman" w:hAnsi="Arial" w:cs="Arial"/>
          <w:lang w:val="en-US" w:eastAsia="fr-FR"/>
        </w:rPr>
        <w:t>,</w:t>
      </w:r>
      <w:r w:rsidR="005A5777" w:rsidRPr="00DB11F6">
        <w:rPr>
          <w:rFonts w:ascii="Arial" w:eastAsia="Times New Roman" w:hAnsi="Arial" w:cs="Arial"/>
          <w:lang w:val="en-US" w:eastAsia="fr-FR"/>
        </w:rPr>
        <w:t xml:space="preserve"> and Adamus et</w:t>
      </w:r>
      <w:r w:rsidRPr="00DB11F6">
        <w:rPr>
          <w:rFonts w:ascii="Arial" w:eastAsia="Times New Roman" w:hAnsi="Arial" w:cs="Arial"/>
          <w:lang w:val="en-US" w:eastAsia="fr-FR"/>
        </w:rPr>
        <w:t xml:space="preserve"> </w:t>
      </w:r>
      <w:r w:rsidRPr="00DB11F6">
        <w:rPr>
          <w:rFonts w:ascii="Arial" w:eastAsia="Times New Roman" w:hAnsi="Arial" w:cs="Arial"/>
          <w:i/>
          <w:lang w:val="en-US" w:eastAsia="fr-FR"/>
        </w:rPr>
        <w:t>al.</w:t>
      </w:r>
      <w:r w:rsidRPr="00DB11F6">
        <w:rPr>
          <w:rFonts w:ascii="Arial" w:eastAsia="Times New Roman" w:hAnsi="Arial" w:cs="Arial"/>
          <w:lang w:val="en-US" w:eastAsia="fr-FR"/>
        </w:rPr>
        <w:t xml:space="preserve"> [46], who also noted strong correlations between TEM and CTX. In the United States, </w:t>
      </w:r>
      <w:proofErr w:type="spellStart"/>
      <w:r w:rsidR="005A5777" w:rsidRPr="00DB11F6">
        <w:rPr>
          <w:rFonts w:ascii="Arial" w:eastAsia="Times New Roman" w:hAnsi="Arial" w:cs="Arial"/>
          <w:lang w:val="en-US" w:eastAsia="fr-FR"/>
        </w:rPr>
        <w:t>Baunoch</w:t>
      </w:r>
      <w:proofErr w:type="spellEnd"/>
      <w:r w:rsidR="005A5777" w:rsidRPr="00DB11F6">
        <w:rPr>
          <w:rFonts w:ascii="Arial" w:eastAsia="Times New Roman" w:hAnsi="Arial" w:cs="Arial"/>
          <w:lang w:val="en-US" w:eastAsia="fr-FR"/>
        </w:rPr>
        <w:t xml:space="preserve"> et</w:t>
      </w:r>
      <w:r w:rsidRPr="00DB11F6">
        <w:rPr>
          <w:rFonts w:ascii="Arial" w:eastAsia="Times New Roman" w:hAnsi="Arial" w:cs="Arial"/>
          <w:lang w:val="en-US" w:eastAsia="fr-FR"/>
        </w:rPr>
        <w:t xml:space="preserve"> </w:t>
      </w:r>
      <w:r w:rsidRPr="00DB11F6">
        <w:rPr>
          <w:rFonts w:ascii="Arial" w:eastAsia="Times New Roman" w:hAnsi="Arial" w:cs="Arial"/>
          <w:i/>
          <w:lang w:val="en-US" w:eastAsia="fr-FR"/>
        </w:rPr>
        <w:t>al.</w:t>
      </w:r>
      <w:r w:rsidRPr="00DB11F6">
        <w:rPr>
          <w:rFonts w:ascii="Arial" w:eastAsia="Times New Roman" w:hAnsi="Arial" w:cs="Arial"/>
          <w:lang w:val="en-US" w:eastAsia="fr-FR"/>
        </w:rPr>
        <w:t xml:space="preserve"> observed significant correlations between SHV/TEM/CTX-M genes and cephalosporins</w:t>
      </w:r>
      <w:r w:rsidR="007D38BB" w:rsidRPr="00DB11F6">
        <w:rPr>
          <w:rFonts w:ascii="Arial" w:eastAsia="Times New Roman" w:hAnsi="Arial" w:cs="Arial"/>
          <w:lang w:val="en-US" w:eastAsia="fr-FR"/>
        </w:rPr>
        <w:t xml:space="preserve"> </w:t>
      </w:r>
      <w:r w:rsidR="005A5777" w:rsidRPr="00DB11F6">
        <w:rPr>
          <w:rFonts w:ascii="Arial" w:eastAsia="Times New Roman" w:hAnsi="Arial" w:cs="Arial"/>
          <w:lang w:val="en-US" w:eastAsia="fr-FR"/>
        </w:rPr>
        <w:t xml:space="preserve">CAZ and CTR [47]. </w:t>
      </w:r>
      <w:proofErr w:type="spellStart"/>
      <w:r w:rsidR="005A5777" w:rsidRPr="00DB11F6">
        <w:rPr>
          <w:rFonts w:ascii="Arial" w:eastAsia="Times New Roman" w:hAnsi="Arial" w:cs="Arial"/>
          <w:lang w:val="en-US" w:eastAsia="fr-FR"/>
        </w:rPr>
        <w:t>Eghbalpour</w:t>
      </w:r>
      <w:proofErr w:type="spellEnd"/>
      <w:r w:rsidR="005A5777" w:rsidRPr="00DB11F6">
        <w:rPr>
          <w:rFonts w:ascii="Arial" w:eastAsia="Times New Roman" w:hAnsi="Arial" w:cs="Arial"/>
          <w:lang w:val="en-US" w:eastAsia="fr-FR"/>
        </w:rPr>
        <w:t xml:space="preserve"> et</w:t>
      </w:r>
      <w:r w:rsidRPr="00DB11F6">
        <w:rPr>
          <w:rFonts w:ascii="Arial" w:eastAsia="Times New Roman" w:hAnsi="Arial" w:cs="Arial"/>
          <w:lang w:val="en-US" w:eastAsia="fr-FR"/>
        </w:rPr>
        <w:t xml:space="preserve"> al.'s study in Iran demonstrated significant correlations between </w:t>
      </w:r>
      <w:r w:rsidR="006F1DA1" w:rsidRPr="00DB11F6">
        <w:rPr>
          <w:rFonts w:ascii="Arial" w:eastAsia="Times New Roman" w:hAnsi="Arial" w:cs="Arial"/>
          <w:lang w:val="en-US" w:eastAsia="fr-FR"/>
        </w:rPr>
        <w:t>ESBLs TEM/CTX-M/SHV and CAZ/</w:t>
      </w:r>
      <w:r w:rsidRPr="00DB11F6">
        <w:rPr>
          <w:rFonts w:ascii="Arial" w:eastAsia="Times New Roman" w:hAnsi="Arial" w:cs="Arial"/>
          <w:lang w:val="en-US" w:eastAsia="fr-FR"/>
        </w:rPr>
        <w:t>CTX [48]. These positive correlations clearly indicate that antibiotic resistance is linked to the presence of ESBL genes. However, some negative correlations observed despite positive ESBL phenotypes suggest that resistance in these isolates may involve other ESBL classes, warranting further investigation.</w:t>
      </w:r>
    </w:p>
    <w:p w14:paraId="47E392AB" w14:textId="77777777" w:rsidR="00105CE0" w:rsidRPr="00DB11F6" w:rsidRDefault="00105CE0" w:rsidP="00423609">
      <w:pPr>
        <w:spacing w:before="100" w:beforeAutospacing="1" w:after="100" w:afterAutospacing="1" w:line="360" w:lineRule="auto"/>
        <w:jc w:val="both"/>
        <w:rPr>
          <w:rFonts w:ascii="Arial" w:eastAsia="Times New Roman" w:hAnsi="Arial" w:cs="Arial"/>
          <w:lang w:val="en-US" w:eastAsia="fr-FR"/>
        </w:rPr>
      </w:pPr>
      <w:r w:rsidRPr="00DB11F6">
        <w:rPr>
          <w:rFonts w:ascii="Arial" w:eastAsia="Times New Roman" w:hAnsi="Arial" w:cs="Arial"/>
          <w:lang w:val="en-US" w:eastAsia="fr-FR"/>
        </w:rPr>
        <w:t xml:space="preserve">In summary, this study revealed a high rate of resistance of </w:t>
      </w:r>
      <w:r w:rsidRPr="00DB11F6">
        <w:rPr>
          <w:rFonts w:ascii="Arial" w:eastAsia="Times New Roman" w:hAnsi="Arial" w:cs="Arial"/>
          <w:i/>
          <w:iCs/>
          <w:lang w:val="en-US" w:eastAsia="fr-FR"/>
        </w:rPr>
        <w:t>K. pneumoniae</w:t>
      </w:r>
      <w:r w:rsidRPr="00DB11F6">
        <w:rPr>
          <w:rFonts w:ascii="Arial" w:eastAsia="Times New Roman" w:hAnsi="Arial" w:cs="Arial"/>
          <w:lang w:val="en-US" w:eastAsia="fr-FR"/>
        </w:rPr>
        <w:t xml:space="preserve"> to oxyimino-cephalosporins and identified SHV, TEM, and CTX-M genes as key contributors. </w:t>
      </w:r>
      <w:r w:rsidR="005A5777" w:rsidRPr="00DB11F6">
        <w:rPr>
          <w:rFonts w:ascii="Arial" w:eastAsia="Times New Roman" w:hAnsi="Arial" w:cs="Arial"/>
          <w:lang w:val="en-US" w:eastAsia="fr-FR"/>
        </w:rPr>
        <w:t>Further investigations should also focus on th</w:t>
      </w:r>
      <w:r w:rsidR="00913528" w:rsidRPr="00DB11F6">
        <w:rPr>
          <w:rFonts w:ascii="Arial" w:eastAsia="Times New Roman" w:hAnsi="Arial" w:cs="Arial"/>
          <w:lang w:val="en-US" w:eastAsia="fr-FR"/>
        </w:rPr>
        <w:t>e plasmid contexts of TEM/CTX-M/SHV</w:t>
      </w:r>
      <w:r w:rsidR="005A5777" w:rsidRPr="00DB11F6">
        <w:rPr>
          <w:rFonts w:ascii="Arial" w:eastAsia="Times New Roman" w:hAnsi="Arial" w:cs="Arial"/>
          <w:lang w:val="en-US" w:eastAsia="fr-FR"/>
        </w:rPr>
        <w:t>, in order to better understand the mechanisms of transmission and co-selection</w:t>
      </w:r>
      <w:r w:rsidR="00913528" w:rsidRPr="00DB11F6">
        <w:rPr>
          <w:rFonts w:ascii="Arial" w:eastAsia="Times New Roman" w:hAnsi="Arial" w:cs="Arial"/>
          <w:lang w:val="en-US" w:eastAsia="fr-FR"/>
        </w:rPr>
        <w:t>.</w:t>
      </w:r>
      <w:r w:rsidR="005A5777" w:rsidRPr="00DB11F6">
        <w:rPr>
          <w:rFonts w:ascii="Arial" w:eastAsia="Times New Roman" w:hAnsi="Arial" w:cs="Arial"/>
          <w:lang w:val="en-US" w:eastAsia="fr-FR"/>
        </w:rPr>
        <w:t xml:space="preserve"> </w:t>
      </w:r>
      <w:r w:rsidRPr="00DB11F6">
        <w:rPr>
          <w:rFonts w:ascii="Arial" w:eastAsia="Times New Roman" w:hAnsi="Arial" w:cs="Arial"/>
          <w:lang w:val="en-US" w:eastAsia="fr-FR"/>
        </w:rPr>
        <w:t xml:space="preserve">To mitigate the spread of multidrug-resistant organisms, robust measures must be implemented. In suspected urinary tract infections, a cytobacteriological examination of urine with mandatory antibiotic susceptibility testing is recommended. The antibiogram serves as an essential tool for guiding therapeutic decisions by categorizing bacteria as susceptible, intermediate, or resistant, thereby facilitating evidence-based antibiotic therapy and reducing empiric treatments that promote resistance [49]. Additionally, self-medication should be discouraged through stringent regulation of antibiotic availability in both community and hospital settings. Awareness among health authorities, healthcare professionals, and the general population is critical to ensure adherence to these measures [40]. Future research should explore the efficacy of combined </w:t>
      </w:r>
      <w:r w:rsidRPr="00DB11F6">
        <w:rPr>
          <w:rFonts w:ascii="Arial" w:eastAsia="Times New Roman" w:hAnsi="Arial" w:cs="Arial"/>
          <w:lang w:eastAsia="fr-FR"/>
        </w:rPr>
        <w:t>β</w:t>
      </w:r>
      <w:r w:rsidRPr="00DB11F6">
        <w:rPr>
          <w:rFonts w:ascii="Arial" w:eastAsia="Times New Roman" w:hAnsi="Arial" w:cs="Arial"/>
          <w:lang w:val="en-US" w:eastAsia="fr-FR"/>
        </w:rPr>
        <w:t>-lactamase inhibitors and other antibiotics against multidrug-resistant bacteria to expand therapeutic options.</w:t>
      </w:r>
    </w:p>
    <w:p w14:paraId="007E89CF" w14:textId="77777777" w:rsidR="000C4EEC" w:rsidRPr="00DB11F6" w:rsidRDefault="000C4EEC" w:rsidP="003C70F2">
      <w:pPr>
        <w:spacing w:before="100" w:beforeAutospacing="1" w:after="100" w:afterAutospacing="1" w:line="360" w:lineRule="auto"/>
        <w:jc w:val="both"/>
        <w:rPr>
          <w:rFonts w:ascii="Arial" w:eastAsia="Times New Roman" w:hAnsi="Arial" w:cs="Arial"/>
          <w:b/>
          <w:bCs/>
          <w:lang w:val="en-US" w:eastAsia="fr-FR"/>
        </w:rPr>
      </w:pPr>
    </w:p>
    <w:p w14:paraId="11797BF4" w14:textId="77777777" w:rsidR="00105CE0" w:rsidRPr="00DB11F6" w:rsidRDefault="00105CE0" w:rsidP="003C70F2">
      <w:pPr>
        <w:spacing w:before="100" w:beforeAutospacing="1" w:after="100" w:afterAutospacing="1" w:line="360" w:lineRule="auto"/>
        <w:jc w:val="both"/>
        <w:rPr>
          <w:rFonts w:ascii="Arial" w:eastAsia="Times New Roman" w:hAnsi="Arial" w:cs="Arial"/>
          <w:lang w:val="en-US" w:eastAsia="fr-FR"/>
        </w:rPr>
      </w:pPr>
      <w:r w:rsidRPr="00DB11F6">
        <w:rPr>
          <w:rFonts w:ascii="Arial" w:eastAsia="Times New Roman" w:hAnsi="Arial" w:cs="Arial"/>
          <w:b/>
          <w:bCs/>
          <w:lang w:val="en-US" w:eastAsia="fr-FR"/>
        </w:rPr>
        <w:lastRenderedPageBreak/>
        <w:t>CONCLUSION</w:t>
      </w:r>
      <w:r w:rsidRPr="00DB11F6">
        <w:rPr>
          <w:rFonts w:ascii="Arial" w:eastAsia="Times New Roman" w:hAnsi="Arial" w:cs="Arial"/>
          <w:lang w:val="en-US" w:eastAsia="fr-FR"/>
        </w:rPr>
        <w:br/>
        <w:t xml:space="preserve">In conclusion, this analysis highlights the resistance patterns to oxyimino-cephalosporins and the distribution of SHV, TEM, and CTX-M resistance genes in </w:t>
      </w:r>
      <w:r w:rsidRPr="00DB11F6">
        <w:rPr>
          <w:rFonts w:ascii="Arial" w:eastAsia="Times New Roman" w:hAnsi="Arial" w:cs="Arial"/>
          <w:i/>
          <w:iCs/>
          <w:lang w:val="en-US" w:eastAsia="fr-FR"/>
        </w:rPr>
        <w:t>K. pneumoniae</w:t>
      </w:r>
      <w:r w:rsidRPr="00DB11F6">
        <w:rPr>
          <w:rFonts w:ascii="Arial" w:eastAsia="Times New Roman" w:hAnsi="Arial" w:cs="Arial"/>
          <w:lang w:val="en-US" w:eastAsia="fr-FR"/>
        </w:rPr>
        <w:t>. We observed a high prevalence of antibiotic resistance and resistance genes, underscoring the significant burden of antimicrobial resistance. These findings may inform therapeutic decision-making and enhance epidemiological surveillance.</w:t>
      </w:r>
    </w:p>
    <w:p w14:paraId="7C950A7E" w14:textId="4648262E" w:rsidR="00335C77" w:rsidRPr="00DB11F6" w:rsidRDefault="00105CE0" w:rsidP="00EB2B27">
      <w:pPr>
        <w:spacing w:before="100" w:beforeAutospacing="1" w:after="100" w:afterAutospacing="1" w:line="360" w:lineRule="auto"/>
        <w:jc w:val="both"/>
        <w:rPr>
          <w:rFonts w:ascii="Arial" w:eastAsia="Times New Roman" w:hAnsi="Arial" w:cs="Arial"/>
          <w:lang w:val="en-US" w:eastAsia="fr-FR"/>
        </w:rPr>
      </w:pPr>
      <w:bookmarkStart w:id="0" w:name="_GoBack"/>
      <w:bookmarkEnd w:id="0"/>
      <w:r w:rsidRPr="00DB11F6">
        <w:rPr>
          <w:rFonts w:ascii="Arial" w:eastAsia="Times New Roman" w:hAnsi="Arial" w:cs="Arial"/>
          <w:lang w:val="en-US" w:eastAsia="fr-FR"/>
        </w:rPr>
        <w:br/>
      </w:r>
    </w:p>
    <w:p w14:paraId="7CC07AB8" w14:textId="77777777" w:rsidR="003C70F2" w:rsidRPr="00DB11F6" w:rsidRDefault="003C70F2" w:rsidP="00EB2B27">
      <w:pPr>
        <w:spacing w:before="180" w:after="180" w:line="360" w:lineRule="auto"/>
        <w:jc w:val="both"/>
        <w:rPr>
          <w:rFonts w:ascii="Arial" w:eastAsia="Aptos" w:hAnsi="Arial" w:cs="Arial"/>
          <w:b/>
        </w:rPr>
      </w:pPr>
      <w:r w:rsidRPr="00DB11F6">
        <w:rPr>
          <w:rFonts w:ascii="Arial" w:eastAsia="Aptos" w:hAnsi="Arial" w:cs="Arial"/>
          <w:b/>
        </w:rPr>
        <w:t>REFERENCES</w:t>
      </w:r>
    </w:p>
    <w:p w14:paraId="7F30DF7F" w14:textId="77777777"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Pr>
          <w:rFonts w:ascii="Arial" w:eastAsia="Aptos" w:hAnsi="Arial" w:cs="Arial"/>
          <w:lang w:val="en-US"/>
        </w:rPr>
        <w:fldChar w:fldCharType="begin"/>
      </w:r>
      <w:r w:rsidRPr="00DB11F6">
        <w:rPr>
          <w:rFonts w:ascii="Arial" w:eastAsia="Aptos" w:hAnsi="Arial" w:cs="Arial"/>
        </w:rPr>
        <w:instrText xml:space="preserve"> ADDIN ZOTERO_BIBL {"uncited":[],"omitted":[],"custom":[]} CSL_BIBLIOGRAPHY </w:instrText>
      </w:r>
      <w:r w:rsidRPr="00DB11F6">
        <w:rPr>
          <w:rFonts w:ascii="Arial" w:eastAsia="Aptos" w:hAnsi="Arial" w:cs="Arial"/>
          <w:lang w:val="en-US"/>
        </w:rPr>
        <w:fldChar w:fldCharType="separate"/>
      </w:r>
      <w:r w:rsidRPr="00DB11F6">
        <w:rPr>
          <w:rFonts w:ascii="Arial" w:eastAsia="Aptos" w:hAnsi="Arial" w:cs="Arial"/>
        </w:rPr>
        <w:t>[1]</w:t>
      </w:r>
      <w:r w:rsidRPr="00DB11F6">
        <w:rPr>
          <w:rFonts w:ascii="Arial" w:eastAsia="Aptos" w:hAnsi="Arial" w:cs="Arial"/>
        </w:rPr>
        <w:tab/>
        <w:t xml:space="preserve">Metuor Dabire Amana « Caractérisations moléculaire et cinétique des types de  </w:t>
      </w:r>
      <w:r w:rsidRPr="00DB11F6">
        <w:rPr>
          <w:rFonts w:ascii="Arial" w:eastAsia="Aptos" w:hAnsi="Arial" w:cs="Arial"/>
          <w:lang w:val="en-US"/>
        </w:rPr>
        <w:t>β</w:t>
      </w:r>
      <w:r w:rsidRPr="00DB11F6">
        <w:rPr>
          <w:rFonts w:ascii="Arial" w:eastAsia="Aptos" w:hAnsi="Arial" w:cs="Arial"/>
        </w:rPr>
        <w:t>-     lactamases  à spectre élargi (BLSE) de souches  bactériennes collectées au Centre Hospitalier Universitaire Pédiatrique Charles De Gaulle (CHUP-CDG) de Ouagadougou.    Thèse de Doctorat</w:t>
      </w:r>
    </w:p>
    <w:p w14:paraId="10FB18AE" w14:textId="77777777"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Pr>
          <w:rFonts w:ascii="Arial" w:eastAsia="Aptos" w:hAnsi="Arial" w:cs="Arial"/>
        </w:rPr>
        <w:t>[2]</w:t>
      </w:r>
      <w:r w:rsidRPr="00DB11F6">
        <w:rPr>
          <w:rFonts w:ascii="Arial" w:eastAsia="Aptos" w:hAnsi="Arial" w:cs="Arial"/>
        </w:rPr>
        <w:tab/>
        <w:t xml:space="preserve">F. Robin, L. Gibold, et R. Bonnet, « Résistances naturelles et acquises aux </w:t>
      </w:r>
      <w:r w:rsidRPr="00DB11F6">
        <w:rPr>
          <w:rFonts w:ascii="Arial" w:eastAsia="Aptos" w:hAnsi="Arial" w:cs="Arial"/>
          <w:lang w:val="en-US"/>
        </w:rPr>
        <w:t>β</w:t>
      </w:r>
      <w:r w:rsidRPr="00DB11F6">
        <w:rPr>
          <w:rFonts w:ascii="Arial" w:eastAsia="Aptos" w:hAnsi="Arial" w:cs="Arial"/>
        </w:rPr>
        <w:t xml:space="preserve">-lactamines chez les entérobactéries : comment les identifier en pratique quotidienne ? », </w:t>
      </w:r>
      <w:r w:rsidRPr="00DB11F6">
        <w:rPr>
          <w:rFonts w:ascii="Arial" w:eastAsia="Aptos" w:hAnsi="Arial" w:cs="Arial"/>
          <w:i/>
          <w:iCs/>
        </w:rPr>
        <w:t>Revue Francophone des Laboratoires</w:t>
      </w:r>
      <w:r w:rsidRPr="00DB11F6">
        <w:rPr>
          <w:rFonts w:ascii="Arial" w:eastAsia="Aptos" w:hAnsi="Arial" w:cs="Arial"/>
        </w:rPr>
        <w:t>, vol. 2012, n</w:t>
      </w:r>
      <w:r w:rsidRPr="00DB11F6">
        <w:rPr>
          <w:rFonts w:ascii="Arial" w:eastAsia="Aptos" w:hAnsi="Arial" w:cs="Arial"/>
          <w:vertAlign w:val="superscript"/>
        </w:rPr>
        <w:t>o</w:t>
      </w:r>
      <w:r w:rsidRPr="00DB11F6">
        <w:rPr>
          <w:rFonts w:ascii="Arial" w:eastAsia="Aptos" w:hAnsi="Arial" w:cs="Arial"/>
        </w:rPr>
        <w:t xml:space="preserve"> 445, p. 47</w:t>
      </w:r>
      <w:r w:rsidRPr="00DB11F6">
        <w:rPr>
          <w:rFonts w:ascii="Cambria Math" w:eastAsia="Aptos" w:hAnsi="Cambria Math" w:cs="Cambria Math"/>
        </w:rPr>
        <w:t>‑</w:t>
      </w:r>
      <w:r w:rsidRPr="00DB11F6">
        <w:rPr>
          <w:rFonts w:ascii="Arial" w:eastAsia="Aptos" w:hAnsi="Arial" w:cs="Arial"/>
        </w:rPr>
        <w:t>58, sept. 2012, doi: 10.1016/S1773-035X(12)71676-3.</w:t>
      </w:r>
    </w:p>
    <w:p w14:paraId="0BEE8356" w14:textId="77777777"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Pr>
          <w:rFonts w:ascii="Arial" w:eastAsia="Aptos" w:hAnsi="Arial" w:cs="Arial"/>
        </w:rPr>
        <w:t>[3]</w:t>
      </w:r>
      <w:r w:rsidRPr="00DB11F6">
        <w:rPr>
          <w:rFonts w:ascii="Arial" w:eastAsia="Aptos" w:hAnsi="Arial" w:cs="Arial"/>
        </w:rPr>
        <w:tab/>
        <w:t>S. Faure, « Transfert d’un gène de résistance aux bêta-lactamines blaCTX-M-9 entre Salmonella et les entérobactéries de la flore intestinale humaine: influence d’un traitement antibiotique ».</w:t>
      </w:r>
    </w:p>
    <w:p w14:paraId="58312F97" w14:textId="77777777"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sidDel="00EF1FEB">
        <w:rPr>
          <w:rFonts w:ascii="Arial" w:eastAsia="Aptos" w:hAnsi="Arial" w:cs="Arial"/>
        </w:rPr>
        <w:t xml:space="preserve"> </w:t>
      </w:r>
      <w:r w:rsidRPr="00DB11F6">
        <w:rPr>
          <w:rFonts w:ascii="Arial" w:eastAsia="Aptos" w:hAnsi="Arial" w:cs="Arial"/>
          <w:lang w:val="en-US"/>
        </w:rPr>
        <w:t>[4]</w:t>
      </w:r>
      <w:r w:rsidRPr="00DB11F6">
        <w:rPr>
          <w:rFonts w:ascii="Arial" w:eastAsia="Aptos" w:hAnsi="Arial" w:cs="Arial"/>
          <w:lang w:val="en-US"/>
        </w:rPr>
        <w:tab/>
        <w:t xml:space="preserve">J. Oliveira et W. C. Reygaert, « Gram-Negative Bacteria », in </w:t>
      </w:r>
      <w:r w:rsidRPr="00DB11F6">
        <w:rPr>
          <w:rFonts w:ascii="Arial" w:eastAsia="Aptos" w:hAnsi="Arial" w:cs="Arial"/>
          <w:i/>
          <w:iCs/>
          <w:lang w:val="en-US"/>
        </w:rPr>
        <w:t>StatPearls</w:t>
      </w:r>
      <w:r w:rsidRPr="00DB11F6">
        <w:rPr>
          <w:rFonts w:ascii="Arial" w:eastAsia="Aptos" w:hAnsi="Arial" w:cs="Arial"/>
          <w:lang w:val="en-US"/>
        </w:rPr>
        <w:t xml:space="preserve">, Treasure Island (FL): StatPearls Publishing, 2025. </w:t>
      </w:r>
      <w:r w:rsidRPr="00DB11F6">
        <w:rPr>
          <w:rFonts w:ascii="Arial" w:eastAsia="Aptos" w:hAnsi="Arial" w:cs="Arial"/>
        </w:rPr>
        <w:t>Consulté le: 12 janvier 2025. [En ligne]. Disponible sur: http://www.ncbi.nlm.nih.gov/books/NBK538213/</w:t>
      </w:r>
    </w:p>
    <w:p w14:paraId="71FB9A48" w14:textId="77777777"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Pr>
          <w:rFonts w:ascii="Arial" w:eastAsia="Aptos" w:hAnsi="Arial" w:cs="Arial"/>
        </w:rPr>
        <w:t>[5]</w:t>
      </w:r>
      <w:r w:rsidRPr="00DB11F6">
        <w:rPr>
          <w:rFonts w:ascii="Arial" w:eastAsia="Aptos" w:hAnsi="Arial" w:cs="Arial"/>
        </w:rPr>
        <w:tab/>
        <w:t>S. Alfei et A. M. Schito, « </w:t>
      </w:r>
      <w:r w:rsidRPr="00DB11F6">
        <w:rPr>
          <w:rFonts w:ascii="Arial" w:eastAsia="Aptos" w:hAnsi="Arial" w:cs="Arial"/>
          <w:lang w:val="en-US"/>
        </w:rPr>
        <w:t>β</w:t>
      </w:r>
      <w:r w:rsidRPr="00DB11F6">
        <w:rPr>
          <w:rFonts w:ascii="Arial" w:eastAsia="Aptos" w:hAnsi="Arial" w:cs="Arial"/>
        </w:rPr>
        <w:t xml:space="preserve">-Lactam Antibiotics and </w:t>
      </w:r>
      <w:r w:rsidRPr="00DB11F6">
        <w:rPr>
          <w:rFonts w:ascii="Arial" w:eastAsia="Aptos" w:hAnsi="Arial" w:cs="Arial"/>
          <w:lang w:val="en-US"/>
        </w:rPr>
        <w:t>β</w:t>
      </w:r>
      <w:r w:rsidRPr="00DB11F6">
        <w:rPr>
          <w:rFonts w:ascii="Arial" w:eastAsia="Aptos" w:hAnsi="Arial" w:cs="Arial"/>
        </w:rPr>
        <w:t xml:space="preserve">-Lactamase Enzymes Inhibitors, Part 2: Our Limited Resources », </w:t>
      </w:r>
      <w:r w:rsidRPr="00DB11F6">
        <w:rPr>
          <w:rFonts w:ascii="Arial" w:eastAsia="Aptos" w:hAnsi="Arial" w:cs="Arial"/>
          <w:i/>
          <w:iCs/>
        </w:rPr>
        <w:t>Pharmaceuticals (Basel)</w:t>
      </w:r>
      <w:r w:rsidRPr="00DB11F6">
        <w:rPr>
          <w:rFonts w:ascii="Arial" w:eastAsia="Aptos" w:hAnsi="Arial" w:cs="Arial"/>
        </w:rPr>
        <w:t>, vol. 15, n</w:t>
      </w:r>
      <w:r w:rsidRPr="00DB11F6">
        <w:rPr>
          <w:rFonts w:ascii="Arial" w:eastAsia="Aptos" w:hAnsi="Arial" w:cs="Arial"/>
          <w:vertAlign w:val="superscript"/>
        </w:rPr>
        <w:t>o</w:t>
      </w:r>
      <w:r w:rsidRPr="00DB11F6">
        <w:rPr>
          <w:rFonts w:ascii="Arial" w:eastAsia="Aptos" w:hAnsi="Arial" w:cs="Arial"/>
        </w:rPr>
        <w:t xml:space="preserve"> 4, p. 476, avr. 2022, doi: 10.3390/ph15040476.</w:t>
      </w:r>
    </w:p>
    <w:p w14:paraId="5C5AA19C"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[6]</w:t>
      </w:r>
      <w:r w:rsidRPr="00DB11F6">
        <w:rPr>
          <w:rFonts w:ascii="Arial" w:eastAsia="Aptos" w:hAnsi="Arial" w:cs="Arial"/>
          <w:lang w:val="en-US"/>
        </w:rPr>
        <w:tab/>
        <w:t xml:space="preserve">R. Cohen, L. Dortet, M. Caseris, J. Raymond, M. Lorrot, et J. Toubiana, « Treatment of Resistant Gram-negative bacilli in children », </w:t>
      </w:r>
      <w:r w:rsidRPr="00DB11F6">
        <w:rPr>
          <w:rFonts w:ascii="Arial" w:eastAsia="Aptos" w:hAnsi="Arial" w:cs="Arial"/>
          <w:i/>
          <w:iCs/>
          <w:lang w:val="en-US"/>
        </w:rPr>
        <w:t>Infect Dis Now</w:t>
      </w:r>
      <w:r w:rsidRPr="00DB11F6">
        <w:rPr>
          <w:rFonts w:ascii="Arial" w:eastAsia="Aptos" w:hAnsi="Arial" w:cs="Arial"/>
          <w:lang w:val="en-US"/>
        </w:rPr>
        <w:t>, vol. 53, n</w:t>
      </w:r>
      <w:r w:rsidRPr="00DB11F6">
        <w:rPr>
          <w:rFonts w:ascii="Arial" w:eastAsia="Aptos" w:hAnsi="Arial" w:cs="Arial"/>
          <w:vertAlign w:val="superscript"/>
          <w:lang w:val="en-US"/>
        </w:rPr>
        <w:t>o</w:t>
      </w:r>
      <w:r w:rsidRPr="00DB11F6">
        <w:rPr>
          <w:rFonts w:ascii="Arial" w:eastAsia="Aptos" w:hAnsi="Arial" w:cs="Arial"/>
          <w:lang w:val="en-US"/>
        </w:rPr>
        <w:t xml:space="preserve"> 8S, p. 104794, nov. 2023, doi: 10.1016/j.idnow.2023.104794.</w:t>
      </w:r>
    </w:p>
    <w:p w14:paraId="1BF6B56A"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[7]</w:t>
      </w:r>
      <w:r w:rsidRPr="00DB11F6">
        <w:rPr>
          <w:rFonts w:ascii="Arial" w:eastAsia="Aptos" w:hAnsi="Arial" w:cs="Arial"/>
          <w:lang w:val="en-US"/>
        </w:rPr>
        <w:tab/>
        <w:t xml:space="preserve">S. E. Boyd, A. Holmes, R. Peck, D. M. Livermore, et W. Hope, « OXA-48-Like β-Lactamases: Global Epidemiology, Treatment Options, and Development Pipeline », </w:t>
      </w:r>
      <w:r w:rsidRPr="00DB11F6">
        <w:rPr>
          <w:rFonts w:ascii="Arial" w:eastAsia="Aptos" w:hAnsi="Arial" w:cs="Arial"/>
          <w:i/>
          <w:iCs/>
          <w:lang w:val="en-US"/>
        </w:rPr>
        <w:t>Antimicrob Agents Chemother</w:t>
      </w:r>
      <w:r w:rsidRPr="00DB11F6">
        <w:rPr>
          <w:rFonts w:ascii="Arial" w:eastAsia="Aptos" w:hAnsi="Arial" w:cs="Arial"/>
          <w:lang w:val="en-US"/>
        </w:rPr>
        <w:t>, vol. 66, n</w:t>
      </w:r>
      <w:r w:rsidRPr="00DB11F6">
        <w:rPr>
          <w:rFonts w:ascii="Arial" w:eastAsia="Aptos" w:hAnsi="Arial" w:cs="Arial"/>
          <w:vertAlign w:val="superscript"/>
          <w:lang w:val="en-US"/>
        </w:rPr>
        <w:t>o</w:t>
      </w:r>
      <w:r w:rsidRPr="00DB11F6">
        <w:rPr>
          <w:rFonts w:ascii="Arial" w:eastAsia="Aptos" w:hAnsi="Arial" w:cs="Arial"/>
          <w:lang w:val="en-US"/>
        </w:rPr>
        <w:t xml:space="preserve"> 8, p. e0021622, août 2022, doi: 10.1128/aac.00216-22.</w:t>
      </w:r>
    </w:p>
    <w:p w14:paraId="629A71E2"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lastRenderedPageBreak/>
        <w:t>[8]</w:t>
      </w:r>
      <w:r w:rsidRPr="00DB11F6">
        <w:rPr>
          <w:rFonts w:ascii="Arial" w:eastAsia="Aptos" w:hAnsi="Arial" w:cs="Arial"/>
          <w:lang w:val="en-US"/>
        </w:rPr>
        <w:tab/>
        <w:t xml:space="preserve">C. O. Vrancianu </w:t>
      </w:r>
      <w:r w:rsidRPr="00DB11F6">
        <w:rPr>
          <w:rFonts w:ascii="Arial" w:eastAsia="Aptos" w:hAnsi="Arial" w:cs="Arial"/>
          <w:i/>
          <w:iCs/>
          <w:lang w:val="en-US"/>
        </w:rPr>
        <w:t>et al.</w:t>
      </w:r>
      <w:r w:rsidRPr="00DB11F6">
        <w:rPr>
          <w:rFonts w:ascii="Arial" w:eastAsia="Aptos" w:hAnsi="Arial" w:cs="Arial"/>
          <w:lang w:val="en-US"/>
        </w:rPr>
        <w:t xml:space="preserve">, « Emerging Strategies to Combat β-Lactamase Producing ESKAPE Pathogens », </w:t>
      </w:r>
      <w:r w:rsidRPr="00DB11F6">
        <w:rPr>
          <w:rFonts w:ascii="Arial" w:eastAsia="Aptos" w:hAnsi="Arial" w:cs="Arial"/>
          <w:i/>
          <w:iCs/>
          <w:lang w:val="en-US"/>
        </w:rPr>
        <w:t>Int J Mol Sci</w:t>
      </w:r>
      <w:r w:rsidRPr="00DB11F6">
        <w:rPr>
          <w:rFonts w:ascii="Arial" w:eastAsia="Aptos" w:hAnsi="Arial" w:cs="Arial"/>
          <w:lang w:val="en-US"/>
        </w:rPr>
        <w:t>, vol. 21, n</w:t>
      </w:r>
      <w:r w:rsidRPr="00DB11F6">
        <w:rPr>
          <w:rFonts w:ascii="Arial" w:eastAsia="Aptos" w:hAnsi="Arial" w:cs="Arial"/>
          <w:vertAlign w:val="superscript"/>
          <w:lang w:val="en-US"/>
        </w:rPr>
        <w:t>o</w:t>
      </w:r>
      <w:r w:rsidRPr="00DB11F6">
        <w:rPr>
          <w:rFonts w:ascii="Arial" w:eastAsia="Aptos" w:hAnsi="Arial" w:cs="Arial"/>
          <w:lang w:val="en-US"/>
        </w:rPr>
        <w:t xml:space="preserve"> 22, p. 8527, nov. 2020, doi: 10.3390/ijms21228527.</w:t>
      </w:r>
    </w:p>
    <w:p w14:paraId="5A0FC4CA" w14:textId="77777777"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Pr>
          <w:rFonts w:ascii="Arial" w:eastAsia="Aptos" w:hAnsi="Arial" w:cs="Arial"/>
        </w:rPr>
        <w:t>[9]</w:t>
      </w:r>
      <w:r w:rsidRPr="00DB11F6">
        <w:rPr>
          <w:rFonts w:ascii="Arial" w:eastAsia="Aptos" w:hAnsi="Arial" w:cs="Arial"/>
        </w:rPr>
        <w:tab/>
        <w:t xml:space="preserve">E. Ruppé, « Épidémiologie des bêta-lactamases à spectre élargi : l’avènement des CTX-M », </w:t>
      </w:r>
      <w:r w:rsidRPr="00DB11F6">
        <w:rPr>
          <w:rFonts w:ascii="Arial" w:eastAsia="Aptos" w:hAnsi="Arial" w:cs="Arial"/>
          <w:i/>
          <w:iCs/>
        </w:rPr>
        <w:t>Antibiotiques</w:t>
      </w:r>
      <w:r w:rsidRPr="00DB11F6">
        <w:rPr>
          <w:rFonts w:ascii="Arial" w:eastAsia="Aptos" w:hAnsi="Arial" w:cs="Arial"/>
        </w:rPr>
        <w:t>, vol. 12, n</w:t>
      </w:r>
      <w:r w:rsidRPr="00DB11F6">
        <w:rPr>
          <w:rFonts w:ascii="Arial" w:eastAsia="Aptos" w:hAnsi="Arial" w:cs="Arial"/>
          <w:vertAlign w:val="superscript"/>
        </w:rPr>
        <w:t>o</w:t>
      </w:r>
      <w:r w:rsidRPr="00DB11F6">
        <w:rPr>
          <w:rFonts w:ascii="Arial" w:eastAsia="Aptos" w:hAnsi="Arial" w:cs="Arial"/>
        </w:rPr>
        <w:t xml:space="preserve"> 1, p. 3</w:t>
      </w:r>
      <w:r w:rsidRPr="00DB11F6">
        <w:rPr>
          <w:rFonts w:ascii="Cambria Math" w:eastAsia="Aptos" w:hAnsi="Cambria Math" w:cs="Cambria Math"/>
        </w:rPr>
        <w:t>‑</w:t>
      </w:r>
      <w:r w:rsidRPr="00DB11F6">
        <w:rPr>
          <w:rFonts w:ascii="Arial" w:eastAsia="Aptos" w:hAnsi="Arial" w:cs="Arial"/>
        </w:rPr>
        <w:t>16, mars 2010, doi: 10.1016/j.antib.2010.01.003.</w:t>
      </w:r>
    </w:p>
    <w:p w14:paraId="29FD637C" w14:textId="77777777"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Pr>
          <w:rFonts w:ascii="Arial" w:eastAsia="Aptos" w:hAnsi="Arial" w:cs="Arial"/>
        </w:rPr>
        <w:t>[10]</w:t>
      </w:r>
      <w:r w:rsidRPr="00DB11F6">
        <w:rPr>
          <w:rFonts w:ascii="Arial" w:eastAsia="Aptos" w:hAnsi="Arial" w:cs="Arial"/>
        </w:rPr>
        <w:tab/>
        <w:t xml:space="preserve">Z. D. Rakotovao-Ravahatra, F. M. Randriatsarafara, S. Rasoanandrasana, L. Raverohanta, et A. L. Rakotovao, « Phénotypes de résistance des souches d’Escherichia coli responsables d’infection urinaire au laboratoire du Centre Hospitalo-Universitaire de Befelatanana Antananarivo », </w:t>
      </w:r>
      <w:r w:rsidRPr="00DB11F6">
        <w:rPr>
          <w:rFonts w:ascii="Arial" w:eastAsia="Aptos" w:hAnsi="Arial" w:cs="Arial"/>
          <w:i/>
          <w:iCs/>
        </w:rPr>
        <w:t>Pan Afr Med J</w:t>
      </w:r>
      <w:r w:rsidRPr="00DB11F6">
        <w:rPr>
          <w:rFonts w:ascii="Arial" w:eastAsia="Aptos" w:hAnsi="Arial" w:cs="Arial"/>
        </w:rPr>
        <w:t>, vol. 26, p. 166, mars 2017, doi: 10.11604/pamj.2017.26.166.11828.</w:t>
      </w:r>
    </w:p>
    <w:p w14:paraId="78DE4750"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[11]</w:t>
      </w:r>
      <w:r w:rsidRPr="00DB11F6">
        <w:rPr>
          <w:rFonts w:ascii="Arial" w:eastAsia="Aptos" w:hAnsi="Arial" w:cs="Arial"/>
          <w:lang w:val="en-US"/>
        </w:rPr>
        <w:tab/>
        <w:t xml:space="preserve">X. Zhao </w:t>
      </w:r>
      <w:r w:rsidRPr="00DB11F6">
        <w:rPr>
          <w:rFonts w:ascii="Arial" w:eastAsia="Aptos" w:hAnsi="Arial" w:cs="Arial"/>
          <w:i/>
          <w:iCs/>
          <w:lang w:val="en-US"/>
        </w:rPr>
        <w:t>et al.</w:t>
      </w:r>
      <w:r w:rsidRPr="00DB11F6">
        <w:rPr>
          <w:rFonts w:ascii="Arial" w:eastAsia="Aptos" w:hAnsi="Arial" w:cs="Arial"/>
          <w:lang w:val="en-US"/>
        </w:rPr>
        <w:t xml:space="preserve">, « Characterization of Extended-Spectrum β-Lactamase-Producing Escherichia coli Isolates That Cause Diarrhea in Sheep in Northwest China », </w:t>
      </w:r>
      <w:r w:rsidRPr="00DB11F6">
        <w:rPr>
          <w:rFonts w:ascii="Arial" w:eastAsia="Aptos" w:hAnsi="Arial" w:cs="Arial"/>
          <w:i/>
          <w:iCs/>
          <w:lang w:val="en-US"/>
        </w:rPr>
        <w:t>Microbiol Spectr</w:t>
      </w:r>
      <w:r w:rsidRPr="00DB11F6">
        <w:rPr>
          <w:rFonts w:ascii="Arial" w:eastAsia="Aptos" w:hAnsi="Arial" w:cs="Arial"/>
          <w:lang w:val="en-US"/>
        </w:rPr>
        <w:t>, vol. 10, n</w:t>
      </w:r>
      <w:r w:rsidRPr="00DB11F6">
        <w:rPr>
          <w:rFonts w:ascii="Arial" w:eastAsia="Aptos" w:hAnsi="Arial" w:cs="Arial"/>
          <w:vertAlign w:val="superscript"/>
          <w:lang w:val="en-US"/>
        </w:rPr>
        <w:t>o</w:t>
      </w:r>
      <w:r w:rsidRPr="00DB11F6">
        <w:rPr>
          <w:rFonts w:ascii="Arial" w:eastAsia="Aptos" w:hAnsi="Arial" w:cs="Arial"/>
          <w:lang w:val="en-US"/>
        </w:rPr>
        <w:t xml:space="preserve"> 4, p. e01595-22, doi: 10.1128/spectrum.01595-22.</w:t>
      </w:r>
    </w:p>
    <w:p w14:paraId="0262BBE8"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[12]</w:t>
      </w:r>
      <w:r w:rsidRPr="00DB11F6">
        <w:rPr>
          <w:rFonts w:ascii="Arial" w:eastAsia="Aptos" w:hAnsi="Arial" w:cs="Arial"/>
          <w:lang w:val="en-US"/>
        </w:rPr>
        <w:tab/>
        <w:t xml:space="preserve">S. Zhang, X. Liao, T. Ding, et J. Ahn, « Role of β-Lactamase Inhibitors as Potentiators in Antimicrobial Chemotherapy Targeting Gram-Negative Bacteria », </w:t>
      </w:r>
      <w:r w:rsidRPr="00DB11F6">
        <w:rPr>
          <w:rFonts w:ascii="Arial" w:eastAsia="Aptos" w:hAnsi="Arial" w:cs="Arial"/>
          <w:i/>
          <w:iCs/>
          <w:lang w:val="en-US"/>
        </w:rPr>
        <w:t>Antibiotics (Basel)</w:t>
      </w:r>
      <w:r w:rsidRPr="00DB11F6">
        <w:rPr>
          <w:rFonts w:ascii="Arial" w:eastAsia="Aptos" w:hAnsi="Arial" w:cs="Arial"/>
          <w:lang w:val="en-US"/>
        </w:rPr>
        <w:t>, vol. 13, n</w:t>
      </w:r>
      <w:r w:rsidRPr="00DB11F6">
        <w:rPr>
          <w:rFonts w:ascii="Arial" w:eastAsia="Aptos" w:hAnsi="Arial" w:cs="Arial"/>
          <w:vertAlign w:val="superscript"/>
          <w:lang w:val="en-US"/>
        </w:rPr>
        <w:t>o</w:t>
      </w:r>
      <w:r w:rsidRPr="00DB11F6">
        <w:rPr>
          <w:rFonts w:ascii="Arial" w:eastAsia="Aptos" w:hAnsi="Arial" w:cs="Arial"/>
          <w:lang w:val="en-US"/>
        </w:rPr>
        <w:t xml:space="preserve"> 3, p. 260, mars 2024, doi: 10.3390/antibiotics13030260.</w:t>
      </w:r>
    </w:p>
    <w:p w14:paraId="20CF5FDE"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p>
    <w:p w14:paraId="4E9D7E0C" w14:textId="77777777"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sidDel="009A349D">
        <w:rPr>
          <w:rFonts w:ascii="Arial" w:eastAsia="Aptos" w:hAnsi="Arial" w:cs="Arial"/>
          <w:lang w:val="en-US"/>
        </w:rPr>
        <w:t xml:space="preserve"> </w:t>
      </w:r>
      <w:r w:rsidRPr="00DB11F6">
        <w:rPr>
          <w:rFonts w:ascii="Arial" w:eastAsia="Aptos" w:hAnsi="Arial" w:cs="Arial"/>
        </w:rPr>
        <w:t>[13]</w:t>
      </w:r>
      <w:r w:rsidRPr="00DB11F6">
        <w:rPr>
          <w:rFonts w:ascii="Arial" w:eastAsia="Aptos" w:hAnsi="Arial" w:cs="Arial"/>
        </w:rPr>
        <w:tab/>
        <w:t xml:space="preserve">T. Shimamura </w:t>
      </w:r>
      <w:r w:rsidRPr="00DB11F6">
        <w:rPr>
          <w:rFonts w:ascii="Arial" w:eastAsia="Aptos" w:hAnsi="Arial" w:cs="Arial"/>
          <w:i/>
          <w:iCs/>
        </w:rPr>
        <w:t>et al.</w:t>
      </w:r>
      <w:r w:rsidRPr="00DB11F6">
        <w:rPr>
          <w:rFonts w:ascii="Arial" w:eastAsia="Aptos" w:hAnsi="Arial" w:cs="Arial"/>
        </w:rPr>
        <w:t xml:space="preserve">, « Structures intermédiaires acyliques de la classe de spectre étendu A - Lactamase, Toho-1, en Complexe avec cefotaxime, céphalotine et benzylpénicilline* », </w:t>
      </w:r>
      <w:r w:rsidRPr="00DB11F6">
        <w:rPr>
          <w:rFonts w:ascii="Arial" w:eastAsia="Aptos" w:hAnsi="Arial" w:cs="Arial"/>
          <w:i/>
          <w:iCs/>
        </w:rPr>
        <w:t>Journal of Biological Chemistry</w:t>
      </w:r>
      <w:r w:rsidRPr="00DB11F6">
        <w:rPr>
          <w:rFonts w:ascii="Arial" w:eastAsia="Aptos" w:hAnsi="Arial" w:cs="Arial"/>
        </w:rPr>
        <w:t>, vol. 277, n</w:t>
      </w:r>
      <w:r w:rsidRPr="00DB11F6">
        <w:rPr>
          <w:rFonts w:ascii="Arial" w:eastAsia="Aptos" w:hAnsi="Arial" w:cs="Arial"/>
          <w:vertAlign w:val="superscript"/>
        </w:rPr>
        <w:t>o</w:t>
      </w:r>
      <w:r w:rsidRPr="00DB11F6">
        <w:rPr>
          <w:rFonts w:ascii="Arial" w:eastAsia="Aptos" w:hAnsi="Arial" w:cs="Arial"/>
        </w:rPr>
        <w:t xml:space="preserve"> 48, p. 46601</w:t>
      </w:r>
      <w:r w:rsidRPr="00DB11F6">
        <w:rPr>
          <w:rFonts w:ascii="Cambria Math" w:eastAsia="Aptos" w:hAnsi="Cambria Math" w:cs="Cambria Math"/>
        </w:rPr>
        <w:t>‑</w:t>
      </w:r>
      <w:r w:rsidRPr="00DB11F6">
        <w:rPr>
          <w:rFonts w:ascii="Arial" w:eastAsia="Aptos" w:hAnsi="Arial" w:cs="Arial"/>
        </w:rPr>
        <w:t>46608, nov. 2002, doi: 10.1074/jbc.M207884200.</w:t>
      </w:r>
    </w:p>
    <w:p w14:paraId="0AF97E42"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[14]</w:t>
      </w:r>
      <w:r w:rsidRPr="00DB11F6">
        <w:rPr>
          <w:rFonts w:ascii="Arial" w:eastAsia="Aptos" w:hAnsi="Arial" w:cs="Arial"/>
          <w:lang w:val="en-US"/>
        </w:rPr>
        <w:tab/>
        <w:t xml:space="preserve">D. M. Livermore, « Defining an extended-spectrum β-lactamase », </w:t>
      </w:r>
      <w:r w:rsidRPr="00DB11F6">
        <w:rPr>
          <w:rFonts w:ascii="Arial" w:eastAsia="Aptos" w:hAnsi="Arial" w:cs="Arial"/>
          <w:i/>
          <w:iCs/>
          <w:lang w:val="en-US"/>
        </w:rPr>
        <w:t>Clinical Microbiology and Infection</w:t>
      </w:r>
      <w:r w:rsidRPr="00DB11F6">
        <w:rPr>
          <w:rFonts w:ascii="Arial" w:eastAsia="Aptos" w:hAnsi="Arial" w:cs="Arial"/>
          <w:lang w:val="en-US"/>
        </w:rPr>
        <w:t>, vol. 14, n</w:t>
      </w:r>
      <w:r w:rsidRPr="00DB11F6">
        <w:rPr>
          <w:rFonts w:ascii="Arial" w:eastAsia="Aptos" w:hAnsi="Arial" w:cs="Arial"/>
          <w:vertAlign w:val="superscript"/>
          <w:lang w:val="en-US"/>
        </w:rPr>
        <w:t>o</w:t>
      </w:r>
      <w:r w:rsidRPr="00DB11F6">
        <w:rPr>
          <w:rFonts w:ascii="Arial" w:eastAsia="Aptos" w:hAnsi="Arial" w:cs="Arial"/>
          <w:lang w:val="en-US"/>
        </w:rPr>
        <w:t xml:space="preserve"> s1, p. 3</w:t>
      </w:r>
      <w:r w:rsidRPr="00DB11F6">
        <w:rPr>
          <w:rFonts w:ascii="Cambria Math" w:eastAsia="Aptos" w:hAnsi="Cambria Math" w:cs="Cambria Math"/>
          <w:lang w:val="en-US"/>
        </w:rPr>
        <w:t>‑</w:t>
      </w:r>
      <w:r w:rsidRPr="00DB11F6">
        <w:rPr>
          <w:rFonts w:ascii="Arial" w:eastAsia="Aptos" w:hAnsi="Arial" w:cs="Arial"/>
          <w:lang w:val="en-US"/>
        </w:rPr>
        <w:t>10, 2008, doi: 10.1111/j.1469-0691.2007.01857.x.</w:t>
      </w:r>
    </w:p>
    <w:p w14:paraId="206D7309"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[15]</w:t>
      </w:r>
      <w:r w:rsidRPr="00DB11F6">
        <w:rPr>
          <w:rFonts w:ascii="Arial" w:eastAsia="Aptos" w:hAnsi="Arial" w:cs="Arial"/>
          <w:lang w:val="en-US"/>
        </w:rPr>
        <w:tab/>
        <w:t xml:space="preserve">T. Palzkill, « Structural and Mechanistic Basis for Extended-Spectrum Drug-Resistance Mutations in Altering the Specificity of TEM, CTX-M, and KPC β-lactamases », </w:t>
      </w:r>
      <w:r w:rsidRPr="00DB11F6">
        <w:rPr>
          <w:rFonts w:ascii="Arial" w:eastAsia="Aptos" w:hAnsi="Arial" w:cs="Arial"/>
          <w:i/>
          <w:iCs/>
          <w:lang w:val="en-US"/>
        </w:rPr>
        <w:t>Front Mol Biosci</w:t>
      </w:r>
      <w:r w:rsidRPr="00DB11F6">
        <w:rPr>
          <w:rFonts w:ascii="Arial" w:eastAsia="Aptos" w:hAnsi="Arial" w:cs="Arial"/>
          <w:lang w:val="en-US"/>
        </w:rPr>
        <w:t>, vol. 5, p. 16, févr. 2018, doi: 10.3389/fmolb.2018.00016.</w:t>
      </w:r>
    </w:p>
    <w:p w14:paraId="21E2D792"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[16]</w:t>
      </w:r>
      <w:r w:rsidRPr="00DB11F6">
        <w:rPr>
          <w:rFonts w:ascii="Arial" w:eastAsia="Aptos" w:hAnsi="Arial" w:cs="Arial"/>
          <w:lang w:val="en-US"/>
        </w:rPr>
        <w:tab/>
        <w:t xml:space="preserve">J. N. Pendleton, S. P. Gorman, et B. F. Gilmore, « Clinical relevance of the ESKAPE pathogens », </w:t>
      </w:r>
      <w:r w:rsidRPr="00DB11F6">
        <w:rPr>
          <w:rFonts w:ascii="Arial" w:eastAsia="Aptos" w:hAnsi="Arial" w:cs="Arial"/>
          <w:i/>
          <w:iCs/>
          <w:lang w:val="en-US"/>
        </w:rPr>
        <w:t>Expert Review of Anti-infective Therapy</w:t>
      </w:r>
      <w:r w:rsidRPr="00DB11F6">
        <w:rPr>
          <w:rFonts w:ascii="Arial" w:eastAsia="Aptos" w:hAnsi="Arial" w:cs="Arial"/>
          <w:lang w:val="en-US"/>
        </w:rPr>
        <w:t>, vol. 11, n</w:t>
      </w:r>
      <w:r w:rsidRPr="00DB11F6">
        <w:rPr>
          <w:rFonts w:ascii="Arial" w:eastAsia="Aptos" w:hAnsi="Arial" w:cs="Arial"/>
          <w:vertAlign w:val="superscript"/>
          <w:lang w:val="en-US"/>
        </w:rPr>
        <w:t>o</w:t>
      </w:r>
      <w:r w:rsidRPr="00DB11F6">
        <w:rPr>
          <w:rFonts w:ascii="Arial" w:eastAsia="Aptos" w:hAnsi="Arial" w:cs="Arial"/>
          <w:lang w:val="en-US"/>
        </w:rPr>
        <w:t xml:space="preserve"> 3, p. 297</w:t>
      </w:r>
      <w:r w:rsidRPr="00DB11F6">
        <w:rPr>
          <w:rFonts w:ascii="Cambria Math" w:eastAsia="Aptos" w:hAnsi="Cambria Math" w:cs="Cambria Math"/>
          <w:lang w:val="en-US"/>
        </w:rPr>
        <w:t>‑</w:t>
      </w:r>
      <w:r w:rsidRPr="00DB11F6">
        <w:rPr>
          <w:rFonts w:ascii="Arial" w:eastAsia="Aptos" w:hAnsi="Arial" w:cs="Arial"/>
          <w:lang w:val="en-US"/>
        </w:rPr>
        <w:t>308, mars 2013, doi: 10.1586/eri.13.12.</w:t>
      </w:r>
    </w:p>
    <w:p w14:paraId="1674B177"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[17]</w:t>
      </w:r>
      <w:r w:rsidRPr="00DB11F6">
        <w:rPr>
          <w:rFonts w:ascii="Arial" w:eastAsia="Aptos" w:hAnsi="Arial" w:cs="Arial"/>
          <w:lang w:val="en-US"/>
        </w:rPr>
        <w:tab/>
        <w:t xml:space="preserve">R. Y. W. Tiemtoré, A. Mètuor Dabiré, D. Ouermi, S. Sougué, S. Benao, et J. Simporé, « Isolation and Identification of Escherichia coli and Klebsiella pneumoniae Strains Resistant to the Oxyimino-Cephalosporins and the Monobactam by Production of GES Type Extended Spectrum Bêta-Lactamase (ESBL) at Saint Camille Hospital Center in Ouagadougou, Burkina Faso », </w:t>
      </w:r>
      <w:r w:rsidRPr="00DB11F6">
        <w:rPr>
          <w:rFonts w:ascii="Arial" w:eastAsia="Aptos" w:hAnsi="Arial" w:cs="Arial"/>
          <w:i/>
          <w:iCs/>
          <w:lang w:val="en-US"/>
        </w:rPr>
        <w:t>Infect Drug Resist</w:t>
      </w:r>
      <w:r w:rsidRPr="00DB11F6">
        <w:rPr>
          <w:rFonts w:ascii="Arial" w:eastAsia="Aptos" w:hAnsi="Arial" w:cs="Arial"/>
          <w:lang w:val="en-US"/>
        </w:rPr>
        <w:t>, vol. 15, p. 3191</w:t>
      </w:r>
      <w:r w:rsidRPr="00DB11F6">
        <w:rPr>
          <w:rFonts w:ascii="Cambria Math" w:eastAsia="Aptos" w:hAnsi="Cambria Math" w:cs="Cambria Math"/>
          <w:lang w:val="en-US"/>
        </w:rPr>
        <w:t>‑</w:t>
      </w:r>
      <w:r w:rsidRPr="00DB11F6">
        <w:rPr>
          <w:rFonts w:ascii="Arial" w:eastAsia="Aptos" w:hAnsi="Arial" w:cs="Arial"/>
          <w:lang w:val="en-US"/>
        </w:rPr>
        <w:t>3204, juin 2022, doi: 10.2147/IDR.S360945.</w:t>
      </w:r>
    </w:p>
    <w:p w14:paraId="15C8E944"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[18]</w:t>
      </w:r>
      <w:r w:rsidRPr="00DB11F6">
        <w:rPr>
          <w:rFonts w:ascii="Arial" w:eastAsia="Aptos" w:hAnsi="Arial" w:cs="Arial"/>
          <w:lang w:val="en-US"/>
        </w:rPr>
        <w:tab/>
        <w:t xml:space="preserve">M. D. Amana, Z. K. Jacob, Z. Boukaré, M. Jihad, B. Marie, et E. J. Mondher, « Resistances to the Oxyimino-Cephalosporins by Ctx-M-15 Producing Klebsiella </w:t>
      </w:r>
      <w:r w:rsidRPr="00DB11F6">
        <w:rPr>
          <w:rFonts w:ascii="Arial" w:eastAsia="Aptos" w:hAnsi="Arial" w:cs="Arial"/>
          <w:lang w:val="en-US"/>
        </w:rPr>
        <w:lastRenderedPageBreak/>
        <w:t xml:space="preserve">Isolated From the Urines Samples of Patients in the University Hospital Complex Paediatric Charles De Gaulle (Chup-CDG) Of Ouagadougou in Burkina Faso », </w:t>
      </w:r>
      <w:r w:rsidRPr="00DB11F6">
        <w:rPr>
          <w:rFonts w:ascii="Arial" w:eastAsia="Aptos" w:hAnsi="Arial" w:cs="Arial"/>
          <w:i/>
          <w:iCs/>
          <w:lang w:val="en-US"/>
        </w:rPr>
        <w:t>Journal of Asian Scientific Research</w:t>
      </w:r>
      <w:r w:rsidRPr="00DB11F6">
        <w:rPr>
          <w:rFonts w:ascii="Arial" w:eastAsia="Aptos" w:hAnsi="Arial" w:cs="Arial"/>
          <w:lang w:val="en-US"/>
        </w:rPr>
        <w:t>, vol. 3, n</w:t>
      </w:r>
      <w:r w:rsidRPr="00DB11F6">
        <w:rPr>
          <w:rFonts w:ascii="Arial" w:eastAsia="Aptos" w:hAnsi="Arial" w:cs="Arial"/>
          <w:vertAlign w:val="superscript"/>
          <w:lang w:val="en-US"/>
        </w:rPr>
        <w:t>o</w:t>
      </w:r>
      <w:r w:rsidRPr="00DB11F6">
        <w:rPr>
          <w:rFonts w:ascii="Arial" w:eastAsia="Aptos" w:hAnsi="Arial" w:cs="Arial"/>
          <w:lang w:val="en-US"/>
        </w:rPr>
        <w:t xml:space="preserve"> 9, Art. n</w:t>
      </w:r>
      <w:r w:rsidRPr="00DB11F6">
        <w:rPr>
          <w:rFonts w:ascii="Arial" w:eastAsia="Aptos" w:hAnsi="Arial" w:cs="Arial"/>
          <w:vertAlign w:val="superscript"/>
          <w:lang w:val="en-US"/>
        </w:rPr>
        <w:t>o</w:t>
      </w:r>
      <w:r w:rsidRPr="00DB11F6">
        <w:rPr>
          <w:rFonts w:ascii="Arial" w:eastAsia="Aptos" w:hAnsi="Arial" w:cs="Arial"/>
          <w:lang w:val="en-US"/>
        </w:rPr>
        <w:t xml:space="preserve"> 9, sept. 2013.</w:t>
      </w:r>
    </w:p>
    <w:p w14:paraId="57A990AC"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[19]</w:t>
      </w:r>
      <w:r w:rsidRPr="00DB11F6">
        <w:rPr>
          <w:rFonts w:ascii="Arial" w:eastAsia="Aptos" w:hAnsi="Arial" w:cs="Arial"/>
          <w:lang w:val="en-US"/>
        </w:rPr>
        <w:tab/>
        <w:t xml:space="preserve">L. Pagani </w:t>
      </w:r>
      <w:r w:rsidRPr="00DB11F6">
        <w:rPr>
          <w:rFonts w:ascii="Arial" w:eastAsia="Aptos" w:hAnsi="Arial" w:cs="Arial"/>
          <w:i/>
          <w:iCs/>
          <w:lang w:val="en-US"/>
        </w:rPr>
        <w:t>et al.</w:t>
      </w:r>
      <w:r w:rsidRPr="00DB11F6">
        <w:rPr>
          <w:rFonts w:ascii="Arial" w:eastAsia="Aptos" w:hAnsi="Arial" w:cs="Arial"/>
          <w:lang w:val="en-US"/>
        </w:rPr>
        <w:t xml:space="preserve">, « Multiple CTX-M-Type Extended-Spectrum β-Lactamases in Nosocomial Isolates of Enterobacteriaceae from a Hospital in Northern Italy », </w:t>
      </w:r>
      <w:r w:rsidRPr="00DB11F6">
        <w:rPr>
          <w:rFonts w:ascii="Arial" w:eastAsia="Aptos" w:hAnsi="Arial" w:cs="Arial"/>
          <w:i/>
          <w:iCs/>
          <w:lang w:val="en-US"/>
        </w:rPr>
        <w:t>J Clin Microbiol</w:t>
      </w:r>
      <w:r w:rsidRPr="00DB11F6">
        <w:rPr>
          <w:rFonts w:ascii="Arial" w:eastAsia="Aptos" w:hAnsi="Arial" w:cs="Arial"/>
          <w:lang w:val="en-US"/>
        </w:rPr>
        <w:t>, vol. 41, n</w:t>
      </w:r>
      <w:r w:rsidRPr="00DB11F6">
        <w:rPr>
          <w:rFonts w:ascii="Arial" w:eastAsia="Aptos" w:hAnsi="Arial" w:cs="Arial"/>
          <w:vertAlign w:val="superscript"/>
          <w:lang w:val="en-US"/>
        </w:rPr>
        <w:t>o</w:t>
      </w:r>
      <w:r w:rsidRPr="00DB11F6">
        <w:rPr>
          <w:rFonts w:ascii="Arial" w:eastAsia="Aptos" w:hAnsi="Arial" w:cs="Arial"/>
          <w:lang w:val="en-US"/>
        </w:rPr>
        <w:t xml:space="preserve"> 9, p. 4264</w:t>
      </w:r>
      <w:r w:rsidRPr="00DB11F6">
        <w:rPr>
          <w:rFonts w:ascii="Cambria Math" w:eastAsia="Aptos" w:hAnsi="Cambria Math" w:cs="Cambria Math"/>
          <w:lang w:val="en-US"/>
        </w:rPr>
        <w:t>‑</w:t>
      </w:r>
      <w:r w:rsidRPr="00DB11F6">
        <w:rPr>
          <w:rFonts w:ascii="Arial" w:eastAsia="Aptos" w:hAnsi="Arial" w:cs="Arial"/>
          <w:lang w:val="en-US"/>
        </w:rPr>
        <w:t>4269, sept. 2003, doi: 10.1128/JCM.41.9.4264-4269.2003.</w:t>
      </w:r>
    </w:p>
    <w:p w14:paraId="1F1FEE74" w14:textId="77777777"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Pr>
          <w:rFonts w:ascii="Arial" w:eastAsia="Aptos" w:hAnsi="Arial" w:cs="Arial"/>
          <w:lang w:val="en-US"/>
        </w:rPr>
        <w:t>[20]</w:t>
      </w:r>
      <w:r w:rsidRPr="00DB11F6">
        <w:rPr>
          <w:rFonts w:ascii="Arial" w:eastAsia="Aptos" w:hAnsi="Arial" w:cs="Arial"/>
          <w:lang w:val="en-US"/>
        </w:rPr>
        <w:tab/>
        <w:t xml:space="preserve">TIEMTORE Rahimatou Yasmina Wendkuni, METUOR DABIRE Amana, OUERMI Djeneba, DJIGMAFlorencia Wenkuuni, ZONGO Luc, SIMPORE Jacques, 2023. </w:t>
      </w:r>
      <w:r w:rsidRPr="00DB11F6">
        <w:rPr>
          <w:rFonts w:ascii="Arial" w:eastAsia="Aptos" w:hAnsi="Arial" w:cs="Arial"/>
        </w:rPr>
        <w:t xml:space="preserve">Extrait de Boswellia dalzielii pour l’efficacité des antibiotiques de la famille des beta lactamines  </w:t>
      </w:r>
    </w:p>
    <w:p w14:paraId="270B950F"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[21]</w:t>
      </w:r>
      <w:r w:rsidRPr="00DB11F6">
        <w:rPr>
          <w:rFonts w:ascii="Arial" w:eastAsia="Aptos" w:hAnsi="Arial" w:cs="Arial"/>
          <w:lang w:val="en-US"/>
        </w:rPr>
        <w:tab/>
        <w:t xml:space="preserve">M. K. Chaudhary, I. Jadhav, et M. R. Banjara, « Molecular detection of plasmid mediated blaTEM, blaCTX-M,and blaSHV genes in Extended Spectrum β-Lactamase (ESBL) Escherichia coli from clinical samples », </w:t>
      </w:r>
      <w:r w:rsidRPr="00DB11F6">
        <w:rPr>
          <w:rFonts w:ascii="Arial" w:eastAsia="Aptos" w:hAnsi="Arial" w:cs="Arial"/>
          <w:i/>
          <w:iCs/>
          <w:lang w:val="en-US"/>
        </w:rPr>
        <w:t>Ann Clin Microbiol Antimicrob</w:t>
      </w:r>
      <w:r w:rsidRPr="00DB11F6">
        <w:rPr>
          <w:rFonts w:ascii="Arial" w:eastAsia="Aptos" w:hAnsi="Arial" w:cs="Arial"/>
          <w:lang w:val="en-US"/>
        </w:rPr>
        <w:t>, vol. 22, n</w:t>
      </w:r>
      <w:r w:rsidRPr="00DB11F6">
        <w:rPr>
          <w:rFonts w:ascii="Arial" w:eastAsia="Aptos" w:hAnsi="Arial" w:cs="Arial"/>
          <w:vertAlign w:val="superscript"/>
          <w:lang w:val="en-US"/>
        </w:rPr>
        <w:t>o</w:t>
      </w:r>
      <w:r w:rsidRPr="00DB11F6">
        <w:rPr>
          <w:rFonts w:ascii="Arial" w:eastAsia="Aptos" w:hAnsi="Arial" w:cs="Arial"/>
          <w:lang w:val="en-US"/>
        </w:rPr>
        <w:t xml:space="preserve"> 1, p. 33, mai 2023, doi: 10.1186/s12941-023-00584-0.</w:t>
      </w:r>
    </w:p>
    <w:p w14:paraId="02622DC8"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[22]</w:t>
      </w:r>
      <w:r w:rsidRPr="00DB11F6">
        <w:rPr>
          <w:rFonts w:ascii="Arial" w:eastAsia="Aptos" w:hAnsi="Arial" w:cs="Arial"/>
          <w:lang w:val="en-US"/>
        </w:rPr>
        <w:tab/>
        <w:t xml:space="preserve">S. Clegg et C. N. Murphy, « Epidemiology and Virulence of Klebsiella pneumoniae », </w:t>
      </w:r>
      <w:r w:rsidRPr="00DB11F6">
        <w:rPr>
          <w:rFonts w:ascii="Arial" w:eastAsia="Aptos" w:hAnsi="Arial" w:cs="Arial"/>
          <w:i/>
          <w:iCs/>
          <w:lang w:val="en-US"/>
        </w:rPr>
        <w:t>Microbiology Spectrum</w:t>
      </w:r>
      <w:r w:rsidRPr="00DB11F6">
        <w:rPr>
          <w:rFonts w:ascii="Arial" w:eastAsia="Aptos" w:hAnsi="Arial" w:cs="Arial"/>
          <w:lang w:val="en-US"/>
        </w:rPr>
        <w:t>, vol. 4, n</w:t>
      </w:r>
      <w:r w:rsidRPr="00DB11F6">
        <w:rPr>
          <w:rFonts w:ascii="Arial" w:eastAsia="Aptos" w:hAnsi="Arial" w:cs="Arial"/>
          <w:vertAlign w:val="superscript"/>
          <w:lang w:val="en-US"/>
        </w:rPr>
        <w:t>o</w:t>
      </w:r>
      <w:r w:rsidRPr="00DB11F6">
        <w:rPr>
          <w:rFonts w:ascii="Arial" w:eastAsia="Aptos" w:hAnsi="Arial" w:cs="Arial"/>
          <w:lang w:val="en-US"/>
        </w:rPr>
        <w:t xml:space="preserve"> 1, p. 10.1128/microbiolspec.uti-0005</w:t>
      </w:r>
      <w:r w:rsidRPr="00DB11F6">
        <w:rPr>
          <w:rFonts w:ascii="Cambria Math" w:eastAsia="Aptos" w:hAnsi="Cambria Math" w:cs="Cambria Math"/>
          <w:lang w:val="en-US"/>
        </w:rPr>
        <w:t>‑</w:t>
      </w:r>
      <w:r w:rsidRPr="00DB11F6">
        <w:rPr>
          <w:rFonts w:ascii="Arial" w:eastAsia="Aptos" w:hAnsi="Arial" w:cs="Arial"/>
          <w:lang w:val="en-US"/>
        </w:rPr>
        <w:t>2012, févr. 2016, doi: 10.1128/microbiolspec.uti-0005-2012.</w:t>
      </w:r>
    </w:p>
    <w:p w14:paraId="0B82F028"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[23]</w:t>
      </w:r>
      <w:r w:rsidRPr="00DB11F6">
        <w:rPr>
          <w:rFonts w:ascii="Arial" w:eastAsia="Aptos" w:hAnsi="Arial" w:cs="Arial"/>
          <w:lang w:val="en-US"/>
        </w:rPr>
        <w:tab/>
        <w:t xml:space="preserve">A. K. Ouattara, B. Ouédraogo, A. M. Dabiré, R. Y. W. Tiemtoré, S. Sougué, et J. Simporé, « First Detection of NDM-type Carbapenemase-Producing K. pneumoniae isolated from Clinical Samples in Ouagadougou, Burkina Faso », </w:t>
      </w:r>
      <w:r w:rsidRPr="00DB11F6">
        <w:rPr>
          <w:rFonts w:ascii="Arial" w:eastAsia="Aptos" w:hAnsi="Arial" w:cs="Arial"/>
          <w:i/>
          <w:iCs/>
          <w:lang w:val="en-US"/>
        </w:rPr>
        <w:t>Archives of Microbiology &amp; Immunology</w:t>
      </w:r>
      <w:r w:rsidRPr="00DB11F6">
        <w:rPr>
          <w:rFonts w:ascii="Arial" w:eastAsia="Aptos" w:hAnsi="Arial" w:cs="Arial"/>
          <w:lang w:val="en-US"/>
        </w:rPr>
        <w:t>, vol. 7, n</w:t>
      </w:r>
      <w:r w:rsidRPr="00DB11F6">
        <w:rPr>
          <w:rFonts w:ascii="Arial" w:eastAsia="Aptos" w:hAnsi="Arial" w:cs="Arial"/>
          <w:vertAlign w:val="superscript"/>
          <w:lang w:val="en-US"/>
        </w:rPr>
        <w:t>o</w:t>
      </w:r>
      <w:r w:rsidRPr="00DB11F6">
        <w:rPr>
          <w:rFonts w:ascii="Arial" w:eastAsia="Aptos" w:hAnsi="Arial" w:cs="Arial"/>
          <w:lang w:val="en-US"/>
        </w:rPr>
        <w:t xml:space="preserve"> 4, p. 236</w:t>
      </w:r>
      <w:r w:rsidRPr="00DB11F6">
        <w:rPr>
          <w:rFonts w:ascii="Cambria Math" w:eastAsia="Aptos" w:hAnsi="Cambria Math" w:cs="Cambria Math"/>
          <w:lang w:val="en-US"/>
        </w:rPr>
        <w:t>‑</w:t>
      </w:r>
      <w:r w:rsidRPr="00DB11F6">
        <w:rPr>
          <w:rFonts w:ascii="Arial" w:eastAsia="Aptos" w:hAnsi="Arial" w:cs="Arial"/>
          <w:lang w:val="en-US"/>
        </w:rPr>
        <w:t>241, oct. 2023.</w:t>
      </w:r>
    </w:p>
    <w:p w14:paraId="3943DF3D"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[24]</w:t>
      </w:r>
      <w:r w:rsidRPr="00DB11F6">
        <w:rPr>
          <w:rFonts w:ascii="Arial" w:eastAsia="Aptos" w:hAnsi="Arial" w:cs="Arial"/>
          <w:lang w:val="en-US"/>
        </w:rPr>
        <w:tab/>
        <w:t xml:space="preserve">R. O. Badini </w:t>
      </w:r>
      <w:r w:rsidRPr="00DB11F6">
        <w:rPr>
          <w:rFonts w:ascii="Arial" w:eastAsia="Aptos" w:hAnsi="Arial" w:cs="Arial"/>
          <w:i/>
          <w:iCs/>
          <w:lang w:val="en-US"/>
        </w:rPr>
        <w:t>et al.</w:t>
      </w:r>
      <w:r w:rsidRPr="00DB11F6">
        <w:rPr>
          <w:rFonts w:ascii="Arial" w:eastAsia="Aptos" w:hAnsi="Arial" w:cs="Arial"/>
          <w:lang w:val="en-US"/>
        </w:rPr>
        <w:t xml:space="preserve">, « Detection of Antibiotic Resistance Genes bla SHV, bla TOHO and bla NDM in Pathogenic Gram-Negative Bacilli at the Pietro Annigoni Biomolecular Research Center », </w:t>
      </w:r>
      <w:r w:rsidRPr="00DB11F6">
        <w:rPr>
          <w:rFonts w:ascii="Arial" w:eastAsia="Aptos" w:hAnsi="Arial" w:cs="Arial"/>
          <w:i/>
          <w:iCs/>
          <w:lang w:val="en-US"/>
        </w:rPr>
        <w:t>Current Journal of Applied Science and Technology</w:t>
      </w:r>
      <w:r w:rsidRPr="00DB11F6">
        <w:rPr>
          <w:rFonts w:ascii="Arial" w:eastAsia="Aptos" w:hAnsi="Arial" w:cs="Arial"/>
          <w:lang w:val="en-US"/>
        </w:rPr>
        <w:t>, vol. 42, n</w:t>
      </w:r>
      <w:r w:rsidRPr="00DB11F6">
        <w:rPr>
          <w:rFonts w:ascii="Arial" w:eastAsia="Aptos" w:hAnsi="Arial" w:cs="Arial"/>
          <w:vertAlign w:val="superscript"/>
          <w:lang w:val="en-US"/>
        </w:rPr>
        <w:t>o</w:t>
      </w:r>
      <w:r w:rsidRPr="00DB11F6">
        <w:rPr>
          <w:rFonts w:ascii="Arial" w:eastAsia="Aptos" w:hAnsi="Arial" w:cs="Arial"/>
          <w:lang w:val="en-US"/>
        </w:rPr>
        <w:t xml:space="preserve"> 48, p. 87</w:t>
      </w:r>
      <w:r w:rsidRPr="00DB11F6">
        <w:rPr>
          <w:rFonts w:ascii="Cambria Math" w:eastAsia="Aptos" w:hAnsi="Cambria Math" w:cs="Cambria Math"/>
          <w:lang w:val="en-US"/>
        </w:rPr>
        <w:t>‑</w:t>
      </w:r>
      <w:r w:rsidRPr="00DB11F6">
        <w:rPr>
          <w:rFonts w:ascii="Arial" w:eastAsia="Aptos" w:hAnsi="Arial" w:cs="Arial"/>
          <w:lang w:val="en-US"/>
        </w:rPr>
        <w:t>96, déc. 2023, doi: 10.9734/cjast/2023/v42i484335.</w:t>
      </w:r>
    </w:p>
    <w:p w14:paraId="7BD7F42C"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sidDel="000526AE">
        <w:rPr>
          <w:rFonts w:ascii="Arial" w:eastAsia="Aptos" w:hAnsi="Arial" w:cs="Arial"/>
          <w:lang w:val="en-US"/>
        </w:rPr>
        <w:t xml:space="preserve"> </w:t>
      </w:r>
      <w:r w:rsidRPr="00DB11F6">
        <w:rPr>
          <w:rFonts w:ascii="Arial" w:eastAsia="Aptos" w:hAnsi="Arial" w:cs="Arial"/>
          <w:lang w:val="en-US"/>
        </w:rPr>
        <w:t>[25]</w:t>
      </w:r>
      <w:r w:rsidRPr="00DB11F6">
        <w:rPr>
          <w:rFonts w:ascii="Arial" w:eastAsia="Aptos" w:hAnsi="Arial" w:cs="Arial"/>
          <w:lang w:val="en-US"/>
        </w:rPr>
        <w:tab/>
        <w:t xml:space="preserve">F. D. Salah </w:t>
      </w:r>
      <w:r w:rsidRPr="00DB11F6">
        <w:rPr>
          <w:rFonts w:ascii="Arial" w:eastAsia="Aptos" w:hAnsi="Arial" w:cs="Arial"/>
          <w:i/>
          <w:iCs/>
          <w:lang w:val="en-US"/>
        </w:rPr>
        <w:t>et al.</w:t>
      </w:r>
      <w:r w:rsidRPr="00DB11F6">
        <w:rPr>
          <w:rFonts w:ascii="Arial" w:eastAsia="Aptos" w:hAnsi="Arial" w:cs="Arial"/>
          <w:lang w:val="en-US"/>
        </w:rPr>
        <w:t xml:space="preserve">, « Augmentation de la résistance aux antibiotiques des Entérobactéries isolées à l’Institut National d’Hygiène de Lomé de 2010 à 2017: Increase in antibiotic resistance of Enterobacteriaceae isolated at the National Institute of Hygiene of Lomé from 2010 to 2017 », </w:t>
      </w:r>
      <w:r w:rsidRPr="00DB11F6">
        <w:rPr>
          <w:rFonts w:ascii="Arial" w:eastAsia="Aptos" w:hAnsi="Arial" w:cs="Arial"/>
          <w:i/>
          <w:iCs/>
          <w:lang w:val="en-US"/>
        </w:rPr>
        <w:t>Journal of Interventional Epidemiology and Public Health</w:t>
      </w:r>
      <w:r w:rsidRPr="00DB11F6">
        <w:rPr>
          <w:rFonts w:ascii="Arial" w:eastAsia="Aptos" w:hAnsi="Arial" w:cs="Arial"/>
          <w:lang w:val="en-US"/>
        </w:rPr>
        <w:t>, vol. 4, n</w:t>
      </w:r>
      <w:r w:rsidRPr="00DB11F6">
        <w:rPr>
          <w:rFonts w:ascii="Arial" w:eastAsia="Aptos" w:hAnsi="Arial" w:cs="Arial"/>
          <w:vertAlign w:val="superscript"/>
          <w:lang w:val="en-US"/>
        </w:rPr>
        <w:t>o</w:t>
      </w:r>
      <w:r w:rsidRPr="00DB11F6">
        <w:rPr>
          <w:rFonts w:ascii="Arial" w:eastAsia="Aptos" w:hAnsi="Arial" w:cs="Arial"/>
          <w:lang w:val="en-US"/>
        </w:rPr>
        <w:t xml:space="preserve"> 3, Art. n</w:t>
      </w:r>
      <w:r w:rsidRPr="00DB11F6">
        <w:rPr>
          <w:rFonts w:ascii="Arial" w:eastAsia="Aptos" w:hAnsi="Arial" w:cs="Arial"/>
          <w:vertAlign w:val="superscript"/>
          <w:lang w:val="en-US"/>
        </w:rPr>
        <w:t>o</w:t>
      </w:r>
      <w:r w:rsidRPr="00DB11F6">
        <w:rPr>
          <w:rFonts w:ascii="Arial" w:eastAsia="Aptos" w:hAnsi="Arial" w:cs="Arial"/>
          <w:lang w:val="en-US"/>
        </w:rPr>
        <w:t xml:space="preserve"> 3, 2021, Disponible sur: https://www.ajol.info/index.php/jieph/article/view/237894</w:t>
      </w:r>
    </w:p>
    <w:p w14:paraId="26BF48C7"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[26]</w:t>
      </w:r>
      <w:r w:rsidRPr="00DB11F6">
        <w:rPr>
          <w:rFonts w:ascii="Arial" w:eastAsia="Aptos" w:hAnsi="Arial" w:cs="Arial"/>
          <w:lang w:val="en-US"/>
        </w:rPr>
        <w:tab/>
        <w:t xml:space="preserve">Y. Mouanga Ndzime </w:t>
      </w:r>
      <w:r w:rsidRPr="00DB11F6">
        <w:rPr>
          <w:rFonts w:ascii="Arial" w:eastAsia="Aptos" w:hAnsi="Arial" w:cs="Arial"/>
          <w:i/>
          <w:iCs/>
          <w:lang w:val="en-US"/>
        </w:rPr>
        <w:t>et al.</w:t>
      </w:r>
      <w:r w:rsidRPr="00DB11F6">
        <w:rPr>
          <w:rFonts w:ascii="Arial" w:eastAsia="Aptos" w:hAnsi="Arial" w:cs="Arial"/>
          <w:lang w:val="en-US"/>
        </w:rPr>
        <w:t xml:space="preserve">, « Epidemiology of Community Origin Escherichia coli and Klebsiella pneumoniae Uropathogenic Strains Resistant to Antibiotics in Franceville, Gabon », </w:t>
      </w:r>
      <w:r w:rsidRPr="00DB11F6">
        <w:rPr>
          <w:rFonts w:ascii="Arial" w:eastAsia="Aptos" w:hAnsi="Arial" w:cs="Arial"/>
          <w:i/>
          <w:iCs/>
          <w:lang w:val="en-US"/>
        </w:rPr>
        <w:t>Infect Drug Resist</w:t>
      </w:r>
      <w:r w:rsidRPr="00DB11F6">
        <w:rPr>
          <w:rFonts w:ascii="Arial" w:eastAsia="Aptos" w:hAnsi="Arial" w:cs="Arial"/>
          <w:lang w:val="en-US"/>
        </w:rPr>
        <w:t>, vol. 14, p. 585</w:t>
      </w:r>
      <w:r w:rsidRPr="00DB11F6">
        <w:rPr>
          <w:rFonts w:ascii="Cambria Math" w:eastAsia="Aptos" w:hAnsi="Cambria Math" w:cs="Cambria Math"/>
          <w:lang w:val="en-US"/>
        </w:rPr>
        <w:t>‑</w:t>
      </w:r>
      <w:r w:rsidRPr="00DB11F6">
        <w:rPr>
          <w:rFonts w:ascii="Arial" w:eastAsia="Aptos" w:hAnsi="Arial" w:cs="Arial"/>
          <w:lang w:val="en-US"/>
        </w:rPr>
        <w:t>594, 2021, doi: 10.2147/IDR.S296054.</w:t>
      </w:r>
    </w:p>
    <w:p w14:paraId="1357B976"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[27]</w:t>
      </w:r>
      <w:r w:rsidRPr="00DB11F6">
        <w:rPr>
          <w:rFonts w:ascii="Arial" w:eastAsia="Aptos" w:hAnsi="Arial" w:cs="Arial"/>
          <w:lang w:val="en-US"/>
        </w:rPr>
        <w:tab/>
        <w:t xml:space="preserve">E. Abbasi et E. Ghaznavi-Rad, « High frequency of NDM-1 and OXA-48 carbapenemase genes among </w:t>
      </w:r>
      <w:r w:rsidRPr="00DB11F6">
        <w:rPr>
          <w:rFonts w:ascii="Arial" w:eastAsia="Aptos" w:hAnsi="Arial" w:cs="Arial"/>
          <w:i/>
          <w:lang w:val="en-US"/>
        </w:rPr>
        <w:t>Klebsiella pneumoniae</w:t>
      </w:r>
      <w:r w:rsidRPr="00DB11F6">
        <w:rPr>
          <w:rFonts w:ascii="Arial" w:eastAsia="Aptos" w:hAnsi="Arial" w:cs="Arial"/>
          <w:lang w:val="en-US"/>
        </w:rPr>
        <w:t xml:space="preserve"> isolates in central Iran », </w:t>
      </w:r>
      <w:r w:rsidRPr="00DB11F6">
        <w:rPr>
          <w:rFonts w:ascii="Arial" w:eastAsia="Aptos" w:hAnsi="Arial" w:cs="Arial"/>
          <w:i/>
          <w:iCs/>
          <w:lang w:val="en-US"/>
        </w:rPr>
        <w:t>BMC Microbiology</w:t>
      </w:r>
      <w:r w:rsidRPr="00DB11F6">
        <w:rPr>
          <w:rFonts w:ascii="Arial" w:eastAsia="Aptos" w:hAnsi="Arial" w:cs="Arial"/>
          <w:lang w:val="en-US"/>
        </w:rPr>
        <w:t>, vol. 23, p. 98, avr. 2023, doi: 10.1186/s12866-023-02840-x.</w:t>
      </w:r>
    </w:p>
    <w:p w14:paraId="27729C11"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lastRenderedPageBreak/>
        <w:t>[28]</w:t>
      </w:r>
      <w:r w:rsidRPr="00DB11F6">
        <w:rPr>
          <w:rFonts w:ascii="Arial" w:eastAsia="Aptos" w:hAnsi="Arial" w:cs="Arial"/>
          <w:lang w:val="en-US"/>
        </w:rPr>
        <w:tab/>
        <w:t xml:space="preserve">M. B. Jalil et M. Y. N. Al Atbee, « The prevalence of multiple drug resistance </w:t>
      </w:r>
      <w:r w:rsidRPr="00DB11F6">
        <w:rPr>
          <w:rFonts w:ascii="Arial" w:eastAsia="Aptos" w:hAnsi="Arial" w:cs="Arial"/>
          <w:i/>
          <w:lang w:val="en-US"/>
        </w:rPr>
        <w:t xml:space="preserve">Escherichia coli </w:t>
      </w:r>
      <w:r w:rsidRPr="00DB11F6">
        <w:rPr>
          <w:rFonts w:ascii="Arial" w:eastAsia="Aptos" w:hAnsi="Arial" w:cs="Arial"/>
          <w:lang w:val="en-US"/>
        </w:rPr>
        <w:t xml:space="preserve">and </w:t>
      </w:r>
      <w:r w:rsidRPr="00DB11F6">
        <w:rPr>
          <w:rFonts w:ascii="Arial" w:eastAsia="Aptos" w:hAnsi="Arial" w:cs="Arial"/>
          <w:i/>
          <w:lang w:val="en-US"/>
        </w:rPr>
        <w:t>Klebsiella pneumoniae</w:t>
      </w:r>
      <w:r w:rsidRPr="00DB11F6">
        <w:rPr>
          <w:rFonts w:ascii="Arial" w:eastAsia="Aptos" w:hAnsi="Arial" w:cs="Arial"/>
          <w:lang w:val="en-US"/>
        </w:rPr>
        <w:t xml:space="preserve"> isolated from patients with urinary tract infections », </w:t>
      </w:r>
      <w:r w:rsidRPr="00DB11F6">
        <w:rPr>
          <w:rFonts w:ascii="Arial" w:eastAsia="Aptos" w:hAnsi="Arial" w:cs="Arial"/>
          <w:i/>
          <w:iCs/>
          <w:lang w:val="en-US"/>
        </w:rPr>
        <w:t>J Clin Lab Anal</w:t>
      </w:r>
      <w:r w:rsidRPr="00DB11F6">
        <w:rPr>
          <w:rFonts w:ascii="Arial" w:eastAsia="Aptos" w:hAnsi="Arial" w:cs="Arial"/>
          <w:lang w:val="en-US"/>
        </w:rPr>
        <w:t>, vol. 36, n</w:t>
      </w:r>
      <w:r w:rsidRPr="00DB11F6">
        <w:rPr>
          <w:rFonts w:ascii="Arial" w:eastAsia="Aptos" w:hAnsi="Arial" w:cs="Arial"/>
          <w:vertAlign w:val="superscript"/>
          <w:lang w:val="en-US"/>
        </w:rPr>
        <w:t>o</w:t>
      </w:r>
      <w:r w:rsidRPr="00DB11F6">
        <w:rPr>
          <w:rFonts w:ascii="Arial" w:eastAsia="Aptos" w:hAnsi="Arial" w:cs="Arial"/>
          <w:lang w:val="en-US"/>
        </w:rPr>
        <w:t xml:space="preserve"> 9, p. e24619, juill. 2022, doi: 10.1002/jcla.24619.</w:t>
      </w:r>
    </w:p>
    <w:p w14:paraId="72D9F47E"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[29]</w:t>
      </w:r>
      <w:r w:rsidRPr="00DB11F6">
        <w:rPr>
          <w:rFonts w:ascii="Arial" w:eastAsia="Aptos" w:hAnsi="Arial" w:cs="Arial"/>
          <w:lang w:val="en-US"/>
        </w:rPr>
        <w:tab/>
        <w:t xml:space="preserve">L. E. B. Bambara, A. M. Dabire, O. Traore, Y. Tiemtore, T. Zohoncon, et J. Simpore, « Genetic and Kinetic Profiles of Bacterial Resistance Enzymes to IMP and NDM Type Antibiotics in Gram-negative Pathogenic Bacilli », </w:t>
      </w:r>
      <w:r w:rsidRPr="00DB11F6">
        <w:rPr>
          <w:rFonts w:ascii="Arial" w:eastAsia="Aptos" w:hAnsi="Arial" w:cs="Arial"/>
          <w:i/>
          <w:iCs/>
          <w:lang w:val="en-US"/>
        </w:rPr>
        <w:t>International Journal of Biochemistry Research &amp; Review</w:t>
      </w:r>
      <w:r w:rsidRPr="00DB11F6">
        <w:rPr>
          <w:rFonts w:ascii="Arial" w:eastAsia="Aptos" w:hAnsi="Arial" w:cs="Arial"/>
          <w:lang w:val="en-US"/>
        </w:rPr>
        <w:t>, vol. 32, n</w:t>
      </w:r>
      <w:r w:rsidRPr="00DB11F6">
        <w:rPr>
          <w:rFonts w:ascii="Arial" w:eastAsia="Aptos" w:hAnsi="Arial" w:cs="Arial"/>
          <w:vertAlign w:val="superscript"/>
          <w:lang w:val="en-US"/>
        </w:rPr>
        <w:t>o</w:t>
      </w:r>
      <w:r w:rsidRPr="00DB11F6">
        <w:rPr>
          <w:rFonts w:ascii="Arial" w:eastAsia="Aptos" w:hAnsi="Arial" w:cs="Arial"/>
          <w:lang w:val="en-US"/>
        </w:rPr>
        <w:t xml:space="preserve"> 6, p. 7</w:t>
      </w:r>
      <w:r w:rsidRPr="00DB11F6">
        <w:rPr>
          <w:rFonts w:ascii="Cambria Math" w:eastAsia="Aptos" w:hAnsi="Cambria Math" w:cs="Cambria Math"/>
          <w:lang w:val="en-US"/>
        </w:rPr>
        <w:t>‑</w:t>
      </w:r>
      <w:r w:rsidRPr="00DB11F6">
        <w:rPr>
          <w:rFonts w:ascii="Arial" w:eastAsia="Aptos" w:hAnsi="Arial" w:cs="Arial"/>
          <w:lang w:val="en-US"/>
        </w:rPr>
        <w:t>21, août 2023, doi: 10.9734/ijbcrr/2023/v32i6819.</w:t>
      </w:r>
    </w:p>
    <w:p w14:paraId="2E856815"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[30]</w:t>
      </w:r>
      <w:r w:rsidRPr="00DB11F6">
        <w:rPr>
          <w:rFonts w:ascii="Arial" w:eastAsia="Aptos" w:hAnsi="Arial" w:cs="Arial"/>
          <w:lang w:val="en-US"/>
        </w:rPr>
        <w:tab/>
        <w:t xml:space="preserve">S. Sanou </w:t>
      </w:r>
      <w:r w:rsidRPr="00DB11F6">
        <w:rPr>
          <w:rFonts w:ascii="Arial" w:eastAsia="Aptos" w:hAnsi="Arial" w:cs="Arial"/>
          <w:i/>
          <w:iCs/>
          <w:lang w:val="en-US"/>
        </w:rPr>
        <w:t>et al.</w:t>
      </w:r>
      <w:r w:rsidRPr="00DB11F6">
        <w:rPr>
          <w:rFonts w:ascii="Arial" w:eastAsia="Aptos" w:hAnsi="Arial" w:cs="Arial"/>
          <w:lang w:val="en-US"/>
        </w:rPr>
        <w:t xml:space="preserve">, « Prevalence and Molecular Characterization of Extended Spectrum β-Lactamase, Plasmid-Mediated Quinolone Resistance, and Carbapenemase-Producing Gram-Negative Bacilli in Burkina Faso », </w:t>
      </w:r>
      <w:r w:rsidRPr="00DB11F6">
        <w:rPr>
          <w:rFonts w:ascii="Arial" w:eastAsia="Aptos" w:hAnsi="Arial" w:cs="Arial"/>
          <w:i/>
          <w:iCs/>
          <w:lang w:val="en-US"/>
        </w:rPr>
        <w:t>Microbial Drug Resistance</w:t>
      </w:r>
      <w:r w:rsidRPr="00DB11F6">
        <w:rPr>
          <w:rFonts w:ascii="Arial" w:eastAsia="Aptos" w:hAnsi="Arial" w:cs="Arial"/>
          <w:lang w:val="en-US"/>
        </w:rPr>
        <w:t>, vol. 27, n</w:t>
      </w:r>
      <w:r w:rsidRPr="00DB11F6">
        <w:rPr>
          <w:rFonts w:ascii="Arial" w:eastAsia="Aptos" w:hAnsi="Arial" w:cs="Arial"/>
          <w:vertAlign w:val="superscript"/>
          <w:lang w:val="en-US"/>
        </w:rPr>
        <w:t>o</w:t>
      </w:r>
      <w:r w:rsidRPr="00DB11F6">
        <w:rPr>
          <w:rFonts w:ascii="Arial" w:eastAsia="Aptos" w:hAnsi="Arial" w:cs="Arial"/>
          <w:lang w:val="en-US"/>
        </w:rPr>
        <w:t xml:space="preserve"> 1, p. 18</w:t>
      </w:r>
      <w:r w:rsidRPr="00DB11F6">
        <w:rPr>
          <w:rFonts w:ascii="Cambria Math" w:eastAsia="Aptos" w:hAnsi="Cambria Math" w:cs="Cambria Math"/>
          <w:lang w:val="en-US"/>
        </w:rPr>
        <w:t>‑</w:t>
      </w:r>
      <w:r w:rsidRPr="00DB11F6">
        <w:rPr>
          <w:rFonts w:ascii="Arial" w:eastAsia="Aptos" w:hAnsi="Arial" w:cs="Arial"/>
          <w:lang w:val="en-US"/>
        </w:rPr>
        <w:t>24, janv. 2021, doi: 10.1089/mdr.2020.0134.</w:t>
      </w:r>
    </w:p>
    <w:p w14:paraId="4EF6AD18"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[31]</w:t>
      </w:r>
      <w:r w:rsidRPr="00DB11F6">
        <w:rPr>
          <w:rFonts w:ascii="Arial" w:eastAsia="Aptos" w:hAnsi="Arial" w:cs="Arial"/>
          <w:lang w:val="en-US"/>
        </w:rPr>
        <w:tab/>
        <w:t>Kankara AS, Dutsinma UA, Yusuf I. Antimicrobial Activities of Piperacillin-tazobactam Plus Oxyimino-cephalosporins and Gentamicin against Extensively Drug-resistant Non-carbapenemase-producing Enterobacteriaceae Isolated from Immunocompromised Patients in a Nigerian Hospital. Mediterr J Infect Microb Antimicrob. 2022;11:18. DOI: 10.4274/mjima.galenos.2022.2021.18</w:t>
      </w:r>
    </w:p>
    <w:p w14:paraId="685B45C9"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[32]</w:t>
      </w:r>
      <w:r w:rsidRPr="00DB11F6">
        <w:rPr>
          <w:rFonts w:ascii="Arial" w:eastAsia="Aptos" w:hAnsi="Arial" w:cs="Arial"/>
          <w:lang w:val="en-US"/>
        </w:rPr>
        <w:tab/>
        <w:t xml:space="preserve">R. G. Melano, R. J. Davidson, H. L. Musgrave, et K. R. Forward, « Cephalosporin resistance in Klebsiella pneumoniae from Nova Scotia, Canada », </w:t>
      </w:r>
      <w:r w:rsidRPr="00DB11F6">
        <w:rPr>
          <w:rFonts w:ascii="Arial" w:eastAsia="Aptos" w:hAnsi="Arial" w:cs="Arial"/>
          <w:i/>
          <w:iCs/>
          <w:lang w:val="en-US"/>
        </w:rPr>
        <w:t>Diagnostic Microbiology and Infectious Disease</w:t>
      </w:r>
      <w:r w:rsidRPr="00DB11F6">
        <w:rPr>
          <w:rFonts w:ascii="Arial" w:eastAsia="Aptos" w:hAnsi="Arial" w:cs="Arial"/>
          <w:lang w:val="en-US"/>
        </w:rPr>
        <w:t>, vol. 56, n</w:t>
      </w:r>
      <w:r w:rsidRPr="00DB11F6">
        <w:rPr>
          <w:rFonts w:ascii="Arial" w:eastAsia="Aptos" w:hAnsi="Arial" w:cs="Arial"/>
          <w:vertAlign w:val="superscript"/>
          <w:lang w:val="en-US"/>
        </w:rPr>
        <w:t>o</w:t>
      </w:r>
      <w:r w:rsidRPr="00DB11F6">
        <w:rPr>
          <w:rFonts w:ascii="Arial" w:eastAsia="Aptos" w:hAnsi="Arial" w:cs="Arial"/>
          <w:lang w:val="en-US"/>
        </w:rPr>
        <w:t xml:space="preserve"> 2, p. 197</w:t>
      </w:r>
      <w:r w:rsidRPr="00DB11F6">
        <w:rPr>
          <w:rFonts w:ascii="Cambria Math" w:eastAsia="Aptos" w:hAnsi="Cambria Math" w:cs="Cambria Math"/>
          <w:lang w:val="en-US"/>
        </w:rPr>
        <w:t>‑</w:t>
      </w:r>
      <w:r w:rsidRPr="00DB11F6">
        <w:rPr>
          <w:rFonts w:ascii="Arial" w:eastAsia="Aptos" w:hAnsi="Arial" w:cs="Arial"/>
          <w:lang w:val="en-US"/>
        </w:rPr>
        <w:t>205, oct. 2006, doi: 10.1016/j.diagmicrobio.2006.04.016.</w:t>
      </w:r>
    </w:p>
    <w:p w14:paraId="10912895"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[33]</w:t>
      </w:r>
      <w:r w:rsidRPr="00DB11F6">
        <w:rPr>
          <w:rFonts w:ascii="Arial" w:eastAsia="Aptos" w:hAnsi="Arial" w:cs="Arial"/>
          <w:lang w:val="en-US"/>
        </w:rPr>
        <w:tab/>
        <w:t xml:space="preserve">J. Y. Sharahi, A. Hashemi, A. Ardebili, et S. Davoudabadi, « Molecular characteristics of antibiotic-resistant Escherichia coli and Klebsiella pneumoniae strains isolated from hospitalized patients in Tehran, Iran », </w:t>
      </w:r>
      <w:r w:rsidRPr="00DB11F6">
        <w:rPr>
          <w:rFonts w:ascii="Arial" w:eastAsia="Aptos" w:hAnsi="Arial" w:cs="Arial"/>
          <w:i/>
          <w:iCs/>
          <w:lang w:val="en-US"/>
        </w:rPr>
        <w:t>Ann Clin Microbiol Antimicrob</w:t>
      </w:r>
      <w:r w:rsidRPr="00DB11F6">
        <w:rPr>
          <w:rFonts w:ascii="Arial" w:eastAsia="Aptos" w:hAnsi="Arial" w:cs="Arial"/>
          <w:lang w:val="en-US"/>
        </w:rPr>
        <w:t>, vol. 20, p. 32, avr. 2021, doi: 10.1186/s12941-021-00437-8.</w:t>
      </w:r>
    </w:p>
    <w:p w14:paraId="2BCE9992"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[34]</w:t>
      </w:r>
      <w:r w:rsidRPr="00DB11F6">
        <w:rPr>
          <w:rFonts w:ascii="Arial" w:eastAsia="Aptos" w:hAnsi="Arial" w:cs="Arial"/>
          <w:lang w:val="en-US"/>
        </w:rPr>
        <w:tab/>
        <w:t xml:space="preserve">T. Bajpai, M. Pandey, M. Varma, et G. S. Bhatambare, « Prevalence of TEM, SHV, and CTX-M Beta-Lactamase genes in the urinary isolates of a tertiary care hospital », </w:t>
      </w:r>
      <w:r w:rsidRPr="00DB11F6">
        <w:rPr>
          <w:rFonts w:ascii="Arial" w:eastAsia="Aptos" w:hAnsi="Arial" w:cs="Arial"/>
          <w:i/>
          <w:iCs/>
          <w:lang w:val="en-US"/>
        </w:rPr>
        <w:t>Avicenna J Med</w:t>
      </w:r>
      <w:r w:rsidRPr="00DB11F6">
        <w:rPr>
          <w:rFonts w:ascii="Arial" w:eastAsia="Aptos" w:hAnsi="Arial" w:cs="Arial"/>
          <w:lang w:val="en-US"/>
        </w:rPr>
        <w:t>, vol. 07, n</w:t>
      </w:r>
      <w:r w:rsidRPr="00DB11F6">
        <w:rPr>
          <w:rFonts w:ascii="Arial" w:eastAsia="Aptos" w:hAnsi="Arial" w:cs="Arial"/>
          <w:vertAlign w:val="superscript"/>
          <w:lang w:val="en-US"/>
        </w:rPr>
        <w:t>o</w:t>
      </w:r>
      <w:r w:rsidRPr="00DB11F6">
        <w:rPr>
          <w:rFonts w:ascii="Arial" w:eastAsia="Aptos" w:hAnsi="Arial" w:cs="Arial"/>
          <w:lang w:val="en-US"/>
        </w:rPr>
        <w:t xml:space="preserve"> 01, p. 12</w:t>
      </w:r>
      <w:r w:rsidRPr="00DB11F6">
        <w:rPr>
          <w:rFonts w:ascii="Cambria Math" w:eastAsia="Aptos" w:hAnsi="Cambria Math" w:cs="Cambria Math"/>
          <w:lang w:val="en-US"/>
        </w:rPr>
        <w:t>‑</w:t>
      </w:r>
      <w:r w:rsidRPr="00DB11F6">
        <w:rPr>
          <w:rFonts w:ascii="Arial" w:eastAsia="Aptos" w:hAnsi="Arial" w:cs="Arial"/>
          <w:lang w:val="en-US"/>
        </w:rPr>
        <w:t>16, janv. 2017, doi: 10.4103/2231-0770.197508.</w:t>
      </w:r>
    </w:p>
    <w:p w14:paraId="2FE64DC8"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[35]</w:t>
      </w:r>
      <w:r w:rsidRPr="00DB11F6">
        <w:rPr>
          <w:rFonts w:ascii="Arial" w:eastAsia="Aptos" w:hAnsi="Arial" w:cs="Arial"/>
          <w:lang w:val="en-US"/>
        </w:rPr>
        <w:tab/>
        <w:t xml:space="preserve">« Urinary tract infection in urolithiasis: Antimicrobial resistance and clinico-microbiological association between risk factors and positive stone culture from a tertiary care hospital in south India | Request PDF », </w:t>
      </w:r>
      <w:r w:rsidRPr="00DB11F6">
        <w:rPr>
          <w:rFonts w:ascii="Arial" w:eastAsia="Aptos" w:hAnsi="Arial" w:cs="Arial"/>
          <w:i/>
          <w:iCs/>
          <w:lang w:val="en-US"/>
        </w:rPr>
        <w:t>ResearchGate</w:t>
      </w:r>
      <w:r w:rsidRPr="00DB11F6">
        <w:rPr>
          <w:rFonts w:ascii="Arial" w:eastAsia="Aptos" w:hAnsi="Arial" w:cs="Arial"/>
          <w:lang w:val="en-US"/>
        </w:rPr>
        <w:t>, oct. 2024, doi: 10.51585/gjm.2023.1.0020.</w:t>
      </w:r>
    </w:p>
    <w:p w14:paraId="3142C008"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[36]</w:t>
      </w:r>
      <w:r w:rsidRPr="00DB11F6">
        <w:rPr>
          <w:rFonts w:ascii="Arial" w:eastAsia="Aptos" w:hAnsi="Arial" w:cs="Arial"/>
          <w:lang w:val="en-US"/>
        </w:rPr>
        <w:tab/>
        <w:t xml:space="preserve">M. R. Jaskulski </w:t>
      </w:r>
      <w:r w:rsidRPr="00DB11F6">
        <w:rPr>
          <w:rFonts w:ascii="Arial" w:eastAsia="Aptos" w:hAnsi="Arial" w:cs="Arial"/>
          <w:i/>
          <w:iCs/>
          <w:lang w:val="en-US"/>
        </w:rPr>
        <w:t>et al.</w:t>
      </w:r>
      <w:r w:rsidRPr="00DB11F6">
        <w:rPr>
          <w:rFonts w:ascii="Arial" w:eastAsia="Aptos" w:hAnsi="Arial" w:cs="Arial"/>
          <w:lang w:val="en-US"/>
        </w:rPr>
        <w:t xml:space="preserve">, « Assessment of extended-spectrum β-lactamase, KPC carbapenemase and porin resistance mechanisms in clinical samples of Klebsiella pneumoniae and Enterobacter spp », </w:t>
      </w:r>
      <w:r w:rsidRPr="00DB11F6">
        <w:rPr>
          <w:rFonts w:ascii="Arial" w:eastAsia="Aptos" w:hAnsi="Arial" w:cs="Arial"/>
          <w:i/>
          <w:iCs/>
          <w:lang w:val="en-US"/>
        </w:rPr>
        <w:t>Int J Antimicrob Agents</w:t>
      </w:r>
      <w:r w:rsidRPr="00DB11F6">
        <w:rPr>
          <w:rFonts w:ascii="Arial" w:eastAsia="Aptos" w:hAnsi="Arial" w:cs="Arial"/>
          <w:lang w:val="en-US"/>
        </w:rPr>
        <w:t>, vol. 42, n</w:t>
      </w:r>
      <w:r w:rsidRPr="00DB11F6">
        <w:rPr>
          <w:rFonts w:ascii="Arial" w:eastAsia="Aptos" w:hAnsi="Arial" w:cs="Arial"/>
          <w:vertAlign w:val="superscript"/>
          <w:lang w:val="en-US"/>
        </w:rPr>
        <w:t>o</w:t>
      </w:r>
      <w:r w:rsidRPr="00DB11F6">
        <w:rPr>
          <w:rFonts w:ascii="Arial" w:eastAsia="Aptos" w:hAnsi="Arial" w:cs="Arial"/>
          <w:lang w:val="en-US"/>
        </w:rPr>
        <w:t xml:space="preserve"> 1, p. 76</w:t>
      </w:r>
      <w:r w:rsidRPr="00DB11F6">
        <w:rPr>
          <w:rFonts w:ascii="Cambria Math" w:eastAsia="Aptos" w:hAnsi="Cambria Math" w:cs="Cambria Math"/>
          <w:lang w:val="en-US"/>
        </w:rPr>
        <w:t>‑</w:t>
      </w:r>
      <w:r w:rsidRPr="00DB11F6">
        <w:rPr>
          <w:rFonts w:ascii="Arial" w:eastAsia="Aptos" w:hAnsi="Arial" w:cs="Arial"/>
          <w:lang w:val="en-US"/>
        </w:rPr>
        <w:t>79, juill. 2013, doi: 10.1016/j.ijantimicag.2013.03.009.</w:t>
      </w:r>
    </w:p>
    <w:p w14:paraId="68CDCC98"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sidDel="00562FB2">
        <w:rPr>
          <w:rFonts w:ascii="Arial" w:eastAsia="Aptos" w:hAnsi="Arial" w:cs="Arial"/>
          <w:lang w:val="en-US"/>
        </w:rPr>
        <w:t xml:space="preserve"> </w:t>
      </w:r>
      <w:r w:rsidRPr="00DB11F6">
        <w:rPr>
          <w:rFonts w:ascii="Arial" w:eastAsia="Aptos" w:hAnsi="Arial" w:cs="Arial"/>
          <w:lang w:val="en-US"/>
        </w:rPr>
        <w:t>[37]</w:t>
      </w:r>
      <w:r w:rsidRPr="00DB11F6">
        <w:rPr>
          <w:rFonts w:ascii="Arial" w:eastAsia="Aptos" w:hAnsi="Arial" w:cs="Arial"/>
          <w:lang w:val="en-US"/>
        </w:rPr>
        <w:tab/>
        <w:t xml:space="preserve">D. S. Kpoda </w:t>
      </w:r>
      <w:r w:rsidRPr="00DB11F6">
        <w:rPr>
          <w:rFonts w:ascii="Arial" w:eastAsia="Aptos" w:hAnsi="Arial" w:cs="Arial"/>
          <w:i/>
          <w:iCs/>
          <w:lang w:val="en-US"/>
        </w:rPr>
        <w:t>et al.</w:t>
      </w:r>
      <w:r w:rsidRPr="00DB11F6">
        <w:rPr>
          <w:rFonts w:ascii="Arial" w:eastAsia="Aptos" w:hAnsi="Arial" w:cs="Arial"/>
          <w:lang w:val="en-US"/>
        </w:rPr>
        <w:t xml:space="preserve">, « Distribution of resistance genes encoding ESBLs in Enterobacteriaceae isolated from biological samples in health centers in Ouagadougou, </w:t>
      </w:r>
      <w:r w:rsidRPr="00DB11F6">
        <w:rPr>
          <w:rFonts w:ascii="Arial" w:eastAsia="Aptos" w:hAnsi="Arial" w:cs="Arial"/>
          <w:lang w:val="en-US"/>
        </w:rPr>
        <w:lastRenderedPageBreak/>
        <w:t xml:space="preserve">Burkina Faso », </w:t>
      </w:r>
      <w:r w:rsidRPr="00DB11F6">
        <w:rPr>
          <w:rFonts w:ascii="Arial" w:eastAsia="Aptos" w:hAnsi="Arial" w:cs="Arial"/>
          <w:i/>
          <w:iCs/>
          <w:lang w:val="en-US"/>
        </w:rPr>
        <w:t>BMC Res Notes</w:t>
      </w:r>
      <w:r w:rsidRPr="00DB11F6">
        <w:rPr>
          <w:rFonts w:ascii="Arial" w:eastAsia="Aptos" w:hAnsi="Arial" w:cs="Arial"/>
          <w:lang w:val="en-US"/>
        </w:rPr>
        <w:t>, vol. 11, p. 471, juill. 2018, doi: 10.1186/s13104-018-3581-5.</w:t>
      </w:r>
    </w:p>
    <w:p w14:paraId="3A2ECD51"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[38]</w:t>
      </w:r>
      <w:r w:rsidRPr="00DB11F6">
        <w:rPr>
          <w:rFonts w:ascii="Arial" w:eastAsia="Aptos" w:hAnsi="Arial" w:cs="Arial"/>
          <w:lang w:val="en-US"/>
        </w:rPr>
        <w:tab/>
        <w:t xml:space="preserve">O. B. Ahmed et A. Hussain. Asghar, « The Coexistence of Extended-Spectrum β-lactamase and Metallo-β-Lactamase Genes in Gram-Negative Bacteria », </w:t>
      </w:r>
      <w:r w:rsidRPr="00DB11F6">
        <w:rPr>
          <w:rFonts w:ascii="Arial" w:eastAsia="Aptos" w:hAnsi="Arial" w:cs="Arial"/>
          <w:i/>
          <w:iCs/>
          <w:lang w:val="en-US"/>
        </w:rPr>
        <w:t>Arch. Pharm. Pract</w:t>
      </w:r>
      <w:r w:rsidRPr="00DB11F6">
        <w:rPr>
          <w:rFonts w:ascii="Arial" w:eastAsia="Aptos" w:hAnsi="Arial" w:cs="Arial"/>
          <w:lang w:val="en-US"/>
        </w:rPr>
        <w:t>, vol. 12, n</w:t>
      </w:r>
      <w:r w:rsidRPr="00DB11F6">
        <w:rPr>
          <w:rFonts w:ascii="Arial" w:eastAsia="Aptos" w:hAnsi="Arial" w:cs="Arial"/>
          <w:vertAlign w:val="superscript"/>
          <w:lang w:val="en-US"/>
        </w:rPr>
        <w:t>o</w:t>
      </w:r>
      <w:r w:rsidRPr="00DB11F6">
        <w:rPr>
          <w:rFonts w:ascii="Arial" w:eastAsia="Aptos" w:hAnsi="Arial" w:cs="Arial"/>
          <w:lang w:val="en-US"/>
        </w:rPr>
        <w:t xml:space="preserve"> 3, p. 22</w:t>
      </w:r>
      <w:r w:rsidRPr="00DB11F6">
        <w:rPr>
          <w:rFonts w:ascii="Cambria Math" w:eastAsia="Aptos" w:hAnsi="Cambria Math" w:cs="Cambria Math"/>
          <w:lang w:val="en-US"/>
        </w:rPr>
        <w:t>‑</w:t>
      </w:r>
      <w:r w:rsidRPr="00DB11F6">
        <w:rPr>
          <w:rFonts w:ascii="Arial" w:eastAsia="Aptos" w:hAnsi="Arial" w:cs="Arial"/>
          <w:lang w:val="en-US"/>
        </w:rPr>
        <w:t>28, 2021, doi: 10.51847/TGx8aLP7mY.</w:t>
      </w:r>
    </w:p>
    <w:p w14:paraId="30877E0F"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[39]</w:t>
      </w:r>
      <w:r w:rsidRPr="00DB11F6">
        <w:rPr>
          <w:rFonts w:ascii="Arial" w:eastAsia="Aptos" w:hAnsi="Arial" w:cs="Arial"/>
          <w:lang w:val="en-US"/>
        </w:rPr>
        <w:tab/>
        <w:t xml:space="preserve">« (PDF) Molecular Profile of Emerging Hypervirulent Klebsiella pneumoniae Clinical Isolates in Diabetic Patients », </w:t>
      </w:r>
      <w:r w:rsidRPr="00DB11F6">
        <w:rPr>
          <w:rFonts w:ascii="Arial" w:eastAsia="Aptos" w:hAnsi="Arial" w:cs="Arial"/>
          <w:i/>
          <w:iCs/>
          <w:lang w:val="en-US"/>
        </w:rPr>
        <w:t>ResearchGate</w:t>
      </w:r>
      <w:r w:rsidRPr="00DB11F6">
        <w:rPr>
          <w:rFonts w:ascii="Arial" w:eastAsia="Aptos" w:hAnsi="Arial" w:cs="Arial"/>
          <w:lang w:val="en-US"/>
        </w:rPr>
        <w:t>, févr. 2025, doi: 10.22207/JPAM.19.1.15.</w:t>
      </w:r>
    </w:p>
    <w:p w14:paraId="58FBD2ED" w14:textId="77777777"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Pr>
          <w:rFonts w:ascii="Arial" w:eastAsia="Aptos" w:hAnsi="Arial" w:cs="Arial"/>
        </w:rPr>
        <w:t>[40]</w:t>
      </w:r>
      <w:r w:rsidRPr="00DB11F6">
        <w:rPr>
          <w:rFonts w:ascii="Arial" w:eastAsia="Aptos" w:hAnsi="Arial" w:cs="Arial"/>
        </w:rPr>
        <w:tab/>
        <w:t xml:space="preserve">Z. D. Rakotovao-Ravahatra, F. M. Randriatsarafara, S. Rasoanandrasana, L. Raverohanta, et A. L. Rakotovao, « Phénotypes de résistance des souches d’Escherichia coli responsables d’infection urinaire au laboratoire du Centre Hospitalo-Universitaire de Befelatanana Antananarivo », </w:t>
      </w:r>
      <w:r w:rsidRPr="00DB11F6">
        <w:rPr>
          <w:rFonts w:ascii="Arial" w:eastAsia="Aptos" w:hAnsi="Arial" w:cs="Arial"/>
          <w:i/>
          <w:iCs/>
        </w:rPr>
        <w:t>Pan Afr Med J</w:t>
      </w:r>
      <w:r w:rsidRPr="00DB11F6">
        <w:rPr>
          <w:rFonts w:ascii="Arial" w:eastAsia="Aptos" w:hAnsi="Arial" w:cs="Arial"/>
        </w:rPr>
        <w:t>, vol. 26, p. 166, mars 2017, doi: 10.11604/pamj.2017.26.166.11828.</w:t>
      </w:r>
    </w:p>
    <w:p w14:paraId="4FD7A0E5"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[41]</w:t>
      </w:r>
      <w:r w:rsidRPr="00DB11F6">
        <w:rPr>
          <w:rFonts w:ascii="Arial" w:eastAsia="Aptos" w:hAnsi="Arial" w:cs="Arial"/>
          <w:lang w:val="en-US"/>
        </w:rPr>
        <w:tab/>
        <w:t xml:space="preserve">H. Saisi, C. Makobe, M. Kangongo, et S. Kariuki, « Prevalence of CTXM, SHV, TEM AND OXA Genes among Extended-Spectrum Beta-Lactamase Producing Klebsiella pneumoniae from Mukuru Slum, Kenya », </w:t>
      </w:r>
      <w:r w:rsidRPr="00DB11F6">
        <w:rPr>
          <w:rFonts w:ascii="Arial" w:eastAsia="Aptos" w:hAnsi="Arial" w:cs="Arial"/>
          <w:i/>
          <w:iCs/>
          <w:lang w:val="en-US"/>
        </w:rPr>
        <w:t>Advances in Microbiology</w:t>
      </w:r>
      <w:r w:rsidRPr="00DB11F6">
        <w:rPr>
          <w:rFonts w:ascii="Arial" w:eastAsia="Aptos" w:hAnsi="Arial" w:cs="Arial"/>
          <w:lang w:val="en-US"/>
        </w:rPr>
        <w:t>, vol. 9, n</w:t>
      </w:r>
      <w:r w:rsidRPr="00DB11F6">
        <w:rPr>
          <w:rFonts w:ascii="Arial" w:eastAsia="Aptos" w:hAnsi="Arial" w:cs="Arial"/>
          <w:vertAlign w:val="superscript"/>
          <w:lang w:val="en-US"/>
        </w:rPr>
        <w:t>o</w:t>
      </w:r>
      <w:r w:rsidRPr="00DB11F6">
        <w:rPr>
          <w:rFonts w:ascii="Arial" w:eastAsia="Aptos" w:hAnsi="Arial" w:cs="Arial"/>
          <w:lang w:val="en-US"/>
        </w:rPr>
        <w:t xml:space="preserve"> 10, Art. n</w:t>
      </w:r>
      <w:r w:rsidRPr="00DB11F6">
        <w:rPr>
          <w:rFonts w:ascii="Arial" w:eastAsia="Aptos" w:hAnsi="Arial" w:cs="Arial"/>
          <w:vertAlign w:val="superscript"/>
          <w:lang w:val="en-US"/>
        </w:rPr>
        <w:t>o</w:t>
      </w:r>
      <w:r w:rsidRPr="00DB11F6">
        <w:rPr>
          <w:rFonts w:ascii="Arial" w:eastAsia="Aptos" w:hAnsi="Arial" w:cs="Arial"/>
          <w:lang w:val="en-US"/>
        </w:rPr>
        <w:t xml:space="preserve"> 10, oct. 2019, doi: 10.4236/aim.2019.910052.</w:t>
      </w:r>
    </w:p>
    <w:p w14:paraId="1E444005"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[42]</w:t>
      </w:r>
      <w:r w:rsidRPr="00DB11F6">
        <w:rPr>
          <w:rFonts w:ascii="Arial" w:eastAsia="Aptos" w:hAnsi="Arial" w:cs="Arial"/>
          <w:lang w:val="en-US"/>
        </w:rPr>
        <w:tab/>
        <w:t xml:space="preserve">D. S </w:t>
      </w:r>
      <w:r w:rsidRPr="00DB11F6">
        <w:rPr>
          <w:rFonts w:ascii="Arial" w:eastAsia="Aptos" w:hAnsi="Arial" w:cs="Arial"/>
          <w:i/>
          <w:iCs/>
          <w:lang w:val="en-US"/>
        </w:rPr>
        <w:t>et al.</w:t>
      </w:r>
      <w:r w:rsidRPr="00DB11F6">
        <w:rPr>
          <w:rFonts w:ascii="Arial" w:eastAsia="Aptos" w:hAnsi="Arial" w:cs="Arial"/>
          <w:lang w:val="en-US"/>
        </w:rPr>
        <w:t xml:space="preserve">, « Detection of High Prevalence of TEM/SHV/CTX-M Genes in ESBL Producing and Multidrug Resistant &lt;em&gt;Klebsiella Pneumoniae&lt;/em&gt; and &lt;em&gt;Klebsiella Oxytoca&lt;/em&gt; », </w:t>
      </w:r>
      <w:r w:rsidRPr="00DB11F6">
        <w:rPr>
          <w:rFonts w:ascii="Arial" w:eastAsia="Aptos" w:hAnsi="Arial" w:cs="Arial"/>
          <w:i/>
          <w:iCs/>
          <w:lang w:val="en-US"/>
        </w:rPr>
        <w:t>JBR Journal of Clinical Diagnosis and Research</w:t>
      </w:r>
      <w:r w:rsidRPr="00DB11F6">
        <w:rPr>
          <w:rFonts w:ascii="Arial" w:eastAsia="Aptos" w:hAnsi="Arial" w:cs="Arial"/>
          <w:lang w:val="en-US"/>
        </w:rPr>
        <w:t>, vol. 2016, oct. 2016, doi: 10.4172/2376-0311.1000129.</w:t>
      </w:r>
    </w:p>
    <w:p w14:paraId="3B58B697"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[43]</w:t>
      </w:r>
      <w:r w:rsidRPr="00DB11F6">
        <w:rPr>
          <w:rFonts w:ascii="Arial" w:eastAsia="Aptos" w:hAnsi="Arial" w:cs="Arial"/>
          <w:lang w:val="en-US"/>
        </w:rPr>
        <w:tab/>
        <w:t xml:space="preserve">S. Alibi, A. Ferjani, et J. Boukadida, « Molecular characterization of extended spectrum beta-lactamases produced by </w:t>
      </w:r>
      <w:r w:rsidRPr="00DB11F6">
        <w:rPr>
          <w:rFonts w:ascii="Arial" w:eastAsia="Aptos" w:hAnsi="Arial" w:cs="Arial"/>
          <w:i/>
          <w:iCs/>
          <w:lang w:val="en-US"/>
        </w:rPr>
        <w:t>Klebsiella pneumoniae</w:t>
      </w:r>
      <w:r w:rsidRPr="00DB11F6">
        <w:rPr>
          <w:rFonts w:ascii="Arial" w:eastAsia="Aptos" w:hAnsi="Arial" w:cs="Arial"/>
          <w:lang w:val="en-US"/>
        </w:rPr>
        <w:t xml:space="preserve"> clinical strains from a Tunisian Hospital », </w:t>
      </w:r>
      <w:r w:rsidRPr="00DB11F6">
        <w:rPr>
          <w:rFonts w:ascii="Arial" w:eastAsia="Aptos" w:hAnsi="Arial" w:cs="Arial"/>
          <w:i/>
          <w:iCs/>
          <w:lang w:val="en-US"/>
        </w:rPr>
        <w:t>Médecine et Maladies Infectieuses</w:t>
      </w:r>
      <w:r w:rsidRPr="00DB11F6">
        <w:rPr>
          <w:rFonts w:ascii="Arial" w:eastAsia="Aptos" w:hAnsi="Arial" w:cs="Arial"/>
          <w:lang w:val="en-US"/>
        </w:rPr>
        <w:t>, vol. 45, n</w:t>
      </w:r>
      <w:r w:rsidRPr="00DB11F6">
        <w:rPr>
          <w:rFonts w:ascii="Arial" w:eastAsia="Aptos" w:hAnsi="Arial" w:cs="Arial"/>
          <w:vertAlign w:val="superscript"/>
          <w:lang w:val="en-US"/>
        </w:rPr>
        <w:t>o</w:t>
      </w:r>
      <w:r w:rsidRPr="00DB11F6">
        <w:rPr>
          <w:rFonts w:ascii="Arial" w:eastAsia="Aptos" w:hAnsi="Arial" w:cs="Arial"/>
          <w:lang w:val="en-US"/>
        </w:rPr>
        <w:t xml:space="preserve"> 4, p. 139</w:t>
      </w:r>
      <w:r w:rsidRPr="00DB11F6">
        <w:rPr>
          <w:rFonts w:ascii="Cambria Math" w:eastAsia="Aptos" w:hAnsi="Cambria Math" w:cs="Cambria Math"/>
          <w:lang w:val="en-US"/>
        </w:rPr>
        <w:t>‑</w:t>
      </w:r>
      <w:r w:rsidRPr="00DB11F6">
        <w:rPr>
          <w:rFonts w:ascii="Arial" w:eastAsia="Aptos" w:hAnsi="Arial" w:cs="Arial"/>
          <w:lang w:val="en-US"/>
        </w:rPr>
        <w:t>143, avr. 2015, doi: 10.1016/j.medmal.2015.01.010.</w:t>
      </w:r>
    </w:p>
    <w:p w14:paraId="5561903A"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[44]</w:t>
      </w:r>
      <w:r w:rsidRPr="00DB11F6">
        <w:rPr>
          <w:rFonts w:ascii="Arial" w:eastAsia="Aptos" w:hAnsi="Arial" w:cs="Arial"/>
          <w:lang w:val="en-US"/>
        </w:rPr>
        <w:tab/>
        <w:t>MONSTEIN - 2007« Multiplex PCR amplification assay for the detection of blaSHV, blaTEM and blaCTX</w:t>
      </w:r>
      <w:r w:rsidRPr="00DB11F6">
        <w:rPr>
          <w:rFonts w:ascii="Cambria Math" w:eastAsia="Aptos" w:hAnsi="Cambria Math" w:cs="Cambria Math"/>
          <w:lang w:val="en-US"/>
        </w:rPr>
        <w:t>‐</w:t>
      </w:r>
      <w:r w:rsidRPr="00DB11F6">
        <w:rPr>
          <w:rFonts w:ascii="Arial" w:eastAsia="Aptos" w:hAnsi="Arial" w:cs="Arial"/>
          <w:lang w:val="en-US"/>
        </w:rPr>
        <w:t>M genes in Enterobacteriaceae - APMIS - Wiley Online Library ». Disponible sur: https://onlinelibrary.wiley.com/doi/10.1111/j.1600-0463.2007.00722.x</w:t>
      </w:r>
    </w:p>
    <w:p w14:paraId="1AE6E4F4"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[45]</w:t>
      </w:r>
      <w:r w:rsidRPr="00DB11F6">
        <w:rPr>
          <w:rFonts w:ascii="Arial" w:eastAsia="Aptos" w:hAnsi="Arial" w:cs="Arial"/>
          <w:lang w:val="en-US"/>
        </w:rPr>
        <w:tab/>
        <w:t xml:space="preserve">S. Rodriguez-Mozaz </w:t>
      </w:r>
      <w:r w:rsidRPr="00DB11F6">
        <w:rPr>
          <w:rFonts w:ascii="Arial" w:eastAsia="Aptos" w:hAnsi="Arial" w:cs="Arial"/>
          <w:i/>
          <w:iCs/>
          <w:lang w:val="en-US"/>
        </w:rPr>
        <w:t>et al.</w:t>
      </w:r>
      <w:r w:rsidRPr="00DB11F6">
        <w:rPr>
          <w:rFonts w:ascii="Arial" w:eastAsia="Aptos" w:hAnsi="Arial" w:cs="Arial"/>
          <w:lang w:val="en-US"/>
        </w:rPr>
        <w:t xml:space="preserve">, « Occurrence of antibiotics and antibiotic resistance genes in hospital and urban wastewaters and their impact on the receiving river », </w:t>
      </w:r>
      <w:r w:rsidRPr="00DB11F6">
        <w:rPr>
          <w:rFonts w:ascii="Arial" w:eastAsia="Aptos" w:hAnsi="Arial" w:cs="Arial"/>
          <w:i/>
          <w:iCs/>
          <w:lang w:val="en-US"/>
        </w:rPr>
        <w:t>Water Research</w:t>
      </w:r>
      <w:r w:rsidRPr="00DB11F6">
        <w:rPr>
          <w:rFonts w:ascii="Arial" w:eastAsia="Aptos" w:hAnsi="Arial" w:cs="Arial"/>
          <w:lang w:val="en-US"/>
        </w:rPr>
        <w:t>, vol. 69, p. 234</w:t>
      </w:r>
      <w:r w:rsidRPr="00DB11F6">
        <w:rPr>
          <w:rFonts w:ascii="Cambria Math" w:eastAsia="Aptos" w:hAnsi="Cambria Math" w:cs="Cambria Math"/>
          <w:lang w:val="en-US"/>
        </w:rPr>
        <w:t>‑</w:t>
      </w:r>
      <w:r w:rsidRPr="00DB11F6">
        <w:rPr>
          <w:rFonts w:ascii="Arial" w:eastAsia="Aptos" w:hAnsi="Arial" w:cs="Arial"/>
          <w:lang w:val="en-US"/>
        </w:rPr>
        <w:t>242, févr. 2015, doi: 10.1016/j.watres.2014.11.021.</w:t>
      </w:r>
    </w:p>
    <w:p w14:paraId="26EA1CFD"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[46]</w:t>
      </w:r>
      <w:r w:rsidRPr="00DB11F6">
        <w:rPr>
          <w:rFonts w:ascii="Arial" w:eastAsia="Aptos" w:hAnsi="Arial" w:cs="Arial"/>
          <w:lang w:val="en-US"/>
        </w:rPr>
        <w:tab/>
        <w:t xml:space="preserve">W. Adamus-Białek </w:t>
      </w:r>
      <w:r w:rsidRPr="00DB11F6">
        <w:rPr>
          <w:rFonts w:ascii="Arial" w:eastAsia="Aptos" w:hAnsi="Arial" w:cs="Arial"/>
          <w:i/>
          <w:iCs/>
          <w:lang w:val="en-US"/>
        </w:rPr>
        <w:t>et al.</w:t>
      </w:r>
      <w:r w:rsidRPr="00DB11F6">
        <w:rPr>
          <w:rFonts w:ascii="Arial" w:eastAsia="Aptos" w:hAnsi="Arial" w:cs="Arial"/>
          <w:lang w:val="en-US"/>
        </w:rPr>
        <w:t xml:space="preserve">, « The genetic background of antibiotic resistance among clinical uropathogenic Escherichia coli strains », </w:t>
      </w:r>
      <w:r w:rsidRPr="00DB11F6">
        <w:rPr>
          <w:rFonts w:ascii="Arial" w:eastAsia="Aptos" w:hAnsi="Arial" w:cs="Arial"/>
          <w:i/>
          <w:iCs/>
          <w:lang w:val="en-US"/>
        </w:rPr>
        <w:t>Mol Biol Rep</w:t>
      </w:r>
      <w:r w:rsidRPr="00DB11F6">
        <w:rPr>
          <w:rFonts w:ascii="Arial" w:eastAsia="Aptos" w:hAnsi="Arial" w:cs="Arial"/>
          <w:lang w:val="en-US"/>
        </w:rPr>
        <w:t>, vol. 45, n</w:t>
      </w:r>
      <w:r w:rsidRPr="00DB11F6">
        <w:rPr>
          <w:rFonts w:ascii="Arial" w:eastAsia="Aptos" w:hAnsi="Arial" w:cs="Arial"/>
          <w:vertAlign w:val="superscript"/>
          <w:lang w:val="en-US"/>
        </w:rPr>
        <w:t>o</w:t>
      </w:r>
      <w:r w:rsidRPr="00DB11F6">
        <w:rPr>
          <w:rFonts w:ascii="Arial" w:eastAsia="Aptos" w:hAnsi="Arial" w:cs="Arial"/>
          <w:lang w:val="en-US"/>
        </w:rPr>
        <w:t xml:space="preserve"> 5, p. 1055</w:t>
      </w:r>
      <w:r w:rsidRPr="00DB11F6">
        <w:rPr>
          <w:rFonts w:ascii="Cambria Math" w:eastAsia="Aptos" w:hAnsi="Cambria Math" w:cs="Cambria Math"/>
          <w:lang w:val="en-US"/>
        </w:rPr>
        <w:t>‑</w:t>
      </w:r>
      <w:r w:rsidRPr="00DB11F6">
        <w:rPr>
          <w:rFonts w:ascii="Arial" w:eastAsia="Aptos" w:hAnsi="Arial" w:cs="Arial"/>
          <w:lang w:val="en-US"/>
        </w:rPr>
        <w:t>1065, oct. 2018, doi: 10.1007/s11033-018-4254-0.</w:t>
      </w:r>
    </w:p>
    <w:p w14:paraId="7E66E029"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t>[47]</w:t>
      </w:r>
      <w:r w:rsidRPr="00DB11F6">
        <w:rPr>
          <w:rFonts w:ascii="Arial" w:eastAsia="Aptos" w:hAnsi="Arial" w:cs="Arial"/>
          <w:lang w:val="en-US"/>
        </w:rPr>
        <w:tab/>
        <w:t xml:space="preserve">D. Baunoch </w:t>
      </w:r>
      <w:r w:rsidRPr="00DB11F6">
        <w:rPr>
          <w:rFonts w:ascii="Arial" w:eastAsia="Aptos" w:hAnsi="Arial" w:cs="Arial"/>
          <w:i/>
          <w:iCs/>
          <w:lang w:val="en-US"/>
        </w:rPr>
        <w:t>et al.</w:t>
      </w:r>
      <w:r w:rsidRPr="00DB11F6">
        <w:rPr>
          <w:rFonts w:ascii="Arial" w:eastAsia="Aptos" w:hAnsi="Arial" w:cs="Arial"/>
          <w:lang w:val="en-US"/>
        </w:rPr>
        <w:t xml:space="preserve">, « Concordance Between Antibiotic Resistance Genes and Susceptibility in Symptomatic Urinary Tract Infections », </w:t>
      </w:r>
      <w:r w:rsidRPr="00DB11F6">
        <w:rPr>
          <w:rFonts w:ascii="Arial" w:eastAsia="Aptos" w:hAnsi="Arial" w:cs="Arial"/>
          <w:i/>
          <w:iCs/>
          <w:lang w:val="en-US"/>
        </w:rPr>
        <w:t>Infection and Drug Resistance</w:t>
      </w:r>
      <w:r w:rsidRPr="00DB11F6">
        <w:rPr>
          <w:rFonts w:ascii="Arial" w:eastAsia="Aptos" w:hAnsi="Arial" w:cs="Arial"/>
          <w:lang w:val="en-US"/>
        </w:rPr>
        <w:t>, vol. 14, p. 3275</w:t>
      </w:r>
      <w:r w:rsidRPr="00DB11F6">
        <w:rPr>
          <w:rFonts w:ascii="Cambria Math" w:eastAsia="Aptos" w:hAnsi="Cambria Math" w:cs="Cambria Math"/>
          <w:lang w:val="en-US"/>
        </w:rPr>
        <w:t>‑</w:t>
      </w:r>
      <w:r w:rsidRPr="00DB11F6">
        <w:rPr>
          <w:rFonts w:ascii="Arial" w:eastAsia="Aptos" w:hAnsi="Arial" w:cs="Arial"/>
          <w:lang w:val="en-US"/>
        </w:rPr>
        <w:t>3286, août 2021, doi: 10.2147/IDR.S323095.</w:t>
      </w:r>
    </w:p>
    <w:p w14:paraId="4BB28552" w14:textId="77777777" w:rsidR="003C70F2" w:rsidRPr="00DB11F6" w:rsidRDefault="003C70F2" w:rsidP="00EB2B27">
      <w:pPr>
        <w:tabs>
          <w:tab w:val="left" w:pos="504"/>
        </w:tabs>
        <w:spacing w:after="0" w:line="360" w:lineRule="auto"/>
        <w:ind w:left="504" w:hanging="504"/>
        <w:jc w:val="both"/>
        <w:rPr>
          <w:rFonts w:ascii="Arial" w:eastAsia="Aptos" w:hAnsi="Arial" w:cs="Arial"/>
          <w:lang w:val="en-US"/>
        </w:rPr>
      </w:pPr>
      <w:r w:rsidRPr="00DB11F6">
        <w:rPr>
          <w:rFonts w:ascii="Arial" w:eastAsia="Aptos" w:hAnsi="Arial" w:cs="Arial"/>
          <w:lang w:val="en-US"/>
        </w:rPr>
        <w:lastRenderedPageBreak/>
        <w:t>[48]</w:t>
      </w:r>
      <w:r w:rsidRPr="00DB11F6">
        <w:rPr>
          <w:rFonts w:ascii="Arial" w:eastAsia="Aptos" w:hAnsi="Arial" w:cs="Arial"/>
          <w:lang w:val="en-US"/>
        </w:rPr>
        <w:tab/>
        <w:t xml:space="preserve">F. Eghbalpoor, M. Habibi, O. Azizi, M. R. Asadi Karam, et S. Bouzari, « Antibiotic resistance, virulence and genetic diversity of Klebsiella pneumoniae in community- and hospital-acquired urinary tract infections in Iran », </w:t>
      </w:r>
      <w:r w:rsidRPr="00DB11F6">
        <w:rPr>
          <w:rFonts w:ascii="Arial" w:eastAsia="Aptos" w:hAnsi="Arial" w:cs="Arial"/>
          <w:i/>
          <w:iCs/>
          <w:lang w:val="en-US"/>
        </w:rPr>
        <w:t>AMicr</w:t>
      </w:r>
      <w:r w:rsidRPr="00DB11F6">
        <w:rPr>
          <w:rFonts w:ascii="Arial" w:eastAsia="Aptos" w:hAnsi="Arial" w:cs="Arial"/>
          <w:lang w:val="en-US"/>
        </w:rPr>
        <w:t>, vol. 66, n</w:t>
      </w:r>
      <w:r w:rsidRPr="00DB11F6">
        <w:rPr>
          <w:rFonts w:ascii="Arial" w:eastAsia="Aptos" w:hAnsi="Arial" w:cs="Arial"/>
          <w:vertAlign w:val="superscript"/>
          <w:lang w:val="en-US"/>
        </w:rPr>
        <w:t>o</w:t>
      </w:r>
      <w:r w:rsidRPr="00DB11F6">
        <w:rPr>
          <w:rFonts w:ascii="Arial" w:eastAsia="Aptos" w:hAnsi="Arial" w:cs="Arial"/>
          <w:lang w:val="en-US"/>
        </w:rPr>
        <w:t xml:space="preserve"> 3, p. 349</w:t>
      </w:r>
      <w:r w:rsidRPr="00DB11F6">
        <w:rPr>
          <w:rFonts w:ascii="Cambria Math" w:eastAsia="Aptos" w:hAnsi="Cambria Math" w:cs="Cambria Math"/>
          <w:lang w:val="en-US"/>
        </w:rPr>
        <w:t>‑</w:t>
      </w:r>
      <w:r w:rsidRPr="00DB11F6">
        <w:rPr>
          <w:rFonts w:ascii="Arial" w:eastAsia="Aptos" w:hAnsi="Arial" w:cs="Arial"/>
          <w:lang w:val="en-US"/>
        </w:rPr>
        <w:t>366, févr. 2019, doi: 10.1556/030.66.2019.006.</w:t>
      </w:r>
    </w:p>
    <w:p w14:paraId="1AB18185" w14:textId="77777777" w:rsidR="003C70F2" w:rsidRPr="00DB11F6" w:rsidRDefault="003C70F2" w:rsidP="00EB2B27">
      <w:pPr>
        <w:tabs>
          <w:tab w:val="left" w:pos="504"/>
        </w:tabs>
        <w:spacing w:after="0" w:line="360" w:lineRule="auto"/>
        <w:ind w:left="504" w:hanging="504"/>
        <w:jc w:val="both"/>
        <w:rPr>
          <w:rFonts w:ascii="Arial" w:eastAsia="Aptos" w:hAnsi="Arial" w:cs="Arial"/>
        </w:rPr>
      </w:pPr>
      <w:r w:rsidRPr="00DB11F6">
        <w:rPr>
          <w:rFonts w:ascii="Arial" w:eastAsia="Aptos" w:hAnsi="Arial" w:cs="Arial"/>
        </w:rPr>
        <w:t>[49]</w:t>
      </w:r>
      <w:r w:rsidRPr="00DB11F6">
        <w:rPr>
          <w:rFonts w:ascii="Arial" w:eastAsia="Aptos" w:hAnsi="Arial" w:cs="Arial"/>
        </w:rPr>
        <w:tab/>
        <w:t xml:space="preserve">F. Caron, « L’antibiogramme : un quadruple outil pour le clinicien », </w:t>
      </w:r>
      <w:r w:rsidRPr="00DB11F6">
        <w:rPr>
          <w:rFonts w:ascii="Arial" w:eastAsia="Aptos" w:hAnsi="Arial" w:cs="Arial"/>
          <w:i/>
          <w:iCs/>
        </w:rPr>
        <w:t>Journal des Anti-infectieux</w:t>
      </w:r>
      <w:r w:rsidRPr="00DB11F6">
        <w:rPr>
          <w:rFonts w:ascii="Arial" w:eastAsia="Aptos" w:hAnsi="Arial" w:cs="Arial"/>
        </w:rPr>
        <w:t>, vol. 14, n</w:t>
      </w:r>
      <w:r w:rsidRPr="00DB11F6">
        <w:rPr>
          <w:rFonts w:ascii="Arial" w:eastAsia="Aptos" w:hAnsi="Arial" w:cs="Arial"/>
          <w:vertAlign w:val="superscript"/>
        </w:rPr>
        <w:t>o</w:t>
      </w:r>
      <w:r w:rsidRPr="00DB11F6">
        <w:rPr>
          <w:rFonts w:ascii="Arial" w:eastAsia="Aptos" w:hAnsi="Arial" w:cs="Arial"/>
        </w:rPr>
        <w:t xml:space="preserve"> 4, p. 168</w:t>
      </w:r>
      <w:r w:rsidRPr="00DB11F6">
        <w:rPr>
          <w:rFonts w:ascii="Cambria Math" w:eastAsia="Aptos" w:hAnsi="Cambria Math" w:cs="Cambria Math"/>
        </w:rPr>
        <w:t>‑</w:t>
      </w:r>
      <w:r w:rsidRPr="00DB11F6">
        <w:rPr>
          <w:rFonts w:ascii="Arial" w:eastAsia="Aptos" w:hAnsi="Arial" w:cs="Arial"/>
        </w:rPr>
        <w:t>174, nov. 2012, doi: 10.1016/j.antinf.2012.10.002.</w:t>
      </w:r>
    </w:p>
    <w:p w14:paraId="26C27FEB" w14:textId="77777777" w:rsidR="00335C77" w:rsidRPr="00DB11F6" w:rsidRDefault="003C70F2" w:rsidP="00EB2B27">
      <w:pPr>
        <w:jc w:val="both"/>
        <w:rPr>
          <w:rFonts w:ascii="Arial" w:hAnsi="Arial" w:cs="Arial"/>
          <w:lang w:val="en-US"/>
        </w:rPr>
      </w:pPr>
      <w:r w:rsidRPr="00DB11F6">
        <w:rPr>
          <w:rFonts w:ascii="Arial" w:eastAsia="Aptos" w:hAnsi="Arial" w:cs="Arial"/>
          <w:lang w:val="en-US"/>
        </w:rPr>
        <w:fldChar w:fldCharType="end"/>
      </w:r>
    </w:p>
    <w:sectPr w:rsidR="00335C77" w:rsidRPr="00DB11F6">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9335E" w14:textId="77777777" w:rsidR="004D3ECE" w:rsidRDefault="004D3ECE" w:rsidP="0087153A">
      <w:pPr>
        <w:spacing w:after="0" w:line="240" w:lineRule="auto"/>
      </w:pPr>
      <w:r>
        <w:separator/>
      </w:r>
    </w:p>
  </w:endnote>
  <w:endnote w:type="continuationSeparator" w:id="0">
    <w:p w14:paraId="3512FA07" w14:textId="77777777" w:rsidR="004D3ECE" w:rsidRDefault="004D3ECE" w:rsidP="00871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A470E" w14:textId="77777777" w:rsidR="0087153A" w:rsidRDefault="008715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CBA43" w14:textId="77777777" w:rsidR="0087153A" w:rsidRDefault="008715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F9C75" w14:textId="77777777" w:rsidR="0087153A" w:rsidRDefault="008715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42743" w14:textId="77777777" w:rsidR="004D3ECE" w:rsidRDefault="004D3ECE" w:rsidP="0087153A">
      <w:pPr>
        <w:spacing w:after="0" w:line="240" w:lineRule="auto"/>
      </w:pPr>
      <w:r>
        <w:separator/>
      </w:r>
    </w:p>
  </w:footnote>
  <w:footnote w:type="continuationSeparator" w:id="0">
    <w:p w14:paraId="3A5454D6" w14:textId="77777777" w:rsidR="004D3ECE" w:rsidRDefault="004D3ECE" w:rsidP="00871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B7EDA" w14:textId="18034ED4" w:rsidR="0087153A" w:rsidRDefault="0087153A">
    <w:pPr>
      <w:pStyle w:val="Header"/>
    </w:pPr>
    <w:r>
      <w:rPr>
        <w:noProof/>
      </w:rPr>
      <w:pict w14:anchorId="347F70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851485"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7DDE0" w14:textId="5A9ECFBE" w:rsidR="0087153A" w:rsidRDefault="0087153A">
    <w:pPr>
      <w:pStyle w:val="Header"/>
    </w:pPr>
    <w:r>
      <w:rPr>
        <w:noProof/>
      </w:rPr>
      <w:pict w14:anchorId="74682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851486"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CFBF5" w14:textId="346CBEEB" w:rsidR="0087153A" w:rsidRDefault="0087153A">
    <w:pPr>
      <w:pStyle w:val="Header"/>
    </w:pPr>
    <w:r>
      <w:rPr>
        <w:noProof/>
      </w:rPr>
      <w:pict w14:anchorId="4B1309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851484"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60C42"/>
    <w:multiLevelType w:val="hybridMultilevel"/>
    <w:tmpl w:val="E47C00D8"/>
    <w:lvl w:ilvl="0" w:tplc="2FBCCD2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242BEF"/>
    <w:multiLevelType w:val="multilevel"/>
    <w:tmpl w:val="6BC2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7A050A"/>
    <w:multiLevelType w:val="multilevel"/>
    <w:tmpl w:val="FF20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6D799B"/>
    <w:multiLevelType w:val="hybridMultilevel"/>
    <w:tmpl w:val="8EF49C48"/>
    <w:lvl w:ilvl="0" w:tplc="27BA82F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56C5B11"/>
    <w:multiLevelType w:val="hybridMultilevel"/>
    <w:tmpl w:val="DD5CBEDE"/>
    <w:lvl w:ilvl="0" w:tplc="FEBC35D6">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3D36708"/>
    <w:multiLevelType w:val="multilevel"/>
    <w:tmpl w:val="E510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26D"/>
    <w:rsid w:val="0002590D"/>
    <w:rsid w:val="00060C76"/>
    <w:rsid w:val="00062C40"/>
    <w:rsid w:val="000C0B92"/>
    <w:rsid w:val="000C15B4"/>
    <w:rsid w:val="000C4EEC"/>
    <w:rsid w:val="00100A20"/>
    <w:rsid w:val="00105CE0"/>
    <w:rsid w:val="00117073"/>
    <w:rsid w:val="00121454"/>
    <w:rsid w:val="00141205"/>
    <w:rsid w:val="001C60CA"/>
    <w:rsid w:val="002B55C2"/>
    <w:rsid w:val="002C0BC4"/>
    <w:rsid w:val="002F55AE"/>
    <w:rsid w:val="00335C77"/>
    <w:rsid w:val="003B15C4"/>
    <w:rsid w:val="003B73C7"/>
    <w:rsid w:val="003C70F2"/>
    <w:rsid w:val="003D2E10"/>
    <w:rsid w:val="003F082A"/>
    <w:rsid w:val="003F3638"/>
    <w:rsid w:val="00417966"/>
    <w:rsid w:val="00422F8F"/>
    <w:rsid w:val="00423609"/>
    <w:rsid w:val="00460251"/>
    <w:rsid w:val="00474FEA"/>
    <w:rsid w:val="004973FB"/>
    <w:rsid w:val="004977E5"/>
    <w:rsid w:val="004A6405"/>
    <w:rsid w:val="004B5346"/>
    <w:rsid w:val="004D3ECE"/>
    <w:rsid w:val="00521904"/>
    <w:rsid w:val="00531237"/>
    <w:rsid w:val="0054435E"/>
    <w:rsid w:val="0056575C"/>
    <w:rsid w:val="0057051C"/>
    <w:rsid w:val="005730DF"/>
    <w:rsid w:val="005A5777"/>
    <w:rsid w:val="005A6299"/>
    <w:rsid w:val="005A67DC"/>
    <w:rsid w:val="005A7E67"/>
    <w:rsid w:val="006636B6"/>
    <w:rsid w:val="006F1DA1"/>
    <w:rsid w:val="006F4460"/>
    <w:rsid w:val="00741C72"/>
    <w:rsid w:val="00750A9E"/>
    <w:rsid w:val="00756FF7"/>
    <w:rsid w:val="00757973"/>
    <w:rsid w:val="00772BB3"/>
    <w:rsid w:val="007B31DE"/>
    <w:rsid w:val="007D38BB"/>
    <w:rsid w:val="008004B4"/>
    <w:rsid w:val="008061AC"/>
    <w:rsid w:val="00863EA8"/>
    <w:rsid w:val="0087153A"/>
    <w:rsid w:val="00885131"/>
    <w:rsid w:val="008B1084"/>
    <w:rsid w:val="00913528"/>
    <w:rsid w:val="00970004"/>
    <w:rsid w:val="00986D3B"/>
    <w:rsid w:val="009A50F8"/>
    <w:rsid w:val="009A6BA3"/>
    <w:rsid w:val="00A11E24"/>
    <w:rsid w:val="00A23A56"/>
    <w:rsid w:val="00A37A98"/>
    <w:rsid w:val="00AF1557"/>
    <w:rsid w:val="00B6475E"/>
    <w:rsid w:val="00BF5792"/>
    <w:rsid w:val="00C3440F"/>
    <w:rsid w:val="00C356D6"/>
    <w:rsid w:val="00C64932"/>
    <w:rsid w:val="00C72576"/>
    <w:rsid w:val="00C86395"/>
    <w:rsid w:val="00CE09A1"/>
    <w:rsid w:val="00D751DA"/>
    <w:rsid w:val="00D93199"/>
    <w:rsid w:val="00DA3AF7"/>
    <w:rsid w:val="00DB11F6"/>
    <w:rsid w:val="00DD398A"/>
    <w:rsid w:val="00DE0FC5"/>
    <w:rsid w:val="00E33218"/>
    <w:rsid w:val="00EB2B27"/>
    <w:rsid w:val="00EF126D"/>
    <w:rsid w:val="00F438F1"/>
    <w:rsid w:val="00F81C81"/>
    <w:rsid w:val="00F93999"/>
    <w:rsid w:val="00F97083"/>
    <w:rsid w:val="00FC2C3D"/>
    <w:rsid w:val="00FC7A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61B056"/>
  <w15:chartTrackingRefBased/>
  <w15:docId w15:val="{DD228723-9A40-4634-A236-F7B6E23D3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474FE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
    <w:name w:val="Table"/>
    <w:semiHidden/>
    <w:unhideWhenUsed/>
    <w:qFormat/>
    <w:rsid w:val="00335C77"/>
    <w:pPr>
      <w:spacing w:after="200" w:line="240" w:lineRule="auto"/>
    </w:pPr>
    <w:rPr>
      <w:sz w:val="24"/>
      <w:szCs w:val="24"/>
      <w:lang w:val="en-US" w:eastAsia="fr-FR"/>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NormalWeb">
    <w:name w:val="Normal (Web)"/>
    <w:basedOn w:val="Normal"/>
    <w:uiPriority w:val="99"/>
    <w:semiHidden/>
    <w:unhideWhenUsed/>
    <w:rsid w:val="00105CE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105CE0"/>
    <w:rPr>
      <w:b/>
      <w:bCs/>
    </w:rPr>
  </w:style>
  <w:style w:type="character" w:styleId="Emphasis">
    <w:name w:val="Emphasis"/>
    <w:basedOn w:val="DefaultParagraphFont"/>
    <w:uiPriority w:val="20"/>
    <w:qFormat/>
    <w:rsid w:val="00105CE0"/>
    <w:rPr>
      <w:i/>
      <w:iCs/>
    </w:rPr>
  </w:style>
  <w:style w:type="paragraph" w:styleId="Bibliography">
    <w:name w:val="Bibliography"/>
    <w:basedOn w:val="Normal"/>
    <w:next w:val="Normal"/>
    <w:uiPriority w:val="37"/>
    <w:semiHidden/>
    <w:unhideWhenUsed/>
    <w:rsid w:val="003C70F2"/>
  </w:style>
  <w:style w:type="paragraph" w:styleId="BalloonText">
    <w:name w:val="Balloon Text"/>
    <w:basedOn w:val="Normal"/>
    <w:link w:val="BalloonTextChar"/>
    <w:uiPriority w:val="99"/>
    <w:semiHidden/>
    <w:unhideWhenUsed/>
    <w:rsid w:val="003C70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0F2"/>
    <w:rPr>
      <w:rFonts w:ascii="Segoe UI" w:hAnsi="Segoe UI" w:cs="Segoe UI"/>
      <w:sz w:val="18"/>
      <w:szCs w:val="18"/>
    </w:rPr>
  </w:style>
  <w:style w:type="paragraph" w:styleId="ListParagraph">
    <w:name w:val="List Paragraph"/>
    <w:basedOn w:val="Normal"/>
    <w:uiPriority w:val="34"/>
    <w:qFormat/>
    <w:rsid w:val="005A6299"/>
    <w:pPr>
      <w:ind w:left="720"/>
      <w:contextualSpacing/>
    </w:pPr>
  </w:style>
  <w:style w:type="table" w:customStyle="1" w:styleId="Table1">
    <w:name w:val="Table1"/>
    <w:semiHidden/>
    <w:unhideWhenUsed/>
    <w:qFormat/>
    <w:rsid w:val="001C60CA"/>
    <w:pPr>
      <w:spacing w:after="200" w:line="240" w:lineRule="auto"/>
    </w:pPr>
    <w:rPr>
      <w:sz w:val="24"/>
      <w:szCs w:val="24"/>
      <w:lang w:val="en-US" w:eastAsia="fr-FR"/>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styleId="Hyperlink">
    <w:name w:val="Hyperlink"/>
    <w:basedOn w:val="DefaultParagraphFont"/>
    <w:uiPriority w:val="99"/>
    <w:unhideWhenUsed/>
    <w:rsid w:val="00F97083"/>
    <w:rPr>
      <w:color w:val="0563C1" w:themeColor="hyperlink"/>
      <w:u w:val="single"/>
    </w:rPr>
  </w:style>
  <w:style w:type="character" w:styleId="UnresolvedMention">
    <w:name w:val="Unresolved Mention"/>
    <w:basedOn w:val="DefaultParagraphFont"/>
    <w:uiPriority w:val="99"/>
    <w:semiHidden/>
    <w:unhideWhenUsed/>
    <w:rsid w:val="00F97083"/>
    <w:rPr>
      <w:color w:val="605E5C"/>
      <w:shd w:val="clear" w:color="auto" w:fill="E1DFDD"/>
    </w:rPr>
  </w:style>
  <w:style w:type="paragraph" w:styleId="Header">
    <w:name w:val="header"/>
    <w:basedOn w:val="Normal"/>
    <w:link w:val="HeaderChar"/>
    <w:uiPriority w:val="99"/>
    <w:unhideWhenUsed/>
    <w:rsid w:val="008715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153A"/>
  </w:style>
  <w:style w:type="paragraph" w:styleId="Footer">
    <w:name w:val="footer"/>
    <w:basedOn w:val="Normal"/>
    <w:link w:val="FooterChar"/>
    <w:uiPriority w:val="99"/>
    <w:unhideWhenUsed/>
    <w:rsid w:val="008715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1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909">
      <w:bodyDiv w:val="1"/>
      <w:marLeft w:val="0"/>
      <w:marRight w:val="0"/>
      <w:marTop w:val="0"/>
      <w:marBottom w:val="0"/>
      <w:divBdr>
        <w:top w:val="none" w:sz="0" w:space="0" w:color="auto"/>
        <w:left w:val="none" w:sz="0" w:space="0" w:color="auto"/>
        <w:bottom w:val="none" w:sz="0" w:space="0" w:color="auto"/>
        <w:right w:val="none" w:sz="0" w:space="0" w:color="auto"/>
      </w:divBdr>
    </w:div>
    <w:div w:id="222109764">
      <w:bodyDiv w:val="1"/>
      <w:marLeft w:val="0"/>
      <w:marRight w:val="0"/>
      <w:marTop w:val="0"/>
      <w:marBottom w:val="0"/>
      <w:divBdr>
        <w:top w:val="none" w:sz="0" w:space="0" w:color="auto"/>
        <w:left w:val="none" w:sz="0" w:space="0" w:color="auto"/>
        <w:bottom w:val="none" w:sz="0" w:space="0" w:color="auto"/>
        <w:right w:val="none" w:sz="0" w:space="0" w:color="auto"/>
      </w:divBdr>
      <w:divsChild>
        <w:div w:id="502162106">
          <w:marLeft w:val="0"/>
          <w:marRight w:val="0"/>
          <w:marTop w:val="0"/>
          <w:marBottom w:val="0"/>
          <w:divBdr>
            <w:top w:val="none" w:sz="0" w:space="0" w:color="auto"/>
            <w:left w:val="none" w:sz="0" w:space="0" w:color="auto"/>
            <w:bottom w:val="none" w:sz="0" w:space="0" w:color="auto"/>
            <w:right w:val="none" w:sz="0" w:space="0" w:color="auto"/>
          </w:divBdr>
          <w:divsChild>
            <w:div w:id="8843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6695">
      <w:bodyDiv w:val="1"/>
      <w:marLeft w:val="0"/>
      <w:marRight w:val="0"/>
      <w:marTop w:val="0"/>
      <w:marBottom w:val="0"/>
      <w:divBdr>
        <w:top w:val="none" w:sz="0" w:space="0" w:color="auto"/>
        <w:left w:val="none" w:sz="0" w:space="0" w:color="auto"/>
        <w:bottom w:val="none" w:sz="0" w:space="0" w:color="auto"/>
        <w:right w:val="none" w:sz="0" w:space="0" w:color="auto"/>
      </w:divBdr>
    </w:div>
    <w:div w:id="893156379">
      <w:bodyDiv w:val="1"/>
      <w:marLeft w:val="0"/>
      <w:marRight w:val="0"/>
      <w:marTop w:val="0"/>
      <w:marBottom w:val="0"/>
      <w:divBdr>
        <w:top w:val="none" w:sz="0" w:space="0" w:color="auto"/>
        <w:left w:val="none" w:sz="0" w:space="0" w:color="auto"/>
        <w:bottom w:val="none" w:sz="0" w:space="0" w:color="auto"/>
        <w:right w:val="none" w:sz="0" w:space="0" w:color="auto"/>
      </w:divBdr>
    </w:div>
    <w:div w:id="1599824338">
      <w:bodyDiv w:val="1"/>
      <w:marLeft w:val="0"/>
      <w:marRight w:val="0"/>
      <w:marTop w:val="0"/>
      <w:marBottom w:val="0"/>
      <w:divBdr>
        <w:top w:val="none" w:sz="0" w:space="0" w:color="auto"/>
        <w:left w:val="none" w:sz="0" w:space="0" w:color="auto"/>
        <w:bottom w:val="none" w:sz="0" w:space="0" w:color="auto"/>
        <w:right w:val="none" w:sz="0" w:space="0" w:color="auto"/>
      </w:divBdr>
    </w:div>
    <w:div w:id="1705133594">
      <w:bodyDiv w:val="1"/>
      <w:marLeft w:val="0"/>
      <w:marRight w:val="0"/>
      <w:marTop w:val="0"/>
      <w:marBottom w:val="0"/>
      <w:divBdr>
        <w:top w:val="none" w:sz="0" w:space="0" w:color="auto"/>
        <w:left w:val="none" w:sz="0" w:space="0" w:color="auto"/>
        <w:bottom w:val="none" w:sz="0" w:space="0" w:color="auto"/>
        <w:right w:val="none" w:sz="0" w:space="0" w:color="auto"/>
      </w:divBdr>
    </w:div>
    <w:div w:id="1940139440">
      <w:bodyDiv w:val="1"/>
      <w:marLeft w:val="0"/>
      <w:marRight w:val="0"/>
      <w:marTop w:val="0"/>
      <w:marBottom w:val="0"/>
      <w:divBdr>
        <w:top w:val="none" w:sz="0" w:space="0" w:color="auto"/>
        <w:left w:val="none" w:sz="0" w:space="0" w:color="auto"/>
        <w:bottom w:val="none" w:sz="0" w:space="0" w:color="auto"/>
        <w:right w:val="none" w:sz="0" w:space="0" w:color="auto"/>
      </w:divBdr>
    </w:div>
    <w:div w:id="198083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799C376-BEC7-434E-9CDC-39ACFDEC0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14</Pages>
  <Words>5529</Words>
  <Characters>31518</Characters>
  <Application>Microsoft Office Word</Application>
  <DocSecurity>0</DocSecurity>
  <Lines>262</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53</cp:revision>
  <dcterms:created xsi:type="dcterms:W3CDTF">2025-08-14T18:41:00Z</dcterms:created>
  <dcterms:modified xsi:type="dcterms:W3CDTF">2025-08-20T13:20:00Z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3bea3705-b322-479d-8622-2dadc074f12c</vt:lpwstr>
  </property>
</Properties>
</file>