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2C141" w14:textId="03CCCD2D" w:rsidR="00FB2619" w:rsidRDefault="00FB2619" w:rsidP="007D430C">
      <w:pPr>
        <w:rPr>
          <w:rFonts w:ascii="Times New Roman" w:hAnsi="Times New Roman" w:cs="Times New Roman"/>
          <w:b/>
          <w:bCs/>
          <w:sz w:val="24"/>
          <w:szCs w:val="24"/>
        </w:rPr>
      </w:pPr>
      <w:r w:rsidRPr="00F971C7">
        <w:rPr>
          <w:rFonts w:ascii="Times New Roman" w:hAnsi="Times New Roman" w:cs="Times New Roman"/>
          <w:b/>
          <w:bCs/>
          <w:sz w:val="24"/>
          <w:szCs w:val="24"/>
        </w:rPr>
        <w:t>Formulation and Optimization of Low-Calorie, Guava-Based Blended Beverages Using Natural Sweeteners</w:t>
      </w:r>
    </w:p>
    <w:p w14:paraId="293842D3" w14:textId="77777777" w:rsidR="009E727A" w:rsidRDefault="009E727A" w:rsidP="00A50372">
      <w:pPr>
        <w:jc w:val="both"/>
        <w:rPr>
          <w:rFonts w:ascii="Times New Roman" w:hAnsi="Times New Roman" w:cs="Times New Roman"/>
          <w:b/>
          <w:bCs/>
          <w:sz w:val="24"/>
          <w:szCs w:val="24"/>
        </w:rPr>
      </w:pPr>
    </w:p>
    <w:p w14:paraId="2026F84E" w14:textId="13D68EFD" w:rsidR="00A50372" w:rsidRPr="00F971C7" w:rsidRDefault="00A50372" w:rsidP="00A50372">
      <w:pPr>
        <w:jc w:val="both"/>
        <w:rPr>
          <w:rFonts w:ascii="Times New Roman" w:hAnsi="Times New Roman" w:cs="Times New Roman"/>
          <w:sz w:val="24"/>
          <w:szCs w:val="24"/>
        </w:rPr>
      </w:pPr>
      <w:bookmarkStart w:id="0" w:name="_GoBack"/>
      <w:bookmarkEnd w:id="0"/>
      <w:r w:rsidRPr="00F971C7">
        <w:rPr>
          <w:rFonts w:ascii="Times New Roman" w:hAnsi="Times New Roman" w:cs="Times New Roman"/>
          <w:b/>
          <w:bCs/>
          <w:sz w:val="24"/>
          <w:szCs w:val="24"/>
        </w:rPr>
        <w:t>Abstract</w:t>
      </w:r>
      <w:r w:rsidRPr="00F971C7">
        <w:rPr>
          <w:rFonts w:ascii="Times New Roman" w:hAnsi="Times New Roman" w:cs="Times New Roman"/>
          <w:sz w:val="24"/>
          <w:szCs w:val="24"/>
        </w:rPr>
        <w:br/>
      </w:r>
    </w:p>
    <w:p w14:paraId="12108DCC" w14:textId="77777777" w:rsidR="00A50372" w:rsidRPr="00F971C7" w:rsidRDefault="00A50372" w:rsidP="00A50372">
      <w:pPr>
        <w:ind w:firstLine="720"/>
        <w:jc w:val="both"/>
        <w:rPr>
          <w:rFonts w:ascii="Times New Roman" w:hAnsi="Times New Roman" w:cs="Times New Roman"/>
          <w:sz w:val="24"/>
          <w:szCs w:val="24"/>
        </w:rPr>
      </w:pPr>
      <w:r w:rsidRPr="00F971C7">
        <w:rPr>
          <w:rFonts w:ascii="Times New Roman" w:hAnsi="Times New Roman" w:cs="Times New Roman"/>
          <w:sz w:val="24"/>
          <w:szCs w:val="24"/>
        </w:rPr>
        <w:t>Guava (Psidium guajava L.), renowned as a "super fruit," is highly perishable, leading to significant post-harvest losses. This study aimed to develop low-calorie Ready-to-Serve (RTS), nectar, and squash beverages by blending guava (cv. Allahabad Safeda) with other tropical fruits (mulberry, jamun, phalsa, pomegranate) and partially substituting sugar with stevia. The physicochemical profiles of all fruits were characterized, revealing guava's superiority in vitamin C content (131.5 mg/100g) and the anthocyanin-rich nature of the smaller fruits. Through a series of sensory evaluations, the optimal guava-to-other fruit blending ratio was determined to be 75:25. Furthermore, a 25-50% replacement of sugar with stevia (S75St25 and S50St50) was found to be organoleptically superior to full sugar or full stevia formulations, effectively reducing calorie content without compromising acceptability. Recipe standardization identified the most preferred parameters: RTS (12% TSS, 0.25% acidity), nectar (14% TSS, 0.25% acidity), and squash (45% TSS, 1.10% acidity). Squash beverages consistently received the highest sensory scores, attributed to their concentrated pulp masking stevia's aftertaste. The study concludes that guava serves as an excellent base for functional, low-calorie beverages, with optimized blending and sweetening strategies providing a viable solution for value addition and post-harvest loss reduction.</w:t>
      </w:r>
    </w:p>
    <w:p w14:paraId="201C8D33" w14:textId="77777777" w:rsidR="00A50372" w:rsidRPr="00F971C7" w:rsidRDefault="00A50372" w:rsidP="00A50372">
      <w:pPr>
        <w:rPr>
          <w:rFonts w:ascii="Times New Roman" w:hAnsi="Times New Roman" w:cs="Times New Roman"/>
          <w:sz w:val="24"/>
          <w:szCs w:val="24"/>
        </w:rPr>
      </w:pPr>
      <w:r w:rsidRPr="00F971C7">
        <w:rPr>
          <w:rFonts w:ascii="Times New Roman" w:hAnsi="Times New Roman" w:cs="Times New Roman"/>
          <w:b/>
          <w:bCs/>
          <w:sz w:val="24"/>
          <w:szCs w:val="24"/>
        </w:rPr>
        <w:t>Keywords:</w:t>
      </w:r>
      <w:r w:rsidRPr="00F971C7">
        <w:rPr>
          <w:rFonts w:ascii="Times New Roman" w:hAnsi="Times New Roman" w:cs="Times New Roman"/>
          <w:sz w:val="24"/>
          <w:szCs w:val="24"/>
        </w:rPr>
        <w:t> Guava, Ready-to-Serve (RTS), Stevia, Low-calorie beverage, Sensory evaluation, Blending ratio, Functional food.</w:t>
      </w:r>
    </w:p>
    <w:p w14:paraId="61AA87F4" w14:textId="77777777" w:rsidR="00A50372" w:rsidRPr="00F971C7" w:rsidRDefault="00A50372" w:rsidP="007D430C">
      <w:pPr>
        <w:rPr>
          <w:rFonts w:ascii="Times New Roman" w:hAnsi="Times New Roman" w:cs="Times New Roman"/>
          <w:b/>
          <w:bCs/>
          <w:sz w:val="24"/>
          <w:szCs w:val="24"/>
        </w:rPr>
      </w:pPr>
    </w:p>
    <w:p w14:paraId="17714493" w14:textId="6813A096" w:rsidR="00A50372" w:rsidRPr="00A50372" w:rsidRDefault="00A50372" w:rsidP="00A50372">
      <w:pPr>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Pr="00A50372">
        <w:rPr>
          <w:rFonts w:ascii="Times New Roman" w:hAnsi="Times New Roman" w:cs="Times New Roman"/>
          <w:b/>
          <w:bCs/>
          <w:sz w:val="24"/>
          <w:szCs w:val="24"/>
        </w:rPr>
        <w:t>Introduction:</w:t>
      </w:r>
    </w:p>
    <w:p w14:paraId="6B6C5E26" w14:textId="77777777" w:rsidR="001745BF" w:rsidRPr="001745BF" w:rsidRDefault="001745BF" w:rsidP="001745BF">
      <w:pPr>
        <w:ind w:firstLine="720"/>
        <w:jc w:val="both"/>
        <w:rPr>
          <w:rFonts w:ascii="Times New Roman" w:hAnsi="Times New Roman" w:cs="Times New Roman"/>
          <w:sz w:val="24"/>
          <w:szCs w:val="24"/>
        </w:rPr>
      </w:pPr>
      <w:r w:rsidRPr="001745BF">
        <w:rPr>
          <w:rFonts w:ascii="Times New Roman" w:hAnsi="Times New Roman" w:cs="Times New Roman"/>
          <w:sz w:val="24"/>
          <w:szCs w:val="24"/>
        </w:rPr>
        <w:t>The global beverage market is witnessing a paradigm shift towards functional, low-calorie, and natural products, driven by rising health consciousness and the prevalence of lifestyle diseases like diabetes and obesity (Fagherazzi et al., 2013). Guava (</w:t>
      </w:r>
      <w:r w:rsidRPr="001745BF">
        <w:rPr>
          <w:rFonts w:ascii="Times New Roman" w:hAnsi="Times New Roman" w:cs="Times New Roman"/>
          <w:i/>
          <w:iCs/>
          <w:sz w:val="24"/>
          <w:szCs w:val="24"/>
        </w:rPr>
        <w:t>Psidium guajava</w:t>
      </w:r>
      <w:r w:rsidRPr="001745BF">
        <w:rPr>
          <w:rFonts w:ascii="Times New Roman" w:hAnsi="Times New Roman" w:cs="Times New Roman"/>
          <w:sz w:val="24"/>
          <w:szCs w:val="24"/>
        </w:rPr>
        <w:t> L.), a tropical fruit celebrated as a "super fruit," is an ideal candidate for such functional beverages due to its exceptional nutritional profile, including high vitamin C, dietary fiber, pectin, and a rich array of bioactive compounds like polyphenols and flavonoids (Gutiérrez et al., 2008; Jiménez-Escrig et al., 2001; Kumar et al., 2024). However, its high perishability leads to significant post-harvest losses (20-25%), necessitating value-added processing into stable products like Ready-to-Serve (RTS) beverages (Rashid et al., 2018; Yadav et al., 2017).</w:t>
      </w:r>
    </w:p>
    <w:p w14:paraId="3764CC65" w14:textId="77777777" w:rsidR="001745BF" w:rsidRPr="001745BF" w:rsidRDefault="001745BF" w:rsidP="001745BF">
      <w:pPr>
        <w:ind w:firstLine="720"/>
        <w:jc w:val="both"/>
        <w:rPr>
          <w:rFonts w:ascii="Times New Roman" w:hAnsi="Times New Roman" w:cs="Times New Roman"/>
          <w:sz w:val="24"/>
          <w:szCs w:val="24"/>
        </w:rPr>
      </w:pPr>
      <w:r w:rsidRPr="001745BF">
        <w:rPr>
          <w:rFonts w:ascii="Times New Roman" w:hAnsi="Times New Roman" w:cs="Times New Roman"/>
          <w:sz w:val="24"/>
          <w:szCs w:val="24"/>
        </w:rPr>
        <w:t>While traditional guava RTS beverages exist, they are often high in sugar, making them unsuitable for health-conscious consumers. The substitution of sucrose with natural, non-nutritive sweeteners like stevia (</w:t>
      </w:r>
      <w:r w:rsidRPr="001745BF">
        <w:rPr>
          <w:rFonts w:ascii="Times New Roman" w:hAnsi="Times New Roman" w:cs="Times New Roman"/>
          <w:i/>
          <w:iCs/>
          <w:sz w:val="24"/>
          <w:szCs w:val="24"/>
        </w:rPr>
        <w:t>Stevia rebaudiana</w:t>
      </w:r>
      <w:r w:rsidRPr="001745BF">
        <w:rPr>
          <w:rFonts w:ascii="Times New Roman" w:hAnsi="Times New Roman" w:cs="Times New Roman"/>
          <w:sz w:val="24"/>
          <w:szCs w:val="24"/>
        </w:rPr>
        <w:t xml:space="preserve">) presents a viable solution for developing low-calorie variants without compromising sweetness (Goyal et al., 2010; U.S. Food and Drug Administration, 2018). Furthermore, blending guava with other tropical fruits such as mulberry, jamun, and pomegranate can create a synergistic enhancement of the beverage's nutritional, </w:t>
      </w:r>
      <w:r w:rsidRPr="001745BF">
        <w:rPr>
          <w:rFonts w:ascii="Times New Roman" w:hAnsi="Times New Roman" w:cs="Times New Roman"/>
          <w:sz w:val="24"/>
          <w:szCs w:val="24"/>
        </w:rPr>
        <w:lastRenderedPageBreak/>
        <w:t>functional, and sensory properties (Baliga et al., 2011; Kamiloglu et al., 2013; Legua et al., 2016).</w:t>
      </w:r>
    </w:p>
    <w:p w14:paraId="31020A72" w14:textId="77777777" w:rsidR="001745BF" w:rsidRPr="001745BF" w:rsidRDefault="001745BF" w:rsidP="001745BF">
      <w:pPr>
        <w:ind w:firstLine="720"/>
        <w:jc w:val="both"/>
        <w:rPr>
          <w:rFonts w:ascii="Times New Roman" w:hAnsi="Times New Roman" w:cs="Times New Roman"/>
          <w:sz w:val="24"/>
          <w:szCs w:val="24"/>
        </w:rPr>
      </w:pPr>
      <w:r w:rsidRPr="001745BF">
        <w:rPr>
          <w:rFonts w:ascii="Times New Roman" w:hAnsi="Times New Roman" w:cs="Times New Roman"/>
          <w:sz w:val="24"/>
          <w:szCs w:val="24"/>
        </w:rPr>
        <w:t>Despite the individual understanding of these components, a significant research gap exists in the systematic formulation and multi-criteria optimization of blended guava beverages where sucrose is replaced with natural sweeteners. There is a lack of comprehensive studies that standardize fruit pulp blending ratios and sweetener levels to achieve an optimal balance between nutritional quality, sensory acceptability, and storage stability (Ahmad et al., 2019; Rathinasamy et al., 2022). This study, therefore, aims to fill this gap by formulating and optimizing low-calorie, guava-based blended beverages using natural sweeteners, providing a scientifically standardized product that aligns with contemporary market demands and reduces post-harvest losses.</w:t>
      </w:r>
    </w:p>
    <w:p w14:paraId="332F917C" w14:textId="77777777" w:rsidR="005E1727" w:rsidRDefault="005E1727" w:rsidP="00A50372">
      <w:pPr>
        <w:ind w:firstLine="720"/>
        <w:jc w:val="both"/>
        <w:rPr>
          <w:rFonts w:ascii="Times New Roman" w:hAnsi="Times New Roman" w:cs="Times New Roman"/>
          <w:sz w:val="24"/>
          <w:szCs w:val="24"/>
        </w:rPr>
      </w:pPr>
    </w:p>
    <w:p w14:paraId="27A45D7B" w14:textId="61BEE72A" w:rsidR="00A50372" w:rsidRPr="00A50372" w:rsidRDefault="00A50372" w:rsidP="00A50372">
      <w:pPr>
        <w:jc w:val="both"/>
        <w:rPr>
          <w:rFonts w:ascii="Times New Roman" w:hAnsi="Times New Roman" w:cs="Times New Roman"/>
          <w:b/>
          <w:bCs/>
          <w:sz w:val="24"/>
          <w:szCs w:val="24"/>
        </w:rPr>
      </w:pPr>
      <w:r w:rsidRPr="00A50372">
        <w:rPr>
          <w:rFonts w:ascii="Times New Roman" w:hAnsi="Times New Roman" w:cs="Times New Roman"/>
          <w:b/>
          <w:bCs/>
          <w:sz w:val="24"/>
          <w:szCs w:val="24"/>
        </w:rPr>
        <w:t>2.0</w:t>
      </w:r>
      <w:r>
        <w:rPr>
          <w:rFonts w:ascii="Times New Roman" w:hAnsi="Times New Roman" w:cs="Times New Roman"/>
          <w:b/>
          <w:bCs/>
          <w:sz w:val="24"/>
          <w:szCs w:val="24"/>
        </w:rPr>
        <w:t xml:space="preserve"> </w:t>
      </w:r>
      <w:r w:rsidRPr="00A50372">
        <w:rPr>
          <w:rFonts w:ascii="Times New Roman" w:hAnsi="Times New Roman" w:cs="Times New Roman"/>
          <w:b/>
          <w:bCs/>
          <w:sz w:val="24"/>
          <w:szCs w:val="24"/>
        </w:rPr>
        <w:t>Materials and Methods</w:t>
      </w:r>
      <w:r>
        <w:rPr>
          <w:rFonts w:ascii="Times New Roman" w:hAnsi="Times New Roman" w:cs="Times New Roman"/>
          <w:b/>
          <w:bCs/>
          <w:sz w:val="24"/>
          <w:szCs w:val="24"/>
        </w:rPr>
        <w:t>:</w:t>
      </w:r>
    </w:p>
    <w:p w14:paraId="67A30EE6" w14:textId="77777777" w:rsidR="00A50372" w:rsidRPr="00A50372" w:rsidRDefault="00A50372" w:rsidP="00A50372">
      <w:pPr>
        <w:jc w:val="both"/>
        <w:rPr>
          <w:rFonts w:ascii="Times New Roman" w:hAnsi="Times New Roman" w:cs="Times New Roman"/>
          <w:sz w:val="24"/>
          <w:szCs w:val="24"/>
        </w:rPr>
      </w:pPr>
      <w:r w:rsidRPr="00A50372">
        <w:rPr>
          <w:rFonts w:ascii="Times New Roman" w:hAnsi="Times New Roman" w:cs="Times New Roman"/>
          <w:sz w:val="24"/>
          <w:szCs w:val="24"/>
        </w:rPr>
        <w:t>The experimental work commenced with the procurement of fully ripened, high-quality guava fruits of the popular cultivar Allahabad Safeda, alongside other selected tropical fruits—namely mulberry, jamun, phalsa, and pomegranate—from trusted local fruit markets to ensure freshness and consistency. Upon arrival at the laboratory, all fruits underwent a meticulous preparation procedure; they were thoroughly washed in running tap water to remove any surface dirt and contaminants, peeled or deseeded as required, and then processed into a uniform pulp using a mechanical stainless steel pulper. For the sweetening components, analytical-grade sucrose and high-purity (≥95% Rebaudioside-A) food-grade stevia were procured and used as the primary sweetening agents in the various beverage formulations.</w:t>
      </w:r>
    </w:p>
    <w:p w14:paraId="757F77E0" w14:textId="77777777" w:rsidR="00A50372" w:rsidRPr="00A50372" w:rsidRDefault="00A50372" w:rsidP="00A50372">
      <w:pPr>
        <w:jc w:val="both"/>
        <w:rPr>
          <w:rFonts w:ascii="Times New Roman" w:hAnsi="Times New Roman" w:cs="Times New Roman"/>
          <w:sz w:val="24"/>
          <w:szCs w:val="24"/>
        </w:rPr>
      </w:pPr>
      <w:r w:rsidRPr="00A50372">
        <w:rPr>
          <w:rFonts w:ascii="Times New Roman" w:hAnsi="Times New Roman" w:cs="Times New Roman"/>
          <w:sz w:val="24"/>
          <w:szCs w:val="24"/>
        </w:rPr>
        <w:t>The entire investigation was structured as a series of sequential experiments, each planned and executed according to a Completely Randomized Design (CRD) with an appropriate number of replications for each treatment to ensure the reliability and statistical validity of the results. All quantitative data generated from these experiments were systematically compiled and subjected to a rigorous Analysis of Variance (ANOVA) to determine the significance of the observed variations, and where significant differences were found, the means were compared using the Critical Difference (CD) test at a 5% probability level to identify which treatments were statistically distinct from one another.</w:t>
      </w:r>
    </w:p>
    <w:p w14:paraId="3626C2EA" w14:textId="77777777" w:rsidR="00A50372" w:rsidRPr="00A50372" w:rsidRDefault="00A50372" w:rsidP="00A50372">
      <w:pPr>
        <w:jc w:val="both"/>
        <w:rPr>
          <w:rFonts w:ascii="Times New Roman" w:hAnsi="Times New Roman" w:cs="Times New Roman"/>
          <w:sz w:val="24"/>
          <w:szCs w:val="24"/>
        </w:rPr>
      </w:pPr>
      <w:r w:rsidRPr="00A50372">
        <w:rPr>
          <w:rFonts w:ascii="Times New Roman" w:hAnsi="Times New Roman" w:cs="Times New Roman"/>
          <w:sz w:val="24"/>
          <w:szCs w:val="24"/>
        </w:rPr>
        <w:t>The first and foundational phase of the experimental work involved a comprehensive physicochemical characterization of all the selected fruit pulps. This established a crucial baseline for their compositional profiles and included determinations of physical parameters such as individual fruit weight, pulp recovery percentage, juice yield, and pomace content. Following this, a suite of chemical analyses was performed on each pulp, measuring key attributes including Total Soluble Solids (TSS) using a digital refractometer, titratable acidity expressed as percent citric acid, ascorbic acid (vitamin C) content via titration, and the levels of reducing sugars, total sugars, and anthocyanins, all conducted in strict adherence to the standardized methodologies prescribed by the Association of Official Analytical Chemists (AOAC, 2019).</w:t>
      </w:r>
    </w:p>
    <w:p w14:paraId="08104C46" w14:textId="77777777" w:rsidR="00A50372" w:rsidRPr="00A50372" w:rsidRDefault="00A50372" w:rsidP="00A50372">
      <w:pPr>
        <w:jc w:val="both"/>
        <w:rPr>
          <w:rFonts w:ascii="Times New Roman" w:hAnsi="Times New Roman" w:cs="Times New Roman"/>
          <w:sz w:val="24"/>
          <w:szCs w:val="24"/>
        </w:rPr>
      </w:pPr>
      <w:r w:rsidRPr="00A50372">
        <w:rPr>
          <w:rFonts w:ascii="Times New Roman" w:hAnsi="Times New Roman" w:cs="Times New Roman"/>
          <w:sz w:val="24"/>
          <w:szCs w:val="24"/>
        </w:rPr>
        <w:t xml:space="preserve">Building upon this foundational data, the subsequent phase focused on the formulation and optimization of the beverages themselves. This began with the development of five distinct blending ratios of guava pulp with each of the other fruit pulps, specifically 0:100, 25:75, 50:50, </w:t>
      </w:r>
      <w:r w:rsidRPr="00A50372">
        <w:rPr>
          <w:rFonts w:ascii="Times New Roman" w:hAnsi="Times New Roman" w:cs="Times New Roman"/>
          <w:sz w:val="24"/>
          <w:szCs w:val="24"/>
        </w:rPr>
        <w:lastRenderedPageBreak/>
        <w:t>75:25, and 100:0, which were prepared as prototypes for RTS, nectar, and squash beverage types. These initial blends were then presented to a trained sensory panel for preliminary evaluation, where they were scored on critical attributes like appearance, flavor, taste, mouthfeel, and overall acceptability to identify the most organoleptically balanced and promising fruit combination. Following the selection of the optimal fruit blend, the next step was to fine-tune the sweetener system. This involved creating five distinct treatments with varying proportions of sugar and stevia: a control with 100% sugar (S100), followed by combinations of 75% sugar and 25% stevia (S75St25), 50% sugar and 50% stevia (S50St50), 25% sugar and 75% stevia (S25St75), and a final treatment with 100% stevia (St100). Each of these sweetener formulations was then subjected to a detailed sensory analysis using a standardized 9-point hedonic scale to pinpoint the specific ratio that delivered the most favorable sweetness profile, high consumer acceptability, and no undesirable aftertastes. Finally, with the optimal fruit blend and sweetener ratio identified, the recipe standardization process was undertaken by preparing nine final formulations of RTS, nectar, and squash beverages, which featured subtle variations in final TSS and acidity levels to achieve the perfect equilibrium between sensory appeal, nutritional integrity, and preservation quality. The single most preferred formulation for each beverage type, selected on the basis of the highest composite sensory scores and supportive analytical data, was then advanced for further stability studies to assess its shelf life.</w:t>
      </w:r>
    </w:p>
    <w:p w14:paraId="57E9173F" w14:textId="77777777" w:rsidR="0029420D" w:rsidRPr="00F971C7" w:rsidRDefault="0029420D" w:rsidP="00FB2619">
      <w:pPr>
        <w:rPr>
          <w:rFonts w:ascii="Times New Roman" w:hAnsi="Times New Roman" w:cs="Times New Roman"/>
          <w:b/>
          <w:bCs/>
          <w:sz w:val="24"/>
          <w:szCs w:val="24"/>
        </w:rPr>
      </w:pPr>
    </w:p>
    <w:p w14:paraId="09BC79E5" w14:textId="77777777" w:rsidR="0029420D" w:rsidRPr="00F971C7" w:rsidRDefault="0029420D" w:rsidP="00FB2619">
      <w:pPr>
        <w:rPr>
          <w:rFonts w:ascii="Times New Roman" w:hAnsi="Times New Roman" w:cs="Times New Roman"/>
          <w:b/>
          <w:bCs/>
          <w:sz w:val="24"/>
          <w:szCs w:val="24"/>
        </w:rPr>
      </w:pPr>
    </w:p>
    <w:p w14:paraId="150D64A9" w14:textId="71991501" w:rsidR="00FB2619" w:rsidRPr="00F971C7" w:rsidRDefault="00FB2619" w:rsidP="00FB2619">
      <w:pPr>
        <w:rPr>
          <w:rFonts w:ascii="Times New Roman" w:hAnsi="Times New Roman" w:cs="Times New Roman"/>
          <w:sz w:val="24"/>
          <w:szCs w:val="24"/>
        </w:rPr>
      </w:pPr>
      <w:r w:rsidRPr="00F971C7">
        <w:rPr>
          <w:rFonts w:ascii="Times New Roman" w:hAnsi="Times New Roman" w:cs="Times New Roman"/>
          <w:b/>
          <w:bCs/>
          <w:sz w:val="24"/>
          <w:szCs w:val="24"/>
        </w:rPr>
        <w:t>3.</w:t>
      </w:r>
      <w:r w:rsidR="00A50372">
        <w:rPr>
          <w:rFonts w:ascii="Times New Roman" w:hAnsi="Times New Roman" w:cs="Times New Roman"/>
          <w:b/>
          <w:bCs/>
          <w:sz w:val="24"/>
          <w:szCs w:val="24"/>
        </w:rPr>
        <w:t>0</w:t>
      </w:r>
      <w:r w:rsidRPr="00F971C7">
        <w:rPr>
          <w:rFonts w:ascii="Times New Roman" w:hAnsi="Times New Roman" w:cs="Times New Roman"/>
          <w:b/>
          <w:bCs/>
          <w:sz w:val="24"/>
          <w:szCs w:val="24"/>
        </w:rPr>
        <w:t xml:space="preserve"> Results and Discussion</w:t>
      </w:r>
    </w:p>
    <w:p w14:paraId="193BBC51" w14:textId="77777777" w:rsidR="00E222E2" w:rsidRPr="00F971C7" w:rsidRDefault="00FB2619" w:rsidP="00FB2619">
      <w:pPr>
        <w:rPr>
          <w:rFonts w:ascii="Times New Roman" w:hAnsi="Times New Roman" w:cs="Times New Roman"/>
          <w:sz w:val="24"/>
          <w:szCs w:val="24"/>
        </w:rPr>
      </w:pPr>
      <w:r w:rsidRPr="00F971C7">
        <w:rPr>
          <w:rFonts w:ascii="Times New Roman" w:hAnsi="Times New Roman" w:cs="Times New Roman"/>
          <w:b/>
          <w:bCs/>
          <w:sz w:val="24"/>
          <w:szCs w:val="24"/>
        </w:rPr>
        <w:t>3.1. Physicochemical Characterization of Raw Materials</w:t>
      </w:r>
      <w:r w:rsidRPr="00F971C7">
        <w:rPr>
          <w:rFonts w:ascii="Times New Roman" w:hAnsi="Times New Roman" w:cs="Times New Roman"/>
          <w:sz w:val="24"/>
          <w:szCs w:val="24"/>
        </w:rPr>
        <w:br/>
      </w:r>
    </w:p>
    <w:p w14:paraId="3DDB607E" w14:textId="04CF2143" w:rsidR="00FB2619" w:rsidRPr="00F971C7" w:rsidRDefault="00FB2619" w:rsidP="00E222E2">
      <w:pPr>
        <w:ind w:firstLine="720"/>
        <w:jc w:val="both"/>
        <w:rPr>
          <w:rFonts w:ascii="Times New Roman" w:hAnsi="Times New Roman" w:cs="Times New Roman"/>
          <w:sz w:val="24"/>
          <w:szCs w:val="24"/>
        </w:rPr>
      </w:pPr>
      <w:r w:rsidRPr="00F971C7">
        <w:rPr>
          <w:rFonts w:ascii="Times New Roman" w:hAnsi="Times New Roman" w:cs="Times New Roman"/>
          <w:sz w:val="24"/>
          <w:szCs w:val="24"/>
        </w:rPr>
        <w:t>The foundational step in developing a blended beverage is a thorough understanding of the raw materials. The physicochemical properties of guava (cv. Allahabad Safeda), mulberry, jamun, phalsa, and pomegranate were analyzed and are presented in Table 1. Guava fruits recorded the highest average fruit weight (122.0 ± 1.3 g) among the primary fruits considered for blending, while pomegranate was the largest overall (225.3 ± 7.0 g). More critically for processing, juice content was highest in pomegranate (72.3 ± 1.5%) and guava (70.9 ± 0.35%), establishing them as efficient base fruits for high-yield beverage production. In contrast, phalsa's lower juice yield (57.0 ± 1.5%) and high pomace (32.0 ± 1.0%) suggest it is better utilized as a minor component for flavor and color enhancement rather than a primary ingredient.</w:t>
      </w:r>
    </w:p>
    <w:p w14:paraId="241184FC" w14:textId="77777777" w:rsidR="00FB2619" w:rsidRDefault="00FB2619" w:rsidP="007D430C">
      <w:pPr>
        <w:ind w:firstLine="720"/>
        <w:jc w:val="both"/>
        <w:rPr>
          <w:rFonts w:ascii="Times New Roman" w:hAnsi="Times New Roman" w:cs="Times New Roman"/>
          <w:sz w:val="24"/>
          <w:szCs w:val="24"/>
        </w:rPr>
      </w:pPr>
      <w:r w:rsidRPr="00F971C7">
        <w:rPr>
          <w:rFonts w:ascii="Times New Roman" w:hAnsi="Times New Roman" w:cs="Times New Roman"/>
          <w:sz w:val="24"/>
          <w:szCs w:val="24"/>
        </w:rPr>
        <w:t xml:space="preserve">The chemical composition revealed distinct complementary profiles. Guava was exceptional for its remarkably high ascorbic acid content (131.5 ± 0.9 mg/100 g), positioning it as a potent natural antioxidant source. Conversely, mulberry, jamun, and phalsa were rich in anthocyanins (135.0 ± 3.5, 85.0 ± 2.1, and 75.0 ± 2.0 mg/100 g, respectively), offering vibrant color and associated health benefits. The sugar-acid balance was also markedly different. Jamun and phalsa had high TSS (17.2 and 16.0 °Brix) and acidity (1.21% and 1.65%), contributing intense sweetness and tartness. Guava and pomegranate, with milder TSS (10.11 and 14.5 °Brix) and lower acidity (0.42% each), provided a neutral, palatable base. This diversity is advantageous; guava's mildness can temper the strong flavors of other fruits, while </w:t>
      </w:r>
      <w:r w:rsidRPr="00F971C7">
        <w:rPr>
          <w:rFonts w:ascii="Times New Roman" w:hAnsi="Times New Roman" w:cs="Times New Roman"/>
          <w:sz w:val="24"/>
          <w:szCs w:val="24"/>
        </w:rPr>
        <w:lastRenderedPageBreak/>
        <w:t>its high vitamin C and their high anthocyanin content create a synergistic functional beverage (Hemalatha et al., 2018; Pushpa Chethan Kumar et al., 2023).</w:t>
      </w:r>
    </w:p>
    <w:p w14:paraId="7CDBAD36" w14:textId="77777777" w:rsidR="00C66EAC" w:rsidRDefault="00C66EAC" w:rsidP="00C66EAC">
      <w:pPr>
        <w:spacing w:line="360" w:lineRule="auto"/>
        <w:rPr>
          <w:rFonts w:ascii="Times New Roman" w:hAnsi="Times New Roman" w:cs="Times New Roman"/>
          <w:b/>
          <w:bCs/>
          <w:i/>
          <w:iCs/>
          <w:sz w:val="24"/>
          <w:szCs w:val="24"/>
        </w:rPr>
      </w:pPr>
      <w:r w:rsidRPr="009D7407">
        <w:rPr>
          <w:rFonts w:ascii="Times New Roman" w:hAnsi="Times New Roman" w:cs="Times New Roman"/>
          <w:b/>
          <w:bCs/>
          <w:sz w:val="24"/>
          <w:szCs w:val="24"/>
        </w:rPr>
        <w:t xml:space="preserve">Table 1 </w:t>
      </w:r>
      <w:r w:rsidRPr="009D7407">
        <w:rPr>
          <w:rFonts w:ascii="Times New Roman" w:hAnsi="Times New Roman" w:cs="Times New Roman"/>
          <w:b/>
          <w:bCs/>
          <w:i/>
          <w:iCs/>
          <w:sz w:val="24"/>
          <w:szCs w:val="24"/>
        </w:rPr>
        <w:t>Physicochemical Characteristics of Allahabad Safeda Guava</w:t>
      </w:r>
    </w:p>
    <w:tbl>
      <w:tblPr>
        <w:tblpPr w:leftFromText="180" w:rightFromText="180" w:vertAnchor="text" w:horzAnchor="margin" w:tblpXSpec="center" w:tblpY="6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52"/>
        <w:gridCol w:w="1336"/>
        <w:gridCol w:w="1388"/>
        <w:gridCol w:w="1201"/>
        <w:gridCol w:w="1779"/>
      </w:tblGrid>
      <w:tr w:rsidR="00C66EAC" w:rsidRPr="008264CA" w14:paraId="4DE948E5" w14:textId="77777777" w:rsidTr="000F69F7">
        <w:trPr>
          <w:trHeight w:val="940"/>
        </w:trPr>
        <w:tc>
          <w:tcPr>
            <w:tcW w:w="0" w:type="auto"/>
            <w:shd w:val="clear" w:color="000000" w:fill="FFE699"/>
            <w:vAlign w:val="center"/>
            <w:hideMark/>
          </w:tcPr>
          <w:p w14:paraId="64C5B1CB"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Parameter</w:t>
            </w:r>
          </w:p>
        </w:tc>
        <w:tc>
          <w:tcPr>
            <w:tcW w:w="0" w:type="auto"/>
            <w:shd w:val="clear" w:color="000000" w:fill="FFE699"/>
            <w:vAlign w:val="center"/>
            <w:hideMark/>
          </w:tcPr>
          <w:p w14:paraId="0F429DE7"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Guava (</w:t>
            </w:r>
            <w:r w:rsidRPr="008264CA">
              <w:rPr>
                <w:rFonts w:ascii="Times New Roman" w:eastAsia="Times New Roman" w:hAnsi="Times New Roman" w:cs="Times New Roman"/>
                <w:b/>
                <w:bCs/>
                <w:i/>
                <w:iCs/>
                <w:color w:val="000000"/>
                <w:kern w:val="0"/>
                <w:sz w:val="24"/>
                <w:szCs w:val="24"/>
                <w:lang w:eastAsia="en-IN"/>
                <w14:ligatures w14:val="none"/>
              </w:rPr>
              <w:t>Psidium guajava</w:t>
            </w:r>
            <w:r w:rsidRPr="008264CA">
              <w:rPr>
                <w:rFonts w:ascii="Times New Roman" w:eastAsia="Times New Roman" w:hAnsi="Times New Roman" w:cs="Times New Roman"/>
                <w:b/>
                <w:bCs/>
                <w:color w:val="000000"/>
                <w:kern w:val="0"/>
                <w:sz w:val="24"/>
                <w:szCs w:val="24"/>
                <w:lang w:eastAsia="en-IN"/>
                <w14:ligatures w14:val="none"/>
              </w:rPr>
              <w:t xml:space="preserve"> L., cv. Allahabad Safeda)</w:t>
            </w:r>
          </w:p>
        </w:tc>
        <w:tc>
          <w:tcPr>
            <w:tcW w:w="0" w:type="auto"/>
            <w:shd w:val="clear" w:color="000000" w:fill="FFE699"/>
            <w:vAlign w:val="center"/>
            <w:hideMark/>
          </w:tcPr>
          <w:p w14:paraId="09B062A4"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Mulberry (</w:t>
            </w:r>
            <w:r w:rsidRPr="008264CA">
              <w:rPr>
                <w:rFonts w:ascii="Times New Roman" w:eastAsia="Times New Roman" w:hAnsi="Times New Roman" w:cs="Times New Roman"/>
                <w:b/>
                <w:bCs/>
                <w:i/>
                <w:iCs/>
                <w:color w:val="000000"/>
                <w:kern w:val="0"/>
                <w:sz w:val="24"/>
                <w:szCs w:val="24"/>
                <w:lang w:eastAsia="en-IN"/>
                <w14:ligatures w14:val="none"/>
              </w:rPr>
              <w:t>Morus spp.</w:t>
            </w:r>
            <w:r w:rsidRPr="008264CA">
              <w:rPr>
                <w:rFonts w:ascii="Times New Roman" w:eastAsia="Times New Roman" w:hAnsi="Times New Roman" w:cs="Times New Roman"/>
                <w:b/>
                <w:bCs/>
                <w:color w:val="000000"/>
                <w:kern w:val="0"/>
                <w:sz w:val="24"/>
                <w:szCs w:val="24"/>
                <w:lang w:eastAsia="en-IN"/>
                <w14:ligatures w14:val="none"/>
              </w:rPr>
              <w:t>)</w:t>
            </w:r>
          </w:p>
        </w:tc>
        <w:tc>
          <w:tcPr>
            <w:tcW w:w="0" w:type="auto"/>
            <w:shd w:val="clear" w:color="000000" w:fill="FFE699"/>
            <w:vAlign w:val="center"/>
            <w:hideMark/>
          </w:tcPr>
          <w:p w14:paraId="4EC4D823"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Jamun (</w:t>
            </w:r>
            <w:r w:rsidRPr="008264CA">
              <w:rPr>
                <w:rFonts w:ascii="Times New Roman" w:eastAsia="Times New Roman" w:hAnsi="Times New Roman" w:cs="Times New Roman"/>
                <w:b/>
                <w:bCs/>
                <w:i/>
                <w:iCs/>
                <w:color w:val="000000"/>
                <w:kern w:val="0"/>
                <w:sz w:val="24"/>
                <w:szCs w:val="24"/>
                <w:lang w:eastAsia="en-IN"/>
                <w14:ligatures w14:val="none"/>
              </w:rPr>
              <w:t>Syzygium cumini</w:t>
            </w:r>
            <w:r w:rsidRPr="008264CA">
              <w:rPr>
                <w:rFonts w:ascii="Times New Roman" w:eastAsia="Times New Roman" w:hAnsi="Times New Roman" w:cs="Times New Roman"/>
                <w:b/>
                <w:bCs/>
                <w:color w:val="000000"/>
                <w:kern w:val="0"/>
                <w:sz w:val="24"/>
                <w:szCs w:val="24"/>
                <w:lang w:eastAsia="en-IN"/>
                <w14:ligatures w14:val="none"/>
              </w:rPr>
              <w:t>)</w:t>
            </w:r>
          </w:p>
        </w:tc>
        <w:tc>
          <w:tcPr>
            <w:tcW w:w="0" w:type="auto"/>
            <w:shd w:val="clear" w:color="000000" w:fill="FFE699"/>
            <w:vAlign w:val="center"/>
            <w:hideMark/>
          </w:tcPr>
          <w:p w14:paraId="70A49725"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Phalsa (</w:t>
            </w:r>
            <w:r w:rsidRPr="008264CA">
              <w:rPr>
                <w:rFonts w:ascii="Times New Roman" w:eastAsia="Times New Roman" w:hAnsi="Times New Roman" w:cs="Times New Roman"/>
                <w:b/>
                <w:bCs/>
                <w:i/>
                <w:iCs/>
                <w:color w:val="000000"/>
                <w:kern w:val="0"/>
                <w:sz w:val="24"/>
                <w:szCs w:val="24"/>
                <w:lang w:eastAsia="en-IN"/>
                <w14:ligatures w14:val="none"/>
              </w:rPr>
              <w:t>Grewia asiatica</w:t>
            </w:r>
            <w:r w:rsidRPr="008264CA">
              <w:rPr>
                <w:rFonts w:ascii="Times New Roman" w:eastAsia="Times New Roman" w:hAnsi="Times New Roman" w:cs="Times New Roman"/>
                <w:b/>
                <w:bCs/>
                <w:color w:val="000000"/>
                <w:kern w:val="0"/>
                <w:sz w:val="24"/>
                <w:szCs w:val="24"/>
                <w:lang w:eastAsia="en-IN"/>
                <w14:ligatures w14:val="none"/>
              </w:rPr>
              <w:t>)</w:t>
            </w:r>
          </w:p>
        </w:tc>
        <w:tc>
          <w:tcPr>
            <w:tcW w:w="0" w:type="auto"/>
            <w:shd w:val="clear" w:color="000000" w:fill="FFE699"/>
            <w:vAlign w:val="center"/>
            <w:hideMark/>
          </w:tcPr>
          <w:p w14:paraId="75475DE0"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Pomegranate (</w:t>
            </w:r>
            <w:r w:rsidRPr="008264CA">
              <w:rPr>
                <w:rFonts w:ascii="Times New Roman" w:eastAsia="Times New Roman" w:hAnsi="Times New Roman" w:cs="Times New Roman"/>
                <w:b/>
                <w:bCs/>
                <w:i/>
                <w:iCs/>
                <w:color w:val="000000"/>
                <w:kern w:val="0"/>
                <w:sz w:val="24"/>
                <w:szCs w:val="24"/>
                <w:lang w:eastAsia="en-IN"/>
                <w14:ligatures w14:val="none"/>
              </w:rPr>
              <w:t>Punica granatum</w:t>
            </w:r>
            <w:r w:rsidRPr="008264CA">
              <w:rPr>
                <w:rFonts w:ascii="Times New Roman" w:eastAsia="Times New Roman" w:hAnsi="Times New Roman" w:cs="Times New Roman"/>
                <w:b/>
                <w:bCs/>
                <w:color w:val="000000"/>
                <w:kern w:val="0"/>
                <w:sz w:val="24"/>
                <w:szCs w:val="24"/>
                <w:lang w:eastAsia="en-IN"/>
                <w14:ligatures w14:val="none"/>
              </w:rPr>
              <w:t xml:space="preserve"> L.)</w:t>
            </w:r>
          </w:p>
        </w:tc>
      </w:tr>
      <w:tr w:rsidR="00C66EAC" w:rsidRPr="008264CA" w14:paraId="07A9B4DB" w14:textId="77777777" w:rsidTr="000F69F7">
        <w:trPr>
          <w:trHeight w:val="627"/>
        </w:trPr>
        <w:tc>
          <w:tcPr>
            <w:tcW w:w="0" w:type="auto"/>
            <w:shd w:val="clear" w:color="000000" w:fill="FFF2CC"/>
            <w:vAlign w:val="center"/>
            <w:hideMark/>
          </w:tcPr>
          <w:p w14:paraId="099E5009"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Fruit weight (g)</w:t>
            </w:r>
          </w:p>
        </w:tc>
        <w:tc>
          <w:tcPr>
            <w:tcW w:w="0" w:type="auto"/>
            <w:vAlign w:val="center"/>
            <w:hideMark/>
          </w:tcPr>
          <w:p w14:paraId="197130C1"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122.0 ± 1.3</w:t>
            </w:r>
          </w:p>
        </w:tc>
        <w:tc>
          <w:tcPr>
            <w:tcW w:w="0" w:type="auto"/>
            <w:vAlign w:val="center"/>
            <w:hideMark/>
          </w:tcPr>
          <w:p w14:paraId="26681A88"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2.68 ± 0.10</w:t>
            </w:r>
          </w:p>
        </w:tc>
        <w:tc>
          <w:tcPr>
            <w:tcW w:w="0" w:type="auto"/>
            <w:vAlign w:val="center"/>
            <w:hideMark/>
          </w:tcPr>
          <w:p w14:paraId="02CE92A6"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7.2 ± 0.3</w:t>
            </w:r>
          </w:p>
        </w:tc>
        <w:tc>
          <w:tcPr>
            <w:tcW w:w="0" w:type="auto"/>
            <w:vAlign w:val="center"/>
            <w:hideMark/>
          </w:tcPr>
          <w:p w14:paraId="49DCA978"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4.5 ± 0.2</w:t>
            </w:r>
          </w:p>
        </w:tc>
        <w:tc>
          <w:tcPr>
            <w:tcW w:w="0" w:type="auto"/>
            <w:vAlign w:val="center"/>
            <w:hideMark/>
          </w:tcPr>
          <w:p w14:paraId="315E3F28"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 xml:space="preserve">225.3 ± </w:t>
            </w:r>
            <w:r>
              <w:rPr>
                <w:rFonts w:ascii="Times New Roman" w:eastAsia="Times New Roman" w:hAnsi="Times New Roman" w:cs="Times New Roman"/>
                <w:color w:val="000000"/>
                <w:kern w:val="0"/>
                <w:sz w:val="24"/>
                <w:szCs w:val="24"/>
                <w:lang w:eastAsia="en-IN"/>
                <w14:ligatures w14:val="none"/>
              </w:rPr>
              <w:t>0.3</w:t>
            </w:r>
          </w:p>
        </w:tc>
      </w:tr>
      <w:tr w:rsidR="00C66EAC" w:rsidRPr="008264CA" w14:paraId="3FDDF8D6" w14:textId="77777777" w:rsidTr="000F69F7">
        <w:trPr>
          <w:trHeight w:val="489"/>
        </w:trPr>
        <w:tc>
          <w:tcPr>
            <w:tcW w:w="0" w:type="auto"/>
            <w:shd w:val="clear" w:color="000000" w:fill="FFF2CC"/>
            <w:vAlign w:val="center"/>
            <w:hideMark/>
          </w:tcPr>
          <w:p w14:paraId="148BE870"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Fruit length (cm)</w:t>
            </w:r>
          </w:p>
        </w:tc>
        <w:tc>
          <w:tcPr>
            <w:tcW w:w="0" w:type="auto"/>
            <w:vAlign w:val="center"/>
            <w:hideMark/>
          </w:tcPr>
          <w:p w14:paraId="5660D0FA"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5.59 ± 0.02</w:t>
            </w:r>
          </w:p>
        </w:tc>
        <w:tc>
          <w:tcPr>
            <w:tcW w:w="0" w:type="auto"/>
            <w:vAlign w:val="center"/>
            <w:hideMark/>
          </w:tcPr>
          <w:p w14:paraId="5B3DDAD0"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2.4 ± 0.1</w:t>
            </w:r>
          </w:p>
        </w:tc>
        <w:tc>
          <w:tcPr>
            <w:tcW w:w="0" w:type="auto"/>
            <w:vAlign w:val="center"/>
            <w:hideMark/>
          </w:tcPr>
          <w:p w14:paraId="6F004F27"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2.9 ± 0.1</w:t>
            </w:r>
          </w:p>
        </w:tc>
        <w:tc>
          <w:tcPr>
            <w:tcW w:w="0" w:type="auto"/>
            <w:vAlign w:val="center"/>
            <w:hideMark/>
          </w:tcPr>
          <w:p w14:paraId="79E97317"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1.1 ± 0.1</w:t>
            </w:r>
          </w:p>
        </w:tc>
        <w:tc>
          <w:tcPr>
            <w:tcW w:w="0" w:type="auto"/>
            <w:vAlign w:val="center"/>
            <w:hideMark/>
          </w:tcPr>
          <w:p w14:paraId="0BF1372A"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6.8 ± 0.2</w:t>
            </w:r>
          </w:p>
        </w:tc>
      </w:tr>
      <w:tr w:rsidR="00C66EAC" w:rsidRPr="008264CA" w14:paraId="7AC3DC82" w14:textId="77777777" w:rsidTr="000F69F7">
        <w:trPr>
          <w:trHeight w:val="464"/>
        </w:trPr>
        <w:tc>
          <w:tcPr>
            <w:tcW w:w="0" w:type="auto"/>
            <w:shd w:val="clear" w:color="000000" w:fill="FFF2CC"/>
            <w:vAlign w:val="center"/>
            <w:hideMark/>
          </w:tcPr>
          <w:p w14:paraId="419FF485"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Fruit width (cm)</w:t>
            </w:r>
          </w:p>
        </w:tc>
        <w:tc>
          <w:tcPr>
            <w:tcW w:w="0" w:type="auto"/>
            <w:vAlign w:val="center"/>
            <w:hideMark/>
          </w:tcPr>
          <w:p w14:paraId="307476CC"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6.49 ± 0.03</w:t>
            </w:r>
          </w:p>
        </w:tc>
        <w:tc>
          <w:tcPr>
            <w:tcW w:w="0" w:type="auto"/>
            <w:vAlign w:val="center"/>
            <w:hideMark/>
          </w:tcPr>
          <w:p w14:paraId="7EFE39D6"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1.7 ± 0.1</w:t>
            </w:r>
          </w:p>
        </w:tc>
        <w:tc>
          <w:tcPr>
            <w:tcW w:w="0" w:type="auto"/>
            <w:vAlign w:val="center"/>
            <w:hideMark/>
          </w:tcPr>
          <w:p w14:paraId="79FDBCC0"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2.1 ± 0.1</w:t>
            </w:r>
          </w:p>
        </w:tc>
        <w:tc>
          <w:tcPr>
            <w:tcW w:w="0" w:type="auto"/>
            <w:vAlign w:val="center"/>
            <w:hideMark/>
          </w:tcPr>
          <w:p w14:paraId="163F1541"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1.0 ± 0.0</w:t>
            </w:r>
          </w:p>
        </w:tc>
        <w:tc>
          <w:tcPr>
            <w:tcW w:w="0" w:type="auto"/>
            <w:vAlign w:val="center"/>
            <w:hideMark/>
          </w:tcPr>
          <w:p w14:paraId="0D1F09B3"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6.2 ± 0.2</w:t>
            </w:r>
          </w:p>
        </w:tc>
      </w:tr>
      <w:tr w:rsidR="00C66EAC" w:rsidRPr="008264CA" w14:paraId="18994671" w14:textId="77777777" w:rsidTr="000F69F7">
        <w:trPr>
          <w:trHeight w:val="489"/>
        </w:trPr>
        <w:tc>
          <w:tcPr>
            <w:tcW w:w="0" w:type="auto"/>
            <w:shd w:val="clear" w:color="000000" w:fill="FFF2CC"/>
            <w:vAlign w:val="center"/>
            <w:hideMark/>
          </w:tcPr>
          <w:p w14:paraId="46EF682E"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Juice content (%)</w:t>
            </w:r>
          </w:p>
        </w:tc>
        <w:tc>
          <w:tcPr>
            <w:tcW w:w="0" w:type="auto"/>
            <w:vAlign w:val="center"/>
            <w:hideMark/>
          </w:tcPr>
          <w:p w14:paraId="697C776A"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70.9 ± 0.35</w:t>
            </w:r>
          </w:p>
        </w:tc>
        <w:tc>
          <w:tcPr>
            <w:tcW w:w="0" w:type="auto"/>
            <w:vAlign w:val="center"/>
            <w:hideMark/>
          </w:tcPr>
          <w:p w14:paraId="66FDFB04"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68.5 ± 1.2</w:t>
            </w:r>
          </w:p>
        </w:tc>
        <w:tc>
          <w:tcPr>
            <w:tcW w:w="0" w:type="auto"/>
            <w:vAlign w:val="center"/>
            <w:hideMark/>
          </w:tcPr>
          <w:p w14:paraId="3893BCAB"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71.0 ± 0.8</w:t>
            </w:r>
          </w:p>
        </w:tc>
        <w:tc>
          <w:tcPr>
            <w:tcW w:w="0" w:type="auto"/>
            <w:vAlign w:val="center"/>
            <w:hideMark/>
          </w:tcPr>
          <w:p w14:paraId="16B9BB66"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 xml:space="preserve">57.0 ± </w:t>
            </w:r>
            <w:r>
              <w:rPr>
                <w:rFonts w:ascii="Times New Roman" w:eastAsia="Times New Roman" w:hAnsi="Times New Roman" w:cs="Times New Roman"/>
                <w:color w:val="000000"/>
                <w:kern w:val="0"/>
                <w:sz w:val="24"/>
                <w:szCs w:val="24"/>
                <w:lang w:eastAsia="en-IN"/>
                <w14:ligatures w14:val="none"/>
              </w:rPr>
              <w:t>0</w:t>
            </w:r>
            <w:r w:rsidRPr="008264CA">
              <w:rPr>
                <w:rFonts w:ascii="Times New Roman" w:eastAsia="Times New Roman" w:hAnsi="Times New Roman" w:cs="Times New Roman"/>
                <w:color w:val="000000"/>
                <w:kern w:val="0"/>
                <w:sz w:val="24"/>
                <w:szCs w:val="24"/>
                <w:lang w:eastAsia="en-IN"/>
                <w14:ligatures w14:val="none"/>
              </w:rPr>
              <w:t>.5</w:t>
            </w:r>
          </w:p>
        </w:tc>
        <w:tc>
          <w:tcPr>
            <w:tcW w:w="0" w:type="auto"/>
            <w:vAlign w:val="center"/>
            <w:hideMark/>
          </w:tcPr>
          <w:p w14:paraId="6E56F245"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 xml:space="preserve">72.3 ± </w:t>
            </w:r>
            <w:r>
              <w:rPr>
                <w:rFonts w:ascii="Times New Roman" w:eastAsia="Times New Roman" w:hAnsi="Times New Roman" w:cs="Times New Roman"/>
                <w:color w:val="000000"/>
                <w:kern w:val="0"/>
                <w:sz w:val="24"/>
                <w:szCs w:val="24"/>
                <w:lang w:eastAsia="en-IN"/>
                <w14:ligatures w14:val="none"/>
              </w:rPr>
              <w:t>0.5</w:t>
            </w:r>
          </w:p>
        </w:tc>
      </w:tr>
      <w:tr w:rsidR="00C66EAC" w:rsidRPr="008264CA" w14:paraId="14634EA2" w14:textId="77777777" w:rsidTr="000F69F7">
        <w:trPr>
          <w:trHeight w:val="451"/>
        </w:trPr>
        <w:tc>
          <w:tcPr>
            <w:tcW w:w="0" w:type="auto"/>
            <w:shd w:val="clear" w:color="000000" w:fill="FFF2CC"/>
            <w:vAlign w:val="center"/>
            <w:hideMark/>
          </w:tcPr>
          <w:p w14:paraId="4B301CD0"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Pomace content (%)</w:t>
            </w:r>
          </w:p>
        </w:tc>
        <w:tc>
          <w:tcPr>
            <w:tcW w:w="0" w:type="auto"/>
            <w:vAlign w:val="center"/>
            <w:hideMark/>
          </w:tcPr>
          <w:p w14:paraId="0FCE4782"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25.0 ± 0.25</w:t>
            </w:r>
          </w:p>
        </w:tc>
        <w:tc>
          <w:tcPr>
            <w:tcW w:w="0" w:type="auto"/>
            <w:vAlign w:val="center"/>
            <w:hideMark/>
          </w:tcPr>
          <w:p w14:paraId="779A07F0"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23.0 ± 0.5</w:t>
            </w:r>
          </w:p>
        </w:tc>
        <w:tc>
          <w:tcPr>
            <w:tcW w:w="0" w:type="auto"/>
            <w:vAlign w:val="center"/>
            <w:hideMark/>
          </w:tcPr>
          <w:p w14:paraId="6B2F677D"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20.5 ± 0.6</w:t>
            </w:r>
          </w:p>
        </w:tc>
        <w:tc>
          <w:tcPr>
            <w:tcW w:w="0" w:type="auto"/>
            <w:vAlign w:val="center"/>
            <w:hideMark/>
          </w:tcPr>
          <w:p w14:paraId="14A2166E"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 xml:space="preserve">32.0 ± </w:t>
            </w:r>
            <w:r>
              <w:rPr>
                <w:rFonts w:ascii="Times New Roman" w:eastAsia="Times New Roman" w:hAnsi="Times New Roman" w:cs="Times New Roman"/>
                <w:color w:val="000000"/>
                <w:kern w:val="0"/>
                <w:sz w:val="24"/>
                <w:szCs w:val="24"/>
                <w:lang w:eastAsia="en-IN"/>
                <w14:ligatures w14:val="none"/>
              </w:rPr>
              <w:t>0.7</w:t>
            </w:r>
          </w:p>
        </w:tc>
        <w:tc>
          <w:tcPr>
            <w:tcW w:w="0" w:type="auto"/>
            <w:vAlign w:val="center"/>
            <w:hideMark/>
          </w:tcPr>
          <w:p w14:paraId="294342B8"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22.0 ± 0.7</w:t>
            </w:r>
          </w:p>
        </w:tc>
      </w:tr>
      <w:tr w:rsidR="00C66EAC" w:rsidRPr="008264CA" w14:paraId="75EC16A5" w14:textId="77777777" w:rsidTr="000F69F7">
        <w:trPr>
          <w:trHeight w:val="601"/>
        </w:trPr>
        <w:tc>
          <w:tcPr>
            <w:tcW w:w="0" w:type="auto"/>
            <w:shd w:val="clear" w:color="000000" w:fill="FFF2CC"/>
            <w:vAlign w:val="center"/>
            <w:hideMark/>
          </w:tcPr>
          <w:p w14:paraId="40CC62C3"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Seed percentage (%)</w:t>
            </w:r>
          </w:p>
        </w:tc>
        <w:tc>
          <w:tcPr>
            <w:tcW w:w="0" w:type="auto"/>
            <w:vAlign w:val="center"/>
            <w:hideMark/>
          </w:tcPr>
          <w:p w14:paraId="7BF5985F"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4.1 ± 0.1</w:t>
            </w:r>
          </w:p>
        </w:tc>
        <w:tc>
          <w:tcPr>
            <w:tcW w:w="0" w:type="auto"/>
            <w:vAlign w:val="center"/>
            <w:hideMark/>
          </w:tcPr>
          <w:p w14:paraId="17E363EF"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7.2 ± 0.2</w:t>
            </w:r>
          </w:p>
        </w:tc>
        <w:tc>
          <w:tcPr>
            <w:tcW w:w="0" w:type="auto"/>
            <w:vAlign w:val="center"/>
            <w:hideMark/>
          </w:tcPr>
          <w:p w14:paraId="097D7F33"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11.0 ± 0.4</w:t>
            </w:r>
          </w:p>
        </w:tc>
        <w:tc>
          <w:tcPr>
            <w:tcW w:w="0" w:type="auto"/>
            <w:vAlign w:val="center"/>
            <w:hideMark/>
          </w:tcPr>
          <w:p w14:paraId="2E8583EC"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12.5 ± 0.5</w:t>
            </w:r>
          </w:p>
        </w:tc>
        <w:tc>
          <w:tcPr>
            <w:tcW w:w="0" w:type="auto"/>
            <w:vAlign w:val="center"/>
            <w:hideMark/>
          </w:tcPr>
          <w:p w14:paraId="5322B7A5"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17.5 ± 0.6</w:t>
            </w:r>
          </w:p>
        </w:tc>
      </w:tr>
      <w:tr w:rsidR="00C66EAC" w:rsidRPr="008264CA" w14:paraId="3FDF0DCC" w14:textId="77777777" w:rsidTr="000F69F7">
        <w:trPr>
          <w:trHeight w:val="413"/>
        </w:trPr>
        <w:tc>
          <w:tcPr>
            <w:tcW w:w="0" w:type="auto"/>
            <w:shd w:val="clear" w:color="000000" w:fill="FFF2CC"/>
            <w:vAlign w:val="center"/>
            <w:hideMark/>
          </w:tcPr>
          <w:p w14:paraId="7D2DB2BF"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TSS (°Brix)</w:t>
            </w:r>
          </w:p>
        </w:tc>
        <w:tc>
          <w:tcPr>
            <w:tcW w:w="0" w:type="auto"/>
            <w:vAlign w:val="center"/>
            <w:hideMark/>
          </w:tcPr>
          <w:p w14:paraId="5D2F3E80"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10.11 ± 0.01</w:t>
            </w:r>
          </w:p>
        </w:tc>
        <w:tc>
          <w:tcPr>
            <w:tcW w:w="0" w:type="auto"/>
            <w:vAlign w:val="center"/>
            <w:hideMark/>
          </w:tcPr>
          <w:p w14:paraId="787D8ABD"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14.2 ± 0.3</w:t>
            </w:r>
          </w:p>
        </w:tc>
        <w:tc>
          <w:tcPr>
            <w:tcW w:w="0" w:type="auto"/>
            <w:vAlign w:val="center"/>
            <w:hideMark/>
          </w:tcPr>
          <w:p w14:paraId="0340777D"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17.2 ± 0.4</w:t>
            </w:r>
          </w:p>
        </w:tc>
        <w:tc>
          <w:tcPr>
            <w:tcW w:w="0" w:type="auto"/>
            <w:vAlign w:val="center"/>
            <w:hideMark/>
          </w:tcPr>
          <w:p w14:paraId="5B34AF94"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16.0 ± 0.2</w:t>
            </w:r>
          </w:p>
        </w:tc>
        <w:tc>
          <w:tcPr>
            <w:tcW w:w="0" w:type="auto"/>
            <w:vAlign w:val="center"/>
            <w:hideMark/>
          </w:tcPr>
          <w:p w14:paraId="0F40B150"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16.5 ± 0.3</w:t>
            </w:r>
          </w:p>
        </w:tc>
      </w:tr>
      <w:tr w:rsidR="00C66EAC" w:rsidRPr="008264CA" w14:paraId="775039FB" w14:textId="77777777" w:rsidTr="000F69F7">
        <w:trPr>
          <w:trHeight w:val="426"/>
        </w:trPr>
        <w:tc>
          <w:tcPr>
            <w:tcW w:w="0" w:type="auto"/>
            <w:shd w:val="clear" w:color="000000" w:fill="FFF2CC"/>
            <w:vAlign w:val="center"/>
            <w:hideMark/>
          </w:tcPr>
          <w:p w14:paraId="6B212CBD"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Acidity (%)</w:t>
            </w:r>
          </w:p>
        </w:tc>
        <w:tc>
          <w:tcPr>
            <w:tcW w:w="0" w:type="auto"/>
            <w:vAlign w:val="center"/>
            <w:hideMark/>
          </w:tcPr>
          <w:p w14:paraId="72BE427F"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0.42 ± 0.05</w:t>
            </w:r>
          </w:p>
        </w:tc>
        <w:tc>
          <w:tcPr>
            <w:tcW w:w="0" w:type="auto"/>
            <w:vAlign w:val="center"/>
            <w:hideMark/>
          </w:tcPr>
          <w:p w14:paraId="0809FB73"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0.90 ± 0.02</w:t>
            </w:r>
          </w:p>
        </w:tc>
        <w:tc>
          <w:tcPr>
            <w:tcW w:w="0" w:type="auto"/>
            <w:vAlign w:val="center"/>
            <w:hideMark/>
          </w:tcPr>
          <w:p w14:paraId="02002141"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0.82 ± 0.02</w:t>
            </w:r>
          </w:p>
        </w:tc>
        <w:tc>
          <w:tcPr>
            <w:tcW w:w="0" w:type="auto"/>
            <w:vAlign w:val="center"/>
            <w:hideMark/>
          </w:tcPr>
          <w:p w14:paraId="5A08701C"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1.65 ± 0.05</w:t>
            </w:r>
          </w:p>
        </w:tc>
        <w:tc>
          <w:tcPr>
            <w:tcW w:w="0" w:type="auto"/>
            <w:vAlign w:val="center"/>
            <w:hideMark/>
          </w:tcPr>
          <w:p w14:paraId="10C1D68B"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0.42 ± 0.02</w:t>
            </w:r>
          </w:p>
        </w:tc>
      </w:tr>
      <w:tr w:rsidR="00C66EAC" w:rsidRPr="008264CA" w14:paraId="7436D45A" w14:textId="77777777" w:rsidTr="000F69F7">
        <w:trPr>
          <w:trHeight w:val="527"/>
        </w:trPr>
        <w:tc>
          <w:tcPr>
            <w:tcW w:w="0" w:type="auto"/>
            <w:shd w:val="clear" w:color="000000" w:fill="FFF2CC"/>
            <w:vAlign w:val="center"/>
            <w:hideMark/>
          </w:tcPr>
          <w:p w14:paraId="5BCD47D2"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lastRenderedPageBreak/>
              <w:t>Ascorbic acid (mg/100 g)</w:t>
            </w:r>
          </w:p>
        </w:tc>
        <w:tc>
          <w:tcPr>
            <w:tcW w:w="0" w:type="auto"/>
            <w:vAlign w:val="center"/>
            <w:hideMark/>
          </w:tcPr>
          <w:p w14:paraId="6D492405"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131.5 ± 0.9</w:t>
            </w:r>
          </w:p>
        </w:tc>
        <w:tc>
          <w:tcPr>
            <w:tcW w:w="0" w:type="auto"/>
            <w:vAlign w:val="center"/>
            <w:hideMark/>
          </w:tcPr>
          <w:p w14:paraId="29F7C0C4"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18.5 ± 0.6</w:t>
            </w:r>
          </w:p>
        </w:tc>
        <w:tc>
          <w:tcPr>
            <w:tcW w:w="0" w:type="auto"/>
            <w:vAlign w:val="center"/>
            <w:hideMark/>
          </w:tcPr>
          <w:p w14:paraId="20AAD6E1"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21.2 ± 0.8</w:t>
            </w:r>
          </w:p>
        </w:tc>
        <w:tc>
          <w:tcPr>
            <w:tcW w:w="0" w:type="auto"/>
            <w:vAlign w:val="center"/>
            <w:hideMark/>
          </w:tcPr>
          <w:p w14:paraId="550227A4"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8.96 ± 0.3</w:t>
            </w:r>
          </w:p>
        </w:tc>
        <w:tc>
          <w:tcPr>
            <w:tcW w:w="0" w:type="auto"/>
            <w:vAlign w:val="center"/>
            <w:hideMark/>
          </w:tcPr>
          <w:p w14:paraId="4EB7975E"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52.8 ± 0.3</w:t>
            </w:r>
          </w:p>
        </w:tc>
      </w:tr>
      <w:tr w:rsidR="00C66EAC" w:rsidRPr="008264CA" w14:paraId="444170D3" w14:textId="77777777" w:rsidTr="000F69F7">
        <w:trPr>
          <w:trHeight w:val="363"/>
        </w:trPr>
        <w:tc>
          <w:tcPr>
            <w:tcW w:w="0" w:type="auto"/>
            <w:shd w:val="clear" w:color="000000" w:fill="FFF2CC"/>
            <w:vAlign w:val="center"/>
            <w:hideMark/>
          </w:tcPr>
          <w:p w14:paraId="767D6D6A"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Anthocyanin (mg/100 g)</w:t>
            </w:r>
          </w:p>
        </w:tc>
        <w:tc>
          <w:tcPr>
            <w:tcW w:w="0" w:type="auto"/>
            <w:vAlign w:val="center"/>
            <w:hideMark/>
          </w:tcPr>
          <w:p w14:paraId="44DB6AED"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0.59 ± 0.01</w:t>
            </w:r>
          </w:p>
        </w:tc>
        <w:tc>
          <w:tcPr>
            <w:tcW w:w="0" w:type="auto"/>
            <w:vAlign w:val="center"/>
            <w:hideMark/>
          </w:tcPr>
          <w:p w14:paraId="30A1E3D6"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135.0 ± 3.5</w:t>
            </w:r>
          </w:p>
        </w:tc>
        <w:tc>
          <w:tcPr>
            <w:tcW w:w="0" w:type="auto"/>
            <w:vAlign w:val="center"/>
            <w:hideMark/>
          </w:tcPr>
          <w:p w14:paraId="4DAE4522"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85.0 ± 2.1</w:t>
            </w:r>
          </w:p>
        </w:tc>
        <w:tc>
          <w:tcPr>
            <w:tcW w:w="0" w:type="auto"/>
            <w:vAlign w:val="center"/>
            <w:hideMark/>
          </w:tcPr>
          <w:p w14:paraId="319F12A1"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75.0 ± 2.0</w:t>
            </w:r>
          </w:p>
        </w:tc>
        <w:tc>
          <w:tcPr>
            <w:tcW w:w="0" w:type="auto"/>
            <w:vAlign w:val="center"/>
            <w:hideMark/>
          </w:tcPr>
          <w:p w14:paraId="3E9A65D5"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28.0 ± 1.2</w:t>
            </w:r>
          </w:p>
        </w:tc>
      </w:tr>
      <w:tr w:rsidR="00C66EAC" w:rsidRPr="008264CA" w14:paraId="0CAACF4D" w14:textId="77777777" w:rsidTr="000F69F7">
        <w:trPr>
          <w:trHeight w:val="464"/>
        </w:trPr>
        <w:tc>
          <w:tcPr>
            <w:tcW w:w="0" w:type="auto"/>
            <w:shd w:val="clear" w:color="000000" w:fill="FFF2CC"/>
            <w:vAlign w:val="center"/>
            <w:hideMark/>
          </w:tcPr>
          <w:p w14:paraId="1D921D54"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Reducing sugar (%)</w:t>
            </w:r>
          </w:p>
        </w:tc>
        <w:tc>
          <w:tcPr>
            <w:tcW w:w="0" w:type="auto"/>
            <w:vAlign w:val="center"/>
            <w:hideMark/>
          </w:tcPr>
          <w:p w14:paraId="097BEEB8"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3.26 ± 0.01</w:t>
            </w:r>
          </w:p>
        </w:tc>
        <w:tc>
          <w:tcPr>
            <w:tcW w:w="0" w:type="auto"/>
            <w:vAlign w:val="center"/>
            <w:hideMark/>
          </w:tcPr>
          <w:p w14:paraId="7281BC18"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7.8 ± 0.2</w:t>
            </w:r>
          </w:p>
        </w:tc>
        <w:tc>
          <w:tcPr>
            <w:tcW w:w="0" w:type="auto"/>
            <w:vAlign w:val="center"/>
            <w:hideMark/>
          </w:tcPr>
          <w:p w14:paraId="7619C7D9"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9.5 ± 0.3</w:t>
            </w:r>
          </w:p>
        </w:tc>
        <w:tc>
          <w:tcPr>
            <w:tcW w:w="0" w:type="auto"/>
            <w:vAlign w:val="center"/>
            <w:hideMark/>
          </w:tcPr>
          <w:p w14:paraId="5614B5A9"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12.0 ± 0.4</w:t>
            </w:r>
          </w:p>
        </w:tc>
        <w:tc>
          <w:tcPr>
            <w:tcW w:w="0" w:type="auto"/>
            <w:vAlign w:val="center"/>
            <w:hideMark/>
          </w:tcPr>
          <w:p w14:paraId="7389E889"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12.8 ± 0.5</w:t>
            </w:r>
          </w:p>
        </w:tc>
      </w:tr>
      <w:tr w:rsidR="00C66EAC" w:rsidRPr="008264CA" w14:paraId="4A3D7FD5" w14:textId="77777777" w:rsidTr="000F69F7">
        <w:trPr>
          <w:trHeight w:val="551"/>
        </w:trPr>
        <w:tc>
          <w:tcPr>
            <w:tcW w:w="0" w:type="auto"/>
            <w:shd w:val="clear" w:color="000000" w:fill="FFF2CC"/>
            <w:vAlign w:val="center"/>
            <w:hideMark/>
          </w:tcPr>
          <w:p w14:paraId="0FDF7672"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Nonreducing sugar (%)</w:t>
            </w:r>
          </w:p>
        </w:tc>
        <w:tc>
          <w:tcPr>
            <w:tcW w:w="0" w:type="auto"/>
            <w:vAlign w:val="center"/>
            <w:hideMark/>
          </w:tcPr>
          <w:p w14:paraId="0ACFB31B"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3.00 ± 0.02</w:t>
            </w:r>
          </w:p>
        </w:tc>
        <w:tc>
          <w:tcPr>
            <w:tcW w:w="0" w:type="auto"/>
            <w:vAlign w:val="center"/>
            <w:hideMark/>
          </w:tcPr>
          <w:p w14:paraId="5D16D56B"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2.4 ± 0.1</w:t>
            </w:r>
          </w:p>
        </w:tc>
        <w:tc>
          <w:tcPr>
            <w:tcW w:w="0" w:type="auto"/>
            <w:vAlign w:val="center"/>
            <w:hideMark/>
          </w:tcPr>
          <w:p w14:paraId="50065611"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1.8 ± 0.1</w:t>
            </w:r>
          </w:p>
        </w:tc>
        <w:tc>
          <w:tcPr>
            <w:tcW w:w="0" w:type="auto"/>
            <w:vAlign w:val="center"/>
            <w:hideMark/>
          </w:tcPr>
          <w:p w14:paraId="1E20AF1B"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1.0 ± 0.0</w:t>
            </w:r>
          </w:p>
        </w:tc>
        <w:tc>
          <w:tcPr>
            <w:tcW w:w="0" w:type="auto"/>
            <w:vAlign w:val="center"/>
            <w:hideMark/>
          </w:tcPr>
          <w:p w14:paraId="66EA6BFC"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1.7 ± 0.1</w:t>
            </w:r>
          </w:p>
        </w:tc>
      </w:tr>
      <w:tr w:rsidR="00C66EAC" w:rsidRPr="008264CA" w14:paraId="73AF0110" w14:textId="77777777" w:rsidTr="000F69F7">
        <w:trPr>
          <w:trHeight w:val="413"/>
        </w:trPr>
        <w:tc>
          <w:tcPr>
            <w:tcW w:w="0" w:type="auto"/>
            <w:shd w:val="clear" w:color="000000" w:fill="FFF2CC"/>
            <w:vAlign w:val="center"/>
            <w:hideMark/>
          </w:tcPr>
          <w:p w14:paraId="345DEDB0" w14:textId="77777777" w:rsidR="00C66EAC" w:rsidRPr="008264CA" w:rsidRDefault="00C66EAC" w:rsidP="000F69F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264CA">
              <w:rPr>
                <w:rFonts w:ascii="Times New Roman" w:eastAsia="Times New Roman" w:hAnsi="Times New Roman" w:cs="Times New Roman"/>
                <w:b/>
                <w:bCs/>
                <w:color w:val="000000"/>
                <w:kern w:val="0"/>
                <w:sz w:val="24"/>
                <w:szCs w:val="24"/>
                <w:lang w:eastAsia="en-IN"/>
                <w14:ligatures w14:val="none"/>
              </w:rPr>
              <w:t>Total sugar (%)</w:t>
            </w:r>
          </w:p>
        </w:tc>
        <w:tc>
          <w:tcPr>
            <w:tcW w:w="0" w:type="auto"/>
            <w:vAlign w:val="center"/>
            <w:hideMark/>
          </w:tcPr>
          <w:p w14:paraId="12745494"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6.26 ± 0.01</w:t>
            </w:r>
          </w:p>
        </w:tc>
        <w:tc>
          <w:tcPr>
            <w:tcW w:w="0" w:type="auto"/>
            <w:vAlign w:val="center"/>
            <w:hideMark/>
          </w:tcPr>
          <w:p w14:paraId="13DD6ADD"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10.5 ± 0.3</w:t>
            </w:r>
          </w:p>
        </w:tc>
        <w:tc>
          <w:tcPr>
            <w:tcW w:w="0" w:type="auto"/>
            <w:vAlign w:val="center"/>
            <w:hideMark/>
          </w:tcPr>
          <w:p w14:paraId="3059637F"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11.3 ± 0.4</w:t>
            </w:r>
          </w:p>
        </w:tc>
        <w:tc>
          <w:tcPr>
            <w:tcW w:w="0" w:type="auto"/>
            <w:vAlign w:val="center"/>
            <w:hideMark/>
          </w:tcPr>
          <w:p w14:paraId="704AD65A"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13.0 ± 0.4</w:t>
            </w:r>
          </w:p>
        </w:tc>
        <w:tc>
          <w:tcPr>
            <w:tcW w:w="0" w:type="auto"/>
            <w:vAlign w:val="center"/>
            <w:hideMark/>
          </w:tcPr>
          <w:p w14:paraId="020E2506" w14:textId="77777777" w:rsidR="00C66EAC" w:rsidRPr="008264CA" w:rsidRDefault="00C66EAC" w:rsidP="000F69F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264CA">
              <w:rPr>
                <w:rFonts w:ascii="Times New Roman" w:eastAsia="Times New Roman" w:hAnsi="Times New Roman" w:cs="Times New Roman"/>
                <w:color w:val="000000"/>
                <w:kern w:val="0"/>
                <w:sz w:val="24"/>
                <w:szCs w:val="24"/>
                <w:lang w:eastAsia="en-IN"/>
                <w14:ligatures w14:val="none"/>
              </w:rPr>
              <w:t>14.5 ± 0.3</w:t>
            </w:r>
          </w:p>
        </w:tc>
      </w:tr>
    </w:tbl>
    <w:p w14:paraId="754BED4E" w14:textId="77777777" w:rsidR="00C66EAC" w:rsidRPr="00F971C7" w:rsidRDefault="00C66EAC" w:rsidP="007D430C">
      <w:pPr>
        <w:ind w:firstLine="720"/>
        <w:jc w:val="both"/>
        <w:rPr>
          <w:rFonts w:ascii="Times New Roman" w:hAnsi="Times New Roman" w:cs="Times New Roman"/>
          <w:sz w:val="24"/>
          <w:szCs w:val="24"/>
        </w:rPr>
      </w:pPr>
    </w:p>
    <w:p w14:paraId="34D161FB" w14:textId="77777777" w:rsidR="00E222E2" w:rsidRPr="00F971C7" w:rsidRDefault="00FB2619" w:rsidP="00FB2619">
      <w:pPr>
        <w:rPr>
          <w:rFonts w:ascii="Times New Roman" w:hAnsi="Times New Roman" w:cs="Times New Roman"/>
          <w:sz w:val="24"/>
          <w:szCs w:val="24"/>
        </w:rPr>
      </w:pPr>
      <w:r w:rsidRPr="00F971C7">
        <w:rPr>
          <w:rFonts w:ascii="Times New Roman" w:hAnsi="Times New Roman" w:cs="Times New Roman"/>
          <w:b/>
          <w:bCs/>
          <w:sz w:val="24"/>
          <w:szCs w:val="24"/>
        </w:rPr>
        <w:t>3.2. Optimization of Fruit Blending Ratios</w:t>
      </w:r>
      <w:r w:rsidRPr="00F971C7">
        <w:rPr>
          <w:rFonts w:ascii="Times New Roman" w:hAnsi="Times New Roman" w:cs="Times New Roman"/>
          <w:sz w:val="24"/>
          <w:szCs w:val="24"/>
        </w:rPr>
        <w:br/>
      </w:r>
    </w:p>
    <w:p w14:paraId="4F278EC3" w14:textId="422F8A17" w:rsidR="00FB2619" w:rsidRPr="00F971C7" w:rsidRDefault="00FB2619" w:rsidP="00E222E2">
      <w:pPr>
        <w:ind w:firstLine="720"/>
        <w:jc w:val="both"/>
        <w:rPr>
          <w:rFonts w:ascii="Times New Roman" w:hAnsi="Times New Roman" w:cs="Times New Roman"/>
          <w:sz w:val="24"/>
          <w:szCs w:val="24"/>
        </w:rPr>
      </w:pPr>
      <w:r w:rsidRPr="00F971C7">
        <w:rPr>
          <w:rFonts w:ascii="Times New Roman" w:hAnsi="Times New Roman" w:cs="Times New Roman"/>
          <w:sz w:val="24"/>
          <w:szCs w:val="24"/>
        </w:rPr>
        <w:t>Sensory evaluation of beverages prepared with different guava-to-other fruit ratios was crucial for identifying the most palatable blend. The results demonstrated a clear preference for formulations with a higher proportion of guava. Across RTS, nectar, and squash categories, the 75:25 (guava:other fruit) blending ratio consistently achieved the highest scores for appearance, taste, aroma, mouthfeel, and overall acceptability.</w:t>
      </w:r>
    </w:p>
    <w:p w14:paraId="3B9CB92A" w14:textId="77777777" w:rsidR="00FB2619" w:rsidRDefault="00FB2619" w:rsidP="007D430C">
      <w:pPr>
        <w:ind w:firstLine="720"/>
        <w:jc w:val="both"/>
        <w:rPr>
          <w:rFonts w:ascii="Times New Roman" w:hAnsi="Times New Roman" w:cs="Times New Roman"/>
          <w:sz w:val="24"/>
          <w:szCs w:val="24"/>
        </w:rPr>
      </w:pPr>
      <w:r w:rsidRPr="00F971C7">
        <w:rPr>
          <w:rFonts w:ascii="Times New Roman" w:hAnsi="Times New Roman" w:cs="Times New Roman"/>
          <w:sz w:val="24"/>
          <w:szCs w:val="24"/>
        </w:rPr>
        <w:t>The superior performance of the 75:25 blend can be attributed to several factors. Guava possesses a mild, pleasant, and universally appealing aroma and flavor profile, primarily from volatile compounds like esters and aldehydes. When used as the dominant base (75%), it provides a smooth, fruity backdrop that complements rather than is overpowered by the stronger, often tangier or more astringent, notes of fruits like jamun and phalsa. Furthermore, guava's higher pulp content contributes to a desirable mouthfeel and body, giving the beverage a richer, smoother texture compared to blends with lower guava content. In 50:50 or 25:75 blends, the sensory characteristics of the secondary fruit became more dominant, which, while potentially interesting, often led to a less balanced and sometimes overly sharp or bitter profile, reducing overall acceptability. This finding aligns with studies by Rashid et al. (2018), who emphasized that a well-chosen base fruit is critical for achieving a harmonious flavor in blended beverages.</w:t>
      </w:r>
    </w:p>
    <w:p w14:paraId="34705A82" w14:textId="5C76D613" w:rsidR="00BC2D2F" w:rsidRPr="009D7407" w:rsidRDefault="00BC2D2F" w:rsidP="00BC2D2F">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9D7407">
        <w:rPr>
          <w:rFonts w:ascii="Times New Roman" w:eastAsia="Times New Roman" w:hAnsi="Times New Roman" w:cs="Times New Roman"/>
          <w:b/>
          <w:bCs/>
          <w:kern w:val="0"/>
          <w:sz w:val="24"/>
          <w:szCs w:val="24"/>
          <w:lang w:eastAsia="en-IN"/>
          <w14:ligatures w14:val="none"/>
        </w:rPr>
        <w:t xml:space="preserve">Table 2. Sensory evaluation of </w:t>
      </w:r>
      <w:r w:rsidRPr="009D7407">
        <w:rPr>
          <w:rFonts w:ascii="Times New Roman" w:eastAsia="Times New Roman" w:hAnsi="Times New Roman" w:cs="Times New Roman"/>
          <w:b/>
          <w:bCs/>
          <w:i/>
          <w:iCs/>
          <w:kern w:val="0"/>
          <w:sz w:val="24"/>
          <w:szCs w:val="24"/>
          <w:lang w:eastAsia="en-IN"/>
          <w14:ligatures w14:val="none"/>
        </w:rPr>
        <w:t>ReadytoServe (RTS) beverages</w:t>
      </w:r>
      <w:r w:rsidRPr="009D7407">
        <w:rPr>
          <w:rFonts w:ascii="Times New Roman" w:eastAsia="Times New Roman" w:hAnsi="Times New Roman" w:cs="Times New Roman"/>
          <w:b/>
          <w:bCs/>
          <w:kern w:val="0"/>
          <w:sz w:val="24"/>
          <w:szCs w:val="24"/>
          <w:lang w:eastAsia="en-IN"/>
          <w14:ligatures w14:val="none"/>
        </w:rPr>
        <w:t xml:space="preserve"> prepared with different guava–fruit blending ratios and sugar–stevia combinations.</w:t>
      </w:r>
    </w:p>
    <w:tbl>
      <w:tblPr>
        <w:tblStyle w:val="TableGrid"/>
        <w:tblW w:w="9756" w:type="dxa"/>
        <w:jc w:val="center"/>
        <w:tblLayout w:type="fixed"/>
        <w:tblLook w:val="04A0" w:firstRow="1" w:lastRow="0" w:firstColumn="1" w:lastColumn="0" w:noHBand="0" w:noVBand="1"/>
      </w:tblPr>
      <w:tblGrid>
        <w:gridCol w:w="1375"/>
        <w:gridCol w:w="1227"/>
        <w:gridCol w:w="1381"/>
        <w:gridCol w:w="1115"/>
        <w:gridCol w:w="1124"/>
        <w:gridCol w:w="1144"/>
        <w:gridCol w:w="1134"/>
        <w:gridCol w:w="1256"/>
      </w:tblGrid>
      <w:tr w:rsidR="00BC2D2F" w:rsidRPr="009D7407" w14:paraId="4E18B4BF" w14:textId="77777777" w:rsidTr="00BC2D2F">
        <w:trPr>
          <w:trHeight w:val="611"/>
          <w:jc w:val="center"/>
        </w:trPr>
        <w:tc>
          <w:tcPr>
            <w:tcW w:w="1375" w:type="dxa"/>
            <w:hideMark/>
          </w:tcPr>
          <w:p w14:paraId="554D026B" w14:textId="77777777" w:rsidR="00BC2D2F" w:rsidRPr="00BC2D2F" w:rsidRDefault="00BC2D2F" w:rsidP="000F69F7">
            <w:pPr>
              <w:spacing w:line="360" w:lineRule="auto"/>
              <w:jc w:val="center"/>
              <w:rPr>
                <w:rFonts w:ascii="Times New Roman" w:eastAsia="Times New Roman" w:hAnsi="Times New Roman" w:cs="Times New Roman"/>
                <w:b/>
                <w:bCs/>
                <w:kern w:val="0"/>
                <w:sz w:val="20"/>
                <w:szCs w:val="20"/>
                <w:lang w:eastAsia="en-IN"/>
                <w14:ligatures w14:val="none"/>
              </w:rPr>
            </w:pPr>
            <w:r w:rsidRPr="00BC2D2F">
              <w:rPr>
                <w:rFonts w:ascii="Times New Roman" w:eastAsia="Times New Roman" w:hAnsi="Times New Roman" w:cs="Times New Roman"/>
                <w:b/>
                <w:bCs/>
                <w:kern w:val="0"/>
                <w:sz w:val="20"/>
                <w:szCs w:val="20"/>
                <w:lang w:eastAsia="en-IN"/>
                <w14:ligatures w14:val="none"/>
              </w:rPr>
              <w:t xml:space="preserve">Blend </w:t>
            </w:r>
            <w:r w:rsidRPr="00BC2D2F">
              <w:rPr>
                <w:rFonts w:ascii="Times New Roman" w:eastAsia="Times New Roman" w:hAnsi="Times New Roman" w:cs="Times New Roman"/>
                <w:b/>
                <w:bCs/>
                <w:kern w:val="0"/>
                <w:sz w:val="18"/>
                <w:szCs w:val="18"/>
                <w:lang w:eastAsia="en-IN"/>
                <w14:ligatures w14:val="none"/>
              </w:rPr>
              <w:t>(Guava:Other)</w:t>
            </w:r>
          </w:p>
        </w:tc>
        <w:tc>
          <w:tcPr>
            <w:tcW w:w="1227" w:type="dxa"/>
            <w:hideMark/>
          </w:tcPr>
          <w:p w14:paraId="0662B0DF" w14:textId="77777777" w:rsidR="00BC2D2F" w:rsidRPr="00BC2D2F" w:rsidRDefault="00BC2D2F" w:rsidP="000F69F7">
            <w:pPr>
              <w:spacing w:line="360" w:lineRule="auto"/>
              <w:jc w:val="center"/>
              <w:rPr>
                <w:rFonts w:ascii="Times New Roman" w:eastAsia="Times New Roman" w:hAnsi="Times New Roman" w:cs="Times New Roman"/>
                <w:b/>
                <w:bCs/>
                <w:kern w:val="0"/>
                <w:sz w:val="20"/>
                <w:szCs w:val="20"/>
                <w:lang w:eastAsia="en-IN"/>
                <w14:ligatures w14:val="none"/>
              </w:rPr>
            </w:pPr>
            <w:r w:rsidRPr="00BC2D2F">
              <w:rPr>
                <w:rFonts w:ascii="Times New Roman" w:eastAsia="Times New Roman" w:hAnsi="Times New Roman" w:cs="Times New Roman"/>
                <w:b/>
                <w:bCs/>
                <w:kern w:val="0"/>
                <w:sz w:val="20"/>
                <w:szCs w:val="20"/>
                <w:lang w:eastAsia="en-IN"/>
                <w14:ligatures w14:val="none"/>
              </w:rPr>
              <w:t>Sweetener</w:t>
            </w:r>
          </w:p>
        </w:tc>
        <w:tc>
          <w:tcPr>
            <w:tcW w:w="1381" w:type="dxa"/>
            <w:hideMark/>
          </w:tcPr>
          <w:p w14:paraId="13280101" w14:textId="77777777" w:rsidR="00BC2D2F" w:rsidRPr="00BC2D2F" w:rsidRDefault="00BC2D2F" w:rsidP="000F69F7">
            <w:pPr>
              <w:spacing w:line="360" w:lineRule="auto"/>
              <w:jc w:val="center"/>
              <w:rPr>
                <w:rFonts w:ascii="Times New Roman" w:eastAsia="Times New Roman" w:hAnsi="Times New Roman" w:cs="Times New Roman"/>
                <w:b/>
                <w:bCs/>
                <w:kern w:val="0"/>
                <w:sz w:val="20"/>
                <w:szCs w:val="20"/>
                <w:lang w:eastAsia="en-IN"/>
                <w14:ligatures w14:val="none"/>
              </w:rPr>
            </w:pPr>
            <w:r w:rsidRPr="00BC2D2F">
              <w:rPr>
                <w:rFonts w:ascii="Times New Roman" w:eastAsia="Times New Roman" w:hAnsi="Times New Roman" w:cs="Times New Roman"/>
                <w:b/>
                <w:bCs/>
                <w:kern w:val="0"/>
                <w:sz w:val="20"/>
                <w:szCs w:val="20"/>
                <w:lang w:eastAsia="en-IN"/>
                <w14:ligatures w14:val="none"/>
              </w:rPr>
              <w:t>Appearance</w:t>
            </w:r>
          </w:p>
        </w:tc>
        <w:tc>
          <w:tcPr>
            <w:tcW w:w="1115" w:type="dxa"/>
            <w:hideMark/>
          </w:tcPr>
          <w:p w14:paraId="00BB3A5D" w14:textId="77777777" w:rsidR="00BC2D2F" w:rsidRPr="00BC2D2F" w:rsidRDefault="00BC2D2F" w:rsidP="000F69F7">
            <w:pPr>
              <w:spacing w:line="360" w:lineRule="auto"/>
              <w:jc w:val="center"/>
              <w:rPr>
                <w:rFonts w:ascii="Times New Roman" w:eastAsia="Times New Roman" w:hAnsi="Times New Roman" w:cs="Times New Roman"/>
                <w:b/>
                <w:bCs/>
                <w:kern w:val="0"/>
                <w:sz w:val="20"/>
                <w:szCs w:val="20"/>
                <w:lang w:eastAsia="en-IN"/>
                <w14:ligatures w14:val="none"/>
              </w:rPr>
            </w:pPr>
            <w:r w:rsidRPr="00BC2D2F">
              <w:rPr>
                <w:rFonts w:ascii="Times New Roman" w:eastAsia="Times New Roman" w:hAnsi="Times New Roman" w:cs="Times New Roman"/>
                <w:b/>
                <w:bCs/>
                <w:kern w:val="0"/>
                <w:sz w:val="20"/>
                <w:szCs w:val="20"/>
                <w:lang w:eastAsia="en-IN"/>
                <w14:ligatures w14:val="none"/>
              </w:rPr>
              <w:t>Color</w:t>
            </w:r>
          </w:p>
        </w:tc>
        <w:tc>
          <w:tcPr>
            <w:tcW w:w="1124" w:type="dxa"/>
            <w:hideMark/>
          </w:tcPr>
          <w:p w14:paraId="29BAC1B3" w14:textId="77777777" w:rsidR="00BC2D2F" w:rsidRPr="00BC2D2F" w:rsidRDefault="00BC2D2F" w:rsidP="000F69F7">
            <w:pPr>
              <w:spacing w:line="360" w:lineRule="auto"/>
              <w:jc w:val="center"/>
              <w:rPr>
                <w:rFonts w:ascii="Times New Roman" w:eastAsia="Times New Roman" w:hAnsi="Times New Roman" w:cs="Times New Roman"/>
                <w:b/>
                <w:bCs/>
                <w:kern w:val="0"/>
                <w:sz w:val="20"/>
                <w:szCs w:val="20"/>
                <w:lang w:eastAsia="en-IN"/>
                <w14:ligatures w14:val="none"/>
              </w:rPr>
            </w:pPr>
            <w:r w:rsidRPr="00BC2D2F">
              <w:rPr>
                <w:rFonts w:ascii="Times New Roman" w:eastAsia="Times New Roman" w:hAnsi="Times New Roman" w:cs="Times New Roman"/>
                <w:b/>
                <w:bCs/>
                <w:kern w:val="0"/>
                <w:sz w:val="20"/>
                <w:szCs w:val="20"/>
                <w:lang w:eastAsia="en-IN"/>
                <w14:ligatures w14:val="none"/>
              </w:rPr>
              <w:t>Taste</w:t>
            </w:r>
          </w:p>
        </w:tc>
        <w:tc>
          <w:tcPr>
            <w:tcW w:w="1144" w:type="dxa"/>
            <w:hideMark/>
          </w:tcPr>
          <w:p w14:paraId="7CA5C78B" w14:textId="77777777" w:rsidR="00BC2D2F" w:rsidRPr="00BC2D2F" w:rsidRDefault="00BC2D2F" w:rsidP="000F69F7">
            <w:pPr>
              <w:spacing w:line="360" w:lineRule="auto"/>
              <w:jc w:val="center"/>
              <w:rPr>
                <w:rFonts w:ascii="Times New Roman" w:eastAsia="Times New Roman" w:hAnsi="Times New Roman" w:cs="Times New Roman"/>
                <w:b/>
                <w:bCs/>
                <w:kern w:val="0"/>
                <w:sz w:val="20"/>
                <w:szCs w:val="20"/>
                <w:lang w:eastAsia="en-IN"/>
                <w14:ligatures w14:val="none"/>
              </w:rPr>
            </w:pPr>
            <w:r w:rsidRPr="00BC2D2F">
              <w:rPr>
                <w:rFonts w:ascii="Times New Roman" w:eastAsia="Times New Roman" w:hAnsi="Times New Roman" w:cs="Times New Roman"/>
                <w:b/>
                <w:bCs/>
                <w:kern w:val="0"/>
                <w:sz w:val="20"/>
                <w:szCs w:val="20"/>
                <w:lang w:eastAsia="en-IN"/>
                <w14:ligatures w14:val="none"/>
              </w:rPr>
              <w:t>Aroma</w:t>
            </w:r>
          </w:p>
        </w:tc>
        <w:tc>
          <w:tcPr>
            <w:tcW w:w="1134" w:type="dxa"/>
            <w:hideMark/>
          </w:tcPr>
          <w:p w14:paraId="7EE50AD4" w14:textId="77777777" w:rsidR="00BC2D2F" w:rsidRPr="00BC2D2F" w:rsidRDefault="00BC2D2F" w:rsidP="000F69F7">
            <w:pPr>
              <w:spacing w:line="360" w:lineRule="auto"/>
              <w:jc w:val="center"/>
              <w:rPr>
                <w:rFonts w:ascii="Times New Roman" w:eastAsia="Times New Roman" w:hAnsi="Times New Roman" w:cs="Times New Roman"/>
                <w:b/>
                <w:bCs/>
                <w:kern w:val="0"/>
                <w:sz w:val="20"/>
                <w:szCs w:val="20"/>
                <w:lang w:eastAsia="en-IN"/>
                <w14:ligatures w14:val="none"/>
              </w:rPr>
            </w:pPr>
            <w:r w:rsidRPr="00BC2D2F">
              <w:rPr>
                <w:rFonts w:ascii="Times New Roman" w:eastAsia="Times New Roman" w:hAnsi="Times New Roman" w:cs="Times New Roman"/>
                <w:b/>
                <w:bCs/>
                <w:kern w:val="0"/>
                <w:sz w:val="20"/>
                <w:szCs w:val="20"/>
                <w:lang w:eastAsia="en-IN"/>
                <w14:ligatures w14:val="none"/>
              </w:rPr>
              <w:t>Mouthfeel</w:t>
            </w:r>
          </w:p>
        </w:tc>
        <w:tc>
          <w:tcPr>
            <w:tcW w:w="1256" w:type="dxa"/>
            <w:hideMark/>
          </w:tcPr>
          <w:p w14:paraId="33DD5BD4" w14:textId="77777777" w:rsidR="00BC2D2F" w:rsidRPr="00BC2D2F" w:rsidRDefault="00BC2D2F" w:rsidP="000F69F7">
            <w:pPr>
              <w:spacing w:line="360" w:lineRule="auto"/>
              <w:jc w:val="center"/>
              <w:rPr>
                <w:rFonts w:ascii="Times New Roman" w:eastAsia="Times New Roman" w:hAnsi="Times New Roman" w:cs="Times New Roman"/>
                <w:b/>
                <w:bCs/>
                <w:kern w:val="0"/>
                <w:sz w:val="20"/>
                <w:szCs w:val="20"/>
                <w:lang w:eastAsia="en-IN"/>
                <w14:ligatures w14:val="none"/>
              </w:rPr>
            </w:pPr>
            <w:r w:rsidRPr="00BC2D2F">
              <w:rPr>
                <w:rFonts w:ascii="Times New Roman" w:eastAsia="Times New Roman" w:hAnsi="Times New Roman" w:cs="Times New Roman"/>
                <w:b/>
                <w:bCs/>
                <w:kern w:val="0"/>
                <w:sz w:val="20"/>
                <w:szCs w:val="20"/>
                <w:lang w:eastAsia="en-IN"/>
                <w14:ligatures w14:val="none"/>
              </w:rPr>
              <w:t xml:space="preserve">Overall </w:t>
            </w:r>
            <w:r w:rsidRPr="00BC2D2F">
              <w:rPr>
                <w:rFonts w:ascii="Times New Roman" w:eastAsia="Times New Roman" w:hAnsi="Times New Roman" w:cs="Times New Roman"/>
                <w:b/>
                <w:bCs/>
                <w:kern w:val="0"/>
                <w:sz w:val="18"/>
                <w:szCs w:val="18"/>
                <w:lang w:eastAsia="en-IN"/>
                <w14:ligatures w14:val="none"/>
              </w:rPr>
              <w:t>Acceptability</w:t>
            </w:r>
          </w:p>
        </w:tc>
      </w:tr>
      <w:tr w:rsidR="00BC2D2F" w:rsidRPr="009D7407" w14:paraId="7A0BBC58" w14:textId="77777777" w:rsidTr="00BC2D2F">
        <w:trPr>
          <w:trHeight w:val="597"/>
          <w:jc w:val="center"/>
        </w:trPr>
        <w:tc>
          <w:tcPr>
            <w:tcW w:w="1375" w:type="dxa"/>
            <w:hideMark/>
          </w:tcPr>
          <w:p w14:paraId="24DAF056"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25:75</w:t>
            </w:r>
          </w:p>
        </w:tc>
        <w:tc>
          <w:tcPr>
            <w:tcW w:w="1227" w:type="dxa"/>
            <w:hideMark/>
          </w:tcPr>
          <w:p w14:paraId="7E42CAC3"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S100</w:t>
            </w:r>
          </w:p>
        </w:tc>
        <w:tc>
          <w:tcPr>
            <w:tcW w:w="1381" w:type="dxa"/>
            <w:hideMark/>
          </w:tcPr>
          <w:p w14:paraId="63698B88"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6.1 ± 0.9</w:t>
            </w:r>
          </w:p>
        </w:tc>
        <w:tc>
          <w:tcPr>
            <w:tcW w:w="1115" w:type="dxa"/>
            <w:hideMark/>
          </w:tcPr>
          <w:p w14:paraId="631AC170"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6.2 ± 0.8</w:t>
            </w:r>
          </w:p>
        </w:tc>
        <w:tc>
          <w:tcPr>
            <w:tcW w:w="1124" w:type="dxa"/>
            <w:hideMark/>
          </w:tcPr>
          <w:p w14:paraId="147BC825"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6.4 ± 0.9</w:t>
            </w:r>
          </w:p>
        </w:tc>
        <w:tc>
          <w:tcPr>
            <w:tcW w:w="1144" w:type="dxa"/>
            <w:hideMark/>
          </w:tcPr>
          <w:p w14:paraId="6BBA00D7"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6.3 ± 0.8</w:t>
            </w:r>
          </w:p>
        </w:tc>
        <w:tc>
          <w:tcPr>
            <w:tcW w:w="1134" w:type="dxa"/>
            <w:hideMark/>
          </w:tcPr>
          <w:p w14:paraId="59BF2A4C"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6.0 ± 0.9</w:t>
            </w:r>
          </w:p>
        </w:tc>
        <w:tc>
          <w:tcPr>
            <w:tcW w:w="1256" w:type="dxa"/>
            <w:hideMark/>
          </w:tcPr>
          <w:p w14:paraId="15C6788F"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6.2 ± 0.8ᵈ</w:t>
            </w:r>
          </w:p>
        </w:tc>
      </w:tr>
      <w:tr w:rsidR="00BC2D2F" w:rsidRPr="009D7407" w14:paraId="4BEB6A5D" w14:textId="77777777" w:rsidTr="00BC2D2F">
        <w:trPr>
          <w:trHeight w:val="611"/>
          <w:jc w:val="center"/>
        </w:trPr>
        <w:tc>
          <w:tcPr>
            <w:tcW w:w="1375" w:type="dxa"/>
            <w:hideMark/>
          </w:tcPr>
          <w:p w14:paraId="2F45773A"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25:75</w:t>
            </w:r>
          </w:p>
        </w:tc>
        <w:tc>
          <w:tcPr>
            <w:tcW w:w="1227" w:type="dxa"/>
            <w:hideMark/>
          </w:tcPr>
          <w:p w14:paraId="16FBBE45"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S75St25</w:t>
            </w:r>
          </w:p>
        </w:tc>
        <w:tc>
          <w:tcPr>
            <w:tcW w:w="1381" w:type="dxa"/>
            <w:hideMark/>
          </w:tcPr>
          <w:p w14:paraId="52BF1A82"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6.5 ± 0.8</w:t>
            </w:r>
          </w:p>
        </w:tc>
        <w:tc>
          <w:tcPr>
            <w:tcW w:w="1115" w:type="dxa"/>
            <w:hideMark/>
          </w:tcPr>
          <w:p w14:paraId="0868C4F9"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6.6 ± 0.8</w:t>
            </w:r>
          </w:p>
        </w:tc>
        <w:tc>
          <w:tcPr>
            <w:tcW w:w="1124" w:type="dxa"/>
            <w:hideMark/>
          </w:tcPr>
          <w:p w14:paraId="36592C78"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6.8 ± 0.7</w:t>
            </w:r>
          </w:p>
        </w:tc>
        <w:tc>
          <w:tcPr>
            <w:tcW w:w="1144" w:type="dxa"/>
            <w:hideMark/>
          </w:tcPr>
          <w:p w14:paraId="160BD149"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6.7 ± 0.7</w:t>
            </w:r>
          </w:p>
        </w:tc>
        <w:tc>
          <w:tcPr>
            <w:tcW w:w="1134" w:type="dxa"/>
            <w:hideMark/>
          </w:tcPr>
          <w:p w14:paraId="5E68A141"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6.3 ± 0.8</w:t>
            </w:r>
          </w:p>
        </w:tc>
        <w:tc>
          <w:tcPr>
            <w:tcW w:w="1256" w:type="dxa"/>
            <w:hideMark/>
          </w:tcPr>
          <w:p w14:paraId="6EFF1C3E"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6.6 ± 0.8ᶜᵈ</w:t>
            </w:r>
          </w:p>
        </w:tc>
      </w:tr>
      <w:tr w:rsidR="00BC2D2F" w:rsidRPr="009D7407" w14:paraId="7A8EC15E" w14:textId="77777777" w:rsidTr="00BC2D2F">
        <w:trPr>
          <w:trHeight w:val="597"/>
          <w:jc w:val="center"/>
        </w:trPr>
        <w:tc>
          <w:tcPr>
            <w:tcW w:w="1375" w:type="dxa"/>
            <w:hideMark/>
          </w:tcPr>
          <w:p w14:paraId="215C44BC"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25:75</w:t>
            </w:r>
          </w:p>
        </w:tc>
        <w:tc>
          <w:tcPr>
            <w:tcW w:w="1227" w:type="dxa"/>
            <w:hideMark/>
          </w:tcPr>
          <w:p w14:paraId="6BC596B1"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S50St50</w:t>
            </w:r>
          </w:p>
        </w:tc>
        <w:tc>
          <w:tcPr>
            <w:tcW w:w="1381" w:type="dxa"/>
            <w:hideMark/>
          </w:tcPr>
          <w:p w14:paraId="1632FF90"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6.8 ± 0.7</w:t>
            </w:r>
          </w:p>
        </w:tc>
        <w:tc>
          <w:tcPr>
            <w:tcW w:w="1115" w:type="dxa"/>
            <w:hideMark/>
          </w:tcPr>
          <w:p w14:paraId="3D82E325"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6.9 ± 0.7</w:t>
            </w:r>
          </w:p>
        </w:tc>
        <w:tc>
          <w:tcPr>
            <w:tcW w:w="1124" w:type="dxa"/>
            <w:hideMark/>
          </w:tcPr>
          <w:p w14:paraId="6150E63F"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7.0 ± 0.6</w:t>
            </w:r>
          </w:p>
        </w:tc>
        <w:tc>
          <w:tcPr>
            <w:tcW w:w="1144" w:type="dxa"/>
            <w:hideMark/>
          </w:tcPr>
          <w:p w14:paraId="779DD6A0"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6.9 ± 0.7</w:t>
            </w:r>
          </w:p>
        </w:tc>
        <w:tc>
          <w:tcPr>
            <w:tcW w:w="1134" w:type="dxa"/>
            <w:hideMark/>
          </w:tcPr>
          <w:p w14:paraId="7D3FACDC"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6.5 ± 0.7</w:t>
            </w:r>
          </w:p>
        </w:tc>
        <w:tc>
          <w:tcPr>
            <w:tcW w:w="1256" w:type="dxa"/>
            <w:hideMark/>
          </w:tcPr>
          <w:p w14:paraId="0ED77421"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6.8 ± 0.7ᶜ</w:t>
            </w:r>
          </w:p>
        </w:tc>
      </w:tr>
      <w:tr w:rsidR="00BC2D2F" w:rsidRPr="009D7407" w14:paraId="0337724A" w14:textId="77777777" w:rsidTr="00BC2D2F">
        <w:trPr>
          <w:trHeight w:val="597"/>
          <w:jc w:val="center"/>
        </w:trPr>
        <w:tc>
          <w:tcPr>
            <w:tcW w:w="1375" w:type="dxa"/>
            <w:hideMark/>
          </w:tcPr>
          <w:p w14:paraId="519D39DE"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25:75</w:t>
            </w:r>
          </w:p>
        </w:tc>
        <w:tc>
          <w:tcPr>
            <w:tcW w:w="1227" w:type="dxa"/>
            <w:hideMark/>
          </w:tcPr>
          <w:p w14:paraId="17C1EA45"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S25St75</w:t>
            </w:r>
          </w:p>
        </w:tc>
        <w:tc>
          <w:tcPr>
            <w:tcW w:w="1381" w:type="dxa"/>
            <w:hideMark/>
          </w:tcPr>
          <w:p w14:paraId="05450CC5"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6.4 ± 0.9</w:t>
            </w:r>
          </w:p>
        </w:tc>
        <w:tc>
          <w:tcPr>
            <w:tcW w:w="1115" w:type="dxa"/>
            <w:hideMark/>
          </w:tcPr>
          <w:p w14:paraId="4507A1C8"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6.5 ± 0.9</w:t>
            </w:r>
          </w:p>
        </w:tc>
        <w:tc>
          <w:tcPr>
            <w:tcW w:w="1124" w:type="dxa"/>
            <w:hideMark/>
          </w:tcPr>
          <w:p w14:paraId="50D642AF"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6.6 ± 0.8</w:t>
            </w:r>
          </w:p>
        </w:tc>
        <w:tc>
          <w:tcPr>
            <w:tcW w:w="1144" w:type="dxa"/>
            <w:hideMark/>
          </w:tcPr>
          <w:p w14:paraId="46C902EC"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6.5 ± 0.8</w:t>
            </w:r>
          </w:p>
        </w:tc>
        <w:tc>
          <w:tcPr>
            <w:tcW w:w="1134" w:type="dxa"/>
            <w:hideMark/>
          </w:tcPr>
          <w:p w14:paraId="2881FF49"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6.2 ± 0.8</w:t>
            </w:r>
          </w:p>
        </w:tc>
        <w:tc>
          <w:tcPr>
            <w:tcW w:w="1256" w:type="dxa"/>
            <w:hideMark/>
          </w:tcPr>
          <w:p w14:paraId="1E2B6E69"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6.4 ± 0.8ᵈ</w:t>
            </w:r>
          </w:p>
        </w:tc>
      </w:tr>
      <w:tr w:rsidR="00BC2D2F" w:rsidRPr="009D7407" w14:paraId="32DCFEA2" w14:textId="77777777" w:rsidTr="00BC2D2F">
        <w:trPr>
          <w:trHeight w:val="597"/>
          <w:jc w:val="center"/>
        </w:trPr>
        <w:tc>
          <w:tcPr>
            <w:tcW w:w="1375" w:type="dxa"/>
            <w:hideMark/>
          </w:tcPr>
          <w:p w14:paraId="01282095"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lastRenderedPageBreak/>
              <w:t>25:75</w:t>
            </w:r>
          </w:p>
        </w:tc>
        <w:tc>
          <w:tcPr>
            <w:tcW w:w="1227" w:type="dxa"/>
            <w:hideMark/>
          </w:tcPr>
          <w:p w14:paraId="7B76A13C"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St100</w:t>
            </w:r>
          </w:p>
        </w:tc>
        <w:tc>
          <w:tcPr>
            <w:tcW w:w="1381" w:type="dxa"/>
            <w:hideMark/>
          </w:tcPr>
          <w:p w14:paraId="111478F9"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5.8 ± 1.0</w:t>
            </w:r>
          </w:p>
        </w:tc>
        <w:tc>
          <w:tcPr>
            <w:tcW w:w="1115" w:type="dxa"/>
            <w:hideMark/>
          </w:tcPr>
          <w:p w14:paraId="5971AAC4"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5.9 ± 0.9</w:t>
            </w:r>
          </w:p>
        </w:tc>
        <w:tc>
          <w:tcPr>
            <w:tcW w:w="1124" w:type="dxa"/>
            <w:hideMark/>
          </w:tcPr>
          <w:p w14:paraId="78B117E3"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6.0 ± 0.9</w:t>
            </w:r>
          </w:p>
        </w:tc>
        <w:tc>
          <w:tcPr>
            <w:tcW w:w="1144" w:type="dxa"/>
            <w:hideMark/>
          </w:tcPr>
          <w:p w14:paraId="3CEE54E1"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5.9 ± 0.9</w:t>
            </w:r>
          </w:p>
        </w:tc>
        <w:tc>
          <w:tcPr>
            <w:tcW w:w="1134" w:type="dxa"/>
            <w:hideMark/>
          </w:tcPr>
          <w:p w14:paraId="1E3B077E"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5.7 ± 1.0</w:t>
            </w:r>
          </w:p>
        </w:tc>
        <w:tc>
          <w:tcPr>
            <w:tcW w:w="1256" w:type="dxa"/>
            <w:hideMark/>
          </w:tcPr>
          <w:p w14:paraId="599B38C0"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5.9 ± 0.9ᵉ</w:t>
            </w:r>
          </w:p>
        </w:tc>
      </w:tr>
      <w:tr w:rsidR="00BC2D2F" w:rsidRPr="009D7407" w14:paraId="43BD5FFC" w14:textId="77777777" w:rsidTr="00BC2D2F">
        <w:trPr>
          <w:trHeight w:val="611"/>
          <w:jc w:val="center"/>
        </w:trPr>
        <w:tc>
          <w:tcPr>
            <w:tcW w:w="1375" w:type="dxa"/>
            <w:hideMark/>
          </w:tcPr>
          <w:p w14:paraId="6321615E"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50:50</w:t>
            </w:r>
          </w:p>
        </w:tc>
        <w:tc>
          <w:tcPr>
            <w:tcW w:w="1227" w:type="dxa"/>
            <w:hideMark/>
          </w:tcPr>
          <w:p w14:paraId="12A14F28"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S100</w:t>
            </w:r>
          </w:p>
        </w:tc>
        <w:tc>
          <w:tcPr>
            <w:tcW w:w="1381" w:type="dxa"/>
            <w:hideMark/>
          </w:tcPr>
          <w:p w14:paraId="51667C9C"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6.6 ± 0.7</w:t>
            </w:r>
          </w:p>
        </w:tc>
        <w:tc>
          <w:tcPr>
            <w:tcW w:w="1115" w:type="dxa"/>
            <w:hideMark/>
          </w:tcPr>
          <w:p w14:paraId="63C746A9"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6.7 ± 0.6</w:t>
            </w:r>
          </w:p>
        </w:tc>
        <w:tc>
          <w:tcPr>
            <w:tcW w:w="1124" w:type="dxa"/>
            <w:hideMark/>
          </w:tcPr>
          <w:p w14:paraId="6EEEA100"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7.0 ± 0.6</w:t>
            </w:r>
          </w:p>
        </w:tc>
        <w:tc>
          <w:tcPr>
            <w:tcW w:w="1144" w:type="dxa"/>
            <w:hideMark/>
          </w:tcPr>
          <w:p w14:paraId="53A37482"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6.9 ± 0.7</w:t>
            </w:r>
          </w:p>
        </w:tc>
        <w:tc>
          <w:tcPr>
            <w:tcW w:w="1134" w:type="dxa"/>
            <w:hideMark/>
          </w:tcPr>
          <w:p w14:paraId="40B994A4"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6.5 ± 0.7</w:t>
            </w:r>
          </w:p>
        </w:tc>
        <w:tc>
          <w:tcPr>
            <w:tcW w:w="1256" w:type="dxa"/>
            <w:hideMark/>
          </w:tcPr>
          <w:p w14:paraId="2A882342"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6.7 ± 0.6ᶜ</w:t>
            </w:r>
          </w:p>
        </w:tc>
      </w:tr>
      <w:tr w:rsidR="00BC2D2F" w:rsidRPr="009D7407" w14:paraId="79076A8F" w14:textId="77777777" w:rsidTr="00BC2D2F">
        <w:trPr>
          <w:trHeight w:val="597"/>
          <w:jc w:val="center"/>
        </w:trPr>
        <w:tc>
          <w:tcPr>
            <w:tcW w:w="1375" w:type="dxa"/>
            <w:hideMark/>
          </w:tcPr>
          <w:p w14:paraId="53182B8D"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50:50</w:t>
            </w:r>
          </w:p>
        </w:tc>
        <w:tc>
          <w:tcPr>
            <w:tcW w:w="1227" w:type="dxa"/>
            <w:hideMark/>
          </w:tcPr>
          <w:p w14:paraId="614B945E"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S50St50</w:t>
            </w:r>
          </w:p>
        </w:tc>
        <w:tc>
          <w:tcPr>
            <w:tcW w:w="1381" w:type="dxa"/>
            <w:hideMark/>
          </w:tcPr>
          <w:p w14:paraId="2B87B351"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7.4 ± 0.5</w:t>
            </w:r>
          </w:p>
        </w:tc>
        <w:tc>
          <w:tcPr>
            <w:tcW w:w="1115" w:type="dxa"/>
            <w:hideMark/>
          </w:tcPr>
          <w:p w14:paraId="0FF6E3C0"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7.3 ± 0.5</w:t>
            </w:r>
          </w:p>
        </w:tc>
        <w:tc>
          <w:tcPr>
            <w:tcW w:w="1124" w:type="dxa"/>
            <w:hideMark/>
          </w:tcPr>
          <w:p w14:paraId="0D8BEE81"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 ± 0.5</w:t>
            </w:r>
          </w:p>
        </w:tc>
        <w:tc>
          <w:tcPr>
            <w:tcW w:w="1144" w:type="dxa"/>
            <w:hideMark/>
          </w:tcPr>
          <w:p w14:paraId="4C4995B7"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7.4 ± 0.5</w:t>
            </w:r>
          </w:p>
        </w:tc>
        <w:tc>
          <w:tcPr>
            <w:tcW w:w="1134" w:type="dxa"/>
            <w:hideMark/>
          </w:tcPr>
          <w:p w14:paraId="3E0178EE"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7.1 ± 0.5</w:t>
            </w:r>
          </w:p>
        </w:tc>
        <w:tc>
          <w:tcPr>
            <w:tcW w:w="1256" w:type="dxa"/>
            <w:hideMark/>
          </w:tcPr>
          <w:p w14:paraId="59890811"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7.4 ± 0.5ᵇ</w:t>
            </w:r>
          </w:p>
        </w:tc>
      </w:tr>
      <w:tr w:rsidR="00BC2D2F" w:rsidRPr="009D7407" w14:paraId="075CCAB0" w14:textId="77777777" w:rsidTr="00BC2D2F">
        <w:trPr>
          <w:trHeight w:val="597"/>
          <w:jc w:val="center"/>
        </w:trPr>
        <w:tc>
          <w:tcPr>
            <w:tcW w:w="1375" w:type="dxa"/>
            <w:hideMark/>
          </w:tcPr>
          <w:p w14:paraId="2C8FEFDA"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75:25</w:t>
            </w:r>
          </w:p>
        </w:tc>
        <w:tc>
          <w:tcPr>
            <w:tcW w:w="1227" w:type="dxa"/>
            <w:hideMark/>
          </w:tcPr>
          <w:p w14:paraId="28F15A6F"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S50St50</w:t>
            </w:r>
          </w:p>
        </w:tc>
        <w:tc>
          <w:tcPr>
            <w:tcW w:w="1381" w:type="dxa"/>
            <w:hideMark/>
          </w:tcPr>
          <w:p w14:paraId="4E271ECD"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8.2 ± 0.4</w:t>
            </w:r>
          </w:p>
        </w:tc>
        <w:tc>
          <w:tcPr>
            <w:tcW w:w="1115" w:type="dxa"/>
            <w:hideMark/>
          </w:tcPr>
          <w:p w14:paraId="4DD58D71"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8.1 ± 0.4</w:t>
            </w:r>
          </w:p>
        </w:tc>
        <w:tc>
          <w:tcPr>
            <w:tcW w:w="1124" w:type="dxa"/>
            <w:hideMark/>
          </w:tcPr>
          <w:p w14:paraId="14A00244"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8.3 ± 0.3</w:t>
            </w:r>
          </w:p>
        </w:tc>
        <w:tc>
          <w:tcPr>
            <w:tcW w:w="1144" w:type="dxa"/>
            <w:hideMark/>
          </w:tcPr>
          <w:p w14:paraId="5983B8DA"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8.1 ± 0.4</w:t>
            </w:r>
          </w:p>
        </w:tc>
        <w:tc>
          <w:tcPr>
            <w:tcW w:w="1134" w:type="dxa"/>
            <w:hideMark/>
          </w:tcPr>
          <w:p w14:paraId="2D576E58"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8.0 ± 0.4</w:t>
            </w:r>
          </w:p>
        </w:tc>
        <w:tc>
          <w:tcPr>
            <w:tcW w:w="1256" w:type="dxa"/>
            <w:hideMark/>
          </w:tcPr>
          <w:p w14:paraId="0E30F612"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8.2 ± 0.4ᵃ</w:t>
            </w:r>
          </w:p>
        </w:tc>
      </w:tr>
      <w:tr w:rsidR="00BC2D2F" w:rsidRPr="009D7407" w14:paraId="256280F1" w14:textId="77777777" w:rsidTr="00BC2D2F">
        <w:trPr>
          <w:trHeight w:val="597"/>
          <w:jc w:val="center"/>
        </w:trPr>
        <w:tc>
          <w:tcPr>
            <w:tcW w:w="1375" w:type="dxa"/>
            <w:hideMark/>
          </w:tcPr>
          <w:p w14:paraId="0DD8739E"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75:25</w:t>
            </w:r>
          </w:p>
        </w:tc>
        <w:tc>
          <w:tcPr>
            <w:tcW w:w="1227" w:type="dxa"/>
            <w:hideMark/>
          </w:tcPr>
          <w:p w14:paraId="43D83849"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S75St25</w:t>
            </w:r>
          </w:p>
        </w:tc>
        <w:tc>
          <w:tcPr>
            <w:tcW w:w="1381" w:type="dxa"/>
            <w:hideMark/>
          </w:tcPr>
          <w:p w14:paraId="58F411B9"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7.6 ± 0.5</w:t>
            </w:r>
          </w:p>
        </w:tc>
        <w:tc>
          <w:tcPr>
            <w:tcW w:w="1115" w:type="dxa"/>
            <w:hideMark/>
          </w:tcPr>
          <w:p w14:paraId="2658D1CE"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7.7 ± 0.4</w:t>
            </w:r>
          </w:p>
        </w:tc>
        <w:tc>
          <w:tcPr>
            <w:tcW w:w="1124" w:type="dxa"/>
            <w:hideMark/>
          </w:tcPr>
          <w:p w14:paraId="38759F62"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7.8 ± 0.5</w:t>
            </w:r>
          </w:p>
        </w:tc>
        <w:tc>
          <w:tcPr>
            <w:tcW w:w="1144" w:type="dxa"/>
            <w:hideMark/>
          </w:tcPr>
          <w:p w14:paraId="13703A63"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7.7 ± 0.5</w:t>
            </w:r>
          </w:p>
        </w:tc>
        <w:tc>
          <w:tcPr>
            <w:tcW w:w="1134" w:type="dxa"/>
            <w:hideMark/>
          </w:tcPr>
          <w:p w14:paraId="537C9BE4"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 ± 0.4</w:t>
            </w:r>
          </w:p>
        </w:tc>
        <w:tc>
          <w:tcPr>
            <w:tcW w:w="1256" w:type="dxa"/>
            <w:hideMark/>
          </w:tcPr>
          <w:p w14:paraId="6E754EF2"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7.6 ± 0.5ᵃᵇ</w:t>
            </w:r>
          </w:p>
        </w:tc>
      </w:tr>
      <w:tr w:rsidR="00BC2D2F" w:rsidRPr="009D7407" w14:paraId="666FEB62" w14:textId="77777777" w:rsidTr="00BC2D2F">
        <w:trPr>
          <w:trHeight w:val="611"/>
          <w:jc w:val="center"/>
        </w:trPr>
        <w:tc>
          <w:tcPr>
            <w:tcW w:w="1375" w:type="dxa"/>
            <w:hideMark/>
          </w:tcPr>
          <w:p w14:paraId="4EF96E19"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100:0</w:t>
            </w:r>
          </w:p>
        </w:tc>
        <w:tc>
          <w:tcPr>
            <w:tcW w:w="1227" w:type="dxa"/>
            <w:hideMark/>
          </w:tcPr>
          <w:p w14:paraId="52019909"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S100</w:t>
            </w:r>
          </w:p>
        </w:tc>
        <w:tc>
          <w:tcPr>
            <w:tcW w:w="1381" w:type="dxa"/>
            <w:hideMark/>
          </w:tcPr>
          <w:p w14:paraId="2258D3F3"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7.4 ± 0.5</w:t>
            </w:r>
          </w:p>
        </w:tc>
        <w:tc>
          <w:tcPr>
            <w:tcW w:w="1115" w:type="dxa"/>
            <w:hideMark/>
          </w:tcPr>
          <w:p w14:paraId="44C7D769"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7.2 ± 0.6</w:t>
            </w:r>
          </w:p>
        </w:tc>
        <w:tc>
          <w:tcPr>
            <w:tcW w:w="1124" w:type="dxa"/>
            <w:hideMark/>
          </w:tcPr>
          <w:p w14:paraId="419FB195"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7.1 ± 0.6</w:t>
            </w:r>
          </w:p>
        </w:tc>
        <w:tc>
          <w:tcPr>
            <w:tcW w:w="1144" w:type="dxa"/>
            <w:hideMark/>
          </w:tcPr>
          <w:p w14:paraId="266C8430"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6.9 ± 0.6</w:t>
            </w:r>
          </w:p>
        </w:tc>
        <w:tc>
          <w:tcPr>
            <w:tcW w:w="1134" w:type="dxa"/>
            <w:hideMark/>
          </w:tcPr>
          <w:p w14:paraId="2C17DDDC"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6.6 ± 0.7</w:t>
            </w:r>
          </w:p>
        </w:tc>
        <w:tc>
          <w:tcPr>
            <w:tcW w:w="1256" w:type="dxa"/>
            <w:hideMark/>
          </w:tcPr>
          <w:p w14:paraId="2AA71225" w14:textId="77777777" w:rsidR="00BC2D2F" w:rsidRPr="009D7407" w:rsidRDefault="00BC2D2F" w:rsidP="000F69F7">
            <w:pPr>
              <w:spacing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7.0 ± 0.6ᵇᶜ</w:t>
            </w:r>
          </w:p>
        </w:tc>
      </w:tr>
    </w:tbl>
    <w:p w14:paraId="35F93C84" w14:textId="77777777" w:rsidR="00BC2D2F" w:rsidRDefault="00BC2D2F" w:rsidP="00BC2D2F">
      <w:pPr>
        <w:spacing w:after="0" w:line="360" w:lineRule="auto"/>
        <w:rPr>
          <w:rFonts w:ascii="Times New Roman" w:eastAsia="Times New Roman" w:hAnsi="Times New Roman" w:cs="Times New Roman"/>
          <w:kern w:val="0"/>
          <w:sz w:val="24"/>
          <w:szCs w:val="24"/>
          <w:lang w:eastAsia="en-IN"/>
          <w14:ligatures w14:val="none"/>
        </w:rPr>
      </w:pPr>
    </w:p>
    <w:p w14:paraId="6EA5F58D" w14:textId="54A76C79" w:rsidR="00BC2D2F" w:rsidRPr="009D7407" w:rsidRDefault="00BC2D2F" w:rsidP="00BC2D2F">
      <w:pPr>
        <w:spacing w:after="0" w:line="360" w:lineRule="auto"/>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Note: Means followed by the same letter in a column are not significantly different at p ≤</w:t>
      </w:r>
      <w:r>
        <w:rPr>
          <w:rFonts w:ascii="Times New Roman" w:eastAsia="Times New Roman" w:hAnsi="Times New Roman" w:cs="Times New Roman"/>
          <w:kern w:val="0"/>
          <w:sz w:val="24"/>
          <w:szCs w:val="24"/>
          <w:lang w:eastAsia="en-IN"/>
          <w14:ligatures w14:val="none"/>
        </w:rPr>
        <w:t xml:space="preserve"> </w:t>
      </w:r>
      <w:r w:rsidRPr="009D7407">
        <w:rPr>
          <w:rFonts w:ascii="Times New Roman" w:eastAsia="Times New Roman" w:hAnsi="Times New Roman" w:cs="Times New Roman"/>
          <w:kern w:val="0"/>
          <w:sz w:val="24"/>
          <w:szCs w:val="24"/>
          <w:lang w:eastAsia="en-IN"/>
          <w14:ligatures w14:val="none"/>
        </w:rPr>
        <w:t>0.05.</w:t>
      </w:r>
    </w:p>
    <w:p w14:paraId="2E4BFE87" w14:textId="77777777" w:rsidR="00BC2D2F" w:rsidRPr="00F971C7" w:rsidRDefault="00BC2D2F" w:rsidP="007D430C">
      <w:pPr>
        <w:ind w:firstLine="720"/>
        <w:jc w:val="both"/>
        <w:rPr>
          <w:rFonts w:ascii="Times New Roman" w:hAnsi="Times New Roman" w:cs="Times New Roman"/>
          <w:sz w:val="24"/>
          <w:szCs w:val="24"/>
        </w:rPr>
      </w:pPr>
    </w:p>
    <w:p w14:paraId="67178FF4" w14:textId="77777777" w:rsidR="00E222E2" w:rsidRPr="00F971C7" w:rsidRDefault="00FB2619" w:rsidP="00FB2619">
      <w:pPr>
        <w:rPr>
          <w:rFonts w:ascii="Times New Roman" w:hAnsi="Times New Roman" w:cs="Times New Roman"/>
          <w:sz w:val="24"/>
          <w:szCs w:val="24"/>
        </w:rPr>
      </w:pPr>
      <w:r w:rsidRPr="00F971C7">
        <w:rPr>
          <w:rFonts w:ascii="Times New Roman" w:hAnsi="Times New Roman" w:cs="Times New Roman"/>
          <w:b/>
          <w:bCs/>
          <w:sz w:val="24"/>
          <w:szCs w:val="24"/>
        </w:rPr>
        <w:t>3.3. Impact of Sugar and Stevia Substitution on Sensory Quality</w:t>
      </w:r>
      <w:r w:rsidRPr="00F971C7">
        <w:rPr>
          <w:rFonts w:ascii="Times New Roman" w:hAnsi="Times New Roman" w:cs="Times New Roman"/>
          <w:sz w:val="24"/>
          <w:szCs w:val="24"/>
        </w:rPr>
        <w:br/>
      </w:r>
    </w:p>
    <w:p w14:paraId="0678506F" w14:textId="5FA8BAEA" w:rsidR="00FB2619" w:rsidRPr="00F971C7" w:rsidRDefault="00FB2619" w:rsidP="00E222E2">
      <w:pPr>
        <w:ind w:firstLine="720"/>
        <w:jc w:val="both"/>
        <w:rPr>
          <w:rFonts w:ascii="Times New Roman" w:hAnsi="Times New Roman" w:cs="Times New Roman"/>
          <w:sz w:val="24"/>
          <w:szCs w:val="24"/>
        </w:rPr>
      </w:pPr>
      <w:r w:rsidRPr="00F971C7">
        <w:rPr>
          <w:rFonts w:ascii="Times New Roman" w:hAnsi="Times New Roman" w:cs="Times New Roman"/>
          <w:sz w:val="24"/>
          <w:szCs w:val="24"/>
        </w:rPr>
        <w:t>The drive to reduce sugar content led to the evaluation of stevia as a partial or full substitute. The sensory data revealed a definitive trend: complete sugar replacement (St100) was organoleptically unsuccessful. Beverages sweetened solely with stevia consistently received the lowest scores across all attributes, particularly for taste and aftertaste. Panelists noted a characteristic bitter and metallic lingering aftertaste, a well-documented drawback of steviol glycosides at high concentrations (Rathinasamy et al., 2022).</w:t>
      </w:r>
    </w:p>
    <w:p w14:paraId="50B27370" w14:textId="77777777" w:rsidR="00FB2619" w:rsidRDefault="00FB2619" w:rsidP="00A42B3F">
      <w:pPr>
        <w:ind w:firstLine="720"/>
        <w:jc w:val="both"/>
        <w:rPr>
          <w:rFonts w:ascii="Times New Roman" w:hAnsi="Times New Roman" w:cs="Times New Roman"/>
          <w:sz w:val="24"/>
          <w:szCs w:val="24"/>
        </w:rPr>
      </w:pPr>
      <w:r w:rsidRPr="00F971C7">
        <w:rPr>
          <w:rFonts w:ascii="Times New Roman" w:hAnsi="Times New Roman" w:cs="Times New Roman"/>
          <w:sz w:val="24"/>
          <w:szCs w:val="24"/>
        </w:rPr>
        <w:t>However, partial substitution proved highly effective. Treatments where 25% (S75St25) or 50% (S50St50) of the sugar was replaced with stevia achieved sensory scores that were comparable to, and in some cases superior to, the full-sugar control (S100). The S75St25 treatment, in particular, was a standout, often recording the highest overall acceptability. This suggests that a small amount of stevia can synergistically enhance the sweetness perception provided by sugar, allowing for a significant reduction in total sugar and calories without triggering the negative aftertaste associated with higher stevia levels. The natural fruit flavors and pulp in the 75:25 blend, especially in the more concentrated squash, were effective in masking the slight off-flavors of stevia. This demonstrates that the success of non-nutritive sweeteners is not only dependent on the sweetener itself but also on the matrix in which it is used (Fagherazzi et al., 2013).</w:t>
      </w:r>
    </w:p>
    <w:p w14:paraId="0C3B44B1" w14:textId="77777777" w:rsidR="001F7D0A" w:rsidRPr="009D7407" w:rsidRDefault="001F7D0A" w:rsidP="001F7D0A">
      <w:pPr>
        <w:spacing w:after="0" w:line="360" w:lineRule="auto"/>
        <w:rPr>
          <w:rFonts w:ascii="Times New Roman" w:eastAsia="Times New Roman" w:hAnsi="Times New Roman" w:cs="Times New Roman"/>
          <w:b/>
          <w:bCs/>
          <w:kern w:val="0"/>
          <w:sz w:val="24"/>
          <w:szCs w:val="24"/>
          <w:lang w:eastAsia="en-IN"/>
          <w14:ligatures w14:val="none"/>
        </w:rPr>
      </w:pPr>
      <w:r w:rsidRPr="009D7407">
        <w:rPr>
          <w:rFonts w:ascii="Times New Roman" w:eastAsia="Times New Roman" w:hAnsi="Times New Roman" w:cs="Times New Roman"/>
          <w:b/>
          <w:bCs/>
          <w:kern w:val="0"/>
          <w:sz w:val="24"/>
          <w:szCs w:val="24"/>
          <w:lang w:eastAsia="en-IN"/>
          <w14:ligatures w14:val="none"/>
        </w:rPr>
        <w:t xml:space="preserve">Table 3: </w:t>
      </w:r>
      <w:r w:rsidRPr="009D7407">
        <w:rPr>
          <w:rFonts w:ascii="Times New Roman" w:hAnsi="Times New Roman" w:cs="Times New Roman"/>
          <w:b/>
          <w:bCs/>
          <w:sz w:val="24"/>
          <w:szCs w:val="24"/>
        </w:rPr>
        <w:t xml:space="preserve">Organoleptic evaluation of </w:t>
      </w:r>
      <w:r w:rsidRPr="00EF7736">
        <w:rPr>
          <w:rFonts w:ascii="Times New Roman" w:hAnsi="Times New Roman" w:cs="Times New Roman"/>
          <w:b/>
          <w:bCs/>
          <w:i/>
          <w:iCs/>
          <w:sz w:val="24"/>
          <w:szCs w:val="24"/>
        </w:rPr>
        <w:t>RTS, nectar, and squash beverages</w:t>
      </w:r>
      <w:r w:rsidRPr="009D7407">
        <w:rPr>
          <w:rFonts w:ascii="Times New Roman" w:hAnsi="Times New Roman" w:cs="Times New Roman"/>
          <w:b/>
          <w:bCs/>
          <w:sz w:val="24"/>
          <w:szCs w:val="24"/>
        </w:rPr>
        <w:t xml:space="preserve"> prepared with different sugar and stevia ratios (mean ± SE, n = 5).</w:t>
      </w:r>
    </w:p>
    <w:tbl>
      <w:tblPr>
        <w:tblStyle w:val="TableGridLight"/>
        <w:tblW w:w="9790" w:type="dxa"/>
        <w:jc w:val="center"/>
        <w:tblLayout w:type="fixed"/>
        <w:tblLook w:val="04A0" w:firstRow="1" w:lastRow="0" w:firstColumn="1" w:lastColumn="0" w:noHBand="0" w:noVBand="1"/>
      </w:tblPr>
      <w:tblGrid>
        <w:gridCol w:w="1009"/>
        <w:gridCol w:w="669"/>
        <w:gridCol w:w="679"/>
        <w:gridCol w:w="904"/>
        <w:gridCol w:w="763"/>
        <w:gridCol w:w="537"/>
        <w:gridCol w:w="744"/>
        <w:gridCol w:w="631"/>
        <w:gridCol w:w="715"/>
        <w:gridCol w:w="961"/>
        <w:gridCol w:w="981"/>
        <w:gridCol w:w="1197"/>
      </w:tblGrid>
      <w:tr w:rsidR="001E0D4B" w:rsidRPr="009D7407" w14:paraId="46447058" w14:textId="77777777" w:rsidTr="001E0D4B">
        <w:trPr>
          <w:trHeight w:val="401"/>
          <w:jc w:val="center"/>
        </w:trPr>
        <w:tc>
          <w:tcPr>
            <w:tcW w:w="1009" w:type="dxa"/>
            <w:hideMark/>
          </w:tcPr>
          <w:p w14:paraId="58C702E8" w14:textId="77777777" w:rsidR="001F7D0A" w:rsidRPr="001E0D4B" w:rsidRDefault="001F7D0A" w:rsidP="000F69F7">
            <w:pPr>
              <w:jc w:val="center"/>
              <w:rPr>
                <w:rFonts w:ascii="Times New Roman" w:eastAsia="Times New Roman" w:hAnsi="Times New Roman" w:cs="Times New Roman"/>
                <w:b/>
                <w:bCs/>
                <w:kern w:val="0"/>
                <w:sz w:val="16"/>
                <w:szCs w:val="16"/>
                <w:lang w:eastAsia="en-IN"/>
                <w14:ligatures w14:val="none"/>
              </w:rPr>
            </w:pPr>
            <w:r w:rsidRPr="001E0D4B">
              <w:rPr>
                <w:rFonts w:ascii="Times New Roman" w:eastAsia="Times New Roman" w:hAnsi="Times New Roman" w:cs="Times New Roman"/>
                <w:b/>
                <w:bCs/>
                <w:kern w:val="0"/>
                <w:sz w:val="16"/>
                <w:szCs w:val="16"/>
                <w:lang w:eastAsia="en-IN"/>
                <w14:ligatures w14:val="none"/>
              </w:rPr>
              <w:t>Treatment</w:t>
            </w:r>
          </w:p>
        </w:tc>
        <w:tc>
          <w:tcPr>
            <w:tcW w:w="669" w:type="dxa"/>
            <w:hideMark/>
          </w:tcPr>
          <w:p w14:paraId="65C7587E" w14:textId="77777777" w:rsidR="001F7D0A" w:rsidRPr="001E0D4B" w:rsidRDefault="001F7D0A" w:rsidP="000F69F7">
            <w:pPr>
              <w:jc w:val="center"/>
              <w:rPr>
                <w:rFonts w:ascii="Times New Roman" w:eastAsia="Times New Roman" w:hAnsi="Times New Roman" w:cs="Times New Roman"/>
                <w:b/>
                <w:bCs/>
                <w:kern w:val="0"/>
                <w:sz w:val="16"/>
                <w:szCs w:val="16"/>
                <w:lang w:eastAsia="en-IN"/>
                <w14:ligatures w14:val="none"/>
              </w:rPr>
            </w:pPr>
            <w:r w:rsidRPr="001E0D4B">
              <w:rPr>
                <w:rFonts w:ascii="Times New Roman" w:eastAsia="Times New Roman" w:hAnsi="Times New Roman" w:cs="Times New Roman"/>
                <w:b/>
                <w:bCs/>
                <w:kern w:val="0"/>
                <w:sz w:val="16"/>
                <w:szCs w:val="16"/>
                <w:lang w:eastAsia="en-IN"/>
                <w14:ligatures w14:val="none"/>
              </w:rPr>
              <w:t>Sugar (%)</w:t>
            </w:r>
          </w:p>
        </w:tc>
        <w:tc>
          <w:tcPr>
            <w:tcW w:w="679" w:type="dxa"/>
            <w:hideMark/>
          </w:tcPr>
          <w:p w14:paraId="2B9ACE4A" w14:textId="77777777" w:rsidR="001F7D0A" w:rsidRPr="001E0D4B" w:rsidRDefault="001F7D0A" w:rsidP="000F69F7">
            <w:pPr>
              <w:jc w:val="center"/>
              <w:rPr>
                <w:rFonts w:ascii="Times New Roman" w:eastAsia="Times New Roman" w:hAnsi="Times New Roman" w:cs="Times New Roman"/>
                <w:b/>
                <w:bCs/>
                <w:kern w:val="0"/>
                <w:sz w:val="16"/>
                <w:szCs w:val="16"/>
                <w:lang w:eastAsia="en-IN"/>
                <w14:ligatures w14:val="none"/>
              </w:rPr>
            </w:pPr>
            <w:r w:rsidRPr="001E0D4B">
              <w:rPr>
                <w:rFonts w:ascii="Times New Roman" w:eastAsia="Times New Roman" w:hAnsi="Times New Roman" w:cs="Times New Roman"/>
                <w:b/>
                <w:bCs/>
                <w:kern w:val="0"/>
                <w:sz w:val="16"/>
                <w:szCs w:val="16"/>
                <w:lang w:eastAsia="en-IN"/>
                <w14:ligatures w14:val="none"/>
              </w:rPr>
              <w:t>Stevia (%)</w:t>
            </w:r>
          </w:p>
        </w:tc>
        <w:tc>
          <w:tcPr>
            <w:tcW w:w="904" w:type="dxa"/>
            <w:hideMark/>
          </w:tcPr>
          <w:p w14:paraId="6CE8B1AA" w14:textId="77777777" w:rsidR="001F7D0A" w:rsidRPr="001E0D4B" w:rsidRDefault="001F7D0A" w:rsidP="000F69F7">
            <w:pPr>
              <w:jc w:val="center"/>
              <w:rPr>
                <w:rFonts w:ascii="Times New Roman" w:eastAsia="Times New Roman" w:hAnsi="Times New Roman" w:cs="Times New Roman"/>
                <w:b/>
                <w:bCs/>
                <w:kern w:val="0"/>
                <w:sz w:val="16"/>
                <w:szCs w:val="16"/>
                <w:lang w:eastAsia="en-IN"/>
                <w14:ligatures w14:val="none"/>
              </w:rPr>
            </w:pPr>
            <w:r w:rsidRPr="001E0D4B">
              <w:rPr>
                <w:rFonts w:ascii="Times New Roman" w:eastAsia="Times New Roman" w:hAnsi="Times New Roman" w:cs="Times New Roman"/>
                <w:b/>
                <w:bCs/>
                <w:kern w:val="0"/>
                <w:sz w:val="16"/>
                <w:szCs w:val="16"/>
                <w:lang w:eastAsia="en-IN"/>
                <w14:ligatures w14:val="none"/>
              </w:rPr>
              <w:t>Beverage</w:t>
            </w:r>
          </w:p>
        </w:tc>
        <w:tc>
          <w:tcPr>
            <w:tcW w:w="763" w:type="dxa"/>
            <w:hideMark/>
          </w:tcPr>
          <w:p w14:paraId="35F4BD38" w14:textId="77777777" w:rsidR="001F7D0A" w:rsidRPr="001E0D4B" w:rsidRDefault="001F7D0A" w:rsidP="000F69F7">
            <w:pPr>
              <w:jc w:val="center"/>
              <w:rPr>
                <w:rFonts w:ascii="Times New Roman" w:eastAsia="Times New Roman" w:hAnsi="Times New Roman" w:cs="Times New Roman"/>
                <w:b/>
                <w:bCs/>
                <w:kern w:val="0"/>
                <w:sz w:val="16"/>
                <w:szCs w:val="16"/>
                <w:lang w:eastAsia="en-IN"/>
                <w14:ligatures w14:val="none"/>
              </w:rPr>
            </w:pPr>
            <w:r w:rsidRPr="001E0D4B">
              <w:rPr>
                <w:rFonts w:ascii="Times New Roman" w:eastAsia="Times New Roman" w:hAnsi="Times New Roman" w:cs="Times New Roman"/>
                <w:b/>
                <w:bCs/>
                <w:kern w:val="0"/>
                <w:sz w:val="16"/>
                <w:szCs w:val="16"/>
                <w:lang w:eastAsia="en-IN"/>
                <w14:ligatures w14:val="none"/>
              </w:rPr>
              <w:t>Acidity (%)</w:t>
            </w:r>
          </w:p>
        </w:tc>
        <w:tc>
          <w:tcPr>
            <w:tcW w:w="537" w:type="dxa"/>
            <w:hideMark/>
          </w:tcPr>
          <w:p w14:paraId="090BEDEE" w14:textId="77777777" w:rsidR="001F7D0A" w:rsidRPr="001E0D4B" w:rsidRDefault="001F7D0A" w:rsidP="000F69F7">
            <w:pPr>
              <w:jc w:val="center"/>
              <w:rPr>
                <w:rFonts w:ascii="Times New Roman" w:eastAsia="Times New Roman" w:hAnsi="Times New Roman" w:cs="Times New Roman"/>
                <w:b/>
                <w:bCs/>
                <w:kern w:val="0"/>
                <w:sz w:val="16"/>
                <w:szCs w:val="16"/>
                <w:lang w:eastAsia="en-IN"/>
                <w14:ligatures w14:val="none"/>
              </w:rPr>
            </w:pPr>
            <w:r w:rsidRPr="001E0D4B">
              <w:rPr>
                <w:rFonts w:ascii="Times New Roman" w:eastAsia="Times New Roman" w:hAnsi="Times New Roman" w:cs="Times New Roman"/>
                <w:b/>
                <w:bCs/>
                <w:kern w:val="0"/>
                <w:sz w:val="16"/>
                <w:szCs w:val="16"/>
                <w:lang w:eastAsia="en-IN"/>
                <w14:ligatures w14:val="none"/>
              </w:rPr>
              <w:t>TSS (%)</w:t>
            </w:r>
          </w:p>
        </w:tc>
        <w:tc>
          <w:tcPr>
            <w:tcW w:w="744" w:type="dxa"/>
            <w:hideMark/>
          </w:tcPr>
          <w:p w14:paraId="29B37C1C" w14:textId="77777777" w:rsidR="001F7D0A" w:rsidRPr="001E0D4B" w:rsidRDefault="001F7D0A" w:rsidP="000F69F7">
            <w:pPr>
              <w:jc w:val="center"/>
              <w:rPr>
                <w:rFonts w:ascii="Times New Roman" w:eastAsia="Times New Roman" w:hAnsi="Times New Roman" w:cs="Times New Roman"/>
                <w:b/>
                <w:bCs/>
                <w:kern w:val="0"/>
                <w:sz w:val="16"/>
                <w:szCs w:val="16"/>
                <w:lang w:eastAsia="en-IN"/>
                <w14:ligatures w14:val="none"/>
              </w:rPr>
            </w:pPr>
            <w:r w:rsidRPr="001E0D4B">
              <w:rPr>
                <w:rFonts w:ascii="Times New Roman" w:eastAsia="Times New Roman" w:hAnsi="Times New Roman" w:cs="Times New Roman"/>
                <w:b/>
                <w:bCs/>
                <w:kern w:val="0"/>
                <w:sz w:val="16"/>
                <w:szCs w:val="16"/>
                <w:lang w:eastAsia="en-IN"/>
                <w14:ligatures w14:val="none"/>
              </w:rPr>
              <w:t>Colour</w:t>
            </w:r>
          </w:p>
        </w:tc>
        <w:tc>
          <w:tcPr>
            <w:tcW w:w="631" w:type="dxa"/>
            <w:hideMark/>
          </w:tcPr>
          <w:p w14:paraId="65ACFDEF" w14:textId="77777777" w:rsidR="001F7D0A" w:rsidRPr="001E0D4B" w:rsidRDefault="001F7D0A" w:rsidP="000F69F7">
            <w:pPr>
              <w:jc w:val="center"/>
              <w:rPr>
                <w:rFonts w:ascii="Times New Roman" w:eastAsia="Times New Roman" w:hAnsi="Times New Roman" w:cs="Times New Roman"/>
                <w:b/>
                <w:bCs/>
                <w:kern w:val="0"/>
                <w:sz w:val="16"/>
                <w:szCs w:val="16"/>
                <w:lang w:eastAsia="en-IN"/>
                <w14:ligatures w14:val="none"/>
              </w:rPr>
            </w:pPr>
            <w:r w:rsidRPr="001E0D4B">
              <w:rPr>
                <w:rFonts w:ascii="Times New Roman" w:eastAsia="Times New Roman" w:hAnsi="Times New Roman" w:cs="Times New Roman"/>
                <w:b/>
                <w:bCs/>
                <w:kern w:val="0"/>
                <w:sz w:val="16"/>
                <w:szCs w:val="16"/>
                <w:lang w:eastAsia="en-IN"/>
                <w14:ligatures w14:val="none"/>
              </w:rPr>
              <w:t>Taste</w:t>
            </w:r>
          </w:p>
        </w:tc>
        <w:tc>
          <w:tcPr>
            <w:tcW w:w="715" w:type="dxa"/>
            <w:hideMark/>
          </w:tcPr>
          <w:p w14:paraId="3896A9C5" w14:textId="77777777" w:rsidR="001F7D0A" w:rsidRPr="001E0D4B" w:rsidRDefault="001F7D0A" w:rsidP="000F69F7">
            <w:pPr>
              <w:jc w:val="center"/>
              <w:rPr>
                <w:rFonts w:ascii="Times New Roman" w:eastAsia="Times New Roman" w:hAnsi="Times New Roman" w:cs="Times New Roman"/>
                <w:b/>
                <w:bCs/>
                <w:kern w:val="0"/>
                <w:sz w:val="16"/>
                <w:szCs w:val="16"/>
                <w:lang w:eastAsia="en-IN"/>
                <w14:ligatures w14:val="none"/>
              </w:rPr>
            </w:pPr>
            <w:r w:rsidRPr="001E0D4B">
              <w:rPr>
                <w:rFonts w:ascii="Times New Roman" w:eastAsia="Times New Roman" w:hAnsi="Times New Roman" w:cs="Times New Roman"/>
                <w:b/>
                <w:bCs/>
                <w:kern w:val="0"/>
                <w:sz w:val="16"/>
                <w:szCs w:val="16"/>
                <w:lang w:eastAsia="en-IN"/>
                <w14:ligatures w14:val="none"/>
              </w:rPr>
              <w:t>Flavor</w:t>
            </w:r>
          </w:p>
        </w:tc>
        <w:tc>
          <w:tcPr>
            <w:tcW w:w="961" w:type="dxa"/>
            <w:hideMark/>
          </w:tcPr>
          <w:p w14:paraId="06FBAC48" w14:textId="77777777" w:rsidR="001F7D0A" w:rsidRPr="001E0D4B" w:rsidRDefault="001F7D0A" w:rsidP="000F69F7">
            <w:pPr>
              <w:jc w:val="center"/>
              <w:rPr>
                <w:rFonts w:ascii="Times New Roman" w:eastAsia="Times New Roman" w:hAnsi="Times New Roman" w:cs="Times New Roman"/>
                <w:b/>
                <w:bCs/>
                <w:kern w:val="0"/>
                <w:sz w:val="16"/>
                <w:szCs w:val="16"/>
                <w:lang w:eastAsia="en-IN"/>
                <w14:ligatures w14:val="none"/>
              </w:rPr>
            </w:pPr>
            <w:r w:rsidRPr="001E0D4B">
              <w:rPr>
                <w:rFonts w:ascii="Times New Roman" w:eastAsia="Times New Roman" w:hAnsi="Times New Roman" w:cs="Times New Roman"/>
                <w:b/>
                <w:bCs/>
                <w:kern w:val="0"/>
                <w:sz w:val="16"/>
                <w:szCs w:val="16"/>
                <w:lang w:eastAsia="en-IN"/>
                <w14:ligatures w14:val="none"/>
              </w:rPr>
              <w:t>Aftertaste</w:t>
            </w:r>
          </w:p>
        </w:tc>
        <w:tc>
          <w:tcPr>
            <w:tcW w:w="981" w:type="dxa"/>
            <w:hideMark/>
          </w:tcPr>
          <w:p w14:paraId="000D051A" w14:textId="77777777" w:rsidR="001F7D0A" w:rsidRPr="001E0D4B" w:rsidRDefault="001F7D0A" w:rsidP="000F69F7">
            <w:pPr>
              <w:jc w:val="center"/>
              <w:rPr>
                <w:rFonts w:ascii="Times New Roman" w:eastAsia="Times New Roman" w:hAnsi="Times New Roman" w:cs="Times New Roman"/>
                <w:b/>
                <w:bCs/>
                <w:kern w:val="0"/>
                <w:sz w:val="16"/>
                <w:szCs w:val="16"/>
                <w:lang w:eastAsia="en-IN"/>
                <w14:ligatures w14:val="none"/>
              </w:rPr>
            </w:pPr>
            <w:r w:rsidRPr="001E0D4B">
              <w:rPr>
                <w:rFonts w:ascii="Times New Roman" w:eastAsia="Times New Roman" w:hAnsi="Times New Roman" w:cs="Times New Roman"/>
                <w:b/>
                <w:bCs/>
                <w:kern w:val="0"/>
                <w:sz w:val="16"/>
                <w:szCs w:val="16"/>
                <w:lang w:eastAsia="en-IN"/>
                <w14:ligatures w14:val="none"/>
              </w:rPr>
              <w:t>Mouthfeel</w:t>
            </w:r>
          </w:p>
        </w:tc>
        <w:tc>
          <w:tcPr>
            <w:tcW w:w="1197" w:type="dxa"/>
            <w:hideMark/>
          </w:tcPr>
          <w:p w14:paraId="0E8959BD" w14:textId="77777777" w:rsidR="001F7D0A" w:rsidRPr="001E0D4B" w:rsidRDefault="001F7D0A" w:rsidP="000F69F7">
            <w:pPr>
              <w:jc w:val="center"/>
              <w:rPr>
                <w:rFonts w:ascii="Times New Roman" w:eastAsia="Times New Roman" w:hAnsi="Times New Roman" w:cs="Times New Roman"/>
                <w:b/>
                <w:bCs/>
                <w:kern w:val="0"/>
                <w:sz w:val="16"/>
                <w:szCs w:val="16"/>
                <w:lang w:eastAsia="en-IN"/>
                <w14:ligatures w14:val="none"/>
              </w:rPr>
            </w:pPr>
            <w:r w:rsidRPr="001E0D4B">
              <w:rPr>
                <w:rFonts w:ascii="Times New Roman" w:eastAsia="Times New Roman" w:hAnsi="Times New Roman" w:cs="Times New Roman"/>
                <w:b/>
                <w:bCs/>
                <w:kern w:val="0"/>
                <w:sz w:val="16"/>
                <w:szCs w:val="16"/>
                <w:lang w:eastAsia="en-IN"/>
                <w14:ligatures w14:val="none"/>
              </w:rPr>
              <w:t>Overall Acceptability</w:t>
            </w:r>
          </w:p>
        </w:tc>
      </w:tr>
      <w:tr w:rsidR="001E0D4B" w:rsidRPr="009D7407" w14:paraId="5D7BBDBE" w14:textId="77777777" w:rsidTr="001E0D4B">
        <w:trPr>
          <w:trHeight w:val="386"/>
          <w:jc w:val="center"/>
        </w:trPr>
        <w:tc>
          <w:tcPr>
            <w:tcW w:w="1009" w:type="dxa"/>
            <w:hideMark/>
          </w:tcPr>
          <w:p w14:paraId="4A96A871"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T1</w:t>
            </w:r>
          </w:p>
        </w:tc>
        <w:tc>
          <w:tcPr>
            <w:tcW w:w="669" w:type="dxa"/>
            <w:hideMark/>
          </w:tcPr>
          <w:p w14:paraId="10C8E1D4"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100</w:t>
            </w:r>
          </w:p>
        </w:tc>
        <w:tc>
          <w:tcPr>
            <w:tcW w:w="679" w:type="dxa"/>
            <w:hideMark/>
          </w:tcPr>
          <w:p w14:paraId="058C2F47"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0</w:t>
            </w:r>
          </w:p>
        </w:tc>
        <w:tc>
          <w:tcPr>
            <w:tcW w:w="904" w:type="dxa"/>
            <w:hideMark/>
          </w:tcPr>
          <w:p w14:paraId="6DFE5F2D"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RTS</w:t>
            </w:r>
          </w:p>
        </w:tc>
        <w:tc>
          <w:tcPr>
            <w:tcW w:w="763" w:type="dxa"/>
            <w:hideMark/>
          </w:tcPr>
          <w:p w14:paraId="52963DE1"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0.3</w:t>
            </w:r>
          </w:p>
        </w:tc>
        <w:tc>
          <w:tcPr>
            <w:tcW w:w="537" w:type="dxa"/>
            <w:hideMark/>
          </w:tcPr>
          <w:p w14:paraId="68D0B661"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12</w:t>
            </w:r>
          </w:p>
        </w:tc>
        <w:tc>
          <w:tcPr>
            <w:tcW w:w="744" w:type="dxa"/>
            <w:hideMark/>
          </w:tcPr>
          <w:p w14:paraId="29F198AE"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7.8 ± 0.1</w:t>
            </w:r>
          </w:p>
        </w:tc>
        <w:tc>
          <w:tcPr>
            <w:tcW w:w="631" w:type="dxa"/>
            <w:hideMark/>
          </w:tcPr>
          <w:p w14:paraId="347B2533"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7.6 ± 0.1</w:t>
            </w:r>
          </w:p>
        </w:tc>
        <w:tc>
          <w:tcPr>
            <w:tcW w:w="715" w:type="dxa"/>
            <w:hideMark/>
          </w:tcPr>
          <w:p w14:paraId="734EF522"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7.7 ± 0.1</w:t>
            </w:r>
          </w:p>
        </w:tc>
        <w:tc>
          <w:tcPr>
            <w:tcW w:w="961" w:type="dxa"/>
            <w:hideMark/>
          </w:tcPr>
          <w:p w14:paraId="371F10DD"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 ± 0.1</w:t>
            </w:r>
          </w:p>
        </w:tc>
        <w:tc>
          <w:tcPr>
            <w:tcW w:w="981" w:type="dxa"/>
            <w:hideMark/>
          </w:tcPr>
          <w:p w14:paraId="3DD6BD56"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7.6 ± 0.1</w:t>
            </w:r>
          </w:p>
        </w:tc>
        <w:tc>
          <w:tcPr>
            <w:tcW w:w="1197" w:type="dxa"/>
            <w:hideMark/>
          </w:tcPr>
          <w:p w14:paraId="722A57EB"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 xml:space="preserve">7.74 ± 0.10 </w:t>
            </w:r>
            <w:r w:rsidRPr="009D7407">
              <w:rPr>
                <w:rFonts w:ascii="Times New Roman" w:eastAsia="Times New Roman" w:hAnsi="Times New Roman" w:cs="Times New Roman"/>
                <w:kern w:val="0"/>
                <w:sz w:val="24"/>
                <w:szCs w:val="24"/>
                <w:vertAlign w:val="superscript"/>
                <w:lang w:eastAsia="en-IN"/>
                <w14:ligatures w14:val="none"/>
              </w:rPr>
              <w:t>b</w:t>
            </w:r>
          </w:p>
        </w:tc>
      </w:tr>
      <w:tr w:rsidR="001E0D4B" w:rsidRPr="009D7407" w14:paraId="68B71E5D" w14:textId="77777777" w:rsidTr="001E0D4B">
        <w:trPr>
          <w:trHeight w:val="393"/>
          <w:jc w:val="center"/>
        </w:trPr>
        <w:tc>
          <w:tcPr>
            <w:tcW w:w="1009" w:type="dxa"/>
            <w:hideMark/>
          </w:tcPr>
          <w:p w14:paraId="6F2B0719"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lastRenderedPageBreak/>
              <w:t>T2</w:t>
            </w:r>
          </w:p>
        </w:tc>
        <w:tc>
          <w:tcPr>
            <w:tcW w:w="669" w:type="dxa"/>
            <w:hideMark/>
          </w:tcPr>
          <w:p w14:paraId="60BC4B8E"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w:t>
            </w:r>
          </w:p>
        </w:tc>
        <w:tc>
          <w:tcPr>
            <w:tcW w:w="679" w:type="dxa"/>
            <w:hideMark/>
          </w:tcPr>
          <w:p w14:paraId="32AB81FE"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25</w:t>
            </w:r>
          </w:p>
        </w:tc>
        <w:tc>
          <w:tcPr>
            <w:tcW w:w="904" w:type="dxa"/>
            <w:hideMark/>
          </w:tcPr>
          <w:p w14:paraId="78A6CD54"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RTS</w:t>
            </w:r>
          </w:p>
        </w:tc>
        <w:tc>
          <w:tcPr>
            <w:tcW w:w="763" w:type="dxa"/>
            <w:hideMark/>
          </w:tcPr>
          <w:p w14:paraId="32200A79"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0.3</w:t>
            </w:r>
          </w:p>
        </w:tc>
        <w:tc>
          <w:tcPr>
            <w:tcW w:w="537" w:type="dxa"/>
            <w:hideMark/>
          </w:tcPr>
          <w:p w14:paraId="123EA0A5"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12</w:t>
            </w:r>
          </w:p>
        </w:tc>
        <w:tc>
          <w:tcPr>
            <w:tcW w:w="744" w:type="dxa"/>
            <w:hideMark/>
          </w:tcPr>
          <w:p w14:paraId="07A5A7DF"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8.4 ± 0.1</w:t>
            </w:r>
          </w:p>
        </w:tc>
        <w:tc>
          <w:tcPr>
            <w:tcW w:w="631" w:type="dxa"/>
            <w:hideMark/>
          </w:tcPr>
          <w:p w14:paraId="7925C5E3"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8.3 ± 0.1</w:t>
            </w:r>
          </w:p>
        </w:tc>
        <w:tc>
          <w:tcPr>
            <w:tcW w:w="715" w:type="dxa"/>
            <w:hideMark/>
          </w:tcPr>
          <w:p w14:paraId="3925984A"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8.2 ± 0.1</w:t>
            </w:r>
          </w:p>
        </w:tc>
        <w:tc>
          <w:tcPr>
            <w:tcW w:w="961" w:type="dxa"/>
            <w:hideMark/>
          </w:tcPr>
          <w:p w14:paraId="72502E6A"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8.3 ± 0.1</w:t>
            </w:r>
          </w:p>
        </w:tc>
        <w:tc>
          <w:tcPr>
            <w:tcW w:w="981" w:type="dxa"/>
            <w:hideMark/>
          </w:tcPr>
          <w:p w14:paraId="0911890E"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8.2 ± 0.1</w:t>
            </w:r>
          </w:p>
        </w:tc>
        <w:tc>
          <w:tcPr>
            <w:tcW w:w="1197" w:type="dxa"/>
            <w:hideMark/>
          </w:tcPr>
          <w:p w14:paraId="00C38AF9"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b/>
                <w:bCs/>
                <w:kern w:val="0"/>
                <w:sz w:val="24"/>
                <w:szCs w:val="24"/>
                <w:lang w:eastAsia="en-IN"/>
                <w14:ligatures w14:val="none"/>
              </w:rPr>
              <w:t xml:space="preserve">8.33 ± 0.11 </w:t>
            </w:r>
            <w:r w:rsidRPr="009D7407">
              <w:rPr>
                <w:rFonts w:ascii="Times New Roman" w:eastAsia="Times New Roman" w:hAnsi="Times New Roman" w:cs="Times New Roman"/>
                <w:kern w:val="0"/>
                <w:sz w:val="24"/>
                <w:szCs w:val="24"/>
                <w:vertAlign w:val="superscript"/>
                <w:lang w:eastAsia="en-IN"/>
                <w14:ligatures w14:val="none"/>
              </w:rPr>
              <w:t>a</w:t>
            </w:r>
          </w:p>
        </w:tc>
      </w:tr>
      <w:tr w:rsidR="001E0D4B" w:rsidRPr="009D7407" w14:paraId="5BF90DC1" w14:textId="77777777" w:rsidTr="001E0D4B">
        <w:trPr>
          <w:trHeight w:val="393"/>
          <w:jc w:val="center"/>
        </w:trPr>
        <w:tc>
          <w:tcPr>
            <w:tcW w:w="1009" w:type="dxa"/>
            <w:hideMark/>
          </w:tcPr>
          <w:p w14:paraId="5414C08F"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T3</w:t>
            </w:r>
          </w:p>
        </w:tc>
        <w:tc>
          <w:tcPr>
            <w:tcW w:w="669" w:type="dxa"/>
            <w:hideMark/>
          </w:tcPr>
          <w:p w14:paraId="3B2C0D09"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50</w:t>
            </w:r>
          </w:p>
        </w:tc>
        <w:tc>
          <w:tcPr>
            <w:tcW w:w="679" w:type="dxa"/>
            <w:hideMark/>
          </w:tcPr>
          <w:p w14:paraId="23FCD901"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50</w:t>
            </w:r>
          </w:p>
        </w:tc>
        <w:tc>
          <w:tcPr>
            <w:tcW w:w="904" w:type="dxa"/>
            <w:hideMark/>
          </w:tcPr>
          <w:p w14:paraId="361DC0D3"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RTS</w:t>
            </w:r>
          </w:p>
        </w:tc>
        <w:tc>
          <w:tcPr>
            <w:tcW w:w="763" w:type="dxa"/>
            <w:hideMark/>
          </w:tcPr>
          <w:p w14:paraId="2E7B20BE"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0.3</w:t>
            </w:r>
          </w:p>
        </w:tc>
        <w:tc>
          <w:tcPr>
            <w:tcW w:w="537" w:type="dxa"/>
            <w:hideMark/>
          </w:tcPr>
          <w:p w14:paraId="44A3D471"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12</w:t>
            </w:r>
          </w:p>
        </w:tc>
        <w:tc>
          <w:tcPr>
            <w:tcW w:w="744" w:type="dxa"/>
            <w:hideMark/>
          </w:tcPr>
          <w:p w14:paraId="5C19CE76"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7.7 ± 0.1</w:t>
            </w:r>
          </w:p>
        </w:tc>
        <w:tc>
          <w:tcPr>
            <w:tcW w:w="631" w:type="dxa"/>
            <w:hideMark/>
          </w:tcPr>
          <w:p w14:paraId="651275C8"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 ± 0.1</w:t>
            </w:r>
          </w:p>
        </w:tc>
        <w:tc>
          <w:tcPr>
            <w:tcW w:w="715" w:type="dxa"/>
            <w:hideMark/>
          </w:tcPr>
          <w:p w14:paraId="103D6F99"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7.6 ± 0.1</w:t>
            </w:r>
          </w:p>
        </w:tc>
        <w:tc>
          <w:tcPr>
            <w:tcW w:w="961" w:type="dxa"/>
            <w:hideMark/>
          </w:tcPr>
          <w:p w14:paraId="1FEEF050"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7.4 ± 0.1</w:t>
            </w:r>
          </w:p>
        </w:tc>
        <w:tc>
          <w:tcPr>
            <w:tcW w:w="981" w:type="dxa"/>
            <w:hideMark/>
          </w:tcPr>
          <w:p w14:paraId="2C85FB97"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 ± 0.1</w:t>
            </w:r>
          </w:p>
        </w:tc>
        <w:tc>
          <w:tcPr>
            <w:tcW w:w="1197" w:type="dxa"/>
            <w:hideMark/>
          </w:tcPr>
          <w:p w14:paraId="2B11911F"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 xml:space="preserve">7.54 ± 0.12 </w:t>
            </w:r>
            <w:r w:rsidRPr="009D7407">
              <w:rPr>
                <w:rFonts w:ascii="Times New Roman" w:eastAsia="Times New Roman" w:hAnsi="Times New Roman" w:cs="Times New Roman"/>
                <w:kern w:val="0"/>
                <w:sz w:val="24"/>
                <w:szCs w:val="24"/>
                <w:vertAlign w:val="superscript"/>
                <w:lang w:eastAsia="en-IN"/>
                <w14:ligatures w14:val="none"/>
              </w:rPr>
              <w:t>b</w:t>
            </w:r>
          </w:p>
        </w:tc>
      </w:tr>
      <w:tr w:rsidR="001E0D4B" w:rsidRPr="009D7407" w14:paraId="5ED8A872" w14:textId="77777777" w:rsidTr="001E0D4B">
        <w:trPr>
          <w:trHeight w:val="386"/>
          <w:jc w:val="center"/>
        </w:trPr>
        <w:tc>
          <w:tcPr>
            <w:tcW w:w="1009" w:type="dxa"/>
            <w:hideMark/>
          </w:tcPr>
          <w:p w14:paraId="7C91877E"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T4</w:t>
            </w:r>
          </w:p>
        </w:tc>
        <w:tc>
          <w:tcPr>
            <w:tcW w:w="669" w:type="dxa"/>
            <w:hideMark/>
          </w:tcPr>
          <w:p w14:paraId="7607D991"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25</w:t>
            </w:r>
          </w:p>
        </w:tc>
        <w:tc>
          <w:tcPr>
            <w:tcW w:w="679" w:type="dxa"/>
            <w:hideMark/>
          </w:tcPr>
          <w:p w14:paraId="263285FD"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w:t>
            </w:r>
          </w:p>
        </w:tc>
        <w:tc>
          <w:tcPr>
            <w:tcW w:w="904" w:type="dxa"/>
            <w:hideMark/>
          </w:tcPr>
          <w:p w14:paraId="7B4B0D8E"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RTS</w:t>
            </w:r>
          </w:p>
        </w:tc>
        <w:tc>
          <w:tcPr>
            <w:tcW w:w="763" w:type="dxa"/>
            <w:hideMark/>
          </w:tcPr>
          <w:p w14:paraId="0953E7D7"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0.3</w:t>
            </w:r>
          </w:p>
        </w:tc>
        <w:tc>
          <w:tcPr>
            <w:tcW w:w="537" w:type="dxa"/>
            <w:hideMark/>
          </w:tcPr>
          <w:p w14:paraId="72F1E244"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12</w:t>
            </w:r>
          </w:p>
        </w:tc>
        <w:tc>
          <w:tcPr>
            <w:tcW w:w="744" w:type="dxa"/>
            <w:hideMark/>
          </w:tcPr>
          <w:p w14:paraId="44824FA0"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6.2 ± 0.1</w:t>
            </w:r>
          </w:p>
        </w:tc>
        <w:tc>
          <w:tcPr>
            <w:tcW w:w="631" w:type="dxa"/>
            <w:hideMark/>
          </w:tcPr>
          <w:p w14:paraId="56358FF4"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6.0 ± 0.1</w:t>
            </w:r>
          </w:p>
        </w:tc>
        <w:tc>
          <w:tcPr>
            <w:tcW w:w="715" w:type="dxa"/>
            <w:hideMark/>
          </w:tcPr>
          <w:p w14:paraId="5FE073E2"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6.1 ± 0.1</w:t>
            </w:r>
          </w:p>
        </w:tc>
        <w:tc>
          <w:tcPr>
            <w:tcW w:w="961" w:type="dxa"/>
            <w:hideMark/>
          </w:tcPr>
          <w:p w14:paraId="40CA82B0"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5.9 ± 0.1</w:t>
            </w:r>
          </w:p>
        </w:tc>
        <w:tc>
          <w:tcPr>
            <w:tcW w:w="981" w:type="dxa"/>
            <w:hideMark/>
          </w:tcPr>
          <w:p w14:paraId="34046EC2"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6.0 ± 0.1</w:t>
            </w:r>
          </w:p>
        </w:tc>
        <w:tc>
          <w:tcPr>
            <w:tcW w:w="1197" w:type="dxa"/>
            <w:hideMark/>
          </w:tcPr>
          <w:p w14:paraId="2919D3A2"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 xml:space="preserve">5.99 ± 0.09 </w:t>
            </w:r>
            <w:r w:rsidRPr="009D7407">
              <w:rPr>
                <w:rFonts w:ascii="Times New Roman" w:eastAsia="Times New Roman" w:hAnsi="Times New Roman" w:cs="Times New Roman"/>
                <w:kern w:val="0"/>
                <w:sz w:val="24"/>
                <w:szCs w:val="24"/>
                <w:vertAlign w:val="superscript"/>
                <w:lang w:eastAsia="en-IN"/>
                <w14:ligatures w14:val="none"/>
              </w:rPr>
              <w:t>c</w:t>
            </w:r>
          </w:p>
        </w:tc>
      </w:tr>
      <w:tr w:rsidR="001E0D4B" w:rsidRPr="009D7407" w14:paraId="34D18CE9" w14:textId="77777777" w:rsidTr="001E0D4B">
        <w:trPr>
          <w:trHeight w:val="393"/>
          <w:jc w:val="center"/>
        </w:trPr>
        <w:tc>
          <w:tcPr>
            <w:tcW w:w="1009" w:type="dxa"/>
            <w:hideMark/>
          </w:tcPr>
          <w:p w14:paraId="38C2F8E7"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T5</w:t>
            </w:r>
          </w:p>
        </w:tc>
        <w:tc>
          <w:tcPr>
            <w:tcW w:w="669" w:type="dxa"/>
            <w:hideMark/>
          </w:tcPr>
          <w:p w14:paraId="2AD38771"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0</w:t>
            </w:r>
          </w:p>
        </w:tc>
        <w:tc>
          <w:tcPr>
            <w:tcW w:w="679" w:type="dxa"/>
            <w:hideMark/>
          </w:tcPr>
          <w:p w14:paraId="0FFFC582"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100</w:t>
            </w:r>
          </w:p>
        </w:tc>
        <w:tc>
          <w:tcPr>
            <w:tcW w:w="904" w:type="dxa"/>
            <w:hideMark/>
          </w:tcPr>
          <w:p w14:paraId="6248BC54"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RTS</w:t>
            </w:r>
          </w:p>
        </w:tc>
        <w:tc>
          <w:tcPr>
            <w:tcW w:w="763" w:type="dxa"/>
            <w:hideMark/>
          </w:tcPr>
          <w:p w14:paraId="1B6DD3E2"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0.3</w:t>
            </w:r>
          </w:p>
        </w:tc>
        <w:tc>
          <w:tcPr>
            <w:tcW w:w="537" w:type="dxa"/>
            <w:hideMark/>
          </w:tcPr>
          <w:p w14:paraId="5F66581F"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12</w:t>
            </w:r>
          </w:p>
        </w:tc>
        <w:tc>
          <w:tcPr>
            <w:tcW w:w="744" w:type="dxa"/>
            <w:hideMark/>
          </w:tcPr>
          <w:p w14:paraId="744F80FD"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5.6 ± 0.1</w:t>
            </w:r>
          </w:p>
        </w:tc>
        <w:tc>
          <w:tcPr>
            <w:tcW w:w="631" w:type="dxa"/>
            <w:hideMark/>
          </w:tcPr>
          <w:p w14:paraId="2914610C"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5.4 ± 0.1</w:t>
            </w:r>
          </w:p>
        </w:tc>
        <w:tc>
          <w:tcPr>
            <w:tcW w:w="715" w:type="dxa"/>
            <w:hideMark/>
          </w:tcPr>
          <w:p w14:paraId="0DDBDC02"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5.5 ± 0.1</w:t>
            </w:r>
          </w:p>
        </w:tc>
        <w:tc>
          <w:tcPr>
            <w:tcW w:w="961" w:type="dxa"/>
            <w:hideMark/>
          </w:tcPr>
          <w:p w14:paraId="4693F99D"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5.3 ± 0.1</w:t>
            </w:r>
          </w:p>
        </w:tc>
        <w:tc>
          <w:tcPr>
            <w:tcW w:w="981" w:type="dxa"/>
            <w:hideMark/>
          </w:tcPr>
          <w:p w14:paraId="35DBE16A"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5.5 ± 0.1</w:t>
            </w:r>
          </w:p>
        </w:tc>
        <w:tc>
          <w:tcPr>
            <w:tcW w:w="1197" w:type="dxa"/>
            <w:hideMark/>
          </w:tcPr>
          <w:p w14:paraId="4F637021"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 xml:space="preserve">5.46 ± 0.14 </w:t>
            </w:r>
            <w:r w:rsidRPr="009D7407">
              <w:rPr>
                <w:rFonts w:ascii="Times New Roman" w:eastAsia="Times New Roman" w:hAnsi="Times New Roman" w:cs="Times New Roman"/>
                <w:kern w:val="0"/>
                <w:sz w:val="24"/>
                <w:szCs w:val="24"/>
                <w:vertAlign w:val="superscript"/>
                <w:lang w:eastAsia="en-IN"/>
                <w14:ligatures w14:val="none"/>
              </w:rPr>
              <w:t>d</w:t>
            </w:r>
          </w:p>
        </w:tc>
      </w:tr>
      <w:tr w:rsidR="001E0D4B" w:rsidRPr="009D7407" w14:paraId="5C438798" w14:textId="77777777" w:rsidTr="001E0D4B">
        <w:trPr>
          <w:trHeight w:val="393"/>
          <w:jc w:val="center"/>
        </w:trPr>
        <w:tc>
          <w:tcPr>
            <w:tcW w:w="1009" w:type="dxa"/>
            <w:hideMark/>
          </w:tcPr>
          <w:p w14:paraId="6617A833"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T1</w:t>
            </w:r>
          </w:p>
        </w:tc>
        <w:tc>
          <w:tcPr>
            <w:tcW w:w="669" w:type="dxa"/>
            <w:hideMark/>
          </w:tcPr>
          <w:p w14:paraId="349C9966"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100</w:t>
            </w:r>
          </w:p>
        </w:tc>
        <w:tc>
          <w:tcPr>
            <w:tcW w:w="679" w:type="dxa"/>
            <w:hideMark/>
          </w:tcPr>
          <w:p w14:paraId="76B5B4F8"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0</w:t>
            </w:r>
          </w:p>
        </w:tc>
        <w:tc>
          <w:tcPr>
            <w:tcW w:w="904" w:type="dxa"/>
            <w:hideMark/>
          </w:tcPr>
          <w:p w14:paraId="33EC82E8"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Nectar</w:t>
            </w:r>
          </w:p>
        </w:tc>
        <w:tc>
          <w:tcPr>
            <w:tcW w:w="763" w:type="dxa"/>
            <w:hideMark/>
          </w:tcPr>
          <w:p w14:paraId="1366DF04"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w:t>
            </w:r>
          </w:p>
        </w:tc>
        <w:tc>
          <w:tcPr>
            <w:tcW w:w="537" w:type="dxa"/>
            <w:hideMark/>
          </w:tcPr>
          <w:p w14:paraId="6C866308"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14</w:t>
            </w:r>
          </w:p>
        </w:tc>
        <w:tc>
          <w:tcPr>
            <w:tcW w:w="744" w:type="dxa"/>
            <w:hideMark/>
          </w:tcPr>
          <w:p w14:paraId="7A922E27"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7.7 ± 0.1</w:t>
            </w:r>
          </w:p>
        </w:tc>
        <w:tc>
          <w:tcPr>
            <w:tcW w:w="631" w:type="dxa"/>
            <w:hideMark/>
          </w:tcPr>
          <w:p w14:paraId="55017EEF"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 ± 0.1</w:t>
            </w:r>
          </w:p>
        </w:tc>
        <w:tc>
          <w:tcPr>
            <w:tcW w:w="715" w:type="dxa"/>
            <w:hideMark/>
          </w:tcPr>
          <w:p w14:paraId="356F7EE7"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7.6 ± 0.1</w:t>
            </w:r>
          </w:p>
        </w:tc>
        <w:tc>
          <w:tcPr>
            <w:tcW w:w="961" w:type="dxa"/>
            <w:hideMark/>
          </w:tcPr>
          <w:p w14:paraId="116422DC"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7.4 ± 0.1</w:t>
            </w:r>
          </w:p>
        </w:tc>
        <w:tc>
          <w:tcPr>
            <w:tcW w:w="981" w:type="dxa"/>
            <w:hideMark/>
          </w:tcPr>
          <w:p w14:paraId="499A1B93"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 ± 0.1</w:t>
            </w:r>
          </w:p>
        </w:tc>
        <w:tc>
          <w:tcPr>
            <w:tcW w:w="1197" w:type="dxa"/>
            <w:hideMark/>
          </w:tcPr>
          <w:p w14:paraId="3820C572"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 xml:space="preserve">7.51 ± 0.08 </w:t>
            </w:r>
            <w:r w:rsidRPr="009D7407">
              <w:rPr>
                <w:rFonts w:ascii="Times New Roman" w:eastAsia="Times New Roman" w:hAnsi="Times New Roman" w:cs="Times New Roman"/>
                <w:kern w:val="0"/>
                <w:sz w:val="24"/>
                <w:szCs w:val="24"/>
                <w:vertAlign w:val="superscript"/>
                <w:lang w:eastAsia="en-IN"/>
                <w14:ligatures w14:val="none"/>
              </w:rPr>
              <w:t>b</w:t>
            </w:r>
          </w:p>
        </w:tc>
      </w:tr>
      <w:tr w:rsidR="001E0D4B" w:rsidRPr="009D7407" w14:paraId="43BD6A29" w14:textId="77777777" w:rsidTr="001E0D4B">
        <w:trPr>
          <w:trHeight w:val="386"/>
          <w:jc w:val="center"/>
        </w:trPr>
        <w:tc>
          <w:tcPr>
            <w:tcW w:w="1009" w:type="dxa"/>
            <w:hideMark/>
          </w:tcPr>
          <w:p w14:paraId="25B5C29D"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T2</w:t>
            </w:r>
          </w:p>
        </w:tc>
        <w:tc>
          <w:tcPr>
            <w:tcW w:w="669" w:type="dxa"/>
            <w:hideMark/>
          </w:tcPr>
          <w:p w14:paraId="48F7C632"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w:t>
            </w:r>
          </w:p>
        </w:tc>
        <w:tc>
          <w:tcPr>
            <w:tcW w:w="679" w:type="dxa"/>
            <w:hideMark/>
          </w:tcPr>
          <w:p w14:paraId="647B38BD"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25</w:t>
            </w:r>
          </w:p>
        </w:tc>
        <w:tc>
          <w:tcPr>
            <w:tcW w:w="904" w:type="dxa"/>
            <w:hideMark/>
          </w:tcPr>
          <w:p w14:paraId="663C9CEC"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Nectar</w:t>
            </w:r>
          </w:p>
        </w:tc>
        <w:tc>
          <w:tcPr>
            <w:tcW w:w="763" w:type="dxa"/>
            <w:hideMark/>
          </w:tcPr>
          <w:p w14:paraId="3E5D0A03"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w:t>
            </w:r>
          </w:p>
        </w:tc>
        <w:tc>
          <w:tcPr>
            <w:tcW w:w="537" w:type="dxa"/>
            <w:hideMark/>
          </w:tcPr>
          <w:p w14:paraId="1255EDBC"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14</w:t>
            </w:r>
          </w:p>
        </w:tc>
        <w:tc>
          <w:tcPr>
            <w:tcW w:w="744" w:type="dxa"/>
            <w:hideMark/>
          </w:tcPr>
          <w:p w14:paraId="058DF435"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8.3 ± 0.1</w:t>
            </w:r>
          </w:p>
        </w:tc>
        <w:tc>
          <w:tcPr>
            <w:tcW w:w="631" w:type="dxa"/>
            <w:hideMark/>
          </w:tcPr>
          <w:p w14:paraId="31DE3D7E"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8.2 ± 0.1</w:t>
            </w:r>
          </w:p>
        </w:tc>
        <w:tc>
          <w:tcPr>
            <w:tcW w:w="715" w:type="dxa"/>
            <w:hideMark/>
          </w:tcPr>
          <w:p w14:paraId="35E9D301"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8.2 ± 0.1</w:t>
            </w:r>
          </w:p>
        </w:tc>
        <w:tc>
          <w:tcPr>
            <w:tcW w:w="961" w:type="dxa"/>
            <w:hideMark/>
          </w:tcPr>
          <w:p w14:paraId="6650AB19"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8.3 ± 0.1</w:t>
            </w:r>
          </w:p>
        </w:tc>
        <w:tc>
          <w:tcPr>
            <w:tcW w:w="981" w:type="dxa"/>
            <w:hideMark/>
          </w:tcPr>
          <w:p w14:paraId="3FC0C0D6"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8.2 ± 0.1</w:t>
            </w:r>
          </w:p>
        </w:tc>
        <w:tc>
          <w:tcPr>
            <w:tcW w:w="1197" w:type="dxa"/>
            <w:hideMark/>
          </w:tcPr>
          <w:p w14:paraId="60B2BB04"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b/>
                <w:bCs/>
                <w:kern w:val="0"/>
                <w:sz w:val="24"/>
                <w:szCs w:val="24"/>
                <w:lang w:eastAsia="en-IN"/>
                <w14:ligatures w14:val="none"/>
              </w:rPr>
              <w:t xml:space="preserve">8.26 ± 0.16 </w:t>
            </w:r>
            <w:r w:rsidRPr="009D7407">
              <w:rPr>
                <w:rFonts w:ascii="Times New Roman" w:eastAsia="Times New Roman" w:hAnsi="Times New Roman" w:cs="Times New Roman"/>
                <w:kern w:val="0"/>
                <w:sz w:val="24"/>
                <w:szCs w:val="24"/>
                <w:vertAlign w:val="superscript"/>
                <w:lang w:eastAsia="en-IN"/>
                <w14:ligatures w14:val="none"/>
              </w:rPr>
              <w:t>a</w:t>
            </w:r>
          </w:p>
        </w:tc>
      </w:tr>
      <w:tr w:rsidR="001E0D4B" w:rsidRPr="009D7407" w14:paraId="7E620275" w14:textId="77777777" w:rsidTr="001E0D4B">
        <w:trPr>
          <w:trHeight w:val="393"/>
          <w:jc w:val="center"/>
        </w:trPr>
        <w:tc>
          <w:tcPr>
            <w:tcW w:w="1009" w:type="dxa"/>
            <w:hideMark/>
          </w:tcPr>
          <w:p w14:paraId="549E7B56"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T3</w:t>
            </w:r>
          </w:p>
        </w:tc>
        <w:tc>
          <w:tcPr>
            <w:tcW w:w="669" w:type="dxa"/>
            <w:hideMark/>
          </w:tcPr>
          <w:p w14:paraId="5EEE8747"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50</w:t>
            </w:r>
          </w:p>
        </w:tc>
        <w:tc>
          <w:tcPr>
            <w:tcW w:w="679" w:type="dxa"/>
            <w:hideMark/>
          </w:tcPr>
          <w:p w14:paraId="7FC8A45A"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50</w:t>
            </w:r>
          </w:p>
        </w:tc>
        <w:tc>
          <w:tcPr>
            <w:tcW w:w="904" w:type="dxa"/>
            <w:hideMark/>
          </w:tcPr>
          <w:p w14:paraId="4F5610AC"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Nectar</w:t>
            </w:r>
          </w:p>
        </w:tc>
        <w:tc>
          <w:tcPr>
            <w:tcW w:w="763" w:type="dxa"/>
            <w:hideMark/>
          </w:tcPr>
          <w:p w14:paraId="33CA799E"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w:t>
            </w:r>
          </w:p>
        </w:tc>
        <w:tc>
          <w:tcPr>
            <w:tcW w:w="537" w:type="dxa"/>
            <w:hideMark/>
          </w:tcPr>
          <w:p w14:paraId="79A861C9"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14</w:t>
            </w:r>
          </w:p>
        </w:tc>
        <w:tc>
          <w:tcPr>
            <w:tcW w:w="744" w:type="dxa"/>
            <w:hideMark/>
          </w:tcPr>
          <w:p w14:paraId="4BBC4F7C"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7.6 ± 0.1</w:t>
            </w:r>
          </w:p>
        </w:tc>
        <w:tc>
          <w:tcPr>
            <w:tcW w:w="631" w:type="dxa"/>
            <w:hideMark/>
          </w:tcPr>
          <w:p w14:paraId="12421E71"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 ± 0.1</w:t>
            </w:r>
          </w:p>
        </w:tc>
        <w:tc>
          <w:tcPr>
            <w:tcW w:w="715" w:type="dxa"/>
            <w:hideMark/>
          </w:tcPr>
          <w:p w14:paraId="0D969917"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7.6 ± 0.1</w:t>
            </w:r>
          </w:p>
        </w:tc>
        <w:tc>
          <w:tcPr>
            <w:tcW w:w="961" w:type="dxa"/>
            <w:hideMark/>
          </w:tcPr>
          <w:p w14:paraId="657BB822"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 ± 0.1</w:t>
            </w:r>
          </w:p>
        </w:tc>
        <w:tc>
          <w:tcPr>
            <w:tcW w:w="981" w:type="dxa"/>
            <w:hideMark/>
          </w:tcPr>
          <w:p w14:paraId="5653D3B5"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7.6 ± 0.1</w:t>
            </w:r>
          </w:p>
        </w:tc>
        <w:tc>
          <w:tcPr>
            <w:tcW w:w="1197" w:type="dxa"/>
            <w:hideMark/>
          </w:tcPr>
          <w:p w14:paraId="68ED9B0C"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 xml:space="preserve">7.55 ± 0.13 </w:t>
            </w:r>
            <w:r w:rsidRPr="009D7407">
              <w:rPr>
                <w:rFonts w:ascii="Times New Roman" w:eastAsia="Times New Roman" w:hAnsi="Times New Roman" w:cs="Times New Roman"/>
                <w:kern w:val="0"/>
                <w:sz w:val="24"/>
                <w:szCs w:val="24"/>
                <w:vertAlign w:val="superscript"/>
                <w:lang w:eastAsia="en-IN"/>
                <w14:ligatures w14:val="none"/>
              </w:rPr>
              <w:t>b</w:t>
            </w:r>
          </w:p>
        </w:tc>
      </w:tr>
      <w:tr w:rsidR="001E0D4B" w:rsidRPr="009D7407" w14:paraId="66980583" w14:textId="77777777" w:rsidTr="001E0D4B">
        <w:trPr>
          <w:trHeight w:val="393"/>
          <w:jc w:val="center"/>
        </w:trPr>
        <w:tc>
          <w:tcPr>
            <w:tcW w:w="1009" w:type="dxa"/>
            <w:hideMark/>
          </w:tcPr>
          <w:p w14:paraId="11054050"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T4</w:t>
            </w:r>
          </w:p>
        </w:tc>
        <w:tc>
          <w:tcPr>
            <w:tcW w:w="669" w:type="dxa"/>
            <w:hideMark/>
          </w:tcPr>
          <w:p w14:paraId="1180EFA4"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25</w:t>
            </w:r>
          </w:p>
        </w:tc>
        <w:tc>
          <w:tcPr>
            <w:tcW w:w="679" w:type="dxa"/>
            <w:hideMark/>
          </w:tcPr>
          <w:p w14:paraId="1A76315C"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w:t>
            </w:r>
          </w:p>
        </w:tc>
        <w:tc>
          <w:tcPr>
            <w:tcW w:w="904" w:type="dxa"/>
            <w:hideMark/>
          </w:tcPr>
          <w:p w14:paraId="4350548A"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Nectar</w:t>
            </w:r>
          </w:p>
        </w:tc>
        <w:tc>
          <w:tcPr>
            <w:tcW w:w="763" w:type="dxa"/>
            <w:hideMark/>
          </w:tcPr>
          <w:p w14:paraId="7BC7FBDC"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w:t>
            </w:r>
          </w:p>
        </w:tc>
        <w:tc>
          <w:tcPr>
            <w:tcW w:w="537" w:type="dxa"/>
            <w:hideMark/>
          </w:tcPr>
          <w:p w14:paraId="42161CEF"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14</w:t>
            </w:r>
          </w:p>
        </w:tc>
        <w:tc>
          <w:tcPr>
            <w:tcW w:w="744" w:type="dxa"/>
            <w:hideMark/>
          </w:tcPr>
          <w:p w14:paraId="6560D9F5"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6.3 ± 0.1</w:t>
            </w:r>
          </w:p>
        </w:tc>
        <w:tc>
          <w:tcPr>
            <w:tcW w:w="631" w:type="dxa"/>
            <w:hideMark/>
          </w:tcPr>
          <w:p w14:paraId="4F9683BD"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6.2 ± 0.1</w:t>
            </w:r>
          </w:p>
        </w:tc>
        <w:tc>
          <w:tcPr>
            <w:tcW w:w="715" w:type="dxa"/>
            <w:hideMark/>
          </w:tcPr>
          <w:p w14:paraId="5C48CD8A"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6.1 ± 0.1</w:t>
            </w:r>
          </w:p>
        </w:tc>
        <w:tc>
          <w:tcPr>
            <w:tcW w:w="961" w:type="dxa"/>
            <w:hideMark/>
          </w:tcPr>
          <w:p w14:paraId="700205D7"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6.0 ± 0.1</w:t>
            </w:r>
          </w:p>
        </w:tc>
        <w:tc>
          <w:tcPr>
            <w:tcW w:w="981" w:type="dxa"/>
            <w:hideMark/>
          </w:tcPr>
          <w:p w14:paraId="18A6F9BA"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6.0 ± 0.1</w:t>
            </w:r>
          </w:p>
        </w:tc>
        <w:tc>
          <w:tcPr>
            <w:tcW w:w="1197" w:type="dxa"/>
            <w:hideMark/>
          </w:tcPr>
          <w:p w14:paraId="58C70858"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 xml:space="preserve">6.14 ± 0.11 </w:t>
            </w:r>
            <w:r w:rsidRPr="009D7407">
              <w:rPr>
                <w:rFonts w:ascii="Times New Roman" w:eastAsia="Times New Roman" w:hAnsi="Times New Roman" w:cs="Times New Roman"/>
                <w:kern w:val="0"/>
                <w:sz w:val="24"/>
                <w:szCs w:val="24"/>
                <w:vertAlign w:val="superscript"/>
                <w:lang w:eastAsia="en-IN"/>
                <w14:ligatures w14:val="none"/>
              </w:rPr>
              <w:t>c</w:t>
            </w:r>
          </w:p>
        </w:tc>
      </w:tr>
      <w:tr w:rsidR="001E0D4B" w:rsidRPr="009D7407" w14:paraId="752C684C" w14:textId="77777777" w:rsidTr="001E0D4B">
        <w:trPr>
          <w:trHeight w:val="386"/>
          <w:jc w:val="center"/>
        </w:trPr>
        <w:tc>
          <w:tcPr>
            <w:tcW w:w="1009" w:type="dxa"/>
            <w:hideMark/>
          </w:tcPr>
          <w:p w14:paraId="711861DB"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T5</w:t>
            </w:r>
          </w:p>
        </w:tc>
        <w:tc>
          <w:tcPr>
            <w:tcW w:w="669" w:type="dxa"/>
            <w:hideMark/>
          </w:tcPr>
          <w:p w14:paraId="4F6F04A5"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0</w:t>
            </w:r>
          </w:p>
        </w:tc>
        <w:tc>
          <w:tcPr>
            <w:tcW w:w="679" w:type="dxa"/>
            <w:hideMark/>
          </w:tcPr>
          <w:p w14:paraId="711211F8"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100</w:t>
            </w:r>
          </w:p>
        </w:tc>
        <w:tc>
          <w:tcPr>
            <w:tcW w:w="904" w:type="dxa"/>
            <w:hideMark/>
          </w:tcPr>
          <w:p w14:paraId="5D4843BD"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Nectar</w:t>
            </w:r>
          </w:p>
        </w:tc>
        <w:tc>
          <w:tcPr>
            <w:tcW w:w="763" w:type="dxa"/>
            <w:hideMark/>
          </w:tcPr>
          <w:p w14:paraId="385B9230"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w:t>
            </w:r>
          </w:p>
        </w:tc>
        <w:tc>
          <w:tcPr>
            <w:tcW w:w="537" w:type="dxa"/>
            <w:hideMark/>
          </w:tcPr>
          <w:p w14:paraId="2C03FDD3"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14</w:t>
            </w:r>
          </w:p>
        </w:tc>
        <w:tc>
          <w:tcPr>
            <w:tcW w:w="744" w:type="dxa"/>
            <w:hideMark/>
          </w:tcPr>
          <w:p w14:paraId="302D5EF2"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5.5 ± 0.1</w:t>
            </w:r>
          </w:p>
        </w:tc>
        <w:tc>
          <w:tcPr>
            <w:tcW w:w="631" w:type="dxa"/>
            <w:hideMark/>
          </w:tcPr>
          <w:p w14:paraId="57A034D7"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5.4 ± 0.1</w:t>
            </w:r>
          </w:p>
        </w:tc>
        <w:tc>
          <w:tcPr>
            <w:tcW w:w="715" w:type="dxa"/>
            <w:hideMark/>
          </w:tcPr>
          <w:p w14:paraId="38180E86"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5.5 ± 0.1</w:t>
            </w:r>
          </w:p>
        </w:tc>
        <w:tc>
          <w:tcPr>
            <w:tcW w:w="961" w:type="dxa"/>
            <w:hideMark/>
          </w:tcPr>
          <w:p w14:paraId="0DF1EC2C"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5.3 ± 0.1</w:t>
            </w:r>
          </w:p>
        </w:tc>
        <w:tc>
          <w:tcPr>
            <w:tcW w:w="981" w:type="dxa"/>
            <w:hideMark/>
          </w:tcPr>
          <w:p w14:paraId="14FDFE06"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5.4 ± 0.1</w:t>
            </w:r>
          </w:p>
        </w:tc>
        <w:tc>
          <w:tcPr>
            <w:tcW w:w="1197" w:type="dxa"/>
            <w:hideMark/>
          </w:tcPr>
          <w:p w14:paraId="6F06DBD5"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 xml:space="preserve">5.41 ± 0.14 </w:t>
            </w:r>
            <w:r w:rsidRPr="009D7407">
              <w:rPr>
                <w:rFonts w:ascii="Times New Roman" w:eastAsia="Times New Roman" w:hAnsi="Times New Roman" w:cs="Times New Roman"/>
                <w:kern w:val="0"/>
                <w:sz w:val="24"/>
                <w:szCs w:val="24"/>
                <w:vertAlign w:val="superscript"/>
                <w:lang w:eastAsia="en-IN"/>
                <w14:ligatures w14:val="none"/>
              </w:rPr>
              <w:t>d</w:t>
            </w:r>
          </w:p>
        </w:tc>
      </w:tr>
      <w:tr w:rsidR="001E0D4B" w:rsidRPr="009D7407" w14:paraId="77870D01" w14:textId="77777777" w:rsidTr="001E0D4B">
        <w:trPr>
          <w:trHeight w:val="393"/>
          <w:jc w:val="center"/>
        </w:trPr>
        <w:tc>
          <w:tcPr>
            <w:tcW w:w="1009" w:type="dxa"/>
            <w:hideMark/>
          </w:tcPr>
          <w:p w14:paraId="43AA176E"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T1</w:t>
            </w:r>
          </w:p>
        </w:tc>
        <w:tc>
          <w:tcPr>
            <w:tcW w:w="669" w:type="dxa"/>
            <w:hideMark/>
          </w:tcPr>
          <w:p w14:paraId="6F51BF7C"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100</w:t>
            </w:r>
          </w:p>
        </w:tc>
        <w:tc>
          <w:tcPr>
            <w:tcW w:w="679" w:type="dxa"/>
            <w:hideMark/>
          </w:tcPr>
          <w:p w14:paraId="2E2BE0CC"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0</w:t>
            </w:r>
          </w:p>
        </w:tc>
        <w:tc>
          <w:tcPr>
            <w:tcW w:w="904" w:type="dxa"/>
            <w:hideMark/>
          </w:tcPr>
          <w:p w14:paraId="645BC98C" w14:textId="77777777" w:rsidR="001F7D0A" w:rsidRPr="00A10306" w:rsidRDefault="001F7D0A" w:rsidP="000F69F7">
            <w:pPr>
              <w:jc w:val="center"/>
              <w:rPr>
                <w:rFonts w:ascii="Times New Roman" w:eastAsia="Times New Roman" w:hAnsi="Times New Roman" w:cs="Times New Roman"/>
                <w:kern w:val="0"/>
                <w:lang w:eastAsia="en-IN"/>
                <w14:ligatures w14:val="none"/>
              </w:rPr>
            </w:pPr>
            <w:r w:rsidRPr="00A10306">
              <w:rPr>
                <w:rFonts w:ascii="Times New Roman" w:eastAsia="Times New Roman" w:hAnsi="Times New Roman" w:cs="Times New Roman"/>
                <w:kern w:val="0"/>
                <w:lang w:eastAsia="en-IN"/>
                <w14:ligatures w14:val="none"/>
              </w:rPr>
              <w:t>Squash</w:t>
            </w:r>
          </w:p>
        </w:tc>
        <w:tc>
          <w:tcPr>
            <w:tcW w:w="763" w:type="dxa"/>
            <w:hideMark/>
          </w:tcPr>
          <w:p w14:paraId="304FFF17"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w:t>
            </w:r>
          </w:p>
        </w:tc>
        <w:tc>
          <w:tcPr>
            <w:tcW w:w="537" w:type="dxa"/>
            <w:hideMark/>
          </w:tcPr>
          <w:p w14:paraId="07F9D92B"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45</w:t>
            </w:r>
          </w:p>
        </w:tc>
        <w:tc>
          <w:tcPr>
            <w:tcW w:w="744" w:type="dxa"/>
            <w:hideMark/>
          </w:tcPr>
          <w:p w14:paraId="170D08DC"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7.8 ± 0.1</w:t>
            </w:r>
          </w:p>
        </w:tc>
        <w:tc>
          <w:tcPr>
            <w:tcW w:w="631" w:type="dxa"/>
            <w:hideMark/>
          </w:tcPr>
          <w:p w14:paraId="6A19A946"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7.6 ± 0.1</w:t>
            </w:r>
          </w:p>
        </w:tc>
        <w:tc>
          <w:tcPr>
            <w:tcW w:w="715" w:type="dxa"/>
            <w:hideMark/>
          </w:tcPr>
          <w:p w14:paraId="757FDBF6"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7.7 ± 0.1</w:t>
            </w:r>
          </w:p>
        </w:tc>
        <w:tc>
          <w:tcPr>
            <w:tcW w:w="961" w:type="dxa"/>
            <w:hideMark/>
          </w:tcPr>
          <w:p w14:paraId="45265E09"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 ± 0.1</w:t>
            </w:r>
          </w:p>
        </w:tc>
        <w:tc>
          <w:tcPr>
            <w:tcW w:w="981" w:type="dxa"/>
            <w:hideMark/>
          </w:tcPr>
          <w:p w14:paraId="6BF247DF"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7.6 ± 0.1</w:t>
            </w:r>
          </w:p>
        </w:tc>
        <w:tc>
          <w:tcPr>
            <w:tcW w:w="1197" w:type="dxa"/>
            <w:hideMark/>
          </w:tcPr>
          <w:p w14:paraId="48BC3697"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 xml:space="preserve">7.65 ± 0.09 </w:t>
            </w:r>
            <w:r w:rsidRPr="009D7407">
              <w:rPr>
                <w:rFonts w:ascii="Times New Roman" w:eastAsia="Times New Roman" w:hAnsi="Times New Roman" w:cs="Times New Roman"/>
                <w:kern w:val="0"/>
                <w:sz w:val="24"/>
                <w:szCs w:val="24"/>
                <w:vertAlign w:val="superscript"/>
                <w:lang w:eastAsia="en-IN"/>
                <w14:ligatures w14:val="none"/>
              </w:rPr>
              <w:t>b</w:t>
            </w:r>
          </w:p>
        </w:tc>
      </w:tr>
      <w:tr w:rsidR="001E0D4B" w:rsidRPr="009D7407" w14:paraId="0A58B8D8" w14:textId="77777777" w:rsidTr="001E0D4B">
        <w:trPr>
          <w:trHeight w:val="386"/>
          <w:jc w:val="center"/>
        </w:trPr>
        <w:tc>
          <w:tcPr>
            <w:tcW w:w="1009" w:type="dxa"/>
            <w:hideMark/>
          </w:tcPr>
          <w:p w14:paraId="130ACA84"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T2</w:t>
            </w:r>
          </w:p>
        </w:tc>
        <w:tc>
          <w:tcPr>
            <w:tcW w:w="669" w:type="dxa"/>
            <w:hideMark/>
          </w:tcPr>
          <w:p w14:paraId="2007D3D7"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w:t>
            </w:r>
          </w:p>
        </w:tc>
        <w:tc>
          <w:tcPr>
            <w:tcW w:w="679" w:type="dxa"/>
            <w:hideMark/>
          </w:tcPr>
          <w:p w14:paraId="6756A72F"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25</w:t>
            </w:r>
          </w:p>
        </w:tc>
        <w:tc>
          <w:tcPr>
            <w:tcW w:w="904" w:type="dxa"/>
            <w:hideMark/>
          </w:tcPr>
          <w:p w14:paraId="0258AC3D" w14:textId="77777777" w:rsidR="001F7D0A" w:rsidRPr="00A10306" w:rsidRDefault="001F7D0A" w:rsidP="000F69F7">
            <w:pPr>
              <w:jc w:val="center"/>
              <w:rPr>
                <w:rFonts w:ascii="Times New Roman" w:eastAsia="Times New Roman" w:hAnsi="Times New Roman" w:cs="Times New Roman"/>
                <w:kern w:val="0"/>
                <w:lang w:eastAsia="en-IN"/>
                <w14:ligatures w14:val="none"/>
              </w:rPr>
            </w:pPr>
            <w:r w:rsidRPr="00A10306">
              <w:rPr>
                <w:rFonts w:ascii="Times New Roman" w:eastAsia="Times New Roman" w:hAnsi="Times New Roman" w:cs="Times New Roman"/>
                <w:kern w:val="0"/>
                <w:lang w:eastAsia="en-IN"/>
                <w14:ligatures w14:val="none"/>
              </w:rPr>
              <w:t>Squash</w:t>
            </w:r>
          </w:p>
        </w:tc>
        <w:tc>
          <w:tcPr>
            <w:tcW w:w="763" w:type="dxa"/>
            <w:hideMark/>
          </w:tcPr>
          <w:p w14:paraId="1ED464CC"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w:t>
            </w:r>
          </w:p>
        </w:tc>
        <w:tc>
          <w:tcPr>
            <w:tcW w:w="537" w:type="dxa"/>
            <w:hideMark/>
          </w:tcPr>
          <w:p w14:paraId="552BA846"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45</w:t>
            </w:r>
          </w:p>
        </w:tc>
        <w:tc>
          <w:tcPr>
            <w:tcW w:w="744" w:type="dxa"/>
            <w:hideMark/>
          </w:tcPr>
          <w:p w14:paraId="06E35ED3"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8.4 ± 0.1</w:t>
            </w:r>
          </w:p>
        </w:tc>
        <w:tc>
          <w:tcPr>
            <w:tcW w:w="631" w:type="dxa"/>
            <w:hideMark/>
          </w:tcPr>
          <w:p w14:paraId="5BB96C83"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8.3 ± 0.1</w:t>
            </w:r>
          </w:p>
        </w:tc>
        <w:tc>
          <w:tcPr>
            <w:tcW w:w="715" w:type="dxa"/>
            <w:hideMark/>
          </w:tcPr>
          <w:p w14:paraId="7384CFB4"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8.2 ± 0.1</w:t>
            </w:r>
          </w:p>
        </w:tc>
        <w:tc>
          <w:tcPr>
            <w:tcW w:w="961" w:type="dxa"/>
            <w:hideMark/>
          </w:tcPr>
          <w:p w14:paraId="49211EBB"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8.3 ± 0.1</w:t>
            </w:r>
          </w:p>
        </w:tc>
        <w:tc>
          <w:tcPr>
            <w:tcW w:w="981" w:type="dxa"/>
            <w:hideMark/>
          </w:tcPr>
          <w:p w14:paraId="16A4CCF8"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8.3 ± 0.1</w:t>
            </w:r>
          </w:p>
        </w:tc>
        <w:tc>
          <w:tcPr>
            <w:tcW w:w="1197" w:type="dxa"/>
            <w:hideMark/>
          </w:tcPr>
          <w:p w14:paraId="4B580230"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b/>
                <w:bCs/>
                <w:kern w:val="0"/>
                <w:sz w:val="24"/>
                <w:szCs w:val="24"/>
                <w:lang w:eastAsia="en-IN"/>
                <w14:ligatures w14:val="none"/>
              </w:rPr>
              <w:t xml:space="preserve">8.27 ± 0.11 </w:t>
            </w:r>
            <w:r w:rsidRPr="009D7407">
              <w:rPr>
                <w:rFonts w:ascii="Times New Roman" w:eastAsia="Times New Roman" w:hAnsi="Times New Roman" w:cs="Times New Roman"/>
                <w:kern w:val="0"/>
                <w:sz w:val="24"/>
                <w:szCs w:val="24"/>
                <w:vertAlign w:val="superscript"/>
                <w:lang w:eastAsia="en-IN"/>
                <w14:ligatures w14:val="none"/>
              </w:rPr>
              <w:t>a</w:t>
            </w:r>
          </w:p>
        </w:tc>
      </w:tr>
      <w:tr w:rsidR="001E0D4B" w:rsidRPr="009D7407" w14:paraId="5475C51A" w14:textId="77777777" w:rsidTr="001E0D4B">
        <w:trPr>
          <w:trHeight w:val="393"/>
          <w:jc w:val="center"/>
        </w:trPr>
        <w:tc>
          <w:tcPr>
            <w:tcW w:w="1009" w:type="dxa"/>
            <w:hideMark/>
          </w:tcPr>
          <w:p w14:paraId="08B7DBF0"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T3</w:t>
            </w:r>
          </w:p>
        </w:tc>
        <w:tc>
          <w:tcPr>
            <w:tcW w:w="669" w:type="dxa"/>
            <w:hideMark/>
          </w:tcPr>
          <w:p w14:paraId="107D32C6"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50</w:t>
            </w:r>
          </w:p>
        </w:tc>
        <w:tc>
          <w:tcPr>
            <w:tcW w:w="679" w:type="dxa"/>
            <w:hideMark/>
          </w:tcPr>
          <w:p w14:paraId="2E118C54"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50</w:t>
            </w:r>
          </w:p>
        </w:tc>
        <w:tc>
          <w:tcPr>
            <w:tcW w:w="904" w:type="dxa"/>
            <w:hideMark/>
          </w:tcPr>
          <w:p w14:paraId="72414768" w14:textId="77777777" w:rsidR="001F7D0A" w:rsidRPr="00A10306" w:rsidRDefault="001F7D0A" w:rsidP="000F69F7">
            <w:pPr>
              <w:jc w:val="center"/>
              <w:rPr>
                <w:rFonts w:ascii="Times New Roman" w:eastAsia="Times New Roman" w:hAnsi="Times New Roman" w:cs="Times New Roman"/>
                <w:kern w:val="0"/>
                <w:lang w:eastAsia="en-IN"/>
                <w14:ligatures w14:val="none"/>
              </w:rPr>
            </w:pPr>
            <w:r w:rsidRPr="00A10306">
              <w:rPr>
                <w:rFonts w:ascii="Times New Roman" w:eastAsia="Times New Roman" w:hAnsi="Times New Roman" w:cs="Times New Roman"/>
                <w:kern w:val="0"/>
                <w:lang w:eastAsia="en-IN"/>
                <w14:ligatures w14:val="none"/>
              </w:rPr>
              <w:t>Squash</w:t>
            </w:r>
          </w:p>
        </w:tc>
        <w:tc>
          <w:tcPr>
            <w:tcW w:w="763" w:type="dxa"/>
            <w:hideMark/>
          </w:tcPr>
          <w:p w14:paraId="4D5D5944"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w:t>
            </w:r>
          </w:p>
        </w:tc>
        <w:tc>
          <w:tcPr>
            <w:tcW w:w="537" w:type="dxa"/>
            <w:hideMark/>
          </w:tcPr>
          <w:p w14:paraId="1136628B"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45</w:t>
            </w:r>
          </w:p>
        </w:tc>
        <w:tc>
          <w:tcPr>
            <w:tcW w:w="744" w:type="dxa"/>
            <w:hideMark/>
          </w:tcPr>
          <w:p w14:paraId="6E6F23FE"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7.7 ± 0.1</w:t>
            </w:r>
          </w:p>
        </w:tc>
        <w:tc>
          <w:tcPr>
            <w:tcW w:w="631" w:type="dxa"/>
            <w:hideMark/>
          </w:tcPr>
          <w:p w14:paraId="38C4BBA3"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7.6 ± 0.1</w:t>
            </w:r>
          </w:p>
        </w:tc>
        <w:tc>
          <w:tcPr>
            <w:tcW w:w="715" w:type="dxa"/>
            <w:hideMark/>
          </w:tcPr>
          <w:p w14:paraId="6E5F3980"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7.7 ± 0.1</w:t>
            </w:r>
          </w:p>
        </w:tc>
        <w:tc>
          <w:tcPr>
            <w:tcW w:w="961" w:type="dxa"/>
            <w:hideMark/>
          </w:tcPr>
          <w:p w14:paraId="562DC2CF"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 ± 0.1</w:t>
            </w:r>
          </w:p>
        </w:tc>
        <w:tc>
          <w:tcPr>
            <w:tcW w:w="981" w:type="dxa"/>
            <w:hideMark/>
          </w:tcPr>
          <w:p w14:paraId="34975AD6"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7.6 ± 0.1</w:t>
            </w:r>
          </w:p>
        </w:tc>
        <w:tc>
          <w:tcPr>
            <w:tcW w:w="1197" w:type="dxa"/>
            <w:hideMark/>
          </w:tcPr>
          <w:p w14:paraId="2D84A334"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 xml:space="preserve">7.67 ± 0.11 </w:t>
            </w:r>
            <w:r w:rsidRPr="009D7407">
              <w:rPr>
                <w:rFonts w:ascii="Times New Roman" w:eastAsia="Times New Roman" w:hAnsi="Times New Roman" w:cs="Times New Roman"/>
                <w:kern w:val="0"/>
                <w:sz w:val="24"/>
                <w:szCs w:val="24"/>
                <w:vertAlign w:val="superscript"/>
                <w:lang w:eastAsia="en-IN"/>
                <w14:ligatures w14:val="none"/>
              </w:rPr>
              <w:t>b</w:t>
            </w:r>
          </w:p>
        </w:tc>
      </w:tr>
      <w:tr w:rsidR="001E0D4B" w:rsidRPr="009D7407" w14:paraId="6EF159B6" w14:textId="77777777" w:rsidTr="001E0D4B">
        <w:trPr>
          <w:trHeight w:val="393"/>
          <w:jc w:val="center"/>
        </w:trPr>
        <w:tc>
          <w:tcPr>
            <w:tcW w:w="1009" w:type="dxa"/>
            <w:hideMark/>
          </w:tcPr>
          <w:p w14:paraId="45174DA9"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T4</w:t>
            </w:r>
          </w:p>
        </w:tc>
        <w:tc>
          <w:tcPr>
            <w:tcW w:w="669" w:type="dxa"/>
            <w:hideMark/>
          </w:tcPr>
          <w:p w14:paraId="2A0B36B8"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25</w:t>
            </w:r>
          </w:p>
        </w:tc>
        <w:tc>
          <w:tcPr>
            <w:tcW w:w="679" w:type="dxa"/>
            <w:hideMark/>
          </w:tcPr>
          <w:p w14:paraId="0B3F0105"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75</w:t>
            </w:r>
          </w:p>
        </w:tc>
        <w:tc>
          <w:tcPr>
            <w:tcW w:w="904" w:type="dxa"/>
            <w:hideMark/>
          </w:tcPr>
          <w:p w14:paraId="0B16DDEF" w14:textId="77777777" w:rsidR="001F7D0A" w:rsidRPr="00A10306" w:rsidRDefault="001F7D0A" w:rsidP="000F69F7">
            <w:pPr>
              <w:jc w:val="center"/>
              <w:rPr>
                <w:rFonts w:ascii="Times New Roman" w:eastAsia="Times New Roman" w:hAnsi="Times New Roman" w:cs="Times New Roman"/>
                <w:kern w:val="0"/>
                <w:lang w:eastAsia="en-IN"/>
                <w14:ligatures w14:val="none"/>
              </w:rPr>
            </w:pPr>
            <w:r w:rsidRPr="00A10306">
              <w:rPr>
                <w:rFonts w:ascii="Times New Roman" w:eastAsia="Times New Roman" w:hAnsi="Times New Roman" w:cs="Times New Roman"/>
                <w:kern w:val="0"/>
                <w:lang w:eastAsia="en-IN"/>
                <w14:ligatures w14:val="none"/>
              </w:rPr>
              <w:t>Squash</w:t>
            </w:r>
          </w:p>
        </w:tc>
        <w:tc>
          <w:tcPr>
            <w:tcW w:w="763" w:type="dxa"/>
            <w:hideMark/>
          </w:tcPr>
          <w:p w14:paraId="074CC762"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w:t>
            </w:r>
          </w:p>
        </w:tc>
        <w:tc>
          <w:tcPr>
            <w:tcW w:w="537" w:type="dxa"/>
            <w:hideMark/>
          </w:tcPr>
          <w:p w14:paraId="2789BEDD"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45</w:t>
            </w:r>
          </w:p>
        </w:tc>
        <w:tc>
          <w:tcPr>
            <w:tcW w:w="744" w:type="dxa"/>
            <w:hideMark/>
          </w:tcPr>
          <w:p w14:paraId="6A6BE9F7"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6.4 ± 0.1</w:t>
            </w:r>
          </w:p>
        </w:tc>
        <w:tc>
          <w:tcPr>
            <w:tcW w:w="631" w:type="dxa"/>
            <w:hideMark/>
          </w:tcPr>
          <w:p w14:paraId="48FBA616"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6.3 ± 0.1</w:t>
            </w:r>
          </w:p>
        </w:tc>
        <w:tc>
          <w:tcPr>
            <w:tcW w:w="715" w:type="dxa"/>
            <w:hideMark/>
          </w:tcPr>
          <w:p w14:paraId="791F6F68"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6.2 ± 0.1</w:t>
            </w:r>
          </w:p>
        </w:tc>
        <w:tc>
          <w:tcPr>
            <w:tcW w:w="961" w:type="dxa"/>
            <w:hideMark/>
          </w:tcPr>
          <w:p w14:paraId="4601EBAE"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6.1 ± 0.1</w:t>
            </w:r>
          </w:p>
        </w:tc>
        <w:tc>
          <w:tcPr>
            <w:tcW w:w="981" w:type="dxa"/>
            <w:hideMark/>
          </w:tcPr>
          <w:p w14:paraId="52BB58A3"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6.2 ± 0.1</w:t>
            </w:r>
          </w:p>
        </w:tc>
        <w:tc>
          <w:tcPr>
            <w:tcW w:w="1197" w:type="dxa"/>
            <w:hideMark/>
          </w:tcPr>
          <w:p w14:paraId="78444AAA"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 xml:space="preserve">6.32 ± 0.11 </w:t>
            </w:r>
            <w:r w:rsidRPr="009D7407">
              <w:rPr>
                <w:rFonts w:ascii="Times New Roman" w:eastAsia="Times New Roman" w:hAnsi="Times New Roman" w:cs="Times New Roman"/>
                <w:kern w:val="0"/>
                <w:sz w:val="24"/>
                <w:szCs w:val="24"/>
                <w:vertAlign w:val="superscript"/>
                <w:lang w:eastAsia="en-IN"/>
                <w14:ligatures w14:val="none"/>
              </w:rPr>
              <w:t>c</w:t>
            </w:r>
          </w:p>
        </w:tc>
      </w:tr>
      <w:tr w:rsidR="001E0D4B" w:rsidRPr="009D7407" w14:paraId="26A6816E" w14:textId="77777777" w:rsidTr="001E0D4B">
        <w:trPr>
          <w:trHeight w:val="386"/>
          <w:jc w:val="center"/>
        </w:trPr>
        <w:tc>
          <w:tcPr>
            <w:tcW w:w="1009" w:type="dxa"/>
            <w:hideMark/>
          </w:tcPr>
          <w:p w14:paraId="3C0B81FF"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T5</w:t>
            </w:r>
          </w:p>
        </w:tc>
        <w:tc>
          <w:tcPr>
            <w:tcW w:w="669" w:type="dxa"/>
            <w:hideMark/>
          </w:tcPr>
          <w:p w14:paraId="2086D640"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0</w:t>
            </w:r>
          </w:p>
        </w:tc>
        <w:tc>
          <w:tcPr>
            <w:tcW w:w="679" w:type="dxa"/>
            <w:hideMark/>
          </w:tcPr>
          <w:p w14:paraId="6FD61B15"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100</w:t>
            </w:r>
          </w:p>
        </w:tc>
        <w:tc>
          <w:tcPr>
            <w:tcW w:w="904" w:type="dxa"/>
            <w:hideMark/>
          </w:tcPr>
          <w:p w14:paraId="03D9D990" w14:textId="77777777" w:rsidR="001F7D0A" w:rsidRPr="00A10306" w:rsidRDefault="001F7D0A" w:rsidP="000F69F7">
            <w:pPr>
              <w:jc w:val="center"/>
              <w:rPr>
                <w:rFonts w:ascii="Times New Roman" w:eastAsia="Times New Roman" w:hAnsi="Times New Roman" w:cs="Times New Roman"/>
                <w:kern w:val="0"/>
                <w:lang w:eastAsia="en-IN"/>
                <w14:ligatures w14:val="none"/>
              </w:rPr>
            </w:pPr>
            <w:r w:rsidRPr="00A10306">
              <w:rPr>
                <w:rFonts w:ascii="Times New Roman" w:eastAsia="Times New Roman" w:hAnsi="Times New Roman" w:cs="Times New Roman"/>
                <w:kern w:val="0"/>
                <w:lang w:eastAsia="en-IN"/>
                <w14:ligatures w14:val="none"/>
              </w:rPr>
              <w:t>Squash</w:t>
            </w:r>
          </w:p>
        </w:tc>
        <w:tc>
          <w:tcPr>
            <w:tcW w:w="763" w:type="dxa"/>
            <w:hideMark/>
          </w:tcPr>
          <w:p w14:paraId="577C1033"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1.0</w:t>
            </w:r>
          </w:p>
        </w:tc>
        <w:tc>
          <w:tcPr>
            <w:tcW w:w="537" w:type="dxa"/>
            <w:hideMark/>
          </w:tcPr>
          <w:p w14:paraId="4D8658C8"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45</w:t>
            </w:r>
          </w:p>
        </w:tc>
        <w:tc>
          <w:tcPr>
            <w:tcW w:w="744" w:type="dxa"/>
            <w:hideMark/>
          </w:tcPr>
          <w:p w14:paraId="3608CBD8"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5.6 ± 0.1</w:t>
            </w:r>
          </w:p>
        </w:tc>
        <w:tc>
          <w:tcPr>
            <w:tcW w:w="631" w:type="dxa"/>
            <w:hideMark/>
          </w:tcPr>
          <w:p w14:paraId="0A80F97C"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5.5 ± 0.1</w:t>
            </w:r>
          </w:p>
        </w:tc>
        <w:tc>
          <w:tcPr>
            <w:tcW w:w="715" w:type="dxa"/>
            <w:hideMark/>
          </w:tcPr>
          <w:p w14:paraId="10EFBFA0"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5.4 ± 0.1</w:t>
            </w:r>
          </w:p>
        </w:tc>
        <w:tc>
          <w:tcPr>
            <w:tcW w:w="961" w:type="dxa"/>
            <w:hideMark/>
          </w:tcPr>
          <w:p w14:paraId="58970BBB"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5.3 ± 0.1</w:t>
            </w:r>
          </w:p>
        </w:tc>
        <w:tc>
          <w:tcPr>
            <w:tcW w:w="981" w:type="dxa"/>
            <w:hideMark/>
          </w:tcPr>
          <w:p w14:paraId="35A9DE06" w14:textId="77777777" w:rsidR="001F7D0A" w:rsidRPr="009D7407" w:rsidRDefault="001F7D0A" w:rsidP="000F69F7">
            <w:pPr>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5.4 ± 0.1</w:t>
            </w:r>
          </w:p>
        </w:tc>
        <w:tc>
          <w:tcPr>
            <w:tcW w:w="1197" w:type="dxa"/>
            <w:hideMark/>
          </w:tcPr>
          <w:p w14:paraId="50B764E5" w14:textId="77777777" w:rsidR="001F7D0A" w:rsidRPr="0024302B" w:rsidRDefault="001F7D0A" w:rsidP="001F7D0A">
            <w:pPr>
              <w:pStyle w:val="ListParagraph"/>
              <w:numPr>
                <w:ilvl w:val="1"/>
                <w:numId w:val="5"/>
              </w:numPr>
              <w:jc w:val="center"/>
              <w:rPr>
                <w:rFonts w:ascii="Times New Roman" w:eastAsia="Times New Roman" w:hAnsi="Times New Roman" w:cs="Times New Roman"/>
                <w:kern w:val="0"/>
                <w:sz w:val="24"/>
                <w:szCs w:val="24"/>
                <w:lang w:eastAsia="en-IN"/>
                <w14:ligatures w14:val="none"/>
              </w:rPr>
            </w:pPr>
            <w:r w:rsidRPr="0024302B">
              <w:rPr>
                <w:rFonts w:ascii="Times New Roman" w:eastAsia="Times New Roman" w:hAnsi="Times New Roman" w:cs="Times New Roman"/>
                <w:kern w:val="0"/>
                <w:sz w:val="24"/>
                <w:szCs w:val="24"/>
                <w:lang w:eastAsia="en-IN"/>
                <w14:ligatures w14:val="none"/>
              </w:rPr>
              <w:t xml:space="preserve"> 0.23 </w:t>
            </w:r>
            <w:r w:rsidRPr="0024302B">
              <w:rPr>
                <w:rFonts w:ascii="Times New Roman" w:eastAsia="Times New Roman" w:hAnsi="Times New Roman" w:cs="Times New Roman"/>
                <w:kern w:val="0"/>
                <w:sz w:val="24"/>
                <w:szCs w:val="24"/>
                <w:vertAlign w:val="superscript"/>
                <w:lang w:eastAsia="en-IN"/>
                <w14:ligatures w14:val="none"/>
              </w:rPr>
              <w:t>d</w:t>
            </w:r>
          </w:p>
        </w:tc>
      </w:tr>
    </w:tbl>
    <w:p w14:paraId="5CC02370" w14:textId="77777777" w:rsidR="001F7D0A" w:rsidRPr="009D7407" w:rsidRDefault="001F7D0A" w:rsidP="001F7D0A">
      <w:pPr>
        <w:spacing w:after="0" w:line="360" w:lineRule="auto"/>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b/>
          <w:bCs/>
          <w:kern w:val="0"/>
          <w:sz w:val="24"/>
          <w:szCs w:val="24"/>
          <w:lang w:eastAsia="en-IN"/>
          <w14:ligatures w14:val="none"/>
        </w:rPr>
        <w:t>Notes:</w:t>
      </w:r>
      <w:r>
        <w:rPr>
          <w:rFonts w:ascii="Times New Roman" w:eastAsia="Times New Roman" w:hAnsi="Times New Roman" w:cs="Times New Roman"/>
          <w:b/>
          <w:bCs/>
          <w:kern w:val="0"/>
          <w:sz w:val="24"/>
          <w:szCs w:val="24"/>
          <w:lang w:eastAsia="en-IN"/>
          <w14:ligatures w14:val="none"/>
        </w:rPr>
        <w:t xml:space="preserve"> </w:t>
      </w:r>
      <w:r w:rsidRPr="009D7407">
        <w:rPr>
          <w:rFonts w:ascii="Times New Roman" w:eastAsia="Times New Roman" w:hAnsi="Times New Roman" w:cs="Times New Roman"/>
          <w:kern w:val="0"/>
          <w:sz w:val="24"/>
          <w:szCs w:val="24"/>
          <w:lang w:eastAsia="en-IN"/>
          <w14:ligatures w14:val="none"/>
        </w:rPr>
        <w:t>Values are mean ± SE of 15 panelist scores.</w:t>
      </w:r>
      <w:r>
        <w:rPr>
          <w:rFonts w:ascii="Times New Roman" w:eastAsia="Times New Roman" w:hAnsi="Times New Roman" w:cs="Times New Roman"/>
          <w:kern w:val="0"/>
          <w:sz w:val="24"/>
          <w:szCs w:val="24"/>
          <w:lang w:eastAsia="en-IN"/>
          <w14:ligatures w14:val="none"/>
        </w:rPr>
        <w:t xml:space="preserve"> </w:t>
      </w:r>
      <w:r w:rsidRPr="009D7407">
        <w:rPr>
          <w:rFonts w:ascii="Times New Roman" w:eastAsia="Times New Roman" w:hAnsi="Times New Roman" w:cs="Times New Roman"/>
          <w:kern w:val="0"/>
          <w:sz w:val="24"/>
          <w:szCs w:val="24"/>
          <w:lang w:eastAsia="en-IN"/>
          <w14:ligatures w14:val="none"/>
        </w:rPr>
        <w:t>Different letters (a, b, c) in a column indicate significant differences at p ≤ 0.05 (Tukey’s HSD).</w:t>
      </w:r>
    </w:p>
    <w:p w14:paraId="5C7193AD" w14:textId="77777777" w:rsidR="001F7D0A" w:rsidRPr="00F971C7" w:rsidRDefault="001F7D0A" w:rsidP="00A42B3F">
      <w:pPr>
        <w:ind w:firstLine="720"/>
        <w:jc w:val="both"/>
        <w:rPr>
          <w:rFonts w:ascii="Times New Roman" w:hAnsi="Times New Roman" w:cs="Times New Roman"/>
          <w:sz w:val="24"/>
          <w:szCs w:val="24"/>
        </w:rPr>
      </w:pPr>
    </w:p>
    <w:p w14:paraId="160CC7CD" w14:textId="77777777" w:rsidR="00A42B3F" w:rsidRPr="00F971C7" w:rsidRDefault="00FB2619" w:rsidP="00FB2619">
      <w:pPr>
        <w:rPr>
          <w:rFonts w:ascii="Times New Roman" w:hAnsi="Times New Roman" w:cs="Times New Roman"/>
          <w:sz w:val="24"/>
          <w:szCs w:val="24"/>
        </w:rPr>
      </w:pPr>
      <w:r w:rsidRPr="00F971C7">
        <w:rPr>
          <w:rFonts w:ascii="Times New Roman" w:hAnsi="Times New Roman" w:cs="Times New Roman"/>
          <w:b/>
          <w:bCs/>
          <w:sz w:val="24"/>
          <w:szCs w:val="24"/>
        </w:rPr>
        <w:t>3.4. Standardization of Final Beverage Recipes</w:t>
      </w:r>
      <w:r w:rsidRPr="00F971C7">
        <w:rPr>
          <w:rFonts w:ascii="Times New Roman" w:hAnsi="Times New Roman" w:cs="Times New Roman"/>
          <w:sz w:val="24"/>
          <w:szCs w:val="24"/>
        </w:rPr>
        <w:br/>
      </w:r>
    </w:p>
    <w:p w14:paraId="6903639B" w14:textId="38C91A90" w:rsidR="00FB2619" w:rsidRPr="00F971C7" w:rsidRDefault="00FB2619" w:rsidP="00A42B3F">
      <w:pPr>
        <w:ind w:firstLine="720"/>
        <w:jc w:val="both"/>
        <w:rPr>
          <w:rFonts w:ascii="Times New Roman" w:hAnsi="Times New Roman" w:cs="Times New Roman"/>
          <w:sz w:val="24"/>
          <w:szCs w:val="24"/>
        </w:rPr>
      </w:pPr>
      <w:r w:rsidRPr="00F971C7">
        <w:rPr>
          <w:rFonts w:ascii="Times New Roman" w:hAnsi="Times New Roman" w:cs="Times New Roman"/>
          <w:sz w:val="24"/>
          <w:szCs w:val="24"/>
        </w:rPr>
        <w:lastRenderedPageBreak/>
        <w:t>With the optimal blending ratio (75:25) and sweetener ratio (S75St25) identified, the final stage of optimization involved fine-tuning the Total Soluble Solids (TSS) and acidity. Nine recipes for each beverage type (RTS, nectar, squash) with varying TSS and acidity levels were evaluated.</w:t>
      </w:r>
    </w:p>
    <w:p w14:paraId="42111BEF" w14:textId="77777777" w:rsidR="00FB2619" w:rsidRDefault="00FB2619" w:rsidP="00A42B3F">
      <w:pPr>
        <w:ind w:firstLine="720"/>
        <w:jc w:val="both"/>
        <w:rPr>
          <w:rFonts w:ascii="Times New Roman" w:hAnsi="Times New Roman" w:cs="Times New Roman"/>
          <w:sz w:val="24"/>
          <w:szCs w:val="24"/>
        </w:rPr>
      </w:pPr>
      <w:r w:rsidRPr="00F971C7">
        <w:rPr>
          <w:rFonts w:ascii="Times New Roman" w:hAnsi="Times New Roman" w:cs="Times New Roman"/>
          <w:sz w:val="24"/>
          <w:szCs w:val="24"/>
        </w:rPr>
        <w:t>A clear pattern emerged: recipes with intermediate values consistently outperformed those at the extremes. For RTS beverages, recipe R5 (12% TSS, 0.25% acidity) received the highest overall acceptability score (8.2 ± 0.1). Similarly, for nectar, R5 (14% TSS, 0.25% acidity) was most preferred, and for squash, R5 (45% TSS, 1.10% acidity) was the winner. This "Goldilocks zone" of TSS and acidity represents a perfect balance where the sweetness is perceived as pleasant and natural, and the acidity provides a refreshing tartness without being sharp or sour. Lower TSS made beverages taste flat and watery, while higher TSS were perceived as cloying. Lower acidity resulted in a bland flavor, whereas higher acidity was unpleasantly sharp. The consistent identification of a single optimal recipe (R5) for each beverage type underscores the robustness of this optimization process and provides a clear, standardized formula for commercial production.</w:t>
      </w:r>
    </w:p>
    <w:p w14:paraId="6E0FBBF4" w14:textId="77777777" w:rsidR="00074990" w:rsidRPr="00F971C7" w:rsidRDefault="00074990" w:rsidP="00A42B3F">
      <w:pPr>
        <w:ind w:firstLine="720"/>
        <w:jc w:val="both"/>
        <w:rPr>
          <w:rFonts w:ascii="Times New Roman" w:hAnsi="Times New Roman" w:cs="Times New Roman"/>
          <w:sz w:val="24"/>
          <w:szCs w:val="24"/>
        </w:rPr>
      </w:pPr>
    </w:p>
    <w:p w14:paraId="2821E808" w14:textId="676EBB11" w:rsidR="00A42B3F" w:rsidRPr="00F971C7" w:rsidRDefault="00FB2619" w:rsidP="00FB2619">
      <w:pPr>
        <w:rPr>
          <w:rFonts w:ascii="Times New Roman" w:hAnsi="Times New Roman" w:cs="Times New Roman"/>
          <w:sz w:val="24"/>
          <w:szCs w:val="24"/>
        </w:rPr>
      </w:pPr>
      <w:r w:rsidRPr="00F971C7">
        <w:rPr>
          <w:rFonts w:ascii="Times New Roman" w:hAnsi="Times New Roman" w:cs="Times New Roman"/>
          <w:b/>
          <w:bCs/>
          <w:sz w:val="24"/>
          <w:szCs w:val="24"/>
        </w:rPr>
        <w:t>4. Conclusion</w:t>
      </w:r>
    </w:p>
    <w:p w14:paraId="25696582" w14:textId="0359D3E0" w:rsidR="00FB2619" w:rsidRDefault="00FB2619" w:rsidP="00A42B3F">
      <w:pPr>
        <w:ind w:firstLine="720"/>
        <w:jc w:val="both"/>
        <w:rPr>
          <w:rFonts w:ascii="Times New Roman" w:hAnsi="Times New Roman" w:cs="Times New Roman"/>
          <w:sz w:val="24"/>
          <w:szCs w:val="24"/>
        </w:rPr>
      </w:pPr>
      <w:r w:rsidRPr="00F971C7">
        <w:rPr>
          <w:rFonts w:ascii="Times New Roman" w:hAnsi="Times New Roman" w:cs="Times New Roman"/>
          <w:sz w:val="24"/>
          <w:szCs w:val="24"/>
        </w:rPr>
        <w:t>This study successfully demonstrates the scientific development of low-calorie, guava-based blended beverages. The physicochemical profiling of fruits provided a rational basis for selection and blending. Sensory optimization revealed that a 75:25 guava-to-other fruit ratio provides the most balanced and acceptable flavor profile. Critically, the research establishes that a 25% replacement of sugar with stevia (S75St25) is the optimal sweetening strategy, effectively reducing caloric content while maintaining, and even enhancing, sensory acceptability compared to full-sugar or full-stevia formulations. Finally, the standardization of recipes pinpointed the ideal TSS and acidity levels for RTS (12%, 0.25%), nectar (14%, 0.25%), and squash (45%, 1.10%) beverages. These findings provide a comprehensive scientific framework for the food industry to develop commercially viable, health-oriented guava beverages that cater to the growing demand for functional, low-sugar products, simultaneously addressing the issue of post-harvest losses for guava and other tropical fruits.</w:t>
      </w:r>
    </w:p>
    <w:p w14:paraId="5A5AAAD6" w14:textId="77777777" w:rsidR="0002772C" w:rsidRDefault="0002772C" w:rsidP="00A42B3F">
      <w:pPr>
        <w:ind w:firstLine="720"/>
        <w:jc w:val="both"/>
        <w:rPr>
          <w:rFonts w:ascii="Times New Roman" w:hAnsi="Times New Roman" w:cs="Times New Roman"/>
          <w:sz w:val="24"/>
          <w:szCs w:val="24"/>
        </w:rPr>
      </w:pPr>
    </w:p>
    <w:p w14:paraId="5CD4159E" w14:textId="77777777" w:rsidR="0002772C" w:rsidRDefault="0002772C" w:rsidP="00A42B3F">
      <w:pPr>
        <w:ind w:firstLine="720"/>
        <w:jc w:val="both"/>
        <w:rPr>
          <w:rFonts w:ascii="Times New Roman" w:hAnsi="Times New Roman" w:cs="Times New Roman"/>
          <w:sz w:val="24"/>
          <w:szCs w:val="24"/>
        </w:rPr>
      </w:pPr>
    </w:p>
    <w:p w14:paraId="33E82C5E" w14:textId="77777777" w:rsidR="0002772C" w:rsidRPr="0002772C" w:rsidRDefault="0002772C" w:rsidP="0002772C">
      <w:pPr>
        <w:spacing w:after="200" w:line="276" w:lineRule="auto"/>
        <w:jc w:val="both"/>
        <w:outlineLvl w:val="0"/>
        <w:rPr>
          <w:rFonts w:ascii="Arial" w:eastAsia="Times New Roman" w:hAnsi="Arial" w:cs="Arial"/>
          <w:kern w:val="0"/>
          <w:lang w:val="en-GB" w:eastAsia="en-GB"/>
          <w14:ligatures w14:val="none"/>
        </w:rPr>
      </w:pPr>
      <w:r w:rsidRPr="0002772C">
        <w:rPr>
          <w:rFonts w:ascii="Arial" w:eastAsia="Times New Roman" w:hAnsi="Arial" w:cs="Arial"/>
          <w:b/>
          <w:bCs/>
          <w:kern w:val="0"/>
          <w:lang w:val="en-GB" w:eastAsia="en-GB"/>
          <w14:ligatures w14:val="none"/>
        </w:rPr>
        <w:t>COMPETING INTERESTS DISCLAIMER:</w:t>
      </w:r>
    </w:p>
    <w:p w14:paraId="6CFAECCF" w14:textId="77777777" w:rsidR="0002772C" w:rsidRPr="0002772C" w:rsidRDefault="0002772C" w:rsidP="0002772C">
      <w:pPr>
        <w:spacing w:after="200" w:line="276" w:lineRule="auto"/>
        <w:rPr>
          <w:rFonts w:ascii="Calibri" w:eastAsia="Times New Roman" w:hAnsi="Calibri" w:cs="Times New Roman"/>
          <w:kern w:val="0"/>
          <w:lang w:val="en-GB" w:eastAsia="en-GB"/>
          <w14:ligatures w14:val="none"/>
        </w:rPr>
      </w:pPr>
      <w:r w:rsidRPr="0002772C">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67E45E9" w14:textId="77777777" w:rsidR="0002772C" w:rsidRDefault="0002772C" w:rsidP="00A42B3F">
      <w:pPr>
        <w:ind w:firstLine="720"/>
        <w:jc w:val="both"/>
        <w:rPr>
          <w:rFonts w:ascii="Times New Roman" w:hAnsi="Times New Roman" w:cs="Times New Roman"/>
          <w:sz w:val="24"/>
          <w:szCs w:val="24"/>
        </w:rPr>
      </w:pPr>
    </w:p>
    <w:p w14:paraId="01328D93" w14:textId="34B124D0" w:rsidR="007D430C" w:rsidRDefault="009B33EF">
      <w:pPr>
        <w:rPr>
          <w:rFonts w:ascii="Times New Roman" w:hAnsi="Times New Roman" w:cs="Times New Roman"/>
          <w:b/>
          <w:bCs/>
          <w:sz w:val="24"/>
          <w:szCs w:val="24"/>
        </w:rPr>
      </w:pPr>
      <w:r>
        <w:rPr>
          <w:rFonts w:ascii="Times New Roman" w:hAnsi="Times New Roman" w:cs="Times New Roman"/>
          <w:b/>
          <w:bCs/>
          <w:sz w:val="24"/>
          <w:szCs w:val="24"/>
        </w:rPr>
        <w:t>References ;</w:t>
      </w:r>
    </w:p>
    <w:p w14:paraId="40C14EBE" w14:textId="77777777" w:rsidR="006813C3" w:rsidRDefault="006813C3">
      <w:pPr>
        <w:rPr>
          <w:rFonts w:ascii="Times New Roman" w:hAnsi="Times New Roman" w:cs="Times New Roman"/>
          <w:b/>
          <w:bCs/>
          <w:sz w:val="24"/>
          <w:szCs w:val="24"/>
        </w:rPr>
      </w:pPr>
    </w:p>
    <w:p w14:paraId="131ADC32" w14:textId="77777777" w:rsidR="00DD1A46" w:rsidRPr="00DD1A46" w:rsidRDefault="00DD1A46" w:rsidP="00DD1A46">
      <w:pPr>
        <w:pStyle w:val="ListParagraph"/>
        <w:numPr>
          <w:ilvl w:val="0"/>
          <w:numId w:val="7"/>
        </w:numPr>
        <w:spacing w:after="0" w:line="240" w:lineRule="auto"/>
        <w:jc w:val="both"/>
        <w:rPr>
          <w:rFonts w:ascii="Times New Roman" w:hAnsi="Times New Roman" w:cs="Times New Roman"/>
          <w:sz w:val="24"/>
          <w:szCs w:val="24"/>
        </w:rPr>
      </w:pPr>
      <w:r w:rsidRPr="00DD1A46">
        <w:rPr>
          <w:rFonts w:ascii="Times New Roman" w:hAnsi="Times New Roman" w:cs="Times New Roman"/>
          <w:sz w:val="24"/>
          <w:szCs w:val="24"/>
        </w:rPr>
        <w:lastRenderedPageBreak/>
        <w:t>Ahmad, U., Ahmad, R. S., Imran, A., Mushtaqq, Z., &amp; Hussian, S. M. (2019). Characterization of low calorie ready-to-serve peach beverage using natural sweetener, Stevia (</w:t>
      </w:r>
      <w:r w:rsidRPr="00DD1A46">
        <w:rPr>
          <w:rFonts w:ascii="Times New Roman" w:hAnsi="Times New Roman" w:cs="Times New Roman"/>
          <w:i/>
          <w:iCs/>
          <w:sz w:val="24"/>
          <w:szCs w:val="24"/>
        </w:rPr>
        <w:t>Stevia rebaudiana</w:t>
      </w:r>
      <w:r w:rsidRPr="00DD1A46">
        <w:rPr>
          <w:rFonts w:ascii="Times New Roman" w:hAnsi="Times New Roman" w:cs="Times New Roman"/>
          <w:sz w:val="24"/>
          <w:szCs w:val="24"/>
        </w:rPr>
        <w:t> Bertoni). </w:t>
      </w:r>
      <w:r w:rsidRPr="00DD1A46">
        <w:rPr>
          <w:rFonts w:ascii="Times New Roman" w:hAnsi="Times New Roman" w:cs="Times New Roman"/>
          <w:i/>
          <w:iCs/>
          <w:sz w:val="24"/>
          <w:szCs w:val="24"/>
        </w:rPr>
        <w:t>J Nutr Internal Med</w:t>
      </w:r>
      <w:r w:rsidRPr="00DD1A46">
        <w:rPr>
          <w:rFonts w:ascii="Times New Roman" w:hAnsi="Times New Roman" w:cs="Times New Roman"/>
          <w:sz w:val="24"/>
          <w:szCs w:val="24"/>
        </w:rPr>
        <w:t>, *21*(1), 435-444.</w:t>
      </w:r>
    </w:p>
    <w:p w14:paraId="087E2104" w14:textId="77777777" w:rsidR="00DD1A46" w:rsidRPr="00DD1A46" w:rsidRDefault="00DD1A46" w:rsidP="00DD1A46">
      <w:pPr>
        <w:pStyle w:val="ListParagraph"/>
        <w:numPr>
          <w:ilvl w:val="0"/>
          <w:numId w:val="7"/>
        </w:numPr>
        <w:spacing w:after="0" w:line="240" w:lineRule="auto"/>
        <w:jc w:val="both"/>
        <w:rPr>
          <w:rFonts w:ascii="Times New Roman" w:hAnsi="Times New Roman" w:cs="Times New Roman"/>
          <w:sz w:val="24"/>
          <w:szCs w:val="24"/>
        </w:rPr>
      </w:pPr>
      <w:r w:rsidRPr="00DD1A46">
        <w:rPr>
          <w:rFonts w:ascii="Times New Roman" w:hAnsi="Times New Roman" w:cs="Times New Roman"/>
          <w:sz w:val="24"/>
          <w:szCs w:val="24"/>
        </w:rPr>
        <w:t>Baliga, M. S., Bhat, H. P., Baliga, B. R. V., Wilson, R., &amp; Palatty, P. L. (2011). Phytochemistry, traditional uses and pharmacology of </w:t>
      </w:r>
      <w:r w:rsidRPr="00DD1A46">
        <w:rPr>
          <w:rFonts w:ascii="Times New Roman" w:hAnsi="Times New Roman" w:cs="Times New Roman"/>
          <w:i/>
          <w:iCs/>
          <w:sz w:val="24"/>
          <w:szCs w:val="24"/>
        </w:rPr>
        <w:t>Eugenia jambolana</w:t>
      </w:r>
      <w:r w:rsidRPr="00DD1A46">
        <w:rPr>
          <w:rFonts w:ascii="Times New Roman" w:hAnsi="Times New Roman" w:cs="Times New Roman"/>
          <w:sz w:val="24"/>
          <w:szCs w:val="24"/>
        </w:rPr>
        <w:t> Lam. (black plum): A review. </w:t>
      </w:r>
      <w:r w:rsidRPr="00DD1A46">
        <w:rPr>
          <w:rFonts w:ascii="Times New Roman" w:hAnsi="Times New Roman" w:cs="Times New Roman"/>
          <w:i/>
          <w:iCs/>
          <w:sz w:val="24"/>
          <w:szCs w:val="24"/>
        </w:rPr>
        <w:t>Food Research International</w:t>
      </w:r>
      <w:r w:rsidRPr="00DD1A46">
        <w:rPr>
          <w:rFonts w:ascii="Times New Roman" w:hAnsi="Times New Roman" w:cs="Times New Roman"/>
          <w:sz w:val="24"/>
          <w:szCs w:val="24"/>
        </w:rPr>
        <w:t>, *44*(7), 1776–1789.</w:t>
      </w:r>
    </w:p>
    <w:p w14:paraId="69C5486E" w14:textId="77777777" w:rsidR="00DD1A46" w:rsidRPr="00DD1A46" w:rsidRDefault="00DD1A46" w:rsidP="00DD1A46">
      <w:pPr>
        <w:pStyle w:val="ListParagraph"/>
        <w:numPr>
          <w:ilvl w:val="0"/>
          <w:numId w:val="7"/>
        </w:numPr>
        <w:spacing w:after="0" w:line="240" w:lineRule="auto"/>
        <w:jc w:val="both"/>
        <w:rPr>
          <w:rFonts w:ascii="Times New Roman" w:hAnsi="Times New Roman" w:cs="Times New Roman"/>
          <w:sz w:val="24"/>
          <w:szCs w:val="24"/>
        </w:rPr>
      </w:pPr>
      <w:r w:rsidRPr="00DD1A46">
        <w:rPr>
          <w:rFonts w:ascii="Times New Roman" w:hAnsi="Times New Roman" w:cs="Times New Roman"/>
          <w:sz w:val="24"/>
          <w:szCs w:val="24"/>
        </w:rPr>
        <w:t>Fagherazzi, G., Vilier, A., Saes Sartorelli, D., Lajous, M., Balkau, B., &amp; Clavel-Chapelon, F. (2013). Consumption of artificially and sugar-sweetened beverages and incident type 2 diabetes in the Etude Epidémiologique auprès des femmes de la Mutuelle Générale de l’Education Nationale–European Prospective Investigation into Cancer and Nutrition cohort. </w:t>
      </w:r>
      <w:r w:rsidRPr="00DD1A46">
        <w:rPr>
          <w:rFonts w:ascii="Times New Roman" w:hAnsi="Times New Roman" w:cs="Times New Roman"/>
          <w:i/>
          <w:iCs/>
          <w:sz w:val="24"/>
          <w:szCs w:val="24"/>
        </w:rPr>
        <w:t>The American Journal of Clinical Nutrition</w:t>
      </w:r>
      <w:r w:rsidRPr="00DD1A46">
        <w:rPr>
          <w:rFonts w:ascii="Times New Roman" w:hAnsi="Times New Roman" w:cs="Times New Roman"/>
          <w:sz w:val="24"/>
          <w:szCs w:val="24"/>
        </w:rPr>
        <w:t>, *97*(3), 517-523.</w:t>
      </w:r>
    </w:p>
    <w:p w14:paraId="507883B8" w14:textId="77777777" w:rsidR="00DD1A46" w:rsidRPr="00DD1A46" w:rsidRDefault="00DD1A46" w:rsidP="00DD1A46">
      <w:pPr>
        <w:pStyle w:val="ds-markdown-paragraph"/>
        <w:numPr>
          <w:ilvl w:val="0"/>
          <w:numId w:val="7"/>
        </w:numPr>
        <w:shd w:val="clear" w:color="auto" w:fill="FFFFFF"/>
        <w:spacing w:before="240" w:beforeAutospacing="0" w:after="0" w:afterAutospacing="0"/>
        <w:jc w:val="both"/>
        <w:rPr>
          <w:color w:val="0F1115"/>
        </w:rPr>
      </w:pPr>
      <w:r w:rsidRPr="00DD1A46">
        <w:rPr>
          <w:color w:val="0F1115"/>
        </w:rPr>
        <w:t>Fagherazzi, G., Vilier, A., Saes Sartorelli, D., Lajous, M., Balkau, B., &amp; Clavel-Chapelon, F. (2013). Consumption of artificially and sugar-sweetened beverages and incident type 2 diabetes in the Etude Epidémiologique auprès des femmes de la Mutuelle Générale de l’Education Nationale–European Prospective Investigation into Cancer and Nutrition cohort. </w:t>
      </w:r>
      <w:r w:rsidRPr="00DD1A46">
        <w:rPr>
          <w:rStyle w:val="Emphasis"/>
          <w:rFonts w:eastAsiaTheme="majorEastAsia"/>
          <w:color w:val="0F1115"/>
        </w:rPr>
        <w:t>The American Journal of Clinical Nutrition</w:t>
      </w:r>
      <w:r w:rsidRPr="00DD1A46">
        <w:rPr>
          <w:color w:val="0F1115"/>
        </w:rPr>
        <w:t>, *97*(3), 517-523.</w:t>
      </w:r>
    </w:p>
    <w:p w14:paraId="3A6208EE" w14:textId="77777777" w:rsidR="00DD1A46" w:rsidRPr="00DD1A46" w:rsidRDefault="00DD1A46" w:rsidP="00DD1A46">
      <w:pPr>
        <w:pStyle w:val="ListParagraph"/>
        <w:numPr>
          <w:ilvl w:val="0"/>
          <w:numId w:val="7"/>
        </w:numPr>
        <w:spacing w:after="0" w:line="240" w:lineRule="auto"/>
        <w:jc w:val="both"/>
        <w:rPr>
          <w:rFonts w:ascii="Times New Roman" w:hAnsi="Times New Roman" w:cs="Times New Roman"/>
          <w:sz w:val="24"/>
          <w:szCs w:val="24"/>
        </w:rPr>
      </w:pPr>
      <w:r w:rsidRPr="00DD1A46">
        <w:rPr>
          <w:rFonts w:ascii="Times New Roman" w:hAnsi="Times New Roman" w:cs="Times New Roman"/>
          <w:sz w:val="24"/>
          <w:szCs w:val="24"/>
        </w:rPr>
        <w:t>Goyal, S. K., Samsher, N., &amp; Goyal, R. (2010). Stevia (</w:t>
      </w:r>
      <w:r w:rsidRPr="00DD1A46">
        <w:rPr>
          <w:rFonts w:ascii="Times New Roman" w:hAnsi="Times New Roman" w:cs="Times New Roman"/>
          <w:i/>
          <w:iCs/>
          <w:sz w:val="24"/>
          <w:szCs w:val="24"/>
        </w:rPr>
        <w:t>Stevia rebaudiana</w:t>
      </w:r>
      <w:r w:rsidRPr="00DD1A46">
        <w:rPr>
          <w:rFonts w:ascii="Times New Roman" w:hAnsi="Times New Roman" w:cs="Times New Roman"/>
          <w:sz w:val="24"/>
          <w:szCs w:val="24"/>
        </w:rPr>
        <w:t>) a bio-sweetener: A review. </w:t>
      </w:r>
      <w:r w:rsidRPr="00DD1A46">
        <w:rPr>
          <w:rFonts w:ascii="Times New Roman" w:hAnsi="Times New Roman" w:cs="Times New Roman"/>
          <w:i/>
          <w:iCs/>
          <w:sz w:val="24"/>
          <w:szCs w:val="24"/>
        </w:rPr>
        <w:t>International Journal of Food Sciences and Nutrition</w:t>
      </w:r>
      <w:r w:rsidRPr="00DD1A46">
        <w:rPr>
          <w:rFonts w:ascii="Times New Roman" w:hAnsi="Times New Roman" w:cs="Times New Roman"/>
          <w:sz w:val="24"/>
          <w:szCs w:val="24"/>
        </w:rPr>
        <w:t>, *61*(1), 1–10.</w:t>
      </w:r>
    </w:p>
    <w:p w14:paraId="5DFD5931" w14:textId="77777777" w:rsidR="00DD1A46" w:rsidRPr="00DD1A46" w:rsidRDefault="00DD1A46" w:rsidP="00DD1A46">
      <w:pPr>
        <w:pStyle w:val="ListParagraph"/>
        <w:numPr>
          <w:ilvl w:val="0"/>
          <w:numId w:val="7"/>
        </w:numPr>
        <w:spacing w:after="0" w:line="240" w:lineRule="auto"/>
        <w:jc w:val="both"/>
        <w:rPr>
          <w:rFonts w:ascii="Times New Roman" w:hAnsi="Times New Roman" w:cs="Times New Roman"/>
          <w:sz w:val="24"/>
          <w:szCs w:val="24"/>
        </w:rPr>
      </w:pPr>
      <w:r w:rsidRPr="00DD1A46">
        <w:rPr>
          <w:rFonts w:ascii="Times New Roman" w:hAnsi="Times New Roman" w:cs="Times New Roman"/>
          <w:sz w:val="24"/>
          <w:szCs w:val="24"/>
        </w:rPr>
        <w:t>Gutiérrez, R. M. P., Mitchell, S., &amp; Solis, R. V. (2008). </w:t>
      </w:r>
      <w:r w:rsidRPr="00DD1A46">
        <w:rPr>
          <w:rFonts w:ascii="Times New Roman" w:hAnsi="Times New Roman" w:cs="Times New Roman"/>
          <w:i/>
          <w:iCs/>
          <w:sz w:val="24"/>
          <w:szCs w:val="24"/>
        </w:rPr>
        <w:t>Psidium guajava</w:t>
      </w:r>
      <w:r w:rsidRPr="00DD1A46">
        <w:rPr>
          <w:rFonts w:ascii="Times New Roman" w:hAnsi="Times New Roman" w:cs="Times New Roman"/>
          <w:sz w:val="24"/>
          <w:szCs w:val="24"/>
        </w:rPr>
        <w:t>: A review of its traditional uses, phytochemistry and pharmacology. </w:t>
      </w:r>
      <w:r w:rsidRPr="00DD1A46">
        <w:rPr>
          <w:rFonts w:ascii="Times New Roman" w:hAnsi="Times New Roman" w:cs="Times New Roman"/>
          <w:i/>
          <w:iCs/>
          <w:sz w:val="24"/>
          <w:szCs w:val="24"/>
        </w:rPr>
        <w:t>Journal of Ethnopharmacology</w:t>
      </w:r>
      <w:r w:rsidRPr="00DD1A46">
        <w:rPr>
          <w:rFonts w:ascii="Times New Roman" w:hAnsi="Times New Roman" w:cs="Times New Roman"/>
          <w:sz w:val="24"/>
          <w:szCs w:val="24"/>
        </w:rPr>
        <w:t>, *117*(1), 1–27.</w:t>
      </w:r>
    </w:p>
    <w:p w14:paraId="5B53989F" w14:textId="77777777" w:rsidR="00DD1A46" w:rsidRPr="00DD1A46" w:rsidRDefault="00DD1A46" w:rsidP="00DD1A46">
      <w:pPr>
        <w:pStyle w:val="ds-markdown-paragraph"/>
        <w:numPr>
          <w:ilvl w:val="0"/>
          <w:numId w:val="7"/>
        </w:numPr>
        <w:shd w:val="clear" w:color="auto" w:fill="FFFFFF"/>
        <w:spacing w:before="240" w:beforeAutospacing="0" w:after="0" w:afterAutospacing="0"/>
        <w:jc w:val="both"/>
        <w:rPr>
          <w:color w:val="0F1115"/>
        </w:rPr>
      </w:pPr>
      <w:r w:rsidRPr="00DD1A46">
        <w:rPr>
          <w:color w:val="0F1115"/>
        </w:rPr>
        <w:t>Hemalatha, R., Kumar, A., Prakash, O., Supriya, A., Chauhan, A. S., &amp; Kudachikar, V. B. (2018). Development and quality evaluation of ready to serve (RTS) beverage from cape gooseberry (</w:t>
      </w:r>
      <w:r w:rsidRPr="00DD1A46">
        <w:rPr>
          <w:rStyle w:val="Emphasis"/>
          <w:rFonts w:eastAsiaTheme="majorEastAsia"/>
          <w:color w:val="0F1115"/>
        </w:rPr>
        <w:t>Physalis peruviana</w:t>
      </w:r>
      <w:r w:rsidRPr="00DD1A46">
        <w:rPr>
          <w:color w:val="0F1115"/>
        </w:rPr>
        <w:t> L.). </w:t>
      </w:r>
      <w:r w:rsidRPr="00DD1A46">
        <w:rPr>
          <w:rStyle w:val="Emphasis"/>
          <w:rFonts w:eastAsiaTheme="majorEastAsia"/>
          <w:color w:val="0F1115"/>
        </w:rPr>
        <w:t>Beverages</w:t>
      </w:r>
      <w:r w:rsidRPr="00DD1A46">
        <w:rPr>
          <w:color w:val="0F1115"/>
        </w:rPr>
        <w:t>, *4*(2), 42.</w:t>
      </w:r>
    </w:p>
    <w:p w14:paraId="3112F437" w14:textId="77777777" w:rsidR="00DD1A46" w:rsidRPr="00DD1A46" w:rsidRDefault="00DD1A46" w:rsidP="00DD1A46">
      <w:pPr>
        <w:pStyle w:val="ListParagraph"/>
        <w:numPr>
          <w:ilvl w:val="0"/>
          <w:numId w:val="7"/>
        </w:numPr>
        <w:spacing w:after="0" w:line="240" w:lineRule="auto"/>
        <w:jc w:val="both"/>
        <w:rPr>
          <w:rFonts w:ascii="Times New Roman" w:hAnsi="Times New Roman" w:cs="Times New Roman"/>
          <w:sz w:val="24"/>
          <w:szCs w:val="24"/>
        </w:rPr>
      </w:pPr>
      <w:r w:rsidRPr="00DD1A46">
        <w:rPr>
          <w:rFonts w:ascii="Times New Roman" w:hAnsi="Times New Roman" w:cs="Times New Roman"/>
          <w:sz w:val="24"/>
          <w:szCs w:val="24"/>
        </w:rPr>
        <w:t>Jiménez-Escrig, A., Rincón, M., Pulido, R., &amp; Saura-Calixto, F. (2001). Guava fruit (</w:t>
      </w:r>
      <w:r w:rsidRPr="00DD1A46">
        <w:rPr>
          <w:rFonts w:ascii="Times New Roman" w:hAnsi="Times New Roman" w:cs="Times New Roman"/>
          <w:i/>
          <w:iCs/>
          <w:sz w:val="24"/>
          <w:szCs w:val="24"/>
        </w:rPr>
        <w:t>Psidium guajava</w:t>
      </w:r>
      <w:r w:rsidRPr="00DD1A46">
        <w:rPr>
          <w:rFonts w:ascii="Times New Roman" w:hAnsi="Times New Roman" w:cs="Times New Roman"/>
          <w:sz w:val="24"/>
          <w:szCs w:val="24"/>
        </w:rPr>
        <w:t> L.) as a new source of antioxidant dietary fiber. </w:t>
      </w:r>
      <w:r w:rsidRPr="00DD1A46">
        <w:rPr>
          <w:rFonts w:ascii="Times New Roman" w:hAnsi="Times New Roman" w:cs="Times New Roman"/>
          <w:i/>
          <w:iCs/>
          <w:sz w:val="24"/>
          <w:szCs w:val="24"/>
        </w:rPr>
        <w:t>Journal of Agricultural and Food Chemistry</w:t>
      </w:r>
      <w:r w:rsidRPr="00DD1A46">
        <w:rPr>
          <w:rFonts w:ascii="Times New Roman" w:hAnsi="Times New Roman" w:cs="Times New Roman"/>
          <w:sz w:val="24"/>
          <w:szCs w:val="24"/>
        </w:rPr>
        <w:t>, *49*(11), 5489–5493.</w:t>
      </w:r>
    </w:p>
    <w:p w14:paraId="3F2F9D66" w14:textId="77777777" w:rsidR="00DD1A46" w:rsidRPr="00DD1A46" w:rsidRDefault="00DD1A46" w:rsidP="00DD1A46">
      <w:pPr>
        <w:pStyle w:val="ListParagraph"/>
        <w:numPr>
          <w:ilvl w:val="0"/>
          <w:numId w:val="7"/>
        </w:numPr>
        <w:spacing w:after="0" w:line="240" w:lineRule="auto"/>
        <w:jc w:val="both"/>
        <w:rPr>
          <w:rFonts w:ascii="Times New Roman" w:hAnsi="Times New Roman" w:cs="Times New Roman"/>
          <w:sz w:val="24"/>
          <w:szCs w:val="24"/>
        </w:rPr>
      </w:pPr>
      <w:r w:rsidRPr="00DD1A46">
        <w:rPr>
          <w:rFonts w:ascii="Times New Roman" w:hAnsi="Times New Roman" w:cs="Times New Roman"/>
          <w:sz w:val="24"/>
          <w:szCs w:val="24"/>
        </w:rPr>
        <w:t>Kamiloglu, S., Serali, O., Unal, N., &amp; Capanoglu, E. (2013). Antioxidant activity and polyphenol composition of black mulberry (</w:t>
      </w:r>
      <w:r w:rsidRPr="00DD1A46">
        <w:rPr>
          <w:rFonts w:ascii="Times New Roman" w:hAnsi="Times New Roman" w:cs="Times New Roman"/>
          <w:i/>
          <w:iCs/>
          <w:sz w:val="24"/>
          <w:szCs w:val="24"/>
        </w:rPr>
        <w:t>Morus nigra</w:t>
      </w:r>
      <w:r w:rsidRPr="00DD1A46">
        <w:rPr>
          <w:rFonts w:ascii="Times New Roman" w:hAnsi="Times New Roman" w:cs="Times New Roman"/>
          <w:sz w:val="24"/>
          <w:szCs w:val="24"/>
        </w:rPr>
        <w:t> L.) products. </w:t>
      </w:r>
      <w:r w:rsidRPr="00DD1A46">
        <w:rPr>
          <w:rFonts w:ascii="Times New Roman" w:hAnsi="Times New Roman" w:cs="Times New Roman"/>
          <w:i/>
          <w:iCs/>
          <w:sz w:val="24"/>
          <w:szCs w:val="24"/>
        </w:rPr>
        <w:t>Journal of Berry Research</w:t>
      </w:r>
      <w:r w:rsidRPr="00DD1A46">
        <w:rPr>
          <w:rFonts w:ascii="Times New Roman" w:hAnsi="Times New Roman" w:cs="Times New Roman"/>
          <w:sz w:val="24"/>
          <w:szCs w:val="24"/>
        </w:rPr>
        <w:t>, *3*(1), 41-51.</w:t>
      </w:r>
    </w:p>
    <w:p w14:paraId="20B62D78" w14:textId="77777777" w:rsidR="00DD1A46" w:rsidRPr="00DD1A46" w:rsidRDefault="00DD1A46" w:rsidP="00DD1A46">
      <w:pPr>
        <w:pStyle w:val="ListParagraph"/>
        <w:numPr>
          <w:ilvl w:val="0"/>
          <w:numId w:val="7"/>
        </w:numPr>
        <w:spacing w:after="0" w:line="240" w:lineRule="auto"/>
        <w:jc w:val="both"/>
        <w:rPr>
          <w:rFonts w:ascii="Times New Roman" w:hAnsi="Times New Roman" w:cs="Times New Roman"/>
          <w:sz w:val="24"/>
          <w:szCs w:val="24"/>
        </w:rPr>
      </w:pPr>
      <w:r w:rsidRPr="00DD1A46">
        <w:rPr>
          <w:rFonts w:ascii="Times New Roman" w:hAnsi="Times New Roman" w:cs="Times New Roman"/>
          <w:sz w:val="24"/>
          <w:szCs w:val="24"/>
        </w:rPr>
        <w:t>Kumar, K., Singh, K. K., Gupta, S., Harendra, Singh, R. S., Singh, G., Singh, M., &amp; Pathak, S. (2024). Biochemical studies of annatto coloured guava beverages on storage. </w:t>
      </w:r>
      <w:r w:rsidRPr="00DD1A46">
        <w:rPr>
          <w:rFonts w:ascii="Times New Roman" w:hAnsi="Times New Roman" w:cs="Times New Roman"/>
          <w:i/>
          <w:iCs/>
          <w:sz w:val="24"/>
          <w:szCs w:val="24"/>
        </w:rPr>
        <w:t>International Journal of Environment and Climate Change</w:t>
      </w:r>
      <w:r w:rsidRPr="00DD1A46">
        <w:rPr>
          <w:rFonts w:ascii="Times New Roman" w:hAnsi="Times New Roman" w:cs="Times New Roman"/>
          <w:sz w:val="24"/>
          <w:szCs w:val="24"/>
        </w:rPr>
        <w:t>, *14*(10), 374–379.</w:t>
      </w:r>
    </w:p>
    <w:p w14:paraId="07FB1F27" w14:textId="77777777" w:rsidR="00DD1A46" w:rsidRPr="00DD1A46" w:rsidRDefault="00DD1A46" w:rsidP="00DD1A46">
      <w:pPr>
        <w:pStyle w:val="ListParagraph"/>
        <w:numPr>
          <w:ilvl w:val="0"/>
          <w:numId w:val="7"/>
        </w:numPr>
        <w:spacing w:after="0" w:line="240" w:lineRule="auto"/>
        <w:jc w:val="both"/>
        <w:rPr>
          <w:rFonts w:ascii="Times New Roman" w:hAnsi="Times New Roman" w:cs="Times New Roman"/>
          <w:sz w:val="24"/>
          <w:szCs w:val="24"/>
        </w:rPr>
      </w:pPr>
      <w:r w:rsidRPr="00DD1A46">
        <w:rPr>
          <w:rFonts w:ascii="Times New Roman" w:hAnsi="Times New Roman" w:cs="Times New Roman"/>
          <w:sz w:val="24"/>
          <w:szCs w:val="24"/>
        </w:rPr>
        <w:t>Legua, P., Forner-Giner, M. Á., Nuncio-Jáuregui, N., &amp; Hernández, F. (2016). Polyphenolic compounds, anthocyanins and antioxidant activity of nineteen pomegranate fruits: A rich source of bioactive compounds. </w:t>
      </w:r>
      <w:r w:rsidRPr="00DD1A46">
        <w:rPr>
          <w:rFonts w:ascii="Times New Roman" w:hAnsi="Times New Roman" w:cs="Times New Roman"/>
          <w:i/>
          <w:iCs/>
          <w:sz w:val="24"/>
          <w:szCs w:val="24"/>
        </w:rPr>
        <w:t>Journal of Functional Foods</w:t>
      </w:r>
      <w:r w:rsidRPr="00DD1A46">
        <w:rPr>
          <w:rFonts w:ascii="Times New Roman" w:hAnsi="Times New Roman" w:cs="Times New Roman"/>
          <w:sz w:val="24"/>
          <w:szCs w:val="24"/>
        </w:rPr>
        <w:t>, *23*, 628-636.</w:t>
      </w:r>
    </w:p>
    <w:p w14:paraId="47E6C461" w14:textId="77777777" w:rsidR="00DD1A46" w:rsidRPr="00DD1A46" w:rsidRDefault="00DD1A46" w:rsidP="00DD1A46">
      <w:pPr>
        <w:pStyle w:val="ds-markdown-paragraph"/>
        <w:numPr>
          <w:ilvl w:val="0"/>
          <w:numId w:val="7"/>
        </w:numPr>
        <w:shd w:val="clear" w:color="auto" w:fill="FFFFFF"/>
        <w:spacing w:before="240" w:beforeAutospacing="0" w:after="0" w:afterAutospacing="0"/>
        <w:jc w:val="both"/>
        <w:rPr>
          <w:color w:val="0F1115"/>
        </w:rPr>
      </w:pPr>
      <w:r w:rsidRPr="00DD1A46">
        <w:rPr>
          <w:color w:val="0F1115"/>
        </w:rPr>
        <w:t>Pushpa Chethan Kumar, B., Singh, S., Kumar, R., &amp; Mishra, A. (2023). Quality evaluation of sweet orange, guava and ginger based RTS beverages during storage. </w:t>
      </w:r>
      <w:r w:rsidRPr="00DD1A46">
        <w:rPr>
          <w:rStyle w:val="Emphasis"/>
          <w:rFonts w:eastAsiaTheme="majorEastAsia"/>
          <w:color w:val="0F1115"/>
        </w:rPr>
        <w:t>Journal of Food Science and Technology</w:t>
      </w:r>
      <w:r w:rsidRPr="00DD1A46">
        <w:rPr>
          <w:color w:val="0F1115"/>
        </w:rPr>
        <w:t>, *60*(8), 2543–2552.</w:t>
      </w:r>
    </w:p>
    <w:p w14:paraId="7B089354" w14:textId="77777777" w:rsidR="00DD1A46" w:rsidRPr="00DD1A46" w:rsidRDefault="00DD1A46" w:rsidP="00DD1A46">
      <w:pPr>
        <w:pStyle w:val="ListParagraph"/>
        <w:numPr>
          <w:ilvl w:val="0"/>
          <w:numId w:val="7"/>
        </w:numPr>
        <w:spacing w:after="0" w:line="240" w:lineRule="auto"/>
        <w:jc w:val="both"/>
        <w:rPr>
          <w:rFonts w:ascii="Times New Roman" w:hAnsi="Times New Roman" w:cs="Times New Roman"/>
          <w:sz w:val="24"/>
          <w:szCs w:val="24"/>
        </w:rPr>
      </w:pPr>
      <w:r w:rsidRPr="00DD1A46">
        <w:rPr>
          <w:rFonts w:ascii="Times New Roman" w:hAnsi="Times New Roman" w:cs="Times New Roman"/>
          <w:sz w:val="24"/>
          <w:szCs w:val="24"/>
        </w:rPr>
        <w:t>Rashid, R., Bhat, A., Dayal, A., Sood, M., &amp; Sharma, S. (2018). Studies on storage stability of guava RTS. </w:t>
      </w:r>
      <w:r w:rsidRPr="00DD1A46">
        <w:rPr>
          <w:rFonts w:ascii="Times New Roman" w:hAnsi="Times New Roman" w:cs="Times New Roman"/>
          <w:i/>
          <w:iCs/>
          <w:sz w:val="24"/>
          <w:szCs w:val="24"/>
        </w:rPr>
        <w:t>The Pharma Innovation Journal</w:t>
      </w:r>
      <w:r w:rsidRPr="00DD1A46">
        <w:rPr>
          <w:rFonts w:ascii="Times New Roman" w:hAnsi="Times New Roman" w:cs="Times New Roman"/>
          <w:sz w:val="24"/>
          <w:szCs w:val="24"/>
        </w:rPr>
        <w:t>, *7*(5), 230-233.</w:t>
      </w:r>
    </w:p>
    <w:p w14:paraId="1308F268" w14:textId="77777777" w:rsidR="00DD1A46" w:rsidRPr="00DD1A46" w:rsidRDefault="00DD1A46" w:rsidP="00DD1A46">
      <w:pPr>
        <w:pStyle w:val="ds-markdown-paragraph"/>
        <w:numPr>
          <w:ilvl w:val="0"/>
          <w:numId w:val="7"/>
        </w:numPr>
        <w:shd w:val="clear" w:color="auto" w:fill="FFFFFF"/>
        <w:spacing w:before="240" w:beforeAutospacing="0" w:after="0" w:afterAutospacing="0"/>
        <w:jc w:val="both"/>
        <w:rPr>
          <w:color w:val="0F1115"/>
        </w:rPr>
      </w:pPr>
      <w:r w:rsidRPr="00DD1A46">
        <w:rPr>
          <w:color w:val="0F1115"/>
        </w:rPr>
        <w:lastRenderedPageBreak/>
        <w:t>Rashid, R., Bhat, A., Dayal, A., Sood, M., &amp; Sharma, S. (2018). Studies on storage stability of guava RTS. </w:t>
      </w:r>
      <w:r w:rsidRPr="00DD1A46">
        <w:rPr>
          <w:rStyle w:val="Emphasis"/>
          <w:rFonts w:eastAsiaTheme="majorEastAsia"/>
          <w:color w:val="0F1115"/>
        </w:rPr>
        <w:t>The Pharma Innovation Journal</w:t>
      </w:r>
      <w:r w:rsidRPr="00DD1A46">
        <w:rPr>
          <w:color w:val="0F1115"/>
        </w:rPr>
        <w:t>, *7*(5), 230-233.</w:t>
      </w:r>
    </w:p>
    <w:p w14:paraId="5948410B" w14:textId="77777777" w:rsidR="00DD1A46" w:rsidRPr="00DD1A46" w:rsidRDefault="00DD1A46" w:rsidP="00DD1A46">
      <w:pPr>
        <w:pStyle w:val="ListParagraph"/>
        <w:numPr>
          <w:ilvl w:val="0"/>
          <w:numId w:val="7"/>
        </w:numPr>
        <w:spacing w:after="0" w:line="240" w:lineRule="auto"/>
        <w:jc w:val="both"/>
        <w:rPr>
          <w:rFonts w:ascii="Times New Roman" w:hAnsi="Times New Roman" w:cs="Times New Roman"/>
          <w:sz w:val="24"/>
          <w:szCs w:val="24"/>
        </w:rPr>
      </w:pPr>
      <w:r w:rsidRPr="00DD1A46">
        <w:rPr>
          <w:rFonts w:ascii="Times New Roman" w:hAnsi="Times New Roman" w:cs="Times New Roman"/>
          <w:sz w:val="24"/>
          <w:szCs w:val="24"/>
        </w:rPr>
        <w:t>Rathinasamy, M., Ayyasamy, S., Velusamy, S., &amp; Suresh, A. (2022). Natural fruits based ready to serve (RTS) beverages: A review. </w:t>
      </w:r>
      <w:r w:rsidRPr="00DD1A46">
        <w:rPr>
          <w:rFonts w:ascii="Times New Roman" w:hAnsi="Times New Roman" w:cs="Times New Roman"/>
          <w:i/>
          <w:iCs/>
          <w:sz w:val="24"/>
          <w:szCs w:val="24"/>
        </w:rPr>
        <w:t>Journal of Food Science and Technology</w:t>
      </w:r>
      <w:r w:rsidRPr="00DD1A46">
        <w:rPr>
          <w:rFonts w:ascii="Times New Roman" w:hAnsi="Times New Roman" w:cs="Times New Roman"/>
          <w:sz w:val="24"/>
          <w:szCs w:val="24"/>
        </w:rPr>
        <w:t>, *59*(12), 4563–4569.</w:t>
      </w:r>
    </w:p>
    <w:p w14:paraId="43F424DA" w14:textId="77777777" w:rsidR="00DD1A46" w:rsidRPr="00DD1A46" w:rsidRDefault="00DD1A46" w:rsidP="00DD1A46">
      <w:pPr>
        <w:pStyle w:val="ds-markdown-paragraph"/>
        <w:numPr>
          <w:ilvl w:val="0"/>
          <w:numId w:val="7"/>
        </w:numPr>
        <w:shd w:val="clear" w:color="auto" w:fill="FFFFFF"/>
        <w:spacing w:before="240" w:beforeAutospacing="0" w:after="0" w:afterAutospacing="0"/>
        <w:jc w:val="both"/>
        <w:rPr>
          <w:color w:val="0F1115"/>
        </w:rPr>
      </w:pPr>
      <w:r w:rsidRPr="00DD1A46">
        <w:rPr>
          <w:color w:val="0F1115"/>
        </w:rPr>
        <w:t>Rathinasamy, M., Ayyasamy, S., Velusamy, S., &amp; Suresh, A. (2022). Natural fruits based ready to serve (RTS) beverages: a review. </w:t>
      </w:r>
      <w:r w:rsidRPr="00DD1A46">
        <w:rPr>
          <w:rStyle w:val="Emphasis"/>
          <w:rFonts w:eastAsiaTheme="majorEastAsia"/>
          <w:color w:val="0F1115"/>
        </w:rPr>
        <w:t>Journal of Food Science and Technology</w:t>
      </w:r>
      <w:r w:rsidRPr="00DD1A46">
        <w:rPr>
          <w:color w:val="0F1115"/>
        </w:rPr>
        <w:t>, *59*(12), 4563–4569.</w:t>
      </w:r>
    </w:p>
    <w:p w14:paraId="0836A194" w14:textId="77777777" w:rsidR="00DD1A46" w:rsidRPr="00DD1A46" w:rsidRDefault="00DD1A46" w:rsidP="00DD1A46">
      <w:pPr>
        <w:pStyle w:val="ListParagraph"/>
        <w:numPr>
          <w:ilvl w:val="0"/>
          <w:numId w:val="7"/>
        </w:numPr>
        <w:spacing w:after="0" w:line="240" w:lineRule="auto"/>
        <w:jc w:val="both"/>
        <w:rPr>
          <w:rFonts w:ascii="Times New Roman" w:hAnsi="Times New Roman" w:cs="Times New Roman"/>
          <w:sz w:val="24"/>
          <w:szCs w:val="24"/>
        </w:rPr>
      </w:pPr>
      <w:r w:rsidRPr="00DD1A46">
        <w:rPr>
          <w:rFonts w:ascii="Times New Roman" w:hAnsi="Times New Roman" w:cs="Times New Roman"/>
          <w:sz w:val="24"/>
          <w:szCs w:val="24"/>
        </w:rPr>
        <w:t>U.S. Food and Drug Administration. (2018, February 8). </w:t>
      </w:r>
      <w:r w:rsidRPr="00DD1A46">
        <w:rPr>
          <w:rFonts w:ascii="Times New Roman" w:hAnsi="Times New Roman" w:cs="Times New Roman"/>
          <w:i/>
          <w:iCs/>
          <w:sz w:val="24"/>
          <w:szCs w:val="24"/>
        </w:rPr>
        <w:t>Additional Information about High-Intensity Sweeteners Permitted for Use in Food in the United States</w:t>
      </w:r>
      <w:r w:rsidRPr="00DD1A46">
        <w:rPr>
          <w:rFonts w:ascii="Times New Roman" w:hAnsi="Times New Roman" w:cs="Times New Roman"/>
          <w:sz w:val="24"/>
          <w:szCs w:val="24"/>
        </w:rPr>
        <w:t>. Retrieved August 13, 2018, from </w:t>
      </w:r>
      <w:hyperlink r:id="rId7" w:tgtFrame="_blank" w:history="1">
        <w:r w:rsidRPr="00DD1A46">
          <w:rPr>
            <w:rStyle w:val="Hyperlink"/>
            <w:rFonts w:ascii="Times New Roman" w:hAnsi="Times New Roman" w:cs="Times New Roman"/>
            <w:sz w:val="24"/>
            <w:szCs w:val="24"/>
          </w:rPr>
          <w:t>https://www.fda.gov/food/ingredientspackaginglabeling/foodadditivesingredients/ucm397725.htm</w:t>
        </w:r>
      </w:hyperlink>
    </w:p>
    <w:p w14:paraId="32E17133" w14:textId="77777777" w:rsidR="00DD1A46" w:rsidRPr="00DD1A46" w:rsidRDefault="00DD1A46" w:rsidP="00DD1A46">
      <w:pPr>
        <w:pStyle w:val="ListParagraph"/>
        <w:numPr>
          <w:ilvl w:val="0"/>
          <w:numId w:val="7"/>
        </w:numPr>
        <w:spacing w:after="0" w:line="240" w:lineRule="auto"/>
        <w:jc w:val="both"/>
        <w:rPr>
          <w:rFonts w:ascii="Times New Roman" w:hAnsi="Times New Roman" w:cs="Times New Roman"/>
          <w:sz w:val="24"/>
          <w:szCs w:val="24"/>
        </w:rPr>
      </w:pPr>
      <w:r w:rsidRPr="00DD1A46">
        <w:rPr>
          <w:rFonts w:ascii="Times New Roman" w:hAnsi="Times New Roman" w:cs="Times New Roman"/>
          <w:sz w:val="24"/>
          <w:szCs w:val="24"/>
        </w:rPr>
        <w:t>Yadav, S. K., Sarolia, D., Pilania, S., Meena, H., &amp; Mahawer, L. (2017). Studies on Keeping Quality of Preserved Guava Pulp during Storage. </w:t>
      </w:r>
      <w:r w:rsidRPr="00DD1A46">
        <w:rPr>
          <w:rFonts w:ascii="Times New Roman" w:hAnsi="Times New Roman" w:cs="Times New Roman"/>
          <w:i/>
          <w:iCs/>
          <w:sz w:val="24"/>
          <w:szCs w:val="24"/>
        </w:rPr>
        <w:t>International Journal of Current Microbiology and Applied Sciences</w:t>
      </w:r>
      <w:r w:rsidRPr="00DD1A46">
        <w:rPr>
          <w:rFonts w:ascii="Times New Roman" w:hAnsi="Times New Roman" w:cs="Times New Roman"/>
          <w:sz w:val="24"/>
          <w:szCs w:val="24"/>
        </w:rPr>
        <w:t>, *6*(3), 1235-1242.</w:t>
      </w:r>
    </w:p>
    <w:p w14:paraId="4418A9E3" w14:textId="77777777" w:rsidR="00ED408B" w:rsidRPr="00DD1A46" w:rsidRDefault="00ED408B" w:rsidP="00DD1A46">
      <w:pPr>
        <w:pStyle w:val="ListParagraph"/>
        <w:spacing w:after="0" w:line="240" w:lineRule="auto"/>
        <w:jc w:val="both"/>
        <w:rPr>
          <w:rFonts w:ascii="Times New Roman" w:hAnsi="Times New Roman" w:cs="Times New Roman"/>
          <w:sz w:val="24"/>
          <w:szCs w:val="24"/>
        </w:rPr>
      </w:pPr>
    </w:p>
    <w:sectPr w:rsidR="00ED408B" w:rsidRPr="00DD1A4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427FB" w14:textId="77777777" w:rsidR="008A3F93" w:rsidRDefault="008A3F93" w:rsidP="009E727A">
      <w:pPr>
        <w:spacing w:after="0" w:line="240" w:lineRule="auto"/>
      </w:pPr>
      <w:r>
        <w:separator/>
      </w:r>
    </w:p>
  </w:endnote>
  <w:endnote w:type="continuationSeparator" w:id="0">
    <w:p w14:paraId="4E754E7D" w14:textId="77777777" w:rsidR="008A3F93" w:rsidRDefault="008A3F93" w:rsidP="009E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4AD9" w14:textId="77777777" w:rsidR="009E727A" w:rsidRDefault="009E7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EE8A8" w14:textId="77777777" w:rsidR="009E727A" w:rsidRDefault="009E7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7287" w14:textId="77777777" w:rsidR="009E727A" w:rsidRDefault="009E7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B3CBE" w14:textId="77777777" w:rsidR="008A3F93" w:rsidRDefault="008A3F93" w:rsidP="009E727A">
      <w:pPr>
        <w:spacing w:after="0" w:line="240" w:lineRule="auto"/>
      </w:pPr>
      <w:r>
        <w:separator/>
      </w:r>
    </w:p>
  </w:footnote>
  <w:footnote w:type="continuationSeparator" w:id="0">
    <w:p w14:paraId="59AE385B" w14:textId="77777777" w:rsidR="008A3F93" w:rsidRDefault="008A3F93" w:rsidP="009E7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1D35" w14:textId="2D49D6E2" w:rsidR="009E727A" w:rsidRDefault="009E727A">
    <w:pPr>
      <w:pStyle w:val="Header"/>
    </w:pPr>
    <w:r>
      <w:rPr>
        <w:noProof/>
      </w:rPr>
      <w:pict w14:anchorId="19CEC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50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C515" w14:textId="768FC7AC" w:rsidR="009E727A" w:rsidRDefault="009E727A">
    <w:pPr>
      <w:pStyle w:val="Header"/>
    </w:pPr>
    <w:r>
      <w:rPr>
        <w:noProof/>
      </w:rPr>
      <w:pict w14:anchorId="14B81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50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142CB" w14:textId="30E9BAEF" w:rsidR="009E727A" w:rsidRDefault="009E727A">
    <w:pPr>
      <w:pStyle w:val="Header"/>
    </w:pPr>
    <w:r>
      <w:rPr>
        <w:noProof/>
      </w:rPr>
      <w:pict w14:anchorId="4F4BF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50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C61"/>
    <w:multiLevelType w:val="multilevel"/>
    <w:tmpl w:val="E9DEA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C83160"/>
    <w:multiLevelType w:val="multilevel"/>
    <w:tmpl w:val="F394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507C3"/>
    <w:multiLevelType w:val="multilevel"/>
    <w:tmpl w:val="FA8EA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E7966"/>
    <w:multiLevelType w:val="multilevel"/>
    <w:tmpl w:val="4418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05240"/>
    <w:multiLevelType w:val="hybridMultilevel"/>
    <w:tmpl w:val="15D844B6"/>
    <w:lvl w:ilvl="0" w:tplc="D18C6F02">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87403E5"/>
    <w:multiLevelType w:val="hybridMultilevel"/>
    <w:tmpl w:val="30A6D2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9C86EED"/>
    <w:multiLevelType w:val="multilevel"/>
    <w:tmpl w:val="A71A1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B44201"/>
    <w:multiLevelType w:val="multilevel"/>
    <w:tmpl w:val="C8AA959C"/>
    <w:lvl w:ilvl="0">
      <w:start w:val="5"/>
      <w:numFmt w:val="decimal"/>
      <w:lvlText w:val="%1"/>
      <w:lvlJc w:val="left"/>
      <w:pPr>
        <w:ind w:left="420" w:hanging="420"/>
      </w:pPr>
      <w:rPr>
        <w:rFonts w:hint="default"/>
      </w:rPr>
    </w:lvl>
    <w:lvl w:ilvl="1">
      <w:start w:val="5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E52BE7"/>
    <w:multiLevelType w:val="hybridMultilevel"/>
    <w:tmpl w:val="52E46CAC"/>
    <w:lvl w:ilvl="0" w:tplc="4F3E80D0">
      <w:start w:val="1"/>
      <w:numFmt w:val="bullet"/>
      <w:lvlText w:val=""/>
      <w:lvlJc w:val="left"/>
      <w:pPr>
        <w:ind w:left="1080" w:hanging="360"/>
      </w:pPr>
      <w:rPr>
        <w:rFonts w:ascii="Symbol" w:eastAsiaTheme="minorHAns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7"/>
  </w:num>
  <w:num w:numId="6">
    <w:abstractNumId w:val="2"/>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AB"/>
    <w:rsid w:val="000273E7"/>
    <w:rsid w:val="0002772C"/>
    <w:rsid w:val="00027E98"/>
    <w:rsid w:val="00074990"/>
    <w:rsid w:val="00170281"/>
    <w:rsid w:val="001745BF"/>
    <w:rsid w:val="001954C9"/>
    <w:rsid w:val="001E0D4B"/>
    <w:rsid w:val="001F2B8A"/>
    <w:rsid w:val="001F7D0A"/>
    <w:rsid w:val="002344C6"/>
    <w:rsid w:val="0029420D"/>
    <w:rsid w:val="002C6799"/>
    <w:rsid w:val="00323713"/>
    <w:rsid w:val="00343C7D"/>
    <w:rsid w:val="003A4609"/>
    <w:rsid w:val="00434AFC"/>
    <w:rsid w:val="004F5F57"/>
    <w:rsid w:val="005055B5"/>
    <w:rsid w:val="00534916"/>
    <w:rsid w:val="005A157B"/>
    <w:rsid w:val="005D786C"/>
    <w:rsid w:val="005E1727"/>
    <w:rsid w:val="005E57BB"/>
    <w:rsid w:val="00613FA0"/>
    <w:rsid w:val="00652C2F"/>
    <w:rsid w:val="006813C3"/>
    <w:rsid w:val="006D0566"/>
    <w:rsid w:val="007103A6"/>
    <w:rsid w:val="00722194"/>
    <w:rsid w:val="00727409"/>
    <w:rsid w:val="007473AB"/>
    <w:rsid w:val="007532B8"/>
    <w:rsid w:val="0078009C"/>
    <w:rsid w:val="007B710D"/>
    <w:rsid w:val="007D430C"/>
    <w:rsid w:val="008A3487"/>
    <w:rsid w:val="008A3F93"/>
    <w:rsid w:val="008C7FF8"/>
    <w:rsid w:val="008D71C2"/>
    <w:rsid w:val="00931C81"/>
    <w:rsid w:val="009B33EF"/>
    <w:rsid w:val="009E1A60"/>
    <w:rsid w:val="009E727A"/>
    <w:rsid w:val="00A0651B"/>
    <w:rsid w:val="00A10306"/>
    <w:rsid w:val="00A22144"/>
    <w:rsid w:val="00A42B3F"/>
    <w:rsid w:val="00A450C1"/>
    <w:rsid w:val="00A50372"/>
    <w:rsid w:val="00A82D26"/>
    <w:rsid w:val="00A9618C"/>
    <w:rsid w:val="00AC0A40"/>
    <w:rsid w:val="00AF6E6C"/>
    <w:rsid w:val="00B47B49"/>
    <w:rsid w:val="00BC2D2F"/>
    <w:rsid w:val="00C66EAC"/>
    <w:rsid w:val="00D54787"/>
    <w:rsid w:val="00DD1A46"/>
    <w:rsid w:val="00E222E2"/>
    <w:rsid w:val="00EA4E67"/>
    <w:rsid w:val="00ED408B"/>
    <w:rsid w:val="00ED613C"/>
    <w:rsid w:val="00F56E05"/>
    <w:rsid w:val="00F574C3"/>
    <w:rsid w:val="00F971C7"/>
    <w:rsid w:val="00FB261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06BCC1"/>
  <w15:chartTrackingRefBased/>
  <w15:docId w15:val="{DDCC8DF0-AE0A-497D-B005-E8FB56BC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3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73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73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73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73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7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3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73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73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73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73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7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3AB"/>
    <w:rPr>
      <w:rFonts w:eastAsiaTheme="majorEastAsia" w:cstheme="majorBidi"/>
      <w:color w:val="272727" w:themeColor="text1" w:themeTint="D8"/>
    </w:rPr>
  </w:style>
  <w:style w:type="paragraph" w:styleId="Title">
    <w:name w:val="Title"/>
    <w:basedOn w:val="Normal"/>
    <w:next w:val="Normal"/>
    <w:link w:val="TitleChar"/>
    <w:uiPriority w:val="10"/>
    <w:qFormat/>
    <w:rsid w:val="00747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3AB"/>
    <w:pPr>
      <w:spacing w:before="160"/>
      <w:jc w:val="center"/>
    </w:pPr>
    <w:rPr>
      <w:i/>
      <w:iCs/>
      <w:color w:val="404040" w:themeColor="text1" w:themeTint="BF"/>
    </w:rPr>
  </w:style>
  <w:style w:type="character" w:customStyle="1" w:styleId="QuoteChar">
    <w:name w:val="Quote Char"/>
    <w:basedOn w:val="DefaultParagraphFont"/>
    <w:link w:val="Quote"/>
    <w:uiPriority w:val="29"/>
    <w:rsid w:val="007473AB"/>
    <w:rPr>
      <w:i/>
      <w:iCs/>
      <w:color w:val="404040" w:themeColor="text1" w:themeTint="BF"/>
    </w:rPr>
  </w:style>
  <w:style w:type="paragraph" w:styleId="ListParagraph">
    <w:name w:val="List Paragraph"/>
    <w:basedOn w:val="Normal"/>
    <w:uiPriority w:val="34"/>
    <w:qFormat/>
    <w:rsid w:val="007473AB"/>
    <w:pPr>
      <w:ind w:left="720"/>
      <w:contextualSpacing/>
    </w:pPr>
  </w:style>
  <w:style w:type="character" w:styleId="IntenseEmphasis">
    <w:name w:val="Intense Emphasis"/>
    <w:basedOn w:val="DefaultParagraphFont"/>
    <w:uiPriority w:val="21"/>
    <w:qFormat/>
    <w:rsid w:val="007473AB"/>
    <w:rPr>
      <w:i/>
      <w:iCs/>
      <w:color w:val="2F5496" w:themeColor="accent1" w:themeShade="BF"/>
    </w:rPr>
  </w:style>
  <w:style w:type="paragraph" w:styleId="IntenseQuote">
    <w:name w:val="Intense Quote"/>
    <w:basedOn w:val="Normal"/>
    <w:next w:val="Normal"/>
    <w:link w:val="IntenseQuoteChar"/>
    <w:uiPriority w:val="30"/>
    <w:qFormat/>
    <w:rsid w:val="00747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73AB"/>
    <w:rPr>
      <w:i/>
      <w:iCs/>
      <w:color w:val="2F5496" w:themeColor="accent1" w:themeShade="BF"/>
    </w:rPr>
  </w:style>
  <w:style w:type="character" w:styleId="IntenseReference">
    <w:name w:val="Intense Reference"/>
    <w:basedOn w:val="DefaultParagraphFont"/>
    <w:uiPriority w:val="32"/>
    <w:qFormat/>
    <w:rsid w:val="007473AB"/>
    <w:rPr>
      <w:b/>
      <w:bCs/>
      <w:smallCaps/>
      <w:color w:val="2F5496" w:themeColor="accent1" w:themeShade="BF"/>
      <w:spacing w:val="5"/>
    </w:rPr>
  </w:style>
  <w:style w:type="table" w:styleId="TableGrid">
    <w:name w:val="Table Grid"/>
    <w:basedOn w:val="TableNormal"/>
    <w:uiPriority w:val="39"/>
    <w:rsid w:val="00BC2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E0D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B33EF"/>
    <w:rPr>
      <w:color w:val="0563C1" w:themeColor="hyperlink"/>
      <w:u w:val="single"/>
    </w:rPr>
  </w:style>
  <w:style w:type="character" w:styleId="UnresolvedMention">
    <w:name w:val="Unresolved Mention"/>
    <w:basedOn w:val="DefaultParagraphFont"/>
    <w:uiPriority w:val="99"/>
    <w:semiHidden/>
    <w:unhideWhenUsed/>
    <w:rsid w:val="009B33EF"/>
    <w:rPr>
      <w:color w:val="605E5C"/>
      <w:shd w:val="clear" w:color="auto" w:fill="E1DFDD"/>
    </w:rPr>
  </w:style>
  <w:style w:type="paragraph" w:customStyle="1" w:styleId="ds-markdown-paragraph">
    <w:name w:val="ds-markdown-paragraph"/>
    <w:basedOn w:val="Normal"/>
    <w:rsid w:val="00ED408B"/>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ED408B"/>
    <w:rPr>
      <w:i/>
      <w:iCs/>
    </w:rPr>
  </w:style>
  <w:style w:type="paragraph" w:styleId="Header">
    <w:name w:val="header"/>
    <w:basedOn w:val="Normal"/>
    <w:link w:val="HeaderChar"/>
    <w:uiPriority w:val="99"/>
    <w:unhideWhenUsed/>
    <w:rsid w:val="009E7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27A"/>
  </w:style>
  <w:style w:type="paragraph" w:styleId="Footer">
    <w:name w:val="footer"/>
    <w:basedOn w:val="Normal"/>
    <w:link w:val="FooterChar"/>
    <w:uiPriority w:val="99"/>
    <w:unhideWhenUsed/>
    <w:rsid w:val="009E7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da.gov/food/ingredientspackaginglabeling/foodadditivesingredients/ucm397725.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3607</Words>
  <Characters>20565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nicobar</dc:creator>
  <cp:keywords/>
  <dc:description/>
  <cp:lastModifiedBy>SDI 1084</cp:lastModifiedBy>
  <cp:revision>19</cp:revision>
  <dcterms:created xsi:type="dcterms:W3CDTF">2025-10-22T03:16:00Z</dcterms:created>
  <dcterms:modified xsi:type="dcterms:W3CDTF">2025-10-28T11:39:00Z</dcterms:modified>
</cp:coreProperties>
</file>