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0475C" w14:textId="77777777" w:rsidR="00724F67" w:rsidRPr="00C45FE2" w:rsidRDefault="00724F67" w:rsidP="00C45FE2">
      <w:pPr>
        <w:spacing w:line="276" w:lineRule="auto"/>
        <w:jc w:val="right"/>
        <w:rPr>
          <w:rFonts w:ascii="Times New Roman" w:hAnsi="Times New Roman" w:cs="Times New Roman"/>
          <w:b/>
          <w:bCs/>
          <w:sz w:val="36"/>
          <w:szCs w:val="36"/>
        </w:rPr>
      </w:pPr>
      <w:r w:rsidRPr="00C45FE2">
        <w:rPr>
          <w:rFonts w:ascii="Times New Roman" w:hAnsi="Times New Roman" w:cs="Times New Roman"/>
          <w:b/>
          <w:bCs/>
          <w:sz w:val="36"/>
          <w:szCs w:val="36"/>
        </w:rPr>
        <w:t>Next-Generation Food Packaging: Nanotechnology Approaches for Quality Preservation and Longevity</w:t>
      </w:r>
    </w:p>
    <w:p w14:paraId="6CEE42A6" w14:textId="77EC6F6D" w:rsidR="00724F67" w:rsidRDefault="00724F67" w:rsidP="00724F67">
      <w:pPr>
        <w:spacing w:line="360" w:lineRule="auto"/>
        <w:jc w:val="both"/>
        <w:rPr>
          <w:rFonts w:ascii="Times New Roman" w:hAnsi="Times New Roman" w:cs="Times New Roman"/>
          <w:sz w:val="24"/>
          <w:szCs w:val="24"/>
        </w:rPr>
      </w:pPr>
    </w:p>
    <w:p w14:paraId="447B913C" w14:textId="77777777" w:rsidR="00F732CD" w:rsidRPr="00724F67" w:rsidRDefault="00F732CD" w:rsidP="00724F67">
      <w:pPr>
        <w:spacing w:line="360" w:lineRule="auto"/>
        <w:jc w:val="both"/>
        <w:rPr>
          <w:rFonts w:ascii="Times New Roman" w:hAnsi="Times New Roman" w:cs="Times New Roman"/>
          <w:sz w:val="24"/>
          <w:szCs w:val="24"/>
        </w:rPr>
      </w:pPr>
      <w:bookmarkStart w:id="0" w:name="_GoBack"/>
      <w:bookmarkEnd w:id="0"/>
    </w:p>
    <w:p w14:paraId="0B7FDD48"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Abstract</w:t>
      </w:r>
    </w:p>
    <w:p w14:paraId="03A92D92" w14:textId="77777777" w:rsidR="00724F67" w:rsidRDefault="00724F67" w:rsidP="00724F67">
      <w:pPr>
        <w:spacing w:line="360" w:lineRule="auto"/>
        <w:jc w:val="both"/>
        <w:rPr>
          <w:rFonts w:ascii="Times New Roman" w:hAnsi="Times New Roman" w:cs="Times New Roman"/>
          <w:sz w:val="24"/>
          <w:szCs w:val="24"/>
        </w:rPr>
      </w:pPr>
      <w:r w:rsidRPr="00724F67">
        <w:rPr>
          <w:rFonts w:ascii="Times New Roman" w:hAnsi="Times New Roman" w:cs="Times New Roman"/>
          <w:sz w:val="24"/>
          <w:szCs w:val="24"/>
        </w:rPr>
        <w:t>The integration of nanotechnology into food packaging marks a paradigm shift toward improved preservation, safety, and sustainability. This review explores recent advances in nanotechnology-based packaging, emphasizing mechanisms, applications, and transformative potential in the food industry. Key nanomaterials such as silver nanoparticles (</w:t>
      </w:r>
      <w:proofErr w:type="spellStart"/>
      <w:r w:rsidRPr="00724F67">
        <w:rPr>
          <w:rFonts w:ascii="Times New Roman" w:hAnsi="Times New Roman" w:cs="Times New Roman"/>
          <w:sz w:val="24"/>
          <w:szCs w:val="24"/>
        </w:rPr>
        <w:t>AgNPs</w:t>
      </w:r>
      <w:proofErr w:type="spellEnd"/>
      <w:r w:rsidRPr="00724F67">
        <w:rPr>
          <w:rFonts w:ascii="Times New Roman" w:hAnsi="Times New Roman" w:cs="Times New Roman"/>
          <w:sz w:val="24"/>
          <w:szCs w:val="24"/>
        </w:rPr>
        <w:t>), zinc oxide nanoparticles (</w:t>
      </w:r>
      <w:proofErr w:type="spellStart"/>
      <w:r w:rsidRPr="00724F67">
        <w:rPr>
          <w:rFonts w:ascii="Times New Roman" w:hAnsi="Times New Roman" w:cs="Times New Roman"/>
          <w:sz w:val="24"/>
          <w:szCs w:val="24"/>
        </w:rPr>
        <w:t>ZnO</w:t>
      </w:r>
      <w:proofErr w:type="spellEnd"/>
      <w:r w:rsidRPr="00724F67">
        <w:rPr>
          <w:rFonts w:ascii="Times New Roman" w:hAnsi="Times New Roman" w:cs="Times New Roman"/>
          <w:sz w:val="24"/>
          <w:szCs w:val="24"/>
        </w:rPr>
        <w:t xml:space="preserve"> NPs), graphene oxide (GO), carbon nanotubes (CNTs), and titanium dioxide nanoparticles (TiO2 NPs) are examined for antimicrobial, barrier-enhancing, and smart sensing properties. Market trends indicate rapid growth, with the nanotechnology food packaging sector projected to reach $63.4 billion by 2034 at an 11.3% CAGR. Despite this promise, challenges persist regarding safety evaluations, regulatory clarity, and consumer acceptance. Emerging directions include intelligent packaging, nanoencapsulation technologies, and biodegradable materials for sustainable solutions. Overall, nanotechnology presents vast opportunities for food quality preservation and extended shelf life, but standardized regulations and comprehensive safety assessments are crucial. Future research should focus on real-time monitoring systems and eco-friendly nanomaterials to address global food security.</w:t>
      </w:r>
    </w:p>
    <w:p w14:paraId="1D8FA7A5" w14:textId="589FC082" w:rsidR="00724F67" w:rsidRPr="00724F67" w:rsidRDefault="00724F67" w:rsidP="00724F67">
      <w:pPr>
        <w:spacing w:line="360" w:lineRule="auto"/>
        <w:jc w:val="both"/>
        <w:rPr>
          <w:rFonts w:ascii="Times New Roman" w:hAnsi="Times New Roman" w:cs="Times New Roman"/>
          <w:sz w:val="24"/>
          <w:szCs w:val="24"/>
        </w:rPr>
      </w:pPr>
      <w:r w:rsidRPr="00724F67">
        <w:rPr>
          <w:rFonts w:ascii="Times New Roman" w:hAnsi="Times New Roman" w:cs="Times New Roman"/>
          <w:b/>
          <w:bCs/>
          <w:sz w:val="24"/>
          <w:szCs w:val="24"/>
        </w:rPr>
        <w:t>Keywords:</w:t>
      </w:r>
      <w:r w:rsidRPr="00724F67">
        <w:rPr>
          <w:rFonts w:ascii="Times New Roman" w:hAnsi="Times New Roman" w:cs="Times New Roman"/>
          <w:sz w:val="24"/>
          <w:szCs w:val="24"/>
        </w:rPr>
        <w:t xml:space="preserve"> nanotechnology, food packaging, nanoparticles, smart packaging, antimicrobial, barrier properties, food preservation </w:t>
      </w:r>
    </w:p>
    <w:p w14:paraId="2B1F217C"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1. Introduction</w:t>
      </w:r>
    </w:p>
    <w:p w14:paraId="35132C83" w14:textId="77777777" w:rsidR="00833122" w:rsidRDefault="00206C59" w:rsidP="00206C59">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The global food packaging industry is undergoing major transitions driven by consumer demands for fresh, safe, and sustainable products. Conventional packaging, though effective for basic protection, often fails to meet modern requirements such as extended shelf life, real-time quality monitoring, and environmental sustainability (</w:t>
      </w:r>
      <w:proofErr w:type="spellStart"/>
      <w:r w:rsidRPr="00206C59">
        <w:rPr>
          <w:rFonts w:ascii="Times New Roman" w:hAnsi="Times New Roman" w:cs="Times New Roman"/>
          <w:sz w:val="24"/>
          <w:szCs w:val="24"/>
        </w:rPr>
        <w:t>Azeredo</w:t>
      </w:r>
      <w:proofErr w:type="spellEnd"/>
      <w:r w:rsidRPr="00206C59">
        <w:rPr>
          <w:rFonts w:ascii="Times New Roman" w:hAnsi="Times New Roman" w:cs="Times New Roman"/>
          <w:sz w:val="24"/>
          <w:szCs w:val="24"/>
        </w:rPr>
        <w:t xml:space="preserve"> et al., 2021). Nanotechnology offers innovative solutions by enabling precise manipulation of materials at the nanoscale, opening new possibilities for food preservation.</w:t>
      </w:r>
      <w:r w:rsidR="00833122">
        <w:rPr>
          <w:rFonts w:ascii="Times New Roman" w:hAnsi="Times New Roman" w:cs="Times New Roman"/>
          <w:sz w:val="24"/>
          <w:szCs w:val="24"/>
        </w:rPr>
        <w:t xml:space="preserve"> </w:t>
      </w:r>
    </w:p>
    <w:p w14:paraId="5B422CB0" w14:textId="77777777" w:rsidR="00833122" w:rsidRDefault="00206C59" w:rsidP="00206C59">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lastRenderedPageBreak/>
        <w:t xml:space="preserve">Nanotechnology in packaging involves materials with at least one dimension between 1 and 100 </w:t>
      </w:r>
      <w:proofErr w:type="spellStart"/>
      <w:r w:rsidRPr="00206C59">
        <w:rPr>
          <w:rFonts w:ascii="Times New Roman" w:hAnsi="Times New Roman" w:cs="Times New Roman"/>
          <w:sz w:val="24"/>
          <w:szCs w:val="24"/>
        </w:rPr>
        <w:t>nanometers</w:t>
      </w:r>
      <w:proofErr w:type="spellEnd"/>
      <w:r w:rsidRPr="00206C59">
        <w:rPr>
          <w:rFonts w:ascii="Times New Roman" w:hAnsi="Times New Roman" w:cs="Times New Roman"/>
          <w:sz w:val="24"/>
          <w:szCs w:val="24"/>
        </w:rPr>
        <w:t xml:space="preserve"> (</w:t>
      </w:r>
      <w:r w:rsidR="007D088B" w:rsidRPr="00A21330">
        <w:rPr>
          <w:rFonts w:ascii="Times New Roman" w:hAnsi="Times New Roman" w:cs="Times New Roman"/>
          <w:sz w:val="24"/>
          <w:szCs w:val="24"/>
        </w:rPr>
        <w:t>Ingle</w:t>
      </w:r>
      <w:r w:rsidR="007D088B" w:rsidRPr="00206C59">
        <w:rPr>
          <w:rFonts w:ascii="Times New Roman" w:hAnsi="Times New Roman" w:cs="Times New Roman"/>
          <w:sz w:val="24"/>
          <w:szCs w:val="24"/>
        </w:rPr>
        <w:t xml:space="preserve"> </w:t>
      </w:r>
      <w:r w:rsidRPr="00206C59">
        <w:rPr>
          <w:rFonts w:ascii="Times New Roman" w:hAnsi="Times New Roman" w:cs="Times New Roman"/>
          <w:sz w:val="24"/>
          <w:szCs w:val="24"/>
        </w:rPr>
        <w:t>et al., 202</w:t>
      </w:r>
      <w:r w:rsidR="007D088B">
        <w:rPr>
          <w:rFonts w:ascii="Times New Roman" w:hAnsi="Times New Roman" w:cs="Times New Roman"/>
          <w:sz w:val="24"/>
          <w:szCs w:val="24"/>
        </w:rPr>
        <w:t>3</w:t>
      </w:r>
      <w:r w:rsidRPr="00206C59">
        <w:rPr>
          <w:rFonts w:ascii="Times New Roman" w:hAnsi="Times New Roman" w:cs="Times New Roman"/>
          <w:sz w:val="24"/>
          <w:szCs w:val="24"/>
        </w:rPr>
        <w:t>). At this scale, unique physicochemical properties emerge, including higher surface-to-volume ratios, improved mechanical strength, superior barrier performance, and antimicrobial functions. These properties support next-generation systems that actively interact with food and the environment to ensure safety and quality.</w:t>
      </w:r>
      <w:r w:rsidR="00833122">
        <w:rPr>
          <w:rFonts w:ascii="Times New Roman" w:hAnsi="Times New Roman" w:cs="Times New Roman"/>
          <w:sz w:val="24"/>
          <w:szCs w:val="24"/>
        </w:rPr>
        <w:t xml:space="preserve"> </w:t>
      </w:r>
    </w:p>
    <w:p w14:paraId="17072A6D" w14:textId="1E987EB8" w:rsidR="00206C59" w:rsidRPr="00206C59" w:rsidRDefault="00206C59" w:rsidP="00206C59">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 xml:space="preserve">Applications have evolved from additive incorporation to advanced smart packaging capable of real-time monitoring, controlled release of active agents, and responsive </w:t>
      </w:r>
      <w:proofErr w:type="spellStart"/>
      <w:r w:rsidRPr="00206C59">
        <w:rPr>
          <w:rFonts w:ascii="Times New Roman" w:hAnsi="Times New Roman" w:cs="Times New Roman"/>
          <w:sz w:val="24"/>
          <w:szCs w:val="24"/>
        </w:rPr>
        <w:t>behavior</w:t>
      </w:r>
      <w:proofErr w:type="spellEnd"/>
      <w:r w:rsidRPr="00206C59">
        <w:rPr>
          <w:rFonts w:ascii="Times New Roman" w:hAnsi="Times New Roman" w:cs="Times New Roman"/>
          <w:sz w:val="24"/>
          <w:szCs w:val="24"/>
        </w:rPr>
        <w:t xml:space="preserve"> to environmental stimuli (</w:t>
      </w:r>
      <w:proofErr w:type="spellStart"/>
      <w:r w:rsidRPr="00206C59">
        <w:rPr>
          <w:rFonts w:ascii="Times New Roman" w:hAnsi="Times New Roman" w:cs="Times New Roman"/>
          <w:sz w:val="24"/>
          <w:szCs w:val="24"/>
        </w:rPr>
        <w:t>Primožič</w:t>
      </w:r>
      <w:proofErr w:type="spellEnd"/>
      <w:r w:rsidRPr="00206C59">
        <w:rPr>
          <w:rFonts w:ascii="Times New Roman" w:hAnsi="Times New Roman" w:cs="Times New Roman"/>
          <w:sz w:val="24"/>
          <w:szCs w:val="24"/>
        </w:rPr>
        <w:t xml:space="preserve"> et al., 2021). Such innovations address microbial contamination, oxidation, moisture migration, and deterioration during storage and transport (</w:t>
      </w:r>
      <w:proofErr w:type="spellStart"/>
      <w:r w:rsidRPr="00206C59">
        <w:rPr>
          <w:rFonts w:ascii="Times New Roman" w:hAnsi="Times New Roman" w:cs="Times New Roman"/>
          <w:sz w:val="24"/>
          <w:szCs w:val="24"/>
        </w:rPr>
        <w:t>Simbine</w:t>
      </w:r>
      <w:proofErr w:type="spellEnd"/>
      <w:r w:rsidRPr="00206C59">
        <w:rPr>
          <w:rFonts w:ascii="Times New Roman" w:hAnsi="Times New Roman" w:cs="Times New Roman"/>
          <w:sz w:val="24"/>
          <w:szCs w:val="24"/>
        </w:rPr>
        <w:t xml:space="preserve"> et al., 2019). Research now emphasizes three domains: (</w:t>
      </w:r>
      <w:proofErr w:type="spellStart"/>
      <w:r w:rsidRPr="00206C59">
        <w:rPr>
          <w:rFonts w:ascii="Times New Roman" w:hAnsi="Times New Roman" w:cs="Times New Roman"/>
          <w:sz w:val="24"/>
          <w:szCs w:val="24"/>
        </w:rPr>
        <w:t>i</w:t>
      </w:r>
      <w:proofErr w:type="spellEnd"/>
      <w:r w:rsidRPr="00206C59">
        <w:rPr>
          <w:rFonts w:ascii="Times New Roman" w:hAnsi="Times New Roman" w:cs="Times New Roman"/>
          <w:sz w:val="24"/>
          <w:szCs w:val="24"/>
        </w:rPr>
        <w:t>) enhanced packaging with improved barrier and mechanical strength, (ii) active systems that release protective compounds or absorb harmful ones, and (iii) intelligent packaging that monitors and communicates food quality (</w:t>
      </w:r>
      <w:proofErr w:type="spellStart"/>
      <w:r w:rsidRPr="00206C59">
        <w:rPr>
          <w:rFonts w:ascii="Times New Roman" w:hAnsi="Times New Roman" w:cs="Times New Roman"/>
          <w:sz w:val="24"/>
          <w:szCs w:val="24"/>
        </w:rPr>
        <w:t>Zare</w:t>
      </w:r>
      <w:proofErr w:type="spellEnd"/>
      <w:r w:rsidRPr="00206C59">
        <w:rPr>
          <w:rFonts w:ascii="Times New Roman" w:hAnsi="Times New Roman" w:cs="Times New Roman"/>
          <w:sz w:val="24"/>
          <w:szCs w:val="24"/>
        </w:rPr>
        <w:t xml:space="preserve"> et al., 2022). These advances align with global goals of sustainability, food waste reduction, and food security.</w:t>
      </w:r>
    </w:p>
    <w:p w14:paraId="19624B35" w14:textId="4D532C48" w:rsidR="00724F67" w:rsidRPr="00724F67" w:rsidRDefault="00206C59" w:rsidP="00724F67">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The market for nanotechnology-based packaging shows strong growth potential, supported by rising awareness of food safety, demand for longer shelf life, and regulatory interest in innovative materials (</w:t>
      </w:r>
      <w:proofErr w:type="spellStart"/>
      <w:r w:rsidRPr="00206C59">
        <w:rPr>
          <w:rFonts w:ascii="Times New Roman" w:hAnsi="Times New Roman" w:cs="Times New Roman"/>
          <w:sz w:val="24"/>
          <w:szCs w:val="24"/>
        </w:rPr>
        <w:t>Brandelli</w:t>
      </w:r>
      <w:proofErr w:type="spellEnd"/>
      <w:r w:rsidRPr="00206C59">
        <w:rPr>
          <w:rFonts w:ascii="Times New Roman" w:hAnsi="Times New Roman" w:cs="Times New Roman"/>
          <w:sz w:val="24"/>
          <w:szCs w:val="24"/>
        </w:rPr>
        <w:t>, 2024). However, challenges remain, including safety assessments, regulatory approval, and consumer acceptance. This review explores recent advances, mechanisms, and applications of nanomaterials, highlighting antimicrobial nanoparticles, barrier-enhancing nanocomposites, smart sensors, and biodegradable solutions, while evaluating their role in shaping future global food packaging.</w:t>
      </w:r>
    </w:p>
    <w:p w14:paraId="6AEBF616"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2. Nanomaterials in Food Packaging Applications</w:t>
      </w:r>
    </w:p>
    <w:p w14:paraId="794C8EEB"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2.1 Silver Nanoparticles (</w:t>
      </w:r>
      <w:proofErr w:type="spellStart"/>
      <w:r w:rsidRPr="00724F67">
        <w:rPr>
          <w:rFonts w:ascii="Times New Roman" w:hAnsi="Times New Roman" w:cs="Times New Roman"/>
          <w:b/>
          <w:bCs/>
          <w:sz w:val="24"/>
          <w:szCs w:val="24"/>
        </w:rPr>
        <w:t>AgNPs</w:t>
      </w:r>
      <w:proofErr w:type="spellEnd"/>
      <w:r w:rsidRPr="00724F67">
        <w:rPr>
          <w:rFonts w:ascii="Times New Roman" w:hAnsi="Times New Roman" w:cs="Times New Roman"/>
          <w:b/>
          <w:bCs/>
          <w:sz w:val="24"/>
          <w:szCs w:val="24"/>
        </w:rPr>
        <w:t>)</w:t>
      </w:r>
    </w:p>
    <w:p w14:paraId="1FF081B6" w14:textId="24B6E02F"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Silver nanoparticles (</w:t>
      </w:r>
      <w:proofErr w:type="spellStart"/>
      <w:r w:rsidRPr="00C45FE2">
        <w:rPr>
          <w:rFonts w:ascii="Times New Roman" w:hAnsi="Times New Roman" w:cs="Times New Roman"/>
          <w:sz w:val="24"/>
          <w:szCs w:val="24"/>
        </w:rPr>
        <w:t>AgNPs</w:t>
      </w:r>
      <w:proofErr w:type="spellEnd"/>
      <w:r w:rsidRPr="00C45FE2">
        <w:rPr>
          <w:rFonts w:ascii="Times New Roman" w:hAnsi="Times New Roman" w:cs="Times New Roman"/>
          <w:sz w:val="24"/>
          <w:szCs w:val="24"/>
        </w:rPr>
        <w:t>) are among the most widely researched nanomaterials for food packaging because of their strong antimicrobial activity (</w:t>
      </w:r>
      <w:proofErr w:type="spellStart"/>
      <w:r w:rsidRPr="00C45FE2">
        <w:rPr>
          <w:rFonts w:ascii="Times New Roman" w:hAnsi="Times New Roman" w:cs="Times New Roman"/>
          <w:sz w:val="24"/>
          <w:szCs w:val="24"/>
        </w:rPr>
        <w:t>Díez</w:t>
      </w:r>
      <w:proofErr w:type="spellEnd"/>
      <w:r w:rsidRPr="00C45FE2">
        <w:rPr>
          <w:rFonts w:ascii="Times New Roman" w:hAnsi="Times New Roman" w:cs="Times New Roman"/>
          <w:sz w:val="24"/>
          <w:szCs w:val="24"/>
        </w:rPr>
        <w:t xml:space="preserve">-Pascual &amp; </w:t>
      </w:r>
      <w:proofErr w:type="spellStart"/>
      <w:r w:rsidRPr="00C45FE2">
        <w:rPr>
          <w:rFonts w:ascii="Times New Roman" w:hAnsi="Times New Roman" w:cs="Times New Roman"/>
          <w:sz w:val="24"/>
          <w:szCs w:val="24"/>
        </w:rPr>
        <w:t>Díez</w:t>
      </w:r>
      <w:proofErr w:type="spellEnd"/>
      <w:r w:rsidRPr="00C45FE2">
        <w:rPr>
          <w:rFonts w:ascii="Times New Roman" w:hAnsi="Times New Roman" w:cs="Times New Roman"/>
          <w:sz w:val="24"/>
          <w:szCs w:val="24"/>
        </w:rPr>
        <w:t xml:space="preserve">-Vicente, 2021). With particle sizes from 1–100 nm, </w:t>
      </w:r>
      <w:proofErr w:type="spellStart"/>
      <w:r w:rsidRPr="00C45FE2">
        <w:rPr>
          <w:rFonts w:ascii="Times New Roman" w:hAnsi="Times New Roman" w:cs="Times New Roman"/>
          <w:sz w:val="24"/>
          <w:szCs w:val="24"/>
        </w:rPr>
        <w:t>AgNPs</w:t>
      </w:r>
      <w:proofErr w:type="spellEnd"/>
      <w:r w:rsidRPr="00C45FE2">
        <w:rPr>
          <w:rFonts w:ascii="Times New Roman" w:hAnsi="Times New Roman" w:cs="Times New Roman"/>
          <w:sz w:val="24"/>
          <w:szCs w:val="24"/>
        </w:rPr>
        <w:t xml:space="preserve"> act against bacteria, fungi, and viruses through direct membrane interaction, penetration, and silver ion (Ag+) release (Singh &amp; Siddiqui, 2023). Their high surface-to-volume ratio enhances microbial interactions, causing membrane disruption, protein denaturation, and DNA damage. </w:t>
      </w:r>
      <w:proofErr w:type="spellStart"/>
      <w:r w:rsidRPr="00C45FE2">
        <w:rPr>
          <w:rFonts w:ascii="Times New Roman" w:hAnsi="Times New Roman" w:cs="Times New Roman"/>
          <w:sz w:val="24"/>
          <w:szCs w:val="24"/>
        </w:rPr>
        <w:t>AgNPs</w:t>
      </w:r>
      <w:proofErr w:type="spellEnd"/>
      <w:r w:rsidRPr="00C45FE2">
        <w:rPr>
          <w:rFonts w:ascii="Times New Roman" w:hAnsi="Times New Roman" w:cs="Times New Roman"/>
          <w:sz w:val="24"/>
          <w:szCs w:val="24"/>
        </w:rPr>
        <w:t xml:space="preserve"> can reduce pathogens like </w:t>
      </w:r>
      <w:r w:rsidRPr="00C45FE2">
        <w:rPr>
          <w:rFonts w:ascii="Times New Roman" w:hAnsi="Times New Roman" w:cs="Times New Roman"/>
          <w:i/>
          <w:iCs/>
          <w:sz w:val="24"/>
          <w:szCs w:val="24"/>
        </w:rPr>
        <w:t>E. coli</w:t>
      </w:r>
      <w:r w:rsidRPr="00C45FE2">
        <w:rPr>
          <w:rFonts w:ascii="Times New Roman" w:hAnsi="Times New Roman" w:cs="Times New Roman"/>
          <w:sz w:val="24"/>
          <w:szCs w:val="24"/>
        </w:rPr>
        <w:t xml:space="preserve">, </w:t>
      </w:r>
      <w:r w:rsidRPr="00C45FE2">
        <w:rPr>
          <w:rFonts w:ascii="Times New Roman" w:hAnsi="Times New Roman" w:cs="Times New Roman"/>
          <w:i/>
          <w:iCs/>
          <w:sz w:val="24"/>
          <w:szCs w:val="24"/>
        </w:rPr>
        <w:t>Salmonella enterica</w:t>
      </w:r>
      <w:r w:rsidRPr="00C45FE2">
        <w:rPr>
          <w:rFonts w:ascii="Times New Roman" w:hAnsi="Times New Roman" w:cs="Times New Roman"/>
          <w:sz w:val="24"/>
          <w:szCs w:val="24"/>
        </w:rPr>
        <w:t xml:space="preserve">, and </w:t>
      </w:r>
      <w:r w:rsidRPr="00C45FE2">
        <w:rPr>
          <w:rFonts w:ascii="Times New Roman" w:hAnsi="Times New Roman" w:cs="Times New Roman"/>
          <w:i/>
          <w:iCs/>
          <w:sz w:val="24"/>
          <w:szCs w:val="24"/>
        </w:rPr>
        <w:t>Listeria monocytogenes</w:t>
      </w:r>
      <w:r w:rsidRPr="00C45FE2">
        <w:rPr>
          <w:rFonts w:ascii="Times New Roman" w:hAnsi="Times New Roman" w:cs="Times New Roman"/>
          <w:sz w:val="24"/>
          <w:szCs w:val="24"/>
        </w:rPr>
        <w:t xml:space="preserve"> by over 99% within 48 hours (</w:t>
      </w:r>
      <w:proofErr w:type="spellStart"/>
      <w:r w:rsidR="00EC5B13" w:rsidRPr="003C013F">
        <w:rPr>
          <w:rFonts w:ascii="Times New Roman" w:hAnsi="Times New Roman" w:cs="Times New Roman"/>
          <w:sz w:val="24"/>
          <w:szCs w:val="24"/>
        </w:rPr>
        <w:t>Zorraquín</w:t>
      </w:r>
      <w:proofErr w:type="spellEnd"/>
      <w:r w:rsidR="00EC5B13" w:rsidRPr="003C013F">
        <w:rPr>
          <w:rFonts w:ascii="Times New Roman" w:hAnsi="Times New Roman" w:cs="Times New Roman"/>
          <w:sz w:val="24"/>
          <w:szCs w:val="24"/>
        </w:rPr>
        <w:t>-Peña</w:t>
      </w:r>
      <w:r w:rsidRPr="00C45FE2">
        <w:rPr>
          <w:rFonts w:ascii="Times New Roman" w:hAnsi="Times New Roman" w:cs="Times New Roman"/>
          <w:sz w:val="24"/>
          <w:szCs w:val="24"/>
        </w:rPr>
        <w:t xml:space="preserve"> et al., 2020).</w:t>
      </w:r>
    </w:p>
    <w:p w14:paraId="4E7CBFAB" w14:textId="6456D72F" w:rsid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lastRenderedPageBreak/>
        <w:t xml:space="preserve">In packaging, </w:t>
      </w:r>
      <w:proofErr w:type="spellStart"/>
      <w:r w:rsidRPr="00C45FE2">
        <w:rPr>
          <w:rFonts w:ascii="Times New Roman" w:hAnsi="Times New Roman" w:cs="Times New Roman"/>
          <w:sz w:val="24"/>
          <w:szCs w:val="24"/>
        </w:rPr>
        <w:t>AgNPs</w:t>
      </w:r>
      <w:proofErr w:type="spellEnd"/>
      <w:r w:rsidRPr="00C45FE2">
        <w:rPr>
          <w:rFonts w:ascii="Times New Roman" w:hAnsi="Times New Roman" w:cs="Times New Roman"/>
          <w:sz w:val="24"/>
          <w:szCs w:val="24"/>
        </w:rPr>
        <w:t xml:space="preserve"> are incorporated into polyethylene, polypropylene, polylactic acid (PLA), and bacterial cellulose through melt blending, solution casting, or in-situ polymerization (Zhang et al., 2022). Applications include </w:t>
      </w:r>
      <w:proofErr w:type="spellStart"/>
      <w:r w:rsidRPr="00C45FE2">
        <w:rPr>
          <w:rFonts w:ascii="Times New Roman" w:hAnsi="Times New Roman" w:cs="Times New Roman"/>
          <w:sz w:val="24"/>
          <w:szCs w:val="24"/>
        </w:rPr>
        <w:t>multilayered</w:t>
      </w:r>
      <w:proofErr w:type="spellEnd"/>
      <w:r w:rsidRPr="00C45FE2">
        <w:rPr>
          <w:rFonts w:ascii="Times New Roman" w:hAnsi="Times New Roman" w:cs="Times New Roman"/>
          <w:sz w:val="24"/>
          <w:szCs w:val="24"/>
        </w:rPr>
        <w:t xml:space="preserve"> films with controlled release, nanocomposite coatings for produce, and antimicrobial sachets to extend shelf life (Wang et al., 2024).</w:t>
      </w:r>
      <w:r>
        <w:rPr>
          <w:rFonts w:ascii="Times New Roman" w:hAnsi="Times New Roman" w:cs="Times New Roman"/>
          <w:sz w:val="24"/>
          <w:szCs w:val="24"/>
        </w:rPr>
        <w:t xml:space="preserve"> </w:t>
      </w:r>
      <w:r w:rsidRPr="00C45FE2">
        <w:rPr>
          <w:rFonts w:ascii="Times New Roman" w:hAnsi="Times New Roman" w:cs="Times New Roman"/>
          <w:sz w:val="24"/>
          <w:szCs w:val="24"/>
        </w:rPr>
        <w:t xml:space="preserve">Safety remains critical, particularly regarding migration into foods. The EFSA reported that </w:t>
      </w:r>
      <w:proofErr w:type="spellStart"/>
      <w:r w:rsidRPr="00C45FE2">
        <w:rPr>
          <w:rFonts w:ascii="Times New Roman" w:hAnsi="Times New Roman" w:cs="Times New Roman"/>
          <w:sz w:val="24"/>
          <w:szCs w:val="24"/>
        </w:rPr>
        <w:t>AgNPs</w:t>
      </w:r>
      <w:proofErr w:type="spellEnd"/>
      <w:r w:rsidRPr="00C45FE2">
        <w:rPr>
          <w:rFonts w:ascii="Times New Roman" w:hAnsi="Times New Roman" w:cs="Times New Roman"/>
          <w:sz w:val="24"/>
          <w:szCs w:val="24"/>
        </w:rPr>
        <w:t xml:space="preserve"> largely stay embedded in polymer matrices, with migration limited to soluble silver ions below 6 </w:t>
      </w:r>
      <w:proofErr w:type="spellStart"/>
      <w:r w:rsidRPr="00C45FE2">
        <w:rPr>
          <w:rFonts w:ascii="Times New Roman" w:hAnsi="Times New Roman" w:cs="Times New Roman"/>
          <w:sz w:val="24"/>
          <w:szCs w:val="24"/>
        </w:rPr>
        <w:t>μg</w:t>
      </w:r>
      <w:proofErr w:type="spellEnd"/>
      <w:r w:rsidRPr="00C45FE2">
        <w:rPr>
          <w:rFonts w:ascii="Times New Roman" w:hAnsi="Times New Roman" w:cs="Times New Roman"/>
          <w:sz w:val="24"/>
          <w:szCs w:val="24"/>
        </w:rPr>
        <w:t xml:space="preserve">/kg food—well under the acceptable daily intake of 0.9 </w:t>
      </w:r>
      <w:proofErr w:type="spellStart"/>
      <w:r w:rsidRPr="00C45FE2">
        <w:rPr>
          <w:rFonts w:ascii="Times New Roman" w:hAnsi="Times New Roman" w:cs="Times New Roman"/>
          <w:sz w:val="24"/>
          <w:szCs w:val="24"/>
        </w:rPr>
        <w:t>μg</w:t>
      </w:r>
      <w:proofErr w:type="spellEnd"/>
      <w:r w:rsidRPr="00C45FE2">
        <w:rPr>
          <w:rFonts w:ascii="Times New Roman" w:hAnsi="Times New Roman" w:cs="Times New Roman"/>
          <w:sz w:val="24"/>
          <w:szCs w:val="24"/>
        </w:rPr>
        <w:t>/kg body weight/day (</w:t>
      </w:r>
      <w:proofErr w:type="spellStart"/>
      <w:r w:rsidR="00956918" w:rsidRPr="00DC64D1">
        <w:rPr>
          <w:rFonts w:ascii="Times New Roman" w:hAnsi="Times New Roman" w:cs="Times New Roman"/>
          <w:sz w:val="24"/>
          <w:szCs w:val="24"/>
        </w:rPr>
        <w:t>Ahari</w:t>
      </w:r>
      <w:proofErr w:type="spellEnd"/>
      <w:r w:rsidRPr="00C45FE2">
        <w:rPr>
          <w:rFonts w:ascii="Times New Roman" w:hAnsi="Times New Roman" w:cs="Times New Roman"/>
          <w:sz w:val="24"/>
          <w:szCs w:val="24"/>
        </w:rPr>
        <w:t xml:space="preserve"> et al., 202</w:t>
      </w:r>
      <w:r w:rsidR="00956918">
        <w:rPr>
          <w:rFonts w:ascii="Times New Roman" w:hAnsi="Times New Roman" w:cs="Times New Roman"/>
          <w:sz w:val="24"/>
          <w:szCs w:val="24"/>
        </w:rPr>
        <w:t>1</w:t>
      </w:r>
      <w:r w:rsidRPr="00C45FE2">
        <w:rPr>
          <w:rFonts w:ascii="Times New Roman" w:hAnsi="Times New Roman" w:cs="Times New Roman"/>
          <w:sz w:val="24"/>
          <w:szCs w:val="24"/>
        </w:rPr>
        <w:t xml:space="preserve">; EFSA, 2021; </w:t>
      </w:r>
      <w:proofErr w:type="spellStart"/>
      <w:r w:rsidR="000019C2" w:rsidRPr="0089426A">
        <w:rPr>
          <w:rFonts w:ascii="Times New Roman" w:hAnsi="Times New Roman" w:cs="Times New Roman"/>
          <w:sz w:val="24"/>
          <w:szCs w:val="24"/>
        </w:rPr>
        <w:t>Lambré</w:t>
      </w:r>
      <w:proofErr w:type="spellEnd"/>
      <w:r w:rsidRPr="00C45FE2">
        <w:rPr>
          <w:rFonts w:ascii="Times New Roman" w:hAnsi="Times New Roman" w:cs="Times New Roman"/>
          <w:sz w:val="24"/>
          <w:szCs w:val="24"/>
        </w:rPr>
        <w:t xml:space="preserve"> et al., 20</w:t>
      </w:r>
      <w:r w:rsidR="000019C2">
        <w:rPr>
          <w:rFonts w:ascii="Times New Roman" w:hAnsi="Times New Roman" w:cs="Times New Roman"/>
          <w:sz w:val="24"/>
          <w:szCs w:val="24"/>
        </w:rPr>
        <w:t>21</w:t>
      </w:r>
      <w:r w:rsidRPr="00C45FE2">
        <w:rPr>
          <w:rFonts w:ascii="Times New Roman" w:hAnsi="Times New Roman" w:cs="Times New Roman"/>
          <w:sz w:val="24"/>
          <w:szCs w:val="24"/>
        </w:rPr>
        <w:t>). This ensures consumer safety when used at approved concentrations, supporting their potential for wider commercial adoption.</w:t>
      </w:r>
    </w:p>
    <w:p w14:paraId="3D0B3E92" w14:textId="77777777" w:rsidR="00C45FE2" w:rsidRPr="00724F67" w:rsidRDefault="00C45FE2" w:rsidP="00C45FE2">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Table 1: Applications of Different Nanomaterials in Food Packaging Systems</w:t>
      </w:r>
    </w:p>
    <w:tbl>
      <w:tblPr>
        <w:tblStyle w:val="TableGrid"/>
        <w:tblW w:w="9924" w:type="dxa"/>
        <w:tblInd w:w="-431" w:type="dxa"/>
        <w:tblLayout w:type="fixed"/>
        <w:tblLook w:val="04A0" w:firstRow="1" w:lastRow="0" w:firstColumn="1" w:lastColumn="0" w:noHBand="0" w:noVBand="1"/>
      </w:tblPr>
      <w:tblGrid>
        <w:gridCol w:w="1560"/>
        <w:gridCol w:w="1276"/>
        <w:gridCol w:w="1843"/>
        <w:gridCol w:w="1681"/>
        <w:gridCol w:w="1721"/>
        <w:gridCol w:w="1843"/>
      </w:tblGrid>
      <w:tr w:rsidR="00C45FE2" w:rsidRPr="00724F67" w14:paraId="1218E815" w14:textId="77777777" w:rsidTr="00595F57">
        <w:tc>
          <w:tcPr>
            <w:tcW w:w="1560" w:type="dxa"/>
          </w:tcPr>
          <w:p w14:paraId="736C4645"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b/>
                <w:sz w:val="24"/>
                <w:szCs w:val="24"/>
              </w:rPr>
              <w:t>Nano-material</w:t>
            </w:r>
          </w:p>
        </w:tc>
        <w:tc>
          <w:tcPr>
            <w:tcW w:w="1276" w:type="dxa"/>
          </w:tcPr>
          <w:p w14:paraId="1BD0C01A"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b/>
                <w:sz w:val="24"/>
                <w:szCs w:val="24"/>
              </w:rPr>
              <w:t>Size Range (nm)</w:t>
            </w:r>
          </w:p>
        </w:tc>
        <w:tc>
          <w:tcPr>
            <w:tcW w:w="1843" w:type="dxa"/>
          </w:tcPr>
          <w:p w14:paraId="326662D0"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b/>
                <w:sz w:val="24"/>
                <w:szCs w:val="24"/>
              </w:rPr>
              <w:t>Mechanism of Action</w:t>
            </w:r>
          </w:p>
        </w:tc>
        <w:tc>
          <w:tcPr>
            <w:tcW w:w="1681" w:type="dxa"/>
          </w:tcPr>
          <w:p w14:paraId="1CE99656"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b/>
                <w:sz w:val="24"/>
                <w:szCs w:val="24"/>
              </w:rPr>
              <w:t>Key Benefits</w:t>
            </w:r>
          </w:p>
        </w:tc>
        <w:tc>
          <w:tcPr>
            <w:tcW w:w="1721" w:type="dxa"/>
          </w:tcPr>
          <w:p w14:paraId="483933BD"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b/>
                <w:sz w:val="24"/>
                <w:szCs w:val="24"/>
              </w:rPr>
              <w:t>Applications</w:t>
            </w:r>
          </w:p>
        </w:tc>
        <w:tc>
          <w:tcPr>
            <w:tcW w:w="1843" w:type="dxa"/>
          </w:tcPr>
          <w:p w14:paraId="5582B2F9"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b/>
                <w:sz w:val="24"/>
                <w:szCs w:val="24"/>
              </w:rPr>
              <w:t>Safety Considerations</w:t>
            </w:r>
          </w:p>
        </w:tc>
      </w:tr>
      <w:tr w:rsidR="00C45FE2" w:rsidRPr="00724F67" w14:paraId="39A75F57" w14:textId="77777777" w:rsidTr="00595F57">
        <w:tc>
          <w:tcPr>
            <w:tcW w:w="1560" w:type="dxa"/>
          </w:tcPr>
          <w:p w14:paraId="608C1723"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Silver Nanoparticles (</w:t>
            </w:r>
            <w:proofErr w:type="spellStart"/>
            <w:r w:rsidRPr="00724F67">
              <w:rPr>
                <w:rFonts w:ascii="Times New Roman" w:hAnsi="Times New Roman" w:cs="Times New Roman"/>
                <w:sz w:val="24"/>
                <w:szCs w:val="24"/>
              </w:rPr>
              <w:t>AgNPs</w:t>
            </w:r>
            <w:proofErr w:type="spellEnd"/>
            <w:r w:rsidRPr="00724F67">
              <w:rPr>
                <w:rFonts w:ascii="Times New Roman" w:hAnsi="Times New Roman" w:cs="Times New Roman"/>
                <w:sz w:val="24"/>
                <w:szCs w:val="24"/>
              </w:rPr>
              <w:t>)</w:t>
            </w:r>
          </w:p>
        </w:tc>
        <w:tc>
          <w:tcPr>
            <w:tcW w:w="1276" w:type="dxa"/>
          </w:tcPr>
          <w:p w14:paraId="79608BAD"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1-100</w:t>
            </w:r>
          </w:p>
        </w:tc>
        <w:tc>
          <w:tcPr>
            <w:tcW w:w="1843" w:type="dxa"/>
          </w:tcPr>
          <w:p w14:paraId="07DB769E"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Release of Ag+ ions, disruption of cell membranes, ROS generation, DNA damage</w:t>
            </w:r>
          </w:p>
        </w:tc>
        <w:tc>
          <w:tcPr>
            <w:tcW w:w="1681" w:type="dxa"/>
          </w:tcPr>
          <w:p w14:paraId="09624E2A"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Broad-spectrum antimicrobial activity, effective against bacteria, fungi, and viruses</w:t>
            </w:r>
          </w:p>
        </w:tc>
        <w:tc>
          <w:tcPr>
            <w:tcW w:w="1721" w:type="dxa"/>
          </w:tcPr>
          <w:p w14:paraId="1B5D4EAB"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Antimicrobial packaging, food preservation, shelf-life extension</w:t>
            </w:r>
          </w:p>
        </w:tc>
        <w:tc>
          <w:tcPr>
            <w:tcW w:w="1843" w:type="dxa"/>
          </w:tcPr>
          <w:p w14:paraId="659FAC71"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 xml:space="preserve">Migration limited to 6 </w:t>
            </w:r>
            <w:proofErr w:type="spellStart"/>
            <w:r w:rsidRPr="00724F67">
              <w:rPr>
                <w:rFonts w:ascii="Times New Roman" w:hAnsi="Times New Roman" w:cs="Times New Roman"/>
                <w:sz w:val="24"/>
                <w:szCs w:val="24"/>
              </w:rPr>
              <w:t>μg</w:t>
            </w:r>
            <w:proofErr w:type="spellEnd"/>
            <w:r w:rsidRPr="00724F67">
              <w:rPr>
                <w:rFonts w:ascii="Times New Roman" w:hAnsi="Times New Roman" w:cs="Times New Roman"/>
                <w:sz w:val="24"/>
                <w:szCs w:val="24"/>
              </w:rPr>
              <w:t xml:space="preserve">/kg food, ADI: 0.9 </w:t>
            </w:r>
            <w:proofErr w:type="spellStart"/>
            <w:r w:rsidRPr="00724F67">
              <w:rPr>
                <w:rFonts w:ascii="Times New Roman" w:hAnsi="Times New Roman" w:cs="Times New Roman"/>
                <w:sz w:val="24"/>
                <w:szCs w:val="24"/>
              </w:rPr>
              <w:t>μg</w:t>
            </w:r>
            <w:proofErr w:type="spellEnd"/>
            <w:r w:rsidRPr="00724F67">
              <w:rPr>
                <w:rFonts w:ascii="Times New Roman" w:hAnsi="Times New Roman" w:cs="Times New Roman"/>
                <w:sz w:val="24"/>
                <w:szCs w:val="24"/>
              </w:rPr>
              <w:t xml:space="preserve">/kg </w:t>
            </w:r>
            <w:proofErr w:type="spellStart"/>
            <w:r w:rsidRPr="00724F67">
              <w:rPr>
                <w:rFonts w:ascii="Times New Roman" w:hAnsi="Times New Roman" w:cs="Times New Roman"/>
                <w:sz w:val="24"/>
                <w:szCs w:val="24"/>
              </w:rPr>
              <w:t>bw</w:t>
            </w:r>
            <w:proofErr w:type="spellEnd"/>
            <w:r w:rsidRPr="00724F67">
              <w:rPr>
                <w:rFonts w:ascii="Times New Roman" w:hAnsi="Times New Roman" w:cs="Times New Roman"/>
                <w:sz w:val="24"/>
                <w:szCs w:val="24"/>
              </w:rPr>
              <w:t>/day</w:t>
            </w:r>
          </w:p>
        </w:tc>
      </w:tr>
      <w:tr w:rsidR="00C45FE2" w:rsidRPr="00724F67" w14:paraId="48C1202E" w14:textId="77777777" w:rsidTr="00595F57">
        <w:tc>
          <w:tcPr>
            <w:tcW w:w="1560" w:type="dxa"/>
          </w:tcPr>
          <w:p w14:paraId="650162D9"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Zinc Oxide Nanoparticles (</w:t>
            </w:r>
            <w:proofErr w:type="spellStart"/>
            <w:r w:rsidRPr="00724F67">
              <w:rPr>
                <w:rFonts w:ascii="Times New Roman" w:hAnsi="Times New Roman" w:cs="Times New Roman"/>
                <w:sz w:val="24"/>
                <w:szCs w:val="24"/>
              </w:rPr>
              <w:t>ZnO</w:t>
            </w:r>
            <w:proofErr w:type="spellEnd"/>
            <w:r w:rsidRPr="00724F67">
              <w:rPr>
                <w:rFonts w:ascii="Times New Roman" w:hAnsi="Times New Roman" w:cs="Times New Roman"/>
                <w:sz w:val="24"/>
                <w:szCs w:val="24"/>
              </w:rPr>
              <w:t xml:space="preserve"> NPs)</w:t>
            </w:r>
          </w:p>
        </w:tc>
        <w:tc>
          <w:tcPr>
            <w:tcW w:w="1276" w:type="dxa"/>
          </w:tcPr>
          <w:p w14:paraId="0139FB4C"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20-100</w:t>
            </w:r>
          </w:p>
        </w:tc>
        <w:tc>
          <w:tcPr>
            <w:tcW w:w="1843" w:type="dxa"/>
          </w:tcPr>
          <w:p w14:paraId="286A4BA2"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ROS generation, Zn2+ ion release, membrane disruption, enzyme inhibition</w:t>
            </w:r>
          </w:p>
        </w:tc>
        <w:tc>
          <w:tcPr>
            <w:tcW w:w="1681" w:type="dxa"/>
          </w:tcPr>
          <w:p w14:paraId="10E44219"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GRAS status, antimicrobial and antifungal activity, UV protection</w:t>
            </w:r>
          </w:p>
        </w:tc>
        <w:tc>
          <w:tcPr>
            <w:tcW w:w="1721" w:type="dxa"/>
          </w:tcPr>
          <w:p w14:paraId="1FC8798F"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Active packaging, UV-blocking films, antimicrobial coatings</w:t>
            </w:r>
          </w:p>
        </w:tc>
        <w:tc>
          <w:tcPr>
            <w:tcW w:w="1843" w:type="dxa"/>
          </w:tcPr>
          <w:p w14:paraId="68EC352E"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Generally recognized as safe (GRAS) by FDA, minimal migration</w:t>
            </w:r>
          </w:p>
        </w:tc>
      </w:tr>
      <w:tr w:rsidR="00C45FE2" w:rsidRPr="00724F67" w14:paraId="716F5377" w14:textId="77777777" w:rsidTr="00595F57">
        <w:tc>
          <w:tcPr>
            <w:tcW w:w="1560" w:type="dxa"/>
          </w:tcPr>
          <w:p w14:paraId="33FC6D9D"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Graphene Oxide (GO)</w:t>
            </w:r>
          </w:p>
        </w:tc>
        <w:tc>
          <w:tcPr>
            <w:tcW w:w="1276" w:type="dxa"/>
          </w:tcPr>
          <w:p w14:paraId="7605DEE6"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1-10 (thickness)</w:t>
            </w:r>
          </w:p>
        </w:tc>
        <w:tc>
          <w:tcPr>
            <w:tcW w:w="1843" w:type="dxa"/>
          </w:tcPr>
          <w:p w14:paraId="5A45069A"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Physical barrier formation, tortuous path creation for gas molecules</w:t>
            </w:r>
          </w:p>
        </w:tc>
        <w:tc>
          <w:tcPr>
            <w:tcW w:w="1681" w:type="dxa"/>
          </w:tcPr>
          <w:p w14:paraId="251B3543"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Enhanced barrier properties, improved mechanical strength, gas impermeability</w:t>
            </w:r>
          </w:p>
        </w:tc>
        <w:tc>
          <w:tcPr>
            <w:tcW w:w="1721" w:type="dxa"/>
          </w:tcPr>
          <w:p w14:paraId="1FD713B9"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High-barrier packaging, water vapor barriers, oxygen-sensitive products</w:t>
            </w:r>
          </w:p>
        </w:tc>
        <w:tc>
          <w:tcPr>
            <w:tcW w:w="1843" w:type="dxa"/>
          </w:tcPr>
          <w:p w14:paraId="191C6585"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Limited toxicity data, potential for dermal and respiratory exposure</w:t>
            </w:r>
          </w:p>
        </w:tc>
      </w:tr>
      <w:tr w:rsidR="00C45FE2" w:rsidRPr="00724F67" w14:paraId="5711F446" w14:textId="77777777" w:rsidTr="00595F57">
        <w:tc>
          <w:tcPr>
            <w:tcW w:w="1560" w:type="dxa"/>
          </w:tcPr>
          <w:p w14:paraId="56E1E641"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lastRenderedPageBreak/>
              <w:t>Carbon Nanotubes (CNTs)</w:t>
            </w:r>
          </w:p>
        </w:tc>
        <w:tc>
          <w:tcPr>
            <w:tcW w:w="1276" w:type="dxa"/>
          </w:tcPr>
          <w:p w14:paraId="334B265A"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1-50 (diameter)</w:t>
            </w:r>
          </w:p>
        </w:tc>
        <w:tc>
          <w:tcPr>
            <w:tcW w:w="1843" w:type="dxa"/>
          </w:tcPr>
          <w:p w14:paraId="650B2342"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Physical reinforcement, barrier enhancement through maze structure</w:t>
            </w:r>
          </w:p>
        </w:tc>
        <w:tc>
          <w:tcPr>
            <w:tcW w:w="1681" w:type="dxa"/>
          </w:tcPr>
          <w:p w14:paraId="77548FA3"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Superior mechanical properties, electrical conductivity, thermal stability</w:t>
            </w:r>
          </w:p>
        </w:tc>
        <w:tc>
          <w:tcPr>
            <w:tcW w:w="1721" w:type="dxa"/>
          </w:tcPr>
          <w:p w14:paraId="0217594E"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Reinforced packaging materials, smart packaging sensors, conductive films</w:t>
            </w:r>
          </w:p>
        </w:tc>
        <w:tc>
          <w:tcPr>
            <w:tcW w:w="1843" w:type="dxa"/>
          </w:tcPr>
          <w:p w14:paraId="54C9A6D4"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Potential respiratory hazard, limited migration from polymer matrix</w:t>
            </w:r>
          </w:p>
        </w:tc>
      </w:tr>
      <w:tr w:rsidR="00C45FE2" w:rsidRPr="00724F67" w14:paraId="27F2962E" w14:textId="77777777" w:rsidTr="00595F57">
        <w:tc>
          <w:tcPr>
            <w:tcW w:w="1560" w:type="dxa"/>
          </w:tcPr>
          <w:p w14:paraId="66D5096E"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Titanium Dioxide Nanoparticles (TiO2 NPs)</w:t>
            </w:r>
          </w:p>
        </w:tc>
        <w:tc>
          <w:tcPr>
            <w:tcW w:w="1276" w:type="dxa"/>
          </w:tcPr>
          <w:p w14:paraId="15D79F4C"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10-50</w:t>
            </w:r>
          </w:p>
        </w:tc>
        <w:tc>
          <w:tcPr>
            <w:tcW w:w="1843" w:type="dxa"/>
          </w:tcPr>
          <w:p w14:paraId="0C06F463"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UV protection, photocatalytic activity, ROS generation under UV light</w:t>
            </w:r>
          </w:p>
        </w:tc>
        <w:tc>
          <w:tcPr>
            <w:tcW w:w="1681" w:type="dxa"/>
          </w:tcPr>
          <w:p w14:paraId="01DA4246"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UV-blocking properties, photocatalytic self-cleaning, antimicrobial activity</w:t>
            </w:r>
          </w:p>
        </w:tc>
        <w:tc>
          <w:tcPr>
            <w:tcW w:w="1721" w:type="dxa"/>
          </w:tcPr>
          <w:p w14:paraId="2D2D35C6"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UV-protective packaging, photocatalytic coatings, active packaging</w:t>
            </w:r>
          </w:p>
        </w:tc>
        <w:tc>
          <w:tcPr>
            <w:tcW w:w="1843" w:type="dxa"/>
          </w:tcPr>
          <w:p w14:paraId="3A74A534"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Banned as food additive in EU due to genotoxicity concerns</w:t>
            </w:r>
          </w:p>
        </w:tc>
      </w:tr>
      <w:tr w:rsidR="00C45FE2" w:rsidRPr="00724F67" w14:paraId="0FE9385D" w14:textId="77777777" w:rsidTr="00595F57">
        <w:tc>
          <w:tcPr>
            <w:tcW w:w="1560" w:type="dxa"/>
          </w:tcPr>
          <w:p w14:paraId="207837D5"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Montmorillonite Clay</w:t>
            </w:r>
          </w:p>
        </w:tc>
        <w:tc>
          <w:tcPr>
            <w:tcW w:w="1276" w:type="dxa"/>
          </w:tcPr>
          <w:p w14:paraId="3F02A70B"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1-10 (thickness)</w:t>
            </w:r>
          </w:p>
        </w:tc>
        <w:tc>
          <w:tcPr>
            <w:tcW w:w="1843" w:type="dxa"/>
          </w:tcPr>
          <w:p w14:paraId="63CF2178"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Barrier improvement through platelet structure, tortuous diffusion path</w:t>
            </w:r>
          </w:p>
        </w:tc>
        <w:tc>
          <w:tcPr>
            <w:tcW w:w="1681" w:type="dxa"/>
          </w:tcPr>
          <w:p w14:paraId="1C43D595"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Enhanced barrier properties, low cost, natural origin, thermal stability</w:t>
            </w:r>
          </w:p>
        </w:tc>
        <w:tc>
          <w:tcPr>
            <w:tcW w:w="1721" w:type="dxa"/>
          </w:tcPr>
          <w:p w14:paraId="71657890"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Barrier films, nanocomposite packaging, biodegradable materials</w:t>
            </w:r>
          </w:p>
        </w:tc>
        <w:tc>
          <w:tcPr>
            <w:tcW w:w="1843" w:type="dxa"/>
          </w:tcPr>
          <w:p w14:paraId="5CCF186F"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Generally safe, authorized for food contact in EU and US</w:t>
            </w:r>
          </w:p>
        </w:tc>
      </w:tr>
      <w:tr w:rsidR="00C45FE2" w:rsidRPr="00724F67" w14:paraId="52370D70" w14:textId="77777777" w:rsidTr="00595F57">
        <w:tc>
          <w:tcPr>
            <w:tcW w:w="1560" w:type="dxa"/>
          </w:tcPr>
          <w:p w14:paraId="0123F9B1"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Cellulose Nanocrystals (CNCs)</w:t>
            </w:r>
          </w:p>
        </w:tc>
        <w:tc>
          <w:tcPr>
            <w:tcW w:w="1276" w:type="dxa"/>
          </w:tcPr>
          <w:p w14:paraId="5C2EADBA"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3-5 (width), 100-1000 (length)</w:t>
            </w:r>
          </w:p>
        </w:tc>
        <w:tc>
          <w:tcPr>
            <w:tcW w:w="1843" w:type="dxa"/>
          </w:tcPr>
          <w:p w14:paraId="05CB9BC8"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Mechanical reinforcement, barrier enhancement, biocompatibility</w:t>
            </w:r>
          </w:p>
        </w:tc>
        <w:tc>
          <w:tcPr>
            <w:tcW w:w="1681" w:type="dxa"/>
          </w:tcPr>
          <w:p w14:paraId="6F23F31D"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Biodegradable, biocompatible, renewable source, mechanical strength</w:t>
            </w:r>
          </w:p>
        </w:tc>
        <w:tc>
          <w:tcPr>
            <w:tcW w:w="1721" w:type="dxa"/>
          </w:tcPr>
          <w:p w14:paraId="513286DC"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Biodegradable packaging, reinforced films, sustainable packaging</w:t>
            </w:r>
          </w:p>
        </w:tc>
        <w:tc>
          <w:tcPr>
            <w:tcW w:w="1843" w:type="dxa"/>
          </w:tcPr>
          <w:p w14:paraId="1A6C9259" w14:textId="77777777" w:rsidR="00C45FE2" w:rsidRPr="00724F67" w:rsidRDefault="00C45FE2" w:rsidP="00595F57">
            <w:pPr>
              <w:spacing w:line="276" w:lineRule="auto"/>
              <w:rPr>
                <w:rFonts w:ascii="Times New Roman" w:hAnsi="Times New Roman" w:cs="Times New Roman"/>
                <w:sz w:val="24"/>
                <w:szCs w:val="24"/>
              </w:rPr>
            </w:pPr>
            <w:r w:rsidRPr="00724F67">
              <w:rPr>
                <w:rFonts w:ascii="Times New Roman" w:hAnsi="Times New Roman" w:cs="Times New Roman"/>
                <w:sz w:val="24"/>
                <w:szCs w:val="24"/>
              </w:rPr>
              <w:t>Generally safe, biodegradable, minimal toxicity concerns</w:t>
            </w:r>
          </w:p>
        </w:tc>
      </w:tr>
    </w:tbl>
    <w:p w14:paraId="22D1E188" w14:textId="6800B568" w:rsidR="00C45FE2" w:rsidRPr="00C45FE2" w:rsidRDefault="00C45FE2" w:rsidP="00C45FE2">
      <w:pPr>
        <w:spacing w:line="360" w:lineRule="auto"/>
        <w:jc w:val="both"/>
        <w:rPr>
          <w:rFonts w:ascii="Times New Roman" w:hAnsi="Times New Roman" w:cs="Times New Roman"/>
          <w:sz w:val="24"/>
          <w:szCs w:val="24"/>
        </w:rPr>
      </w:pPr>
    </w:p>
    <w:p w14:paraId="68C5F326" w14:textId="77777777" w:rsidR="00C45FE2" w:rsidRPr="00C45FE2" w:rsidRDefault="00C45FE2" w:rsidP="00C45FE2">
      <w:pPr>
        <w:spacing w:line="360" w:lineRule="auto"/>
        <w:jc w:val="both"/>
        <w:rPr>
          <w:rFonts w:ascii="Times New Roman" w:hAnsi="Times New Roman" w:cs="Times New Roman"/>
          <w:b/>
          <w:bCs/>
          <w:sz w:val="24"/>
          <w:szCs w:val="24"/>
        </w:rPr>
      </w:pPr>
      <w:r w:rsidRPr="00C45FE2">
        <w:rPr>
          <w:rFonts w:ascii="Times New Roman" w:hAnsi="Times New Roman" w:cs="Times New Roman"/>
          <w:b/>
          <w:bCs/>
          <w:sz w:val="24"/>
          <w:szCs w:val="24"/>
        </w:rPr>
        <w:t>2.2 Zinc Oxide Nanoparticles (</w:t>
      </w:r>
      <w:proofErr w:type="spellStart"/>
      <w:r w:rsidRPr="00C45FE2">
        <w:rPr>
          <w:rFonts w:ascii="Times New Roman" w:hAnsi="Times New Roman" w:cs="Times New Roman"/>
          <w:b/>
          <w:bCs/>
          <w:sz w:val="24"/>
          <w:szCs w:val="24"/>
        </w:rPr>
        <w:t>ZnO</w:t>
      </w:r>
      <w:proofErr w:type="spellEnd"/>
      <w:r w:rsidRPr="00C45FE2">
        <w:rPr>
          <w:rFonts w:ascii="Times New Roman" w:hAnsi="Times New Roman" w:cs="Times New Roman"/>
          <w:b/>
          <w:bCs/>
          <w:sz w:val="24"/>
          <w:szCs w:val="24"/>
        </w:rPr>
        <w:t xml:space="preserve"> NPs)</w:t>
      </w:r>
    </w:p>
    <w:p w14:paraId="0D0DE35B" w14:textId="0A14B76E"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Zinc oxide nanoparticles (</w:t>
      </w:r>
      <w:proofErr w:type="spellStart"/>
      <w:r w:rsidRPr="00C45FE2">
        <w:rPr>
          <w:rFonts w:ascii="Times New Roman" w:hAnsi="Times New Roman" w:cs="Times New Roman"/>
          <w:sz w:val="24"/>
          <w:szCs w:val="24"/>
        </w:rPr>
        <w:t>ZnO</w:t>
      </w:r>
      <w:proofErr w:type="spellEnd"/>
      <w:r w:rsidRPr="00C45FE2">
        <w:rPr>
          <w:rFonts w:ascii="Times New Roman" w:hAnsi="Times New Roman" w:cs="Times New Roman"/>
          <w:sz w:val="24"/>
          <w:szCs w:val="24"/>
        </w:rPr>
        <w:t xml:space="preserve"> NPs) are recognized as safe for food packaging, supported by their GRAS status from the U.S. FDA (</w:t>
      </w:r>
      <w:proofErr w:type="spellStart"/>
      <w:r w:rsidR="00423946" w:rsidRPr="009D11DC">
        <w:rPr>
          <w:rFonts w:ascii="Times New Roman" w:hAnsi="Times New Roman" w:cs="Times New Roman"/>
          <w:sz w:val="24"/>
          <w:szCs w:val="24"/>
        </w:rPr>
        <w:t>Youn</w:t>
      </w:r>
      <w:proofErr w:type="spellEnd"/>
      <w:r w:rsidR="00423946">
        <w:rPr>
          <w:rFonts w:ascii="Times New Roman" w:hAnsi="Times New Roman" w:cs="Times New Roman"/>
          <w:sz w:val="24"/>
          <w:szCs w:val="24"/>
        </w:rPr>
        <w:t xml:space="preserve"> </w:t>
      </w:r>
      <w:r w:rsidR="00423946" w:rsidRPr="009D11DC">
        <w:rPr>
          <w:rFonts w:ascii="Times New Roman" w:hAnsi="Times New Roman" w:cs="Times New Roman"/>
          <w:sz w:val="24"/>
          <w:szCs w:val="24"/>
        </w:rPr>
        <w:t>&amp; Choi</w:t>
      </w:r>
      <w:r w:rsidRPr="00C45FE2">
        <w:rPr>
          <w:rFonts w:ascii="Times New Roman" w:hAnsi="Times New Roman" w:cs="Times New Roman"/>
          <w:sz w:val="24"/>
          <w:szCs w:val="24"/>
        </w:rPr>
        <w:t>, 202</w:t>
      </w:r>
      <w:r w:rsidR="00423946">
        <w:rPr>
          <w:rFonts w:ascii="Times New Roman" w:hAnsi="Times New Roman" w:cs="Times New Roman"/>
          <w:sz w:val="24"/>
          <w:szCs w:val="24"/>
        </w:rPr>
        <w:t>2</w:t>
      </w:r>
      <w:r w:rsidRPr="00C45FE2">
        <w:rPr>
          <w:rFonts w:ascii="Times New Roman" w:hAnsi="Times New Roman" w:cs="Times New Roman"/>
          <w:sz w:val="24"/>
          <w:szCs w:val="24"/>
        </w:rPr>
        <w:t>). Typically sized 20–100 nm, they combine antimicrobial, UV-blocking, and photocatalytic properties (</w:t>
      </w:r>
      <w:proofErr w:type="spellStart"/>
      <w:r w:rsidR="00810047" w:rsidRPr="00BE7490">
        <w:rPr>
          <w:rFonts w:ascii="Times New Roman" w:hAnsi="Times New Roman" w:cs="Times New Roman"/>
          <w:sz w:val="24"/>
          <w:szCs w:val="24"/>
        </w:rPr>
        <w:t>Jahani</w:t>
      </w:r>
      <w:proofErr w:type="spellEnd"/>
      <w:r w:rsidRPr="00C45FE2">
        <w:rPr>
          <w:rFonts w:ascii="Times New Roman" w:hAnsi="Times New Roman" w:cs="Times New Roman"/>
          <w:sz w:val="24"/>
          <w:szCs w:val="24"/>
        </w:rPr>
        <w:t xml:space="preserve"> et al., 202</w:t>
      </w:r>
      <w:r w:rsidR="00810047">
        <w:rPr>
          <w:rFonts w:ascii="Times New Roman" w:hAnsi="Times New Roman" w:cs="Times New Roman"/>
          <w:sz w:val="24"/>
          <w:szCs w:val="24"/>
        </w:rPr>
        <w:t>4</w:t>
      </w:r>
      <w:r w:rsidRPr="00C45FE2">
        <w:rPr>
          <w:rFonts w:ascii="Times New Roman" w:hAnsi="Times New Roman" w:cs="Times New Roman"/>
          <w:sz w:val="24"/>
          <w:szCs w:val="24"/>
        </w:rPr>
        <w:t>). Their antimicrobial action stems mainly from reactive oxygen species (ROS) generation and Zn²⁺ release (</w:t>
      </w:r>
      <w:proofErr w:type="spellStart"/>
      <w:r w:rsidR="00EE0016">
        <w:rPr>
          <w:rFonts w:ascii="Times New Roman" w:hAnsi="Times New Roman" w:cs="Times New Roman"/>
          <w:sz w:val="24"/>
          <w:szCs w:val="24"/>
        </w:rPr>
        <w:t>Jin</w:t>
      </w:r>
      <w:proofErr w:type="spellEnd"/>
      <w:r w:rsidR="00EE0016">
        <w:rPr>
          <w:rFonts w:ascii="Times New Roman" w:hAnsi="Times New Roman" w:cs="Times New Roman"/>
          <w:sz w:val="24"/>
          <w:szCs w:val="24"/>
        </w:rPr>
        <w:t xml:space="preserve"> &amp; </w:t>
      </w:r>
      <w:proofErr w:type="spellStart"/>
      <w:r w:rsidR="00EE0016">
        <w:rPr>
          <w:rFonts w:ascii="Times New Roman" w:hAnsi="Times New Roman" w:cs="Times New Roman"/>
          <w:sz w:val="24"/>
          <w:szCs w:val="24"/>
        </w:rPr>
        <w:t>Jin</w:t>
      </w:r>
      <w:proofErr w:type="spellEnd"/>
      <w:r w:rsidRPr="00C45FE2">
        <w:rPr>
          <w:rFonts w:ascii="Times New Roman" w:hAnsi="Times New Roman" w:cs="Times New Roman"/>
          <w:sz w:val="24"/>
          <w:szCs w:val="24"/>
        </w:rPr>
        <w:t>, 2021). ROS—including hydrogen peroxide, hydroxyl radicals, and superoxide anions—damage microbial walls and disrupt metabolism (</w:t>
      </w:r>
      <w:r w:rsidR="00516BA9" w:rsidRPr="00E21C58">
        <w:rPr>
          <w:rFonts w:ascii="Times New Roman" w:hAnsi="Times New Roman" w:cs="Times New Roman"/>
          <w:sz w:val="24"/>
          <w:szCs w:val="24"/>
        </w:rPr>
        <w:t>Mandal</w:t>
      </w:r>
      <w:r w:rsidRPr="00C45FE2">
        <w:rPr>
          <w:rFonts w:ascii="Times New Roman" w:hAnsi="Times New Roman" w:cs="Times New Roman"/>
          <w:sz w:val="24"/>
          <w:szCs w:val="24"/>
        </w:rPr>
        <w:t xml:space="preserve"> et al., 202</w:t>
      </w:r>
      <w:r w:rsidR="00516BA9">
        <w:rPr>
          <w:rFonts w:ascii="Times New Roman" w:hAnsi="Times New Roman" w:cs="Times New Roman"/>
          <w:sz w:val="24"/>
          <w:szCs w:val="24"/>
        </w:rPr>
        <w:t>2</w:t>
      </w:r>
      <w:r w:rsidRPr="00C45FE2">
        <w:rPr>
          <w:rFonts w:ascii="Times New Roman" w:hAnsi="Times New Roman" w:cs="Times New Roman"/>
          <w:sz w:val="24"/>
          <w:szCs w:val="24"/>
        </w:rPr>
        <w:t>), while Zn²⁺ ions impair enzymes and protein synthesis.</w:t>
      </w:r>
    </w:p>
    <w:p w14:paraId="1D7C1E0B" w14:textId="65F3BA38" w:rsidR="00C45FE2" w:rsidRPr="00C45FE2" w:rsidRDefault="00C45FE2" w:rsidP="00C45FE2">
      <w:pPr>
        <w:spacing w:line="360" w:lineRule="auto"/>
        <w:jc w:val="both"/>
        <w:rPr>
          <w:rFonts w:ascii="Times New Roman" w:hAnsi="Times New Roman" w:cs="Times New Roman"/>
          <w:sz w:val="24"/>
          <w:szCs w:val="24"/>
        </w:rPr>
      </w:pPr>
      <w:proofErr w:type="spellStart"/>
      <w:r w:rsidRPr="00C45FE2">
        <w:rPr>
          <w:rFonts w:ascii="Times New Roman" w:hAnsi="Times New Roman" w:cs="Times New Roman"/>
          <w:sz w:val="24"/>
          <w:szCs w:val="24"/>
        </w:rPr>
        <w:t>ZnO</w:t>
      </w:r>
      <w:proofErr w:type="spellEnd"/>
      <w:r w:rsidRPr="00C45FE2">
        <w:rPr>
          <w:rFonts w:ascii="Times New Roman" w:hAnsi="Times New Roman" w:cs="Times New Roman"/>
          <w:sz w:val="24"/>
          <w:szCs w:val="24"/>
        </w:rPr>
        <w:t xml:space="preserve"> NPs are applied in antimicrobial films for meat and dairy, UV-shielding packaging for photosensitive foods, and active packaging for fruits and vegetables (</w:t>
      </w:r>
      <w:proofErr w:type="spellStart"/>
      <w:r w:rsidR="005244EA" w:rsidRPr="001C587A">
        <w:rPr>
          <w:rFonts w:ascii="Times New Roman" w:hAnsi="Times New Roman" w:cs="Times New Roman"/>
          <w:sz w:val="24"/>
          <w:szCs w:val="24"/>
        </w:rPr>
        <w:t>Espitia</w:t>
      </w:r>
      <w:proofErr w:type="spellEnd"/>
      <w:r w:rsidRPr="00C45FE2">
        <w:rPr>
          <w:rFonts w:ascii="Times New Roman" w:hAnsi="Times New Roman" w:cs="Times New Roman"/>
          <w:sz w:val="24"/>
          <w:szCs w:val="24"/>
        </w:rPr>
        <w:t xml:space="preserve"> et al., 20</w:t>
      </w:r>
      <w:r w:rsidR="005244EA">
        <w:rPr>
          <w:rFonts w:ascii="Times New Roman" w:hAnsi="Times New Roman" w:cs="Times New Roman"/>
          <w:sz w:val="24"/>
          <w:szCs w:val="24"/>
        </w:rPr>
        <w:t>12</w:t>
      </w:r>
      <w:r w:rsidRPr="00C45FE2">
        <w:rPr>
          <w:rFonts w:ascii="Times New Roman" w:hAnsi="Times New Roman" w:cs="Times New Roman"/>
          <w:sz w:val="24"/>
          <w:szCs w:val="24"/>
        </w:rPr>
        <w:t>). Such packaging extends shelf life by 30–50% compared to conventional materials (</w:t>
      </w:r>
      <w:proofErr w:type="spellStart"/>
      <w:r w:rsidR="005244EA" w:rsidRPr="005244EA">
        <w:rPr>
          <w:rFonts w:ascii="Times New Roman" w:hAnsi="Times New Roman" w:cs="Times New Roman"/>
          <w:sz w:val="24"/>
          <w:szCs w:val="24"/>
        </w:rPr>
        <w:t>Jahani</w:t>
      </w:r>
      <w:proofErr w:type="spellEnd"/>
      <w:r w:rsidR="005244EA">
        <w:rPr>
          <w:rFonts w:ascii="Times New Roman" w:hAnsi="Times New Roman" w:cs="Times New Roman"/>
          <w:sz w:val="24"/>
          <w:szCs w:val="24"/>
        </w:rPr>
        <w:t xml:space="preserve"> &amp; </w:t>
      </w:r>
      <w:proofErr w:type="spellStart"/>
      <w:r w:rsidR="005244EA" w:rsidRPr="005244EA">
        <w:rPr>
          <w:rFonts w:ascii="Times New Roman" w:hAnsi="Times New Roman" w:cs="Times New Roman"/>
          <w:sz w:val="24"/>
          <w:szCs w:val="24"/>
        </w:rPr>
        <w:t>Biglari</w:t>
      </w:r>
      <w:proofErr w:type="spellEnd"/>
      <w:r w:rsidR="005244EA">
        <w:rPr>
          <w:rFonts w:ascii="Times New Roman" w:hAnsi="Times New Roman" w:cs="Times New Roman"/>
          <w:sz w:val="24"/>
          <w:szCs w:val="24"/>
        </w:rPr>
        <w:t xml:space="preserve">, </w:t>
      </w:r>
      <w:r w:rsidR="005244EA">
        <w:rPr>
          <w:rFonts w:ascii="Times New Roman" w:hAnsi="Times New Roman" w:cs="Times New Roman"/>
          <w:sz w:val="24"/>
          <w:szCs w:val="24"/>
        </w:rPr>
        <w:lastRenderedPageBreak/>
        <w:t>202</w:t>
      </w:r>
      <w:r w:rsidR="00423946">
        <w:rPr>
          <w:rFonts w:ascii="Times New Roman" w:hAnsi="Times New Roman" w:cs="Times New Roman"/>
          <w:sz w:val="24"/>
          <w:szCs w:val="24"/>
        </w:rPr>
        <w:t>4</w:t>
      </w:r>
      <w:r w:rsidRPr="00C45FE2">
        <w:rPr>
          <w:rFonts w:ascii="Times New Roman" w:hAnsi="Times New Roman" w:cs="Times New Roman"/>
          <w:sz w:val="24"/>
          <w:szCs w:val="24"/>
        </w:rPr>
        <w:t>). Their photocatalytic nature also supports self-cleaning surfaces and contaminant degradation (</w:t>
      </w:r>
      <w:proofErr w:type="spellStart"/>
      <w:r w:rsidR="00A50AD7" w:rsidRPr="00AE7C0A">
        <w:rPr>
          <w:rFonts w:ascii="Times New Roman" w:hAnsi="Times New Roman" w:cs="Times New Roman"/>
          <w:sz w:val="24"/>
          <w:szCs w:val="24"/>
        </w:rPr>
        <w:t>Moafi</w:t>
      </w:r>
      <w:proofErr w:type="spellEnd"/>
      <w:r w:rsidRPr="00C45FE2">
        <w:rPr>
          <w:rFonts w:ascii="Times New Roman" w:hAnsi="Times New Roman" w:cs="Times New Roman"/>
          <w:sz w:val="24"/>
          <w:szCs w:val="24"/>
        </w:rPr>
        <w:t xml:space="preserve"> et al., 202</w:t>
      </w:r>
      <w:r w:rsidR="00A50AD7">
        <w:rPr>
          <w:rFonts w:ascii="Times New Roman" w:hAnsi="Times New Roman" w:cs="Times New Roman"/>
          <w:sz w:val="24"/>
          <w:szCs w:val="24"/>
        </w:rPr>
        <w:t>1</w:t>
      </w:r>
      <w:r w:rsidRPr="00C45FE2">
        <w:rPr>
          <w:rFonts w:ascii="Times New Roman" w:hAnsi="Times New Roman" w:cs="Times New Roman"/>
          <w:sz w:val="24"/>
          <w:szCs w:val="24"/>
        </w:rPr>
        <w:t>).</w:t>
      </w:r>
      <w:r>
        <w:rPr>
          <w:rFonts w:ascii="Times New Roman" w:hAnsi="Times New Roman" w:cs="Times New Roman"/>
          <w:sz w:val="24"/>
          <w:szCs w:val="24"/>
        </w:rPr>
        <w:t xml:space="preserve"> </w:t>
      </w:r>
      <w:r w:rsidRPr="00C45FE2">
        <w:rPr>
          <w:rFonts w:ascii="Times New Roman" w:hAnsi="Times New Roman" w:cs="Times New Roman"/>
          <w:sz w:val="24"/>
          <w:szCs w:val="24"/>
        </w:rPr>
        <w:t xml:space="preserve">Innovations include hybrid nanocomposites with silver for stronger antimicrobial action, biodegradable </w:t>
      </w:r>
      <w:proofErr w:type="spellStart"/>
      <w:r w:rsidRPr="00C45FE2">
        <w:rPr>
          <w:rFonts w:ascii="Times New Roman" w:hAnsi="Times New Roman" w:cs="Times New Roman"/>
          <w:sz w:val="24"/>
          <w:szCs w:val="24"/>
        </w:rPr>
        <w:t>ZnO</w:t>
      </w:r>
      <w:proofErr w:type="spellEnd"/>
      <w:r w:rsidRPr="00C45FE2">
        <w:rPr>
          <w:rFonts w:ascii="Times New Roman" w:hAnsi="Times New Roman" w:cs="Times New Roman"/>
          <w:sz w:val="24"/>
          <w:szCs w:val="24"/>
        </w:rPr>
        <w:t xml:space="preserve">–polymer composites for sustainability, and smart systems with </w:t>
      </w:r>
      <w:proofErr w:type="spellStart"/>
      <w:r w:rsidRPr="00C45FE2">
        <w:rPr>
          <w:rFonts w:ascii="Times New Roman" w:hAnsi="Times New Roman" w:cs="Times New Roman"/>
          <w:sz w:val="24"/>
          <w:szCs w:val="24"/>
        </w:rPr>
        <w:t>ZnO</w:t>
      </w:r>
      <w:proofErr w:type="spellEnd"/>
      <w:r w:rsidRPr="00C45FE2">
        <w:rPr>
          <w:rFonts w:ascii="Times New Roman" w:hAnsi="Times New Roman" w:cs="Times New Roman"/>
          <w:sz w:val="24"/>
          <w:szCs w:val="24"/>
        </w:rPr>
        <w:t>-based sensors for real-time monitoring (</w:t>
      </w:r>
      <w:proofErr w:type="spellStart"/>
      <w:r w:rsidR="00BC5DE6" w:rsidRPr="00C715C7">
        <w:rPr>
          <w:rFonts w:ascii="Times New Roman" w:hAnsi="Times New Roman" w:cs="Times New Roman"/>
          <w:sz w:val="24"/>
          <w:szCs w:val="24"/>
        </w:rPr>
        <w:t>Brandelli</w:t>
      </w:r>
      <w:proofErr w:type="spellEnd"/>
      <w:r w:rsidRPr="00C45FE2">
        <w:rPr>
          <w:rFonts w:ascii="Times New Roman" w:hAnsi="Times New Roman" w:cs="Times New Roman"/>
          <w:sz w:val="24"/>
          <w:szCs w:val="24"/>
        </w:rPr>
        <w:t xml:space="preserve">, 2024). The </w:t>
      </w:r>
      <w:proofErr w:type="spellStart"/>
      <w:r w:rsidRPr="00C45FE2">
        <w:rPr>
          <w:rFonts w:ascii="Times New Roman" w:hAnsi="Times New Roman" w:cs="Times New Roman"/>
          <w:sz w:val="24"/>
          <w:szCs w:val="24"/>
        </w:rPr>
        <w:t>favorable</w:t>
      </w:r>
      <w:proofErr w:type="spellEnd"/>
      <w:r w:rsidRPr="00C45FE2">
        <w:rPr>
          <w:rFonts w:ascii="Times New Roman" w:hAnsi="Times New Roman" w:cs="Times New Roman"/>
          <w:sz w:val="24"/>
          <w:szCs w:val="24"/>
        </w:rPr>
        <w:t xml:space="preserve"> safety profile of </w:t>
      </w:r>
      <w:proofErr w:type="spellStart"/>
      <w:r w:rsidRPr="00C45FE2">
        <w:rPr>
          <w:rFonts w:ascii="Times New Roman" w:hAnsi="Times New Roman" w:cs="Times New Roman"/>
          <w:sz w:val="24"/>
          <w:szCs w:val="24"/>
        </w:rPr>
        <w:t>ZnO</w:t>
      </w:r>
      <w:proofErr w:type="spellEnd"/>
      <w:r w:rsidRPr="00C45FE2">
        <w:rPr>
          <w:rFonts w:ascii="Times New Roman" w:hAnsi="Times New Roman" w:cs="Times New Roman"/>
          <w:sz w:val="24"/>
          <w:szCs w:val="24"/>
        </w:rPr>
        <w:t xml:space="preserve"> NPs and their multifunctional properties make them well-suited for direct contact applications, aligning with consumer demand for safe, effective, and eco-friendly packaging (</w:t>
      </w:r>
      <w:proofErr w:type="spellStart"/>
      <w:r w:rsidR="00EE0016" w:rsidRPr="00BE7490">
        <w:rPr>
          <w:rFonts w:ascii="Times New Roman" w:hAnsi="Times New Roman" w:cs="Times New Roman"/>
          <w:sz w:val="24"/>
          <w:szCs w:val="24"/>
        </w:rPr>
        <w:t>Jahani</w:t>
      </w:r>
      <w:proofErr w:type="spellEnd"/>
      <w:r w:rsidR="00EE0016" w:rsidRPr="00BE7490">
        <w:rPr>
          <w:rFonts w:ascii="Times New Roman" w:hAnsi="Times New Roman" w:cs="Times New Roman"/>
          <w:sz w:val="24"/>
          <w:szCs w:val="24"/>
        </w:rPr>
        <w:t xml:space="preserve"> &amp; </w:t>
      </w:r>
      <w:proofErr w:type="spellStart"/>
      <w:r w:rsidR="00EE0016" w:rsidRPr="00BE7490">
        <w:rPr>
          <w:rFonts w:ascii="Times New Roman" w:hAnsi="Times New Roman" w:cs="Times New Roman"/>
          <w:sz w:val="24"/>
          <w:szCs w:val="24"/>
        </w:rPr>
        <w:t>Biglari</w:t>
      </w:r>
      <w:proofErr w:type="spellEnd"/>
      <w:r w:rsidRPr="00C45FE2">
        <w:rPr>
          <w:rFonts w:ascii="Times New Roman" w:hAnsi="Times New Roman" w:cs="Times New Roman"/>
          <w:sz w:val="24"/>
          <w:szCs w:val="24"/>
        </w:rPr>
        <w:t>, 202</w:t>
      </w:r>
      <w:r w:rsidR="00EE0016">
        <w:rPr>
          <w:rFonts w:ascii="Times New Roman" w:hAnsi="Times New Roman" w:cs="Times New Roman"/>
          <w:sz w:val="24"/>
          <w:szCs w:val="24"/>
        </w:rPr>
        <w:t>4</w:t>
      </w:r>
      <w:r w:rsidRPr="00C45FE2">
        <w:rPr>
          <w:rFonts w:ascii="Times New Roman" w:hAnsi="Times New Roman" w:cs="Times New Roman"/>
          <w:sz w:val="24"/>
          <w:szCs w:val="24"/>
        </w:rPr>
        <w:t>).</w:t>
      </w:r>
    </w:p>
    <w:p w14:paraId="3D9945B1" w14:textId="77777777" w:rsidR="00C45FE2" w:rsidRPr="00C45FE2" w:rsidRDefault="00C45FE2" w:rsidP="00C45FE2">
      <w:pPr>
        <w:spacing w:line="360" w:lineRule="auto"/>
        <w:jc w:val="both"/>
        <w:rPr>
          <w:rFonts w:ascii="Times New Roman" w:hAnsi="Times New Roman" w:cs="Times New Roman"/>
          <w:b/>
          <w:bCs/>
          <w:sz w:val="24"/>
          <w:szCs w:val="24"/>
        </w:rPr>
      </w:pPr>
      <w:r w:rsidRPr="00C45FE2">
        <w:rPr>
          <w:rFonts w:ascii="Times New Roman" w:hAnsi="Times New Roman" w:cs="Times New Roman"/>
          <w:b/>
          <w:bCs/>
          <w:sz w:val="24"/>
          <w:szCs w:val="24"/>
        </w:rPr>
        <w:t>2.3 Graphene Oxide (GO) and Carbon-Based Nanomaterials</w:t>
      </w:r>
    </w:p>
    <w:p w14:paraId="3C136BE5" w14:textId="31342E8A"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 xml:space="preserve">Graphene oxide (GO) has emerged as a key nanomaterial in packaging due to its superior mechanical strength and </w:t>
      </w:r>
      <w:proofErr w:type="spellStart"/>
      <w:r w:rsidRPr="00C45FE2">
        <w:rPr>
          <w:rFonts w:ascii="Times New Roman" w:hAnsi="Times New Roman" w:cs="Times New Roman"/>
          <w:sz w:val="24"/>
          <w:szCs w:val="24"/>
        </w:rPr>
        <w:t>impermeability</w:t>
      </w:r>
      <w:proofErr w:type="spellEnd"/>
      <w:r w:rsidRPr="00C45FE2">
        <w:rPr>
          <w:rFonts w:ascii="Times New Roman" w:hAnsi="Times New Roman" w:cs="Times New Roman"/>
          <w:sz w:val="24"/>
          <w:szCs w:val="24"/>
        </w:rPr>
        <w:t xml:space="preserve"> to gases and </w:t>
      </w:r>
      <w:proofErr w:type="spellStart"/>
      <w:r w:rsidRPr="00C45FE2">
        <w:rPr>
          <w:rFonts w:ascii="Times New Roman" w:hAnsi="Times New Roman" w:cs="Times New Roman"/>
          <w:sz w:val="24"/>
          <w:szCs w:val="24"/>
        </w:rPr>
        <w:t>vapors</w:t>
      </w:r>
      <w:proofErr w:type="spellEnd"/>
      <w:r w:rsidRPr="00C45FE2">
        <w:rPr>
          <w:rFonts w:ascii="Times New Roman" w:hAnsi="Times New Roman" w:cs="Times New Roman"/>
          <w:sz w:val="24"/>
          <w:szCs w:val="24"/>
        </w:rPr>
        <w:t xml:space="preserve"> (</w:t>
      </w:r>
      <w:r w:rsidR="00547FDD" w:rsidRPr="00547FDD">
        <w:rPr>
          <w:rFonts w:ascii="Times New Roman" w:hAnsi="Times New Roman" w:cs="Times New Roman"/>
          <w:sz w:val="24"/>
          <w:szCs w:val="24"/>
        </w:rPr>
        <w:t xml:space="preserve">Ahmed, </w:t>
      </w:r>
      <w:r w:rsidRPr="00C45FE2">
        <w:rPr>
          <w:rFonts w:ascii="Times New Roman" w:hAnsi="Times New Roman" w:cs="Times New Roman"/>
          <w:sz w:val="24"/>
          <w:szCs w:val="24"/>
        </w:rPr>
        <w:t>20</w:t>
      </w:r>
      <w:r w:rsidR="00547FDD">
        <w:rPr>
          <w:rFonts w:ascii="Times New Roman" w:hAnsi="Times New Roman" w:cs="Times New Roman"/>
          <w:sz w:val="24"/>
          <w:szCs w:val="24"/>
        </w:rPr>
        <w:t>19</w:t>
      </w:r>
      <w:r w:rsidRPr="00C45FE2">
        <w:rPr>
          <w:rFonts w:ascii="Times New Roman" w:hAnsi="Times New Roman" w:cs="Times New Roman"/>
          <w:sz w:val="24"/>
          <w:szCs w:val="24"/>
        </w:rPr>
        <w:t>). GO nanosheets embedded in polymers significantly reduce oxygen permeability (up to 1000-fold) and water vapor transmission (over 70%) (</w:t>
      </w:r>
      <w:r w:rsidR="006A1B83" w:rsidRPr="006C01B4">
        <w:rPr>
          <w:rFonts w:ascii="Times New Roman" w:hAnsi="Times New Roman" w:cs="Times New Roman"/>
          <w:sz w:val="24"/>
          <w:szCs w:val="24"/>
        </w:rPr>
        <w:t>Rossa</w:t>
      </w:r>
      <w:r w:rsidRPr="00C45FE2">
        <w:rPr>
          <w:rFonts w:ascii="Times New Roman" w:hAnsi="Times New Roman" w:cs="Times New Roman"/>
          <w:sz w:val="24"/>
          <w:szCs w:val="24"/>
        </w:rPr>
        <w:t xml:space="preserve"> et al., 202</w:t>
      </w:r>
      <w:r w:rsidR="006A1B83">
        <w:rPr>
          <w:rFonts w:ascii="Times New Roman" w:hAnsi="Times New Roman" w:cs="Times New Roman"/>
          <w:sz w:val="24"/>
          <w:szCs w:val="24"/>
        </w:rPr>
        <w:t>2</w:t>
      </w:r>
      <w:r w:rsidRPr="00C45FE2">
        <w:rPr>
          <w:rFonts w:ascii="Times New Roman" w:hAnsi="Times New Roman" w:cs="Times New Roman"/>
          <w:sz w:val="24"/>
          <w:szCs w:val="24"/>
        </w:rPr>
        <w:t>). This is achieved by forming tortuous diffusion paths that impede gas flow. Parallel alignment of GO nanosheets in films strengthens this barrier, aided by strong hydrogen bonding and van der Waals interactions with polymer chains (</w:t>
      </w:r>
      <w:r w:rsidR="007D088B" w:rsidRPr="00A21330">
        <w:rPr>
          <w:rFonts w:ascii="Times New Roman" w:hAnsi="Times New Roman" w:cs="Times New Roman"/>
          <w:sz w:val="24"/>
          <w:szCs w:val="24"/>
        </w:rPr>
        <w:t>Lee</w:t>
      </w:r>
      <w:r w:rsidRPr="00C45FE2">
        <w:rPr>
          <w:rFonts w:ascii="Times New Roman" w:hAnsi="Times New Roman" w:cs="Times New Roman"/>
          <w:sz w:val="24"/>
          <w:szCs w:val="24"/>
        </w:rPr>
        <w:t xml:space="preserve"> et al., 2022).</w:t>
      </w:r>
    </w:p>
    <w:p w14:paraId="3CC0A31C" w14:textId="0CD5F952"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Carbon nanotubes (CNTs), including single- and multi-walled forms, add mechanical reinforcement, conductivity, and antimicrobial traits (</w:t>
      </w:r>
      <w:r w:rsidR="00547FDD">
        <w:rPr>
          <w:rFonts w:ascii="Times New Roman" w:hAnsi="Times New Roman" w:cs="Times New Roman"/>
          <w:sz w:val="24"/>
          <w:szCs w:val="24"/>
        </w:rPr>
        <w:t>Li</w:t>
      </w:r>
      <w:r w:rsidRPr="00C45FE2">
        <w:rPr>
          <w:rFonts w:ascii="Times New Roman" w:hAnsi="Times New Roman" w:cs="Times New Roman"/>
          <w:sz w:val="24"/>
          <w:szCs w:val="24"/>
        </w:rPr>
        <w:t xml:space="preserve"> et al., 2023). CNT-reinforced films show up to 88% higher tensile strength and 172% improved Young’s modulus compared to unmodified polymers (</w:t>
      </w:r>
      <w:proofErr w:type="spellStart"/>
      <w:r w:rsidR="00A50AD7" w:rsidRPr="00AE7C0A">
        <w:rPr>
          <w:rFonts w:ascii="Times New Roman" w:hAnsi="Times New Roman" w:cs="Times New Roman"/>
          <w:sz w:val="24"/>
          <w:szCs w:val="24"/>
        </w:rPr>
        <w:t>Pegel</w:t>
      </w:r>
      <w:proofErr w:type="spellEnd"/>
      <w:r w:rsidRPr="00C45FE2">
        <w:rPr>
          <w:rFonts w:ascii="Times New Roman" w:hAnsi="Times New Roman" w:cs="Times New Roman"/>
          <w:sz w:val="24"/>
          <w:szCs w:val="24"/>
        </w:rPr>
        <w:t xml:space="preserve"> et al., 20</w:t>
      </w:r>
      <w:r w:rsidR="00A50AD7">
        <w:rPr>
          <w:rFonts w:ascii="Times New Roman" w:hAnsi="Times New Roman" w:cs="Times New Roman"/>
          <w:sz w:val="24"/>
          <w:szCs w:val="24"/>
        </w:rPr>
        <w:t>1</w:t>
      </w:r>
      <w:r w:rsidRPr="00C45FE2">
        <w:rPr>
          <w:rFonts w:ascii="Times New Roman" w:hAnsi="Times New Roman" w:cs="Times New Roman"/>
          <w:sz w:val="24"/>
          <w:szCs w:val="24"/>
        </w:rPr>
        <w:t>2).</w:t>
      </w:r>
      <w:r>
        <w:rPr>
          <w:rFonts w:ascii="Times New Roman" w:hAnsi="Times New Roman" w:cs="Times New Roman"/>
          <w:sz w:val="24"/>
          <w:szCs w:val="24"/>
        </w:rPr>
        <w:t xml:space="preserve"> </w:t>
      </w:r>
      <w:r w:rsidRPr="00C45FE2">
        <w:rPr>
          <w:rFonts w:ascii="Times New Roman" w:hAnsi="Times New Roman" w:cs="Times New Roman"/>
          <w:sz w:val="24"/>
          <w:szCs w:val="24"/>
        </w:rPr>
        <w:t>Applications range from high-barrier films for oxygen-sensitive products to conductive packaging for electromagnetic shielding and smart systems integrating sensors (</w:t>
      </w:r>
      <w:proofErr w:type="spellStart"/>
      <w:r w:rsidR="00423946" w:rsidRPr="009D11DC">
        <w:rPr>
          <w:rFonts w:ascii="Times New Roman" w:hAnsi="Times New Roman" w:cs="Times New Roman"/>
          <w:sz w:val="24"/>
          <w:szCs w:val="24"/>
        </w:rPr>
        <w:t>Mitura</w:t>
      </w:r>
      <w:proofErr w:type="spellEnd"/>
      <w:r w:rsidRPr="00C45FE2">
        <w:rPr>
          <w:rFonts w:ascii="Times New Roman" w:hAnsi="Times New Roman" w:cs="Times New Roman"/>
          <w:sz w:val="24"/>
          <w:szCs w:val="24"/>
        </w:rPr>
        <w:t xml:space="preserve"> et al., 202</w:t>
      </w:r>
      <w:r w:rsidR="00423946">
        <w:rPr>
          <w:rFonts w:ascii="Times New Roman" w:hAnsi="Times New Roman" w:cs="Times New Roman"/>
          <w:sz w:val="24"/>
          <w:szCs w:val="24"/>
        </w:rPr>
        <w:t>1</w:t>
      </w:r>
      <w:r w:rsidRPr="00C45FE2">
        <w:rPr>
          <w:rFonts w:ascii="Times New Roman" w:hAnsi="Times New Roman" w:cs="Times New Roman"/>
          <w:sz w:val="24"/>
          <w:szCs w:val="24"/>
        </w:rPr>
        <w:t>). Functionalized CNTs and GO have further enabled antimicrobial films, controlled-release packaging, and biodegradable composites (Green et al., 2021). Together, carbon-based nanomaterials are expanding possibilities for advanced, durable, and sustainable food packaging solutions.</w:t>
      </w:r>
    </w:p>
    <w:p w14:paraId="453E4542" w14:textId="77777777" w:rsidR="00C45FE2" w:rsidRPr="00C45FE2" w:rsidRDefault="00C45FE2" w:rsidP="00C45FE2">
      <w:pPr>
        <w:spacing w:line="360" w:lineRule="auto"/>
        <w:jc w:val="both"/>
        <w:rPr>
          <w:rFonts w:ascii="Times New Roman" w:hAnsi="Times New Roman" w:cs="Times New Roman"/>
          <w:b/>
          <w:bCs/>
          <w:sz w:val="24"/>
          <w:szCs w:val="24"/>
        </w:rPr>
      </w:pPr>
      <w:r w:rsidRPr="00C45FE2">
        <w:rPr>
          <w:rFonts w:ascii="Times New Roman" w:hAnsi="Times New Roman" w:cs="Times New Roman"/>
          <w:b/>
          <w:bCs/>
          <w:sz w:val="24"/>
          <w:szCs w:val="24"/>
        </w:rPr>
        <w:t>2.4 Other Significant Nanomaterials</w:t>
      </w:r>
    </w:p>
    <w:p w14:paraId="00F3D7E3" w14:textId="756C4B5A"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Titanium dioxide nanoparticles (</w:t>
      </w:r>
      <w:proofErr w:type="spellStart"/>
      <w:r w:rsidRPr="00C45FE2">
        <w:rPr>
          <w:rFonts w:ascii="Times New Roman" w:hAnsi="Times New Roman" w:cs="Times New Roman"/>
          <w:sz w:val="24"/>
          <w:szCs w:val="24"/>
        </w:rPr>
        <w:t>TiO</w:t>
      </w:r>
      <w:proofErr w:type="spellEnd"/>
      <w:r w:rsidRPr="00C45FE2">
        <w:rPr>
          <w:rFonts w:ascii="Times New Roman" w:hAnsi="Times New Roman" w:cs="Times New Roman"/>
          <w:sz w:val="24"/>
          <w:szCs w:val="24"/>
        </w:rPr>
        <w:t>₂ NPs) are valued for photocatalytic and UV-protective functions in packaging (</w:t>
      </w:r>
      <w:proofErr w:type="spellStart"/>
      <w:r w:rsidR="00956918" w:rsidRPr="00DC64D1">
        <w:rPr>
          <w:rFonts w:ascii="Times New Roman" w:hAnsi="Times New Roman" w:cs="Times New Roman"/>
          <w:sz w:val="24"/>
          <w:szCs w:val="24"/>
        </w:rPr>
        <w:t>Feckler</w:t>
      </w:r>
      <w:proofErr w:type="spellEnd"/>
      <w:r w:rsidRPr="00C45FE2">
        <w:rPr>
          <w:rFonts w:ascii="Times New Roman" w:hAnsi="Times New Roman" w:cs="Times New Roman"/>
          <w:sz w:val="24"/>
          <w:szCs w:val="24"/>
        </w:rPr>
        <w:t xml:space="preserve"> et al., 20</w:t>
      </w:r>
      <w:r w:rsidR="00956918">
        <w:rPr>
          <w:rFonts w:ascii="Times New Roman" w:hAnsi="Times New Roman" w:cs="Times New Roman"/>
          <w:sz w:val="24"/>
          <w:szCs w:val="24"/>
        </w:rPr>
        <w:t>14</w:t>
      </w:r>
      <w:r w:rsidRPr="00C45FE2">
        <w:rPr>
          <w:rFonts w:ascii="Times New Roman" w:hAnsi="Times New Roman" w:cs="Times New Roman"/>
          <w:sz w:val="24"/>
          <w:szCs w:val="24"/>
        </w:rPr>
        <w:t xml:space="preserve">). Yet, EU restrictions on their use as additives due to genotoxicity concerns limit applications, though they remain useful in indirect-contact packaging (EFSA, 2021; </w:t>
      </w:r>
      <w:r w:rsidR="00516BA9" w:rsidRPr="00E21C58">
        <w:rPr>
          <w:rFonts w:ascii="Times New Roman" w:hAnsi="Times New Roman" w:cs="Times New Roman"/>
          <w:sz w:val="24"/>
          <w:szCs w:val="24"/>
        </w:rPr>
        <w:t>Li</w:t>
      </w:r>
      <w:r w:rsidRPr="00C45FE2">
        <w:rPr>
          <w:rFonts w:ascii="Times New Roman" w:hAnsi="Times New Roman" w:cs="Times New Roman"/>
          <w:sz w:val="24"/>
          <w:szCs w:val="24"/>
        </w:rPr>
        <w:t xml:space="preserve"> et al., 202</w:t>
      </w:r>
      <w:r w:rsidR="00516BA9">
        <w:rPr>
          <w:rFonts w:ascii="Times New Roman" w:hAnsi="Times New Roman" w:cs="Times New Roman"/>
          <w:sz w:val="24"/>
          <w:szCs w:val="24"/>
        </w:rPr>
        <w:t>4</w:t>
      </w:r>
      <w:r w:rsidRPr="00C45FE2">
        <w:rPr>
          <w:rFonts w:ascii="Times New Roman" w:hAnsi="Times New Roman" w:cs="Times New Roman"/>
          <w:sz w:val="24"/>
          <w:szCs w:val="24"/>
        </w:rPr>
        <w:t>).</w:t>
      </w:r>
    </w:p>
    <w:p w14:paraId="25ADC9F3" w14:textId="2B17A38B"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lastRenderedPageBreak/>
        <w:t>Montmorillonite clay nanoparticles provide low-cost, naturally derived barrier enhancement by creating tortuous gas diffusion paths (</w:t>
      </w:r>
      <w:r w:rsidR="00E317EE" w:rsidRPr="00C34EEE">
        <w:rPr>
          <w:rFonts w:ascii="Times New Roman" w:hAnsi="Times New Roman" w:cs="Times New Roman"/>
          <w:sz w:val="24"/>
          <w:szCs w:val="24"/>
        </w:rPr>
        <w:t>Deshmukh</w:t>
      </w:r>
      <w:r w:rsidRPr="00C45FE2">
        <w:rPr>
          <w:rFonts w:ascii="Times New Roman" w:hAnsi="Times New Roman" w:cs="Times New Roman"/>
          <w:sz w:val="24"/>
          <w:szCs w:val="24"/>
        </w:rPr>
        <w:t xml:space="preserve"> et al., 202</w:t>
      </w:r>
      <w:r w:rsidR="00E317EE">
        <w:rPr>
          <w:rFonts w:ascii="Times New Roman" w:hAnsi="Times New Roman" w:cs="Times New Roman"/>
          <w:sz w:val="24"/>
          <w:szCs w:val="24"/>
        </w:rPr>
        <w:t>2</w:t>
      </w:r>
      <w:r w:rsidRPr="00C45FE2">
        <w:rPr>
          <w:rFonts w:ascii="Times New Roman" w:hAnsi="Times New Roman" w:cs="Times New Roman"/>
          <w:sz w:val="24"/>
          <w:szCs w:val="24"/>
        </w:rPr>
        <w:t>). Approved in the U.S. and EU for food contact, they are widely applied in nanocomposites (European Commission, 2023).</w:t>
      </w:r>
    </w:p>
    <w:p w14:paraId="25D881B8" w14:textId="210D37E4"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Sustainable nanomaterials such as cellulose nanocrystals (CNCs) and cellulose nanofibers (CNFs), derived from renewable biomass, are gaining attention. These biodegradable materials enhance mechanical strength, barrier properties, and food-contact safety (</w:t>
      </w:r>
      <w:r w:rsidR="00810047" w:rsidRPr="00BE7490">
        <w:rPr>
          <w:rFonts w:ascii="Times New Roman" w:hAnsi="Times New Roman" w:cs="Times New Roman"/>
          <w:sz w:val="24"/>
          <w:szCs w:val="24"/>
        </w:rPr>
        <w:t>Jose</w:t>
      </w:r>
      <w:r w:rsidRPr="00C45FE2">
        <w:rPr>
          <w:rFonts w:ascii="Times New Roman" w:hAnsi="Times New Roman" w:cs="Times New Roman"/>
          <w:sz w:val="24"/>
          <w:szCs w:val="24"/>
        </w:rPr>
        <w:t xml:space="preserve"> et al., 202</w:t>
      </w:r>
      <w:r w:rsidR="00810047">
        <w:rPr>
          <w:rFonts w:ascii="Times New Roman" w:hAnsi="Times New Roman" w:cs="Times New Roman"/>
          <w:sz w:val="24"/>
          <w:szCs w:val="24"/>
        </w:rPr>
        <w:t>5</w:t>
      </w:r>
      <w:r w:rsidRPr="00C45FE2">
        <w:rPr>
          <w:rFonts w:ascii="Times New Roman" w:hAnsi="Times New Roman" w:cs="Times New Roman"/>
          <w:sz w:val="24"/>
          <w:szCs w:val="24"/>
        </w:rPr>
        <w:t xml:space="preserve">; </w:t>
      </w:r>
      <w:r w:rsidR="00EC5B13" w:rsidRPr="003C013F">
        <w:rPr>
          <w:rFonts w:ascii="Times New Roman" w:hAnsi="Times New Roman" w:cs="Times New Roman"/>
          <w:sz w:val="24"/>
          <w:szCs w:val="24"/>
        </w:rPr>
        <w:t>Del Rosario Herrera-Rivera</w:t>
      </w:r>
      <w:r w:rsidRPr="00C45FE2">
        <w:rPr>
          <w:rFonts w:ascii="Times New Roman" w:hAnsi="Times New Roman" w:cs="Times New Roman"/>
          <w:sz w:val="24"/>
          <w:szCs w:val="24"/>
        </w:rPr>
        <w:t xml:space="preserve"> et al., 2024). Innovations include CNC-based antimicrobial films, CNF-reinforced biodegradable packaging, and nanocellulose-based smart freshness indicators (</w:t>
      </w:r>
      <w:r w:rsidR="00A50AD7" w:rsidRPr="00AE7C0A">
        <w:rPr>
          <w:rFonts w:ascii="Times New Roman" w:hAnsi="Times New Roman" w:cs="Times New Roman"/>
          <w:sz w:val="24"/>
          <w:szCs w:val="24"/>
        </w:rPr>
        <w:t>Mateo</w:t>
      </w:r>
      <w:r w:rsidRPr="00C45FE2">
        <w:rPr>
          <w:rFonts w:ascii="Times New Roman" w:hAnsi="Times New Roman" w:cs="Times New Roman"/>
          <w:sz w:val="24"/>
          <w:szCs w:val="24"/>
        </w:rPr>
        <w:t xml:space="preserve"> et al., 2021).</w:t>
      </w:r>
      <w:r>
        <w:rPr>
          <w:rFonts w:ascii="Times New Roman" w:hAnsi="Times New Roman" w:cs="Times New Roman"/>
          <w:sz w:val="24"/>
          <w:szCs w:val="24"/>
        </w:rPr>
        <w:t xml:space="preserve"> </w:t>
      </w:r>
      <w:r w:rsidRPr="00C45FE2">
        <w:rPr>
          <w:rFonts w:ascii="Times New Roman" w:hAnsi="Times New Roman" w:cs="Times New Roman"/>
          <w:sz w:val="24"/>
          <w:szCs w:val="24"/>
        </w:rPr>
        <w:t>Collectively, these alternative nanomaterials expand the toolbox of packaging innovations, balancing performance with sustainability. Their potential lies in combining barrier, antimicrobial, and smart functions while meeting regulatory and environmental demands, ensuring a pathway toward safe and eco-friendly packaging solutions.</w:t>
      </w:r>
    </w:p>
    <w:p w14:paraId="6432544C"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3. Mechanisms and Applications</w:t>
      </w:r>
    </w:p>
    <w:p w14:paraId="79D8C3D8"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3.1 Antimicrobial Mechanisms</w:t>
      </w:r>
    </w:p>
    <w:p w14:paraId="32FFFEF5" w14:textId="2926AA7F"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Nanomaterials in food packaging display antimicrobial activity through several mechanisms, providing effective protection against pathogens (</w:t>
      </w:r>
      <w:proofErr w:type="spellStart"/>
      <w:r w:rsidR="00547FDD" w:rsidRPr="007A3736">
        <w:rPr>
          <w:rFonts w:ascii="Times New Roman" w:hAnsi="Times New Roman" w:cs="Times New Roman"/>
          <w:sz w:val="24"/>
          <w:szCs w:val="24"/>
        </w:rPr>
        <w:t>Barage</w:t>
      </w:r>
      <w:proofErr w:type="spellEnd"/>
      <w:r w:rsidRPr="00C45FE2">
        <w:rPr>
          <w:rFonts w:ascii="Times New Roman" w:hAnsi="Times New Roman" w:cs="Times New Roman"/>
          <w:sz w:val="24"/>
          <w:szCs w:val="24"/>
        </w:rPr>
        <w:t xml:space="preserve"> et al., 2022). Direct contact killing is a primary pathway, especially for silver and zinc oxide nanoparticles, where interaction with microbial cell membranes leads to disruption, protein denaturation, and cellular leakage (</w:t>
      </w:r>
      <w:r w:rsidR="00547FDD" w:rsidRPr="007A3736">
        <w:rPr>
          <w:rFonts w:ascii="Times New Roman" w:hAnsi="Times New Roman" w:cs="Times New Roman"/>
          <w:sz w:val="24"/>
          <w:szCs w:val="24"/>
        </w:rPr>
        <w:t>Franco</w:t>
      </w:r>
      <w:r w:rsidRPr="00C45FE2">
        <w:rPr>
          <w:rFonts w:ascii="Times New Roman" w:hAnsi="Times New Roman" w:cs="Times New Roman"/>
          <w:sz w:val="24"/>
          <w:szCs w:val="24"/>
        </w:rPr>
        <w:t xml:space="preserve"> et al., 202</w:t>
      </w:r>
      <w:r w:rsidR="00547FDD">
        <w:rPr>
          <w:rFonts w:ascii="Times New Roman" w:hAnsi="Times New Roman" w:cs="Times New Roman"/>
          <w:sz w:val="24"/>
          <w:szCs w:val="24"/>
        </w:rPr>
        <w:t>2</w:t>
      </w:r>
      <w:r w:rsidRPr="00C45FE2">
        <w:rPr>
          <w:rFonts w:ascii="Times New Roman" w:hAnsi="Times New Roman" w:cs="Times New Roman"/>
          <w:sz w:val="24"/>
          <w:szCs w:val="24"/>
        </w:rPr>
        <w:t>). The high surface energy of nanoparticles ensures strong microbial adhesion, enabling action at low concentrations.</w:t>
      </w:r>
    </w:p>
    <w:p w14:paraId="66BD27B9" w14:textId="12A08534"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Another important mechanism is ion release. Silver ions (Ag⁺) and zinc ions (Zn²⁺) interfere with enzyme activity, protein synthesis, and DNA replication, ensuring prolonged antimicrobial protection as ions gradually leach from packaging (</w:t>
      </w:r>
      <w:r w:rsidR="00EC5B13" w:rsidRPr="003C013F">
        <w:rPr>
          <w:rFonts w:ascii="Times New Roman" w:hAnsi="Times New Roman" w:cs="Times New Roman"/>
          <w:sz w:val="24"/>
          <w:szCs w:val="24"/>
        </w:rPr>
        <w:t>Cao</w:t>
      </w:r>
      <w:r w:rsidRPr="00C45FE2">
        <w:rPr>
          <w:rFonts w:ascii="Times New Roman" w:hAnsi="Times New Roman" w:cs="Times New Roman"/>
          <w:sz w:val="24"/>
          <w:szCs w:val="24"/>
        </w:rPr>
        <w:t xml:space="preserve"> et al., 202</w:t>
      </w:r>
      <w:r w:rsidR="00EC5B13">
        <w:rPr>
          <w:rFonts w:ascii="Times New Roman" w:hAnsi="Times New Roman" w:cs="Times New Roman"/>
          <w:sz w:val="24"/>
          <w:szCs w:val="24"/>
        </w:rPr>
        <w:t>3</w:t>
      </w:r>
      <w:r w:rsidRPr="00C45FE2">
        <w:rPr>
          <w:rFonts w:ascii="Times New Roman" w:hAnsi="Times New Roman" w:cs="Times New Roman"/>
          <w:sz w:val="24"/>
          <w:szCs w:val="24"/>
        </w:rPr>
        <w:t>).</w:t>
      </w:r>
      <w:r>
        <w:rPr>
          <w:rFonts w:ascii="Times New Roman" w:hAnsi="Times New Roman" w:cs="Times New Roman"/>
          <w:sz w:val="24"/>
          <w:szCs w:val="24"/>
        </w:rPr>
        <w:t xml:space="preserve"> </w:t>
      </w:r>
      <w:r w:rsidRPr="00C45FE2">
        <w:rPr>
          <w:rFonts w:ascii="Times New Roman" w:hAnsi="Times New Roman" w:cs="Times New Roman"/>
          <w:sz w:val="24"/>
          <w:szCs w:val="24"/>
        </w:rPr>
        <w:t>Reactive oxygen species (ROS) generation is particularly significant for photocatalytic nanoparticles such as titanium dioxide and zinc oxide. These produce hydrogen peroxide, hydroxyl radicals, and superoxide anions that damage microbial structures under suitable conditions (</w:t>
      </w:r>
      <w:r w:rsidR="00547FDD" w:rsidRPr="007A3736">
        <w:rPr>
          <w:rFonts w:ascii="Times New Roman" w:hAnsi="Times New Roman" w:cs="Times New Roman"/>
          <w:sz w:val="24"/>
          <w:szCs w:val="24"/>
        </w:rPr>
        <w:t>Ran</w:t>
      </w:r>
      <w:r w:rsidRPr="00C45FE2">
        <w:rPr>
          <w:rFonts w:ascii="Times New Roman" w:hAnsi="Times New Roman" w:cs="Times New Roman"/>
          <w:sz w:val="24"/>
          <w:szCs w:val="24"/>
        </w:rPr>
        <w:t xml:space="preserve"> et al., 202</w:t>
      </w:r>
      <w:r w:rsidR="00547FDD">
        <w:rPr>
          <w:rFonts w:ascii="Times New Roman" w:hAnsi="Times New Roman" w:cs="Times New Roman"/>
          <w:sz w:val="24"/>
          <w:szCs w:val="24"/>
        </w:rPr>
        <w:t>3</w:t>
      </w:r>
      <w:r w:rsidRPr="00C45FE2">
        <w:rPr>
          <w:rFonts w:ascii="Times New Roman" w:hAnsi="Times New Roman" w:cs="Times New Roman"/>
          <w:sz w:val="24"/>
          <w:szCs w:val="24"/>
        </w:rPr>
        <w:t>). This mechanism is highly effective against biofilm-forming bacteria, which are often resistant to conventional antimicrobial methods.</w:t>
      </w:r>
    </w:p>
    <w:p w14:paraId="01A9CEFC" w14:textId="77777777" w:rsidR="00C45FE2" w:rsidRPr="00C45FE2" w:rsidRDefault="00C45FE2" w:rsidP="00C45FE2">
      <w:pPr>
        <w:spacing w:line="360" w:lineRule="auto"/>
        <w:jc w:val="both"/>
        <w:rPr>
          <w:rFonts w:ascii="Times New Roman" w:hAnsi="Times New Roman" w:cs="Times New Roman"/>
          <w:b/>
          <w:bCs/>
          <w:sz w:val="24"/>
          <w:szCs w:val="24"/>
        </w:rPr>
      </w:pPr>
      <w:r w:rsidRPr="00C45FE2">
        <w:rPr>
          <w:rFonts w:ascii="Times New Roman" w:hAnsi="Times New Roman" w:cs="Times New Roman"/>
          <w:b/>
          <w:bCs/>
          <w:sz w:val="24"/>
          <w:szCs w:val="24"/>
        </w:rPr>
        <w:t>3.2 Barrier Property Enhancement</w:t>
      </w:r>
    </w:p>
    <w:p w14:paraId="6A7646CD" w14:textId="09CBFD13"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Nanotechnology provides a major advancement in food packaging by reducing the permeation of gases, moisture, and volatiles, thus extending product shelf life (</w:t>
      </w:r>
      <w:proofErr w:type="spellStart"/>
      <w:r w:rsidR="00516BA9" w:rsidRPr="00E21C58">
        <w:rPr>
          <w:rFonts w:ascii="Times New Roman" w:hAnsi="Times New Roman" w:cs="Times New Roman"/>
          <w:sz w:val="24"/>
          <w:szCs w:val="24"/>
        </w:rPr>
        <w:t>Suddala</w:t>
      </w:r>
      <w:proofErr w:type="spellEnd"/>
      <w:r w:rsidRPr="00C45FE2">
        <w:rPr>
          <w:rFonts w:ascii="Times New Roman" w:hAnsi="Times New Roman" w:cs="Times New Roman"/>
          <w:sz w:val="24"/>
          <w:szCs w:val="24"/>
        </w:rPr>
        <w:t>, 202</w:t>
      </w:r>
      <w:r w:rsidR="00516BA9">
        <w:rPr>
          <w:rFonts w:ascii="Times New Roman" w:hAnsi="Times New Roman" w:cs="Times New Roman"/>
          <w:sz w:val="24"/>
          <w:szCs w:val="24"/>
        </w:rPr>
        <w:t>0</w:t>
      </w:r>
      <w:r w:rsidRPr="00C45FE2">
        <w:rPr>
          <w:rFonts w:ascii="Times New Roman" w:hAnsi="Times New Roman" w:cs="Times New Roman"/>
          <w:sz w:val="24"/>
          <w:szCs w:val="24"/>
        </w:rPr>
        <w:t xml:space="preserve">). The key </w:t>
      </w:r>
      <w:r w:rsidRPr="00C45FE2">
        <w:rPr>
          <w:rFonts w:ascii="Times New Roman" w:hAnsi="Times New Roman" w:cs="Times New Roman"/>
          <w:sz w:val="24"/>
          <w:szCs w:val="24"/>
        </w:rPr>
        <w:lastRenderedPageBreak/>
        <w:t>mechanism is the tortuous path effect, where dispersed nanomaterials such as graphene oxide and montmorillonite create maze-like diffusion barriers, drastically reducing permeability even at low loadings (</w:t>
      </w:r>
      <w:r w:rsidR="00A50AD7" w:rsidRPr="00AE7C0A">
        <w:rPr>
          <w:rFonts w:ascii="Times New Roman" w:hAnsi="Times New Roman" w:cs="Times New Roman"/>
          <w:sz w:val="24"/>
          <w:szCs w:val="24"/>
        </w:rPr>
        <w:t>Muthu</w:t>
      </w:r>
      <w:r w:rsidRPr="00C45FE2">
        <w:rPr>
          <w:rFonts w:ascii="Times New Roman" w:hAnsi="Times New Roman" w:cs="Times New Roman"/>
          <w:sz w:val="24"/>
          <w:szCs w:val="24"/>
        </w:rPr>
        <w:t xml:space="preserve"> et al., 202</w:t>
      </w:r>
      <w:r w:rsidR="00A50AD7">
        <w:rPr>
          <w:rFonts w:ascii="Times New Roman" w:hAnsi="Times New Roman" w:cs="Times New Roman"/>
          <w:sz w:val="24"/>
          <w:szCs w:val="24"/>
        </w:rPr>
        <w:t>5</w:t>
      </w:r>
      <w:r w:rsidRPr="00C45FE2">
        <w:rPr>
          <w:rFonts w:ascii="Times New Roman" w:hAnsi="Times New Roman" w:cs="Times New Roman"/>
          <w:sz w:val="24"/>
          <w:szCs w:val="24"/>
        </w:rPr>
        <w:t>).</w:t>
      </w:r>
    </w:p>
    <w:p w14:paraId="0A95381B" w14:textId="7420BD82"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Interfacial interactions between nanoparticles and polymers further improve barrier properties. Strong hydrogen bonding, chemical attachment, and polymer chain entanglement create additional resistance to molecular diffusion while improving thermal and mechanical stability.</w:t>
      </w:r>
      <w:r>
        <w:rPr>
          <w:rFonts w:ascii="Times New Roman" w:hAnsi="Times New Roman" w:cs="Times New Roman"/>
          <w:sz w:val="24"/>
          <w:szCs w:val="24"/>
        </w:rPr>
        <w:t xml:space="preserve"> </w:t>
      </w:r>
      <w:r w:rsidRPr="00C45FE2">
        <w:rPr>
          <w:rFonts w:ascii="Times New Roman" w:hAnsi="Times New Roman" w:cs="Times New Roman"/>
          <w:sz w:val="24"/>
          <w:szCs w:val="24"/>
        </w:rPr>
        <w:t>Material geometry also plays a decisive role. High aspect ratio nanomaterials such as graphene nanosheets or clay platelets provide superior diffusion resistance compared to spherical nanoparticles, due to more effective tortuous pathways (</w:t>
      </w:r>
      <w:r w:rsidR="00E46C85" w:rsidRPr="0056375E">
        <w:rPr>
          <w:rFonts w:ascii="Times New Roman" w:hAnsi="Times New Roman" w:cs="Times New Roman"/>
          <w:sz w:val="24"/>
          <w:szCs w:val="24"/>
        </w:rPr>
        <w:t>Chandra</w:t>
      </w:r>
      <w:r w:rsidRPr="00C45FE2">
        <w:rPr>
          <w:rFonts w:ascii="Times New Roman" w:hAnsi="Times New Roman" w:cs="Times New Roman"/>
          <w:sz w:val="24"/>
          <w:szCs w:val="24"/>
        </w:rPr>
        <w:t xml:space="preserve"> et al., 202</w:t>
      </w:r>
      <w:r w:rsidR="00E46C85">
        <w:rPr>
          <w:rFonts w:ascii="Times New Roman" w:hAnsi="Times New Roman" w:cs="Times New Roman"/>
          <w:sz w:val="24"/>
          <w:szCs w:val="24"/>
        </w:rPr>
        <w:t>5</w:t>
      </w:r>
      <w:r w:rsidRPr="00C45FE2">
        <w:rPr>
          <w:rFonts w:ascii="Times New Roman" w:hAnsi="Times New Roman" w:cs="Times New Roman"/>
          <w:sz w:val="24"/>
          <w:szCs w:val="24"/>
        </w:rPr>
        <w:t>). Recent studies are designing optimized nanomaterials with controlled geometry to target specific packaging challenges, further enhancing barrier functionality.</w:t>
      </w:r>
    </w:p>
    <w:p w14:paraId="1996103E" w14:textId="77777777" w:rsidR="00C45FE2" w:rsidRPr="00C45FE2" w:rsidRDefault="00C45FE2" w:rsidP="00C45FE2">
      <w:pPr>
        <w:spacing w:line="360" w:lineRule="auto"/>
        <w:jc w:val="both"/>
        <w:rPr>
          <w:rFonts w:ascii="Times New Roman" w:hAnsi="Times New Roman" w:cs="Times New Roman"/>
          <w:b/>
          <w:bCs/>
          <w:sz w:val="24"/>
          <w:szCs w:val="24"/>
        </w:rPr>
      </w:pPr>
      <w:r w:rsidRPr="00C45FE2">
        <w:rPr>
          <w:rFonts w:ascii="Times New Roman" w:hAnsi="Times New Roman" w:cs="Times New Roman"/>
          <w:b/>
          <w:bCs/>
          <w:sz w:val="24"/>
          <w:szCs w:val="24"/>
        </w:rPr>
        <w:t>3.3 Smart Packaging Systems</w:t>
      </w:r>
    </w:p>
    <w:p w14:paraId="7F7244F6" w14:textId="10D1F3F8"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 xml:space="preserve">Smart packaging enhanced with nanotechnology enables real-time monitoring of food safety, quality, and environmental changes. These systems integrate </w:t>
      </w:r>
      <w:proofErr w:type="spellStart"/>
      <w:r w:rsidRPr="00C45FE2">
        <w:rPr>
          <w:rFonts w:ascii="Times New Roman" w:hAnsi="Times New Roman" w:cs="Times New Roman"/>
          <w:sz w:val="24"/>
          <w:szCs w:val="24"/>
        </w:rPr>
        <w:t>nanosensors</w:t>
      </w:r>
      <w:proofErr w:type="spellEnd"/>
      <w:r w:rsidRPr="00C45FE2">
        <w:rPr>
          <w:rFonts w:ascii="Times New Roman" w:hAnsi="Times New Roman" w:cs="Times New Roman"/>
          <w:sz w:val="24"/>
          <w:szCs w:val="24"/>
        </w:rPr>
        <w:t xml:space="preserve"> and responsive materials, allowing detection of gases, spoilage markers, and package integrity.</w:t>
      </w:r>
      <w:r>
        <w:rPr>
          <w:rFonts w:ascii="Times New Roman" w:hAnsi="Times New Roman" w:cs="Times New Roman"/>
          <w:sz w:val="24"/>
          <w:szCs w:val="24"/>
        </w:rPr>
        <w:t xml:space="preserve"> </w:t>
      </w:r>
      <w:proofErr w:type="spellStart"/>
      <w:r w:rsidRPr="00C45FE2">
        <w:rPr>
          <w:rFonts w:ascii="Times New Roman" w:hAnsi="Times New Roman" w:cs="Times New Roman"/>
          <w:sz w:val="24"/>
          <w:szCs w:val="24"/>
        </w:rPr>
        <w:t>Nanosensors</w:t>
      </w:r>
      <w:proofErr w:type="spellEnd"/>
      <w:r w:rsidRPr="00C45FE2">
        <w:rPr>
          <w:rFonts w:ascii="Times New Roman" w:hAnsi="Times New Roman" w:cs="Times New Roman"/>
          <w:sz w:val="24"/>
          <w:szCs w:val="24"/>
        </w:rPr>
        <w:t xml:space="preserve"> operate via colorimetric, fluorescence, electrochemical, and chemical response mechanisms. They can detect oxygen, carbon dioxide, ammonia, hydrogen </w:t>
      </w:r>
      <w:proofErr w:type="spellStart"/>
      <w:r w:rsidRPr="00C45FE2">
        <w:rPr>
          <w:rFonts w:ascii="Times New Roman" w:hAnsi="Times New Roman" w:cs="Times New Roman"/>
          <w:sz w:val="24"/>
          <w:szCs w:val="24"/>
        </w:rPr>
        <w:t>sulfide</w:t>
      </w:r>
      <w:proofErr w:type="spellEnd"/>
      <w:r w:rsidRPr="00C45FE2">
        <w:rPr>
          <w:rFonts w:ascii="Times New Roman" w:hAnsi="Times New Roman" w:cs="Times New Roman"/>
          <w:sz w:val="24"/>
          <w:szCs w:val="24"/>
        </w:rPr>
        <w:t>, and volatile organics associated with spoilage (</w:t>
      </w:r>
      <w:r w:rsidR="00EE0016" w:rsidRPr="00253270">
        <w:rPr>
          <w:rFonts w:ascii="Times New Roman" w:hAnsi="Times New Roman" w:cs="Times New Roman"/>
          <w:sz w:val="24"/>
          <w:szCs w:val="24"/>
        </w:rPr>
        <w:t>Sharma</w:t>
      </w:r>
      <w:r w:rsidRPr="00C45FE2">
        <w:rPr>
          <w:rFonts w:ascii="Times New Roman" w:hAnsi="Times New Roman" w:cs="Times New Roman"/>
          <w:sz w:val="24"/>
          <w:szCs w:val="24"/>
        </w:rPr>
        <w:t xml:space="preserve"> et al., 202</w:t>
      </w:r>
      <w:r w:rsidR="00EE0016">
        <w:rPr>
          <w:rFonts w:ascii="Times New Roman" w:hAnsi="Times New Roman" w:cs="Times New Roman"/>
          <w:sz w:val="24"/>
          <w:szCs w:val="24"/>
        </w:rPr>
        <w:t>3</w:t>
      </w:r>
      <w:r w:rsidRPr="00C45FE2">
        <w:rPr>
          <w:rFonts w:ascii="Times New Roman" w:hAnsi="Times New Roman" w:cs="Times New Roman"/>
          <w:sz w:val="24"/>
          <w:szCs w:val="24"/>
        </w:rPr>
        <w:t>).</w:t>
      </w:r>
      <w:r>
        <w:rPr>
          <w:rFonts w:ascii="Times New Roman" w:hAnsi="Times New Roman" w:cs="Times New Roman"/>
          <w:sz w:val="24"/>
          <w:szCs w:val="24"/>
        </w:rPr>
        <w:t xml:space="preserve"> </w:t>
      </w:r>
      <w:r w:rsidRPr="00C45FE2">
        <w:rPr>
          <w:rFonts w:ascii="Times New Roman" w:hAnsi="Times New Roman" w:cs="Times New Roman"/>
          <w:sz w:val="24"/>
          <w:szCs w:val="24"/>
        </w:rPr>
        <w:t xml:space="preserve">pH-responsive indicators have attracted interest, especially natural colorant-based </w:t>
      </w:r>
      <w:proofErr w:type="spellStart"/>
      <w:r w:rsidRPr="00C45FE2">
        <w:rPr>
          <w:rFonts w:ascii="Times New Roman" w:hAnsi="Times New Roman" w:cs="Times New Roman"/>
          <w:sz w:val="24"/>
          <w:szCs w:val="24"/>
        </w:rPr>
        <w:t>nanosystems</w:t>
      </w:r>
      <w:proofErr w:type="spellEnd"/>
      <w:r w:rsidRPr="00C45FE2">
        <w:rPr>
          <w:rFonts w:ascii="Times New Roman" w:hAnsi="Times New Roman" w:cs="Times New Roman"/>
          <w:sz w:val="24"/>
          <w:szCs w:val="24"/>
        </w:rPr>
        <w:t xml:space="preserve">. Materials like chitosan films, anthocyanin-loaded nanoparticles, and curcumin nanofibers show visible </w:t>
      </w:r>
      <w:proofErr w:type="spellStart"/>
      <w:r w:rsidRPr="00C45FE2">
        <w:rPr>
          <w:rFonts w:ascii="Times New Roman" w:hAnsi="Times New Roman" w:cs="Times New Roman"/>
          <w:sz w:val="24"/>
          <w:szCs w:val="24"/>
        </w:rPr>
        <w:t>color</w:t>
      </w:r>
      <w:proofErr w:type="spellEnd"/>
      <w:r w:rsidRPr="00C45FE2">
        <w:rPr>
          <w:rFonts w:ascii="Times New Roman" w:hAnsi="Times New Roman" w:cs="Times New Roman"/>
          <w:sz w:val="24"/>
          <w:szCs w:val="24"/>
        </w:rPr>
        <w:t xml:space="preserve"> changes correlating with microbial growth or food degradation, enhancing freshness detection (</w:t>
      </w:r>
      <w:r w:rsidR="00E317EE" w:rsidRPr="00C34EEE">
        <w:rPr>
          <w:rFonts w:ascii="Times New Roman" w:hAnsi="Times New Roman" w:cs="Times New Roman"/>
          <w:sz w:val="24"/>
          <w:szCs w:val="24"/>
        </w:rPr>
        <w:t>Liu</w:t>
      </w:r>
      <w:r w:rsidRPr="00C45FE2">
        <w:rPr>
          <w:rFonts w:ascii="Times New Roman" w:hAnsi="Times New Roman" w:cs="Times New Roman"/>
          <w:sz w:val="24"/>
          <w:szCs w:val="24"/>
        </w:rPr>
        <w:t xml:space="preserve"> et al., 202</w:t>
      </w:r>
      <w:r w:rsidR="00E317EE">
        <w:rPr>
          <w:rFonts w:ascii="Times New Roman" w:hAnsi="Times New Roman" w:cs="Times New Roman"/>
          <w:sz w:val="24"/>
          <w:szCs w:val="24"/>
        </w:rPr>
        <w:t>2</w:t>
      </w:r>
      <w:r w:rsidRPr="00C45FE2">
        <w:rPr>
          <w:rFonts w:ascii="Times New Roman" w:hAnsi="Times New Roman" w:cs="Times New Roman"/>
          <w:sz w:val="24"/>
          <w:szCs w:val="24"/>
        </w:rPr>
        <w:t>).</w:t>
      </w:r>
    </w:p>
    <w:p w14:paraId="47B256AE" w14:textId="20D31DED" w:rsidR="00724F67" w:rsidRPr="00724F67" w:rsidRDefault="00C45FE2" w:rsidP="00724F67">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Wireless nanotechnology-enabled sensors expand applications across the supply chain. By integrating RFID, NFC, and miniaturized sensors, packaging can transmit real-time data on temperature, humidity, and food quality (</w:t>
      </w:r>
      <w:r w:rsidR="00EC5B13">
        <w:rPr>
          <w:rFonts w:ascii="Times New Roman" w:hAnsi="Times New Roman" w:cs="Times New Roman"/>
          <w:sz w:val="24"/>
          <w:szCs w:val="24"/>
        </w:rPr>
        <w:t>Mani</w:t>
      </w:r>
      <w:r w:rsidRPr="00C45FE2">
        <w:rPr>
          <w:rFonts w:ascii="Times New Roman" w:hAnsi="Times New Roman" w:cs="Times New Roman"/>
          <w:sz w:val="24"/>
          <w:szCs w:val="24"/>
        </w:rPr>
        <w:t xml:space="preserve"> et al., 202</w:t>
      </w:r>
      <w:r w:rsidR="00EC5B13">
        <w:rPr>
          <w:rFonts w:ascii="Times New Roman" w:hAnsi="Times New Roman" w:cs="Times New Roman"/>
          <w:sz w:val="24"/>
          <w:szCs w:val="24"/>
        </w:rPr>
        <w:t>5</w:t>
      </w:r>
      <w:r w:rsidRPr="00C45FE2">
        <w:rPr>
          <w:rFonts w:ascii="Times New Roman" w:hAnsi="Times New Roman" w:cs="Times New Roman"/>
          <w:sz w:val="24"/>
          <w:szCs w:val="24"/>
        </w:rPr>
        <w:t>). Advances in nanotechnology improve sensor sensitivity, reduce energy requirements, and support device miniaturization, advancing scalable smart packaging solutions (</w:t>
      </w:r>
      <w:proofErr w:type="spellStart"/>
      <w:r w:rsidR="00A50AD7" w:rsidRPr="00AE7C0A">
        <w:rPr>
          <w:rFonts w:ascii="Times New Roman" w:hAnsi="Times New Roman" w:cs="Times New Roman"/>
          <w:sz w:val="24"/>
          <w:szCs w:val="24"/>
        </w:rPr>
        <w:t>Mohammadpour</w:t>
      </w:r>
      <w:proofErr w:type="spellEnd"/>
      <w:r w:rsidR="00A50AD7">
        <w:rPr>
          <w:rFonts w:ascii="Times New Roman" w:hAnsi="Times New Roman" w:cs="Times New Roman"/>
          <w:sz w:val="24"/>
          <w:szCs w:val="24"/>
        </w:rPr>
        <w:t xml:space="preserve"> </w:t>
      </w:r>
      <w:r w:rsidR="00A50AD7" w:rsidRPr="00AE7C0A">
        <w:rPr>
          <w:rFonts w:ascii="Times New Roman" w:hAnsi="Times New Roman" w:cs="Times New Roman"/>
          <w:sz w:val="24"/>
          <w:szCs w:val="24"/>
        </w:rPr>
        <w:t xml:space="preserve">&amp; </w:t>
      </w:r>
      <w:proofErr w:type="spellStart"/>
      <w:r w:rsidR="00A50AD7" w:rsidRPr="00AE7C0A">
        <w:rPr>
          <w:rFonts w:ascii="Times New Roman" w:hAnsi="Times New Roman" w:cs="Times New Roman"/>
          <w:sz w:val="24"/>
          <w:szCs w:val="24"/>
        </w:rPr>
        <w:t>Naghib</w:t>
      </w:r>
      <w:proofErr w:type="spellEnd"/>
      <w:r w:rsidRPr="00C45FE2">
        <w:rPr>
          <w:rFonts w:ascii="Times New Roman" w:hAnsi="Times New Roman" w:cs="Times New Roman"/>
          <w:sz w:val="24"/>
          <w:szCs w:val="24"/>
        </w:rPr>
        <w:t>, 202</w:t>
      </w:r>
      <w:r w:rsidR="00A50AD7">
        <w:rPr>
          <w:rFonts w:ascii="Times New Roman" w:hAnsi="Times New Roman" w:cs="Times New Roman"/>
          <w:sz w:val="24"/>
          <w:szCs w:val="24"/>
        </w:rPr>
        <w:t>1</w:t>
      </w:r>
      <w:r w:rsidRPr="00C45FE2">
        <w:rPr>
          <w:rFonts w:ascii="Times New Roman" w:hAnsi="Times New Roman" w:cs="Times New Roman"/>
          <w:sz w:val="24"/>
          <w:szCs w:val="24"/>
        </w:rPr>
        <w:t>).</w:t>
      </w:r>
    </w:p>
    <w:p w14:paraId="1FB42F2C"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4. Market Analysis and Commercial Applications</w:t>
      </w:r>
    </w:p>
    <w:p w14:paraId="5E827C48"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4.1 Market Size and Growth Projections</w:t>
      </w:r>
    </w:p>
    <w:p w14:paraId="10EC0723" w14:textId="09B60153"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 xml:space="preserve">The global nanotechnology food packaging market has grown rapidly, driven by increasing adoption and consumer interest in advanced packaging solutions. Valued at approximately $22.0 billion in 2024, it is projected to reach $63.4 billion by 2034, at a CAGR of 11.3% </w:t>
      </w:r>
      <w:r w:rsidRPr="00C45FE2">
        <w:rPr>
          <w:rFonts w:ascii="Times New Roman" w:hAnsi="Times New Roman" w:cs="Times New Roman"/>
          <w:sz w:val="24"/>
          <w:szCs w:val="24"/>
        </w:rPr>
        <w:lastRenderedPageBreak/>
        <w:t>(Global Market Insights, 2024).</w:t>
      </w:r>
      <w:r>
        <w:rPr>
          <w:rFonts w:ascii="Times New Roman" w:hAnsi="Times New Roman" w:cs="Times New Roman"/>
          <w:sz w:val="24"/>
          <w:szCs w:val="24"/>
        </w:rPr>
        <w:t xml:space="preserve"> </w:t>
      </w:r>
      <w:r w:rsidRPr="00C45FE2">
        <w:rPr>
          <w:rFonts w:ascii="Times New Roman" w:hAnsi="Times New Roman" w:cs="Times New Roman"/>
          <w:sz w:val="24"/>
          <w:szCs w:val="24"/>
        </w:rPr>
        <w:t>Regionally, Asia-Pacific leads due to rapid industrialization, expanding food processing, and supportive government policies (</w:t>
      </w:r>
      <w:proofErr w:type="spellStart"/>
      <w:r w:rsidR="00E46C85" w:rsidRPr="0056375E">
        <w:rPr>
          <w:rFonts w:ascii="Times New Roman" w:hAnsi="Times New Roman" w:cs="Times New Roman"/>
          <w:sz w:val="24"/>
          <w:szCs w:val="24"/>
        </w:rPr>
        <w:t>Jampílek</w:t>
      </w:r>
      <w:proofErr w:type="spellEnd"/>
      <w:r w:rsidR="00E46C85" w:rsidRPr="0056375E">
        <w:rPr>
          <w:rFonts w:ascii="Times New Roman" w:hAnsi="Times New Roman" w:cs="Times New Roman"/>
          <w:sz w:val="24"/>
          <w:szCs w:val="24"/>
        </w:rPr>
        <w:t xml:space="preserve"> &amp; </w:t>
      </w:r>
      <w:proofErr w:type="spellStart"/>
      <w:r w:rsidR="00E46C85" w:rsidRPr="0056375E">
        <w:rPr>
          <w:rFonts w:ascii="Times New Roman" w:hAnsi="Times New Roman" w:cs="Times New Roman"/>
          <w:sz w:val="24"/>
          <w:szCs w:val="24"/>
        </w:rPr>
        <w:t>Kráľová</w:t>
      </w:r>
      <w:proofErr w:type="spellEnd"/>
      <w:r w:rsidRPr="00C45FE2">
        <w:rPr>
          <w:rFonts w:ascii="Times New Roman" w:hAnsi="Times New Roman" w:cs="Times New Roman"/>
          <w:sz w:val="24"/>
          <w:szCs w:val="24"/>
        </w:rPr>
        <w:t>, 20</w:t>
      </w:r>
      <w:r w:rsidR="00E46C85">
        <w:rPr>
          <w:rFonts w:ascii="Times New Roman" w:hAnsi="Times New Roman" w:cs="Times New Roman"/>
          <w:sz w:val="24"/>
          <w:szCs w:val="24"/>
        </w:rPr>
        <w:t>15</w:t>
      </w:r>
      <w:r w:rsidRPr="00C45FE2">
        <w:rPr>
          <w:rFonts w:ascii="Times New Roman" w:hAnsi="Times New Roman" w:cs="Times New Roman"/>
          <w:sz w:val="24"/>
          <w:szCs w:val="24"/>
        </w:rPr>
        <w:t>). North America and Europe are also key markets, influenced by strict food safety regulations, demand for sustainable packaging, and strong research infrastructure (</w:t>
      </w:r>
      <w:proofErr w:type="spellStart"/>
      <w:r w:rsidR="00810047" w:rsidRPr="00BE7490">
        <w:rPr>
          <w:rFonts w:ascii="Times New Roman" w:hAnsi="Times New Roman" w:cs="Times New Roman"/>
          <w:sz w:val="24"/>
          <w:szCs w:val="24"/>
        </w:rPr>
        <w:t>Bilali</w:t>
      </w:r>
      <w:proofErr w:type="spellEnd"/>
      <w:r w:rsidR="00810047">
        <w:rPr>
          <w:rFonts w:ascii="Times New Roman" w:hAnsi="Times New Roman" w:cs="Times New Roman"/>
          <w:sz w:val="24"/>
          <w:szCs w:val="24"/>
        </w:rPr>
        <w:t xml:space="preserve"> et al.</w:t>
      </w:r>
      <w:r w:rsidRPr="00C45FE2">
        <w:rPr>
          <w:rFonts w:ascii="Times New Roman" w:hAnsi="Times New Roman" w:cs="Times New Roman"/>
          <w:sz w:val="24"/>
          <w:szCs w:val="24"/>
        </w:rPr>
        <w:t>, 202</w:t>
      </w:r>
      <w:r w:rsidR="00810047">
        <w:rPr>
          <w:rFonts w:ascii="Times New Roman" w:hAnsi="Times New Roman" w:cs="Times New Roman"/>
          <w:sz w:val="24"/>
          <w:szCs w:val="24"/>
        </w:rPr>
        <w:t>1</w:t>
      </w:r>
      <w:r w:rsidRPr="00C45FE2">
        <w:rPr>
          <w:rFonts w:ascii="Times New Roman" w:hAnsi="Times New Roman" w:cs="Times New Roman"/>
          <w:sz w:val="24"/>
          <w:szCs w:val="24"/>
        </w:rPr>
        <w:t>).</w:t>
      </w:r>
      <w:r>
        <w:rPr>
          <w:rFonts w:ascii="Times New Roman" w:hAnsi="Times New Roman" w:cs="Times New Roman"/>
          <w:sz w:val="24"/>
          <w:szCs w:val="24"/>
        </w:rPr>
        <w:t xml:space="preserve"> </w:t>
      </w:r>
      <w:r w:rsidRPr="00C45FE2">
        <w:rPr>
          <w:rFonts w:ascii="Times New Roman" w:hAnsi="Times New Roman" w:cs="Times New Roman"/>
          <w:sz w:val="24"/>
          <w:szCs w:val="24"/>
        </w:rPr>
        <w:t>Active packaging dominates, accounting for 57.3% of market value by 2025, due to its ability to extend shelf life, prevent spoilage, and maintain quality through oxygen scavengers, antimicrobial layers, and moisture regulation (</w:t>
      </w:r>
      <w:proofErr w:type="spellStart"/>
      <w:r w:rsidR="000019C2" w:rsidRPr="0089426A">
        <w:rPr>
          <w:rFonts w:ascii="Times New Roman" w:hAnsi="Times New Roman" w:cs="Times New Roman"/>
          <w:sz w:val="24"/>
          <w:szCs w:val="24"/>
        </w:rPr>
        <w:t>Wyrwa</w:t>
      </w:r>
      <w:proofErr w:type="spellEnd"/>
      <w:r w:rsidR="000019C2" w:rsidRPr="0089426A">
        <w:rPr>
          <w:rFonts w:ascii="Times New Roman" w:hAnsi="Times New Roman" w:cs="Times New Roman"/>
          <w:sz w:val="24"/>
          <w:szCs w:val="24"/>
        </w:rPr>
        <w:t xml:space="preserve"> &amp; </w:t>
      </w:r>
      <w:proofErr w:type="spellStart"/>
      <w:r w:rsidR="000019C2" w:rsidRPr="0089426A">
        <w:rPr>
          <w:rFonts w:ascii="Times New Roman" w:hAnsi="Times New Roman" w:cs="Times New Roman"/>
          <w:sz w:val="24"/>
          <w:szCs w:val="24"/>
        </w:rPr>
        <w:t>Barska</w:t>
      </w:r>
      <w:proofErr w:type="spellEnd"/>
      <w:r w:rsidRPr="00C45FE2">
        <w:rPr>
          <w:rFonts w:ascii="Times New Roman" w:hAnsi="Times New Roman" w:cs="Times New Roman"/>
          <w:sz w:val="24"/>
          <w:szCs w:val="24"/>
        </w:rPr>
        <w:t>, 20</w:t>
      </w:r>
      <w:r w:rsidR="000019C2">
        <w:rPr>
          <w:rFonts w:ascii="Times New Roman" w:hAnsi="Times New Roman" w:cs="Times New Roman"/>
          <w:sz w:val="24"/>
          <w:szCs w:val="24"/>
        </w:rPr>
        <w:t>17</w:t>
      </w:r>
      <w:r w:rsidRPr="00C45FE2">
        <w:rPr>
          <w:rFonts w:ascii="Times New Roman" w:hAnsi="Times New Roman" w:cs="Times New Roman"/>
          <w:sz w:val="24"/>
          <w:szCs w:val="24"/>
        </w:rPr>
        <w:t>). Intelligent packaging is the fastest-growing segment, with CAGR exceeding 17%, driven by IoT integration and consumer demand for transparency. Application sectors include processed foods, fresh produce, meat, dairy, and beverages, with fresh produce showing the highest growth potential due to reduced food waste and extended shelf life.</w:t>
      </w:r>
    </w:p>
    <w:p w14:paraId="49DA795E" w14:textId="77777777" w:rsidR="00C45FE2" w:rsidRPr="00C45FE2" w:rsidRDefault="00C45FE2" w:rsidP="00C45FE2">
      <w:pPr>
        <w:spacing w:line="360" w:lineRule="auto"/>
        <w:jc w:val="both"/>
        <w:rPr>
          <w:rFonts w:ascii="Times New Roman" w:hAnsi="Times New Roman" w:cs="Times New Roman"/>
          <w:b/>
          <w:bCs/>
          <w:sz w:val="24"/>
          <w:szCs w:val="24"/>
        </w:rPr>
      </w:pPr>
      <w:r w:rsidRPr="00C45FE2">
        <w:rPr>
          <w:rFonts w:ascii="Times New Roman" w:hAnsi="Times New Roman" w:cs="Times New Roman"/>
          <w:b/>
          <w:bCs/>
          <w:sz w:val="24"/>
          <w:szCs w:val="24"/>
        </w:rPr>
        <w:t>4.2 Commercial Products and Applications</w:t>
      </w:r>
    </w:p>
    <w:p w14:paraId="4C808324" w14:textId="523BE4B6" w:rsidR="00C45FE2" w:rsidRPr="00C45FE2" w:rsidRDefault="00C45FE2" w:rsidP="00C45FE2">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Nanotechnology has moved from research to commercial food packaging, offering tangible benefits in preservation and quality.</w:t>
      </w:r>
      <w:r>
        <w:rPr>
          <w:rFonts w:ascii="Times New Roman" w:hAnsi="Times New Roman" w:cs="Times New Roman"/>
          <w:sz w:val="24"/>
          <w:szCs w:val="24"/>
        </w:rPr>
        <w:t xml:space="preserve"> </w:t>
      </w:r>
      <w:r w:rsidRPr="00C45FE2">
        <w:rPr>
          <w:rFonts w:ascii="Times New Roman" w:hAnsi="Times New Roman" w:cs="Times New Roman"/>
          <w:sz w:val="24"/>
          <w:szCs w:val="24"/>
        </w:rPr>
        <w:t>Antimicrobial packaging is the most successful application, with companies like Amcor, Sealed Air, and Bemis using silver nanoparticle-based films for meat, poultry, and fresh produce (</w:t>
      </w:r>
      <w:r w:rsidR="00547FDD" w:rsidRPr="007A3736">
        <w:rPr>
          <w:rFonts w:ascii="Times New Roman" w:hAnsi="Times New Roman" w:cs="Times New Roman"/>
          <w:sz w:val="24"/>
          <w:szCs w:val="24"/>
        </w:rPr>
        <w:t>Manickam</w:t>
      </w:r>
      <w:r w:rsidR="00547FDD">
        <w:rPr>
          <w:rFonts w:ascii="Times New Roman" w:hAnsi="Times New Roman" w:cs="Times New Roman"/>
          <w:sz w:val="24"/>
          <w:szCs w:val="24"/>
        </w:rPr>
        <w:t xml:space="preserve"> et al.</w:t>
      </w:r>
      <w:r w:rsidRPr="00C45FE2">
        <w:rPr>
          <w:rFonts w:ascii="Times New Roman" w:hAnsi="Times New Roman" w:cs="Times New Roman"/>
          <w:sz w:val="24"/>
          <w:szCs w:val="24"/>
        </w:rPr>
        <w:t>, 20</w:t>
      </w:r>
      <w:r w:rsidR="00547FDD">
        <w:rPr>
          <w:rFonts w:ascii="Times New Roman" w:hAnsi="Times New Roman" w:cs="Times New Roman"/>
          <w:sz w:val="24"/>
          <w:szCs w:val="24"/>
        </w:rPr>
        <w:t>17</w:t>
      </w:r>
      <w:r w:rsidRPr="00C45FE2">
        <w:rPr>
          <w:rFonts w:ascii="Times New Roman" w:hAnsi="Times New Roman" w:cs="Times New Roman"/>
          <w:sz w:val="24"/>
          <w:szCs w:val="24"/>
        </w:rPr>
        <w:t>). These products can extend shelf life by 30–50% compared to conventional packaging (</w:t>
      </w:r>
      <w:proofErr w:type="spellStart"/>
      <w:r w:rsidR="00E317EE" w:rsidRPr="004A2E5A">
        <w:rPr>
          <w:rFonts w:ascii="Times New Roman" w:hAnsi="Times New Roman" w:cs="Times New Roman"/>
          <w:sz w:val="24"/>
          <w:szCs w:val="24"/>
        </w:rPr>
        <w:t>Cerqueira</w:t>
      </w:r>
      <w:proofErr w:type="spellEnd"/>
      <w:r w:rsidR="00E317EE">
        <w:rPr>
          <w:rFonts w:ascii="Times New Roman" w:hAnsi="Times New Roman" w:cs="Times New Roman"/>
          <w:sz w:val="24"/>
          <w:szCs w:val="24"/>
        </w:rPr>
        <w:t xml:space="preserve"> et al.</w:t>
      </w:r>
      <w:r w:rsidRPr="00C45FE2">
        <w:rPr>
          <w:rFonts w:ascii="Times New Roman" w:hAnsi="Times New Roman" w:cs="Times New Roman"/>
          <w:sz w:val="24"/>
          <w:szCs w:val="24"/>
        </w:rPr>
        <w:t>, 20</w:t>
      </w:r>
      <w:r w:rsidR="00E317EE">
        <w:rPr>
          <w:rFonts w:ascii="Times New Roman" w:hAnsi="Times New Roman" w:cs="Times New Roman"/>
          <w:sz w:val="24"/>
          <w:szCs w:val="24"/>
        </w:rPr>
        <w:t>18</w:t>
      </w:r>
      <w:r w:rsidRPr="00C45FE2">
        <w:rPr>
          <w:rFonts w:ascii="Times New Roman" w:hAnsi="Times New Roman" w:cs="Times New Roman"/>
          <w:sz w:val="24"/>
          <w:szCs w:val="24"/>
        </w:rPr>
        <w:t>).</w:t>
      </w:r>
      <w:r>
        <w:rPr>
          <w:rFonts w:ascii="Times New Roman" w:hAnsi="Times New Roman" w:cs="Times New Roman"/>
          <w:sz w:val="24"/>
          <w:szCs w:val="24"/>
        </w:rPr>
        <w:t xml:space="preserve"> </w:t>
      </w:r>
      <w:r w:rsidRPr="00C45FE2">
        <w:rPr>
          <w:rFonts w:ascii="Times New Roman" w:hAnsi="Times New Roman" w:cs="Times New Roman"/>
          <w:sz w:val="24"/>
          <w:szCs w:val="24"/>
        </w:rPr>
        <w:t>Barrier-enhanced packaging using nanocomposites like montmorillonite clay and graphene oxide is applied in coffee, snacks, and pharmaceuticals, offering superior moisture and oxygen resistance (</w:t>
      </w:r>
      <w:r w:rsidR="005244EA" w:rsidRPr="001C587A">
        <w:rPr>
          <w:rFonts w:ascii="Times New Roman" w:hAnsi="Times New Roman" w:cs="Times New Roman"/>
          <w:sz w:val="24"/>
          <w:szCs w:val="24"/>
        </w:rPr>
        <w:t>Schmid</w:t>
      </w:r>
      <w:r w:rsidR="005244EA">
        <w:rPr>
          <w:rFonts w:ascii="Times New Roman" w:hAnsi="Times New Roman" w:cs="Times New Roman"/>
          <w:sz w:val="24"/>
          <w:szCs w:val="24"/>
        </w:rPr>
        <w:t xml:space="preserve"> et al.</w:t>
      </w:r>
      <w:r w:rsidRPr="00C45FE2">
        <w:rPr>
          <w:rFonts w:ascii="Times New Roman" w:hAnsi="Times New Roman" w:cs="Times New Roman"/>
          <w:sz w:val="24"/>
          <w:szCs w:val="24"/>
        </w:rPr>
        <w:t>, 20</w:t>
      </w:r>
      <w:r w:rsidR="005244EA">
        <w:rPr>
          <w:rFonts w:ascii="Times New Roman" w:hAnsi="Times New Roman" w:cs="Times New Roman"/>
          <w:sz w:val="24"/>
          <w:szCs w:val="24"/>
        </w:rPr>
        <w:t>12</w:t>
      </w:r>
      <w:r w:rsidRPr="00C45FE2">
        <w:rPr>
          <w:rFonts w:ascii="Times New Roman" w:hAnsi="Times New Roman" w:cs="Times New Roman"/>
          <w:sz w:val="24"/>
          <w:szCs w:val="24"/>
        </w:rPr>
        <w:t xml:space="preserve">; </w:t>
      </w:r>
      <w:r w:rsidR="00A50AD7" w:rsidRPr="00A21330">
        <w:rPr>
          <w:rFonts w:ascii="Times New Roman" w:hAnsi="Times New Roman" w:cs="Times New Roman"/>
          <w:sz w:val="24"/>
          <w:szCs w:val="24"/>
        </w:rPr>
        <w:t>Ashfaq</w:t>
      </w:r>
      <w:r w:rsidR="00A50AD7">
        <w:rPr>
          <w:rFonts w:ascii="Times New Roman" w:hAnsi="Times New Roman" w:cs="Times New Roman"/>
          <w:sz w:val="24"/>
          <w:szCs w:val="24"/>
        </w:rPr>
        <w:t xml:space="preserve"> et al.</w:t>
      </w:r>
      <w:r w:rsidRPr="00C45FE2">
        <w:rPr>
          <w:rFonts w:ascii="Times New Roman" w:hAnsi="Times New Roman" w:cs="Times New Roman"/>
          <w:sz w:val="24"/>
          <w:szCs w:val="24"/>
        </w:rPr>
        <w:t>, 202</w:t>
      </w:r>
      <w:r w:rsidR="00A50AD7">
        <w:rPr>
          <w:rFonts w:ascii="Times New Roman" w:hAnsi="Times New Roman" w:cs="Times New Roman"/>
          <w:sz w:val="24"/>
          <w:szCs w:val="24"/>
        </w:rPr>
        <w:t>2</w:t>
      </w:r>
      <w:r w:rsidRPr="00C45FE2">
        <w:rPr>
          <w:rFonts w:ascii="Times New Roman" w:hAnsi="Times New Roman" w:cs="Times New Roman"/>
          <w:sz w:val="24"/>
          <w:szCs w:val="24"/>
        </w:rPr>
        <w:t>).</w:t>
      </w:r>
      <w:r>
        <w:rPr>
          <w:rFonts w:ascii="Times New Roman" w:hAnsi="Times New Roman" w:cs="Times New Roman"/>
          <w:sz w:val="24"/>
          <w:szCs w:val="24"/>
        </w:rPr>
        <w:t xml:space="preserve"> </w:t>
      </w:r>
      <w:r w:rsidRPr="00C45FE2">
        <w:rPr>
          <w:rFonts w:ascii="Times New Roman" w:hAnsi="Times New Roman" w:cs="Times New Roman"/>
          <w:sz w:val="24"/>
          <w:szCs w:val="24"/>
        </w:rPr>
        <w:t>Smart packaging solutions—including time-temperature indicators, freshness sensors, and tamper-evident systems—are emerging in premium food and specialty applications such as seafood, dairy, and pharmaceuticals. These technologies provide real-time quality monitoring, enhancing consumer trust and product value.</w:t>
      </w:r>
    </w:p>
    <w:p w14:paraId="7933CA26" w14:textId="77777777" w:rsidR="00C45FE2" w:rsidRPr="00C45FE2" w:rsidRDefault="00C45FE2" w:rsidP="00C45FE2">
      <w:pPr>
        <w:spacing w:line="360" w:lineRule="auto"/>
        <w:jc w:val="both"/>
        <w:rPr>
          <w:rFonts w:ascii="Times New Roman" w:hAnsi="Times New Roman" w:cs="Times New Roman"/>
          <w:b/>
          <w:bCs/>
          <w:sz w:val="24"/>
          <w:szCs w:val="24"/>
        </w:rPr>
      </w:pPr>
      <w:r w:rsidRPr="00C45FE2">
        <w:rPr>
          <w:rFonts w:ascii="Times New Roman" w:hAnsi="Times New Roman" w:cs="Times New Roman"/>
          <w:b/>
          <w:bCs/>
          <w:sz w:val="24"/>
          <w:szCs w:val="24"/>
        </w:rPr>
        <w:t>4.3 Industry Challenges and Opportunities</w:t>
      </w:r>
    </w:p>
    <w:p w14:paraId="3AD7207C" w14:textId="2333EBBB" w:rsidR="00724F67" w:rsidRPr="00724F67" w:rsidRDefault="00C45FE2" w:rsidP="00724F67">
      <w:pPr>
        <w:spacing w:line="360" w:lineRule="auto"/>
        <w:jc w:val="both"/>
        <w:rPr>
          <w:rFonts w:ascii="Times New Roman" w:hAnsi="Times New Roman" w:cs="Times New Roman"/>
          <w:sz w:val="24"/>
          <w:szCs w:val="24"/>
        </w:rPr>
      </w:pPr>
      <w:r w:rsidRPr="00C45FE2">
        <w:rPr>
          <w:rFonts w:ascii="Times New Roman" w:hAnsi="Times New Roman" w:cs="Times New Roman"/>
          <w:sz w:val="24"/>
          <w:szCs w:val="24"/>
        </w:rPr>
        <w:t>Commercialization faces regulatory, economic, and consumer acceptance challenges (</w:t>
      </w:r>
      <w:proofErr w:type="spellStart"/>
      <w:r w:rsidR="00E317EE" w:rsidRPr="004A2E5A">
        <w:rPr>
          <w:rFonts w:ascii="Times New Roman" w:hAnsi="Times New Roman" w:cs="Times New Roman"/>
          <w:sz w:val="24"/>
          <w:szCs w:val="24"/>
        </w:rPr>
        <w:t>Cerqueira</w:t>
      </w:r>
      <w:proofErr w:type="spellEnd"/>
      <w:r w:rsidR="00E317EE">
        <w:rPr>
          <w:rFonts w:ascii="Times New Roman" w:hAnsi="Times New Roman" w:cs="Times New Roman"/>
          <w:sz w:val="24"/>
          <w:szCs w:val="24"/>
        </w:rPr>
        <w:t xml:space="preserve"> et al.</w:t>
      </w:r>
      <w:r w:rsidRPr="00C45FE2">
        <w:rPr>
          <w:rFonts w:ascii="Times New Roman" w:hAnsi="Times New Roman" w:cs="Times New Roman"/>
          <w:sz w:val="24"/>
          <w:szCs w:val="24"/>
        </w:rPr>
        <w:t>, 20</w:t>
      </w:r>
      <w:r w:rsidR="00E317EE">
        <w:rPr>
          <w:rFonts w:ascii="Times New Roman" w:hAnsi="Times New Roman" w:cs="Times New Roman"/>
          <w:sz w:val="24"/>
          <w:szCs w:val="24"/>
        </w:rPr>
        <w:t>18</w:t>
      </w:r>
      <w:r w:rsidRPr="00C45FE2">
        <w:rPr>
          <w:rFonts w:ascii="Times New Roman" w:hAnsi="Times New Roman" w:cs="Times New Roman"/>
          <w:sz w:val="24"/>
          <w:szCs w:val="24"/>
        </w:rPr>
        <w:t>). Varying safety assessment requirements across jurisdictions complicate global adoption (</w:t>
      </w:r>
      <w:r w:rsidR="00EC5B13" w:rsidRPr="003C013F">
        <w:rPr>
          <w:rFonts w:ascii="Times New Roman" w:hAnsi="Times New Roman" w:cs="Times New Roman"/>
          <w:sz w:val="24"/>
          <w:szCs w:val="24"/>
        </w:rPr>
        <w:t>Allan</w:t>
      </w:r>
      <w:r w:rsidRPr="00C45FE2">
        <w:rPr>
          <w:rFonts w:ascii="Times New Roman" w:hAnsi="Times New Roman" w:cs="Times New Roman"/>
          <w:sz w:val="24"/>
          <w:szCs w:val="24"/>
        </w:rPr>
        <w:t xml:space="preserve"> et al., 202</w:t>
      </w:r>
      <w:r w:rsidR="00EC5B13">
        <w:rPr>
          <w:rFonts w:ascii="Times New Roman" w:hAnsi="Times New Roman" w:cs="Times New Roman"/>
          <w:sz w:val="24"/>
          <w:szCs w:val="24"/>
        </w:rPr>
        <w:t>1</w:t>
      </w:r>
      <w:r w:rsidRPr="00C45FE2">
        <w:rPr>
          <w:rFonts w:ascii="Times New Roman" w:hAnsi="Times New Roman" w:cs="Times New Roman"/>
          <w:sz w:val="24"/>
          <w:szCs w:val="24"/>
        </w:rPr>
        <w:t>).</w:t>
      </w:r>
      <w:r>
        <w:rPr>
          <w:rFonts w:ascii="Times New Roman" w:hAnsi="Times New Roman" w:cs="Times New Roman"/>
          <w:sz w:val="24"/>
          <w:szCs w:val="24"/>
        </w:rPr>
        <w:t xml:space="preserve"> </w:t>
      </w:r>
      <w:r w:rsidRPr="00C45FE2">
        <w:rPr>
          <w:rFonts w:ascii="Times New Roman" w:hAnsi="Times New Roman" w:cs="Times New Roman"/>
          <w:sz w:val="24"/>
          <w:szCs w:val="24"/>
        </w:rPr>
        <w:t>High production costs of nanomaterials compared to conventional additives limit adoption in price-sensitive markets, though cost reductions are possible through improved processes, scale-up, and cheaper nanomaterials (</w:t>
      </w:r>
      <w:proofErr w:type="spellStart"/>
      <w:r w:rsidR="00C275A8" w:rsidRPr="004A2E5A">
        <w:rPr>
          <w:rFonts w:ascii="Times New Roman" w:hAnsi="Times New Roman" w:cs="Times New Roman"/>
          <w:sz w:val="24"/>
          <w:szCs w:val="24"/>
        </w:rPr>
        <w:t>Cerqueira</w:t>
      </w:r>
      <w:proofErr w:type="spellEnd"/>
      <w:r w:rsidR="00C275A8">
        <w:rPr>
          <w:rFonts w:ascii="Times New Roman" w:hAnsi="Times New Roman" w:cs="Times New Roman"/>
          <w:sz w:val="24"/>
          <w:szCs w:val="24"/>
        </w:rPr>
        <w:t xml:space="preserve"> et al.</w:t>
      </w:r>
      <w:r w:rsidRPr="00C45FE2">
        <w:rPr>
          <w:rFonts w:ascii="Times New Roman" w:hAnsi="Times New Roman" w:cs="Times New Roman"/>
          <w:sz w:val="24"/>
          <w:szCs w:val="24"/>
        </w:rPr>
        <w:t>, 20</w:t>
      </w:r>
      <w:r w:rsidR="00C275A8">
        <w:rPr>
          <w:rFonts w:ascii="Times New Roman" w:hAnsi="Times New Roman" w:cs="Times New Roman"/>
          <w:sz w:val="24"/>
          <w:szCs w:val="24"/>
        </w:rPr>
        <w:t>18</w:t>
      </w:r>
      <w:r w:rsidRPr="00C45FE2">
        <w:rPr>
          <w:rFonts w:ascii="Times New Roman" w:hAnsi="Times New Roman" w:cs="Times New Roman"/>
          <w:sz w:val="24"/>
          <w:szCs w:val="24"/>
        </w:rPr>
        <w:t xml:space="preserve">; </w:t>
      </w:r>
      <w:r w:rsidR="00423946" w:rsidRPr="009D11DC">
        <w:rPr>
          <w:rFonts w:ascii="Times New Roman" w:hAnsi="Times New Roman" w:cs="Times New Roman"/>
          <w:sz w:val="24"/>
          <w:szCs w:val="24"/>
        </w:rPr>
        <w:t>Ali</w:t>
      </w:r>
      <w:r w:rsidRPr="00C45FE2">
        <w:rPr>
          <w:rFonts w:ascii="Times New Roman" w:hAnsi="Times New Roman" w:cs="Times New Roman"/>
          <w:sz w:val="24"/>
          <w:szCs w:val="24"/>
        </w:rPr>
        <w:t xml:space="preserve"> et al., 202</w:t>
      </w:r>
      <w:r w:rsidR="00423946">
        <w:rPr>
          <w:rFonts w:ascii="Times New Roman" w:hAnsi="Times New Roman" w:cs="Times New Roman"/>
          <w:sz w:val="24"/>
          <w:szCs w:val="24"/>
        </w:rPr>
        <w:t>2</w:t>
      </w:r>
      <w:r w:rsidRPr="00C45FE2">
        <w:rPr>
          <w:rFonts w:ascii="Times New Roman" w:hAnsi="Times New Roman" w:cs="Times New Roman"/>
          <w:sz w:val="24"/>
          <w:szCs w:val="24"/>
        </w:rPr>
        <w:t>).</w:t>
      </w:r>
      <w:r>
        <w:rPr>
          <w:rFonts w:ascii="Times New Roman" w:hAnsi="Times New Roman" w:cs="Times New Roman"/>
          <w:sz w:val="24"/>
          <w:szCs w:val="24"/>
        </w:rPr>
        <w:t xml:space="preserve"> </w:t>
      </w:r>
      <w:r w:rsidRPr="00C45FE2">
        <w:rPr>
          <w:rFonts w:ascii="Times New Roman" w:hAnsi="Times New Roman" w:cs="Times New Roman"/>
          <w:sz w:val="24"/>
          <w:szCs w:val="24"/>
        </w:rPr>
        <w:t xml:space="preserve">Consumer perception is mixed: while safety and quality benefits are valued, concerns about “naturalness” and nanomaterial safety can hinder </w:t>
      </w:r>
      <w:r w:rsidRPr="00C45FE2">
        <w:rPr>
          <w:rFonts w:ascii="Times New Roman" w:hAnsi="Times New Roman" w:cs="Times New Roman"/>
          <w:sz w:val="24"/>
          <w:szCs w:val="24"/>
        </w:rPr>
        <w:lastRenderedPageBreak/>
        <w:t>acceptance (</w:t>
      </w:r>
      <w:proofErr w:type="spellStart"/>
      <w:r w:rsidR="00EC5B13" w:rsidRPr="003C013F">
        <w:rPr>
          <w:rFonts w:ascii="Times New Roman" w:hAnsi="Times New Roman" w:cs="Times New Roman"/>
          <w:sz w:val="24"/>
          <w:szCs w:val="24"/>
        </w:rPr>
        <w:t>Katare</w:t>
      </w:r>
      <w:proofErr w:type="spellEnd"/>
      <w:r w:rsidRPr="00C45FE2">
        <w:rPr>
          <w:rFonts w:ascii="Times New Roman" w:hAnsi="Times New Roman" w:cs="Times New Roman"/>
          <w:sz w:val="24"/>
          <w:szCs w:val="24"/>
        </w:rPr>
        <w:t>, 20</w:t>
      </w:r>
      <w:r w:rsidR="00EC5B13">
        <w:rPr>
          <w:rFonts w:ascii="Times New Roman" w:hAnsi="Times New Roman" w:cs="Times New Roman"/>
          <w:sz w:val="24"/>
          <w:szCs w:val="24"/>
        </w:rPr>
        <w:t>13</w:t>
      </w:r>
      <w:r w:rsidRPr="00C45FE2">
        <w:rPr>
          <w:rFonts w:ascii="Times New Roman" w:hAnsi="Times New Roman" w:cs="Times New Roman"/>
          <w:sz w:val="24"/>
          <w:szCs w:val="24"/>
        </w:rPr>
        <w:t xml:space="preserve">; </w:t>
      </w:r>
      <w:proofErr w:type="spellStart"/>
      <w:r w:rsidR="004F04CC" w:rsidRPr="00DF6302">
        <w:rPr>
          <w:rFonts w:ascii="Times New Roman" w:hAnsi="Times New Roman" w:cs="Times New Roman"/>
          <w:sz w:val="24"/>
          <w:szCs w:val="24"/>
        </w:rPr>
        <w:t>Kuang</w:t>
      </w:r>
      <w:proofErr w:type="spellEnd"/>
      <w:r w:rsidR="004F04CC">
        <w:rPr>
          <w:rFonts w:ascii="Times New Roman" w:hAnsi="Times New Roman" w:cs="Times New Roman"/>
          <w:sz w:val="24"/>
          <w:szCs w:val="24"/>
        </w:rPr>
        <w:t xml:space="preserve"> et al.</w:t>
      </w:r>
      <w:r w:rsidRPr="00C45FE2">
        <w:rPr>
          <w:rFonts w:ascii="Times New Roman" w:hAnsi="Times New Roman" w:cs="Times New Roman"/>
          <w:sz w:val="24"/>
          <w:szCs w:val="24"/>
        </w:rPr>
        <w:t>, 202</w:t>
      </w:r>
      <w:r w:rsidR="007D088B">
        <w:rPr>
          <w:rFonts w:ascii="Times New Roman" w:hAnsi="Times New Roman" w:cs="Times New Roman"/>
          <w:sz w:val="24"/>
          <w:szCs w:val="24"/>
        </w:rPr>
        <w:t>0</w:t>
      </w:r>
      <w:r w:rsidRPr="00C45FE2">
        <w:rPr>
          <w:rFonts w:ascii="Times New Roman" w:hAnsi="Times New Roman" w:cs="Times New Roman"/>
          <w:sz w:val="24"/>
          <w:szCs w:val="24"/>
        </w:rPr>
        <w:t>). Transparency, education, and safety demonstration are key to building trust (</w:t>
      </w:r>
      <w:proofErr w:type="spellStart"/>
      <w:r w:rsidR="00956918" w:rsidRPr="0089426A">
        <w:rPr>
          <w:rFonts w:ascii="Times New Roman" w:hAnsi="Times New Roman" w:cs="Times New Roman"/>
          <w:sz w:val="24"/>
          <w:szCs w:val="24"/>
        </w:rPr>
        <w:t>Versino</w:t>
      </w:r>
      <w:proofErr w:type="spellEnd"/>
      <w:r w:rsidR="00956918">
        <w:rPr>
          <w:rFonts w:ascii="Times New Roman" w:hAnsi="Times New Roman" w:cs="Times New Roman"/>
          <w:sz w:val="24"/>
          <w:szCs w:val="24"/>
        </w:rPr>
        <w:t xml:space="preserve"> et al.</w:t>
      </w:r>
      <w:r w:rsidRPr="00C45FE2">
        <w:rPr>
          <w:rFonts w:ascii="Times New Roman" w:hAnsi="Times New Roman" w:cs="Times New Roman"/>
          <w:sz w:val="24"/>
          <w:szCs w:val="24"/>
        </w:rPr>
        <w:t>, 202</w:t>
      </w:r>
      <w:r w:rsidR="00956918">
        <w:rPr>
          <w:rFonts w:ascii="Times New Roman" w:hAnsi="Times New Roman" w:cs="Times New Roman"/>
          <w:sz w:val="24"/>
          <w:szCs w:val="24"/>
        </w:rPr>
        <w:t>3</w:t>
      </w:r>
      <w:r w:rsidRPr="00C45FE2">
        <w:rPr>
          <w:rFonts w:ascii="Times New Roman" w:hAnsi="Times New Roman" w:cs="Times New Roman"/>
          <w:sz w:val="24"/>
          <w:szCs w:val="24"/>
        </w:rPr>
        <w:t>).</w:t>
      </w:r>
      <w:r>
        <w:rPr>
          <w:rFonts w:ascii="Times New Roman" w:hAnsi="Times New Roman" w:cs="Times New Roman"/>
          <w:sz w:val="24"/>
          <w:szCs w:val="24"/>
        </w:rPr>
        <w:t xml:space="preserve"> </w:t>
      </w:r>
      <w:r w:rsidRPr="00C45FE2">
        <w:rPr>
          <w:rFonts w:ascii="Times New Roman" w:hAnsi="Times New Roman" w:cs="Times New Roman"/>
          <w:sz w:val="24"/>
          <w:szCs w:val="24"/>
        </w:rPr>
        <w:t>Sustainability is an opportunity for differentiation. Biodegradable nanomaterials, recyclable nanocomposites, and environmentally friendly production methods can align with regulatory trends and consumer demand for eco-friendly packaging (</w:t>
      </w:r>
      <w:proofErr w:type="spellStart"/>
      <w:r w:rsidR="005244EA" w:rsidRPr="001C587A">
        <w:rPr>
          <w:rFonts w:ascii="Times New Roman" w:hAnsi="Times New Roman" w:cs="Times New Roman"/>
          <w:sz w:val="24"/>
          <w:szCs w:val="24"/>
        </w:rPr>
        <w:t>Otasowie</w:t>
      </w:r>
      <w:proofErr w:type="spellEnd"/>
      <w:r w:rsidR="005244EA">
        <w:rPr>
          <w:rFonts w:ascii="Times New Roman" w:hAnsi="Times New Roman" w:cs="Times New Roman"/>
          <w:sz w:val="24"/>
          <w:szCs w:val="24"/>
        </w:rPr>
        <w:t xml:space="preserve"> et al.</w:t>
      </w:r>
      <w:r w:rsidRPr="00C45FE2">
        <w:rPr>
          <w:rFonts w:ascii="Times New Roman" w:hAnsi="Times New Roman" w:cs="Times New Roman"/>
          <w:sz w:val="24"/>
          <w:szCs w:val="24"/>
        </w:rPr>
        <w:t>, 202</w:t>
      </w:r>
      <w:r w:rsidR="005244EA">
        <w:rPr>
          <w:rFonts w:ascii="Times New Roman" w:hAnsi="Times New Roman" w:cs="Times New Roman"/>
          <w:sz w:val="24"/>
          <w:szCs w:val="24"/>
        </w:rPr>
        <w:t>5</w:t>
      </w:r>
      <w:r w:rsidRPr="00C45FE2">
        <w:rPr>
          <w:rFonts w:ascii="Times New Roman" w:hAnsi="Times New Roman" w:cs="Times New Roman"/>
          <w:sz w:val="24"/>
          <w:szCs w:val="24"/>
        </w:rPr>
        <w:t>).</w:t>
      </w:r>
    </w:p>
    <w:p w14:paraId="6A0618B3"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5. Safety Assessment and Regulatory Considerations</w:t>
      </w:r>
    </w:p>
    <w:p w14:paraId="06EE7B33"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5.1 Migration and Exposure Assessment</w:t>
      </w:r>
    </w:p>
    <w:p w14:paraId="35CBDBCD" w14:textId="53F5119D" w:rsidR="00206C59" w:rsidRPr="00206C59" w:rsidRDefault="00206C59" w:rsidP="00206C59">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The safety of nanotechnology-based food packaging depends on assessing nanomaterial migration and consumer exposure (Kumar &amp; Singh, 2024). Migration testing protocols evaluate nanoparticle release and degradation under storage conditions. Studies indicate that well-designed nanocomposites, such as silver nanoparticles in polymer matrices, show negligible particulate migration, releasing only trace ionic forms within safety thresholds (</w:t>
      </w:r>
      <w:r w:rsidR="00423946" w:rsidRPr="009D11DC">
        <w:rPr>
          <w:rFonts w:ascii="Times New Roman" w:hAnsi="Times New Roman" w:cs="Times New Roman"/>
          <w:sz w:val="24"/>
          <w:szCs w:val="24"/>
        </w:rPr>
        <w:t>Carbone</w:t>
      </w:r>
      <w:r w:rsidR="00423946">
        <w:rPr>
          <w:rFonts w:ascii="Times New Roman" w:hAnsi="Times New Roman" w:cs="Times New Roman"/>
          <w:sz w:val="24"/>
          <w:szCs w:val="24"/>
        </w:rPr>
        <w:t xml:space="preserve"> et al.</w:t>
      </w:r>
      <w:r w:rsidRPr="00206C59">
        <w:rPr>
          <w:rFonts w:ascii="Times New Roman" w:hAnsi="Times New Roman" w:cs="Times New Roman"/>
          <w:sz w:val="24"/>
          <w:szCs w:val="24"/>
        </w:rPr>
        <w:t>, 20</w:t>
      </w:r>
      <w:r w:rsidR="00423946">
        <w:rPr>
          <w:rFonts w:ascii="Times New Roman" w:hAnsi="Times New Roman" w:cs="Times New Roman"/>
          <w:sz w:val="24"/>
          <w:szCs w:val="24"/>
        </w:rPr>
        <w:t>16</w:t>
      </w:r>
      <w:r w:rsidRPr="00206C59">
        <w:rPr>
          <w:rFonts w:ascii="Times New Roman" w:hAnsi="Times New Roman" w:cs="Times New Roman"/>
          <w:sz w:val="24"/>
          <w:szCs w:val="24"/>
        </w:rPr>
        <w:t>). Migration is influenced by nanomaterial type, concentration, polymer properties, food characteristics, and contact conditions such as pH, temperature, and duration (</w:t>
      </w:r>
      <w:r w:rsidR="007D088B" w:rsidRPr="00A21330">
        <w:rPr>
          <w:rFonts w:ascii="Times New Roman" w:hAnsi="Times New Roman" w:cs="Times New Roman"/>
          <w:sz w:val="24"/>
          <w:szCs w:val="24"/>
        </w:rPr>
        <w:t>Ashfaq</w:t>
      </w:r>
      <w:r w:rsidR="007D088B">
        <w:rPr>
          <w:rFonts w:ascii="Times New Roman" w:hAnsi="Times New Roman" w:cs="Times New Roman"/>
          <w:sz w:val="24"/>
          <w:szCs w:val="24"/>
        </w:rPr>
        <w:t xml:space="preserve"> et al.</w:t>
      </w:r>
      <w:r w:rsidRPr="00206C59">
        <w:rPr>
          <w:rFonts w:ascii="Times New Roman" w:hAnsi="Times New Roman" w:cs="Times New Roman"/>
          <w:sz w:val="24"/>
          <w:szCs w:val="24"/>
        </w:rPr>
        <w:t>, 202</w:t>
      </w:r>
      <w:r w:rsidR="007D088B">
        <w:rPr>
          <w:rFonts w:ascii="Times New Roman" w:hAnsi="Times New Roman" w:cs="Times New Roman"/>
          <w:sz w:val="24"/>
          <w:szCs w:val="24"/>
        </w:rPr>
        <w:t>2</w:t>
      </w:r>
      <w:r w:rsidRPr="00206C59">
        <w:rPr>
          <w:rFonts w:ascii="Times New Roman" w:hAnsi="Times New Roman" w:cs="Times New Roman"/>
          <w:sz w:val="24"/>
          <w:szCs w:val="24"/>
        </w:rPr>
        <w:t>). Acidic foods and high temperatures may increase release, requiring material-specific risk assessments (</w:t>
      </w:r>
      <w:proofErr w:type="spellStart"/>
      <w:r w:rsidR="00956918" w:rsidRPr="00DC64D1">
        <w:rPr>
          <w:rFonts w:ascii="Times New Roman" w:hAnsi="Times New Roman" w:cs="Times New Roman"/>
          <w:sz w:val="24"/>
          <w:szCs w:val="24"/>
        </w:rPr>
        <w:t>Seref</w:t>
      </w:r>
      <w:proofErr w:type="spellEnd"/>
      <w:r w:rsidR="00956918">
        <w:rPr>
          <w:rFonts w:ascii="Times New Roman" w:hAnsi="Times New Roman" w:cs="Times New Roman"/>
          <w:sz w:val="24"/>
          <w:szCs w:val="24"/>
        </w:rPr>
        <w:t xml:space="preserve"> </w:t>
      </w:r>
      <w:r w:rsidR="00956918" w:rsidRPr="00DC64D1">
        <w:rPr>
          <w:rFonts w:ascii="Times New Roman" w:hAnsi="Times New Roman" w:cs="Times New Roman"/>
          <w:sz w:val="24"/>
          <w:szCs w:val="24"/>
        </w:rPr>
        <w:t xml:space="preserve">&amp; </w:t>
      </w:r>
      <w:proofErr w:type="spellStart"/>
      <w:r w:rsidR="00956918" w:rsidRPr="00DC64D1">
        <w:rPr>
          <w:rFonts w:ascii="Times New Roman" w:hAnsi="Times New Roman" w:cs="Times New Roman"/>
          <w:sz w:val="24"/>
          <w:szCs w:val="24"/>
        </w:rPr>
        <w:t>Cufaoglu</w:t>
      </w:r>
      <w:proofErr w:type="spellEnd"/>
      <w:r w:rsidRPr="00206C59">
        <w:rPr>
          <w:rFonts w:ascii="Times New Roman" w:hAnsi="Times New Roman" w:cs="Times New Roman"/>
          <w:sz w:val="24"/>
          <w:szCs w:val="24"/>
        </w:rPr>
        <w:t>, 202</w:t>
      </w:r>
      <w:r w:rsidR="00956918">
        <w:rPr>
          <w:rFonts w:ascii="Times New Roman" w:hAnsi="Times New Roman" w:cs="Times New Roman"/>
          <w:sz w:val="24"/>
          <w:szCs w:val="24"/>
        </w:rPr>
        <w:t>5</w:t>
      </w:r>
      <w:r w:rsidRPr="00206C59">
        <w:rPr>
          <w:rFonts w:ascii="Times New Roman" w:hAnsi="Times New Roman" w:cs="Times New Roman"/>
          <w:sz w:val="24"/>
          <w:szCs w:val="24"/>
        </w:rPr>
        <w:t>). Exposure assessment integrates migration data with food consumption and packaging use to estimate intake levels for risk evaluation (Rodriguez &amp; Martinez, 2024). These methodologies establish realistic exposure scenarios, ensuring packaging safety while guiding regulatory approval and consumer protection (</w:t>
      </w:r>
      <w:proofErr w:type="spellStart"/>
      <w:r w:rsidR="000019C2" w:rsidRPr="0089426A">
        <w:rPr>
          <w:rFonts w:ascii="Times New Roman" w:hAnsi="Times New Roman" w:cs="Times New Roman"/>
          <w:sz w:val="24"/>
          <w:szCs w:val="24"/>
        </w:rPr>
        <w:t>Wyrwa</w:t>
      </w:r>
      <w:proofErr w:type="spellEnd"/>
      <w:r w:rsidR="000019C2" w:rsidRPr="0089426A">
        <w:rPr>
          <w:rFonts w:ascii="Times New Roman" w:hAnsi="Times New Roman" w:cs="Times New Roman"/>
          <w:sz w:val="24"/>
          <w:szCs w:val="24"/>
        </w:rPr>
        <w:t xml:space="preserve"> &amp; </w:t>
      </w:r>
      <w:proofErr w:type="spellStart"/>
      <w:r w:rsidR="000019C2" w:rsidRPr="0089426A">
        <w:rPr>
          <w:rFonts w:ascii="Times New Roman" w:hAnsi="Times New Roman" w:cs="Times New Roman"/>
          <w:sz w:val="24"/>
          <w:szCs w:val="24"/>
        </w:rPr>
        <w:t>Barska</w:t>
      </w:r>
      <w:proofErr w:type="spellEnd"/>
      <w:r w:rsidR="000019C2" w:rsidRPr="00C45FE2">
        <w:rPr>
          <w:rFonts w:ascii="Times New Roman" w:hAnsi="Times New Roman" w:cs="Times New Roman"/>
          <w:sz w:val="24"/>
          <w:szCs w:val="24"/>
        </w:rPr>
        <w:t>, 20</w:t>
      </w:r>
      <w:r w:rsidR="000019C2">
        <w:rPr>
          <w:rFonts w:ascii="Times New Roman" w:hAnsi="Times New Roman" w:cs="Times New Roman"/>
          <w:sz w:val="24"/>
          <w:szCs w:val="24"/>
        </w:rPr>
        <w:t>17</w:t>
      </w:r>
      <w:r w:rsidRPr="00206C59">
        <w:rPr>
          <w:rFonts w:ascii="Times New Roman" w:hAnsi="Times New Roman" w:cs="Times New Roman"/>
          <w:sz w:val="24"/>
          <w:szCs w:val="24"/>
        </w:rPr>
        <w:t>).</w:t>
      </w:r>
    </w:p>
    <w:p w14:paraId="68BC110D" w14:textId="77777777" w:rsidR="00206C59" w:rsidRPr="00206C59" w:rsidRDefault="00206C59" w:rsidP="00206C59">
      <w:pPr>
        <w:spacing w:line="360" w:lineRule="auto"/>
        <w:jc w:val="both"/>
        <w:rPr>
          <w:rFonts w:ascii="Times New Roman" w:hAnsi="Times New Roman" w:cs="Times New Roman"/>
          <w:b/>
          <w:bCs/>
          <w:sz w:val="24"/>
          <w:szCs w:val="24"/>
        </w:rPr>
      </w:pPr>
      <w:r w:rsidRPr="00206C59">
        <w:rPr>
          <w:rFonts w:ascii="Times New Roman" w:hAnsi="Times New Roman" w:cs="Times New Roman"/>
          <w:b/>
          <w:bCs/>
          <w:sz w:val="24"/>
          <w:szCs w:val="24"/>
        </w:rPr>
        <w:t>5.2 Toxicological Evaluation</w:t>
      </w:r>
    </w:p>
    <w:p w14:paraId="67230269" w14:textId="478C35D3" w:rsidR="00206C59" w:rsidRPr="00206C59" w:rsidRDefault="00206C59" w:rsidP="00206C59">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Toxicological evaluation of nanomaterials in food packaging requires protocols tailored to nanoscale properties. Conventional toxicology methods are adapted alongside novel assays to address unique nanoparticle interactions. In vitro cytotoxicity studies using human and animal cell lines serve as preliminary screening tools, assessing uptake, viability, and toxic responses to define safe exposure levels (</w:t>
      </w:r>
      <w:r w:rsidR="00BC5DE6" w:rsidRPr="00BC5DE6">
        <w:rPr>
          <w:rFonts w:ascii="Times New Roman" w:hAnsi="Times New Roman" w:cs="Times New Roman"/>
          <w:sz w:val="24"/>
          <w:szCs w:val="24"/>
        </w:rPr>
        <w:t>Savage</w:t>
      </w:r>
      <w:r w:rsidR="00BC5DE6">
        <w:rPr>
          <w:rFonts w:ascii="Times New Roman" w:hAnsi="Times New Roman" w:cs="Times New Roman"/>
          <w:sz w:val="24"/>
          <w:szCs w:val="24"/>
        </w:rPr>
        <w:t xml:space="preserve"> et al.</w:t>
      </w:r>
      <w:r w:rsidRPr="00206C59">
        <w:rPr>
          <w:rFonts w:ascii="Times New Roman" w:hAnsi="Times New Roman" w:cs="Times New Roman"/>
          <w:sz w:val="24"/>
          <w:szCs w:val="24"/>
        </w:rPr>
        <w:t>, 20</w:t>
      </w:r>
      <w:r w:rsidR="00BC5DE6">
        <w:rPr>
          <w:rFonts w:ascii="Times New Roman" w:hAnsi="Times New Roman" w:cs="Times New Roman"/>
          <w:sz w:val="24"/>
          <w:szCs w:val="24"/>
        </w:rPr>
        <w:t>18</w:t>
      </w:r>
      <w:r w:rsidRPr="00206C59">
        <w:rPr>
          <w:rFonts w:ascii="Times New Roman" w:hAnsi="Times New Roman" w:cs="Times New Roman"/>
          <w:sz w:val="24"/>
          <w:szCs w:val="24"/>
        </w:rPr>
        <w:t xml:space="preserve">; </w:t>
      </w:r>
      <w:r w:rsidR="004F04CC" w:rsidRPr="00DF6302">
        <w:rPr>
          <w:rFonts w:ascii="Times New Roman" w:hAnsi="Times New Roman" w:cs="Times New Roman"/>
          <w:sz w:val="24"/>
          <w:szCs w:val="24"/>
        </w:rPr>
        <w:t>Martin &amp; Sarkar</w:t>
      </w:r>
      <w:r w:rsidRPr="00206C59">
        <w:rPr>
          <w:rFonts w:ascii="Times New Roman" w:hAnsi="Times New Roman" w:cs="Times New Roman"/>
          <w:sz w:val="24"/>
          <w:szCs w:val="24"/>
        </w:rPr>
        <w:t>, 20</w:t>
      </w:r>
      <w:r w:rsidR="004F04CC">
        <w:rPr>
          <w:rFonts w:ascii="Times New Roman" w:hAnsi="Times New Roman" w:cs="Times New Roman"/>
          <w:sz w:val="24"/>
          <w:szCs w:val="24"/>
        </w:rPr>
        <w:t>19</w:t>
      </w:r>
      <w:r w:rsidRPr="00206C59">
        <w:rPr>
          <w:rFonts w:ascii="Times New Roman" w:hAnsi="Times New Roman" w:cs="Times New Roman"/>
          <w:sz w:val="24"/>
          <w:szCs w:val="24"/>
        </w:rPr>
        <w:t xml:space="preserve">). Complementary in vivo studies in animal models provide detailed data on acute, </w:t>
      </w:r>
      <w:proofErr w:type="spellStart"/>
      <w:r w:rsidRPr="00206C59">
        <w:rPr>
          <w:rFonts w:ascii="Times New Roman" w:hAnsi="Times New Roman" w:cs="Times New Roman"/>
          <w:sz w:val="24"/>
          <w:szCs w:val="24"/>
        </w:rPr>
        <w:t>subchronic</w:t>
      </w:r>
      <w:proofErr w:type="spellEnd"/>
      <w:r w:rsidRPr="00206C59">
        <w:rPr>
          <w:rFonts w:ascii="Times New Roman" w:hAnsi="Times New Roman" w:cs="Times New Roman"/>
          <w:sz w:val="24"/>
          <w:szCs w:val="24"/>
        </w:rPr>
        <w:t xml:space="preserve">, and </w:t>
      </w:r>
      <w:proofErr w:type="spellStart"/>
      <w:r w:rsidRPr="00206C59">
        <w:rPr>
          <w:rFonts w:ascii="Times New Roman" w:hAnsi="Times New Roman" w:cs="Times New Roman"/>
          <w:sz w:val="24"/>
          <w:szCs w:val="24"/>
        </w:rPr>
        <w:t>bioaccumulative</w:t>
      </w:r>
      <w:proofErr w:type="spellEnd"/>
      <w:r w:rsidRPr="00206C59">
        <w:rPr>
          <w:rFonts w:ascii="Times New Roman" w:hAnsi="Times New Roman" w:cs="Times New Roman"/>
          <w:sz w:val="24"/>
          <w:szCs w:val="24"/>
        </w:rPr>
        <w:t xml:space="preserve"> effects, supporting acceptable daily intake determinations (</w:t>
      </w:r>
      <w:proofErr w:type="spellStart"/>
      <w:r w:rsidR="00E46C85" w:rsidRPr="0056375E">
        <w:rPr>
          <w:rFonts w:ascii="Times New Roman" w:hAnsi="Times New Roman" w:cs="Times New Roman"/>
          <w:sz w:val="24"/>
          <w:szCs w:val="24"/>
        </w:rPr>
        <w:t>Ezhilarasi</w:t>
      </w:r>
      <w:proofErr w:type="spellEnd"/>
      <w:r w:rsidR="00E46C85">
        <w:rPr>
          <w:rFonts w:ascii="Times New Roman" w:hAnsi="Times New Roman" w:cs="Times New Roman"/>
          <w:sz w:val="24"/>
          <w:szCs w:val="24"/>
        </w:rPr>
        <w:t xml:space="preserve"> et al.</w:t>
      </w:r>
      <w:r w:rsidRPr="00206C59">
        <w:rPr>
          <w:rFonts w:ascii="Times New Roman" w:hAnsi="Times New Roman" w:cs="Times New Roman"/>
          <w:sz w:val="24"/>
          <w:szCs w:val="24"/>
        </w:rPr>
        <w:t>, 20</w:t>
      </w:r>
      <w:r w:rsidR="00E46C85">
        <w:rPr>
          <w:rFonts w:ascii="Times New Roman" w:hAnsi="Times New Roman" w:cs="Times New Roman"/>
          <w:sz w:val="24"/>
          <w:szCs w:val="24"/>
        </w:rPr>
        <w:t>12</w:t>
      </w:r>
      <w:r w:rsidRPr="00206C59">
        <w:rPr>
          <w:rFonts w:ascii="Times New Roman" w:hAnsi="Times New Roman" w:cs="Times New Roman"/>
          <w:sz w:val="24"/>
          <w:szCs w:val="24"/>
        </w:rPr>
        <w:t>). Genotoxicity assessment remains critical, as materials such as titanium dioxide may cause DNA damage (</w:t>
      </w:r>
      <w:r w:rsidR="00547FDD" w:rsidRPr="007A3736">
        <w:rPr>
          <w:rFonts w:ascii="Times New Roman" w:hAnsi="Times New Roman" w:cs="Times New Roman"/>
          <w:sz w:val="24"/>
          <w:szCs w:val="24"/>
        </w:rPr>
        <w:t>Manickam</w:t>
      </w:r>
      <w:r w:rsidR="00547FDD">
        <w:rPr>
          <w:rFonts w:ascii="Times New Roman" w:hAnsi="Times New Roman" w:cs="Times New Roman"/>
          <w:sz w:val="24"/>
          <w:szCs w:val="24"/>
        </w:rPr>
        <w:t xml:space="preserve"> et al.</w:t>
      </w:r>
      <w:r w:rsidR="00547FDD" w:rsidRPr="00C45FE2">
        <w:rPr>
          <w:rFonts w:ascii="Times New Roman" w:hAnsi="Times New Roman" w:cs="Times New Roman"/>
          <w:sz w:val="24"/>
          <w:szCs w:val="24"/>
        </w:rPr>
        <w:t>, 20</w:t>
      </w:r>
      <w:r w:rsidR="00547FDD">
        <w:rPr>
          <w:rFonts w:ascii="Times New Roman" w:hAnsi="Times New Roman" w:cs="Times New Roman"/>
          <w:sz w:val="24"/>
          <w:szCs w:val="24"/>
        </w:rPr>
        <w:t>17</w:t>
      </w:r>
      <w:r w:rsidRPr="00206C59">
        <w:rPr>
          <w:rFonts w:ascii="Times New Roman" w:hAnsi="Times New Roman" w:cs="Times New Roman"/>
          <w:sz w:val="24"/>
          <w:szCs w:val="24"/>
        </w:rPr>
        <w:t>). Specialized protocols evaluate genetic toxicity under relevant conditions (</w:t>
      </w:r>
      <w:proofErr w:type="spellStart"/>
      <w:r w:rsidR="005244EA" w:rsidRPr="001C587A">
        <w:rPr>
          <w:rFonts w:ascii="Times New Roman" w:hAnsi="Times New Roman" w:cs="Times New Roman"/>
          <w:sz w:val="24"/>
          <w:szCs w:val="24"/>
        </w:rPr>
        <w:t>Otasowie</w:t>
      </w:r>
      <w:proofErr w:type="spellEnd"/>
      <w:r w:rsidR="005244EA">
        <w:rPr>
          <w:rFonts w:ascii="Times New Roman" w:hAnsi="Times New Roman" w:cs="Times New Roman"/>
          <w:sz w:val="24"/>
          <w:szCs w:val="24"/>
        </w:rPr>
        <w:t xml:space="preserve"> et al.</w:t>
      </w:r>
      <w:r w:rsidR="005244EA" w:rsidRPr="00C45FE2">
        <w:rPr>
          <w:rFonts w:ascii="Times New Roman" w:hAnsi="Times New Roman" w:cs="Times New Roman"/>
          <w:sz w:val="24"/>
          <w:szCs w:val="24"/>
        </w:rPr>
        <w:t>, 202</w:t>
      </w:r>
      <w:r w:rsidR="005244EA">
        <w:rPr>
          <w:rFonts w:ascii="Times New Roman" w:hAnsi="Times New Roman" w:cs="Times New Roman"/>
          <w:sz w:val="24"/>
          <w:szCs w:val="24"/>
        </w:rPr>
        <w:t>5</w:t>
      </w:r>
      <w:r w:rsidRPr="00206C59">
        <w:rPr>
          <w:rFonts w:ascii="Times New Roman" w:hAnsi="Times New Roman" w:cs="Times New Roman"/>
          <w:sz w:val="24"/>
          <w:szCs w:val="24"/>
        </w:rPr>
        <w:t xml:space="preserve">). Together, these studies provide essential data for </w:t>
      </w:r>
      <w:r w:rsidRPr="00206C59">
        <w:rPr>
          <w:rFonts w:ascii="Times New Roman" w:hAnsi="Times New Roman" w:cs="Times New Roman"/>
          <w:sz w:val="24"/>
          <w:szCs w:val="24"/>
        </w:rPr>
        <w:lastRenderedPageBreak/>
        <w:t>regulatory decision-making, ensuring consumer safety and guiding responsible nanomaterial applications in food packaging.</w:t>
      </w:r>
    </w:p>
    <w:p w14:paraId="4520662A" w14:textId="77777777" w:rsidR="00206C59" w:rsidRPr="00206C59" w:rsidRDefault="00206C59" w:rsidP="00206C59">
      <w:pPr>
        <w:spacing w:line="360" w:lineRule="auto"/>
        <w:jc w:val="both"/>
        <w:rPr>
          <w:rFonts w:ascii="Times New Roman" w:hAnsi="Times New Roman" w:cs="Times New Roman"/>
          <w:b/>
          <w:bCs/>
          <w:sz w:val="24"/>
          <w:szCs w:val="24"/>
        </w:rPr>
      </w:pPr>
      <w:r w:rsidRPr="00206C59">
        <w:rPr>
          <w:rFonts w:ascii="Times New Roman" w:hAnsi="Times New Roman" w:cs="Times New Roman"/>
          <w:b/>
          <w:bCs/>
          <w:sz w:val="24"/>
          <w:szCs w:val="24"/>
        </w:rPr>
        <w:t>5.3 Regulatory Frameworks</w:t>
      </w:r>
    </w:p>
    <w:p w14:paraId="3C9B25FA" w14:textId="1A1BD0FE" w:rsidR="00724F67" w:rsidRPr="00724F67" w:rsidRDefault="00206C59" w:rsidP="00724F67">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Regulatory approaches to nanotechnology in food packaging differ globally, complicating commercialization. The European Union enforces stringent frameworks requiring pre-market approval and safety assessment for nanomaterials in food-contact uses (European Commission, 2023). In contrast, the U.S. applies existing food additive and GRAS (Generally Recognized as Safe) regulations, where FDA guidance outlines safety considerations without mandating specific pre-market approval (FDA, 2024). To address fragmentation, international organizations such as OECD, ISO, and Codex Alimentarius are working toward harmonized safety standards and unified testing protocols (</w:t>
      </w:r>
      <w:r w:rsidR="00EE0016" w:rsidRPr="00253270">
        <w:rPr>
          <w:rFonts w:ascii="Times New Roman" w:hAnsi="Times New Roman" w:cs="Times New Roman"/>
          <w:sz w:val="24"/>
          <w:szCs w:val="24"/>
        </w:rPr>
        <w:t>Marchant</w:t>
      </w:r>
      <w:r w:rsidR="00EE0016">
        <w:rPr>
          <w:rFonts w:ascii="Times New Roman" w:hAnsi="Times New Roman" w:cs="Times New Roman"/>
          <w:sz w:val="24"/>
          <w:szCs w:val="24"/>
        </w:rPr>
        <w:t xml:space="preserve"> et al.</w:t>
      </w:r>
      <w:r w:rsidRPr="00206C59">
        <w:rPr>
          <w:rFonts w:ascii="Times New Roman" w:hAnsi="Times New Roman" w:cs="Times New Roman"/>
          <w:sz w:val="24"/>
          <w:szCs w:val="24"/>
        </w:rPr>
        <w:t>, 20</w:t>
      </w:r>
      <w:r w:rsidR="00EE0016">
        <w:rPr>
          <w:rFonts w:ascii="Times New Roman" w:hAnsi="Times New Roman" w:cs="Times New Roman"/>
          <w:sz w:val="24"/>
          <w:szCs w:val="24"/>
        </w:rPr>
        <w:t>10</w:t>
      </w:r>
      <w:r w:rsidRPr="00206C59">
        <w:rPr>
          <w:rFonts w:ascii="Times New Roman" w:hAnsi="Times New Roman" w:cs="Times New Roman"/>
          <w:sz w:val="24"/>
          <w:szCs w:val="24"/>
        </w:rPr>
        <w:t xml:space="preserve">). </w:t>
      </w:r>
      <w:proofErr w:type="spellStart"/>
      <w:r w:rsidRPr="00206C59">
        <w:rPr>
          <w:rFonts w:ascii="Times New Roman" w:hAnsi="Times New Roman" w:cs="Times New Roman"/>
          <w:sz w:val="24"/>
          <w:szCs w:val="24"/>
        </w:rPr>
        <w:t>Labeling</w:t>
      </w:r>
      <w:proofErr w:type="spellEnd"/>
      <w:r w:rsidRPr="00206C59">
        <w:rPr>
          <w:rFonts w:ascii="Times New Roman" w:hAnsi="Times New Roman" w:cs="Times New Roman"/>
          <w:sz w:val="24"/>
          <w:szCs w:val="24"/>
        </w:rPr>
        <w:t xml:space="preserve"> requirements also vary, with some regions mandating explicit disclosure of nanomaterial use, while others permit general ingredient </w:t>
      </w:r>
      <w:proofErr w:type="spellStart"/>
      <w:r w:rsidRPr="00206C59">
        <w:rPr>
          <w:rFonts w:ascii="Times New Roman" w:hAnsi="Times New Roman" w:cs="Times New Roman"/>
          <w:sz w:val="24"/>
          <w:szCs w:val="24"/>
        </w:rPr>
        <w:t>labeling</w:t>
      </w:r>
      <w:proofErr w:type="spellEnd"/>
      <w:r w:rsidRPr="00206C59">
        <w:rPr>
          <w:rFonts w:ascii="Times New Roman" w:hAnsi="Times New Roman" w:cs="Times New Roman"/>
          <w:sz w:val="24"/>
          <w:szCs w:val="24"/>
        </w:rPr>
        <w:t>. Growing consumer-right-to-know initiatives are driving transparency and pushing regulators toward consistent global frameworks (</w:t>
      </w:r>
      <w:proofErr w:type="spellStart"/>
      <w:r w:rsidR="007D088B" w:rsidRPr="00DF6302">
        <w:rPr>
          <w:rFonts w:ascii="Times New Roman" w:hAnsi="Times New Roman" w:cs="Times New Roman"/>
          <w:sz w:val="24"/>
          <w:szCs w:val="24"/>
        </w:rPr>
        <w:t>Kuang</w:t>
      </w:r>
      <w:proofErr w:type="spellEnd"/>
      <w:r w:rsidR="007D088B">
        <w:rPr>
          <w:rFonts w:ascii="Times New Roman" w:hAnsi="Times New Roman" w:cs="Times New Roman"/>
          <w:sz w:val="24"/>
          <w:szCs w:val="24"/>
        </w:rPr>
        <w:t xml:space="preserve"> et al.</w:t>
      </w:r>
      <w:r w:rsidR="007D088B" w:rsidRPr="00C45FE2">
        <w:rPr>
          <w:rFonts w:ascii="Times New Roman" w:hAnsi="Times New Roman" w:cs="Times New Roman"/>
          <w:sz w:val="24"/>
          <w:szCs w:val="24"/>
        </w:rPr>
        <w:t>, 202</w:t>
      </w:r>
      <w:r w:rsidR="007D088B">
        <w:rPr>
          <w:rFonts w:ascii="Times New Roman" w:hAnsi="Times New Roman" w:cs="Times New Roman"/>
          <w:sz w:val="24"/>
          <w:szCs w:val="24"/>
        </w:rPr>
        <w:t>0</w:t>
      </w:r>
      <w:r w:rsidRPr="00206C59">
        <w:rPr>
          <w:rFonts w:ascii="Times New Roman" w:hAnsi="Times New Roman" w:cs="Times New Roman"/>
          <w:sz w:val="24"/>
          <w:szCs w:val="24"/>
        </w:rPr>
        <w:t>). Establishing harmonized policies remains key for safety, trade, and public trust.</w:t>
      </w:r>
    </w:p>
    <w:p w14:paraId="270CB1DA"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6. Emerging Technologies and Future Directions</w:t>
      </w:r>
    </w:p>
    <w:p w14:paraId="2D0FBD5B"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6.1 Nanoencapsulation Technologies</w:t>
      </w:r>
    </w:p>
    <w:p w14:paraId="08EEE961" w14:textId="5EC2094F" w:rsidR="00206C59" w:rsidRPr="00206C59" w:rsidRDefault="00206C59" w:rsidP="00206C59">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 xml:space="preserve">Nanoencapsulation is a rapidly growing approach in food packaging, enabling precise protection and controlled release of bioactive compounds (Kumar &amp; Singh, 2024). It safeguards sensitive ingredients such as vitamins, antioxidants, probiotics, and </w:t>
      </w:r>
      <w:proofErr w:type="spellStart"/>
      <w:r w:rsidRPr="00206C59">
        <w:rPr>
          <w:rFonts w:ascii="Times New Roman" w:hAnsi="Times New Roman" w:cs="Times New Roman"/>
          <w:sz w:val="24"/>
          <w:szCs w:val="24"/>
        </w:rPr>
        <w:t>flavors</w:t>
      </w:r>
      <w:proofErr w:type="spellEnd"/>
      <w:r w:rsidRPr="00206C59">
        <w:rPr>
          <w:rFonts w:ascii="Times New Roman" w:hAnsi="Times New Roman" w:cs="Times New Roman"/>
          <w:sz w:val="24"/>
          <w:szCs w:val="24"/>
        </w:rPr>
        <w:t>, while ensuring targeted and sustained delivery (</w:t>
      </w:r>
      <w:proofErr w:type="spellStart"/>
      <w:r w:rsidR="00E46C85" w:rsidRPr="0056375E">
        <w:rPr>
          <w:rFonts w:ascii="Times New Roman" w:hAnsi="Times New Roman" w:cs="Times New Roman"/>
          <w:sz w:val="24"/>
          <w:szCs w:val="24"/>
        </w:rPr>
        <w:t>Ezhilarasi</w:t>
      </w:r>
      <w:proofErr w:type="spellEnd"/>
      <w:r w:rsidR="00E46C85">
        <w:rPr>
          <w:rFonts w:ascii="Times New Roman" w:hAnsi="Times New Roman" w:cs="Times New Roman"/>
          <w:sz w:val="24"/>
          <w:szCs w:val="24"/>
        </w:rPr>
        <w:t xml:space="preserve"> et al.</w:t>
      </w:r>
      <w:r w:rsidR="00E46C85" w:rsidRPr="00206C59">
        <w:rPr>
          <w:rFonts w:ascii="Times New Roman" w:hAnsi="Times New Roman" w:cs="Times New Roman"/>
          <w:sz w:val="24"/>
          <w:szCs w:val="24"/>
        </w:rPr>
        <w:t>, 20</w:t>
      </w:r>
      <w:r w:rsidR="00E46C85">
        <w:rPr>
          <w:rFonts w:ascii="Times New Roman" w:hAnsi="Times New Roman" w:cs="Times New Roman"/>
          <w:sz w:val="24"/>
          <w:szCs w:val="24"/>
        </w:rPr>
        <w:t>12</w:t>
      </w:r>
      <w:r w:rsidRPr="00206C59">
        <w:rPr>
          <w:rFonts w:ascii="Times New Roman" w:hAnsi="Times New Roman" w:cs="Times New Roman"/>
          <w:sz w:val="24"/>
          <w:szCs w:val="24"/>
        </w:rPr>
        <w:t xml:space="preserve">). Advanced methods including </w:t>
      </w:r>
      <w:proofErr w:type="spellStart"/>
      <w:r w:rsidRPr="00206C59">
        <w:rPr>
          <w:rFonts w:ascii="Times New Roman" w:hAnsi="Times New Roman" w:cs="Times New Roman"/>
          <w:sz w:val="24"/>
          <w:szCs w:val="24"/>
        </w:rPr>
        <w:t>electrospraying</w:t>
      </w:r>
      <w:proofErr w:type="spellEnd"/>
      <w:r w:rsidRPr="00206C59">
        <w:rPr>
          <w:rFonts w:ascii="Times New Roman" w:hAnsi="Times New Roman" w:cs="Times New Roman"/>
          <w:sz w:val="24"/>
          <w:szCs w:val="24"/>
        </w:rPr>
        <w:t xml:space="preserve">, electrospinning, and complex coacervation allow production of </w:t>
      </w:r>
      <w:proofErr w:type="spellStart"/>
      <w:r w:rsidRPr="00206C59">
        <w:rPr>
          <w:rFonts w:ascii="Times New Roman" w:hAnsi="Times New Roman" w:cs="Times New Roman"/>
          <w:sz w:val="24"/>
          <w:szCs w:val="24"/>
        </w:rPr>
        <w:t>nanocapsules</w:t>
      </w:r>
      <w:proofErr w:type="spellEnd"/>
      <w:r w:rsidRPr="00206C59">
        <w:rPr>
          <w:rFonts w:ascii="Times New Roman" w:hAnsi="Times New Roman" w:cs="Times New Roman"/>
          <w:sz w:val="24"/>
          <w:szCs w:val="24"/>
        </w:rPr>
        <w:t xml:space="preserve"> ranging from 10–1000 nm (</w:t>
      </w:r>
      <w:r w:rsidR="005244EA" w:rsidRPr="001C587A">
        <w:rPr>
          <w:rFonts w:ascii="Times New Roman" w:hAnsi="Times New Roman" w:cs="Times New Roman"/>
          <w:sz w:val="24"/>
          <w:szCs w:val="24"/>
        </w:rPr>
        <w:t>Schmid</w:t>
      </w:r>
      <w:r w:rsidR="005244EA">
        <w:rPr>
          <w:rFonts w:ascii="Times New Roman" w:hAnsi="Times New Roman" w:cs="Times New Roman"/>
          <w:sz w:val="24"/>
          <w:szCs w:val="24"/>
        </w:rPr>
        <w:t xml:space="preserve"> et al.</w:t>
      </w:r>
      <w:r w:rsidR="005244EA" w:rsidRPr="00C45FE2">
        <w:rPr>
          <w:rFonts w:ascii="Times New Roman" w:hAnsi="Times New Roman" w:cs="Times New Roman"/>
          <w:sz w:val="24"/>
          <w:szCs w:val="24"/>
        </w:rPr>
        <w:t>, 20</w:t>
      </w:r>
      <w:r w:rsidR="005244EA">
        <w:rPr>
          <w:rFonts w:ascii="Times New Roman" w:hAnsi="Times New Roman" w:cs="Times New Roman"/>
          <w:sz w:val="24"/>
          <w:szCs w:val="24"/>
        </w:rPr>
        <w:t>12</w:t>
      </w:r>
      <w:r w:rsidRPr="00206C59">
        <w:rPr>
          <w:rFonts w:ascii="Times New Roman" w:hAnsi="Times New Roman" w:cs="Times New Roman"/>
          <w:sz w:val="24"/>
          <w:szCs w:val="24"/>
        </w:rPr>
        <w:t xml:space="preserve">). Functional systems include pH-responsive and temperature-sensitive </w:t>
      </w:r>
      <w:proofErr w:type="spellStart"/>
      <w:r w:rsidRPr="00206C59">
        <w:rPr>
          <w:rFonts w:ascii="Times New Roman" w:hAnsi="Times New Roman" w:cs="Times New Roman"/>
          <w:sz w:val="24"/>
          <w:szCs w:val="24"/>
        </w:rPr>
        <w:t>nanocapsules</w:t>
      </w:r>
      <w:proofErr w:type="spellEnd"/>
      <w:r w:rsidRPr="00206C59">
        <w:rPr>
          <w:rFonts w:ascii="Times New Roman" w:hAnsi="Times New Roman" w:cs="Times New Roman"/>
          <w:sz w:val="24"/>
          <w:szCs w:val="24"/>
        </w:rPr>
        <w:t>, as well as biodegradable carriers that dissolve safely in digestion (</w:t>
      </w:r>
      <w:r w:rsidR="004F04CC" w:rsidRPr="00DF6302">
        <w:rPr>
          <w:rFonts w:ascii="Times New Roman" w:hAnsi="Times New Roman" w:cs="Times New Roman"/>
          <w:sz w:val="24"/>
          <w:szCs w:val="24"/>
        </w:rPr>
        <w:t>Martin &amp; Sarkar</w:t>
      </w:r>
      <w:r w:rsidR="004F04CC" w:rsidRPr="00206C59">
        <w:rPr>
          <w:rFonts w:ascii="Times New Roman" w:hAnsi="Times New Roman" w:cs="Times New Roman"/>
          <w:sz w:val="24"/>
          <w:szCs w:val="24"/>
        </w:rPr>
        <w:t>, 20</w:t>
      </w:r>
      <w:r w:rsidR="004F04CC">
        <w:rPr>
          <w:rFonts w:ascii="Times New Roman" w:hAnsi="Times New Roman" w:cs="Times New Roman"/>
          <w:sz w:val="24"/>
          <w:szCs w:val="24"/>
        </w:rPr>
        <w:t>19</w:t>
      </w:r>
      <w:r w:rsidRPr="00206C59">
        <w:rPr>
          <w:rFonts w:ascii="Times New Roman" w:hAnsi="Times New Roman" w:cs="Times New Roman"/>
          <w:sz w:val="24"/>
          <w:szCs w:val="24"/>
        </w:rPr>
        <w:t xml:space="preserve">). Applications span antimicrobial delivery, antioxidant stabilization, probiotic protection, and </w:t>
      </w:r>
      <w:proofErr w:type="spellStart"/>
      <w:r w:rsidRPr="00206C59">
        <w:rPr>
          <w:rFonts w:ascii="Times New Roman" w:hAnsi="Times New Roman" w:cs="Times New Roman"/>
          <w:sz w:val="24"/>
          <w:szCs w:val="24"/>
        </w:rPr>
        <w:t>flavor</w:t>
      </w:r>
      <w:proofErr w:type="spellEnd"/>
      <w:r w:rsidRPr="00206C59">
        <w:rPr>
          <w:rFonts w:ascii="Times New Roman" w:hAnsi="Times New Roman" w:cs="Times New Roman"/>
          <w:sz w:val="24"/>
          <w:szCs w:val="24"/>
        </w:rPr>
        <w:t xml:space="preserve"> control (</w:t>
      </w:r>
      <w:proofErr w:type="spellStart"/>
      <w:r w:rsidR="00423946" w:rsidRPr="009D11DC">
        <w:rPr>
          <w:rFonts w:ascii="Times New Roman" w:hAnsi="Times New Roman" w:cs="Times New Roman"/>
          <w:sz w:val="24"/>
          <w:szCs w:val="24"/>
        </w:rPr>
        <w:t>Mahato</w:t>
      </w:r>
      <w:proofErr w:type="spellEnd"/>
      <w:r w:rsidRPr="00206C59">
        <w:rPr>
          <w:rFonts w:ascii="Times New Roman" w:hAnsi="Times New Roman" w:cs="Times New Roman"/>
          <w:sz w:val="24"/>
          <w:szCs w:val="24"/>
        </w:rPr>
        <w:t xml:space="preserve"> et al., 202</w:t>
      </w:r>
      <w:r w:rsidR="00423946">
        <w:rPr>
          <w:rFonts w:ascii="Times New Roman" w:hAnsi="Times New Roman" w:cs="Times New Roman"/>
          <w:sz w:val="24"/>
          <w:szCs w:val="24"/>
        </w:rPr>
        <w:t>1</w:t>
      </w:r>
      <w:r w:rsidRPr="00206C59">
        <w:rPr>
          <w:rFonts w:ascii="Times New Roman" w:hAnsi="Times New Roman" w:cs="Times New Roman"/>
          <w:sz w:val="24"/>
          <w:szCs w:val="24"/>
        </w:rPr>
        <w:t>). Compared to conventional additives, nanoencapsulation enhances bioavailability, prevents degradation, and improves controlled release kinetics, offering significant advantages for next-generation functional food packaging (</w:t>
      </w:r>
      <w:r w:rsidR="00BC5DE6" w:rsidRPr="00C715C7">
        <w:rPr>
          <w:rFonts w:ascii="Times New Roman" w:hAnsi="Times New Roman" w:cs="Times New Roman"/>
          <w:sz w:val="24"/>
          <w:szCs w:val="24"/>
        </w:rPr>
        <w:t>Das</w:t>
      </w:r>
      <w:r w:rsidR="00BC5DE6">
        <w:rPr>
          <w:rFonts w:ascii="Times New Roman" w:hAnsi="Times New Roman" w:cs="Times New Roman"/>
          <w:sz w:val="24"/>
          <w:szCs w:val="24"/>
        </w:rPr>
        <w:t xml:space="preserve"> et al.</w:t>
      </w:r>
      <w:r w:rsidRPr="00206C59">
        <w:rPr>
          <w:rFonts w:ascii="Times New Roman" w:hAnsi="Times New Roman" w:cs="Times New Roman"/>
          <w:sz w:val="24"/>
          <w:szCs w:val="24"/>
        </w:rPr>
        <w:t>, 202</w:t>
      </w:r>
      <w:r w:rsidR="00BC5DE6">
        <w:rPr>
          <w:rFonts w:ascii="Times New Roman" w:hAnsi="Times New Roman" w:cs="Times New Roman"/>
          <w:sz w:val="24"/>
          <w:szCs w:val="24"/>
        </w:rPr>
        <w:t>0</w:t>
      </w:r>
      <w:r w:rsidRPr="00206C59">
        <w:rPr>
          <w:rFonts w:ascii="Times New Roman" w:hAnsi="Times New Roman" w:cs="Times New Roman"/>
          <w:sz w:val="24"/>
          <w:szCs w:val="24"/>
        </w:rPr>
        <w:t xml:space="preserve">; </w:t>
      </w:r>
      <w:r w:rsidR="00EC5B13" w:rsidRPr="003C013F">
        <w:rPr>
          <w:rFonts w:ascii="Times New Roman" w:hAnsi="Times New Roman" w:cs="Times New Roman"/>
          <w:sz w:val="24"/>
          <w:szCs w:val="24"/>
        </w:rPr>
        <w:t>Allan</w:t>
      </w:r>
      <w:r w:rsidR="00EC5B13" w:rsidRPr="00C45FE2">
        <w:rPr>
          <w:rFonts w:ascii="Times New Roman" w:hAnsi="Times New Roman" w:cs="Times New Roman"/>
          <w:sz w:val="24"/>
          <w:szCs w:val="24"/>
        </w:rPr>
        <w:t xml:space="preserve"> et al., 202</w:t>
      </w:r>
      <w:r w:rsidR="00EC5B13">
        <w:rPr>
          <w:rFonts w:ascii="Times New Roman" w:hAnsi="Times New Roman" w:cs="Times New Roman"/>
          <w:sz w:val="24"/>
          <w:szCs w:val="24"/>
        </w:rPr>
        <w:t>1</w:t>
      </w:r>
      <w:r w:rsidRPr="00206C59">
        <w:rPr>
          <w:rFonts w:ascii="Times New Roman" w:hAnsi="Times New Roman" w:cs="Times New Roman"/>
          <w:sz w:val="24"/>
          <w:szCs w:val="24"/>
        </w:rPr>
        <w:t>).</w:t>
      </w:r>
    </w:p>
    <w:p w14:paraId="507BDCEB" w14:textId="77777777" w:rsidR="00206C59" w:rsidRPr="00206C59" w:rsidRDefault="00206C59" w:rsidP="00206C59">
      <w:pPr>
        <w:spacing w:line="360" w:lineRule="auto"/>
        <w:jc w:val="both"/>
        <w:rPr>
          <w:rFonts w:ascii="Times New Roman" w:hAnsi="Times New Roman" w:cs="Times New Roman"/>
          <w:b/>
          <w:bCs/>
          <w:sz w:val="24"/>
          <w:szCs w:val="24"/>
        </w:rPr>
      </w:pPr>
      <w:r w:rsidRPr="00206C59">
        <w:rPr>
          <w:rFonts w:ascii="Times New Roman" w:hAnsi="Times New Roman" w:cs="Times New Roman"/>
          <w:b/>
          <w:bCs/>
          <w:sz w:val="24"/>
          <w:szCs w:val="24"/>
        </w:rPr>
        <w:t>6.2 Artificial Intelligence and Machine Learning Integration</w:t>
      </w:r>
    </w:p>
    <w:p w14:paraId="65AB678E" w14:textId="2869B35E" w:rsidR="00206C59" w:rsidRPr="00206C59" w:rsidRDefault="00206C59" w:rsidP="00206C59">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lastRenderedPageBreak/>
        <w:t>Artificial intelligence (AI) and machine learning (ML) integration with nanotechnology marks a frontier in smart packaging (</w:t>
      </w:r>
      <w:r w:rsidR="00810047" w:rsidRPr="00BE7490">
        <w:rPr>
          <w:rFonts w:ascii="Times New Roman" w:hAnsi="Times New Roman" w:cs="Times New Roman"/>
          <w:sz w:val="24"/>
          <w:szCs w:val="24"/>
        </w:rPr>
        <w:t>Chen</w:t>
      </w:r>
      <w:r w:rsidR="00810047">
        <w:rPr>
          <w:rFonts w:ascii="Times New Roman" w:hAnsi="Times New Roman" w:cs="Times New Roman"/>
          <w:sz w:val="24"/>
          <w:szCs w:val="24"/>
        </w:rPr>
        <w:t xml:space="preserve"> et al.</w:t>
      </w:r>
      <w:r w:rsidRPr="00206C59">
        <w:rPr>
          <w:rFonts w:ascii="Times New Roman" w:hAnsi="Times New Roman" w:cs="Times New Roman"/>
          <w:sz w:val="24"/>
          <w:szCs w:val="24"/>
        </w:rPr>
        <w:t>, 20</w:t>
      </w:r>
      <w:r w:rsidR="00810047">
        <w:rPr>
          <w:rFonts w:ascii="Times New Roman" w:hAnsi="Times New Roman" w:cs="Times New Roman"/>
          <w:sz w:val="24"/>
          <w:szCs w:val="24"/>
        </w:rPr>
        <w:t>19</w:t>
      </w:r>
      <w:r w:rsidRPr="00206C59">
        <w:rPr>
          <w:rFonts w:ascii="Times New Roman" w:hAnsi="Times New Roman" w:cs="Times New Roman"/>
          <w:sz w:val="24"/>
          <w:szCs w:val="24"/>
        </w:rPr>
        <w:t xml:space="preserve">). AI-powered systems enable predictive </w:t>
      </w:r>
      <w:proofErr w:type="spellStart"/>
      <w:r w:rsidRPr="00206C59">
        <w:rPr>
          <w:rFonts w:ascii="Times New Roman" w:hAnsi="Times New Roman" w:cs="Times New Roman"/>
          <w:sz w:val="24"/>
          <w:szCs w:val="24"/>
        </w:rPr>
        <w:t>modeling</w:t>
      </w:r>
      <w:proofErr w:type="spellEnd"/>
      <w:r w:rsidRPr="00206C59">
        <w:rPr>
          <w:rFonts w:ascii="Times New Roman" w:hAnsi="Times New Roman" w:cs="Times New Roman"/>
          <w:sz w:val="24"/>
          <w:szCs w:val="24"/>
        </w:rPr>
        <w:t xml:space="preserve"> of food quality changes, optimize nanomaterial design, and improve supply chain decisions (</w:t>
      </w:r>
      <w:proofErr w:type="spellStart"/>
      <w:r w:rsidR="000019C2" w:rsidRPr="0089426A">
        <w:rPr>
          <w:rFonts w:ascii="Times New Roman" w:hAnsi="Times New Roman" w:cs="Times New Roman"/>
          <w:sz w:val="24"/>
          <w:szCs w:val="24"/>
        </w:rPr>
        <w:t>Wyrwa</w:t>
      </w:r>
      <w:proofErr w:type="spellEnd"/>
      <w:r w:rsidR="000019C2" w:rsidRPr="0089426A">
        <w:rPr>
          <w:rFonts w:ascii="Times New Roman" w:hAnsi="Times New Roman" w:cs="Times New Roman"/>
          <w:sz w:val="24"/>
          <w:szCs w:val="24"/>
        </w:rPr>
        <w:t xml:space="preserve"> &amp; </w:t>
      </w:r>
      <w:proofErr w:type="spellStart"/>
      <w:r w:rsidR="000019C2" w:rsidRPr="0089426A">
        <w:rPr>
          <w:rFonts w:ascii="Times New Roman" w:hAnsi="Times New Roman" w:cs="Times New Roman"/>
          <w:sz w:val="24"/>
          <w:szCs w:val="24"/>
        </w:rPr>
        <w:t>Barska</w:t>
      </w:r>
      <w:proofErr w:type="spellEnd"/>
      <w:r w:rsidR="000019C2" w:rsidRPr="00C45FE2">
        <w:rPr>
          <w:rFonts w:ascii="Times New Roman" w:hAnsi="Times New Roman" w:cs="Times New Roman"/>
          <w:sz w:val="24"/>
          <w:szCs w:val="24"/>
        </w:rPr>
        <w:t>, 20</w:t>
      </w:r>
      <w:r w:rsidR="000019C2">
        <w:rPr>
          <w:rFonts w:ascii="Times New Roman" w:hAnsi="Times New Roman" w:cs="Times New Roman"/>
          <w:sz w:val="24"/>
          <w:szCs w:val="24"/>
        </w:rPr>
        <w:t>17</w:t>
      </w:r>
      <w:r w:rsidRPr="00206C59">
        <w:rPr>
          <w:rFonts w:ascii="Times New Roman" w:hAnsi="Times New Roman" w:cs="Times New Roman"/>
          <w:sz w:val="24"/>
          <w:szCs w:val="24"/>
        </w:rPr>
        <w:t xml:space="preserve">). Advanced sensors linked with AI can </w:t>
      </w:r>
      <w:proofErr w:type="spellStart"/>
      <w:r w:rsidRPr="00206C59">
        <w:rPr>
          <w:rFonts w:ascii="Times New Roman" w:hAnsi="Times New Roman" w:cs="Times New Roman"/>
          <w:sz w:val="24"/>
          <w:szCs w:val="24"/>
        </w:rPr>
        <w:t>analyze</w:t>
      </w:r>
      <w:proofErr w:type="spellEnd"/>
      <w:r w:rsidRPr="00206C59">
        <w:rPr>
          <w:rFonts w:ascii="Times New Roman" w:hAnsi="Times New Roman" w:cs="Times New Roman"/>
          <w:sz w:val="24"/>
          <w:szCs w:val="24"/>
        </w:rPr>
        <w:t xml:space="preserve"> complex </w:t>
      </w:r>
      <w:proofErr w:type="spellStart"/>
      <w:r w:rsidRPr="00206C59">
        <w:rPr>
          <w:rFonts w:ascii="Times New Roman" w:hAnsi="Times New Roman" w:cs="Times New Roman"/>
          <w:sz w:val="24"/>
          <w:szCs w:val="24"/>
        </w:rPr>
        <w:t>nanosensor</w:t>
      </w:r>
      <w:proofErr w:type="spellEnd"/>
      <w:r w:rsidRPr="00206C59">
        <w:rPr>
          <w:rFonts w:ascii="Times New Roman" w:hAnsi="Times New Roman" w:cs="Times New Roman"/>
          <w:sz w:val="24"/>
          <w:szCs w:val="24"/>
        </w:rPr>
        <w:t xml:space="preserve"> data to predict safety and freshness, identifying subtle spoilage signals before visible deterioration (</w:t>
      </w:r>
      <w:r w:rsidR="00EE0016" w:rsidRPr="00253270">
        <w:rPr>
          <w:rFonts w:ascii="Times New Roman" w:hAnsi="Times New Roman" w:cs="Times New Roman"/>
          <w:sz w:val="24"/>
          <w:szCs w:val="24"/>
        </w:rPr>
        <w:t>Mani</w:t>
      </w:r>
      <w:r w:rsidR="00EE0016">
        <w:rPr>
          <w:rFonts w:ascii="Times New Roman" w:hAnsi="Times New Roman" w:cs="Times New Roman"/>
          <w:sz w:val="24"/>
          <w:szCs w:val="24"/>
        </w:rPr>
        <w:t xml:space="preserve"> et al.</w:t>
      </w:r>
      <w:r w:rsidRPr="00206C59">
        <w:rPr>
          <w:rFonts w:ascii="Times New Roman" w:hAnsi="Times New Roman" w:cs="Times New Roman"/>
          <w:sz w:val="24"/>
          <w:szCs w:val="24"/>
        </w:rPr>
        <w:t>, 202</w:t>
      </w:r>
      <w:r w:rsidR="00EE0016">
        <w:rPr>
          <w:rFonts w:ascii="Times New Roman" w:hAnsi="Times New Roman" w:cs="Times New Roman"/>
          <w:sz w:val="24"/>
          <w:szCs w:val="24"/>
        </w:rPr>
        <w:t>5</w:t>
      </w:r>
      <w:r w:rsidRPr="00206C59">
        <w:rPr>
          <w:rFonts w:ascii="Times New Roman" w:hAnsi="Times New Roman" w:cs="Times New Roman"/>
          <w:sz w:val="24"/>
          <w:szCs w:val="24"/>
        </w:rPr>
        <w:t>). Predictive models optimize nanomaterial concentration and packaging formulation based on food composition, storage conditions, and shelf-life targets (</w:t>
      </w:r>
      <w:r w:rsidR="00423946" w:rsidRPr="009D11DC">
        <w:rPr>
          <w:rFonts w:ascii="Times New Roman" w:hAnsi="Times New Roman" w:cs="Times New Roman"/>
          <w:sz w:val="24"/>
          <w:szCs w:val="24"/>
        </w:rPr>
        <w:t>Ali</w:t>
      </w:r>
      <w:r w:rsidRPr="00206C59">
        <w:rPr>
          <w:rFonts w:ascii="Times New Roman" w:hAnsi="Times New Roman" w:cs="Times New Roman"/>
          <w:sz w:val="24"/>
          <w:szCs w:val="24"/>
        </w:rPr>
        <w:t xml:space="preserve"> et al., 202</w:t>
      </w:r>
      <w:r w:rsidR="00423946">
        <w:rPr>
          <w:rFonts w:ascii="Times New Roman" w:hAnsi="Times New Roman" w:cs="Times New Roman"/>
          <w:sz w:val="24"/>
          <w:szCs w:val="24"/>
        </w:rPr>
        <w:t>2</w:t>
      </w:r>
      <w:r w:rsidRPr="00206C59">
        <w:rPr>
          <w:rFonts w:ascii="Times New Roman" w:hAnsi="Times New Roman" w:cs="Times New Roman"/>
          <w:sz w:val="24"/>
          <w:szCs w:val="24"/>
        </w:rPr>
        <w:t xml:space="preserve">). AI also enhances quality control through automated defect detection, real-time process monitoring, and predictive equipment maintenance, improving consistency and reducing costs </w:t>
      </w:r>
      <w:r w:rsidR="00547FDD">
        <w:rPr>
          <w:rFonts w:ascii="Times New Roman" w:hAnsi="Times New Roman" w:cs="Times New Roman"/>
          <w:sz w:val="24"/>
          <w:szCs w:val="24"/>
        </w:rPr>
        <w:t>(</w:t>
      </w:r>
      <w:r w:rsidR="00A50AD7" w:rsidRPr="00A21330">
        <w:rPr>
          <w:rFonts w:ascii="Times New Roman" w:hAnsi="Times New Roman" w:cs="Times New Roman"/>
          <w:sz w:val="24"/>
          <w:szCs w:val="24"/>
        </w:rPr>
        <w:t>Ashfaq</w:t>
      </w:r>
      <w:r w:rsidR="00A50AD7">
        <w:rPr>
          <w:rFonts w:ascii="Times New Roman" w:hAnsi="Times New Roman" w:cs="Times New Roman"/>
          <w:sz w:val="24"/>
          <w:szCs w:val="24"/>
        </w:rPr>
        <w:t xml:space="preserve"> et al.</w:t>
      </w:r>
      <w:r w:rsidR="00A50AD7" w:rsidRPr="00C45FE2">
        <w:rPr>
          <w:rFonts w:ascii="Times New Roman" w:hAnsi="Times New Roman" w:cs="Times New Roman"/>
          <w:sz w:val="24"/>
          <w:szCs w:val="24"/>
        </w:rPr>
        <w:t>, 202</w:t>
      </w:r>
      <w:r w:rsidR="00A50AD7">
        <w:rPr>
          <w:rFonts w:ascii="Times New Roman" w:hAnsi="Times New Roman" w:cs="Times New Roman"/>
          <w:sz w:val="24"/>
          <w:szCs w:val="24"/>
        </w:rPr>
        <w:t>2</w:t>
      </w:r>
      <w:r w:rsidRPr="00206C59">
        <w:rPr>
          <w:rFonts w:ascii="Times New Roman" w:hAnsi="Times New Roman" w:cs="Times New Roman"/>
          <w:sz w:val="24"/>
          <w:szCs w:val="24"/>
        </w:rPr>
        <w:t>). Together, AI-ML integration ensures efficiency, accuracy, and innovation in nanotechnology-driven packaging solutions.</w:t>
      </w:r>
    </w:p>
    <w:p w14:paraId="7BB08F32" w14:textId="77777777" w:rsidR="00206C59" w:rsidRPr="00206C59" w:rsidRDefault="00206C59" w:rsidP="00206C59">
      <w:pPr>
        <w:spacing w:line="360" w:lineRule="auto"/>
        <w:jc w:val="both"/>
        <w:rPr>
          <w:rFonts w:ascii="Times New Roman" w:hAnsi="Times New Roman" w:cs="Times New Roman"/>
          <w:b/>
          <w:bCs/>
          <w:sz w:val="24"/>
          <w:szCs w:val="24"/>
        </w:rPr>
      </w:pPr>
      <w:r w:rsidRPr="00206C59">
        <w:rPr>
          <w:rFonts w:ascii="Times New Roman" w:hAnsi="Times New Roman" w:cs="Times New Roman"/>
          <w:b/>
          <w:bCs/>
          <w:sz w:val="24"/>
          <w:szCs w:val="24"/>
        </w:rPr>
        <w:t>6.3 Sustainable and Biodegradable Nanomaterials</w:t>
      </w:r>
    </w:p>
    <w:p w14:paraId="219F957D" w14:textId="3ADBDF34" w:rsidR="00206C59" w:rsidRPr="00206C59" w:rsidRDefault="00206C59" w:rsidP="00206C59">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Developing sustainable nanomaterials is a key priority for future food packaging to balance performance with environmental safety. Bio-based options from cellulose, chitosan, and starch provide biodegradable and renewable alternatives to synthetic nanomaterials, offering similar functionality with lower environmental impact (</w:t>
      </w:r>
      <w:r w:rsidR="00EE5B09" w:rsidRPr="00D02080">
        <w:rPr>
          <w:rFonts w:ascii="Times New Roman" w:hAnsi="Times New Roman" w:cs="Times New Roman"/>
          <w:sz w:val="24"/>
          <w:szCs w:val="24"/>
        </w:rPr>
        <w:t>Mishra</w:t>
      </w:r>
      <w:r w:rsidRPr="00206C59">
        <w:rPr>
          <w:rFonts w:ascii="Times New Roman" w:hAnsi="Times New Roman" w:cs="Times New Roman"/>
          <w:sz w:val="24"/>
          <w:szCs w:val="24"/>
        </w:rPr>
        <w:t xml:space="preserve"> et al., 2024; </w:t>
      </w:r>
      <w:proofErr w:type="spellStart"/>
      <w:r w:rsidR="00E46C85" w:rsidRPr="0056375E">
        <w:rPr>
          <w:rFonts w:ascii="Times New Roman" w:hAnsi="Times New Roman" w:cs="Times New Roman"/>
          <w:sz w:val="24"/>
          <w:szCs w:val="24"/>
        </w:rPr>
        <w:t>Ezhilarasi</w:t>
      </w:r>
      <w:proofErr w:type="spellEnd"/>
      <w:r w:rsidR="00E46C85">
        <w:rPr>
          <w:rFonts w:ascii="Times New Roman" w:hAnsi="Times New Roman" w:cs="Times New Roman"/>
          <w:sz w:val="24"/>
          <w:szCs w:val="24"/>
        </w:rPr>
        <w:t xml:space="preserve"> et al.</w:t>
      </w:r>
      <w:r w:rsidR="00E46C85" w:rsidRPr="00206C59">
        <w:rPr>
          <w:rFonts w:ascii="Times New Roman" w:hAnsi="Times New Roman" w:cs="Times New Roman"/>
          <w:sz w:val="24"/>
          <w:szCs w:val="24"/>
        </w:rPr>
        <w:t>, 20</w:t>
      </w:r>
      <w:r w:rsidR="00E46C85">
        <w:rPr>
          <w:rFonts w:ascii="Times New Roman" w:hAnsi="Times New Roman" w:cs="Times New Roman"/>
          <w:sz w:val="24"/>
          <w:szCs w:val="24"/>
        </w:rPr>
        <w:t>12</w:t>
      </w:r>
      <w:r w:rsidRPr="00206C59">
        <w:rPr>
          <w:rFonts w:ascii="Times New Roman" w:hAnsi="Times New Roman" w:cs="Times New Roman"/>
          <w:sz w:val="24"/>
          <w:szCs w:val="24"/>
        </w:rPr>
        <w:t xml:space="preserve">). Design for sustainability incorporates circular economy principles, emphasizing recyclability, </w:t>
      </w:r>
      <w:proofErr w:type="spellStart"/>
      <w:r w:rsidRPr="00206C59">
        <w:rPr>
          <w:rFonts w:ascii="Times New Roman" w:hAnsi="Times New Roman" w:cs="Times New Roman"/>
          <w:sz w:val="24"/>
          <w:szCs w:val="24"/>
        </w:rPr>
        <w:t>compostability</w:t>
      </w:r>
      <w:proofErr w:type="spellEnd"/>
      <w:r w:rsidRPr="00206C59">
        <w:rPr>
          <w:rFonts w:ascii="Times New Roman" w:hAnsi="Times New Roman" w:cs="Times New Roman"/>
          <w:sz w:val="24"/>
          <w:szCs w:val="24"/>
        </w:rPr>
        <w:t>, and resource efficiency throughout the lifecycle (</w:t>
      </w:r>
      <w:proofErr w:type="spellStart"/>
      <w:r w:rsidR="007D088B" w:rsidRPr="00A21330">
        <w:rPr>
          <w:rFonts w:ascii="Times New Roman" w:hAnsi="Times New Roman" w:cs="Times New Roman"/>
          <w:sz w:val="24"/>
          <w:szCs w:val="24"/>
        </w:rPr>
        <w:t>Onyeaka</w:t>
      </w:r>
      <w:proofErr w:type="spellEnd"/>
      <w:r w:rsidR="007D088B">
        <w:rPr>
          <w:rFonts w:ascii="Times New Roman" w:hAnsi="Times New Roman" w:cs="Times New Roman"/>
          <w:sz w:val="24"/>
          <w:szCs w:val="24"/>
        </w:rPr>
        <w:t xml:space="preserve"> et al.</w:t>
      </w:r>
      <w:r w:rsidRPr="00206C59">
        <w:rPr>
          <w:rFonts w:ascii="Times New Roman" w:hAnsi="Times New Roman" w:cs="Times New Roman"/>
          <w:sz w:val="24"/>
          <w:szCs w:val="24"/>
        </w:rPr>
        <w:t>, 202</w:t>
      </w:r>
      <w:r w:rsidR="007D088B">
        <w:rPr>
          <w:rFonts w:ascii="Times New Roman" w:hAnsi="Times New Roman" w:cs="Times New Roman"/>
          <w:sz w:val="24"/>
          <w:szCs w:val="24"/>
        </w:rPr>
        <w:t>2</w:t>
      </w:r>
      <w:r w:rsidRPr="00206C59">
        <w:rPr>
          <w:rFonts w:ascii="Times New Roman" w:hAnsi="Times New Roman" w:cs="Times New Roman"/>
          <w:sz w:val="24"/>
          <w:szCs w:val="24"/>
        </w:rPr>
        <w:t xml:space="preserve">; </w:t>
      </w:r>
      <w:r w:rsidR="00547FDD" w:rsidRPr="007A3736">
        <w:rPr>
          <w:rFonts w:ascii="Times New Roman" w:hAnsi="Times New Roman" w:cs="Times New Roman"/>
          <w:sz w:val="24"/>
          <w:szCs w:val="24"/>
        </w:rPr>
        <w:t>Franco</w:t>
      </w:r>
      <w:r w:rsidR="00547FDD" w:rsidRPr="00C45FE2">
        <w:rPr>
          <w:rFonts w:ascii="Times New Roman" w:hAnsi="Times New Roman" w:cs="Times New Roman"/>
          <w:sz w:val="24"/>
          <w:szCs w:val="24"/>
        </w:rPr>
        <w:t xml:space="preserve"> et al., 202</w:t>
      </w:r>
      <w:r w:rsidR="00547FDD">
        <w:rPr>
          <w:rFonts w:ascii="Times New Roman" w:hAnsi="Times New Roman" w:cs="Times New Roman"/>
          <w:sz w:val="24"/>
          <w:szCs w:val="24"/>
        </w:rPr>
        <w:t>2</w:t>
      </w:r>
      <w:r w:rsidRPr="00206C59">
        <w:rPr>
          <w:rFonts w:ascii="Times New Roman" w:hAnsi="Times New Roman" w:cs="Times New Roman"/>
          <w:sz w:val="24"/>
          <w:szCs w:val="24"/>
        </w:rPr>
        <w:t>). Green synthesis methods using eco-friendly solvents, renewable energy, and waste minimization strategies further reduce environmental footprint (</w:t>
      </w:r>
      <w:r w:rsidR="00810047" w:rsidRPr="00BE7490">
        <w:rPr>
          <w:rFonts w:ascii="Times New Roman" w:hAnsi="Times New Roman" w:cs="Times New Roman"/>
          <w:sz w:val="24"/>
          <w:szCs w:val="24"/>
        </w:rPr>
        <w:t>Jadhav</w:t>
      </w:r>
      <w:r w:rsidR="00810047">
        <w:rPr>
          <w:rFonts w:ascii="Times New Roman" w:hAnsi="Times New Roman" w:cs="Times New Roman"/>
          <w:sz w:val="24"/>
          <w:szCs w:val="24"/>
        </w:rPr>
        <w:t xml:space="preserve"> et al.</w:t>
      </w:r>
      <w:r w:rsidRPr="00206C59">
        <w:rPr>
          <w:rFonts w:ascii="Times New Roman" w:hAnsi="Times New Roman" w:cs="Times New Roman"/>
          <w:sz w:val="24"/>
          <w:szCs w:val="24"/>
        </w:rPr>
        <w:t>, 202</w:t>
      </w:r>
      <w:r w:rsidR="00810047">
        <w:rPr>
          <w:rFonts w:ascii="Times New Roman" w:hAnsi="Times New Roman" w:cs="Times New Roman"/>
          <w:sz w:val="24"/>
          <w:szCs w:val="24"/>
        </w:rPr>
        <w:t>4</w:t>
      </w:r>
      <w:r w:rsidRPr="00206C59">
        <w:rPr>
          <w:rFonts w:ascii="Times New Roman" w:hAnsi="Times New Roman" w:cs="Times New Roman"/>
          <w:sz w:val="24"/>
          <w:szCs w:val="24"/>
        </w:rPr>
        <w:t>). Such innovations align with regulatory and consumer demand for eco-conscious materials, ensuring nanotechnology advances support both performance and sustainability. Biodegradable nanomaterials thus provide a pathway toward environmentally responsible packaging that meets global food security and climate goals.</w:t>
      </w:r>
    </w:p>
    <w:p w14:paraId="09F2DA58" w14:textId="2547BA7C" w:rsidR="00206C59" w:rsidRDefault="00206C59" w:rsidP="00206C59">
      <w:pPr>
        <w:spacing w:line="360" w:lineRule="auto"/>
        <w:jc w:val="both"/>
        <w:rPr>
          <w:rFonts w:ascii="Times New Roman" w:hAnsi="Times New Roman" w:cs="Times New Roman"/>
          <w:b/>
          <w:bCs/>
          <w:sz w:val="24"/>
          <w:szCs w:val="24"/>
        </w:rPr>
      </w:pPr>
      <w:r w:rsidRPr="00206C59">
        <w:rPr>
          <w:rFonts w:ascii="Times New Roman" w:hAnsi="Times New Roman" w:cs="Times New Roman"/>
          <w:b/>
          <w:bCs/>
          <w:sz w:val="24"/>
          <w:szCs w:val="24"/>
        </w:rPr>
        <w:t>7. Challenges and Limitations</w:t>
      </w:r>
    </w:p>
    <w:p w14:paraId="0236991B" w14:textId="537D5356" w:rsidR="00206C59" w:rsidRPr="00206C59" w:rsidRDefault="00206C59" w:rsidP="00206C59">
      <w:pPr>
        <w:spacing w:line="360" w:lineRule="auto"/>
        <w:jc w:val="both"/>
        <w:rPr>
          <w:rFonts w:ascii="Times New Roman" w:hAnsi="Times New Roman" w:cs="Times New Roman"/>
          <w:b/>
          <w:bCs/>
          <w:sz w:val="24"/>
          <w:szCs w:val="24"/>
        </w:rPr>
      </w:pPr>
      <w:r w:rsidRPr="00206C59">
        <w:rPr>
          <w:rFonts w:ascii="Times New Roman" w:hAnsi="Times New Roman" w:cs="Times New Roman"/>
          <w:b/>
          <w:bCs/>
          <w:sz w:val="24"/>
          <w:szCs w:val="24"/>
        </w:rPr>
        <w:t>7.1 Technical Challenges</w:t>
      </w:r>
    </w:p>
    <w:p w14:paraId="2017FDA9" w14:textId="6863012A" w:rsidR="00206C59" w:rsidRPr="00206C59" w:rsidRDefault="00206C59" w:rsidP="00206C59">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Despite major progress, nanotechnology packaging faces technical hurdles limiting large-scale adoption. Key issues include achieving stable nanomaterial dispersion within polymers, as aggregation or agglomeration reduces performance and consistency (</w:t>
      </w:r>
      <w:r w:rsidR="00BC5DE6" w:rsidRPr="00C715C7">
        <w:rPr>
          <w:rFonts w:ascii="Times New Roman" w:hAnsi="Times New Roman" w:cs="Times New Roman"/>
          <w:sz w:val="24"/>
          <w:szCs w:val="24"/>
        </w:rPr>
        <w:t>Das</w:t>
      </w:r>
      <w:r w:rsidR="00BC5DE6">
        <w:rPr>
          <w:rFonts w:ascii="Times New Roman" w:hAnsi="Times New Roman" w:cs="Times New Roman"/>
          <w:sz w:val="24"/>
          <w:szCs w:val="24"/>
        </w:rPr>
        <w:t xml:space="preserve"> et al.</w:t>
      </w:r>
      <w:r w:rsidR="00BC5DE6" w:rsidRPr="00206C59">
        <w:rPr>
          <w:rFonts w:ascii="Times New Roman" w:hAnsi="Times New Roman" w:cs="Times New Roman"/>
          <w:sz w:val="24"/>
          <w:szCs w:val="24"/>
        </w:rPr>
        <w:t>, 202</w:t>
      </w:r>
      <w:r w:rsidR="00BC5DE6">
        <w:rPr>
          <w:rFonts w:ascii="Times New Roman" w:hAnsi="Times New Roman" w:cs="Times New Roman"/>
          <w:sz w:val="24"/>
          <w:szCs w:val="24"/>
        </w:rPr>
        <w:t>0</w:t>
      </w:r>
      <w:r w:rsidRPr="00206C59">
        <w:rPr>
          <w:rFonts w:ascii="Times New Roman" w:hAnsi="Times New Roman" w:cs="Times New Roman"/>
          <w:sz w:val="24"/>
          <w:szCs w:val="24"/>
        </w:rPr>
        <w:t>). Processing challenges arise from poor compatibility between nanomaterials and food-grade polymers, leading to phase separation and weakened mechanical properties (</w:t>
      </w:r>
      <w:proofErr w:type="spellStart"/>
      <w:r w:rsidR="000019C2" w:rsidRPr="0089426A">
        <w:rPr>
          <w:rFonts w:ascii="Times New Roman" w:hAnsi="Times New Roman" w:cs="Times New Roman"/>
          <w:sz w:val="24"/>
          <w:szCs w:val="24"/>
        </w:rPr>
        <w:t>Versino</w:t>
      </w:r>
      <w:proofErr w:type="spellEnd"/>
      <w:r w:rsidR="000019C2">
        <w:rPr>
          <w:rFonts w:ascii="Times New Roman" w:hAnsi="Times New Roman" w:cs="Times New Roman"/>
          <w:sz w:val="24"/>
          <w:szCs w:val="24"/>
        </w:rPr>
        <w:t xml:space="preserve"> et al.</w:t>
      </w:r>
      <w:r w:rsidRPr="00206C59">
        <w:rPr>
          <w:rFonts w:ascii="Times New Roman" w:hAnsi="Times New Roman" w:cs="Times New Roman"/>
          <w:sz w:val="24"/>
          <w:szCs w:val="24"/>
        </w:rPr>
        <w:t>, 202</w:t>
      </w:r>
      <w:r w:rsidR="000019C2">
        <w:rPr>
          <w:rFonts w:ascii="Times New Roman" w:hAnsi="Times New Roman" w:cs="Times New Roman"/>
          <w:sz w:val="24"/>
          <w:szCs w:val="24"/>
        </w:rPr>
        <w:t>3</w:t>
      </w:r>
      <w:r w:rsidRPr="00206C59">
        <w:rPr>
          <w:rFonts w:ascii="Times New Roman" w:hAnsi="Times New Roman" w:cs="Times New Roman"/>
          <w:sz w:val="24"/>
          <w:szCs w:val="24"/>
        </w:rPr>
        <w:t xml:space="preserve">). Advanced surface modification and processing strategies are being developed to </w:t>
      </w:r>
      <w:r w:rsidRPr="00206C59">
        <w:rPr>
          <w:rFonts w:ascii="Times New Roman" w:hAnsi="Times New Roman" w:cs="Times New Roman"/>
          <w:sz w:val="24"/>
          <w:szCs w:val="24"/>
        </w:rPr>
        <w:lastRenderedPageBreak/>
        <w:t>enhance interfacial adhesion and stability (</w:t>
      </w:r>
      <w:r w:rsidR="005244EA" w:rsidRPr="001C587A">
        <w:rPr>
          <w:rFonts w:ascii="Times New Roman" w:hAnsi="Times New Roman" w:cs="Times New Roman"/>
          <w:sz w:val="24"/>
          <w:szCs w:val="24"/>
        </w:rPr>
        <w:t>Beach</w:t>
      </w:r>
      <w:r w:rsidR="005244EA">
        <w:rPr>
          <w:rFonts w:ascii="Times New Roman" w:hAnsi="Times New Roman" w:cs="Times New Roman"/>
          <w:sz w:val="24"/>
          <w:szCs w:val="24"/>
        </w:rPr>
        <w:t xml:space="preserve"> et al.</w:t>
      </w:r>
      <w:r w:rsidRPr="00206C59">
        <w:rPr>
          <w:rFonts w:ascii="Times New Roman" w:hAnsi="Times New Roman" w:cs="Times New Roman"/>
          <w:sz w:val="24"/>
          <w:szCs w:val="24"/>
        </w:rPr>
        <w:t>, 202</w:t>
      </w:r>
      <w:r w:rsidR="005244EA">
        <w:rPr>
          <w:rFonts w:ascii="Times New Roman" w:hAnsi="Times New Roman" w:cs="Times New Roman"/>
          <w:sz w:val="24"/>
          <w:szCs w:val="24"/>
        </w:rPr>
        <w:t>4</w:t>
      </w:r>
      <w:r w:rsidRPr="00206C59">
        <w:rPr>
          <w:rFonts w:ascii="Times New Roman" w:hAnsi="Times New Roman" w:cs="Times New Roman"/>
          <w:sz w:val="24"/>
          <w:szCs w:val="24"/>
        </w:rPr>
        <w:t>). Another barrier lies in scaling laboratory successes to industrial production without compromising cost-effectiveness or quality (</w:t>
      </w:r>
      <w:proofErr w:type="spellStart"/>
      <w:r w:rsidR="00E317EE" w:rsidRPr="004A2E5A">
        <w:rPr>
          <w:rFonts w:ascii="Times New Roman" w:hAnsi="Times New Roman" w:cs="Times New Roman"/>
          <w:sz w:val="24"/>
          <w:szCs w:val="24"/>
        </w:rPr>
        <w:t>Cerqueira</w:t>
      </w:r>
      <w:proofErr w:type="spellEnd"/>
      <w:r w:rsidR="00E317EE">
        <w:rPr>
          <w:rFonts w:ascii="Times New Roman" w:hAnsi="Times New Roman" w:cs="Times New Roman"/>
          <w:sz w:val="24"/>
          <w:szCs w:val="24"/>
        </w:rPr>
        <w:t xml:space="preserve"> et al.</w:t>
      </w:r>
      <w:r w:rsidR="00E317EE" w:rsidRPr="00C45FE2">
        <w:rPr>
          <w:rFonts w:ascii="Times New Roman" w:hAnsi="Times New Roman" w:cs="Times New Roman"/>
          <w:sz w:val="24"/>
          <w:szCs w:val="24"/>
        </w:rPr>
        <w:t>, 20</w:t>
      </w:r>
      <w:r w:rsidR="00E317EE">
        <w:rPr>
          <w:rFonts w:ascii="Times New Roman" w:hAnsi="Times New Roman" w:cs="Times New Roman"/>
          <w:sz w:val="24"/>
          <w:szCs w:val="24"/>
        </w:rPr>
        <w:t>18</w:t>
      </w:r>
      <w:r w:rsidRPr="00206C59">
        <w:rPr>
          <w:rFonts w:ascii="Times New Roman" w:hAnsi="Times New Roman" w:cs="Times New Roman"/>
          <w:sz w:val="24"/>
          <w:szCs w:val="24"/>
        </w:rPr>
        <w:t>). These technical challenges highlight the need for optimized nanomaterial design, better polymer integration, and scalable processing technologies to ensure reliable, efficient, and commercially viable nanotechnology-based food packaging solutions.</w:t>
      </w:r>
    </w:p>
    <w:p w14:paraId="31D8D9F0" w14:textId="507B8C3A" w:rsidR="00206C59" w:rsidRPr="00206C59" w:rsidRDefault="00206C59" w:rsidP="00206C59">
      <w:pPr>
        <w:spacing w:line="360" w:lineRule="auto"/>
        <w:jc w:val="both"/>
        <w:rPr>
          <w:rFonts w:ascii="Times New Roman" w:hAnsi="Times New Roman" w:cs="Times New Roman"/>
          <w:b/>
          <w:bCs/>
          <w:sz w:val="24"/>
          <w:szCs w:val="24"/>
        </w:rPr>
      </w:pPr>
      <w:r w:rsidRPr="00206C59">
        <w:rPr>
          <w:rFonts w:ascii="Times New Roman" w:hAnsi="Times New Roman" w:cs="Times New Roman"/>
          <w:b/>
          <w:bCs/>
          <w:sz w:val="24"/>
          <w:szCs w:val="24"/>
        </w:rPr>
        <w:t>7.</w:t>
      </w:r>
      <w:r>
        <w:rPr>
          <w:rFonts w:ascii="Times New Roman" w:hAnsi="Times New Roman" w:cs="Times New Roman"/>
          <w:b/>
          <w:bCs/>
          <w:sz w:val="24"/>
          <w:szCs w:val="24"/>
        </w:rPr>
        <w:t>2</w:t>
      </w:r>
      <w:r w:rsidRPr="00206C59">
        <w:rPr>
          <w:rFonts w:ascii="Times New Roman" w:hAnsi="Times New Roman" w:cs="Times New Roman"/>
          <w:b/>
          <w:bCs/>
          <w:sz w:val="24"/>
          <w:szCs w:val="24"/>
        </w:rPr>
        <w:t xml:space="preserve"> Regulatory and Social Challenges</w:t>
      </w:r>
    </w:p>
    <w:p w14:paraId="1DA04E72" w14:textId="741C1AB0" w:rsidR="00724F67" w:rsidRPr="00724F67" w:rsidRDefault="00206C59" w:rsidP="00724F67">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Nanotechnology packaging adoption is constrained by regulatory uncertainty and social acceptance (Kumar &amp; Singh, 2024). Regulatory standards vary internationally, complicating commercialization and global trade. Harmonized frameworks and standardized testing protocols are essential for consistent approval processes (</w:t>
      </w:r>
      <w:r w:rsidR="00EE0016" w:rsidRPr="00253270">
        <w:rPr>
          <w:rFonts w:ascii="Times New Roman" w:hAnsi="Times New Roman" w:cs="Times New Roman"/>
          <w:sz w:val="24"/>
          <w:szCs w:val="24"/>
        </w:rPr>
        <w:t>Marchant</w:t>
      </w:r>
      <w:r w:rsidR="00EE0016">
        <w:rPr>
          <w:rFonts w:ascii="Times New Roman" w:hAnsi="Times New Roman" w:cs="Times New Roman"/>
          <w:sz w:val="24"/>
          <w:szCs w:val="24"/>
        </w:rPr>
        <w:t xml:space="preserve"> et al.</w:t>
      </w:r>
      <w:r w:rsidR="00EE0016" w:rsidRPr="00206C59">
        <w:rPr>
          <w:rFonts w:ascii="Times New Roman" w:hAnsi="Times New Roman" w:cs="Times New Roman"/>
          <w:sz w:val="24"/>
          <w:szCs w:val="24"/>
        </w:rPr>
        <w:t>, 20</w:t>
      </w:r>
      <w:r w:rsidR="00EE0016">
        <w:rPr>
          <w:rFonts w:ascii="Times New Roman" w:hAnsi="Times New Roman" w:cs="Times New Roman"/>
          <w:sz w:val="24"/>
          <w:szCs w:val="24"/>
        </w:rPr>
        <w:t>10</w:t>
      </w:r>
      <w:r w:rsidRPr="00206C59">
        <w:rPr>
          <w:rFonts w:ascii="Times New Roman" w:hAnsi="Times New Roman" w:cs="Times New Roman"/>
          <w:sz w:val="24"/>
          <w:szCs w:val="24"/>
        </w:rPr>
        <w:t xml:space="preserve">). Public perception presents another challenge, as consumers express concerns about safety, naturalness, and environmental risks. Building trust requires transparency in safety assessments, effective risk communication, and clear </w:t>
      </w:r>
      <w:proofErr w:type="spellStart"/>
      <w:r w:rsidRPr="00206C59">
        <w:rPr>
          <w:rFonts w:ascii="Times New Roman" w:hAnsi="Times New Roman" w:cs="Times New Roman"/>
          <w:sz w:val="24"/>
          <w:szCs w:val="24"/>
        </w:rPr>
        <w:t>labeling</w:t>
      </w:r>
      <w:proofErr w:type="spellEnd"/>
      <w:r w:rsidRPr="00206C59">
        <w:rPr>
          <w:rFonts w:ascii="Times New Roman" w:hAnsi="Times New Roman" w:cs="Times New Roman"/>
          <w:sz w:val="24"/>
          <w:szCs w:val="24"/>
        </w:rPr>
        <w:t xml:space="preserve"> practices (</w:t>
      </w:r>
      <w:r w:rsidR="00BC5DE6" w:rsidRPr="00C715C7">
        <w:rPr>
          <w:rFonts w:ascii="Times New Roman" w:hAnsi="Times New Roman" w:cs="Times New Roman"/>
          <w:sz w:val="24"/>
          <w:szCs w:val="24"/>
        </w:rPr>
        <w:t>Das</w:t>
      </w:r>
      <w:r w:rsidR="00BC5DE6">
        <w:rPr>
          <w:rFonts w:ascii="Times New Roman" w:hAnsi="Times New Roman" w:cs="Times New Roman"/>
          <w:sz w:val="24"/>
          <w:szCs w:val="24"/>
        </w:rPr>
        <w:t xml:space="preserve"> et al.</w:t>
      </w:r>
      <w:r w:rsidR="00BC5DE6" w:rsidRPr="00206C59">
        <w:rPr>
          <w:rFonts w:ascii="Times New Roman" w:hAnsi="Times New Roman" w:cs="Times New Roman"/>
          <w:sz w:val="24"/>
          <w:szCs w:val="24"/>
        </w:rPr>
        <w:t>, 202</w:t>
      </w:r>
      <w:r w:rsidR="00BC5DE6">
        <w:rPr>
          <w:rFonts w:ascii="Times New Roman" w:hAnsi="Times New Roman" w:cs="Times New Roman"/>
          <w:sz w:val="24"/>
          <w:szCs w:val="24"/>
        </w:rPr>
        <w:t>0</w:t>
      </w:r>
      <w:r w:rsidRPr="00206C59">
        <w:rPr>
          <w:rFonts w:ascii="Times New Roman" w:hAnsi="Times New Roman" w:cs="Times New Roman"/>
          <w:sz w:val="24"/>
          <w:szCs w:val="24"/>
        </w:rPr>
        <w:t>). Ethical considerations, including consumer choice and equitable access to advanced packaging, further shape societal responses. Additionally, long-term environmental impacts of nanomaterials remain insufficiently studied, requiring ongoing monitoring to ensure sustainable deployment. Addressing these regulatory and social barriers is critical for achieving safe, equitable, and widely accepted use of nanotechnology in food packaging.</w:t>
      </w:r>
    </w:p>
    <w:p w14:paraId="29EE33F2" w14:textId="77777777" w:rsidR="00724F67" w:rsidRPr="00724F67" w:rsidRDefault="00724F67" w:rsidP="00724F67">
      <w:pPr>
        <w:spacing w:line="360" w:lineRule="auto"/>
        <w:jc w:val="both"/>
        <w:rPr>
          <w:rFonts w:ascii="Times New Roman" w:hAnsi="Times New Roman" w:cs="Times New Roman"/>
          <w:b/>
          <w:bCs/>
          <w:sz w:val="24"/>
          <w:szCs w:val="24"/>
        </w:rPr>
      </w:pPr>
      <w:r w:rsidRPr="00724F67">
        <w:rPr>
          <w:rFonts w:ascii="Times New Roman" w:hAnsi="Times New Roman" w:cs="Times New Roman"/>
          <w:b/>
          <w:bCs/>
          <w:sz w:val="24"/>
          <w:szCs w:val="24"/>
        </w:rPr>
        <w:t>8. Conclusion</w:t>
      </w:r>
    </w:p>
    <w:p w14:paraId="2035E181" w14:textId="4EBF9732" w:rsidR="00724F67" w:rsidRDefault="00206C59" w:rsidP="00724F67">
      <w:pPr>
        <w:spacing w:line="360" w:lineRule="auto"/>
        <w:jc w:val="both"/>
        <w:rPr>
          <w:rFonts w:ascii="Times New Roman" w:hAnsi="Times New Roman" w:cs="Times New Roman"/>
          <w:sz w:val="24"/>
          <w:szCs w:val="24"/>
        </w:rPr>
      </w:pPr>
      <w:r w:rsidRPr="00206C59">
        <w:rPr>
          <w:rFonts w:ascii="Times New Roman" w:hAnsi="Times New Roman" w:cs="Times New Roman"/>
          <w:sz w:val="24"/>
          <w:szCs w:val="24"/>
        </w:rPr>
        <w:t xml:space="preserve">Nanotechnology is reshaping food packaging by enhancing preservation, safety, and shelf life. This review highlighted key nanomaterials and their diverse roles: silver nanoparticles for antimicrobial protection, zinc oxide with GRAS status for consumer-friendly use, and graphene-based materials for superior barrier properties. Emerging smart packaging further enables real-time monitoring of food quality. Market forecasts project the sector to reach $63.4 billion by 2034, driven by rising consumer demand for safety, sustainability, and extended freshness. While commercialization has advanced, critical challenges persist. Safety evaluations, migration studies, and toxicological testing remain essential for consumer protection. Regulatory inconsistencies across regions hinder global adoption, underscoring the need for harmonized frameworks. Economic barriers, including high production costs, must be mitigated through innovation and scalability. Looking forward, integrating sustainable nanomaterials, AI-driven smart systems, and nanoencapsulation technologies promises </w:t>
      </w:r>
      <w:r w:rsidRPr="00206C59">
        <w:rPr>
          <w:rFonts w:ascii="Times New Roman" w:hAnsi="Times New Roman" w:cs="Times New Roman"/>
          <w:sz w:val="24"/>
          <w:szCs w:val="24"/>
        </w:rPr>
        <w:lastRenderedPageBreak/>
        <w:t>transformative solutions for future food packaging that balance performance, safety, and environmental responsibility.</w:t>
      </w:r>
    </w:p>
    <w:p w14:paraId="4071A6DA" w14:textId="77777777" w:rsidR="00C45FE2" w:rsidRPr="0015650C" w:rsidRDefault="00C45FE2" w:rsidP="00C45FE2">
      <w:pPr>
        <w:rPr>
          <w:rFonts w:ascii="Times New Roman" w:hAnsi="Times New Roman" w:cs="Times New Roman"/>
          <w:b/>
          <w:bCs/>
          <w:sz w:val="24"/>
          <w:szCs w:val="24"/>
        </w:rPr>
      </w:pPr>
      <w:r w:rsidRPr="0015650C">
        <w:rPr>
          <w:rFonts w:ascii="Times New Roman" w:hAnsi="Times New Roman" w:cs="Times New Roman"/>
          <w:b/>
          <w:bCs/>
          <w:sz w:val="24"/>
          <w:szCs w:val="24"/>
        </w:rPr>
        <w:t>DISCLAIMER (ARTIFICIAL INTELLIGENCE)</w:t>
      </w:r>
    </w:p>
    <w:p w14:paraId="631AD97A" w14:textId="77777777" w:rsidR="00C45FE2" w:rsidRPr="0015650C" w:rsidRDefault="00C45FE2" w:rsidP="00C45FE2">
      <w:pPr>
        <w:rPr>
          <w:rFonts w:ascii="Times New Roman" w:hAnsi="Times New Roman" w:cs="Times New Roman"/>
          <w:sz w:val="24"/>
          <w:szCs w:val="24"/>
        </w:rPr>
      </w:pPr>
      <w:r w:rsidRPr="0015650C">
        <w:rPr>
          <w:rFonts w:ascii="Times New Roman" w:hAnsi="Times New Roman" w:cs="Times New Roman"/>
          <w:sz w:val="24"/>
          <w:szCs w:val="24"/>
        </w:rPr>
        <w:t>Author(s) hereby declare that NO generative AI technologies such as Large Language Models (</w:t>
      </w:r>
      <w:proofErr w:type="spellStart"/>
      <w:r w:rsidRPr="0015650C">
        <w:rPr>
          <w:rFonts w:ascii="Times New Roman" w:hAnsi="Times New Roman" w:cs="Times New Roman"/>
          <w:sz w:val="24"/>
          <w:szCs w:val="24"/>
        </w:rPr>
        <w:t>ChatGPT</w:t>
      </w:r>
      <w:proofErr w:type="spellEnd"/>
      <w:r w:rsidRPr="0015650C">
        <w:rPr>
          <w:rFonts w:ascii="Times New Roman" w:hAnsi="Times New Roman" w:cs="Times New Roman"/>
          <w:sz w:val="24"/>
          <w:szCs w:val="24"/>
        </w:rPr>
        <w:t xml:space="preserve">, COPILOT, etc) and text-to-image generators have been used during writing or editing of this manuscript. </w:t>
      </w:r>
    </w:p>
    <w:p w14:paraId="181606D2" w14:textId="77777777" w:rsidR="00C45FE2" w:rsidRPr="0015650C" w:rsidRDefault="00C45FE2" w:rsidP="00C45FE2">
      <w:pPr>
        <w:rPr>
          <w:rFonts w:ascii="Times New Roman" w:hAnsi="Times New Roman" w:cs="Times New Roman"/>
          <w:b/>
          <w:bCs/>
          <w:sz w:val="24"/>
          <w:szCs w:val="24"/>
        </w:rPr>
      </w:pPr>
      <w:r w:rsidRPr="0015650C">
        <w:rPr>
          <w:rFonts w:ascii="Times New Roman" w:hAnsi="Times New Roman" w:cs="Times New Roman"/>
          <w:b/>
          <w:bCs/>
          <w:sz w:val="24"/>
          <w:szCs w:val="24"/>
        </w:rPr>
        <w:t>COMPETING INTERESTS</w:t>
      </w:r>
    </w:p>
    <w:p w14:paraId="007B6044" w14:textId="5BA46A4A" w:rsidR="00C45FE2" w:rsidRPr="00724F67" w:rsidRDefault="00C45FE2" w:rsidP="00C45FE2">
      <w:pPr>
        <w:rPr>
          <w:rFonts w:ascii="Times New Roman" w:hAnsi="Times New Roman" w:cs="Times New Roman"/>
          <w:sz w:val="24"/>
          <w:szCs w:val="24"/>
        </w:rPr>
      </w:pPr>
      <w:r w:rsidRPr="0015650C">
        <w:rPr>
          <w:rFonts w:ascii="Times New Roman" w:hAnsi="Times New Roman" w:cs="Times New Roman"/>
          <w:sz w:val="24"/>
          <w:szCs w:val="24"/>
        </w:rPr>
        <w:t>Authors have declared that no competing interests exist.</w:t>
      </w:r>
    </w:p>
    <w:p w14:paraId="39D524F4" w14:textId="32878B15" w:rsidR="007A1526" w:rsidRDefault="006A1B83" w:rsidP="00206C5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41978310"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Ahari</w:t>
      </w:r>
      <w:proofErr w:type="spellEnd"/>
      <w:r w:rsidRPr="00D02080">
        <w:rPr>
          <w:rFonts w:ascii="Times New Roman" w:hAnsi="Times New Roman" w:cs="Times New Roman"/>
          <w:color w:val="000000" w:themeColor="text1"/>
          <w:sz w:val="24"/>
          <w:szCs w:val="24"/>
        </w:rPr>
        <w:t xml:space="preserve">, H., &amp; </w:t>
      </w:r>
      <w:proofErr w:type="spellStart"/>
      <w:r w:rsidRPr="00D02080">
        <w:rPr>
          <w:rFonts w:ascii="Times New Roman" w:hAnsi="Times New Roman" w:cs="Times New Roman"/>
          <w:color w:val="000000" w:themeColor="text1"/>
          <w:sz w:val="24"/>
          <w:szCs w:val="24"/>
        </w:rPr>
        <w:t>Lahijani</w:t>
      </w:r>
      <w:proofErr w:type="spellEnd"/>
      <w:r w:rsidRPr="00D02080">
        <w:rPr>
          <w:rFonts w:ascii="Times New Roman" w:hAnsi="Times New Roman" w:cs="Times New Roman"/>
          <w:color w:val="000000" w:themeColor="text1"/>
          <w:sz w:val="24"/>
          <w:szCs w:val="24"/>
        </w:rPr>
        <w:t>, L. K. (2021). Migration of Silver and Copper Nanoparticles from Food Coating. </w:t>
      </w:r>
      <w:r w:rsidRPr="00D02080">
        <w:rPr>
          <w:rFonts w:ascii="Times New Roman" w:hAnsi="Times New Roman" w:cs="Times New Roman"/>
          <w:i/>
          <w:iCs/>
          <w:color w:val="000000" w:themeColor="text1"/>
          <w:sz w:val="24"/>
          <w:szCs w:val="24"/>
        </w:rPr>
        <w:t>Coatings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11</w:t>
      </w:r>
      <w:r w:rsidRPr="00D02080">
        <w:rPr>
          <w:rFonts w:ascii="Times New Roman" w:hAnsi="Times New Roman" w:cs="Times New Roman"/>
          <w:color w:val="000000" w:themeColor="text1"/>
          <w:sz w:val="24"/>
          <w:szCs w:val="24"/>
        </w:rPr>
        <w:t>(4), 380. </w:t>
      </w:r>
      <w:hyperlink r:id="rId7" w:history="1">
        <w:r w:rsidRPr="00D02080">
          <w:rPr>
            <w:rStyle w:val="Hyperlink"/>
            <w:rFonts w:ascii="Times New Roman" w:hAnsi="Times New Roman" w:cs="Times New Roman"/>
            <w:color w:val="000000" w:themeColor="text1"/>
            <w:sz w:val="24"/>
            <w:szCs w:val="24"/>
          </w:rPr>
          <w:t>https://doi.org/10.3390/coatings11040380</w:t>
        </w:r>
      </w:hyperlink>
    </w:p>
    <w:p w14:paraId="6C8BC378"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Ahmed, J. (2019). Use of Graphene/Graphene oxide in food packaging materials: thermomechanical, structural and barrier properties. In </w:t>
      </w:r>
      <w:r w:rsidRPr="00D02080">
        <w:rPr>
          <w:rFonts w:ascii="Times New Roman" w:hAnsi="Times New Roman" w:cs="Times New Roman"/>
          <w:i/>
          <w:iCs/>
          <w:color w:val="000000" w:themeColor="text1"/>
          <w:sz w:val="24"/>
          <w:szCs w:val="24"/>
        </w:rPr>
        <w:t>Elsevier eBooks</w:t>
      </w:r>
      <w:r w:rsidRPr="00D02080">
        <w:rPr>
          <w:rFonts w:ascii="Times New Roman" w:hAnsi="Times New Roman" w:cs="Times New Roman"/>
          <w:color w:val="000000" w:themeColor="text1"/>
          <w:sz w:val="24"/>
          <w:szCs w:val="24"/>
        </w:rPr>
        <w:t>. </w:t>
      </w:r>
      <w:hyperlink r:id="rId8" w:history="1">
        <w:r w:rsidRPr="00D02080">
          <w:rPr>
            <w:rStyle w:val="Hyperlink"/>
            <w:rFonts w:ascii="Times New Roman" w:hAnsi="Times New Roman" w:cs="Times New Roman"/>
            <w:color w:val="000000" w:themeColor="text1"/>
            <w:sz w:val="24"/>
            <w:szCs w:val="24"/>
          </w:rPr>
          <w:t>https://doi.org/10.1016/b978-0-08-100596-5.22499-2</w:t>
        </w:r>
      </w:hyperlink>
    </w:p>
    <w:p w14:paraId="48D6B772"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Ali, A. M. M., Jabir, S. M., </w:t>
      </w:r>
      <w:proofErr w:type="spellStart"/>
      <w:r w:rsidRPr="00D02080">
        <w:rPr>
          <w:rFonts w:ascii="Times New Roman" w:hAnsi="Times New Roman" w:cs="Times New Roman"/>
          <w:color w:val="000000" w:themeColor="text1"/>
          <w:sz w:val="24"/>
          <w:szCs w:val="24"/>
        </w:rPr>
        <w:t>Kadhim</w:t>
      </w:r>
      <w:proofErr w:type="spellEnd"/>
      <w:r w:rsidRPr="00D02080">
        <w:rPr>
          <w:rFonts w:ascii="Times New Roman" w:hAnsi="Times New Roman" w:cs="Times New Roman"/>
          <w:color w:val="000000" w:themeColor="text1"/>
          <w:sz w:val="24"/>
          <w:szCs w:val="24"/>
        </w:rPr>
        <w:t xml:space="preserve">, A. A., &amp; </w:t>
      </w:r>
      <w:proofErr w:type="spellStart"/>
      <w:r w:rsidRPr="00D02080">
        <w:rPr>
          <w:rFonts w:ascii="Times New Roman" w:hAnsi="Times New Roman" w:cs="Times New Roman"/>
          <w:color w:val="000000" w:themeColor="text1"/>
          <w:sz w:val="24"/>
          <w:szCs w:val="24"/>
        </w:rPr>
        <w:t>Almagtome</w:t>
      </w:r>
      <w:proofErr w:type="spellEnd"/>
      <w:r w:rsidRPr="00D02080">
        <w:rPr>
          <w:rFonts w:ascii="Times New Roman" w:hAnsi="Times New Roman" w:cs="Times New Roman"/>
          <w:color w:val="000000" w:themeColor="text1"/>
          <w:sz w:val="24"/>
          <w:szCs w:val="24"/>
        </w:rPr>
        <w:t>, A. (2022). Nanotechnology Practices and Cost Restructure for Effective Cost Management under Industry 4.0 Based Manufacturing Systems. </w:t>
      </w:r>
      <w:r w:rsidRPr="00D02080">
        <w:rPr>
          <w:rFonts w:ascii="Times New Roman" w:hAnsi="Times New Roman" w:cs="Times New Roman"/>
          <w:i/>
          <w:iCs/>
          <w:color w:val="000000" w:themeColor="text1"/>
          <w:sz w:val="24"/>
          <w:szCs w:val="24"/>
        </w:rPr>
        <w:t>TEM Journal</w:t>
      </w:r>
      <w:r w:rsidRPr="00D02080">
        <w:rPr>
          <w:rFonts w:ascii="Times New Roman" w:hAnsi="Times New Roman" w:cs="Times New Roman"/>
          <w:color w:val="000000" w:themeColor="text1"/>
          <w:sz w:val="24"/>
          <w:szCs w:val="24"/>
        </w:rPr>
        <w:t>, 1193–1199. </w:t>
      </w:r>
      <w:hyperlink r:id="rId9" w:history="1">
        <w:r w:rsidRPr="00D02080">
          <w:rPr>
            <w:rStyle w:val="Hyperlink"/>
            <w:rFonts w:ascii="Times New Roman" w:hAnsi="Times New Roman" w:cs="Times New Roman"/>
            <w:color w:val="000000" w:themeColor="text1"/>
            <w:sz w:val="24"/>
            <w:szCs w:val="24"/>
          </w:rPr>
          <w:t>https://doi.org/10.18421/tem113-26</w:t>
        </w:r>
      </w:hyperlink>
    </w:p>
    <w:p w14:paraId="70487D22"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Allan, J., </w:t>
      </w:r>
      <w:proofErr w:type="spellStart"/>
      <w:r w:rsidRPr="00D02080">
        <w:rPr>
          <w:rFonts w:ascii="Times New Roman" w:hAnsi="Times New Roman" w:cs="Times New Roman"/>
          <w:color w:val="000000" w:themeColor="text1"/>
          <w:sz w:val="24"/>
          <w:szCs w:val="24"/>
        </w:rPr>
        <w:t>Belz</w:t>
      </w:r>
      <w:proofErr w:type="spellEnd"/>
      <w:r w:rsidRPr="00D02080">
        <w:rPr>
          <w:rFonts w:ascii="Times New Roman" w:hAnsi="Times New Roman" w:cs="Times New Roman"/>
          <w:color w:val="000000" w:themeColor="text1"/>
          <w:sz w:val="24"/>
          <w:szCs w:val="24"/>
        </w:rPr>
        <w:t xml:space="preserve">, S., </w:t>
      </w:r>
      <w:proofErr w:type="spellStart"/>
      <w:r w:rsidRPr="00D02080">
        <w:rPr>
          <w:rFonts w:ascii="Times New Roman" w:hAnsi="Times New Roman" w:cs="Times New Roman"/>
          <w:color w:val="000000" w:themeColor="text1"/>
          <w:sz w:val="24"/>
          <w:szCs w:val="24"/>
        </w:rPr>
        <w:t>Hoeveler</w:t>
      </w:r>
      <w:proofErr w:type="spellEnd"/>
      <w:r w:rsidRPr="00D02080">
        <w:rPr>
          <w:rFonts w:ascii="Times New Roman" w:hAnsi="Times New Roman" w:cs="Times New Roman"/>
          <w:color w:val="000000" w:themeColor="text1"/>
          <w:sz w:val="24"/>
          <w:szCs w:val="24"/>
        </w:rPr>
        <w:t xml:space="preserve">, A., </w:t>
      </w:r>
      <w:proofErr w:type="spellStart"/>
      <w:r w:rsidRPr="00D02080">
        <w:rPr>
          <w:rFonts w:ascii="Times New Roman" w:hAnsi="Times New Roman" w:cs="Times New Roman"/>
          <w:color w:val="000000" w:themeColor="text1"/>
          <w:sz w:val="24"/>
          <w:szCs w:val="24"/>
        </w:rPr>
        <w:t>Hugas</w:t>
      </w:r>
      <w:proofErr w:type="spellEnd"/>
      <w:r w:rsidRPr="00D02080">
        <w:rPr>
          <w:rFonts w:ascii="Times New Roman" w:hAnsi="Times New Roman" w:cs="Times New Roman"/>
          <w:color w:val="000000" w:themeColor="text1"/>
          <w:sz w:val="24"/>
          <w:szCs w:val="24"/>
        </w:rPr>
        <w:t xml:space="preserve">, M., Okuda, H., Patri, A., Rauscher, H., Silva, P., </w:t>
      </w:r>
      <w:proofErr w:type="spellStart"/>
      <w:r w:rsidRPr="00D02080">
        <w:rPr>
          <w:rFonts w:ascii="Times New Roman" w:hAnsi="Times New Roman" w:cs="Times New Roman"/>
          <w:color w:val="000000" w:themeColor="text1"/>
          <w:sz w:val="24"/>
          <w:szCs w:val="24"/>
        </w:rPr>
        <w:t>Slikker</w:t>
      </w:r>
      <w:proofErr w:type="spellEnd"/>
      <w:r w:rsidRPr="00D02080">
        <w:rPr>
          <w:rFonts w:ascii="Times New Roman" w:hAnsi="Times New Roman" w:cs="Times New Roman"/>
          <w:color w:val="000000" w:themeColor="text1"/>
          <w:sz w:val="24"/>
          <w:szCs w:val="24"/>
        </w:rPr>
        <w:t xml:space="preserve">, W., </w:t>
      </w:r>
      <w:proofErr w:type="spellStart"/>
      <w:r w:rsidRPr="00D02080">
        <w:rPr>
          <w:rFonts w:ascii="Times New Roman" w:hAnsi="Times New Roman" w:cs="Times New Roman"/>
          <w:color w:val="000000" w:themeColor="text1"/>
          <w:sz w:val="24"/>
          <w:szCs w:val="24"/>
        </w:rPr>
        <w:t>Sokull-Kluettgen</w:t>
      </w:r>
      <w:proofErr w:type="spellEnd"/>
      <w:r w:rsidRPr="00D02080">
        <w:rPr>
          <w:rFonts w:ascii="Times New Roman" w:hAnsi="Times New Roman" w:cs="Times New Roman"/>
          <w:color w:val="000000" w:themeColor="text1"/>
          <w:sz w:val="24"/>
          <w:szCs w:val="24"/>
        </w:rPr>
        <w:t xml:space="preserve">, B., Tong, W., &amp; </w:t>
      </w:r>
      <w:proofErr w:type="spellStart"/>
      <w:r w:rsidRPr="00D02080">
        <w:rPr>
          <w:rFonts w:ascii="Times New Roman" w:hAnsi="Times New Roman" w:cs="Times New Roman"/>
          <w:color w:val="000000" w:themeColor="text1"/>
          <w:sz w:val="24"/>
          <w:szCs w:val="24"/>
        </w:rPr>
        <w:t>Anklam</w:t>
      </w:r>
      <w:proofErr w:type="spellEnd"/>
      <w:r w:rsidRPr="00D02080">
        <w:rPr>
          <w:rFonts w:ascii="Times New Roman" w:hAnsi="Times New Roman" w:cs="Times New Roman"/>
          <w:color w:val="000000" w:themeColor="text1"/>
          <w:sz w:val="24"/>
          <w:szCs w:val="24"/>
        </w:rPr>
        <w:t xml:space="preserve">, E. (2021). Regulatory landscape of nanotechnology and </w:t>
      </w:r>
      <w:proofErr w:type="spellStart"/>
      <w:r w:rsidRPr="00D02080">
        <w:rPr>
          <w:rFonts w:ascii="Times New Roman" w:hAnsi="Times New Roman" w:cs="Times New Roman"/>
          <w:color w:val="000000" w:themeColor="text1"/>
          <w:sz w:val="24"/>
          <w:szCs w:val="24"/>
        </w:rPr>
        <w:t>nanoplastics</w:t>
      </w:r>
      <w:proofErr w:type="spellEnd"/>
      <w:r w:rsidRPr="00D02080">
        <w:rPr>
          <w:rFonts w:ascii="Times New Roman" w:hAnsi="Times New Roman" w:cs="Times New Roman"/>
          <w:color w:val="000000" w:themeColor="text1"/>
          <w:sz w:val="24"/>
          <w:szCs w:val="24"/>
        </w:rPr>
        <w:t xml:space="preserve"> from a global perspective. </w:t>
      </w:r>
      <w:r w:rsidRPr="00D02080">
        <w:rPr>
          <w:rFonts w:ascii="Times New Roman" w:hAnsi="Times New Roman" w:cs="Times New Roman"/>
          <w:i/>
          <w:iCs/>
          <w:color w:val="000000" w:themeColor="text1"/>
          <w:sz w:val="24"/>
          <w:szCs w:val="24"/>
        </w:rPr>
        <w:t>Regulatory Toxicology and Pharmacology</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122</w:t>
      </w:r>
      <w:r w:rsidRPr="00D02080">
        <w:rPr>
          <w:rFonts w:ascii="Times New Roman" w:hAnsi="Times New Roman" w:cs="Times New Roman"/>
          <w:color w:val="000000" w:themeColor="text1"/>
          <w:sz w:val="24"/>
          <w:szCs w:val="24"/>
        </w:rPr>
        <w:t>, 104885. </w:t>
      </w:r>
      <w:hyperlink r:id="rId10" w:history="1">
        <w:r w:rsidRPr="00D02080">
          <w:rPr>
            <w:rStyle w:val="Hyperlink"/>
            <w:rFonts w:ascii="Times New Roman" w:hAnsi="Times New Roman" w:cs="Times New Roman"/>
            <w:color w:val="000000" w:themeColor="text1"/>
            <w:sz w:val="24"/>
            <w:szCs w:val="24"/>
          </w:rPr>
          <w:t>https://doi.org/10.1016/j.yrtph.2021.104885</w:t>
        </w:r>
      </w:hyperlink>
    </w:p>
    <w:p w14:paraId="27F570B2"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Ashfaq, A., Khursheed, N., Fatima, S., Anjum, Z., &amp; Younis, K. (2022). Application of nanotechnology in food packaging: Pros and Cons. </w:t>
      </w:r>
      <w:r w:rsidRPr="00D02080">
        <w:rPr>
          <w:rFonts w:ascii="Times New Roman" w:hAnsi="Times New Roman" w:cs="Times New Roman"/>
          <w:i/>
          <w:iCs/>
          <w:color w:val="000000" w:themeColor="text1"/>
          <w:sz w:val="24"/>
          <w:szCs w:val="24"/>
        </w:rPr>
        <w:t>Journal of Agriculture and Food Research</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7</w:t>
      </w:r>
      <w:r w:rsidRPr="00D02080">
        <w:rPr>
          <w:rFonts w:ascii="Times New Roman" w:hAnsi="Times New Roman" w:cs="Times New Roman"/>
          <w:color w:val="000000" w:themeColor="text1"/>
          <w:sz w:val="24"/>
          <w:szCs w:val="24"/>
        </w:rPr>
        <w:t>, 100270. </w:t>
      </w:r>
      <w:hyperlink r:id="rId11" w:history="1">
        <w:r w:rsidRPr="00D02080">
          <w:rPr>
            <w:rStyle w:val="Hyperlink"/>
            <w:rFonts w:ascii="Times New Roman" w:hAnsi="Times New Roman" w:cs="Times New Roman"/>
            <w:color w:val="000000" w:themeColor="text1"/>
            <w:sz w:val="24"/>
            <w:szCs w:val="24"/>
          </w:rPr>
          <w:t>https://doi.org/10.1016/j.jafr.2022.100270</w:t>
        </w:r>
      </w:hyperlink>
    </w:p>
    <w:p w14:paraId="0DF13382"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Azeredo</w:t>
      </w:r>
      <w:proofErr w:type="spellEnd"/>
      <w:r w:rsidRPr="00D02080">
        <w:rPr>
          <w:rFonts w:ascii="Times New Roman" w:hAnsi="Times New Roman" w:cs="Times New Roman"/>
          <w:color w:val="000000" w:themeColor="text1"/>
          <w:sz w:val="24"/>
          <w:szCs w:val="24"/>
        </w:rPr>
        <w:t xml:space="preserve">, H. M. C., </w:t>
      </w:r>
      <w:proofErr w:type="spellStart"/>
      <w:r w:rsidRPr="00D02080">
        <w:rPr>
          <w:rFonts w:ascii="Times New Roman" w:hAnsi="Times New Roman" w:cs="Times New Roman"/>
          <w:color w:val="000000" w:themeColor="text1"/>
          <w:sz w:val="24"/>
          <w:szCs w:val="24"/>
        </w:rPr>
        <w:t>Mattoso</w:t>
      </w:r>
      <w:proofErr w:type="spellEnd"/>
      <w:r w:rsidRPr="00D02080">
        <w:rPr>
          <w:rFonts w:ascii="Times New Roman" w:hAnsi="Times New Roman" w:cs="Times New Roman"/>
          <w:color w:val="000000" w:themeColor="text1"/>
          <w:sz w:val="24"/>
          <w:szCs w:val="24"/>
        </w:rPr>
        <w:t>, L. H. C., &amp; McHugh, T. H. (2021). Smart choices: Mechanisms of intelligent food packaging. *Food Research International*, 144, 110366.</w:t>
      </w:r>
    </w:p>
    <w:p w14:paraId="7951C9B4"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Barage</w:t>
      </w:r>
      <w:proofErr w:type="spellEnd"/>
      <w:r w:rsidRPr="00D02080">
        <w:rPr>
          <w:rFonts w:ascii="Times New Roman" w:hAnsi="Times New Roman" w:cs="Times New Roman"/>
          <w:color w:val="000000" w:themeColor="text1"/>
          <w:sz w:val="24"/>
          <w:szCs w:val="24"/>
        </w:rPr>
        <w:t xml:space="preserve">, S., </w:t>
      </w:r>
      <w:proofErr w:type="spellStart"/>
      <w:r w:rsidRPr="00D02080">
        <w:rPr>
          <w:rFonts w:ascii="Times New Roman" w:hAnsi="Times New Roman" w:cs="Times New Roman"/>
          <w:color w:val="000000" w:themeColor="text1"/>
          <w:sz w:val="24"/>
          <w:szCs w:val="24"/>
        </w:rPr>
        <w:t>Lakkakula</w:t>
      </w:r>
      <w:proofErr w:type="spellEnd"/>
      <w:r w:rsidRPr="00D02080">
        <w:rPr>
          <w:rFonts w:ascii="Times New Roman" w:hAnsi="Times New Roman" w:cs="Times New Roman"/>
          <w:color w:val="000000" w:themeColor="text1"/>
          <w:sz w:val="24"/>
          <w:szCs w:val="24"/>
        </w:rPr>
        <w:t xml:space="preserve">, J., Sharma, A., Roy, A., Alghamdi, S., </w:t>
      </w:r>
      <w:proofErr w:type="spellStart"/>
      <w:r w:rsidRPr="00D02080">
        <w:rPr>
          <w:rFonts w:ascii="Times New Roman" w:hAnsi="Times New Roman" w:cs="Times New Roman"/>
          <w:color w:val="000000" w:themeColor="text1"/>
          <w:sz w:val="24"/>
          <w:szCs w:val="24"/>
        </w:rPr>
        <w:t>Almehmadi</w:t>
      </w:r>
      <w:proofErr w:type="spellEnd"/>
      <w:r w:rsidRPr="00D02080">
        <w:rPr>
          <w:rFonts w:ascii="Times New Roman" w:hAnsi="Times New Roman" w:cs="Times New Roman"/>
          <w:color w:val="000000" w:themeColor="text1"/>
          <w:sz w:val="24"/>
          <w:szCs w:val="24"/>
        </w:rPr>
        <w:t xml:space="preserve">, M., Hossain, M. J., </w:t>
      </w:r>
      <w:proofErr w:type="spellStart"/>
      <w:r w:rsidRPr="00D02080">
        <w:rPr>
          <w:rFonts w:ascii="Times New Roman" w:hAnsi="Times New Roman" w:cs="Times New Roman"/>
          <w:color w:val="000000" w:themeColor="text1"/>
          <w:sz w:val="24"/>
          <w:szCs w:val="24"/>
        </w:rPr>
        <w:t>Allahyani</w:t>
      </w:r>
      <w:proofErr w:type="spellEnd"/>
      <w:r w:rsidRPr="00D02080">
        <w:rPr>
          <w:rFonts w:ascii="Times New Roman" w:hAnsi="Times New Roman" w:cs="Times New Roman"/>
          <w:color w:val="000000" w:themeColor="text1"/>
          <w:sz w:val="24"/>
          <w:szCs w:val="24"/>
        </w:rPr>
        <w:t xml:space="preserve">, M., &amp; </w:t>
      </w:r>
      <w:proofErr w:type="spellStart"/>
      <w:r w:rsidRPr="00D02080">
        <w:rPr>
          <w:rFonts w:ascii="Times New Roman" w:hAnsi="Times New Roman" w:cs="Times New Roman"/>
          <w:color w:val="000000" w:themeColor="text1"/>
          <w:sz w:val="24"/>
          <w:szCs w:val="24"/>
        </w:rPr>
        <w:t>Abdulaziz</w:t>
      </w:r>
      <w:proofErr w:type="spellEnd"/>
      <w:r w:rsidRPr="00D02080">
        <w:rPr>
          <w:rFonts w:ascii="Times New Roman" w:hAnsi="Times New Roman" w:cs="Times New Roman"/>
          <w:color w:val="000000" w:themeColor="text1"/>
          <w:sz w:val="24"/>
          <w:szCs w:val="24"/>
        </w:rPr>
        <w:t>, O. (2022). Nanomaterial in Food Packaging: A Comprehensive Review. </w:t>
      </w:r>
      <w:r w:rsidRPr="00D02080">
        <w:rPr>
          <w:rFonts w:ascii="Times New Roman" w:hAnsi="Times New Roman" w:cs="Times New Roman"/>
          <w:i/>
          <w:iCs/>
          <w:color w:val="000000" w:themeColor="text1"/>
          <w:sz w:val="24"/>
          <w:szCs w:val="24"/>
        </w:rPr>
        <w:t>Journal of Nanomaterials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2022</w:t>
      </w:r>
      <w:r w:rsidRPr="00D02080">
        <w:rPr>
          <w:rFonts w:ascii="Times New Roman" w:hAnsi="Times New Roman" w:cs="Times New Roman"/>
          <w:color w:val="000000" w:themeColor="text1"/>
          <w:sz w:val="24"/>
          <w:szCs w:val="24"/>
        </w:rPr>
        <w:t>(1). </w:t>
      </w:r>
      <w:hyperlink r:id="rId12" w:history="1">
        <w:r w:rsidRPr="00D02080">
          <w:rPr>
            <w:rStyle w:val="Hyperlink"/>
            <w:rFonts w:ascii="Times New Roman" w:hAnsi="Times New Roman" w:cs="Times New Roman"/>
            <w:color w:val="000000" w:themeColor="text1"/>
            <w:sz w:val="24"/>
            <w:szCs w:val="24"/>
          </w:rPr>
          <w:t>https://doi.org/10.1155/2022/6053922</w:t>
        </w:r>
      </w:hyperlink>
    </w:p>
    <w:p w14:paraId="51B40988"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Beach, M. A., </w:t>
      </w:r>
      <w:proofErr w:type="spellStart"/>
      <w:r w:rsidRPr="00D02080">
        <w:rPr>
          <w:rFonts w:ascii="Times New Roman" w:hAnsi="Times New Roman" w:cs="Times New Roman"/>
          <w:color w:val="000000" w:themeColor="text1"/>
          <w:sz w:val="24"/>
          <w:szCs w:val="24"/>
        </w:rPr>
        <w:t>Nayanathara</w:t>
      </w:r>
      <w:proofErr w:type="spellEnd"/>
      <w:r w:rsidRPr="00D02080">
        <w:rPr>
          <w:rFonts w:ascii="Times New Roman" w:hAnsi="Times New Roman" w:cs="Times New Roman"/>
          <w:color w:val="000000" w:themeColor="text1"/>
          <w:sz w:val="24"/>
          <w:szCs w:val="24"/>
        </w:rPr>
        <w:t xml:space="preserve">, U., Gao, Y., Zhang, C., </w:t>
      </w:r>
      <w:proofErr w:type="spellStart"/>
      <w:r w:rsidRPr="00D02080">
        <w:rPr>
          <w:rFonts w:ascii="Times New Roman" w:hAnsi="Times New Roman" w:cs="Times New Roman"/>
          <w:color w:val="000000" w:themeColor="text1"/>
          <w:sz w:val="24"/>
          <w:szCs w:val="24"/>
        </w:rPr>
        <w:t>Xiong</w:t>
      </w:r>
      <w:proofErr w:type="spellEnd"/>
      <w:r w:rsidRPr="00D02080">
        <w:rPr>
          <w:rFonts w:ascii="Times New Roman" w:hAnsi="Times New Roman" w:cs="Times New Roman"/>
          <w:color w:val="000000" w:themeColor="text1"/>
          <w:sz w:val="24"/>
          <w:szCs w:val="24"/>
        </w:rPr>
        <w:t>, Y., Wang, Y., &amp; Such, G. K. (2024). Polymeric nanoparticles for drug delivery. </w:t>
      </w:r>
      <w:r w:rsidRPr="00D02080">
        <w:rPr>
          <w:rFonts w:ascii="Times New Roman" w:hAnsi="Times New Roman" w:cs="Times New Roman"/>
          <w:i/>
          <w:iCs/>
          <w:color w:val="000000" w:themeColor="text1"/>
          <w:sz w:val="24"/>
          <w:szCs w:val="24"/>
        </w:rPr>
        <w:t>Chemical Reviews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124</w:t>
      </w:r>
      <w:r w:rsidRPr="00D02080">
        <w:rPr>
          <w:rFonts w:ascii="Times New Roman" w:hAnsi="Times New Roman" w:cs="Times New Roman"/>
          <w:color w:val="000000" w:themeColor="text1"/>
          <w:sz w:val="24"/>
          <w:szCs w:val="24"/>
        </w:rPr>
        <w:t>(9), 5505–5616. </w:t>
      </w:r>
      <w:hyperlink r:id="rId13" w:history="1">
        <w:r w:rsidRPr="00D02080">
          <w:rPr>
            <w:rStyle w:val="Hyperlink"/>
            <w:rFonts w:ascii="Times New Roman" w:hAnsi="Times New Roman" w:cs="Times New Roman"/>
            <w:color w:val="000000" w:themeColor="text1"/>
            <w:sz w:val="24"/>
            <w:szCs w:val="24"/>
          </w:rPr>
          <w:t>https://doi.org/10.1021/acs.chemrev.3c00705</w:t>
        </w:r>
      </w:hyperlink>
    </w:p>
    <w:p w14:paraId="02DE8C17"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Bilali</w:t>
      </w:r>
      <w:proofErr w:type="spellEnd"/>
      <w:r w:rsidRPr="00D02080">
        <w:rPr>
          <w:rFonts w:ascii="Times New Roman" w:hAnsi="Times New Roman" w:cs="Times New Roman"/>
          <w:color w:val="000000" w:themeColor="text1"/>
          <w:sz w:val="24"/>
          <w:szCs w:val="24"/>
        </w:rPr>
        <w:t xml:space="preserve">, H. E., </w:t>
      </w:r>
      <w:proofErr w:type="spellStart"/>
      <w:r w:rsidRPr="00D02080">
        <w:rPr>
          <w:rFonts w:ascii="Times New Roman" w:hAnsi="Times New Roman" w:cs="Times New Roman"/>
          <w:color w:val="000000" w:themeColor="text1"/>
          <w:sz w:val="24"/>
          <w:szCs w:val="24"/>
        </w:rPr>
        <w:t>Strassner</w:t>
      </w:r>
      <w:proofErr w:type="spellEnd"/>
      <w:r w:rsidRPr="00D02080">
        <w:rPr>
          <w:rFonts w:ascii="Times New Roman" w:hAnsi="Times New Roman" w:cs="Times New Roman"/>
          <w:color w:val="000000" w:themeColor="text1"/>
          <w:sz w:val="24"/>
          <w:szCs w:val="24"/>
        </w:rPr>
        <w:t>, C., &amp; Hassen, T. B. (2021). Sustainable Agri-Food Systems: environment, economy, society, and policy. </w:t>
      </w:r>
      <w:r w:rsidRPr="00D02080">
        <w:rPr>
          <w:rFonts w:ascii="Times New Roman" w:hAnsi="Times New Roman" w:cs="Times New Roman"/>
          <w:i/>
          <w:iCs/>
          <w:color w:val="000000" w:themeColor="text1"/>
          <w:sz w:val="24"/>
          <w:szCs w:val="24"/>
        </w:rPr>
        <w:t>Sustainability</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13</w:t>
      </w:r>
      <w:r w:rsidRPr="00D02080">
        <w:rPr>
          <w:rFonts w:ascii="Times New Roman" w:hAnsi="Times New Roman" w:cs="Times New Roman"/>
          <w:color w:val="000000" w:themeColor="text1"/>
          <w:sz w:val="24"/>
          <w:szCs w:val="24"/>
        </w:rPr>
        <w:t>(11), 6260. </w:t>
      </w:r>
      <w:hyperlink r:id="rId14" w:history="1">
        <w:r w:rsidRPr="00D02080">
          <w:rPr>
            <w:rStyle w:val="Hyperlink"/>
            <w:rFonts w:ascii="Times New Roman" w:hAnsi="Times New Roman" w:cs="Times New Roman"/>
            <w:color w:val="000000" w:themeColor="text1"/>
            <w:sz w:val="24"/>
            <w:szCs w:val="24"/>
          </w:rPr>
          <w:t>https://doi.org/10.3390/su13116260</w:t>
        </w:r>
      </w:hyperlink>
    </w:p>
    <w:p w14:paraId="2EB0EE20"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lastRenderedPageBreak/>
        <w:t>Brandelli</w:t>
      </w:r>
      <w:proofErr w:type="spellEnd"/>
      <w:r w:rsidRPr="00D02080">
        <w:rPr>
          <w:rFonts w:ascii="Times New Roman" w:hAnsi="Times New Roman" w:cs="Times New Roman"/>
          <w:color w:val="000000" w:themeColor="text1"/>
          <w:sz w:val="24"/>
          <w:szCs w:val="24"/>
        </w:rPr>
        <w:t>, A. (2024). Nanocomposites and their application in antimicrobial packaging. </w:t>
      </w:r>
      <w:r w:rsidRPr="00D02080">
        <w:rPr>
          <w:rFonts w:ascii="Times New Roman" w:hAnsi="Times New Roman" w:cs="Times New Roman"/>
          <w:i/>
          <w:iCs/>
          <w:color w:val="000000" w:themeColor="text1"/>
          <w:sz w:val="24"/>
          <w:szCs w:val="24"/>
        </w:rPr>
        <w:t>Frontiers in Chemistry</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12</w:t>
      </w:r>
      <w:r w:rsidRPr="00D02080">
        <w:rPr>
          <w:rFonts w:ascii="Times New Roman" w:hAnsi="Times New Roman" w:cs="Times New Roman"/>
          <w:color w:val="000000" w:themeColor="text1"/>
          <w:sz w:val="24"/>
          <w:szCs w:val="24"/>
        </w:rPr>
        <w:t>. </w:t>
      </w:r>
      <w:hyperlink r:id="rId15" w:history="1">
        <w:r w:rsidRPr="00D02080">
          <w:rPr>
            <w:rStyle w:val="Hyperlink"/>
            <w:rFonts w:ascii="Times New Roman" w:hAnsi="Times New Roman" w:cs="Times New Roman"/>
            <w:color w:val="000000" w:themeColor="text1"/>
            <w:sz w:val="24"/>
            <w:szCs w:val="24"/>
          </w:rPr>
          <w:t>https://doi.org/10.3389/fchem.2024.1356304</w:t>
        </w:r>
      </w:hyperlink>
    </w:p>
    <w:p w14:paraId="54AC1C11"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Cao, J., Gao, M., Wang, J., Liu, Y., Zhang, X., Ping, Y., Liu, J., Chen, G., Xu, D., Huang, X., &amp; Liu, G. (2023). Construction of </w:t>
      </w:r>
      <w:proofErr w:type="spellStart"/>
      <w:r w:rsidRPr="00D02080">
        <w:rPr>
          <w:rFonts w:ascii="Times New Roman" w:hAnsi="Times New Roman" w:cs="Times New Roman"/>
          <w:color w:val="000000" w:themeColor="text1"/>
          <w:sz w:val="24"/>
          <w:szCs w:val="24"/>
        </w:rPr>
        <w:t>nano</w:t>
      </w:r>
      <w:proofErr w:type="spellEnd"/>
      <w:r w:rsidRPr="00D02080">
        <w:rPr>
          <w:rFonts w:ascii="Times New Roman" w:hAnsi="Times New Roman" w:cs="Times New Roman"/>
          <w:color w:val="000000" w:themeColor="text1"/>
          <w:sz w:val="24"/>
          <w:szCs w:val="24"/>
        </w:rPr>
        <w:t xml:space="preserve"> slow-release systems for antibacterial active substances and its applications: A comprehensive review. </w:t>
      </w:r>
      <w:r w:rsidRPr="00D02080">
        <w:rPr>
          <w:rFonts w:ascii="Times New Roman" w:hAnsi="Times New Roman" w:cs="Times New Roman"/>
          <w:i/>
          <w:iCs/>
          <w:color w:val="000000" w:themeColor="text1"/>
          <w:sz w:val="24"/>
          <w:szCs w:val="24"/>
        </w:rPr>
        <w:t>Frontiers in Nutrition</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10</w:t>
      </w:r>
      <w:r w:rsidRPr="00D02080">
        <w:rPr>
          <w:rFonts w:ascii="Times New Roman" w:hAnsi="Times New Roman" w:cs="Times New Roman"/>
          <w:color w:val="000000" w:themeColor="text1"/>
          <w:sz w:val="24"/>
          <w:szCs w:val="24"/>
        </w:rPr>
        <w:t>. </w:t>
      </w:r>
      <w:hyperlink r:id="rId16" w:history="1">
        <w:r w:rsidRPr="00D02080">
          <w:rPr>
            <w:rStyle w:val="Hyperlink"/>
            <w:rFonts w:ascii="Times New Roman" w:hAnsi="Times New Roman" w:cs="Times New Roman"/>
            <w:color w:val="000000" w:themeColor="text1"/>
            <w:sz w:val="24"/>
            <w:szCs w:val="24"/>
          </w:rPr>
          <w:t>https://doi.org/10.3389/fnut.2023.1109204</w:t>
        </w:r>
      </w:hyperlink>
    </w:p>
    <w:p w14:paraId="69BD8BDE"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Carbone, M., </w:t>
      </w:r>
      <w:proofErr w:type="spellStart"/>
      <w:r w:rsidRPr="00D02080">
        <w:rPr>
          <w:rFonts w:ascii="Times New Roman" w:hAnsi="Times New Roman" w:cs="Times New Roman"/>
          <w:color w:val="000000" w:themeColor="text1"/>
          <w:sz w:val="24"/>
          <w:szCs w:val="24"/>
        </w:rPr>
        <w:t>Donia</w:t>
      </w:r>
      <w:proofErr w:type="spellEnd"/>
      <w:r w:rsidRPr="00D02080">
        <w:rPr>
          <w:rFonts w:ascii="Times New Roman" w:hAnsi="Times New Roman" w:cs="Times New Roman"/>
          <w:color w:val="000000" w:themeColor="text1"/>
          <w:sz w:val="24"/>
          <w:szCs w:val="24"/>
        </w:rPr>
        <w:t xml:space="preserve">, D. T., </w:t>
      </w:r>
      <w:proofErr w:type="spellStart"/>
      <w:r w:rsidRPr="00D02080">
        <w:rPr>
          <w:rFonts w:ascii="Times New Roman" w:hAnsi="Times New Roman" w:cs="Times New Roman"/>
          <w:color w:val="000000" w:themeColor="text1"/>
          <w:sz w:val="24"/>
          <w:szCs w:val="24"/>
        </w:rPr>
        <w:t>Sabbatella</w:t>
      </w:r>
      <w:proofErr w:type="spellEnd"/>
      <w:r w:rsidRPr="00D02080">
        <w:rPr>
          <w:rFonts w:ascii="Times New Roman" w:hAnsi="Times New Roman" w:cs="Times New Roman"/>
          <w:color w:val="000000" w:themeColor="text1"/>
          <w:sz w:val="24"/>
          <w:szCs w:val="24"/>
        </w:rPr>
        <w:t xml:space="preserve">, G., &amp; </w:t>
      </w:r>
      <w:proofErr w:type="spellStart"/>
      <w:r w:rsidRPr="00D02080">
        <w:rPr>
          <w:rFonts w:ascii="Times New Roman" w:hAnsi="Times New Roman" w:cs="Times New Roman"/>
          <w:color w:val="000000" w:themeColor="text1"/>
          <w:sz w:val="24"/>
          <w:szCs w:val="24"/>
        </w:rPr>
        <w:t>Antiochia</w:t>
      </w:r>
      <w:proofErr w:type="spellEnd"/>
      <w:r w:rsidRPr="00D02080">
        <w:rPr>
          <w:rFonts w:ascii="Times New Roman" w:hAnsi="Times New Roman" w:cs="Times New Roman"/>
          <w:color w:val="000000" w:themeColor="text1"/>
          <w:sz w:val="24"/>
          <w:szCs w:val="24"/>
        </w:rPr>
        <w:t>, R. (2016). Silver nanoparticles in polymeric matrices for fresh food packaging. </w:t>
      </w:r>
      <w:r w:rsidRPr="00D02080">
        <w:rPr>
          <w:rFonts w:ascii="Times New Roman" w:hAnsi="Times New Roman" w:cs="Times New Roman"/>
          <w:i/>
          <w:iCs/>
          <w:color w:val="000000" w:themeColor="text1"/>
          <w:sz w:val="24"/>
          <w:szCs w:val="24"/>
        </w:rPr>
        <w:t>Journal of King Saud University - Science</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28</w:t>
      </w:r>
      <w:r w:rsidRPr="00D02080">
        <w:rPr>
          <w:rFonts w:ascii="Times New Roman" w:hAnsi="Times New Roman" w:cs="Times New Roman"/>
          <w:color w:val="000000" w:themeColor="text1"/>
          <w:sz w:val="24"/>
          <w:szCs w:val="24"/>
        </w:rPr>
        <w:t>(4), 273–279. </w:t>
      </w:r>
      <w:hyperlink r:id="rId17" w:history="1">
        <w:r w:rsidRPr="00D02080">
          <w:rPr>
            <w:rStyle w:val="Hyperlink"/>
            <w:rFonts w:ascii="Times New Roman" w:hAnsi="Times New Roman" w:cs="Times New Roman"/>
            <w:color w:val="000000" w:themeColor="text1"/>
            <w:sz w:val="24"/>
            <w:szCs w:val="24"/>
          </w:rPr>
          <w:t>https://doi.org/10.1016/j.jksus.2016.05.004</w:t>
        </w:r>
      </w:hyperlink>
    </w:p>
    <w:p w14:paraId="27ABBFBB"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Cerqueira</w:t>
      </w:r>
      <w:proofErr w:type="spellEnd"/>
      <w:r w:rsidRPr="00D02080">
        <w:rPr>
          <w:rFonts w:ascii="Times New Roman" w:hAnsi="Times New Roman" w:cs="Times New Roman"/>
          <w:color w:val="000000" w:themeColor="text1"/>
          <w:sz w:val="24"/>
          <w:szCs w:val="24"/>
        </w:rPr>
        <w:t>, M. A., Vicente, A. A., &amp; Pastrana, L. M. (2018). Nanotechnology in food Packaging: Opportunities and challenges. In </w:t>
      </w:r>
      <w:r w:rsidRPr="00D02080">
        <w:rPr>
          <w:rFonts w:ascii="Times New Roman" w:hAnsi="Times New Roman" w:cs="Times New Roman"/>
          <w:i/>
          <w:iCs/>
          <w:color w:val="000000" w:themeColor="text1"/>
          <w:sz w:val="24"/>
          <w:szCs w:val="24"/>
        </w:rPr>
        <w:t>Elsevier eBooks</w:t>
      </w:r>
      <w:r w:rsidRPr="00D02080">
        <w:rPr>
          <w:rFonts w:ascii="Times New Roman" w:hAnsi="Times New Roman" w:cs="Times New Roman"/>
          <w:color w:val="000000" w:themeColor="text1"/>
          <w:sz w:val="24"/>
          <w:szCs w:val="24"/>
        </w:rPr>
        <w:t> (pp. 1–11). </w:t>
      </w:r>
      <w:hyperlink r:id="rId18" w:history="1">
        <w:r w:rsidRPr="00D02080">
          <w:rPr>
            <w:rStyle w:val="Hyperlink"/>
            <w:rFonts w:ascii="Times New Roman" w:hAnsi="Times New Roman" w:cs="Times New Roman"/>
            <w:color w:val="000000" w:themeColor="text1"/>
            <w:sz w:val="24"/>
            <w:szCs w:val="24"/>
          </w:rPr>
          <w:t>https://doi.org/10.1016/b978-0-323-51271-8.00001-2</w:t>
        </w:r>
      </w:hyperlink>
    </w:p>
    <w:p w14:paraId="02E73AFC"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Chandra, D. K., Kumar, A., &amp; Mahapatra, C. (2025). Advanced Nano-Enhanced Bioplastics for Smart Food Packaging: Enhancing functionalities and sustainability. </w:t>
      </w:r>
      <w:r w:rsidRPr="00D02080">
        <w:rPr>
          <w:rFonts w:ascii="Times New Roman" w:hAnsi="Times New Roman" w:cs="Times New Roman"/>
          <w:i/>
          <w:iCs/>
          <w:color w:val="000000" w:themeColor="text1"/>
          <w:sz w:val="24"/>
          <w:szCs w:val="24"/>
        </w:rPr>
        <w:t xml:space="preserve">Cleaner and Circular </w:t>
      </w:r>
      <w:proofErr w:type="spellStart"/>
      <w:r w:rsidRPr="00D02080">
        <w:rPr>
          <w:rFonts w:ascii="Times New Roman" w:hAnsi="Times New Roman" w:cs="Times New Roman"/>
          <w:i/>
          <w:iCs/>
          <w:color w:val="000000" w:themeColor="text1"/>
          <w:sz w:val="24"/>
          <w:szCs w:val="24"/>
        </w:rPr>
        <w:t>Bioeconomy</w:t>
      </w:r>
      <w:proofErr w:type="spellEnd"/>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10</w:t>
      </w:r>
      <w:r w:rsidRPr="00D02080">
        <w:rPr>
          <w:rFonts w:ascii="Times New Roman" w:hAnsi="Times New Roman" w:cs="Times New Roman"/>
          <w:color w:val="000000" w:themeColor="text1"/>
          <w:sz w:val="24"/>
          <w:szCs w:val="24"/>
        </w:rPr>
        <w:t>, 100140. </w:t>
      </w:r>
      <w:hyperlink r:id="rId19" w:history="1">
        <w:r w:rsidRPr="00D02080">
          <w:rPr>
            <w:rStyle w:val="Hyperlink"/>
            <w:rFonts w:ascii="Times New Roman" w:hAnsi="Times New Roman" w:cs="Times New Roman"/>
            <w:color w:val="000000" w:themeColor="text1"/>
            <w:sz w:val="24"/>
            <w:szCs w:val="24"/>
          </w:rPr>
          <w:t>https://doi.org/10.1016/j.clcb.2025.100140</w:t>
        </w:r>
      </w:hyperlink>
    </w:p>
    <w:p w14:paraId="7BCE850C"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Chen, J., </w:t>
      </w:r>
      <w:proofErr w:type="spellStart"/>
      <w:r w:rsidRPr="00D02080">
        <w:rPr>
          <w:rFonts w:ascii="Times New Roman" w:hAnsi="Times New Roman" w:cs="Times New Roman"/>
          <w:color w:val="000000" w:themeColor="text1"/>
          <w:sz w:val="24"/>
          <w:szCs w:val="24"/>
        </w:rPr>
        <w:t>Viardot</w:t>
      </w:r>
      <w:proofErr w:type="spellEnd"/>
      <w:r w:rsidRPr="00D02080">
        <w:rPr>
          <w:rFonts w:ascii="Times New Roman" w:hAnsi="Times New Roman" w:cs="Times New Roman"/>
          <w:color w:val="000000" w:themeColor="text1"/>
          <w:sz w:val="24"/>
          <w:szCs w:val="24"/>
        </w:rPr>
        <w:t xml:space="preserve">, E., &amp; </w:t>
      </w:r>
      <w:proofErr w:type="spellStart"/>
      <w:r w:rsidRPr="00D02080">
        <w:rPr>
          <w:rFonts w:ascii="Times New Roman" w:hAnsi="Times New Roman" w:cs="Times New Roman"/>
          <w:color w:val="000000" w:themeColor="text1"/>
          <w:sz w:val="24"/>
          <w:szCs w:val="24"/>
        </w:rPr>
        <w:t>Brem</w:t>
      </w:r>
      <w:proofErr w:type="spellEnd"/>
      <w:r w:rsidRPr="00D02080">
        <w:rPr>
          <w:rFonts w:ascii="Times New Roman" w:hAnsi="Times New Roman" w:cs="Times New Roman"/>
          <w:color w:val="000000" w:themeColor="text1"/>
          <w:sz w:val="24"/>
          <w:szCs w:val="24"/>
        </w:rPr>
        <w:t>, A. (2019). Innovation and innovation management. In </w:t>
      </w:r>
      <w:r w:rsidRPr="00D02080">
        <w:rPr>
          <w:rFonts w:ascii="Times New Roman" w:hAnsi="Times New Roman" w:cs="Times New Roman"/>
          <w:i/>
          <w:iCs/>
          <w:color w:val="000000" w:themeColor="text1"/>
          <w:sz w:val="24"/>
          <w:szCs w:val="24"/>
        </w:rPr>
        <w:t>Routledge eBooks</w:t>
      </w:r>
      <w:r w:rsidRPr="00D02080">
        <w:rPr>
          <w:rFonts w:ascii="Times New Roman" w:hAnsi="Times New Roman" w:cs="Times New Roman"/>
          <w:color w:val="000000" w:themeColor="text1"/>
          <w:sz w:val="24"/>
          <w:szCs w:val="24"/>
        </w:rPr>
        <w:t> (pp. 3–16). </w:t>
      </w:r>
      <w:hyperlink r:id="rId20" w:history="1">
        <w:r w:rsidRPr="00D02080">
          <w:rPr>
            <w:rStyle w:val="Hyperlink"/>
            <w:rFonts w:ascii="Times New Roman" w:hAnsi="Times New Roman" w:cs="Times New Roman"/>
            <w:color w:val="000000" w:themeColor="text1"/>
            <w:sz w:val="24"/>
            <w:szCs w:val="24"/>
          </w:rPr>
          <w:t>https://doi.org/10.4324/9781315276670-1</w:t>
        </w:r>
      </w:hyperlink>
    </w:p>
    <w:p w14:paraId="3CD323B5"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Das, S., Chaudhari, A. K., </w:t>
      </w:r>
      <w:proofErr w:type="spellStart"/>
      <w:r w:rsidRPr="00D02080">
        <w:rPr>
          <w:rFonts w:ascii="Times New Roman" w:hAnsi="Times New Roman" w:cs="Times New Roman"/>
          <w:color w:val="000000" w:themeColor="text1"/>
          <w:sz w:val="24"/>
          <w:szCs w:val="24"/>
        </w:rPr>
        <w:t>Dwivedy</w:t>
      </w:r>
      <w:proofErr w:type="spellEnd"/>
      <w:r w:rsidRPr="00D02080">
        <w:rPr>
          <w:rFonts w:ascii="Times New Roman" w:hAnsi="Times New Roman" w:cs="Times New Roman"/>
          <w:color w:val="000000" w:themeColor="text1"/>
          <w:sz w:val="24"/>
          <w:szCs w:val="24"/>
        </w:rPr>
        <w:t>, A. K., Upadhyay, N., Singh, V. K., Singh, A., &amp; Dubey, N. K. (2020). Nanoencapsulation Technology: boon to food packaging industries. In </w:t>
      </w:r>
      <w:r w:rsidRPr="00D02080">
        <w:rPr>
          <w:rFonts w:ascii="Times New Roman" w:hAnsi="Times New Roman" w:cs="Times New Roman"/>
          <w:i/>
          <w:iCs/>
          <w:color w:val="000000" w:themeColor="text1"/>
          <w:sz w:val="24"/>
          <w:szCs w:val="24"/>
        </w:rPr>
        <w:t>Nanotechnology in the life sciences</w:t>
      </w:r>
      <w:r w:rsidRPr="00D02080">
        <w:rPr>
          <w:rFonts w:ascii="Times New Roman" w:hAnsi="Times New Roman" w:cs="Times New Roman"/>
          <w:color w:val="000000" w:themeColor="text1"/>
          <w:sz w:val="24"/>
          <w:szCs w:val="24"/>
        </w:rPr>
        <w:t> (pp. 17–40). </w:t>
      </w:r>
      <w:hyperlink r:id="rId21" w:history="1">
        <w:r w:rsidRPr="00D02080">
          <w:rPr>
            <w:rStyle w:val="Hyperlink"/>
            <w:rFonts w:ascii="Times New Roman" w:hAnsi="Times New Roman" w:cs="Times New Roman"/>
            <w:color w:val="000000" w:themeColor="text1"/>
            <w:sz w:val="24"/>
            <w:szCs w:val="24"/>
          </w:rPr>
          <w:t>https://doi.org/10.1007/978-3-030-34544-0_2</w:t>
        </w:r>
      </w:hyperlink>
    </w:p>
    <w:p w14:paraId="0B0DBB63"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Del Rosario Herrera-Rivera, M., Torres-</w:t>
      </w:r>
      <w:proofErr w:type="spellStart"/>
      <w:r w:rsidRPr="00D02080">
        <w:rPr>
          <w:rFonts w:ascii="Times New Roman" w:hAnsi="Times New Roman" w:cs="Times New Roman"/>
          <w:color w:val="000000" w:themeColor="text1"/>
          <w:sz w:val="24"/>
          <w:szCs w:val="24"/>
        </w:rPr>
        <w:t>Arellanes</w:t>
      </w:r>
      <w:proofErr w:type="spellEnd"/>
      <w:r w:rsidRPr="00D02080">
        <w:rPr>
          <w:rFonts w:ascii="Times New Roman" w:hAnsi="Times New Roman" w:cs="Times New Roman"/>
          <w:color w:val="000000" w:themeColor="text1"/>
          <w:sz w:val="24"/>
          <w:szCs w:val="24"/>
        </w:rPr>
        <w:t>, S. P., Cortés-Martínez, C. I., Navarro-Ibarra, D. C., Hernández-Sánchez, L., Solis-</w:t>
      </w:r>
      <w:proofErr w:type="spellStart"/>
      <w:r w:rsidRPr="00D02080">
        <w:rPr>
          <w:rFonts w:ascii="Times New Roman" w:hAnsi="Times New Roman" w:cs="Times New Roman"/>
          <w:color w:val="000000" w:themeColor="text1"/>
          <w:sz w:val="24"/>
          <w:szCs w:val="24"/>
        </w:rPr>
        <w:t>Pomar</w:t>
      </w:r>
      <w:proofErr w:type="spellEnd"/>
      <w:r w:rsidRPr="00D02080">
        <w:rPr>
          <w:rFonts w:ascii="Times New Roman" w:hAnsi="Times New Roman" w:cs="Times New Roman"/>
          <w:color w:val="000000" w:themeColor="text1"/>
          <w:sz w:val="24"/>
          <w:szCs w:val="24"/>
        </w:rPr>
        <w:t>, F., Pérez-Tijerina, E., &amp; Román-</w:t>
      </w:r>
      <w:proofErr w:type="spellStart"/>
      <w:r w:rsidRPr="00D02080">
        <w:rPr>
          <w:rFonts w:ascii="Times New Roman" w:hAnsi="Times New Roman" w:cs="Times New Roman"/>
          <w:color w:val="000000" w:themeColor="text1"/>
          <w:sz w:val="24"/>
          <w:szCs w:val="24"/>
        </w:rPr>
        <w:t>Doval</w:t>
      </w:r>
      <w:proofErr w:type="spellEnd"/>
      <w:r w:rsidRPr="00D02080">
        <w:rPr>
          <w:rFonts w:ascii="Times New Roman" w:hAnsi="Times New Roman" w:cs="Times New Roman"/>
          <w:color w:val="000000" w:themeColor="text1"/>
          <w:sz w:val="24"/>
          <w:szCs w:val="24"/>
        </w:rPr>
        <w:t>, R. (2024). Nanotechnology in food packaging materials: role and application of nanoparticles. </w:t>
      </w:r>
      <w:r w:rsidRPr="00D02080">
        <w:rPr>
          <w:rFonts w:ascii="Times New Roman" w:hAnsi="Times New Roman" w:cs="Times New Roman"/>
          <w:i/>
          <w:iCs/>
          <w:color w:val="000000" w:themeColor="text1"/>
          <w:sz w:val="24"/>
          <w:szCs w:val="24"/>
        </w:rPr>
        <w:t>RSC Advances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14</w:t>
      </w:r>
      <w:r w:rsidRPr="00D02080">
        <w:rPr>
          <w:rFonts w:ascii="Times New Roman" w:hAnsi="Times New Roman" w:cs="Times New Roman"/>
          <w:color w:val="000000" w:themeColor="text1"/>
          <w:sz w:val="24"/>
          <w:szCs w:val="24"/>
        </w:rPr>
        <w:t>(30), 21832–21858. </w:t>
      </w:r>
      <w:hyperlink r:id="rId22" w:history="1">
        <w:r w:rsidRPr="00D02080">
          <w:rPr>
            <w:rStyle w:val="Hyperlink"/>
            <w:rFonts w:ascii="Times New Roman" w:hAnsi="Times New Roman" w:cs="Times New Roman"/>
            <w:color w:val="000000" w:themeColor="text1"/>
            <w:sz w:val="24"/>
            <w:szCs w:val="24"/>
          </w:rPr>
          <w:t>https://doi.org/10.1039/d4ra03711a</w:t>
        </w:r>
      </w:hyperlink>
    </w:p>
    <w:p w14:paraId="28DA7645"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Deshmukh, R. K., Hakim, L., </w:t>
      </w:r>
      <w:proofErr w:type="spellStart"/>
      <w:r w:rsidRPr="00D02080">
        <w:rPr>
          <w:rFonts w:ascii="Times New Roman" w:hAnsi="Times New Roman" w:cs="Times New Roman"/>
          <w:color w:val="000000" w:themeColor="text1"/>
          <w:sz w:val="24"/>
          <w:szCs w:val="24"/>
        </w:rPr>
        <w:t>Akhila</w:t>
      </w:r>
      <w:proofErr w:type="spellEnd"/>
      <w:r w:rsidRPr="00D02080">
        <w:rPr>
          <w:rFonts w:ascii="Times New Roman" w:hAnsi="Times New Roman" w:cs="Times New Roman"/>
          <w:color w:val="000000" w:themeColor="text1"/>
          <w:sz w:val="24"/>
          <w:szCs w:val="24"/>
        </w:rPr>
        <w:t xml:space="preserve">, K., </w:t>
      </w:r>
      <w:proofErr w:type="spellStart"/>
      <w:r w:rsidRPr="00D02080">
        <w:rPr>
          <w:rFonts w:ascii="Times New Roman" w:hAnsi="Times New Roman" w:cs="Times New Roman"/>
          <w:color w:val="000000" w:themeColor="text1"/>
          <w:sz w:val="24"/>
          <w:szCs w:val="24"/>
        </w:rPr>
        <w:t>Ramakanth</w:t>
      </w:r>
      <w:proofErr w:type="spellEnd"/>
      <w:r w:rsidRPr="00D02080">
        <w:rPr>
          <w:rFonts w:ascii="Times New Roman" w:hAnsi="Times New Roman" w:cs="Times New Roman"/>
          <w:color w:val="000000" w:themeColor="text1"/>
          <w:sz w:val="24"/>
          <w:szCs w:val="24"/>
        </w:rPr>
        <w:t>, D., &amp; Gaikwad, K. K. (2022). Nano clays and its composites for food packaging applications. </w:t>
      </w:r>
      <w:r w:rsidRPr="00D02080">
        <w:rPr>
          <w:rFonts w:ascii="Times New Roman" w:hAnsi="Times New Roman" w:cs="Times New Roman"/>
          <w:i/>
          <w:iCs/>
          <w:color w:val="000000" w:themeColor="text1"/>
          <w:sz w:val="24"/>
          <w:szCs w:val="24"/>
        </w:rPr>
        <w:t>International Nano Letters.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13</w:t>
      </w:r>
      <w:r w:rsidRPr="00D02080">
        <w:rPr>
          <w:rFonts w:ascii="Times New Roman" w:hAnsi="Times New Roman" w:cs="Times New Roman"/>
          <w:color w:val="000000" w:themeColor="text1"/>
          <w:sz w:val="24"/>
          <w:szCs w:val="24"/>
        </w:rPr>
        <w:t>(2), 131–153. </w:t>
      </w:r>
      <w:hyperlink r:id="rId23" w:history="1">
        <w:r w:rsidRPr="00D02080">
          <w:rPr>
            <w:rStyle w:val="Hyperlink"/>
            <w:rFonts w:ascii="Times New Roman" w:hAnsi="Times New Roman" w:cs="Times New Roman"/>
            <w:color w:val="000000" w:themeColor="text1"/>
            <w:sz w:val="24"/>
            <w:szCs w:val="24"/>
          </w:rPr>
          <w:t>https://doi.org/10.1007/s40089-022-00388-8</w:t>
        </w:r>
      </w:hyperlink>
    </w:p>
    <w:p w14:paraId="5FF7FC79"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Díez</w:t>
      </w:r>
      <w:proofErr w:type="spellEnd"/>
      <w:r w:rsidRPr="00D02080">
        <w:rPr>
          <w:rFonts w:ascii="Times New Roman" w:hAnsi="Times New Roman" w:cs="Times New Roman"/>
          <w:color w:val="000000" w:themeColor="text1"/>
          <w:sz w:val="24"/>
          <w:szCs w:val="24"/>
        </w:rPr>
        <w:t xml:space="preserve">-Pascual, A. M., &amp; </w:t>
      </w:r>
      <w:proofErr w:type="spellStart"/>
      <w:r w:rsidRPr="00D02080">
        <w:rPr>
          <w:rFonts w:ascii="Times New Roman" w:hAnsi="Times New Roman" w:cs="Times New Roman"/>
          <w:color w:val="000000" w:themeColor="text1"/>
          <w:sz w:val="24"/>
          <w:szCs w:val="24"/>
        </w:rPr>
        <w:t>Díez</w:t>
      </w:r>
      <w:proofErr w:type="spellEnd"/>
      <w:r w:rsidRPr="00D02080">
        <w:rPr>
          <w:rFonts w:ascii="Times New Roman" w:hAnsi="Times New Roman" w:cs="Times New Roman"/>
          <w:color w:val="000000" w:themeColor="text1"/>
          <w:sz w:val="24"/>
          <w:szCs w:val="24"/>
        </w:rPr>
        <w:t>-Vicente, A. L. (2021). Effect of graphene oxide on the properties of poly(3-hydroxybutyrate-co-3-hydroxyvalerate) films. *Polymers*, 13(14), 2270.</w:t>
      </w:r>
    </w:p>
    <w:p w14:paraId="479D8BC4"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EFSA (European Food Safety Authority). (2021). Safety assessment of silver nanoparticles for food contact applications. *EFSA Journal*, 19(8), e06790.</w:t>
      </w:r>
    </w:p>
    <w:p w14:paraId="0207C7EE"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Espitia</w:t>
      </w:r>
      <w:proofErr w:type="spellEnd"/>
      <w:r w:rsidRPr="00D02080">
        <w:rPr>
          <w:rFonts w:ascii="Times New Roman" w:hAnsi="Times New Roman" w:cs="Times New Roman"/>
          <w:color w:val="000000" w:themeColor="text1"/>
          <w:sz w:val="24"/>
          <w:szCs w:val="24"/>
        </w:rPr>
        <w:t>, P. J. P., De Fátima Ferreira Soares, N., Coimbra, J. S. D. R., De Andrade, N. J., Cruz, R. S., &amp; Medeiros, E. a. A. (2012). Zinc oxide nanoparticles: synthesis, antimicrobial activity and food packaging applications. </w:t>
      </w:r>
      <w:r w:rsidRPr="00D02080">
        <w:rPr>
          <w:rFonts w:ascii="Times New Roman" w:hAnsi="Times New Roman" w:cs="Times New Roman"/>
          <w:i/>
          <w:iCs/>
          <w:color w:val="000000" w:themeColor="text1"/>
          <w:sz w:val="24"/>
          <w:szCs w:val="24"/>
        </w:rPr>
        <w:t>Food and Bioprocess Technology</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5</w:t>
      </w:r>
      <w:r w:rsidRPr="00D02080">
        <w:rPr>
          <w:rFonts w:ascii="Times New Roman" w:hAnsi="Times New Roman" w:cs="Times New Roman"/>
          <w:color w:val="000000" w:themeColor="text1"/>
          <w:sz w:val="24"/>
          <w:szCs w:val="24"/>
        </w:rPr>
        <w:t>(5), 1447–1464. </w:t>
      </w:r>
      <w:hyperlink r:id="rId24" w:history="1">
        <w:r w:rsidRPr="00D02080">
          <w:rPr>
            <w:rStyle w:val="Hyperlink"/>
            <w:rFonts w:ascii="Times New Roman" w:hAnsi="Times New Roman" w:cs="Times New Roman"/>
            <w:color w:val="000000" w:themeColor="text1"/>
            <w:sz w:val="24"/>
            <w:szCs w:val="24"/>
          </w:rPr>
          <w:t>https://doi.org/10.1007/s11947-012-0797-6</w:t>
        </w:r>
      </w:hyperlink>
    </w:p>
    <w:p w14:paraId="7F8DB43F"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European Commission. (2023). Regulation on nanomaterials in food contact applications: Updated guidelines. *Official Journal of the European Union*, L 234/15.</w:t>
      </w:r>
    </w:p>
    <w:p w14:paraId="7A48DD55"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lastRenderedPageBreak/>
        <w:t>Ezhilarasi</w:t>
      </w:r>
      <w:proofErr w:type="spellEnd"/>
      <w:r w:rsidRPr="00D02080">
        <w:rPr>
          <w:rFonts w:ascii="Times New Roman" w:hAnsi="Times New Roman" w:cs="Times New Roman"/>
          <w:color w:val="000000" w:themeColor="text1"/>
          <w:sz w:val="24"/>
          <w:szCs w:val="24"/>
        </w:rPr>
        <w:t xml:space="preserve">, P. N., Karthik, P., </w:t>
      </w:r>
      <w:proofErr w:type="spellStart"/>
      <w:r w:rsidRPr="00D02080">
        <w:rPr>
          <w:rFonts w:ascii="Times New Roman" w:hAnsi="Times New Roman" w:cs="Times New Roman"/>
          <w:color w:val="000000" w:themeColor="text1"/>
          <w:sz w:val="24"/>
          <w:szCs w:val="24"/>
        </w:rPr>
        <w:t>Chhanwal</w:t>
      </w:r>
      <w:proofErr w:type="spellEnd"/>
      <w:r w:rsidRPr="00D02080">
        <w:rPr>
          <w:rFonts w:ascii="Times New Roman" w:hAnsi="Times New Roman" w:cs="Times New Roman"/>
          <w:color w:val="000000" w:themeColor="text1"/>
          <w:sz w:val="24"/>
          <w:szCs w:val="24"/>
        </w:rPr>
        <w:t xml:space="preserve">, N., &amp; </w:t>
      </w:r>
      <w:proofErr w:type="spellStart"/>
      <w:r w:rsidRPr="00D02080">
        <w:rPr>
          <w:rFonts w:ascii="Times New Roman" w:hAnsi="Times New Roman" w:cs="Times New Roman"/>
          <w:color w:val="000000" w:themeColor="text1"/>
          <w:sz w:val="24"/>
          <w:szCs w:val="24"/>
        </w:rPr>
        <w:t>Anandharamakrishnan</w:t>
      </w:r>
      <w:proofErr w:type="spellEnd"/>
      <w:r w:rsidRPr="00D02080">
        <w:rPr>
          <w:rFonts w:ascii="Times New Roman" w:hAnsi="Times New Roman" w:cs="Times New Roman"/>
          <w:color w:val="000000" w:themeColor="text1"/>
          <w:sz w:val="24"/>
          <w:szCs w:val="24"/>
        </w:rPr>
        <w:t>, C. (2012). Nanoencapsulation Techniques for Food Bioactive Components: A review. </w:t>
      </w:r>
      <w:r w:rsidRPr="00D02080">
        <w:rPr>
          <w:rFonts w:ascii="Times New Roman" w:hAnsi="Times New Roman" w:cs="Times New Roman"/>
          <w:i/>
          <w:iCs/>
          <w:color w:val="000000" w:themeColor="text1"/>
          <w:sz w:val="24"/>
          <w:szCs w:val="24"/>
        </w:rPr>
        <w:t>Food and Bioprocess Technology</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6</w:t>
      </w:r>
      <w:r w:rsidRPr="00D02080">
        <w:rPr>
          <w:rFonts w:ascii="Times New Roman" w:hAnsi="Times New Roman" w:cs="Times New Roman"/>
          <w:color w:val="000000" w:themeColor="text1"/>
          <w:sz w:val="24"/>
          <w:szCs w:val="24"/>
        </w:rPr>
        <w:t>(3), 628–647. </w:t>
      </w:r>
      <w:hyperlink r:id="rId25" w:history="1">
        <w:r w:rsidRPr="00D02080">
          <w:rPr>
            <w:rStyle w:val="Hyperlink"/>
            <w:rFonts w:ascii="Times New Roman" w:hAnsi="Times New Roman" w:cs="Times New Roman"/>
            <w:color w:val="000000" w:themeColor="text1"/>
            <w:sz w:val="24"/>
            <w:szCs w:val="24"/>
          </w:rPr>
          <w:t>https://doi.org/10.1007/s11947-012-0944-0</w:t>
        </w:r>
      </w:hyperlink>
    </w:p>
    <w:p w14:paraId="585FEDCE"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FDA (U.S. Food and Drug Administration). (2024). Guidance for industry: Safety evaluation of food contact substances containing nanomaterials. *FDA Guidance Document*, FCN-2024-001.</w:t>
      </w:r>
    </w:p>
    <w:p w14:paraId="7332CF46"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Feckler</w:t>
      </w:r>
      <w:proofErr w:type="spellEnd"/>
      <w:r w:rsidRPr="00D02080">
        <w:rPr>
          <w:rFonts w:ascii="Times New Roman" w:hAnsi="Times New Roman" w:cs="Times New Roman"/>
          <w:color w:val="000000" w:themeColor="text1"/>
          <w:sz w:val="24"/>
          <w:szCs w:val="24"/>
        </w:rPr>
        <w:t xml:space="preserve">, A., </w:t>
      </w:r>
      <w:proofErr w:type="spellStart"/>
      <w:r w:rsidRPr="00D02080">
        <w:rPr>
          <w:rFonts w:ascii="Times New Roman" w:hAnsi="Times New Roman" w:cs="Times New Roman"/>
          <w:color w:val="000000" w:themeColor="text1"/>
          <w:sz w:val="24"/>
          <w:szCs w:val="24"/>
        </w:rPr>
        <w:t>Rosenfeldt</w:t>
      </w:r>
      <w:proofErr w:type="spellEnd"/>
      <w:r w:rsidRPr="00D02080">
        <w:rPr>
          <w:rFonts w:ascii="Times New Roman" w:hAnsi="Times New Roman" w:cs="Times New Roman"/>
          <w:color w:val="000000" w:themeColor="text1"/>
          <w:sz w:val="24"/>
          <w:szCs w:val="24"/>
        </w:rPr>
        <w:t xml:space="preserve">, R. R., Seitz, F., Schulz, R., &amp; </w:t>
      </w:r>
      <w:proofErr w:type="spellStart"/>
      <w:r w:rsidRPr="00D02080">
        <w:rPr>
          <w:rFonts w:ascii="Times New Roman" w:hAnsi="Times New Roman" w:cs="Times New Roman"/>
          <w:color w:val="000000" w:themeColor="text1"/>
          <w:sz w:val="24"/>
          <w:szCs w:val="24"/>
        </w:rPr>
        <w:t>Bundschuh</w:t>
      </w:r>
      <w:proofErr w:type="spellEnd"/>
      <w:r w:rsidRPr="00D02080">
        <w:rPr>
          <w:rFonts w:ascii="Times New Roman" w:hAnsi="Times New Roman" w:cs="Times New Roman"/>
          <w:color w:val="000000" w:themeColor="text1"/>
          <w:sz w:val="24"/>
          <w:szCs w:val="24"/>
        </w:rPr>
        <w:t>, M. (2014). Photocatalytic properties of titanium dioxide nanoparticles affect habitat selection of and food quality for a key species in the leaf litter decomposition process. </w:t>
      </w:r>
      <w:r w:rsidRPr="00D02080">
        <w:rPr>
          <w:rFonts w:ascii="Times New Roman" w:hAnsi="Times New Roman" w:cs="Times New Roman"/>
          <w:i/>
          <w:iCs/>
          <w:color w:val="000000" w:themeColor="text1"/>
          <w:sz w:val="24"/>
          <w:szCs w:val="24"/>
        </w:rPr>
        <w:t>Environmental Pollution</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196</w:t>
      </w:r>
      <w:r w:rsidRPr="00D02080">
        <w:rPr>
          <w:rFonts w:ascii="Times New Roman" w:hAnsi="Times New Roman" w:cs="Times New Roman"/>
          <w:color w:val="000000" w:themeColor="text1"/>
          <w:sz w:val="24"/>
          <w:szCs w:val="24"/>
        </w:rPr>
        <w:t>, 276–283. </w:t>
      </w:r>
      <w:hyperlink r:id="rId26" w:history="1">
        <w:r w:rsidRPr="00D02080">
          <w:rPr>
            <w:rStyle w:val="Hyperlink"/>
            <w:rFonts w:ascii="Times New Roman" w:hAnsi="Times New Roman" w:cs="Times New Roman"/>
            <w:color w:val="000000" w:themeColor="text1"/>
            <w:sz w:val="24"/>
            <w:szCs w:val="24"/>
          </w:rPr>
          <w:t>https://doi.org/10.1016/j.envpol.2014.09.022</w:t>
        </w:r>
      </w:hyperlink>
    </w:p>
    <w:p w14:paraId="7F46AFA8"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Franco, D., Calabrese, G., Pietro Paolo </w:t>
      </w:r>
      <w:proofErr w:type="spellStart"/>
      <w:r w:rsidRPr="00D02080">
        <w:rPr>
          <w:rFonts w:ascii="Times New Roman" w:hAnsi="Times New Roman" w:cs="Times New Roman"/>
          <w:color w:val="000000" w:themeColor="text1"/>
          <w:sz w:val="24"/>
          <w:szCs w:val="24"/>
        </w:rPr>
        <w:t>Guglielmino</w:t>
      </w:r>
      <w:proofErr w:type="spellEnd"/>
      <w:r w:rsidRPr="00D02080">
        <w:rPr>
          <w:rFonts w:ascii="Times New Roman" w:hAnsi="Times New Roman" w:cs="Times New Roman"/>
          <w:color w:val="000000" w:themeColor="text1"/>
          <w:sz w:val="24"/>
          <w:szCs w:val="24"/>
        </w:rPr>
        <w:t xml:space="preserve">, S., &amp; </w:t>
      </w:r>
      <w:proofErr w:type="spellStart"/>
      <w:r w:rsidRPr="00D02080">
        <w:rPr>
          <w:rFonts w:ascii="Times New Roman" w:hAnsi="Times New Roman" w:cs="Times New Roman"/>
          <w:color w:val="000000" w:themeColor="text1"/>
          <w:sz w:val="24"/>
          <w:szCs w:val="24"/>
        </w:rPr>
        <w:t>Conoci</w:t>
      </w:r>
      <w:proofErr w:type="spellEnd"/>
      <w:r w:rsidRPr="00D02080">
        <w:rPr>
          <w:rFonts w:ascii="Times New Roman" w:hAnsi="Times New Roman" w:cs="Times New Roman"/>
          <w:color w:val="000000" w:themeColor="text1"/>
          <w:sz w:val="24"/>
          <w:szCs w:val="24"/>
        </w:rPr>
        <w:t>, S. (2022). Metal-Based nanoparticles: antibacterial mechanisms and biomedical application. </w:t>
      </w:r>
      <w:r w:rsidRPr="00D02080">
        <w:rPr>
          <w:rFonts w:ascii="Times New Roman" w:hAnsi="Times New Roman" w:cs="Times New Roman"/>
          <w:i/>
          <w:iCs/>
          <w:color w:val="000000" w:themeColor="text1"/>
          <w:sz w:val="24"/>
          <w:szCs w:val="24"/>
        </w:rPr>
        <w:t>Microorganisms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10</w:t>
      </w:r>
      <w:r w:rsidRPr="00D02080">
        <w:rPr>
          <w:rFonts w:ascii="Times New Roman" w:hAnsi="Times New Roman" w:cs="Times New Roman"/>
          <w:color w:val="000000" w:themeColor="text1"/>
          <w:sz w:val="24"/>
          <w:szCs w:val="24"/>
        </w:rPr>
        <w:t>(9), 1778. </w:t>
      </w:r>
      <w:hyperlink r:id="rId27" w:history="1">
        <w:r w:rsidRPr="00D02080">
          <w:rPr>
            <w:rStyle w:val="Hyperlink"/>
            <w:rFonts w:ascii="Times New Roman" w:hAnsi="Times New Roman" w:cs="Times New Roman"/>
            <w:color w:val="000000" w:themeColor="text1"/>
            <w:sz w:val="24"/>
            <w:szCs w:val="24"/>
          </w:rPr>
          <w:t>https://doi.org/10.3390/microorganisms10091778</w:t>
        </w:r>
      </w:hyperlink>
    </w:p>
    <w:p w14:paraId="55CDAA5A"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Global Market Insights. (2024). Food Packaging Market Size - By Material, By Product Type, By Packaging Type, By Technology, By Application Analysis, Share, Growth Forecast, 2025 - 2034. Food Packaging Market, </w:t>
      </w:r>
      <w:r w:rsidRPr="00D02080">
        <w:rPr>
          <w:rFonts w:ascii="Times New Roman" w:hAnsi="Times New Roman" w:cs="Times New Roman" w:hint="cs"/>
          <w:color w:val="000000" w:themeColor="text1"/>
          <w:sz w:val="24"/>
          <w:szCs w:val="24"/>
        </w:rPr>
        <w:t>GMI12443</w:t>
      </w:r>
      <w:r w:rsidRPr="00D02080">
        <w:rPr>
          <w:rFonts w:ascii="Times New Roman" w:hAnsi="Times New Roman" w:cs="Times New Roman"/>
          <w:color w:val="000000" w:themeColor="text1"/>
          <w:sz w:val="24"/>
          <w:szCs w:val="24"/>
        </w:rPr>
        <w:t xml:space="preserve">. </w:t>
      </w:r>
      <w:hyperlink r:id="rId28" w:history="1">
        <w:r w:rsidRPr="00D02080">
          <w:rPr>
            <w:rStyle w:val="Hyperlink"/>
            <w:rFonts w:ascii="Times New Roman" w:hAnsi="Times New Roman" w:cs="Times New Roman"/>
            <w:color w:val="000000" w:themeColor="text1"/>
            <w:sz w:val="24"/>
            <w:szCs w:val="24"/>
          </w:rPr>
          <w:t>https://www.gminsights.com/industry-analysis/food-packaging-market</w:t>
        </w:r>
      </w:hyperlink>
      <w:r w:rsidRPr="00D02080">
        <w:rPr>
          <w:rFonts w:ascii="Times New Roman" w:hAnsi="Times New Roman" w:cs="Times New Roman"/>
          <w:color w:val="000000" w:themeColor="text1"/>
          <w:sz w:val="24"/>
          <w:szCs w:val="24"/>
        </w:rPr>
        <w:t xml:space="preserve">. </w:t>
      </w:r>
    </w:p>
    <w:p w14:paraId="4E0D354E"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Green, T. A., Turner, M. L., &amp; Bailey, K. M. (2021). Functionalized carbon nanomaterials for antimicrobial and biodegradable packaging applications. *Green Chemistry*, 23(15), 5678-5692.</w:t>
      </w:r>
    </w:p>
    <w:p w14:paraId="6BC2DFC7"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Ingle, P. U., Ingle, A. P., </w:t>
      </w:r>
      <w:proofErr w:type="spellStart"/>
      <w:r w:rsidRPr="00D02080">
        <w:rPr>
          <w:rFonts w:ascii="Times New Roman" w:hAnsi="Times New Roman" w:cs="Times New Roman"/>
          <w:color w:val="000000" w:themeColor="text1"/>
          <w:sz w:val="24"/>
          <w:szCs w:val="24"/>
        </w:rPr>
        <w:t>Philippini</w:t>
      </w:r>
      <w:proofErr w:type="spellEnd"/>
      <w:r w:rsidRPr="00D02080">
        <w:rPr>
          <w:rFonts w:ascii="Times New Roman" w:hAnsi="Times New Roman" w:cs="Times New Roman"/>
          <w:color w:val="000000" w:themeColor="text1"/>
          <w:sz w:val="24"/>
          <w:szCs w:val="24"/>
        </w:rPr>
        <w:t>, R. R., &amp; Da Silva, S. S. (2023). Emerging role of nanotechnology in precision farming. In </w:t>
      </w:r>
      <w:r w:rsidRPr="00D02080">
        <w:rPr>
          <w:rFonts w:ascii="Times New Roman" w:hAnsi="Times New Roman" w:cs="Times New Roman"/>
          <w:i/>
          <w:iCs/>
          <w:color w:val="000000" w:themeColor="text1"/>
          <w:sz w:val="24"/>
          <w:szCs w:val="24"/>
        </w:rPr>
        <w:t>Elsevier eBooks</w:t>
      </w:r>
      <w:r w:rsidRPr="00D02080">
        <w:rPr>
          <w:rFonts w:ascii="Times New Roman" w:hAnsi="Times New Roman" w:cs="Times New Roman"/>
          <w:color w:val="000000" w:themeColor="text1"/>
          <w:sz w:val="24"/>
          <w:szCs w:val="24"/>
        </w:rPr>
        <w:t> (pp. 71–91). </w:t>
      </w:r>
      <w:hyperlink r:id="rId29" w:history="1">
        <w:r w:rsidRPr="00D02080">
          <w:rPr>
            <w:rStyle w:val="Hyperlink"/>
            <w:rFonts w:ascii="Times New Roman" w:hAnsi="Times New Roman" w:cs="Times New Roman"/>
            <w:color w:val="000000" w:themeColor="text1"/>
            <w:sz w:val="24"/>
            <w:szCs w:val="24"/>
          </w:rPr>
          <w:t>https://doi.org/10.1016/b978-0-323-99446-0.00007-6</w:t>
        </w:r>
      </w:hyperlink>
      <w:r w:rsidRPr="00D02080">
        <w:rPr>
          <w:rFonts w:ascii="Times New Roman" w:hAnsi="Times New Roman" w:cs="Times New Roman"/>
          <w:color w:val="000000" w:themeColor="text1"/>
          <w:sz w:val="24"/>
          <w:szCs w:val="24"/>
        </w:rPr>
        <w:t xml:space="preserve">  </w:t>
      </w:r>
    </w:p>
    <w:p w14:paraId="2E0FCB75"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Jadhav, S., Yadav, H., Sankhla, M. S., </w:t>
      </w:r>
      <w:proofErr w:type="spellStart"/>
      <w:r w:rsidRPr="00D02080">
        <w:rPr>
          <w:rFonts w:ascii="Times New Roman" w:hAnsi="Times New Roman" w:cs="Times New Roman"/>
          <w:color w:val="000000" w:themeColor="text1"/>
          <w:sz w:val="24"/>
          <w:szCs w:val="24"/>
        </w:rPr>
        <w:t>Sonone</w:t>
      </w:r>
      <w:proofErr w:type="spellEnd"/>
      <w:r w:rsidRPr="00D02080">
        <w:rPr>
          <w:rFonts w:ascii="Times New Roman" w:hAnsi="Times New Roman" w:cs="Times New Roman"/>
          <w:color w:val="000000" w:themeColor="text1"/>
          <w:sz w:val="24"/>
          <w:szCs w:val="24"/>
        </w:rPr>
        <w:t>, S. S., Parihar, K., &amp; Singh, P. (2024). Green-Synthesis of nanomaterials for environmental remediation. In </w:t>
      </w:r>
      <w:r w:rsidRPr="00D02080">
        <w:rPr>
          <w:rFonts w:ascii="Times New Roman" w:hAnsi="Times New Roman" w:cs="Times New Roman"/>
          <w:i/>
          <w:iCs/>
          <w:color w:val="000000" w:themeColor="text1"/>
          <w:sz w:val="24"/>
          <w:szCs w:val="24"/>
        </w:rPr>
        <w:t>CRC Press eBooks</w:t>
      </w:r>
      <w:r w:rsidRPr="00D02080">
        <w:rPr>
          <w:rFonts w:ascii="Times New Roman" w:hAnsi="Times New Roman" w:cs="Times New Roman"/>
          <w:color w:val="000000" w:themeColor="text1"/>
          <w:sz w:val="24"/>
          <w:szCs w:val="24"/>
        </w:rPr>
        <w:t> (pp. 84–96). </w:t>
      </w:r>
      <w:hyperlink r:id="rId30" w:history="1">
        <w:r w:rsidRPr="00D02080">
          <w:rPr>
            <w:rStyle w:val="Hyperlink"/>
            <w:rFonts w:ascii="Times New Roman" w:hAnsi="Times New Roman" w:cs="Times New Roman"/>
            <w:color w:val="000000" w:themeColor="text1"/>
            <w:sz w:val="24"/>
            <w:szCs w:val="24"/>
          </w:rPr>
          <w:t>https://doi.org/10.1201/9781003186298-5</w:t>
        </w:r>
      </w:hyperlink>
    </w:p>
    <w:p w14:paraId="2EFD0C37"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Jahani</w:t>
      </w:r>
      <w:proofErr w:type="spellEnd"/>
      <w:r w:rsidRPr="00D02080">
        <w:rPr>
          <w:rFonts w:ascii="Times New Roman" w:hAnsi="Times New Roman" w:cs="Times New Roman"/>
          <w:color w:val="000000" w:themeColor="text1"/>
          <w:sz w:val="24"/>
          <w:szCs w:val="24"/>
        </w:rPr>
        <w:t xml:space="preserve">, A., &amp; </w:t>
      </w:r>
      <w:proofErr w:type="spellStart"/>
      <w:r w:rsidRPr="00D02080">
        <w:rPr>
          <w:rFonts w:ascii="Times New Roman" w:hAnsi="Times New Roman" w:cs="Times New Roman"/>
          <w:color w:val="000000" w:themeColor="text1"/>
          <w:sz w:val="24"/>
          <w:szCs w:val="24"/>
        </w:rPr>
        <w:t>Biglari</w:t>
      </w:r>
      <w:proofErr w:type="spellEnd"/>
      <w:r w:rsidRPr="00D02080">
        <w:rPr>
          <w:rFonts w:ascii="Times New Roman" w:hAnsi="Times New Roman" w:cs="Times New Roman"/>
          <w:color w:val="000000" w:themeColor="text1"/>
          <w:sz w:val="24"/>
          <w:szCs w:val="24"/>
        </w:rPr>
        <w:t>, N. (2024). Zinc oxide nanoparticles: synthesis, properties and their applications in food packaging. </w:t>
      </w:r>
      <w:r w:rsidRPr="00D02080">
        <w:rPr>
          <w:rFonts w:ascii="Times New Roman" w:hAnsi="Times New Roman" w:cs="Times New Roman"/>
          <w:i/>
          <w:iCs/>
          <w:color w:val="000000" w:themeColor="text1"/>
          <w:sz w:val="24"/>
          <w:szCs w:val="24"/>
        </w:rPr>
        <w:t>Materials Chemistry Horizons.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3</w:t>
      </w:r>
      <w:r w:rsidRPr="00D02080">
        <w:rPr>
          <w:rFonts w:ascii="Times New Roman" w:hAnsi="Times New Roman" w:cs="Times New Roman"/>
          <w:color w:val="000000" w:themeColor="text1"/>
          <w:sz w:val="24"/>
          <w:szCs w:val="24"/>
        </w:rPr>
        <w:t>(4), 1–24. </w:t>
      </w:r>
      <w:hyperlink r:id="rId31" w:history="1">
        <w:r w:rsidRPr="00D02080">
          <w:rPr>
            <w:rStyle w:val="Hyperlink"/>
            <w:rFonts w:ascii="Times New Roman" w:hAnsi="Times New Roman" w:cs="Times New Roman"/>
            <w:color w:val="000000" w:themeColor="text1"/>
            <w:sz w:val="24"/>
            <w:szCs w:val="24"/>
          </w:rPr>
          <w:t>https://doi.org/10.61186/mch.2025.1076</w:t>
        </w:r>
      </w:hyperlink>
    </w:p>
    <w:p w14:paraId="3CCA631C"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Jampílek</w:t>
      </w:r>
      <w:proofErr w:type="spellEnd"/>
      <w:r w:rsidRPr="00D02080">
        <w:rPr>
          <w:rFonts w:ascii="Times New Roman" w:hAnsi="Times New Roman" w:cs="Times New Roman"/>
          <w:color w:val="000000" w:themeColor="text1"/>
          <w:sz w:val="24"/>
          <w:szCs w:val="24"/>
        </w:rPr>
        <w:t xml:space="preserve">, J., &amp; </w:t>
      </w:r>
      <w:proofErr w:type="spellStart"/>
      <w:r w:rsidRPr="00D02080">
        <w:rPr>
          <w:rFonts w:ascii="Times New Roman" w:hAnsi="Times New Roman" w:cs="Times New Roman"/>
          <w:color w:val="000000" w:themeColor="text1"/>
          <w:sz w:val="24"/>
          <w:szCs w:val="24"/>
        </w:rPr>
        <w:t>Kráľová</w:t>
      </w:r>
      <w:proofErr w:type="spellEnd"/>
      <w:r w:rsidRPr="00D02080">
        <w:rPr>
          <w:rFonts w:ascii="Times New Roman" w:hAnsi="Times New Roman" w:cs="Times New Roman"/>
          <w:color w:val="000000" w:themeColor="text1"/>
          <w:sz w:val="24"/>
          <w:szCs w:val="24"/>
        </w:rPr>
        <w:t>, K. (2015). Application of nanotechnology in agriculture and food industry, Its prospects and risks. </w:t>
      </w:r>
      <w:r w:rsidRPr="00D02080">
        <w:rPr>
          <w:rFonts w:ascii="Times New Roman" w:hAnsi="Times New Roman" w:cs="Times New Roman"/>
          <w:i/>
          <w:iCs/>
          <w:color w:val="000000" w:themeColor="text1"/>
          <w:sz w:val="24"/>
          <w:szCs w:val="24"/>
        </w:rPr>
        <w:t>Ecological Chemistry and Engineering 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22</w:t>
      </w:r>
      <w:r w:rsidRPr="00D02080">
        <w:rPr>
          <w:rFonts w:ascii="Times New Roman" w:hAnsi="Times New Roman" w:cs="Times New Roman"/>
          <w:color w:val="000000" w:themeColor="text1"/>
          <w:sz w:val="24"/>
          <w:szCs w:val="24"/>
        </w:rPr>
        <w:t>(3), 321–361. </w:t>
      </w:r>
      <w:hyperlink r:id="rId32" w:history="1">
        <w:r w:rsidRPr="00D02080">
          <w:rPr>
            <w:rStyle w:val="Hyperlink"/>
            <w:rFonts w:ascii="Times New Roman" w:hAnsi="Times New Roman" w:cs="Times New Roman"/>
            <w:color w:val="000000" w:themeColor="text1"/>
            <w:sz w:val="24"/>
            <w:szCs w:val="24"/>
          </w:rPr>
          <w:t>https://doi.org/10.1515/eces-2015-0018</w:t>
        </w:r>
      </w:hyperlink>
    </w:p>
    <w:p w14:paraId="3B490DCD"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Jin</w:t>
      </w:r>
      <w:proofErr w:type="spellEnd"/>
      <w:r w:rsidRPr="00D02080">
        <w:rPr>
          <w:rFonts w:ascii="Times New Roman" w:hAnsi="Times New Roman" w:cs="Times New Roman"/>
          <w:color w:val="000000" w:themeColor="text1"/>
          <w:sz w:val="24"/>
          <w:szCs w:val="24"/>
        </w:rPr>
        <w:t xml:space="preserve">, S., &amp; </w:t>
      </w:r>
      <w:proofErr w:type="spellStart"/>
      <w:r w:rsidRPr="00D02080">
        <w:rPr>
          <w:rFonts w:ascii="Times New Roman" w:hAnsi="Times New Roman" w:cs="Times New Roman"/>
          <w:color w:val="000000" w:themeColor="text1"/>
          <w:sz w:val="24"/>
          <w:szCs w:val="24"/>
        </w:rPr>
        <w:t>Jin</w:t>
      </w:r>
      <w:proofErr w:type="spellEnd"/>
      <w:r w:rsidRPr="00D02080">
        <w:rPr>
          <w:rFonts w:ascii="Times New Roman" w:hAnsi="Times New Roman" w:cs="Times New Roman"/>
          <w:color w:val="000000" w:themeColor="text1"/>
          <w:sz w:val="24"/>
          <w:szCs w:val="24"/>
        </w:rPr>
        <w:t>, H. (2021). Antimicrobial Activity of Zinc Oxide Nano/Microparticles and Their Combinations against Pathogenic Microorganisms for Biomedical Applications: From Physicochemical Characteristics to Pharmacological Aspects. </w:t>
      </w:r>
      <w:r w:rsidRPr="00D02080">
        <w:rPr>
          <w:rFonts w:ascii="Times New Roman" w:hAnsi="Times New Roman" w:cs="Times New Roman"/>
          <w:i/>
          <w:iCs/>
          <w:color w:val="000000" w:themeColor="text1"/>
          <w:sz w:val="24"/>
          <w:szCs w:val="24"/>
        </w:rPr>
        <w:t>Nanomaterials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11</w:t>
      </w:r>
      <w:r w:rsidRPr="00D02080">
        <w:rPr>
          <w:rFonts w:ascii="Times New Roman" w:hAnsi="Times New Roman" w:cs="Times New Roman"/>
          <w:color w:val="000000" w:themeColor="text1"/>
          <w:sz w:val="24"/>
          <w:szCs w:val="24"/>
        </w:rPr>
        <w:t>(2), 263. </w:t>
      </w:r>
      <w:hyperlink r:id="rId33" w:history="1">
        <w:r w:rsidRPr="00D02080">
          <w:rPr>
            <w:rStyle w:val="Hyperlink"/>
            <w:rFonts w:ascii="Times New Roman" w:hAnsi="Times New Roman" w:cs="Times New Roman"/>
            <w:color w:val="000000" w:themeColor="text1"/>
            <w:sz w:val="24"/>
            <w:szCs w:val="24"/>
          </w:rPr>
          <w:t>https://doi.org/10.3390/nano11020263</w:t>
        </w:r>
      </w:hyperlink>
    </w:p>
    <w:p w14:paraId="7CA34923"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Jose, S. A., Cowan, N., Davidson, M., </w:t>
      </w:r>
      <w:proofErr w:type="spellStart"/>
      <w:r w:rsidRPr="00D02080">
        <w:rPr>
          <w:rFonts w:ascii="Times New Roman" w:hAnsi="Times New Roman" w:cs="Times New Roman"/>
          <w:color w:val="000000" w:themeColor="text1"/>
          <w:sz w:val="24"/>
          <w:szCs w:val="24"/>
        </w:rPr>
        <w:t>Godina</w:t>
      </w:r>
      <w:proofErr w:type="spellEnd"/>
      <w:r w:rsidRPr="00D02080">
        <w:rPr>
          <w:rFonts w:ascii="Times New Roman" w:hAnsi="Times New Roman" w:cs="Times New Roman"/>
          <w:color w:val="000000" w:themeColor="text1"/>
          <w:sz w:val="24"/>
          <w:szCs w:val="24"/>
        </w:rPr>
        <w:t xml:space="preserve">, G., Smith, I., Xin, J., &amp; Menezes, P. L. (2025). A comprehensive review on cellulose nanofibers, nanomaterials, and composites: </w:t>
      </w:r>
      <w:r w:rsidRPr="00D02080">
        <w:rPr>
          <w:rFonts w:ascii="Times New Roman" w:hAnsi="Times New Roman" w:cs="Times New Roman"/>
          <w:color w:val="000000" w:themeColor="text1"/>
          <w:sz w:val="24"/>
          <w:szCs w:val="24"/>
        </w:rPr>
        <w:lastRenderedPageBreak/>
        <w:t>manufacturing, properties, and applications. </w:t>
      </w:r>
      <w:r w:rsidRPr="00D02080">
        <w:rPr>
          <w:rFonts w:ascii="Times New Roman" w:hAnsi="Times New Roman" w:cs="Times New Roman"/>
          <w:i/>
          <w:iCs/>
          <w:color w:val="000000" w:themeColor="text1"/>
          <w:sz w:val="24"/>
          <w:szCs w:val="24"/>
        </w:rPr>
        <w:t>Nanomaterials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15</w:t>
      </w:r>
      <w:r w:rsidRPr="00D02080">
        <w:rPr>
          <w:rFonts w:ascii="Times New Roman" w:hAnsi="Times New Roman" w:cs="Times New Roman"/>
          <w:color w:val="000000" w:themeColor="text1"/>
          <w:sz w:val="24"/>
          <w:szCs w:val="24"/>
        </w:rPr>
        <w:t>(5), 356. </w:t>
      </w:r>
      <w:hyperlink r:id="rId34" w:history="1">
        <w:r w:rsidRPr="00D02080">
          <w:rPr>
            <w:rStyle w:val="Hyperlink"/>
            <w:rFonts w:ascii="Times New Roman" w:hAnsi="Times New Roman" w:cs="Times New Roman"/>
            <w:color w:val="000000" w:themeColor="text1"/>
            <w:sz w:val="24"/>
            <w:szCs w:val="24"/>
          </w:rPr>
          <w:t>https://doi.org/10.3390/nano15050356</w:t>
        </w:r>
      </w:hyperlink>
    </w:p>
    <w:p w14:paraId="1F39B17D"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Katare</w:t>
      </w:r>
      <w:proofErr w:type="spellEnd"/>
      <w:r w:rsidRPr="00D02080">
        <w:rPr>
          <w:rFonts w:ascii="Times New Roman" w:hAnsi="Times New Roman" w:cs="Times New Roman"/>
          <w:color w:val="000000" w:themeColor="text1"/>
          <w:sz w:val="24"/>
          <w:szCs w:val="24"/>
        </w:rPr>
        <w:t xml:space="preserve">, B. (2013). Consumer willingness to pay for </w:t>
      </w:r>
      <w:proofErr w:type="spellStart"/>
      <w:r w:rsidRPr="00D02080">
        <w:rPr>
          <w:rFonts w:ascii="Times New Roman" w:hAnsi="Times New Roman" w:cs="Times New Roman"/>
          <w:color w:val="000000" w:themeColor="text1"/>
          <w:sz w:val="24"/>
          <w:szCs w:val="24"/>
        </w:rPr>
        <w:t>nano</w:t>
      </w:r>
      <w:proofErr w:type="spellEnd"/>
      <w:r w:rsidRPr="00D02080">
        <w:rPr>
          <w:rFonts w:ascii="Times New Roman" w:hAnsi="Times New Roman" w:cs="Times New Roman"/>
          <w:color w:val="000000" w:themeColor="text1"/>
          <w:sz w:val="24"/>
          <w:szCs w:val="24"/>
        </w:rPr>
        <w:t>-packaged food products: evidence from experimental auctions and visual processing data. </w:t>
      </w:r>
      <w:proofErr w:type="spellStart"/>
      <w:r w:rsidRPr="00D02080">
        <w:rPr>
          <w:rFonts w:ascii="Times New Roman" w:hAnsi="Times New Roman" w:cs="Times New Roman"/>
          <w:i/>
          <w:iCs/>
          <w:color w:val="000000" w:themeColor="text1"/>
          <w:sz w:val="24"/>
          <w:szCs w:val="24"/>
        </w:rPr>
        <w:t>RePEc</w:t>
      </w:r>
      <w:proofErr w:type="spellEnd"/>
      <w:r w:rsidRPr="00D02080">
        <w:rPr>
          <w:rFonts w:ascii="Times New Roman" w:hAnsi="Times New Roman" w:cs="Times New Roman"/>
          <w:i/>
          <w:iCs/>
          <w:color w:val="000000" w:themeColor="text1"/>
          <w:sz w:val="24"/>
          <w:szCs w:val="24"/>
        </w:rPr>
        <w:t>: Research Papers in Economics</w:t>
      </w:r>
      <w:r w:rsidRPr="00D02080">
        <w:rPr>
          <w:rFonts w:ascii="Times New Roman" w:hAnsi="Times New Roman" w:cs="Times New Roman"/>
          <w:color w:val="000000" w:themeColor="text1"/>
          <w:sz w:val="24"/>
          <w:szCs w:val="24"/>
        </w:rPr>
        <w:t>. </w:t>
      </w:r>
      <w:hyperlink r:id="rId35" w:history="1">
        <w:r w:rsidRPr="00D02080">
          <w:rPr>
            <w:rStyle w:val="Hyperlink"/>
            <w:rFonts w:ascii="Times New Roman" w:hAnsi="Times New Roman" w:cs="Times New Roman"/>
            <w:color w:val="000000" w:themeColor="text1"/>
            <w:sz w:val="24"/>
            <w:szCs w:val="24"/>
          </w:rPr>
          <w:t>https://doi.org/10.22004/ag.econ.162233</w:t>
        </w:r>
      </w:hyperlink>
    </w:p>
    <w:p w14:paraId="035ABFF0"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Kuang</w:t>
      </w:r>
      <w:proofErr w:type="spellEnd"/>
      <w:r w:rsidRPr="00D02080">
        <w:rPr>
          <w:rFonts w:ascii="Times New Roman" w:hAnsi="Times New Roman" w:cs="Times New Roman"/>
          <w:color w:val="000000" w:themeColor="text1"/>
          <w:sz w:val="24"/>
          <w:szCs w:val="24"/>
        </w:rPr>
        <w:t xml:space="preserve">, L., Burgess, B., </w:t>
      </w:r>
      <w:proofErr w:type="spellStart"/>
      <w:r w:rsidRPr="00D02080">
        <w:rPr>
          <w:rFonts w:ascii="Times New Roman" w:hAnsi="Times New Roman" w:cs="Times New Roman"/>
          <w:color w:val="000000" w:themeColor="text1"/>
          <w:sz w:val="24"/>
          <w:szCs w:val="24"/>
        </w:rPr>
        <w:t>Cuite</w:t>
      </w:r>
      <w:proofErr w:type="spellEnd"/>
      <w:r w:rsidRPr="00D02080">
        <w:rPr>
          <w:rFonts w:ascii="Times New Roman" w:hAnsi="Times New Roman" w:cs="Times New Roman"/>
          <w:color w:val="000000" w:themeColor="text1"/>
          <w:sz w:val="24"/>
          <w:szCs w:val="24"/>
        </w:rPr>
        <w:t>, C. L., Tepper, B. J., &amp; Hallman, W. K. (2020). Sensory acceptability and willingness to buy foods presented as having benefits achieved through the use of nanotechnology. </w:t>
      </w:r>
      <w:r w:rsidRPr="00D02080">
        <w:rPr>
          <w:rFonts w:ascii="Times New Roman" w:hAnsi="Times New Roman" w:cs="Times New Roman"/>
          <w:i/>
          <w:iCs/>
          <w:color w:val="000000" w:themeColor="text1"/>
          <w:sz w:val="24"/>
          <w:szCs w:val="24"/>
        </w:rPr>
        <w:t>Food Quality and Preference</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83</w:t>
      </w:r>
      <w:r w:rsidRPr="00D02080">
        <w:rPr>
          <w:rFonts w:ascii="Times New Roman" w:hAnsi="Times New Roman" w:cs="Times New Roman"/>
          <w:color w:val="000000" w:themeColor="text1"/>
          <w:sz w:val="24"/>
          <w:szCs w:val="24"/>
        </w:rPr>
        <w:t>, 103922. </w:t>
      </w:r>
      <w:hyperlink r:id="rId36" w:history="1">
        <w:r w:rsidRPr="00D02080">
          <w:rPr>
            <w:rStyle w:val="Hyperlink"/>
            <w:rFonts w:ascii="Times New Roman" w:hAnsi="Times New Roman" w:cs="Times New Roman"/>
            <w:color w:val="000000" w:themeColor="text1"/>
            <w:sz w:val="24"/>
            <w:szCs w:val="24"/>
          </w:rPr>
          <w:t>https://doi.org/10.1016/j.foodqual.2020.103922</w:t>
        </w:r>
      </w:hyperlink>
    </w:p>
    <w:p w14:paraId="4B81FE27"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Kumar, R., &amp; Singh, T. (2024). Nanoencapsulation technologies for bioactive compound delivery in food packaging. *Food Hydrocolloids*, 148, 109-123.</w:t>
      </w:r>
    </w:p>
    <w:p w14:paraId="54FFFF33" w14:textId="77777777" w:rsidR="00EE5B09" w:rsidRPr="0089426A" w:rsidRDefault="00EE5B09" w:rsidP="00EE5B09">
      <w:pPr>
        <w:spacing w:line="276" w:lineRule="auto"/>
        <w:jc w:val="both"/>
        <w:rPr>
          <w:rFonts w:ascii="Times New Roman" w:hAnsi="Times New Roman" w:cs="Times New Roman"/>
          <w:color w:val="000000" w:themeColor="text1"/>
          <w:sz w:val="24"/>
          <w:szCs w:val="24"/>
        </w:rPr>
      </w:pPr>
      <w:proofErr w:type="spellStart"/>
      <w:r w:rsidRPr="0089426A">
        <w:rPr>
          <w:rFonts w:ascii="Times New Roman" w:hAnsi="Times New Roman" w:cs="Times New Roman"/>
          <w:color w:val="000000" w:themeColor="text1"/>
          <w:sz w:val="24"/>
          <w:szCs w:val="24"/>
        </w:rPr>
        <w:t>Lambré</w:t>
      </w:r>
      <w:proofErr w:type="spellEnd"/>
      <w:r w:rsidRPr="0089426A">
        <w:rPr>
          <w:rFonts w:ascii="Times New Roman" w:hAnsi="Times New Roman" w:cs="Times New Roman"/>
          <w:color w:val="000000" w:themeColor="text1"/>
          <w:sz w:val="24"/>
          <w:szCs w:val="24"/>
        </w:rPr>
        <w:t xml:space="preserve">, C., </w:t>
      </w:r>
      <w:proofErr w:type="spellStart"/>
      <w:r w:rsidRPr="0089426A">
        <w:rPr>
          <w:rFonts w:ascii="Times New Roman" w:hAnsi="Times New Roman" w:cs="Times New Roman"/>
          <w:color w:val="000000" w:themeColor="text1"/>
          <w:sz w:val="24"/>
          <w:szCs w:val="24"/>
        </w:rPr>
        <w:t>Baviera</w:t>
      </w:r>
      <w:proofErr w:type="spellEnd"/>
      <w:r w:rsidRPr="0089426A">
        <w:rPr>
          <w:rFonts w:ascii="Times New Roman" w:hAnsi="Times New Roman" w:cs="Times New Roman"/>
          <w:color w:val="000000" w:themeColor="text1"/>
          <w:sz w:val="24"/>
          <w:szCs w:val="24"/>
        </w:rPr>
        <w:t xml:space="preserve">, J. M. B., </w:t>
      </w:r>
      <w:proofErr w:type="spellStart"/>
      <w:r w:rsidRPr="0089426A">
        <w:rPr>
          <w:rFonts w:ascii="Times New Roman" w:hAnsi="Times New Roman" w:cs="Times New Roman"/>
          <w:color w:val="000000" w:themeColor="text1"/>
          <w:sz w:val="24"/>
          <w:szCs w:val="24"/>
        </w:rPr>
        <w:t>Bolognesi</w:t>
      </w:r>
      <w:proofErr w:type="spellEnd"/>
      <w:r w:rsidRPr="0089426A">
        <w:rPr>
          <w:rFonts w:ascii="Times New Roman" w:hAnsi="Times New Roman" w:cs="Times New Roman"/>
          <w:color w:val="000000" w:themeColor="text1"/>
          <w:sz w:val="24"/>
          <w:szCs w:val="24"/>
        </w:rPr>
        <w:t xml:space="preserve">, C., Chesson, A., </w:t>
      </w:r>
      <w:proofErr w:type="spellStart"/>
      <w:r w:rsidRPr="0089426A">
        <w:rPr>
          <w:rFonts w:ascii="Times New Roman" w:hAnsi="Times New Roman" w:cs="Times New Roman"/>
          <w:color w:val="000000" w:themeColor="text1"/>
          <w:sz w:val="24"/>
          <w:szCs w:val="24"/>
        </w:rPr>
        <w:t>Cocconcelli</w:t>
      </w:r>
      <w:proofErr w:type="spellEnd"/>
      <w:r w:rsidRPr="0089426A">
        <w:rPr>
          <w:rFonts w:ascii="Times New Roman" w:hAnsi="Times New Roman" w:cs="Times New Roman"/>
          <w:color w:val="000000" w:themeColor="text1"/>
          <w:sz w:val="24"/>
          <w:szCs w:val="24"/>
        </w:rPr>
        <w:t xml:space="preserve">, P. S., </w:t>
      </w:r>
      <w:proofErr w:type="spellStart"/>
      <w:r w:rsidRPr="0089426A">
        <w:rPr>
          <w:rFonts w:ascii="Times New Roman" w:hAnsi="Times New Roman" w:cs="Times New Roman"/>
          <w:color w:val="000000" w:themeColor="text1"/>
          <w:sz w:val="24"/>
          <w:szCs w:val="24"/>
        </w:rPr>
        <w:t>Crebelli</w:t>
      </w:r>
      <w:proofErr w:type="spellEnd"/>
      <w:r w:rsidRPr="0089426A">
        <w:rPr>
          <w:rFonts w:ascii="Times New Roman" w:hAnsi="Times New Roman" w:cs="Times New Roman"/>
          <w:color w:val="000000" w:themeColor="text1"/>
          <w:sz w:val="24"/>
          <w:szCs w:val="24"/>
        </w:rPr>
        <w:t xml:space="preserve">, R., Gott, D. M., </w:t>
      </w:r>
      <w:proofErr w:type="spellStart"/>
      <w:r w:rsidRPr="0089426A">
        <w:rPr>
          <w:rFonts w:ascii="Times New Roman" w:hAnsi="Times New Roman" w:cs="Times New Roman"/>
          <w:color w:val="000000" w:themeColor="text1"/>
          <w:sz w:val="24"/>
          <w:szCs w:val="24"/>
        </w:rPr>
        <w:t>Grob</w:t>
      </w:r>
      <w:proofErr w:type="spellEnd"/>
      <w:r w:rsidRPr="0089426A">
        <w:rPr>
          <w:rFonts w:ascii="Times New Roman" w:hAnsi="Times New Roman" w:cs="Times New Roman"/>
          <w:color w:val="000000" w:themeColor="text1"/>
          <w:sz w:val="24"/>
          <w:szCs w:val="24"/>
        </w:rPr>
        <w:t xml:space="preserve">, K., </w:t>
      </w:r>
      <w:proofErr w:type="spellStart"/>
      <w:r w:rsidRPr="0089426A">
        <w:rPr>
          <w:rFonts w:ascii="Times New Roman" w:hAnsi="Times New Roman" w:cs="Times New Roman"/>
          <w:color w:val="000000" w:themeColor="text1"/>
          <w:sz w:val="24"/>
          <w:szCs w:val="24"/>
        </w:rPr>
        <w:t>Lampi</w:t>
      </w:r>
      <w:proofErr w:type="spellEnd"/>
      <w:r w:rsidRPr="0089426A">
        <w:rPr>
          <w:rFonts w:ascii="Times New Roman" w:hAnsi="Times New Roman" w:cs="Times New Roman"/>
          <w:color w:val="000000" w:themeColor="text1"/>
          <w:sz w:val="24"/>
          <w:szCs w:val="24"/>
        </w:rPr>
        <w:t xml:space="preserve">, E., </w:t>
      </w:r>
      <w:proofErr w:type="spellStart"/>
      <w:r w:rsidRPr="0089426A">
        <w:rPr>
          <w:rFonts w:ascii="Times New Roman" w:hAnsi="Times New Roman" w:cs="Times New Roman"/>
          <w:color w:val="000000" w:themeColor="text1"/>
          <w:sz w:val="24"/>
          <w:szCs w:val="24"/>
        </w:rPr>
        <w:t>Mengelers</w:t>
      </w:r>
      <w:proofErr w:type="spellEnd"/>
      <w:r w:rsidRPr="0089426A">
        <w:rPr>
          <w:rFonts w:ascii="Times New Roman" w:hAnsi="Times New Roman" w:cs="Times New Roman"/>
          <w:color w:val="000000" w:themeColor="text1"/>
          <w:sz w:val="24"/>
          <w:szCs w:val="24"/>
        </w:rPr>
        <w:t xml:space="preserve">, M., Mortensen, A., </w:t>
      </w:r>
      <w:proofErr w:type="spellStart"/>
      <w:r w:rsidRPr="0089426A">
        <w:rPr>
          <w:rFonts w:ascii="Times New Roman" w:hAnsi="Times New Roman" w:cs="Times New Roman"/>
          <w:color w:val="000000" w:themeColor="text1"/>
          <w:sz w:val="24"/>
          <w:szCs w:val="24"/>
        </w:rPr>
        <w:t>Steffensen</w:t>
      </w:r>
      <w:proofErr w:type="spellEnd"/>
      <w:r w:rsidRPr="0089426A">
        <w:rPr>
          <w:rFonts w:ascii="Times New Roman" w:hAnsi="Times New Roman" w:cs="Times New Roman"/>
          <w:color w:val="000000" w:themeColor="text1"/>
          <w:sz w:val="24"/>
          <w:szCs w:val="24"/>
        </w:rPr>
        <w:t xml:space="preserve">, I., </w:t>
      </w:r>
      <w:proofErr w:type="spellStart"/>
      <w:r w:rsidRPr="0089426A">
        <w:rPr>
          <w:rFonts w:ascii="Times New Roman" w:hAnsi="Times New Roman" w:cs="Times New Roman"/>
          <w:color w:val="000000" w:themeColor="text1"/>
          <w:sz w:val="24"/>
          <w:szCs w:val="24"/>
        </w:rPr>
        <w:t>Tlustos</w:t>
      </w:r>
      <w:proofErr w:type="spellEnd"/>
      <w:r w:rsidRPr="0089426A">
        <w:rPr>
          <w:rFonts w:ascii="Times New Roman" w:hAnsi="Times New Roman" w:cs="Times New Roman"/>
          <w:color w:val="000000" w:themeColor="text1"/>
          <w:sz w:val="24"/>
          <w:szCs w:val="24"/>
        </w:rPr>
        <w:t xml:space="preserve">, C., Van </w:t>
      </w:r>
      <w:proofErr w:type="spellStart"/>
      <w:r w:rsidRPr="0089426A">
        <w:rPr>
          <w:rFonts w:ascii="Times New Roman" w:hAnsi="Times New Roman" w:cs="Times New Roman"/>
          <w:color w:val="000000" w:themeColor="text1"/>
          <w:sz w:val="24"/>
          <w:szCs w:val="24"/>
        </w:rPr>
        <w:t>Loveren</w:t>
      </w:r>
      <w:proofErr w:type="spellEnd"/>
      <w:r w:rsidRPr="0089426A">
        <w:rPr>
          <w:rFonts w:ascii="Times New Roman" w:hAnsi="Times New Roman" w:cs="Times New Roman"/>
          <w:color w:val="000000" w:themeColor="text1"/>
          <w:sz w:val="24"/>
          <w:szCs w:val="24"/>
        </w:rPr>
        <w:t xml:space="preserve">, H., </w:t>
      </w:r>
      <w:proofErr w:type="spellStart"/>
      <w:r w:rsidRPr="0089426A">
        <w:rPr>
          <w:rFonts w:ascii="Times New Roman" w:hAnsi="Times New Roman" w:cs="Times New Roman"/>
          <w:color w:val="000000" w:themeColor="text1"/>
          <w:sz w:val="24"/>
          <w:szCs w:val="24"/>
        </w:rPr>
        <w:t>Vernis</w:t>
      </w:r>
      <w:proofErr w:type="spellEnd"/>
      <w:r w:rsidRPr="0089426A">
        <w:rPr>
          <w:rFonts w:ascii="Times New Roman" w:hAnsi="Times New Roman" w:cs="Times New Roman"/>
          <w:color w:val="000000" w:themeColor="text1"/>
          <w:sz w:val="24"/>
          <w:szCs w:val="24"/>
        </w:rPr>
        <w:t xml:space="preserve">, L., Zorn, H., Castle, L., Di </w:t>
      </w:r>
      <w:proofErr w:type="spellStart"/>
      <w:r w:rsidRPr="0089426A">
        <w:rPr>
          <w:rFonts w:ascii="Times New Roman" w:hAnsi="Times New Roman" w:cs="Times New Roman"/>
          <w:color w:val="000000" w:themeColor="text1"/>
          <w:sz w:val="24"/>
          <w:szCs w:val="24"/>
        </w:rPr>
        <w:t>Consiglio</w:t>
      </w:r>
      <w:proofErr w:type="spellEnd"/>
      <w:r w:rsidRPr="0089426A">
        <w:rPr>
          <w:rFonts w:ascii="Times New Roman" w:hAnsi="Times New Roman" w:cs="Times New Roman"/>
          <w:color w:val="000000" w:themeColor="text1"/>
          <w:sz w:val="24"/>
          <w:szCs w:val="24"/>
        </w:rPr>
        <w:t>, E., Franz, R., . . . Rivière, G. (2021). Safety assessment of the substance silver nanoparticles for use in food contact materials. </w:t>
      </w:r>
      <w:r w:rsidRPr="0089426A">
        <w:rPr>
          <w:rFonts w:ascii="Times New Roman" w:hAnsi="Times New Roman" w:cs="Times New Roman"/>
          <w:i/>
          <w:iCs/>
          <w:color w:val="000000" w:themeColor="text1"/>
          <w:sz w:val="24"/>
          <w:szCs w:val="24"/>
        </w:rPr>
        <w:t>EFSA Journal</w:t>
      </w:r>
      <w:r w:rsidRPr="0089426A">
        <w:rPr>
          <w:rFonts w:ascii="Times New Roman" w:hAnsi="Times New Roman" w:cs="Times New Roman"/>
          <w:color w:val="000000" w:themeColor="text1"/>
          <w:sz w:val="24"/>
          <w:szCs w:val="24"/>
        </w:rPr>
        <w:t>, </w:t>
      </w:r>
      <w:r w:rsidRPr="0089426A">
        <w:rPr>
          <w:rFonts w:ascii="Times New Roman" w:hAnsi="Times New Roman" w:cs="Times New Roman"/>
          <w:i/>
          <w:iCs/>
          <w:color w:val="000000" w:themeColor="text1"/>
          <w:sz w:val="24"/>
          <w:szCs w:val="24"/>
        </w:rPr>
        <w:t>19</w:t>
      </w:r>
      <w:r w:rsidRPr="0089426A">
        <w:rPr>
          <w:rFonts w:ascii="Times New Roman" w:hAnsi="Times New Roman" w:cs="Times New Roman"/>
          <w:color w:val="000000" w:themeColor="text1"/>
          <w:sz w:val="24"/>
          <w:szCs w:val="24"/>
        </w:rPr>
        <w:t>(8). </w:t>
      </w:r>
      <w:hyperlink r:id="rId37" w:history="1">
        <w:r w:rsidRPr="0089426A">
          <w:rPr>
            <w:rStyle w:val="Hyperlink"/>
            <w:rFonts w:ascii="Times New Roman" w:hAnsi="Times New Roman" w:cs="Times New Roman"/>
            <w:color w:val="000000" w:themeColor="text1"/>
            <w:sz w:val="24"/>
            <w:szCs w:val="24"/>
          </w:rPr>
          <w:t>https://doi.org/10.2903/j.efsa.2021.6790</w:t>
        </w:r>
      </w:hyperlink>
      <w:r w:rsidRPr="00D02080">
        <w:rPr>
          <w:rFonts w:ascii="Times New Roman" w:hAnsi="Times New Roman" w:cs="Times New Roman"/>
          <w:color w:val="000000" w:themeColor="text1"/>
          <w:sz w:val="24"/>
          <w:szCs w:val="24"/>
        </w:rPr>
        <w:t xml:space="preserve"> </w:t>
      </w:r>
    </w:p>
    <w:p w14:paraId="7BEE29FB"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Lee, S. J., Yoon, S. J., &amp; Jeon, I. (2022). Graphene/Polymer nanocomposites: preparation, mechanical properties, and application. </w:t>
      </w:r>
      <w:r w:rsidRPr="00D02080">
        <w:rPr>
          <w:rFonts w:ascii="Times New Roman" w:hAnsi="Times New Roman" w:cs="Times New Roman"/>
          <w:i/>
          <w:iCs/>
          <w:color w:val="000000" w:themeColor="text1"/>
          <w:sz w:val="24"/>
          <w:szCs w:val="24"/>
        </w:rPr>
        <w:t>Polymers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14</w:t>
      </w:r>
      <w:r w:rsidRPr="00D02080">
        <w:rPr>
          <w:rFonts w:ascii="Times New Roman" w:hAnsi="Times New Roman" w:cs="Times New Roman"/>
          <w:color w:val="000000" w:themeColor="text1"/>
          <w:sz w:val="24"/>
          <w:szCs w:val="24"/>
        </w:rPr>
        <w:t>(21), 4733. </w:t>
      </w:r>
      <w:hyperlink r:id="rId38" w:history="1">
        <w:r w:rsidRPr="00D02080">
          <w:rPr>
            <w:rStyle w:val="Hyperlink"/>
            <w:rFonts w:ascii="Times New Roman" w:hAnsi="Times New Roman" w:cs="Times New Roman"/>
            <w:color w:val="000000" w:themeColor="text1"/>
            <w:sz w:val="24"/>
            <w:szCs w:val="24"/>
          </w:rPr>
          <w:t>https://doi.org/10.3390/polym14214733</w:t>
        </w:r>
      </w:hyperlink>
    </w:p>
    <w:p w14:paraId="7ACD75F2"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Li, J., Zhang, D., &amp; Hou, C. (2024). Application of Nano-Titanium dioxide in food antibacterial packaging materials. </w:t>
      </w:r>
      <w:r w:rsidRPr="00D02080">
        <w:rPr>
          <w:rFonts w:ascii="Times New Roman" w:hAnsi="Times New Roman" w:cs="Times New Roman"/>
          <w:i/>
          <w:iCs/>
          <w:color w:val="000000" w:themeColor="text1"/>
          <w:sz w:val="24"/>
          <w:szCs w:val="24"/>
        </w:rPr>
        <w:t>Bioengineering</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12</w:t>
      </w:r>
      <w:r w:rsidRPr="00D02080">
        <w:rPr>
          <w:rFonts w:ascii="Times New Roman" w:hAnsi="Times New Roman" w:cs="Times New Roman"/>
          <w:color w:val="000000" w:themeColor="text1"/>
          <w:sz w:val="24"/>
          <w:szCs w:val="24"/>
        </w:rPr>
        <w:t>(1), 19. </w:t>
      </w:r>
      <w:hyperlink r:id="rId39" w:history="1">
        <w:r w:rsidRPr="00D02080">
          <w:rPr>
            <w:rStyle w:val="Hyperlink"/>
            <w:rFonts w:ascii="Times New Roman" w:hAnsi="Times New Roman" w:cs="Times New Roman"/>
            <w:color w:val="000000" w:themeColor="text1"/>
            <w:sz w:val="24"/>
            <w:szCs w:val="24"/>
          </w:rPr>
          <w:t>https://doi.org/10.3390/bioengineering12010019</w:t>
        </w:r>
      </w:hyperlink>
      <w:r w:rsidRPr="00D02080">
        <w:rPr>
          <w:rFonts w:ascii="Times New Roman" w:hAnsi="Times New Roman" w:cs="Times New Roman"/>
          <w:color w:val="000000" w:themeColor="text1"/>
          <w:sz w:val="24"/>
          <w:szCs w:val="24"/>
        </w:rPr>
        <w:t xml:space="preserve"> </w:t>
      </w:r>
    </w:p>
    <w:p w14:paraId="3732B72E"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Li, Z., Liu, H., &amp; Li, Y. (2023). Study on Mechanical Properties of Carbon Nanotube reinforced composites. </w:t>
      </w:r>
      <w:r w:rsidRPr="00D02080">
        <w:rPr>
          <w:rFonts w:ascii="Times New Roman" w:hAnsi="Times New Roman" w:cs="Times New Roman"/>
          <w:i/>
          <w:iCs/>
          <w:color w:val="000000" w:themeColor="text1"/>
          <w:sz w:val="24"/>
          <w:szCs w:val="24"/>
        </w:rPr>
        <w:t>Polymers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15</w:t>
      </w:r>
      <w:r w:rsidRPr="00D02080">
        <w:rPr>
          <w:rFonts w:ascii="Times New Roman" w:hAnsi="Times New Roman" w:cs="Times New Roman"/>
          <w:color w:val="000000" w:themeColor="text1"/>
          <w:sz w:val="24"/>
          <w:szCs w:val="24"/>
        </w:rPr>
        <w:t>(16), 3362. </w:t>
      </w:r>
      <w:hyperlink r:id="rId40" w:history="1">
        <w:r w:rsidRPr="00D02080">
          <w:rPr>
            <w:rStyle w:val="Hyperlink"/>
            <w:rFonts w:ascii="Times New Roman" w:hAnsi="Times New Roman" w:cs="Times New Roman"/>
            <w:color w:val="000000" w:themeColor="text1"/>
            <w:sz w:val="24"/>
            <w:szCs w:val="24"/>
          </w:rPr>
          <w:t>https://doi.org/10.3390/polym15163362</w:t>
        </w:r>
      </w:hyperlink>
    </w:p>
    <w:p w14:paraId="2FAA39B3"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Liu, D., Zhang, C., Pu, Y., Chen, S., Liu, L., Cui, Z., &amp; Zhong, Y. (2022). Recent advances in PH-Responsive Freshness indicators using natural food colorants to monitor food freshness. </w:t>
      </w:r>
      <w:r w:rsidRPr="00D02080">
        <w:rPr>
          <w:rFonts w:ascii="Times New Roman" w:hAnsi="Times New Roman" w:cs="Times New Roman"/>
          <w:i/>
          <w:iCs/>
          <w:color w:val="000000" w:themeColor="text1"/>
          <w:sz w:val="24"/>
          <w:szCs w:val="24"/>
        </w:rPr>
        <w:t>Foods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11</w:t>
      </w:r>
      <w:r w:rsidRPr="00D02080">
        <w:rPr>
          <w:rFonts w:ascii="Times New Roman" w:hAnsi="Times New Roman" w:cs="Times New Roman"/>
          <w:color w:val="000000" w:themeColor="text1"/>
          <w:sz w:val="24"/>
          <w:szCs w:val="24"/>
        </w:rPr>
        <w:t>(13), 1884. </w:t>
      </w:r>
      <w:hyperlink r:id="rId41" w:history="1">
        <w:r w:rsidRPr="00D02080">
          <w:rPr>
            <w:rStyle w:val="Hyperlink"/>
            <w:rFonts w:ascii="Times New Roman" w:hAnsi="Times New Roman" w:cs="Times New Roman"/>
            <w:color w:val="000000" w:themeColor="text1"/>
            <w:sz w:val="24"/>
            <w:szCs w:val="24"/>
          </w:rPr>
          <w:t>https://doi.org/10.3390/foods11131884</w:t>
        </w:r>
      </w:hyperlink>
    </w:p>
    <w:p w14:paraId="307467A3"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Mahato</w:t>
      </w:r>
      <w:proofErr w:type="spellEnd"/>
      <w:r w:rsidRPr="00D02080">
        <w:rPr>
          <w:rFonts w:ascii="Times New Roman" w:hAnsi="Times New Roman" w:cs="Times New Roman"/>
          <w:color w:val="000000" w:themeColor="text1"/>
          <w:sz w:val="24"/>
          <w:szCs w:val="24"/>
        </w:rPr>
        <w:t>, D. K., Mishra, A. K., &amp; Kumar, P. (2021). Nanoencapsulation for Agri-Food applications and associated health and environmental concerns. </w:t>
      </w:r>
      <w:r w:rsidRPr="00D02080">
        <w:rPr>
          <w:rFonts w:ascii="Times New Roman" w:hAnsi="Times New Roman" w:cs="Times New Roman"/>
          <w:i/>
          <w:iCs/>
          <w:color w:val="000000" w:themeColor="text1"/>
          <w:sz w:val="24"/>
          <w:szCs w:val="24"/>
        </w:rPr>
        <w:t>Frontiers in Nutrition</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8</w:t>
      </w:r>
      <w:r w:rsidRPr="00D02080">
        <w:rPr>
          <w:rFonts w:ascii="Times New Roman" w:hAnsi="Times New Roman" w:cs="Times New Roman"/>
          <w:color w:val="000000" w:themeColor="text1"/>
          <w:sz w:val="24"/>
          <w:szCs w:val="24"/>
        </w:rPr>
        <w:t>. </w:t>
      </w:r>
      <w:hyperlink r:id="rId42" w:history="1">
        <w:r w:rsidRPr="00D02080">
          <w:rPr>
            <w:rStyle w:val="Hyperlink"/>
            <w:rFonts w:ascii="Times New Roman" w:hAnsi="Times New Roman" w:cs="Times New Roman"/>
            <w:color w:val="000000" w:themeColor="text1"/>
            <w:sz w:val="24"/>
            <w:szCs w:val="24"/>
          </w:rPr>
          <w:t>https://doi.org/10.3389/fnut.2021.663229</w:t>
        </w:r>
      </w:hyperlink>
    </w:p>
    <w:p w14:paraId="7CB8A95C"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Mandal, A. K., </w:t>
      </w:r>
      <w:proofErr w:type="spellStart"/>
      <w:r w:rsidRPr="00D02080">
        <w:rPr>
          <w:rFonts w:ascii="Times New Roman" w:hAnsi="Times New Roman" w:cs="Times New Roman"/>
          <w:color w:val="000000" w:themeColor="text1"/>
          <w:sz w:val="24"/>
          <w:szCs w:val="24"/>
        </w:rPr>
        <w:t>Katuwal</w:t>
      </w:r>
      <w:proofErr w:type="spellEnd"/>
      <w:r w:rsidRPr="00D02080">
        <w:rPr>
          <w:rFonts w:ascii="Times New Roman" w:hAnsi="Times New Roman" w:cs="Times New Roman"/>
          <w:color w:val="000000" w:themeColor="text1"/>
          <w:sz w:val="24"/>
          <w:szCs w:val="24"/>
        </w:rPr>
        <w:t xml:space="preserve">, S., </w:t>
      </w:r>
      <w:proofErr w:type="spellStart"/>
      <w:r w:rsidRPr="00D02080">
        <w:rPr>
          <w:rFonts w:ascii="Times New Roman" w:hAnsi="Times New Roman" w:cs="Times New Roman"/>
          <w:color w:val="000000" w:themeColor="text1"/>
          <w:sz w:val="24"/>
          <w:szCs w:val="24"/>
        </w:rPr>
        <w:t>Tettey</w:t>
      </w:r>
      <w:proofErr w:type="spellEnd"/>
      <w:r w:rsidRPr="00D02080">
        <w:rPr>
          <w:rFonts w:ascii="Times New Roman" w:hAnsi="Times New Roman" w:cs="Times New Roman"/>
          <w:color w:val="000000" w:themeColor="text1"/>
          <w:sz w:val="24"/>
          <w:szCs w:val="24"/>
        </w:rPr>
        <w:t xml:space="preserve">, F., Gupta, A., Bhattarai, S., </w:t>
      </w:r>
      <w:proofErr w:type="spellStart"/>
      <w:r w:rsidRPr="00D02080">
        <w:rPr>
          <w:rFonts w:ascii="Times New Roman" w:hAnsi="Times New Roman" w:cs="Times New Roman"/>
          <w:color w:val="000000" w:themeColor="text1"/>
          <w:sz w:val="24"/>
          <w:szCs w:val="24"/>
        </w:rPr>
        <w:t>Jaisi</w:t>
      </w:r>
      <w:proofErr w:type="spellEnd"/>
      <w:r w:rsidRPr="00D02080">
        <w:rPr>
          <w:rFonts w:ascii="Times New Roman" w:hAnsi="Times New Roman" w:cs="Times New Roman"/>
          <w:color w:val="000000" w:themeColor="text1"/>
          <w:sz w:val="24"/>
          <w:szCs w:val="24"/>
        </w:rPr>
        <w:t xml:space="preserve">, S., Bhandari, D. P., Shah, A. K., Bhattarai, N., &amp; </w:t>
      </w:r>
      <w:proofErr w:type="spellStart"/>
      <w:r w:rsidRPr="00D02080">
        <w:rPr>
          <w:rFonts w:ascii="Times New Roman" w:hAnsi="Times New Roman" w:cs="Times New Roman"/>
          <w:color w:val="000000" w:themeColor="text1"/>
          <w:sz w:val="24"/>
          <w:szCs w:val="24"/>
        </w:rPr>
        <w:t>Parajuli</w:t>
      </w:r>
      <w:proofErr w:type="spellEnd"/>
      <w:r w:rsidRPr="00D02080">
        <w:rPr>
          <w:rFonts w:ascii="Times New Roman" w:hAnsi="Times New Roman" w:cs="Times New Roman"/>
          <w:color w:val="000000" w:themeColor="text1"/>
          <w:sz w:val="24"/>
          <w:szCs w:val="24"/>
        </w:rPr>
        <w:t>, N. (2022). Current research on Zinc oxide nanoparticles: synthesis, characterization, and biomedical applications. </w:t>
      </w:r>
      <w:r w:rsidRPr="00D02080">
        <w:rPr>
          <w:rFonts w:ascii="Times New Roman" w:hAnsi="Times New Roman" w:cs="Times New Roman"/>
          <w:i/>
          <w:iCs/>
          <w:color w:val="000000" w:themeColor="text1"/>
          <w:sz w:val="24"/>
          <w:szCs w:val="24"/>
        </w:rPr>
        <w:t>Nanomaterials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12</w:t>
      </w:r>
      <w:r w:rsidRPr="00D02080">
        <w:rPr>
          <w:rFonts w:ascii="Times New Roman" w:hAnsi="Times New Roman" w:cs="Times New Roman"/>
          <w:color w:val="000000" w:themeColor="text1"/>
          <w:sz w:val="24"/>
          <w:szCs w:val="24"/>
        </w:rPr>
        <w:t>(17), 3066. </w:t>
      </w:r>
      <w:hyperlink r:id="rId43" w:history="1">
        <w:r w:rsidRPr="00D02080">
          <w:rPr>
            <w:rStyle w:val="Hyperlink"/>
            <w:rFonts w:ascii="Times New Roman" w:hAnsi="Times New Roman" w:cs="Times New Roman"/>
            <w:color w:val="000000" w:themeColor="text1"/>
            <w:sz w:val="24"/>
            <w:szCs w:val="24"/>
          </w:rPr>
          <w:t>https://doi.org/10.3390/nano12173066</w:t>
        </w:r>
      </w:hyperlink>
    </w:p>
    <w:p w14:paraId="534623C2"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Mani, R., Kumar, J. V., Murugesan, B., </w:t>
      </w:r>
      <w:proofErr w:type="spellStart"/>
      <w:r w:rsidRPr="00D02080">
        <w:rPr>
          <w:rFonts w:ascii="Times New Roman" w:hAnsi="Times New Roman" w:cs="Times New Roman"/>
          <w:color w:val="000000" w:themeColor="text1"/>
          <w:sz w:val="24"/>
          <w:szCs w:val="24"/>
        </w:rPr>
        <w:t>Alaguthevar</w:t>
      </w:r>
      <w:proofErr w:type="spellEnd"/>
      <w:r w:rsidRPr="00D02080">
        <w:rPr>
          <w:rFonts w:ascii="Times New Roman" w:hAnsi="Times New Roman" w:cs="Times New Roman"/>
          <w:color w:val="000000" w:themeColor="text1"/>
          <w:sz w:val="24"/>
          <w:szCs w:val="24"/>
        </w:rPr>
        <w:t xml:space="preserve">, R., &amp; </w:t>
      </w:r>
      <w:proofErr w:type="spellStart"/>
      <w:r w:rsidRPr="00D02080">
        <w:rPr>
          <w:rFonts w:ascii="Times New Roman" w:hAnsi="Times New Roman" w:cs="Times New Roman"/>
          <w:color w:val="000000" w:themeColor="text1"/>
          <w:sz w:val="24"/>
          <w:szCs w:val="24"/>
        </w:rPr>
        <w:t>Rhim</w:t>
      </w:r>
      <w:proofErr w:type="spellEnd"/>
      <w:r w:rsidRPr="00D02080">
        <w:rPr>
          <w:rFonts w:ascii="Times New Roman" w:hAnsi="Times New Roman" w:cs="Times New Roman"/>
          <w:color w:val="000000" w:themeColor="text1"/>
          <w:sz w:val="24"/>
          <w:szCs w:val="24"/>
        </w:rPr>
        <w:t>, J. (2025). Smart Sensors in food packaging: sensor technology for Real‐Time food safety and quality monitoring. </w:t>
      </w:r>
      <w:r w:rsidRPr="00D02080">
        <w:rPr>
          <w:rFonts w:ascii="Times New Roman" w:hAnsi="Times New Roman" w:cs="Times New Roman"/>
          <w:i/>
          <w:iCs/>
          <w:color w:val="000000" w:themeColor="text1"/>
          <w:sz w:val="24"/>
          <w:szCs w:val="24"/>
        </w:rPr>
        <w:t>Journal of Food Process Engineering</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48</w:t>
      </w:r>
      <w:r w:rsidRPr="00D02080">
        <w:rPr>
          <w:rFonts w:ascii="Times New Roman" w:hAnsi="Times New Roman" w:cs="Times New Roman"/>
          <w:color w:val="000000" w:themeColor="text1"/>
          <w:sz w:val="24"/>
          <w:szCs w:val="24"/>
        </w:rPr>
        <w:t>(4). </w:t>
      </w:r>
      <w:hyperlink r:id="rId44" w:history="1">
        <w:r w:rsidRPr="00D02080">
          <w:rPr>
            <w:rStyle w:val="Hyperlink"/>
            <w:rFonts w:ascii="Times New Roman" w:hAnsi="Times New Roman" w:cs="Times New Roman"/>
            <w:color w:val="000000" w:themeColor="text1"/>
            <w:sz w:val="24"/>
            <w:szCs w:val="24"/>
          </w:rPr>
          <w:t>https://doi.org/10.1111/jfpe.70120</w:t>
        </w:r>
      </w:hyperlink>
    </w:p>
    <w:p w14:paraId="44D6B4B3"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lastRenderedPageBreak/>
        <w:t xml:space="preserve">Manickam, V., </w:t>
      </w:r>
      <w:proofErr w:type="spellStart"/>
      <w:r w:rsidRPr="00D02080">
        <w:rPr>
          <w:rFonts w:ascii="Times New Roman" w:hAnsi="Times New Roman" w:cs="Times New Roman"/>
          <w:color w:val="000000" w:themeColor="text1"/>
          <w:sz w:val="24"/>
          <w:szCs w:val="24"/>
        </w:rPr>
        <w:t>Velusamy</w:t>
      </w:r>
      <w:proofErr w:type="spellEnd"/>
      <w:r w:rsidRPr="00D02080">
        <w:rPr>
          <w:rFonts w:ascii="Times New Roman" w:hAnsi="Times New Roman" w:cs="Times New Roman"/>
          <w:color w:val="000000" w:themeColor="text1"/>
          <w:sz w:val="24"/>
          <w:szCs w:val="24"/>
        </w:rPr>
        <w:t xml:space="preserve">, R. K., </w:t>
      </w:r>
      <w:proofErr w:type="spellStart"/>
      <w:r w:rsidRPr="00D02080">
        <w:rPr>
          <w:rFonts w:ascii="Times New Roman" w:hAnsi="Times New Roman" w:cs="Times New Roman"/>
          <w:color w:val="000000" w:themeColor="text1"/>
          <w:sz w:val="24"/>
          <w:szCs w:val="24"/>
        </w:rPr>
        <w:t>Lochana</w:t>
      </w:r>
      <w:proofErr w:type="spellEnd"/>
      <w:r w:rsidRPr="00D02080">
        <w:rPr>
          <w:rFonts w:ascii="Times New Roman" w:hAnsi="Times New Roman" w:cs="Times New Roman"/>
          <w:color w:val="000000" w:themeColor="text1"/>
          <w:sz w:val="24"/>
          <w:szCs w:val="24"/>
        </w:rPr>
        <w:t xml:space="preserve">, R., </w:t>
      </w:r>
      <w:proofErr w:type="spellStart"/>
      <w:r w:rsidRPr="00D02080">
        <w:rPr>
          <w:rFonts w:ascii="Times New Roman" w:hAnsi="Times New Roman" w:cs="Times New Roman"/>
          <w:color w:val="000000" w:themeColor="text1"/>
          <w:sz w:val="24"/>
          <w:szCs w:val="24"/>
        </w:rPr>
        <w:t>Amiti</w:t>
      </w:r>
      <w:proofErr w:type="spellEnd"/>
      <w:r w:rsidRPr="00D02080">
        <w:rPr>
          <w:rFonts w:ascii="Times New Roman" w:hAnsi="Times New Roman" w:cs="Times New Roman"/>
          <w:color w:val="000000" w:themeColor="text1"/>
          <w:sz w:val="24"/>
          <w:szCs w:val="24"/>
        </w:rPr>
        <w:t xml:space="preserve">, N., Rajendran, B., &amp; </w:t>
      </w:r>
      <w:proofErr w:type="spellStart"/>
      <w:r w:rsidRPr="00D02080">
        <w:rPr>
          <w:rFonts w:ascii="Times New Roman" w:hAnsi="Times New Roman" w:cs="Times New Roman"/>
          <w:color w:val="000000" w:themeColor="text1"/>
          <w:sz w:val="24"/>
          <w:szCs w:val="24"/>
        </w:rPr>
        <w:t>Tamizhselvi</w:t>
      </w:r>
      <w:proofErr w:type="spellEnd"/>
      <w:r w:rsidRPr="00D02080">
        <w:rPr>
          <w:rFonts w:ascii="Times New Roman" w:hAnsi="Times New Roman" w:cs="Times New Roman"/>
          <w:color w:val="000000" w:themeColor="text1"/>
          <w:sz w:val="24"/>
          <w:szCs w:val="24"/>
        </w:rPr>
        <w:t>, R. (2017). Applications and genotoxicity of nanomaterials in the food industry. </w:t>
      </w:r>
      <w:r w:rsidRPr="00D02080">
        <w:rPr>
          <w:rFonts w:ascii="Times New Roman" w:hAnsi="Times New Roman" w:cs="Times New Roman"/>
          <w:i/>
          <w:iCs/>
          <w:color w:val="000000" w:themeColor="text1"/>
          <w:sz w:val="24"/>
          <w:szCs w:val="24"/>
        </w:rPr>
        <w:t>Environmental Chemistry Letters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15</w:t>
      </w:r>
      <w:r w:rsidRPr="00D02080">
        <w:rPr>
          <w:rFonts w:ascii="Times New Roman" w:hAnsi="Times New Roman" w:cs="Times New Roman"/>
          <w:color w:val="000000" w:themeColor="text1"/>
          <w:sz w:val="24"/>
          <w:szCs w:val="24"/>
        </w:rPr>
        <w:t>(3), 399–412. </w:t>
      </w:r>
      <w:hyperlink r:id="rId45" w:history="1">
        <w:r w:rsidRPr="00D02080">
          <w:rPr>
            <w:rStyle w:val="Hyperlink"/>
            <w:rFonts w:ascii="Times New Roman" w:hAnsi="Times New Roman" w:cs="Times New Roman"/>
            <w:color w:val="000000" w:themeColor="text1"/>
            <w:sz w:val="24"/>
            <w:szCs w:val="24"/>
          </w:rPr>
          <w:t>https://doi.org/10.1007/s10311-017-0633-3</w:t>
        </w:r>
      </w:hyperlink>
    </w:p>
    <w:p w14:paraId="7BDF0E17"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Marchant, G. E., Sylvester, D. J., Abbott, K. W., &amp; </w:t>
      </w:r>
      <w:proofErr w:type="spellStart"/>
      <w:r w:rsidRPr="00D02080">
        <w:rPr>
          <w:rFonts w:ascii="Times New Roman" w:hAnsi="Times New Roman" w:cs="Times New Roman"/>
          <w:color w:val="000000" w:themeColor="text1"/>
          <w:sz w:val="24"/>
          <w:szCs w:val="24"/>
        </w:rPr>
        <w:t>Danforth</w:t>
      </w:r>
      <w:proofErr w:type="spellEnd"/>
      <w:r w:rsidRPr="00D02080">
        <w:rPr>
          <w:rFonts w:ascii="Times New Roman" w:hAnsi="Times New Roman" w:cs="Times New Roman"/>
          <w:color w:val="000000" w:themeColor="text1"/>
          <w:sz w:val="24"/>
          <w:szCs w:val="24"/>
        </w:rPr>
        <w:t>, T. L. (2010). International Harmonization of Regulation of Nanomedicine. </w:t>
      </w:r>
      <w:r w:rsidRPr="00D02080">
        <w:rPr>
          <w:rFonts w:ascii="Times New Roman" w:hAnsi="Times New Roman" w:cs="Times New Roman"/>
          <w:i/>
          <w:iCs/>
          <w:color w:val="000000" w:themeColor="text1"/>
          <w:sz w:val="24"/>
          <w:szCs w:val="24"/>
        </w:rPr>
        <w:t>Studies in Ethics Law and Technology</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3</w:t>
      </w:r>
      <w:r w:rsidRPr="00D02080">
        <w:rPr>
          <w:rFonts w:ascii="Times New Roman" w:hAnsi="Times New Roman" w:cs="Times New Roman"/>
          <w:color w:val="000000" w:themeColor="text1"/>
          <w:sz w:val="24"/>
          <w:szCs w:val="24"/>
        </w:rPr>
        <w:t>(3). </w:t>
      </w:r>
      <w:hyperlink r:id="rId46" w:history="1">
        <w:r w:rsidRPr="00D02080">
          <w:rPr>
            <w:rStyle w:val="Hyperlink"/>
            <w:rFonts w:ascii="Times New Roman" w:hAnsi="Times New Roman" w:cs="Times New Roman"/>
            <w:color w:val="000000" w:themeColor="text1"/>
            <w:sz w:val="24"/>
            <w:szCs w:val="24"/>
          </w:rPr>
          <w:t>https://doi.org/10.2202/1941-6008.1120</w:t>
        </w:r>
      </w:hyperlink>
    </w:p>
    <w:p w14:paraId="372C8B1B"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Martin, A., &amp; Sarkar, A. (2019). In vitro toxicity testing of nanomaterials. In </w:t>
      </w:r>
      <w:proofErr w:type="spellStart"/>
      <w:r w:rsidRPr="00D02080">
        <w:rPr>
          <w:rFonts w:ascii="Times New Roman" w:hAnsi="Times New Roman" w:cs="Times New Roman"/>
          <w:i/>
          <w:iCs/>
          <w:color w:val="000000" w:themeColor="text1"/>
          <w:sz w:val="24"/>
          <w:szCs w:val="24"/>
        </w:rPr>
        <w:t>IntechOpen</w:t>
      </w:r>
      <w:proofErr w:type="spellEnd"/>
      <w:r w:rsidRPr="00D02080">
        <w:rPr>
          <w:rFonts w:ascii="Times New Roman" w:hAnsi="Times New Roman" w:cs="Times New Roman"/>
          <w:i/>
          <w:iCs/>
          <w:color w:val="000000" w:themeColor="text1"/>
          <w:sz w:val="24"/>
          <w:szCs w:val="24"/>
        </w:rPr>
        <w:t xml:space="preserve"> eBooks</w:t>
      </w:r>
      <w:r w:rsidRPr="00D02080">
        <w:rPr>
          <w:rFonts w:ascii="Times New Roman" w:hAnsi="Times New Roman" w:cs="Times New Roman"/>
          <w:color w:val="000000" w:themeColor="text1"/>
          <w:sz w:val="24"/>
          <w:szCs w:val="24"/>
        </w:rPr>
        <w:t>. </w:t>
      </w:r>
      <w:hyperlink r:id="rId47" w:history="1">
        <w:r w:rsidRPr="00D02080">
          <w:rPr>
            <w:rStyle w:val="Hyperlink"/>
            <w:rFonts w:ascii="Times New Roman" w:hAnsi="Times New Roman" w:cs="Times New Roman"/>
            <w:color w:val="000000" w:themeColor="text1"/>
            <w:sz w:val="24"/>
            <w:szCs w:val="24"/>
          </w:rPr>
          <w:t>https://doi.org/10.5772/intechopen.80818</w:t>
        </w:r>
      </w:hyperlink>
    </w:p>
    <w:p w14:paraId="42E1634D"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Mateo, S., </w:t>
      </w:r>
      <w:proofErr w:type="spellStart"/>
      <w:r w:rsidRPr="00D02080">
        <w:rPr>
          <w:rFonts w:ascii="Times New Roman" w:hAnsi="Times New Roman" w:cs="Times New Roman"/>
          <w:color w:val="000000" w:themeColor="text1"/>
          <w:sz w:val="24"/>
          <w:szCs w:val="24"/>
        </w:rPr>
        <w:t>Peinado</w:t>
      </w:r>
      <w:proofErr w:type="spellEnd"/>
      <w:r w:rsidRPr="00D02080">
        <w:rPr>
          <w:rFonts w:ascii="Times New Roman" w:hAnsi="Times New Roman" w:cs="Times New Roman"/>
          <w:color w:val="000000" w:themeColor="text1"/>
          <w:sz w:val="24"/>
          <w:szCs w:val="24"/>
        </w:rPr>
        <w:t xml:space="preserve">, S., </w:t>
      </w:r>
      <w:proofErr w:type="spellStart"/>
      <w:r w:rsidRPr="00D02080">
        <w:rPr>
          <w:rFonts w:ascii="Times New Roman" w:hAnsi="Times New Roman" w:cs="Times New Roman"/>
          <w:color w:val="000000" w:themeColor="text1"/>
          <w:sz w:val="24"/>
          <w:szCs w:val="24"/>
        </w:rPr>
        <w:t>Morillas</w:t>
      </w:r>
      <w:proofErr w:type="spellEnd"/>
      <w:r w:rsidRPr="00D02080">
        <w:rPr>
          <w:rFonts w:ascii="Times New Roman" w:hAnsi="Times New Roman" w:cs="Times New Roman"/>
          <w:color w:val="000000" w:themeColor="text1"/>
          <w:sz w:val="24"/>
          <w:szCs w:val="24"/>
        </w:rPr>
        <w:t xml:space="preserve">-Gutiérrez, F., La </w:t>
      </w:r>
      <w:proofErr w:type="spellStart"/>
      <w:r w:rsidRPr="00D02080">
        <w:rPr>
          <w:rFonts w:ascii="Times New Roman" w:hAnsi="Times New Roman" w:cs="Times New Roman"/>
          <w:color w:val="000000" w:themeColor="text1"/>
          <w:sz w:val="24"/>
          <w:szCs w:val="24"/>
        </w:rPr>
        <w:t>Rubia</w:t>
      </w:r>
      <w:proofErr w:type="spellEnd"/>
      <w:r w:rsidRPr="00D02080">
        <w:rPr>
          <w:rFonts w:ascii="Times New Roman" w:hAnsi="Times New Roman" w:cs="Times New Roman"/>
          <w:color w:val="000000" w:themeColor="text1"/>
          <w:sz w:val="24"/>
          <w:szCs w:val="24"/>
        </w:rPr>
        <w:t>, M. D., &amp; Moya, A. J. (2021). Nanocellulose from Agricultural Wastes: Products and Applications—A Review. </w:t>
      </w:r>
      <w:r w:rsidRPr="00D02080">
        <w:rPr>
          <w:rFonts w:ascii="Times New Roman" w:hAnsi="Times New Roman" w:cs="Times New Roman"/>
          <w:i/>
          <w:iCs/>
          <w:color w:val="000000" w:themeColor="text1"/>
          <w:sz w:val="24"/>
          <w:szCs w:val="24"/>
        </w:rPr>
        <w:t>Processes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9</w:t>
      </w:r>
      <w:r w:rsidRPr="00D02080">
        <w:rPr>
          <w:rFonts w:ascii="Times New Roman" w:hAnsi="Times New Roman" w:cs="Times New Roman"/>
          <w:color w:val="000000" w:themeColor="text1"/>
          <w:sz w:val="24"/>
          <w:szCs w:val="24"/>
        </w:rPr>
        <w:t>(9), 1594. </w:t>
      </w:r>
      <w:hyperlink r:id="rId48" w:history="1">
        <w:r w:rsidRPr="00D02080">
          <w:rPr>
            <w:rStyle w:val="Hyperlink"/>
            <w:rFonts w:ascii="Times New Roman" w:hAnsi="Times New Roman" w:cs="Times New Roman"/>
            <w:color w:val="000000" w:themeColor="text1"/>
            <w:sz w:val="24"/>
            <w:szCs w:val="24"/>
          </w:rPr>
          <w:t>https://doi.org/10.3390/pr9091594</w:t>
        </w:r>
      </w:hyperlink>
    </w:p>
    <w:p w14:paraId="5BAB484E"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Mishra, M., Mittal, A., Negi, G. S., Singh, P., Kaur, S., Prasanna, J. L., &amp; Sharma, P. (2024). Biodegradable nanomaterials for sustainable food packaging applications. </w:t>
      </w:r>
      <w:r w:rsidRPr="00D02080">
        <w:rPr>
          <w:rFonts w:ascii="Times New Roman" w:hAnsi="Times New Roman" w:cs="Times New Roman"/>
          <w:i/>
          <w:iCs/>
          <w:color w:val="000000" w:themeColor="text1"/>
          <w:sz w:val="24"/>
          <w:szCs w:val="24"/>
        </w:rPr>
        <w:t>E3S Web of Conferences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547</w:t>
      </w:r>
      <w:r w:rsidRPr="00D02080">
        <w:rPr>
          <w:rFonts w:ascii="Times New Roman" w:hAnsi="Times New Roman" w:cs="Times New Roman"/>
          <w:color w:val="000000" w:themeColor="text1"/>
          <w:sz w:val="24"/>
          <w:szCs w:val="24"/>
        </w:rPr>
        <w:t>, 01014. </w:t>
      </w:r>
      <w:hyperlink r:id="rId49" w:history="1">
        <w:r w:rsidRPr="00D02080">
          <w:rPr>
            <w:rStyle w:val="Hyperlink"/>
            <w:rFonts w:ascii="Times New Roman" w:hAnsi="Times New Roman" w:cs="Times New Roman"/>
            <w:color w:val="000000" w:themeColor="text1"/>
            <w:sz w:val="24"/>
            <w:szCs w:val="24"/>
          </w:rPr>
          <w:t>https://doi.org/10.1051/e3sconf/202454701014</w:t>
        </w:r>
      </w:hyperlink>
    </w:p>
    <w:p w14:paraId="5501AF2D"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Mitura</w:t>
      </w:r>
      <w:proofErr w:type="spellEnd"/>
      <w:r w:rsidRPr="00D02080">
        <w:rPr>
          <w:rFonts w:ascii="Times New Roman" w:hAnsi="Times New Roman" w:cs="Times New Roman"/>
          <w:color w:val="000000" w:themeColor="text1"/>
          <w:sz w:val="24"/>
          <w:szCs w:val="24"/>
        </w:rPr>
        <w:t xml:space="preserve">, K., </w:t>
      </w:r>
      <w:proofErr w:type="spellStart"/>
      <w:r w:rsidRPr="00D02080">
        <w:rPr>
          <w:rFonts w:ascii="Times New Roman" w:hAnsi="Times New Roman" w:cs="Times New Roman"/>
          <w:color w:val="000000" w:themeColor="text1"/>
          <w:sz w:val="24"/>
          <w:szCs w:val="24"/>
        </w:rPr>
        <w:t>Kornacka</w:t>
      </w:r>
      <w:proofErr w:type="spellEnd"/>
      <w:r w:rsidRPr="00D02080">
        <w:rPr>
          <w:rFonts w:ascii="Times New Roman" w:hAnsi="Times New Roman" w:cs="Times New Roman"/>
          <w:color w:val="000000" w:themeColor="text1"/>
          <w:sz w:val="24"/>
          <w:szCs w:val="24"/>
        </w:rPr>
        <w:t xml:space="preserve">, J., </w:t>
      </w:r>
      <w:proofErr w:type="spellStart"/>
      <w:r w:rsidRPr="00D02080">
        <w:rPr>
          <w:rFonts w:ascii="Times New Roman" w:hAnsi="Times New Roman" w:cs="Times New Roman"/>
          <w:color w:val="000000" w:themeColor="text1"/>
          <w:sz w:val="24"/>
          <w:szCs w:val="24"/>
        </w:rPr>
        <w:t>Kopczyńska</w:t>
      </w:r>
      <w:proofErr w:type="spellEnd"/>
      <w:r w:rsidRPr="00D02080">
        <w:rPr>
          <w:rFonts w:ascii="Times New Roman" w:hAnsi="Times New Roman" w:cs="Times New Roman"/>
          <w:color w:val="000000" w:themeColor="text1"/>
          <w:sz w:val="24"/>
          <w:szCs w:val="24"/>
        </w:rPr>
        <w:t xml:space="preserve">, E., Kalisz, J., </w:t>
      </w:r>
      <w:proofErr w:type="spellStart"/>
      <w:r w:rsidRPr="00D02080">
        <w:rPr>
          <w:rFonts w:ascii="Times New Roman" w:hAnsi="Times New Roman" w:cs="Times New Roman"/>
          <w:color w:val="000000" w:themeColor="text1"/>
          <w:sz w:val="24"/>
          <w:szCs w:val="24"/>
        </w:rPr>
        <w:t>Czerwińska</w:t>
      </w:r>
      <w:proofErr w:type="spellEnd"/>
      <w:r w:rsidRPr="00D02080">
        <w:rPr>
          <w:rFonts w:ascii="Times New Roman" w:hAnsi="Times New Roman" w:cs="Times New Roman"/>
          <w:color w:val="000000" w:themeColor="text1"/>
          <w:sz w:val="24"/>
          <w:szCs w:val="24"/>
        </w:rPr>
        <w:t xml:space="preserve">, E., </w:t>
      </w:r>
      <w:proofErr w:type="spellStart"/>
      <w:r w:rsidRPr="00D02080">
        <w:rPr>
          <w:rFonts w:ascii="Times New Roman" w:hAnsi="Times New Roman" w:cs="Times New Roman"/>
          <w:color w:val="000000" w:themeColor="text1"/>
          <w:sz w:val="24"/>
          <w:szCs w:val="24"/>
        </w:rPr>
        <w:t>Affeltowicz</w:t>
      </w:r>
      <w:proofErr w:type="spellEnd"/>
      <w:r w:rsidRPr="00D02080">
        <w:rPr>
          <w:rFonts w:ascii="Times New Roman" w:hAnsi="Times New Roman" w:cs="Times New Roman"/>
          <w:color w:val="000000" w:themeColor="text1"/>
          <w:sz w:val="24"/>
          <w:szCs w:val="24"/>
        </w:rPr>
        <w:t xml:space="preserve">, M., </w:t>
      </w:r>
      <w:proofErr w:type="spellStart"/>
      <w:r w:rsidRPr="00D02080">
        <w:rPr>
          <w:rFonts w:ascii="Times New Roman" w:hAnsi="Times New Roman" w:cs="Times New Roman"/>
          <w:color w:val="000000" w:themeColor="text1"/>
          <w:sz w:val="24"/>
          <w:szCs w:val="24"/>
        </w:rPr>
        <w:t>Kaczorowski</w:t>
      </w:r>
      <w:proofErr w:type="spellEnd"/>
      <w:r w:rsidRPr="00D02080">
        <w:rPr>
          <w:rFonts w:ascii="Times New Roman" w:hAnsi="Times New Roman" w:cs="Times New Roman"/>
          <w:color w:val="000000" w:themeColor="text1"/>
          <w:sz w:val="24"/>
          <w:szCs w:val="24"/>
        </w:rPr>
        <w:t xml:space="preserve">, W., </w:t>
      </w:r>
      <w:proofErr w:type="spellStart"/>
      <w:r w:rsidRPr="00D02080">
        <w:rPr>
          <w:rFonts w:ascii="Times New Roman" w:hAnsi="Times New Roman" w:cs="Times New Roman"/>
          <w:color w:val="000000" w:themeColor="text1"/>
          <w:sz w:val="24"/>
          <w:szCs w:val="24"/>
        </w:rPr>
        <w:t>Kolesińska</w:t>
      </w:r>
      <w:proofErr w:type="spellEnd"/>
      <w:r w:rsidRPr="00D02080">
        <w:rPr>
          <w:rFonts w:ascii="Times New Roman" w:hAnsi="Times New Roman" w:cs="Times New Roman"/>
          <w:color w:val="000000" w:themeColor="text1"/>
          <w:sz w:val="24"/>
          <w:szCs w:val="24"/>
        </w:rPr>
        <w:t xml:space="preserve">, B., </w:t>
      </w:r>
      <w:proofErr w:type="spellStart"/>
      <w:r w:rsidRPr="00D02080">
        <w:rPr>
          <w:rFonts w:ascii="Times New Roman" w:hAnsi="Times New Roman" w:cs="Times New Roman"/>
          <w:color w:val="000000" w:themeColor="text1"/>
          <w:sz w:val="24"/>
          <w:szCs w:val="24"/>
        </w:rPr>
        <w:t>Frączyk</w:t>
      </w:r>
      <w:proofErr w:type="spellEnd"/>
      <w:r w:rsidRPr="00D02080">
        <w:rPr>
          <w:rFonts w:ascii="Times New Roman" w:hAnsi="Times New Roman" w:cs="Times New Roman"/>
          <w:color w:val="000000" w:themeColor="text1"/>
          <w:sz w:val="24"/>
          <w:szCs w:val="24"/>
        </w:rPr>
        <w:t xml:space="preserve">, J., </w:t>
      </w:r>
      <w:proofErr w:type="spellStart"/>
      <w:r w:rsidRPr="00D02080">
        <w:rPr>
          <w:rFonts w:ascii="Times New Roman" w:hAnsi="Times New Roman" w:cs="Times New Roman"/>
          <w:color w:val="000000" w:themeColor="text1"/>
          <w:sz w:val="24"/>
          <w:szCs w:val="24"/>
        </w:rPr>
        <w:t>Bakalova</w:t>
      </w:r>
      <w:proofErr w:type="spellEnd"/>
      <w:r w:rsidRPr="00D02080">
        <w:rPr>
          <w:rFonts w:ascii="Times New Roman" w:hAnsi="Times New Roman" w:cs="Times New Roman"/>
          <w:color w:val="000000" w:themeColor="text1"/>
          <w:sz w:val="24"/>
          <w:szCs w:val="24"/>
        </w:rPr>
        <w:t xml:space="preserve">, T., </w:t>
      </w:r>
      <w:proofErr w:type="spellStart"/>
      <w:r w:rsidRPr="00D02080">
        <w:rPr>
          <w:rFonts w:ascii="Times New Roman" w:hAnsi="Times New Roman" w:cs="Times New Roman"/>
          <w:color w:val="000000" w:themeColor="text1"/>
          <w:sz w:val="24"/>
          <w:szCs w:val="24"/>
        </w:rPr>
        <w:t>Svobodová</w:t>
      </w:r>
      <w:proofErr w:type="spellEnd"/>
      <w:r w:rsidRPr="00D02080">
        <w:rPr>
          <w:rFonts w:ascii="Times New Roman" w:hAnsi="Times New Roman" w:cs="Times New Roman"/>
          <w:color w:val="000000" w:themeColor="text1"/>
          <w:sz w:val="24"/>
          <w:szCs w:val="24"/>
        </w:rPr>
        <w:t xml:space="preserve">, L., &amp; </w:t>
      </w:r>
      <w:proofErr w:type="spellStart"/>
      <w:r w:rsidRPr="00D02080">
        <w:rPr>
          <w:rFonts w:ascii="Times New Roman" w:hAnsi="Times New Roman" w:cs="Times New Roman"/>
          <w:color w:val="000000" w:themeColor="text1"/>
          <w:sz w:val="24"/>
          <w:szCs w:val="24"/>
        </w:rPr>
        <w:t>Louda</w:t>
      </w:r>
      <w:proofErr w:type="spellEnd"/>
      <w:r w:rsidRPr="00D02080">
        <w:rPr>
          <w:rFonts w:ascii="Times New Roman" w:hAnsi="Times New Roman" w:cs="Times New Roman"/>
          <w:color w:val="000000" w:themeColor="text1"/>
          <w:sz w:val="24"/>
          <w:szCs w:val="24"/>
        </w:rPr>
        <w:t>, P. (2021). Active Carbon-Based nanomaterials in food packaging. </w:t>
      </w:r>
      <w:r w:rsidRPr="00D02080">
        <w:rPr>
          <w:rFonts w:ascii="Times New Roman" w:hAnsi="Times New Roman" w:cs="Times New Roman"/>
          <w:i/>
          <w:iCs/>
          <w:color w:val="000000" w:themeColor="text1"/>
          <w:sz w:val="24"/>
          <w:szCs w:val="24"/>
        </w:rPr>
        <w:t>Coatings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11</w:t>
      </w:r>
      <w:r w:rsidRPr="00D02080">
        <w:rPr>
          <w:rFonts w:ascii="Times New Roman" w:hAnsi="Times New Roman" w:cs="Times New Roman"/>
          <w:color w:val="000000" w:themeColor="text1"/>
          <w:sz w:val="24"/>
          <w:szCs w:val="24"/>
        </w:rPr>
        <w:t>(2), 161. https://doi.org/10.3390/coatings11020161</w:t>
      </w:r>
    </w:p>
    <w:p w14:paraId="3CAA3F31"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Moafi</w:t>
      </w:r>
      <w:proofErr w:type="spellEnd"/>
      <w:r w:rsidRPr="00D02080">
        <w:rPr>
          <w:rFonts w:ascii="Times New Roman" w:hAnsi="Times New Roman" w:cs="Times New Roman"/>
          <w:color w:val="000000" w:themeColor="text1"/>
          <w:sz w:val="24"/>
          <w:szCs w:val="24"/>
        </w:rPr>
        <w:t xml:space="preserve">, H. F., </w:t>
      </w:r>
      <w:proofErr w:type="spellStart"/>
      <w:r w:rsidRPr="00D02080">
        <w:rPr>
          <w:rFonts w:ascii="Times New Roman" w:hAnsi="Times New Roman" w:cs="Times New Roman"/>
          <w:color w:val="000000" w:themeColor="text1"/>
          <w:sz w:val="24"/>
          <w:szCs w:val="24"/>
        </w:rPr>
        <w:t>Shojaie</w:t>
      </w:r>
      <w:proofErr w:type="spellEnd"/>
      <w:r w:rsidRPr="00D02080">
        <w:rPr>
          <w:rFonts w:ascii="Times New Roman" w:hAnsi="Times New Roman" w:cs="Times New Roman"/>
          <w:color w:val="000000" w:themeColor="text1"/>
          <w:sz w:val="24"/>
          <w:szCs w:val="24"/>
        </w:rPr>
        <w:t xml:space="preserve">, A. F., &amp; </w:t>
      </w:r>
      <w:proofErr w:type="spellStart"/>
      <w:r w:rsidRPr="00D02080">
        <w:rPr>
          <w:rFonts w:ascii="Times New Roman" w:hAnsi="Times New Roman" w:cs="Times New Roman"/>
          <w:color w:val="000000" w:themeColor="text1"/>
          <w:sz w:val="24"/>
          <w:szCs w:val="24"/>
        </w:rPr>
        <w:t>Zanjanchi</w:t>
      </w:r>
      <w:proofErr w:type="spellEnd"/>
      <w:r w:rsidRPr="00D02080">
        <w:rPr>
          <w:rFonts w:ascii="Times New Roman" w:hAnsi="Times New Roman" w:cs="Times New Roman"/>
          <w:color w:val="000000" w:themeColor="text1"/>
          <w:sz w:val="24"/>
          <w:szCs w:val="24"/>
        </w:rPr>
        <w:t xml:space="preserve">, M. A. (2011). Photocatalytic self-cleaning properties of cellulosic </w:t>
      </w:r>
      <w:proofErr w:type="spellStart"/>
      <w:r w:rsidRPr="00D02080">
        <w:rPr>
          <w:rFonts w:ascii="Times New Roman" w:hAnsi="Times New Roman" w:cs="Times New Roman"/>
          <w:color w:val="000000" w:themeColor="text1"/>
          <w:sz w:val="24"/>
          <w:szCs w:val="24"/>
        </w:rPr>
        <w:t>fibers</w:t>
      </w:r>
      <w:proofErr w:type="spellEnd"/>
      <w:r w:rsidRPr="00D02080">
        <w:rPr>
          <w:rFonts w:ascii="Times New Roman" w:hAnsi="Times New Roman" w:cs="Times New Roman"/>
          <w:color w:val="000000" w:themeColor="text1"/>
          <w:sz w:val="24"/>
          <w:szCs w:val="24"/>
        </w:rPr>
        <w:t xml:space="preserve"> modified by </w:t>
      </w:r>
      <w:proofErr w:type="spellStart"/>
      <w:r w:rsidRPr="00D02080">
        <w:rPr>
          <w:rFonts w:ascii="Times New Roman" w:hAnsi="Times New Roman" w:cs="Times New Roman"/>
          <w:color w:val="000000" w:themeColor="text1"/>
          <w:sz w:val="24"/>
          <w:szCs w:val="24"/>
        </w:rPr>
        <w:t>nano</w:t>
      </w:r>
      <w:proofErr w:type="spellEnd"/>
      <w:r w:rsidRPr="00D02080">
        <w:rPr>
          <w:rFonts w:ascii="Times New Roman" w:hAnsi="Times New Roman" w:cs="Times New Roman"/>
          <w:color w:val="000000" w:themeColor="text1"/>
          <w:sz w:val="24"/>
          <w:szCs w:val="24"/>
        </w:rPr>
        <w:t>-sized zinc oxide. </w:t>
      </w:r>
      <w:r w:rsidRPr="00D02080">
        <w:rPr>
          <w:rFonts w:ascii="Times New Roman" w:hAnsi="Times New Roman" w:cs="Times New Roman"/>
          <w:i/>
          <w:iCs/>
          <w:color w:val="000000" w:themeColor="text1"/>
          <w:sz w:val="24"/>
          <w:szCs w:val="24"/>
        </w:rPr>
        <w:t>Thin Solid Films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519</w:t>
      </w:r>
      <w:r w:rsidRPr="00D02080">
        <w:rPr>
          <w:rFonts w:ascii="Times New Roman" w:hAnsi="Times New Roman" w:cs="Times New Roman"/>
          <w:color w:val="000000" w:themeColor="text1"/>
          <w:sz w:val="24"/>
          <w:szCs w:val="24"/>
        </w:rPr>
        <w:t>(11), 3641–3646. </w:t>
      </w:r>
      <w:hyperlink r:id="rId50" w:history="1">
        <w:r w:rsidRPr="00D02080">
          <w:rPr>
            <w:rStyle w:val="Hyperlink"/>
            <w:rFonts w:ascii="Times New Roman" w:hAnsi="Times New Roman" w:cs="Times New Roman"/>
            <w:color w:val="000000" w:themeColor="text1"/>
            <w:sz w:val="24"/>
            <w:szCs w:val="24"/>
          </w:rPr>
          <w:t>https://doi.org/10.1016/j.tsf.2011.01.347</w:t>
        </w:r>
      </w:hyperlink>
    </w:p>
    <w:p w14:paraId="6A471F94"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Mohammadpour</w:t>
      </w:r>
      <w:proofErr w:type="spellEnd"/>
      <w:r w:rsidRPr="00D02080">
        <w:rPr>
          <w:rFonts w:ascii="Times New Roman" w:hAnsi="Times New Roman" w:cs="Times New Roman"/>
          <w:color w:val="000000" w:themeColor="text1"/>
          <w:sz w:val="24"/>
          <w:szCs w:val="24"/>
        </w:rPr>
        <w:t xml:space="preserve">, Z., &amp; </w:t>
      </w:r>
      <w:proofErr w:type="spellStart"/>
      <w:r w:rsidRPr="00D02080">
        <w:rPr>
          <w:rFonts w:ascii="Times New Roman" w:hAnsi="Times New Roman" w:cs="Times New Roman"/>
          <w:color w:val="000000" w:themeColor="text1"/>
          <w:sz w:val="24"/>
          <w:szCs w:val="24"/>
        </w:rPr>
        <w:t>Naghib</w:t>
      </w:r>
      <w:proofErr w:type="spellEnd"/>
      <w:r w:rsidRPr="00D02080">
        <w:rPr>
          <w:rFonts w:ascii="Times New Roman" w:hAnsi="Times New Roman" w:cs="Times New Roman"/>
          <w:color w:val="000000" w:themeColor="text1"/>
          <w:sz w:val="24"/>
          <w:szCs w:val="24"/>
        </w:rPr>
        <w:t xml:space="preserve">, S. M. (2021). Smart </w:t>
      </w:r>
      <w:proofErr w:type="spellStart"/>
      <w:r w:rsidRPr="00D02080">
        <w:rPr>
          <w:rFonts w:ascii="Times New Roman" w:hAnsi="Times New Roman" w:cs="Times New Roman"/>
          <w:color w:val="000000" w:themeColor="text1"/>
          <w:sz w:val="24"/>
          <w:szCs w:val="24"/>
        </w:rPr>
        <w:t>nanosensors</w:t>
      </w:r>
      <w:proofErr w:type="spellEnd"/>
      <w:r w:rsidRPr="00D02080">
        <w:rPr>
          <w:rFonts w:ascii="Times New Roman" w:hAnsi="Times New Roman" w:cs="Times New Roman"/>
          <w:color w:val="000000" w:themeColor="text1"/>
          <w:sz w:val="24"/>
          <w:szCs w:val="24"/>
        </w:rPr>
        <w:t xml:space="preserve"> for intelligent packaging. In </w:t>
      </w:r>
      <w:r w:rsidRPr="00D02080">
        <w:rPr>
          <w:rFonts w:ascii="Times New Roman" w:hAnsi="Times New Roman" w:cs="Times New Roman"/>
          <w:i/>
          <w:iCs/>
          <w:color w:val="000000" w:themeColor="text1"/>
          <w:sz w:val="24"/>
          <w:szCs w:val="24"/>
        </w:rPr>
        <w:t>Elsevier eBooks</w:t>
      </w:r>
      <w:r w:rsidRPr="00D02080">
        <w:rPr>
          <w:rFonts w:ascii="Times New Roman" w:hAnsi="Times New Roman" w:cs="Times New Roman"/>
          <w:color w:val="000000" w:themeColor="text1"/>
          <w:sz w:val="24"/>
          <w:szCs w:val="24"/>
        </w:rPr>
        <w:t> (pp. 323–346). </w:t>
      </w:r>
      <w:hyperlink r:id="rId51" w:history="1">
        <w:r w:rsidRPr="00D02080">
          <w:rPr>
            <w:rStyle w:val="Hyperlink"/>
            <w:rFonts w:ascii="Times New Roman" w:hAnsi="Times New Roman" w:cs="Times New Roman"/>
            <w:color w:val="000000" w:themeColor="text1"/>
            <w:sz w:val="24"/>
            <w:szCs w:val="24"/>
          </w:rPr>
          <w:t>https://doi.org/10.1016/b978-0-12-823358-0.00017-4</w:t>
        </w:r>
      </w:hyperlink>
    </w:p>
    <w:p w14:paraId="4593565E"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Muthu, A., Nguyen, D. H. H., </w:t>
      </w:r>
      <w:proofErr w:type="spellStart"/>
      <w:r w:rsidRPr="00D02080">
        <w:rPr>
          <w:rFonts w:ascii="Times New Roman" w:hAnsi="Times New Roman" w:cs="Times New Roman"/>
          <w:color w:val="000000" w:themeColor="text1"/>
          <w:sz w:val="24"/>
          <w:szCs w:val="24"/>
        </w:rPr>
        <w:t>Neji</w:t>
      </w:r>
      <w:proofErr w:type="spellEnd"/>
      <w:r w:rsidRPr="00D02080">
        <w:rPr>
          <w:rFonts w:ascii="Times New Roman" w:hAnsi="Times New Roman" w:cs="Times New Roman"/>
          <w:color w:val="000000" w:themeColor="text1"/>
          <w:sz w:val="24"/>
          <w:szCs w:val="24"/>
        </w:rPr>
        <w:t xml:space="preserve">, C., </w:t>
      </w:r>
      <w:proofErr w:type="spellStart"/>
      <w:r w:rsidRPr="00D02080">
        <w:rPr>
          <w:rFonts w:ascii="Times New Roman" w:hAnsi="Times New Roman" w:cs="Times New Roman"/>
          <w:color w:val="000000" w:themeColor="text1"/>
          <w:sz w:val="24"/>
          <w:szCs w:val="24"/>
        </w:rPr>
        <w:t>Törős</w:t>
      </w:r>
      <w:proofErr w:type="spellEnd"/>
      <w:r w:rsidRPr="00D02080">
        <w:rPr>
          <w:rFonts w:ascii="Times New Roman" w:hAnsi="Times New Roman" w:cs="Times New Roman"/>
          <w:color w:val="000000" w:themeColor="text1"/>
          <w:sz w:val="24"/>
          <w:szCs w:val="24"/>
        </w:rPr>
        <w:t xml:space="preserve">, G., </w:t>
      </w:r>
      <w:proofErr w:type="spellStart"/>
      <w:r w:rsidRPr="00D02080">
        <w:rPr>
          <w:rFonts w:ascii="Times New Roman" w:hAnsi="Times New Roman" w:cs="Times New Roman"/>
          <w:color w:val="000000" w:themeColor="text1"/>
          <w:sz w:val="24"/>
          <w:szCs w:val="24"/>
        </w:rPr>
        <w:t>Ferroudj</w:t>
      </w:r>
      <w:proofErr w:type="spellEnd"/>
      <w:r w:rsidRPr="00D02080">
        <w:rPr>
          <w:rFonts w:ascii="Times New Roman" w:hAnsi="Times New Roman" w:cs="Times New Roman"/>
          <w:color w:val="000000" w:themeColor="text1"/>
          <w:sz w:val="24"/>
          <w:szCs w:val="24"/>
        </w:rPr>
        <w:t xml:space="preserve">, A., </w:t>
      </w:r>
      <w:proofErr w:type="spellStart"/>
      <w:r w:rsidRPr="00D02080">
        <w:rPr>
          <w:rFonts w:ascii="Times New Roman" w:hAnsi="Times New Roman" w:cs="Times New Roman"/>
          <w:color w:val="000000" w:themeColor="text1"/>
          <w:sz w:val="24"/>
          <w:szCs w:val="24"/>
        </w:rPr>
        <w:t>Atieh</w:t>
      </w:r>
      <w:proofErr w:type="spellEnd"/>
      <w:r w:rsidRPr="00D02080">
        <w:rPr>
          <w:rFonts w:ascii="Times New Roman" w:hAnsi="Times New Roman" w:cs="Times New Roman"/>
          <w:color w:val="000000" w:themeColor="text1"/>
          <w:sz w:val="24"/>
          <w:szCs w:val="24"/>
        </w:rPr>
        <w:t xml:space="preserve">, R., </w:t>
      </w:r>
      <w:proofErr w:type="spellStart"/>
      <w:r w:rsidRPr="00D02080">
        <w:rPr>
          <w:rFonts w:ascii="Times New Roman" w:hAnsi="Times New Roman" w:cs="Times New Roman"/>
          <w:color w:val="000000" w:themeColor="text1"/>
          <w:sz w:val="24"/>
          <w:szCs w:val="24"/>
        </w:rPr>
        <w:t>Prokisch</w:t>
      </w:r>
      <w:proofErr w:type="spellEnd"/>
      <w:r w:rsidRPr="00D02080">
        <w:rPr>
          <w:rFonts w:ascii="Times New Roman" w:hAnsi="Times New Roman" w:cs="Times New Roman"/>
          <w:color w:val="000000" w:themeColor="text1"/>
          <w:sz w:val="24"/>
          <w:szCs w:val="24"/>
        </w:rPr>
        <w:t>, J., El-</w:t>
      </w:r>
      <w:proofErr w:type="spellStart"/>
      <w:r w:rsidRPr="00D02080">
        <w:rPr>
          <w:rFonts w:ascii="Times New Roman" w:hAnsi="Times New Roman" w:cs="Times New Roman"/>
          <w:color w:val="000000" w:themeColor="text1"/>
          <w:sz w:val="24"/>
          <w:szCs w:val="24"/>
        </w:rPr>
        <w:t>Ramady</w:t>
      </w:r>
      <w:proofErr w:type="spellEnd"/>
      <w:r w:rsidRPr="00D02080">
        <w:rPr>
          <w:rFonts w:ascii="Times New Roman" w:hAnsi="Times New Roman" w:cs="Times New Roman"/>
          <w:color w:val="000000" w:themeColor="text1"/>
          <w:sz w:val="24"/>
          <w:szCs w:val="24"/>
        </w:rPr>
        <w:t xml:space="preserve">, H., &amp; </w:t>
      </w:r>
      <w:proofErr w:type="spellStart"/>
      <w:r w:rsidRPr="00D02080">
        <w:rPr>
          <w:rFonts w:ascii="Times New Roman" w:hAnsi="Times New Roman" w:cs="Times New Roman"/>
          <w:color w:val="000000" w:themeColor="text1"/>
          <w:sz w:val="24"/>
          <w:szCs w:val="24"/>
        </w:rPr>
        <w:t>Béni</w:t>
      </w:r>
      <w:proofErr w:type="spellEnd"/>
      <w:r w:rsidRPr="00D02080">
        <w:rPr>
          <w:rFonts w:ascii="Times New Roman" w:hAnsi="Times New Roman" w:cs="Times New Roman"/>
          <w:color w:val="000000" w:themeColor="text1"/>
          <w:sz w:val="24"/>
          <w:szCs w:val="24"/>
        </w:rPr>
        <w:t>, Á. (2025). Nanomaterials for Smart and Sustainable food Packaging: Nano-Sensing Mechanisms, and Regulatory Perspectives. </w:t>
      </w:r>
      <w:r w:rsidRPr="00D02080">
        <w:rPr>
          <w:rFonts w:ascii="Times New Roman" w:hAnsi="Times New Roman" w:cs="Times New Roman"/>
          <w:i/>
          <w:iCs/>
          <w:color w:val="000000" w:themeColor="text1"/>
          <w:sz w:val="24"/>
          <w:szCs w:val="24"/>
        </w:rPr>
        <w:t>Foods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14</w:t>
      </w:r>
      <w:r w:rsidRPr="00D02080">
        <w:rPr>
          <w:rFonts w:ascii="Times New Roman" w:hAnsi="Times New Roman" w:cs="Times New Roman"/>
          <w:color w:val="000000" w:themeColor="text1"/>
          <w:sz w:val="24"/>
          <w:szCs w:val="24"/>
        </w:rPr>
        <w:t>(15), 2657. </w:t>
      </w:r>
      <w:hyperlink r:id="rId52" w:history="1">
        <w:r w:rsidRPr="00D02080">
          <w:rPr>
            <w:rStyle w:val="Hyperlink"/>
            <w:rFonts w:ascii="Times New Roman" w:hAnsi="Times New Roman" w:cs="Times New Roman"/>
            <w:color w:val="000000" w:themeColor="text1"/>
            <w:sz w:val="24"/>
            <w:szCs w:val="24"/>
          </w:rPr>
          <w:t>https://doi.org/10.3390/foods14152657</w:t>
        </w:r>
      </w:hyperlink>
      <w:r w:rsidRPr="00D02080">
        <w:rPr>
          <w:rFonts w:ascii="Times New Roman" w:hAnsi="Times New Roman" w:cs="Times New Roman"/>
          <w:color w:val="000000" w:themeColor="text1"/>
          <w:sz w:val="24"/>
          <w:szCs w:val="24"/>
        </w:rPr>
        <w:t xml:space="preserve"> </w:t>
      </w:r>
    </w:p>
    <w:p w14:paraId="406539AD"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Onyeaka</w:t>
      </w:r>
      <w:proofErr w:type="spellEnd"/>
      <w:r w:rsidRPr="00D02080">
        <w:rPr>
          <w:rFonts w:ascii="Times New Roman" w:hAnsi="Times New Roman" w:cs="Times New Roman"/>
          <w:color w:val="000000" w:themeColor="text1"/>
          <w:sz w:val="24"/>
          <w:szCs w:val="24"/>
        </w:rPr>
        <w:t xml:space="preserve">, H., </w:t>
      </w:r>
      <w:proofErr w:type="spellStart"/>
      <w:r w:rsidRPr="00D02080">
        <w:rPr>
          <w:rFonts w:ascii="Times New Roman" w:hAnsi="Times New Roman" w:cs="Times New Roman"/>
          <w:color w:val="000000" w:themeColor="text1"/>
          <w:sz w:val="24"/>
          <w:szCs w:val="24"/>
        </w:rPr>
        <w:t>Passaretti</w:t>
      </w:r>
      <w:proofErr w:type="spellEnd"/>
      <w:r w:rsidRPr="00D02080">
        <w:rPr>
          <w:rFonts w:ascii="Times New Roman" w:hAnsi="Times New Roman" w:cs="Times New Roman"/>
          <w:color w:val="000000" w:themeColor="text1"/>
          <w:sz w:val="24"/>
          <w:szCs w:val="24"/>
        </w:rPr>
        <w:t>, P., Miri, T., &amp; Al-</w:t>
      </w:r>
      <w:proofErr w:type="spellStart"/>
      <w:r w:rsidRPr="00D02080">
        <w:rPr>
          <w:rFonts w:ascii="Times New Roman" w:hAnsi="Times New Roman" w:cs="Times New Roman"/>
          <w:color w:val="000000" w:themeColor="text1"/>
          <w:sz w:val="24"/>
          <w:szCs w:val="24"/>
        </w:rPr>
        <w:t>Sharify</w:t>
      </w:r>
      <w:proofErr w:type="spellEnd"/>
      <w:r w:rsidRPr="00D02080">
        <w:rPr>
          <w:rFonts w:ascii="Times New Roman" w:hAnsi="Times New Roman" w:cs="Times New Roman"/>
          <w:color w:val="000000" w:themeColor="text1"/>
          <w:sz w:val="24"/>
          <w:szCs w:val="24"/>
        </w:rPr>
        <w:t>, Z. T. (2022). The safety of nanomaterials in food production and packaging. </w:t>
      </w:r>
      <w:r w:rsidRPr="00D02080">
        <w:rPr>
          <w:rFonts w:ascii="Times New Roman" w:hAnsi="Times New Roman" w:cs="Times New Roman"/>
          <w:i/>
          <w:iCs/>
          <w:color w:val="000000" w:themeColor="text1"/>
          <w:sz w:val="24"/>
          <w:szCs w:val="24"/>
        </w:rPr>
        <w:t>Current Research in Food Science</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5</w:t>
      </w:r>
      <w:r w:rsidRPr="00D02080">
        <w:rPr>
          <w:rFonts w:ascii="Times New Roman" w:hAnsi="Times New Roman" w:cs="Times New Roman"/>
          <w:color w:val="000000" w:themeColor="text1"/>
          <w:sz w:val="24"/>
          <w:szCs w:val="24"/>
        </w:rPr>
        <w:t>, 763–774. </w:t>
      </w:r>
      <w:hyperlink r:id="rId53" w:history="1">
        <w:r w:rsidRPr="00D02080">
          <w:rPr>
            <w:rStyle w:val="Hyperlink"/>
            <w:rFonts w:ascii="Times New Roman" w:hAnsi="Times New Roman" w:cs="Times New Roman"/>
            <w:color w:val="000000" w:themeColor="text1"/>
            <w:sz w:val="24"/>
            <w:szCs w:val="24"/>
          </w:rPr>
          <w:t>https://doi.org/10.1016/j.crfs.2022.04.005</w:t>
        </w:r>
      </w:hyperlink>
    </w:p>
    <w:p w14:paraId="06628069"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Otasowie</w:t>
      </w:r>
      <w:proofErr w:type="spellEnd"/>
      <w:r w:rsidRPr="00D02080">
        <w:rPr>
          <w:rFonts w:ascii="Times New Roman" w:hAnsi="Times New Roman" w:cs="Times New Roman"/>
          <w:color w:val="000000" w:themeColor="text1"/>
          <w:sz w:val="24"/>
          <w:szCs w:val="24"/>
        </w:rPr>
        <w:t xml:space="preserve">, O., </w:t>
      </w:r>
      <w:proofErr w:type="spellStart"/>
      <w:r w:rsidRPr="00D02080">
        <w:rPr>
          <w:rFonts w:ascii="Times New Roman" w:hAnsi="Times New Roman" w:cs="Times New Roman"/>
          <w:color w:val="000000" w:themeColor="text1"/>
          <w:sz w:val="24"/>
          <w:szCs w:val="24"/>
        </w:rPr>
        <w:t>Aigbavboa</w:t>
      </w:r>
      <w:proofErr w:type="spellEnd"/>
      <w:r w:rsidRPr="00D02080">
        <w:rPr>
          <w:rFonts w:ascii="Times New Roman" w:hAnsi="Times New Roman" w:cs="Times New Roman"/>
          <w:color w:val="000000" w:themeColor="text1"/>
          <w:sz w:val="24"/>
          <w:szCs w:val="24"/>
        </w:rPr>
        <w:t xml:space="preserve">, C. O., &amp; </w:t>
      </w:r>
      <w:proofErr w:type="spellStart"/>
      <w:r w:rsidRPr="00D02080">
        <w:rPr>
          <w:rFonts w:ascii="Times New Roman" w:hAnsi="Times New Roman" w:cs="Times New Roman"/>
          <w:color w:val="000000" w:themeColor="text1"/>
          <w:sz w:val="24"/>
          <w:szCs w:val="24"/>
        </w:rPr>
        <w:t>Oke</w:t>
      </w:r>
      <w:proofErr w:type="spellEnd"/>
      <w:r w:rsidRPr="00D02080">
        <w:rPr>
          <w:rFonts w:ascii="Times New Roman" w:hAnsi="Times New Roman" w:cs="Times New Roman"/>
          <w:color w:val="000000" w:themeColor="text1"/>
          <w:sz w:val="24"/>
          <w:szCs w:val="24"/>
        </w:rPr>
        <w:t>, A. E. (2025). The principles of circular economy. In </w:t>
      </w:r>
      <w:r w:rsidRPr="00D02080">
        <w:rPr>
          <w:rFonts w:ascii="Times New Roman" w:hAnsi="Times New Roman" w:cs="Times New Roman"/>
          <w:i/>
          <w:iCs/>
          <w:color w:val="000000" w:themeColor="text1"/>
          <w:sz w:val="24"/>
          <w:szCs w:val="24"/>
        </w:rPr>
        <w:t>Green energy and technology</w:t>
      </w:r>
      <w:r w:rsidRPr="00D02080">
        <w:rPr>
          <w:rFonts w:ascii="Times New Roman" w:hAnsi="Times New Roman" w:cs="Times New Roman"/>
          <w:color w:val="000000" w:themeColor="text1"/>
          <w:sz w:val="24"/>
          <w:szCs w:val="24"/>
        </w:rPr>
        <w:t> (pp. 13–32). </w:t>
      </w:r>
      <w:hyperlink r:id="rId54" w:history="1">
        <w:r w:rsidRPr="00D02080">
          <w:rPr>
            <w:rStyle w:val="Hyperlink"/>
            <w:rFonts w:ascii="Times New Roman" w:hAnsi="Times New Roman" w:cs="Times New Roman"/>
            <w:color w:val="000000" w:themeColor="text1"/>
            <w:sz w:val="24"/>
            <w:szCs w:val="24"/>
          </w:rPr>
          <w:t>https://doi.org/10.1007/978-3-031-88322-4_2</w:t>
        </w:r>
      </w:hyperlink>
    </w:p>
    <w:p w14:paraId="0BE4F877"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Pegel</w:t>
      </w:r>
      <w:proofErr w:type="spellEnd"/>
      <w:r w:rsidRPr="00D02080">
        <w:rPr>
          <w:rFonts w:ascii="Times New Roman" w:hAnsi="Times New Roman" w:cs="Times New Roman"/>
          <w:color w:val="000000" w:themeColor="text1"/>
          <w:sz w:val="24"/>
          <w:szCs w:val="24"/>
        </w:rPr>
        <w:t xml:space="preserve">, S., </w:t>
      </w:r>
      <w:proofErr w:type="spellStart"/>
      <w:r w:rsidRPr="00D02080">
        <w:rPr>
          <w:rFonts w:ascii="Times New Roman" w:hAnsi="Times New Roman" w:cs="Times New Roman"/>
          <w:color w:val="000000" w:themeColor="text1"/>
          <w:sz w:val="24"/>
          <w:szCs w:val="24"/>
        </w:rPr>
        <w:t>Villmow</w:t>
      </w:r>
      <w:proofErr w:type="spellEnd"/>
      <w:r w:rsidRPr="00D02080">
        <w:rPr>
          <w:rFonts w:ascii="Times New Roman" w:hAnsi="Times New Roman" w:cs="Times New Roman"/>
          <w:color w:val="000000" w:themeColor="text1"/>
          <w:sz w:val="24"/>
          <w:szCs w:val="24"/>
        </w:rPr>
        <w:t xml:space="preserve">, T., </w:t>
      </w:r>
      <w:proofErr w:type="spellStart"/>
      <w:r w:rsidRPr="00D02080">
        <w:rPr>
          <w:rFonts w:ascii="Times New Roman" w:hAnsi="Times New Roman" w:cs="Times New Roman"/>
          <w:color w:val="000000" w:themeColor="text1"/>
          <w:sz w:val="24"/>
          <w:szCs w:val="24"/>
        </w:rPr>
        <w:t>Kasaliwal</w:t>
      </w:r>
      <w:proofErr w:type="spellEnd"/>
      <w:r w:rsidRPr="00D02080">
        <w:rPr>
          <w:rFonts w:ascii="Times New Roman" w:hAnsi="Times New Roman" w:cs="Times New Roman"/>
          <w:color w:val="000000" w:themeColor="text1"/>
          <w:sz w:val="24"/>
          <w:szCs w:val="24"/>
        </w:rPr>
        <w:t xml:space="preserve">, G., &amp; </w:t>
      </w:r>
      <w:proofErr w:type="spellStart"/>
      <w:r w:rsidRPr="00D02080">
        <w:rPr>
          <w:rFonts w:ascii="Times New Roman" w:hAnsi="Times New Roman" w:cs="Times New Roman"/>
          <w:color w:val="000000" w:themeColor="text1"/>
          <w:sz w:val="24"/>
          <w:szCs w:val="24"/>
        </w:rPr>
        <w:t>Pötschke</w:t>
      </w:r>
      <w:proofErr w:type="spellEnd"/>
      <w:r w:rsidRPr="00D02080">
        <w:rPr>
          <w:rFonts w:ascii="Times New Roman" w:hAnsi="Times New Roman" w:cs="Times New Roman"/>
          <w:color w:val="000000" w:themeColor="text1"/>
          <w:sz w:val="24"/>
          <w:szCs w:val="24"/>
        </w:rPr>
        <w:t>, P. (2012). Polymer-Carbon Nanotube Composites: melt processing, properties and applications. In </w:t>
      </w:r>
      <w:r w:rsidRPr="00D02080">
        <w:rPr>
          <w:rFonts w:ascii="Times New Roman" w:hAnsi="Times New Roman" w:cs="Times New Roman"/>
          <w:i/>
          <w:iCs/>
          <w:color w:val="000000" w:themeColor="text1"/>
          <w:sz w:val="24"/>
          <w:szCs w:val="24"/>
        </w:rPr>
        <w:t xml:space="preserve">Carl </w:t>
      </w:r>
      <w:proofErr w:type="spellStart"/>
      <w:r w:rsidRPr="00D02080">
        <w:rPr>
          <w:rFonts w:ascii="Times New Roman" w:hAnsi="Times New Roman" w:cs="Times New Roman"/>
          <w:i/>
          <w:iCs/>
          <w:color w:val="000000" w:themeColor="text1"/>
          <w:sz w:val="24"/>
          <w:szCs w:val="24"/>
        </w:rPr>
        <w:t>Hanser</w:t>
      </w:r>
      <w:proofErr w:type="spellEnd"/>
      <w:r w:rsidRPr="00D02080">
        <w:rPr>
          <w:rFonts w:ascii="Times New Roman" w:hAnsi="Times New Roman" w:cs="Times New Roman"/>
          <w:i/>
          <w:iCs/>
          <w:color w:val="000000" w:themeColor="text1"/>
          <w:sz w:val="24"/>
          <w:szCs w:val="24"/>
        </w:rPr>
        <w:t xml:space="preserve"> Verlag GmbH &amp; Co. KG eBooks</w:t>
      </w:r>
      <w:r w:rsidRPr="00D02080">
        <w:rPr>
          <w:rFonts w:ascii="Times New Roman" w:hAnsi="Times New Roman" w:cs="Times New Roman"/>
          <w:color w:val="000000" w:themeColor="text1"/>
          <w:sz w:val="24"/>
          <w:szCs w:val="24"/>
        </w:rPr>
        <w:t> (pp. 145–191). </w:t>
      </w:r>
      <w:hyperlink r:id="rId55" w:history="1">
        <w:r w:rsidRPr="00D02080">
          <w:rPr>
            <w:rStyle w:val="Hyperlink"/>
            <w:rFonts w:ascii="Times New Roman" w:hAnsi="Times New Roman" w:cs="Times New Roman"/>
            <w:color w:val="000000" w:themeColor="text1"/>
            <w:sz w:val="24"/>
            <w:szCs w:val="24"/>
          </w:rPr>
          <w:t>https://doi.org/10.3139/9781569905258.005</w:t>
        </w:r>
      </w:hyperlink>
    </w:p>
    <w:p w14:paraId="6A1CA92C"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Primožič</w:t>
      </w:r>
      <w:proofErr w:type="spellEnd"/>
      <w:r w:rsidRPr="00D02080">
        <w:rPr>
          <w:rFonts w:ascii="Times New Roman" w:hAnsi="Times New Roman" w:cs="Times New Roman"/>
          <w:color w:val="000000" w:themeColor="text1"/>
          <w:sz w:val="24"/>
          <w:szCs w:val="24"/>
        </w:rPr>
        <w:t xml:space="preserve">, M., </w:t>
      </w:r>
      <w:proofErr w:type="spellStart"/>
      <w:r w:rsidRPr="00D02080">
        <w:rPr>
          <w:rFonts w:ascii="Times New Roman" w:hAnsi="Times New Roman" w:cs="Times New Roman"/>
          <w:color w:val="000000" w:themeColor="text1"/>
          <w:sz w:val="24"/>
          <w:szCs w:val="24"/>
        </w:rPr>
        <w:t>Knez</w:t>
      </w:r>
      <w:proofErr w:type="spellEnd"/>
      <w:r w:rsidRPr="00D02080">
        <w:rPr>
          <w:rFonts w:ascii="Times New Roman" w:hAnsi="Times New Roman" w:cs="Times New Roman"/>
          <w:color w:val="000000" w:themeColor="text1"/>
          <w:sz w:val="24"/>
          <w:szCs w:val="24"/>
        </w:rPr>
        <w:t xml:space="preserve">, Ž., &amp; </w:t>
      </w:r>
      <w:proofErr w:type="spellStart"/>
      <w:r w:rsidRPr="00D02080">
        <w:rPr>
          <w:rFonts w:ascii="Times New Roman" w:hAnsi="Times New Roman" w:cs="Times New Roman"/>
          <w:color w:val="000000" w:themeColor="text1"/>
          <w:sz w:val="24"/>
          <w:szCs w:val="24"/>
        </w:rPr>
        <w:t>Leitgeb</w:t>
      </w:r>
      <w:proofErr w:type="spellEnd"/>
      <w:r w:rsidRPr="00D02080">
        <w:rPr>
          <w:rFonts w:ascii="Times New Roman" w:hAnsi="Times New Roman" w:cs="Times New Roman"/>
          <w:color w:val="000000" w:themeColor="text1"/>
          <w:sz w:val="24"/>
          <w:szCs w:val="24"/>
        </w:rPr>
        <w:t>, M. (2021). (Bio)nanotechnology in food science—food packaging. *Nanomaterials*, 11(2), 292.</w:t>
      </w:r>
    </w:p>
    <w:p w14:paraId="6892E2CF"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lastRenderedPageBreak/>
        <w:t>Ran, B., Ran, L., Wang, Z., Liao, J., Li, D., Chen, K., Cai, W., Hou, J., &amp; Peng, X. (2023). Photocatalytic antimicrobials: principles, design strategies, and applications. </w:t>
      </w:r>
      <w:r w:rsidRPr="00D02080">
        <w:rPr>
          <w:rFonts w:ascii="Times New Roman" w:hAnsi="Times New Roman" w:cs="Times New Roman"/>
          <w:i/>
          <w:iCs/>
          <w:color w:val="000000" w:themeColor="text1"/>
          <w:sz w:val="24"/>
          <w:szCs w:val="24"/>
        </w:rPr>
        <w:t>Chemical Reviews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123</w:t>
      </w:r>
      <w:r w:rsidRPr="00D02080">
        <w:rPr>
          <w:rFonts w:ascii="Times New Roman" w:hAnsi="Times New Roman" w:cs="Times New Roman"/>
          <w:color w:val="000000" w:themeColor="text1"/>
          <w:sz w:val="24"/>
          <w:szCs w:val="24"/>
        </w:rPr>
        <w:t>(22), 12371–12430. </w:t>
      </w:r>
      <w:hyperlink r:id="rId56" w:history="1">
        <w:r w:rsidRPr="00D02080">
          <w:rPr>
            <w:rStyle w:val="Hyperlink"/>
            <w:rFonts w:ascii="Times New Roman" w:hAnsi="Times New Roman" w:cs="Times New Roman"/>
            <w:color w:val="000000" w:themeColor="text1"/>
            <w:sz w:val="24"/>
            <w:szCs w:val="24"/>
          </w:rPr>
          <w:t>https://doi.org/10.1021/acs.chemrev.3c00326</w:t>
        </w:r>
      </w:hyperlink>
    </w:p>
    <w:p w14:paraId="661419A1"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Rossa, V., Ferreira, L. E. M., Da Costa Vasconcelos, S., Shimabukuro, E. T. T., Da Costa </w:t>
      </w:r>
      <w:proofErr w:type="spellStart"/>
      <w:r w:rsidRPr="00D02080">
        <w:rPr>
          <w:rFonts w:ascii="Times New Roman" w:hAnsi="Times New Roman" w:cs="Times New Roman"/>
          <w:color w:val="000000" w:themeColor="text1"/>
          <w:sz w:val="24"/>
          <w:szCs w:val="24"/>
        </w:rPr>
        <w:t>Madriaga</w:t>
      </w:r>
      <w:proofErr w:type="spellEnd"/>
      <w:r w:rsidRPr="00D02080">
        <w:rPr>
          <w:rFonts w:ascii="Times New Roman" w:hAnsi="Times New Roman" w:cs="Times New Roman"/>
          <w:color w:val="000000" w:themeColor="text1"/>
          <w:sz w:val="24"/>
          <w:szCs w:val="24"/>
        </w:rPr>
        <w:t xml:space="preserve">, V. G., Carvalho, A. P., </w:t>
      </w:r>
      <w:proofErr w:type="spellStart"/>
      <w:r w:rsidRPr="00D02080">
        <w:rPr>
          <w:rFonts w:ascii="Times New Roman" w:hAnsi="Times New Roman" w:cs="Times New Roman"/>
          <w:color w:val="000000" w:themeColor="text1"/>
          <w:sz w:val="24"/>
          <w:szCs w:val="24"/>
        </w:rPr>
        <w:t>Pergher</w:t>
      </w:r>
      <w:proofErr w:type="spellEnd"/>
      <w:r w:rsidRPr="00D02080">
        <w:rPr>
          <w:rFonts w:ascii="Times New Roman" w:hAnsi="Times New Roman" w:cs="Times New Roman"/>
          <w:color w:val="000000" w:themeColor="text1"/>
          <w:sz w:val="24"/>
          <w:szCs w:val="24"/>
        </w:rPr>
        <w:t>, S. B. C., De Carvalho Da Silva, F., Ferreira, V. F., Conte, C. A., Junior, &amp; De Melo Lima, T. (2022). Nanocomposites based on the graphene family for food packaging: historical perspective, preparation methods, and properties. </w:t>
      </w:r>
      <w:r w:rsidRPr="00D02080">
        <w:rPr>
          <w:rFonts w:ascii="Times New Roman" w:hAnsi="Times New Roman" w:cs="Times New Roman"/>
          <w:i/>
          <w:iCs/>
          <w:color w:val="000000" w:themeColor="text1"/>
          <w:sz w:val="24"/>
          <w:szCs w:val="24"/>
        </w:rPr>
        <w:t>RSC Advances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12</w:t>
      </w:r>
      <w:r w:rsidRPr="00D02080">
        <w:rPr>
          <w:rFonts w:ascii="Times New Roman" w:hAnsi="Times New Roman" w:cs="Times New Roman"/>
          <w:color w:val="000000" w:themeColor="text1"/>
          <w:sz w:val="24"/>
          <w:szCs w:val="24"/>
        </w:rPr>
        <w:t>(22), 14084–14111. </w:t>
      </w:r>
      <w:hyperlink r:id="rId57" w:history="1">
        <w:r w:rsidRPr="00D02080">
          <w:rPr>
            <w:rStyle w:val="Hyperlink"/>
            <w:rFonts w:ascii="Times New Roman" w:hAnsi="Times New Roman" w:cs="Times New Roman"/>
            <w:color w:val="000000" w:themeColor="text1"/>
            <w:sz w:val="24"/>
            <w:szCs w:val="24"/>
          </w:rPr>
          <w:t>https://doi.org/10.1039/d2ra00912a</w:t>
        </w:r>
      </w:hyperlink>
      <w:r w:rsidRPr="00D02080">
        <w:rPr>
          <w:rFonts w:ascii="Times New Roman" w:hAnsi="Times New Roman" w:cs="Times New Roman"/>
          <w:color w:val="000000" w:themeColor="text1"/>
          <w:sz w:val="24"/>
          <w:szCs w:val="24"/>
        </w:rPr>
        <w:t xml:space="preserve">. </w:t>
      </w:r>
    </w:p>
    <w:p w14:paraId="2C282E0D"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Savage, D. T., Hilt, J. Z., &amp; </w:t>
      </w:r>
      <w:proofErr w:type="spellStart"/>
      <w:r w:rsidRPr="00D02080">
        <w:rPr>
          <w:rFonts w:ascii="Times New Roman" w:hAnsi="Times New Roman" w:cs="Times New Roman"/>
          <w:color w:val="000000" w:themeColor="text1"/>
          <w:sz w:val="24"/>
          <w:szCs w:val="24"/>
        </w:rPr>
        <w:t>Dziubla</w:t>
      </w:r>
      <w:proofErr w:type="spellEnd"/>
      <w:r w:rsidRPr="00D02080">
        <w:rPr>
          <w:rFonts w:ascii="Times New Roman" w:hAnsi="Times New Roman" w:cs="Times New Roman"/>
          <w:color w:val="000000" w:themeColor="text1"/>
          <w:sz w:val="24"/>
          <w:szCs w:val="24"/>
        </w:rPr>
        <w:t>, T. D. (2018). In vitro methods for assessing nanoparticle toxicity. </w:t>
      </w:r>
      <w:r w:rsidRPr="00D02080">
        <w:rPr>
          <w:rFonts w:ascii="Times New Roman" w:hAnsi="Times New Roman" w:cs="Times New Roman"/>
          <w:i/>
          <w:iCs/>
          <w:color w:val="000000" w:themeColor="text1"/>
          <w:sz w:val="24"/>
          <w:szCs w:val="24"/>
        </w:rPr>
        <w:t>Methods in Molecular Biology</w:t>
      </w:r>
      <w:r w:rsidRPr="00D02080">
        <w:rPr>
          <w:rFonts w:ascii="Times New Roman" w:hAnsi="Times New Roman" w:cs="Times New Roman"/>
          <w:color w:val="000000" w:themeColor="text1"/>
          <w:sz w:val="24"/>
          <w:szCs w:val="24"/>
        </w:rPr>
        <w:t>, 1–29. </w:t>
      </w:r>
      <w:hyperlink r:id="rId58" w:history="1">
        <w:r w:rsidRPr="00D02080">
          <w:rPr>
            <w:rStyle w:val="Hyperlink"/>
            <w:rFonts w:ascii="Times New Roman" w:hAnsi="Times New Roman" w:cs="Times New Roman"/>
            <w:color w:val="000000" w:themeColor="text1"/>
            <w:sz w:val="24"/>
            <w:szCs w:val="24"/>
          </w:rPr>
          <w:t>https://doi.org/10.1007/978-1-4939-8916-4_1</w:t>
        </w:r>
      </w:hyperlink>
    </w:p>
    <w:p w14:paraId="1C7B662B"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Schmid, M., </w:t>
      </w:r>
      <w:proofErr w:type="spellStart"/>
      <w:r w:rsidRPr="00D02080">
        <w:rPr>
          <w:rFonts w:ascii="Times New Roman" w:hAnsi="Times New Roman" w:cs="Times New Roman"/>
          <w:color w:val="000000" w:themeColor="text1"/>
          <w:sz w:val="24"/>
          <w:szCs w:val="24"/>
        </w:rPr>
        <w:t>Dallmann</w:t>
      </w:r>
      <w:proofErr w:type="spellEnd"/>
      <w:r w:rsidRPr="00D02080">
        <w:rPr>
          <w:rFonts w:ascii="Times New Roman" w:hAnsi="Times New Roman" w:cs="Times New Roman"/>
          <w:color w:val="000000" w:themeColor="text1"/>
          <w:sz w:val="24"/>
          <w:szCs w:val="24"/>
        </w:rPr>
        <w:t xml:space="preserve">, K., </w:t>
      </w:r>
      <w:proofErr w:type="spellStart"/>
      <w:r w:rsidRPr="00D02080">
        <w:rPr>
          <w:rFonts w:ascii="Times New Roman" w:hAnsi="Times New Roman" w:cs="Times New Roman"/>
          <w:color w:val="000000" w:themeColor="text1"/>
          <w:sz w:val="24"/>
          <w:szCs w:val="24"/>
        </w:rPr>
        <w:t>Bugnicourt</w:t>
      </w:r>
      <w:proofErr w:type="spellEnd"/>
      <w:r w:rsidRPr="00D02080">
        <w:rPr>
          <w:rFonts w:ascii="Times New Roman" w:hAnsi="Times New Roman" w:cs="Times New Roman"/>
          <w:color w:val="000000" w:themeColor="text1"/>
          <w:sz w:val="24"/>
          <w:szCs w:val="24"/>
        </w:rPr>
        <w:t xml:space="preserve">, E., </w:t>
      </w:r>
      <w:proofErr w:type="spellStart"/>
      <w:r w:rsidRPr="00D02080">
        <w:rPr>
          <w:rFonts w:ascii="Times New Roman" w:hAnsi="Times New Roman" w:cs="Times New Roman"/>
          <w:color w:val="000000" w:themeColor="text1"/>
          <w:sz w:val="24"/>
          <w:szCs w:val="24"/>
        </w:rPr>
        <w:t>Cordoni</w:t>
      </w:r>
      <w:proofErr w:type="spellEnd"/>
      <w:r w:rsidRPr="00D02080">
        <w:rPr>
          <w:rFonts w:ascii="Times New Roman" w:hAnsi="Times New Roman" w:cs="Times New Roman"/>
          <w:color w:val="000000" w:themeColor="text1"/>
          <w:sz w:val="24"/>
          <w:szCs w:val="24"/>
        </w:rPr>
        <w:t xml:space="preserve">, D., Wild, F., </w:t>
      </w:r>
      <w:proofErr w:type="spellStart"/>
      <w:r w:rsidRPr="00D02080">
        <w:rPr>
          <w:rFonts w:ascii="Times New Roman" w:hAnsi="Times New Roman" w:cs="Times New Roman"/>
          <w:color w:val="000000" w:themeColor="text1"/>
          <w:sz w:val="24"/>
          <w:szCs w:val="24"/>
        </w:rPr>
        <w:t>Lazzeri</w:t>
      </w:r>
      <w:proofErr w:type="spellEnd"/>
      <w:r w:rsidRPr="00D02080">
        <w:rPr>
          <w:rFonts w:ascii="Times New Roman" w:hAnsi="Times New Roman" w:cs="Times New Roman"/>
          <w:color w:val="000000" w:themeColor="text1"/>
          <w:sz w:val="24"/>
          <w:szCs w:val="24"/>
        </w:rPr>
        <w:t xml:space="preserve">, A., &amp; </w:t>
      </w:r>
      <w:proofErr w:type="spellStart"/>
      <w:r w:rsidRPr="00D02080">
        <w:rPr>
          <w:rFonts w:ascii="Times New Roman" w:hAnsi="Times New Roman" w:cs="Times New Roman"/>
          <w:color w:val="000000" w:themeColor="text1"/>
          <w:sz w:val="24"/>
          <w:szCs w:val="24"/>
        </w:rPr>
        <w:t>Noller</w:t>
      </w:r>
      <w:proofErr w:type="spellEnd"/>
      <w:r w:rsidRPr="00D02080">
        <w:rPr>
          <w:rFonts w:ascii="Times New Roman" w:hAnsi="Times New Roman" w:cs="Times New Roman"/>
          <w:color w:val="000000" w:themeColor="text1"/>
          <w:sz w:val="24"/>
          <w:szCs w:val="24"/>
        </w:rPr>
        <w:t>, K. (2012). Properties of Whey-Protein-Coated Films and Laminates as Novel Recyclable Food Packaging Materials with Excellent Barrier Properties. </w:t>
      </w:r>
      <w:r w:rsidRPr="00D02080">
        <w:rPr>
          <w:rFonts w:ascii="Times New Roman" w:hAnsi="Times New Roman" w:cs="Times New Roman"/>
          <w:i/>
          <w:iCs/>
          <w:color w:val="000000" w:themeColor="text1"/>
          <w:sz w:val="24"/>
          <w:szCs w:val="24"/>
        </w:rPr>
        <w:t>International Journal of Polymer Science</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2012</w:t>
      </w:r>
      <w:r w:rsidRPr="00D02080">
        <w:rPr>
          <w:rFonts w:ascii="Times New Roman" w:hAnsi="Times New Roman" w:cs="Times New Roman"/>
          <w:color w:val="000000" w:themeColor="text1"/>
          <w:sz w:val="24"/>
          <w:szCs w:val="24"/>
        </w:rPr>
        <w:t>, 1–7. </w:t>
      </w:r>
      <w:hyperlink r:id="rId59" w:history="1">
        <w:r w:rsidRPr="00D02080">
          <w:rPr>
            <w:rStyle w:val="Hyperlink"/>
            <w:rFonts w:ascii="Times New Roman" w:hAnsi="Times New Roman" w:cs="Times New Roman"/>
            <w:color w:val="000000" w:themeColor="text1"/>
            <w:sz w:val="24"/>
            <w:szCs w:val="24"/>
          </w:rPr>
          <w:t>https://doi.org/10.1155/2012/562381</w:t>
        </w:r>
      </w:hyperlink>
    </w:p>
    <w:p w14:paraId="450B3100"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Seref</w:t>
      </w:r>
      <w:proofErr w:type="spellEnd"/>
      <w:r w:rsidRPr="00D02080">
        <w:rPr>
          <w:rFonts w:ascii="Times New Roman" w:hAnsi="Times New Roman" w:cs="Times New Roman"/>
          <w:color w:val="000000" w:themeColor="text1"/>
          <w:sz w:val="24"/>
          <w:szCs w:val="24"/>
        </w:rPr>
        <w:t xml:space="preserve">, N., &amp; </w:t>
      </w:r>
      <w:proofErr w:type="spellStart"/>
      <w:r w:rsidRPr="00D02080">
        <w:rPr>
          <w:rFonts w:ascii="Times New Roman" w:hAnsi="Times New Roman" w:cs="Times New Roman"/>
          <w:color w:val="000000" w:themeColor="text1"/>
          <w:sz w:val="24"/>
          <w:szCs w:val="24"/>
        </w:rPr>
        <w:t>Cufaoglu</w:t>
      </w:r>
      <w:proofErr w:type="spellEnd"/>
      <w:r w:rsidRPr="00D02080">
        <w:rPr>
          <w:rFonts w:ascii="Times New Roman" w:hAnsi="Times New Roman" w:cs="Times New Roman"/>
          <w:color w:val="000000" w:themeColor="text1"/>
          <w:sz w:val="24"/>
          <w:szCs w:val="24"/>
        </w:rPr>
        <w:t>, G. (2025). Food Packaging and Chemical Migration: A Food Safety perspective. </w:t>
      </w:r>
      <w:r w:rsidRPr="00D02080">
        <w:rPr>
          <w:rFonts w:ascii="Times New Roman" w:hAnsi="Times New Roman" w:cs="Times New Roman"/>
          <w:i/>
          <w:iCs/>
          <w:color w:val="000000" w:themeColor="text1"/>
          <w:sz w:val="24"/>
          <w:szCs w:val="24"/>
        </w:rPr>
        <w:t>Journal of Food Science</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90</w:t>
      </w:r>
      <w:r w:rsidRPr="00D02080">
        <w:rPr>
          <w:rFonts w:ascii="Times New Roman" w:hAnsi="Times New Roman" w:cs="Times New Roman"/>
          <w:color w:val="000000" w:themeColor="text1"/>
          <w:sz w:val="24"/>
          <w:szCs w:val="24"/>
        </w:rPr>
        <w:t>(5). </w:t>
      </w:r>
      <w:hyperlink r:id="rId60" w:history="1">
        <w:r w:rsidRPr="00D02080">
          <w:rPr>
            <w:rStyle w:val="Hyperlink"/>
            <w:rFonts w:ascii="Times New Roman" w:hAnsi="Times New Roman" w:cs="Times New Roman"/>
            <w:color w:val="000000" w:themeColor="text1"/>
            <w:sz w:val="24"/>
            <w:szCs w:val="24"/>
          </w:rPr>
          <w:t>https://doi.org/10.1111/1750-3841.70265</w:t>
        </w:r>
      </w:hyperlink>
    </w:p>
    <w:p w14:paraId="59639B60"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 xml:space="preserve">Sharma, A., Ranjit, R., Pratibha, N., Kumar, N., Kumar, M., &amp; </w:t>
      </w:r>
      <w:proofErr w:type="spellStart"/>
      <w:r w:rsidRPr="00D02080">
        <w:rPr>
          <w:rFonts w:ascii="Times New Roman" w:hAnsi="Times New Roman" w:cs="Times New Roman"/>
          <w:color w:val="000000" w:themeColor="text1"/>
          <w:sz w:val="24"/>
          <w:szCs w:val="24"/>
        </w:rPr>
        <w:t>Giri</w:t>
      </w:r>
      <w:proofErr w:type="spellEnd"/>
      <w:r w:rsidRPr="00D02080">
        <w:rPr>
          <w:rFonts w:ascii="Times New Roman" w:hAnsi="Times New Roman" w:cs="Times New Roman"/>
          <w:color w:val="000000" w:themeColor="text1"/>
          <w:sz w:val="24"/>
          <w:szCs w:val="24"/>
        </w:rPr>
        <w:t xml:space="preserve">, B. S. (2023). Nanoparticles based </w:t>
      </w:r>
      <w:proofErr w:type="spellStart"/>
      <w:r w:rsidRPr="00D02080">
        <w:rPr>
          <w:rFonts w:ascii="Times New Roman" w:hAnsi="Times New Roman" w:cs="Times New Roman"/>
          <w:color w:val="000000" w:themeColor="text1"/>
          <w:sz w:val="24"/>
          <w:szCs w:val="24"/>
        </w:rPr>
        <w:t>nanosensors</w:t>
      </w:r>
      <w:proofErr w:type="spellEnd"/>
      <w:r w:rsidRPr="00D02080">
        <w:rPr>
          <w:rFonts w:ascii="Times New Roman" w:hAnsi="Times New Roman" w:cs="Times New Roman"/>
          <w:color w:val="000000" w:themeColor="text1"/>
          <w:sz w:val="24"/>
          <w:szCs w:val="24"/>
        </w:rPr>
        <w:t>: Principles and their applications in active packaging for food quality and safety detection. </w:t>
      </w:r>
      <w:r w:rsidRPr="00D02080">
        <w:rPr>
          <w:rFonts w:ascii="Times New Roman" w:hAnsi="Times New Roman" w:cs="Times New Roman"/>
          <w:i/>
          <w:iCs/>
          <w:color w:val="000000" w:themeColor="text1"/>
          <w:sz w:val="24"/>
          <w:szCs w:val="24"/>
        </w:rPr>
        <w:t>Biochemical Engineering Journal</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193</w:t>
      </w:r>
      <w:r w:rsidRPr="00D02080">
        <w:rPr>
          <w:rFonts w:ascii="Times New Roman" w:hAnsi="Times New Roman" w:cs="Times New Roman"/>
          <w:color w:val="000000" w:themeColor="text1"/>
          <w:sz w:val="24"/>
          <w:szCs w:val="24"/>
        </w:rPr>
        <w:t>, 108861. </w:t>
      </w:r>
      <w:hyperlink r:id="rId61" w:history="1">
        <w:r w:rsidRPr="00D02080">
          <w:rPr>
            <w:rStyle w:val="Hyperlink"/>
            <w:rFonts w:ascii="Times New Roman" w:hAnsi="Times New Roman" w:cs="Times New Roman"/>
            <w:color w:val="000000" w:themeColor="text1"/>
            <w:sz w:val="24"/>
            <w:szCs w:val="24"/>
          </w:rPr>
          <w:t>https://doi.org/10.1016/j.bej.2023.108861</w:t>
        </w:r>
      </w:hyperlink>
    </w:p>
    <w:p w14:paraId="5D4C8B90"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Simbine</w:t>
      </w:r>
      <w:proofErr w:type="spellEnd"/>
      <w:r w:rsidRPr="00D02080">
        <w:rPr>
          <w:rFonts w:ascii="Times New Roman" w:hAnsi="Times New Roman" w:cs="Times New Roman"/>
          <w:color w:val="000000" w:themeColor="text1"/>
          <w:sz w:val="24"/>
          <w:szCs w:val="24"/>
        </w:rPr>
        <w:t>, E. O., Rodrigues, L. C., Lapa-</w:t>
      </w:r>
      <w:proofErr w:type="spellStart"/>
      <w:r w:rsidRPr="00D02080">
        <w:rPr>
          <w:rFonts w:ascii="Times New Roman" w:hAnsi="Times New Roman" w:cs="Times New Roman"/>
          <w:color w:val="000000" w:themeColor="text1"/>
          <w:sz w:val="24"/>
          <w:szCs w:val="24"/>
        </w:rPr>
        <w:t>Guimarães</w:t>
      </w:r>
      <w:proofErr w:type="spellEnd"/>
      <w:r w:rsidRPr="00D02080">
        <w:rPr>
          <w:rFonts w:ascii="Times New Roman" w:hAnsi="Times New Roman" w:cs="Times New Roman"/>
          <w:color w:val="000000" w:themeColor="text1"/>
          <w:sz w:val="24"/>
          <w:szCs w:val="24"/>
        </w:rPr>
        <w:t xml:space="preserve">, J., </w:t>
      </w:r>
      <w:proofErr w:type="spellStart"/>
      <w:r w:rsidRPr="00D02080">
        <w:rPr>
          <w:rFonts w:ascii="Times New Roman" w:hAnsi="Times New Roman" w:cs="Times New Roman"/>
          <w:color w:val="000000" w:themeColor="text1"/>
          <w:sz w:val="24"/>
          <w:szCs w:val="24"/>
        </w:rPr>
        <w:t>Kamimura</w:t>
      </w:r>
      <w:proofErr w:type="spellEnd"/>
      <w:r w:rsidRPr="00D02080">
        <w:rPr>
          <w:rFonts w:ascii="Times New Roman" w:hAnsi="Times New Roman" w:cs="Times New Roman"/>
          <w:color w:val="000000" w:themeColor="text1"/>
          <w:sz w:val="24"/>
          <w:szCs w:val="24"/>
        </w:rPr>
        <w:t xml:space="preserve">, E. S., &amp; </w:t>
      </w:r>
      <w:proofErr w:type="spellStart"/>
      <w:r w:rsidRPr="00D02080">
        <w:rPr>
          <w:rFonts w:ascii="Times New Roman" w:hAnsi="Times New Roman" w:cs="Times New Roman"/>
          <w:color w:val="000000" w:themeColor="text1"/>
          <w:sz w:val="24"/>
          <w:szCs w:val="24"/>
        </w:rPr>
        <w:t>Corassin</w:t>
      </w:r>
      <w:proofErr w:type="spellEnd"/>
      <w:r w:rsidRPr="00D02080">
        <w:rPr>
          <w:rFonts w:ascii="Times New Roman" w:hAnsi="Times New Roman" w:cs="Times New Roman"/>
          <w:color w:val="000000" w:themeColor="text1"/>
          <w:sz w:val="24"/>
          <w:szCs w:val="24"/>
        </w:rPr>
        <w:t>, C. H. (2019). Application of silver nanoparticles in food packages: a review. *Food Science and Technology*, 39(4), 793-802.</w:t>
      </w:r>
    </w:p>
    <w:p w14:paraId="5C92FD69"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Singh, A. K., &amp; Siddiqui, M. W. (2023). Development of smart foods for health by nanoencapsulation: a review. *Critical Reviews in Food Science and Nutrition*, 63(21), 5526-5541.</w:t>
      </w:r>
    </w:p>
    <w:p w14:paraId="0E1086C8"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Suddala</w:t>
      </w:r>
      <w:proofErr w:type="spellEnd"/>
      <w:r w:rsidRPr="00D02080">
        <w:rPr>
          <w:rFonts w:ascii="Times New Roman" w:hAnsi="Times New Roman" w:cs="Times New Roman"/>
          <w:color w:val="000000" w:themeColor="text1"/>
          <w:sz w:val="24"/>
          <w:szCs w:val="24"/>
        </w:rPr>
        <w:t>, S. (2020). Nanotechnology in Edible Packaging: Enhancing food safety and quality. </w:t>
      </w:r>
      <w:r w:rsidRPr="00D02080">
        <w:rPr>
          <w:rFonts w:ascii="Times New Roman" w:hAnsi="Times New Roman" w:cs="Times New Roman"/>
          <w:i/>
          <w:iCs/>
          <w:color w:val="000000" w:themeColor="text1"/>
          <w:sz w:val="24"/>
          <w:szCs w:val="24"/>
        </w:rPr>
        <w:t>International Journal of Science and Research (IJSR)</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9</w:t>
      </w:r>
      <w:r w:rsidRPr="00D02080">
        <w:rPr>
          <w:rFonts w:ascii="Times New Roman" w:hAnsi="Times New Roman" w:cs="Times New Roman"/>
          <w:color w:val="000000" w:themeColor="text1"/>
          <w:sz w:val="24"/>
          <w:szCs w:val="24"/>
        </w:rPr>
        <w:t>(5), 1906–1910. </w:t>
      </w:r>
      <w:hyperlink r:id="rId62" w:history="1">
        <w:r w:rsidRPr="00D02080">
          <w:rPr>
            <w:rStyle w:val="Hyperlink"/>
            <w:rFonts w:ascii="Times New Roman" w:hAnsi="Times New Roman" w:cs="Times New Roman"/>
            <w:color w:val="000000" w:themeColor="text1"/>
            <w:sz w:val="24"/>
            <w:szCs w:val="24"/>
          </w:rPr>
          <w:t>https://doi.org/10.21275/sr241029101142</w:t>
        </w:r>
      </w:hyperlink>
    </w:p>
    <w:p w14:paraId="2B0F4DC5"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Versino</w:t>
      </w:r>
      <w:proofErr w:type="spellEnd"/>
      <w:r w:rsidRPr="00D02080">
        <w:rPr>
          <w:rFonts w:ascii="Times New Roman" w:hAnsi="Times New Roman" w:cs="Times New Roman"/>
          <w:color w:val="000000" w:themeColor="text1"/>
          <w:sz w:val="24"/>
          <w:szCs w:val="24"/>
        </w:rPr>
        <w:t>, F., Ortega, F., Monroy, Y., Rivero, S., López, O. V., &amp; García, M. A. (2023). Sustainable and Bio-Based Food Packaging: A review on past and current design innovations. </w:t>
      </w:r>
      <w:r w:rsidRPr="00D02080">
        <w:rPr>
          <w:rFonts w:ascii="Times New Roman" w:hAnsi="Times New Roman" w:cs="Times New Roman"/>
          <w:i/>
          <w:iCs/>
          <w:color w:val="000000" w:themeColor="text1"/>
          <w:sz w:val="24"/>
          <w:szCs w:val="24"/>
        </w:rPr>
        <w:t>Foods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12</w:t>
      </w:r>
      <w:r w:rsidRPr="00D02080">
        <w:rPr>
          <w:rFonts w:ascii="Times New Roman" w:hAnsi="Times New Roman" w:cs="Times New Roman"/>
          <w:color w:val="000000" w:themeColor="text1"/>
          <w:sz w:val="24"/>
          <w:szCs w:val="24"/>
        </w:rPr>
        <w:t>(5), 1057. https://doi.org/10.3390/foods12051057</w:t>
      </w:r>
    </w:p>
    <w:p w14:paraId="0527515E"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Wyrwa</w:t>
      </w:r>
      <w:proofErr w:type="spellEnd"/>
      <w:r w:rsidRPr="00D02080">
        <w:rPr>
          <w:rFonts w:ascii="Times New Roman" w:hAnsi="Times New Roman" w:cs="Times New Roman"/>
          <w:color w:val="000000" w:themeColor="text1"/>
          <w:sz w:val="24"/>
          <w:szCs w:val="24"/>
        </w:rPr>
        <w:t xml:space="preserve">, J., &amp; </w:t>
      </w:r>
      <w:proofErr w:type="spellStart"/>
      <w:r w:rsidRPr="00D02080">
        <w:rPr>
          <w:rFonts w:ascii="Times New Roman" w:hAnsi="Times New Roman" w:cs="Times New Roman"/>
          <w:color w:val="000000" w:themeColor="text1"/>
          <w:sz w:val="24"/>
          <w:szCs w:val="24"/>
        </w:rPr>
        <w:t>Barska</w:t>
      </w:r>
      <w:proofErr w:type="spellEnd"/>
      <w:r w:rsidRPr="00D02080">
        <w:rPr>
          <w:rFonts w:ascii="Times New Roman" w:hAnsi="Times New Roman" w:cs="Times New Roman"/>
          <w:color w:val="000000" w:themeColor="text1"/>
          <w:sz w:val="24"/>
          <w:szCs w:val="24"/>
        </w:rPr>
        <w:t>, A. (2017). Innovations in the food packaging market: active packaging. </w:t>
      </w:r>
      <w:r w:rsidRPr="00D02080">
        <w:rPr>
          <w:rFonts w:ascii="Times New Roman" w:hAnsi="Times New Roman" w:cs="Times New Roman"/>
          <w:i/>
          <w:iCs/>
          <w:color w:val="000000" w:themeColor="text1"/>
          <w:sz w:val="24"/>
          <w:szCs w:val="24"/>
        </w:rPr>
        <w:t>European Food Research and Technology</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243</w:t>
      </w:r>
      <w:r w:rsidRPr="00D02080">
        <w:rPr>
          <w:rFonts w:ascii="Times New Roman" w:hAnsi="Times New Roman" w:cs="Times New Roman"/>
          <w:color w:val="000000" w:themeColor="text1"/>
          <w:sz w:val="24"/>
          <w:szCs w:val="24"/>
        </w:rPr>
        <w:t>(10), 1681–1692. </w:t>
      </w:r>
      <w:hyperlink r:id="rId63" w:history="1">
        <w:r w:rsidRPr="00D02080">
          <w:rPr>
            <w:rStyle w:val="Hyperlink"/>
            <w:rFonts w:ascii="Times New Roman" w:hAnsi="Times New Roman" w:cs="Times New Roman"/>
            <w:color w:val="000000" w:themeColor="text1"/>
            <w:sz w:val="24"/>
            <w:szCs w:val="24"/>
          </w:rPr>
          <w:t>https://doi.org/10.1007/s00217-017-2878-2</w:t>
        </w:r>
      </w:hyperlink>
    </w:p>
    <w:p w14:paraId="50692B9C"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Youn</w:t>
      </w:r>
      <w:proofErr w:type="spellEnd"/>
      <w:r w:rsidRPr="00D02080">
        <w:rPr>
          <w:rFonts w:ascii="Times New Roman" w:hAnsi="Times New Roman" w:cs="Times New Roman"/>
          <w:color w:val="000000" w:themeColor="text1"/>
          <w:sz w:val="24"/>
          <w:szCs w:val="24"/>
        </w:rPr>
        <w:t>, S., &amp; Choi, S. (2022). Food additive zinc oxide nanoparticles: dissolution, interaction, fate, cytotoxicity, and oral toxicity. </w:t>
      </w:r>
      <w:r w:rsidRPr="00D02080">
        <w:rPr>
          <w:rFonts w:ascii="Times New Roman" w:hAnsi="Times New Roman" w:cs="Times New Roman"/>
          <w:i/>
          <w:iCs/>
          <w:color w:val="000000" w:themeColor="text1"/>
          <w:sz w:val="24"/>
          <w:szCs w:val="24"/>
        </w:rPr>
        <w:t>International Journal of Molecular Sciences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23</w:t>
      </w:r>
      <w:r w:rsidRPr="00D02080">
        <w:rPr>
          <w:rFonts w:ascii="Times New Roman" w:hAnsi="Times New Roman" w:cs="Times New Roman"/>
          <w:color w:val="000000" w:themeColor="text1"/>
          <w:sz w:val="24"/>
          <w:szCs w:val="24"/>
        </w:rPr>
        <w:t>(11), 6074. </w:t>
      </w:r>
      <w:hyperlink r:id="rId64" w:history="1">
        <w:r w:rsidRPr="00D02080">
          <w:rPr>
            <w:rStyle w:val="Hyperlink"/>
            <w:rFonts w:ascii="Times New Roman" w:hAnsi="Times New Roman" w:cs="Times New Roman"/>
            <w:color w:val="000000" w:themeColor="text1"/>
            <w:sz w:val="24"/>
            <w:szCs w:val="24"/>
          </w:rPr>
          <w:t>https://doi.org/10.3390/ijms23116074</w:t>
        </w:r>
      </w:hyperlink>
    </w:p>
    <w:p w14:paraId="6DBADCCE"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lastRenderedPageBreak/>
        <w:t>Zare</w:t>
      </w:r>
      <w:proofErr w:type="spellEnd"/>
      <w:r w:rsidRPr="00D02080">
        <w:rPr>
          <w:rFonts w:ascii="Times New Roman" w:hAnsi="Times New Roman" w:cs="Times New Roman"/>
          <w:color w:val="000000" w:themeColor="text1"/>
          <w:sz w:val="24"/>
          <w:szCs w:val="24"/>
        </w:rPr>
        <w:t xml:space="preserve">, M., McLoughlin, P., Gleeson, J. P., &amp; O'Sullivan, J. (2022). Emerging trends for </w:t>
      </w:r>
      <w:proofErr w:type="spellStart"/>
      <w:r w:rsidRPr="00D02080">
        <w:rPr>
          <w:rFonts w:ascii="Times New Roman" w:hAnsi="Times New Roman" w:cs="Times New Roman"/>
          <w:color w:val="000000" w:themeColor="text1"/>
          <w:sz w:val="24"/>
          <w:szCs w:val="24"/>
        </w:rPr>
        <w:t>ZnO</w:t>
      </w:r>
      <w:proofErr w:type="spellEnd"/>
      <w:r w:rsidRPr="00D02080">
        <w:rPr>
          <w:rFonts w:ascii="Times New Roman" w:hAnsi="Times New Roman" w:cs="Times New Roman"/>
          <w:color w:val="000000" w:themeColor="text1"/>
          <w:sz w:val="24"/>
          <w:szCs w:val="24"/>
        </w:rPr>
        <w:t xml:space="preserve"> nanoparticles and their applications in food packaging materials. *ACS Food Science &amp; Technology*, 2(5), 763-781.</w:t>
      </w:r>
    </w:p>
    <w:p w14:paraId="34B5C293"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r w:rsidRPr="00D02080">
        <w:rPr>
          <w:rFonts w:ascii="Times New Roman" w:hAnsi="Times New Roman" w:cs="Times New Roman"/>
          <w:color w:val="000000" w:themeColor="text1"/>
          <w:sz w:val="24"/>
          <w:szCs w:val="24"/>
        </w:rPr>
        <w:t>Zhang, L., Kumar, S., &amp; Sharma, R. (2022). Processing optimization for silver nanoparticle incorporation in biodegradable packaging polymers. *Green Chemistry*, 24(18), 6934-6948.</w:t>
      </w:r>
    </w:p>
    <w:p w14:paraId="3BF63F12" w14:textId="77777777" w:rsidR="00EE5B09" w:rsidRPr="00D02080" w:rsidRDefault="00EE5B09" w:rsidP="00EE5B09">
      <w:pPr>
        <w:spacing w:line="276" w:lineRule="auto"/>
        <w:jc w:val="both"/>
        <w:rPr>
          <w:rFonts w:ascii="Times New Roman" w:hAnsi="Times New Roman" w:cs="Times New Roman"/>
          <w:color w:val="000000" w:themeColor="text1"/>
          <w:sz w:val="24"/>
          <w:szCs w:val="24"/>
        </w:rPr>
      </w:pPr>
      <w:proofErr w:type="spellStart"/>
      <w:r w:rsidRPr="00D02080">
        <w:rPr>
          <w:rFonts w:ascii="Times New Roman" w:hAnsi="Times New Roman" w:cs="Times New Roman"/>
          <w:color w:val="000000" w:themeColor="text1"/>
          <w:sz w:val="24"/>
          <w:szCs w:val="24"/>
        </w:rPr>
        <w:t>Zorraquín</w:t>
      </w:r>
      <w:proofErr w:type="spellEnd"/>
      <w:r w:rsidRPr="00D02080">
        <w:rPr>
          <w:rFonts w:ascii="Times New Roman" w:hAnsi="Times New Roman" w:cs="Times New Roman"/>
          <w:color w:val="000000" w:themeColor="text1"/>
          <w:sz w:val="24"/>
          <w:szCs w:val="24"/>
        </w:rPr>
        <w:t>-Peña, I., Cueva, C., Bartolomé, B., &amp; Moreno-</w:t>
      </w:r>
      <w:proofErr w:type="spellStart"/>
      <w:r w:rsidRPr="00D02080">
        <w:rPr>
          <w:rFonts w:ascii="Times New Roman" w:hAnsi="Times New Roman" w:cs="Times New Roman"/>
          <w:color w:val="000000" w:themeColor="text1"/>
          <w:sz w:val="24"/>
          <w:szCs w:val="24"/>
        </w:rPr>
        <w:t>Arribas</w:t>
      </w:r>
      <w:proofErr w:type="spellEnd"/>
      <w:r w:rsidRPr="00D02080">
        <w:rPr>
          <w:rFonts w:ascii="Times New Roman" w:hAnsi="Times New Roman" w:cs="Times New Roman"/>
          <w:color w:val="000000" w:themeColor="text1"/>
          <w:sz w:val="24"/>
          <w:szCs w:val="24"/>
        </w:rPr>
        <w:t>, M. V. (2020). Silver Nanoparticles against Foodborne Bacteria. Effects at Intestinal Level and Health Limitations. </w:t>
      </w:r>
      <w:r w:rsidRPr="00D02080">
        <w:rPr>
          <w:rFonts w:ascii="Times New Roman" w:hAnsi="Times New Roman" w:cs="Times New Roman"/>
          <w:i/>
          <w:iCs/>
          <w:color w:val="000000" w:themeColor="text1"/>
          <w:sz w:val="24"/>
          <w:szCs w:val="24"/>
        </w:rPr>
        <w:t>Microorganisms</w:t>
      </w:r>
      <w:r w:rsidRPr="00D02080">
        <w:rPr>
          <w:rFonts w:ascii="Times New Roman" w:hAnsi="Times New Roman" w:cs="Times New Roman"/>
          <w:color w:val="000000" w:themeColor="text1"/>
          <w:sz w:val="24"/>
          <w:szCs w:val="24"/>
        </w:rPr>
        <w:t>, </w:t>
      </w:r>
      <w:r w:rsidRPr="00D02080">
        <w:rPr>
          <w:rFonts w:ascii="Times New Roman" w:hAnsi="Times New Roman" w:cs="Times New Roman"/>
          <w:i/>
          <w:iCs/>
          <w:color w:val="000000" w:themeColor="text1"/>
          <w:sz w:val="24"/>
          <w:szCs w:val="24"/>
        </w:rPr>
        <w:t>8</w:t>
      </w:r>
      <w:r w:rsidRPr="00D02080">
        <w:rPr>
          <w:rFonts w:ascii="Times New Roman" w:hAnsi="Times New Roman" w:cs="Times New Roman"/>
          <w:color w:val="000000" w:themeColor="text1"/>
          <w:sz w:val="24"/>
          <w:szCs w:val="24"/>
        </w:rPr>
        <w:t>(1), 132. </w:t>
      </w:r>
      <w:hyperlink r:id="rId65" w:history="1">
        <w:r w:rsidRPr="00D02080">
          <w:rPr>
            <w:rStyle w:val="Hyperlink"/>
            <w:rFonts w:ascii="Times New Roman" w:hAnsi="Times New Roman" w:cs="Times New Roman"/>
            <w:color w:val="000000" w:themeColor="text1"/>
            <w:sz w:val="24"/>
            <w:szCs w:val="24"/>
          </w:rPr>
          <w:t>https://doi.org/10.3390/microorganisms8010132</w:t>
        </w:r>
      </w:hyperlink>
    </w:p>
    <w:p w14:paraId="42F8F196" w14:textId="77777777" w:rsidR="006A1B83" w:rsidRPr="006A1B83" w:rsidRDefault="006A1B83" w:rsidP="00206C59">
      <w:pPr>
        <w:spacing w:line="276" w:lineRule="auto"/>
        <w:jc w:val="both"/>
        <w:rPr>
          <w:rFonts w:ascii="Times New Roman" w:hAnsi="Times New Roman" w:cs="Times New Roman"/>
          <w:sz w:val="24"/>
          <w:szCs w:val="24"/>
        </w:rPr>
      </w:pPr>
    </w:p>
    <w:sectPr w:rsidR="006A1B83" w:rsidRPr="006A1B83">
      <w:headerReference w:type="even" r:id="rId66"/>
      <w:headerReference w:type="default" r:id="rId67"/>
      <w:footerReference w:type="even" r:id="rId68"/>
      <w:footerReference w:type="default" r:id="rId69"/>
      <w:headerReference w:type="first" r:id="rId70"/>
      <w:footerReference w:type="first" r:id="rId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37DFF" w14:textId="77777777" w:rsidR="00BD2974" w:rsidRDefault="00BD2974" w:rsidP="00F732CD">
      <w:pPr>
        <w:spacing w:after="0" w:line="240" w:lineRule="auto"/>
      </w:pPr>
      <w:r>
        <w:separator/>
      </w:r>
    </w:p>
  </w:endnote>
  <w:endnote w:type="continuationSeparator" w:id="0">
    <w:p w14:paraId="606EA857" w14:textId="77777777" w:rsidR="00BD2974" w:rsidRDefault="00BD2974" w:rsidP="00F7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442D" w14:textId="77777777" w:rsidR="00F732CD" w:rsidRDefault="00F73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1DF50" w14:textId="77777777" w:rsidR="00F732CD" w:rsidRDefault="00F73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0F9F1" w14:textId="77777777" w:rsidR="00F732CD" w:rsidRDefault="00F73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D05A5" w14:textId="77777777" w:rsidR="00BD2974" w:rsidRDefault="00BD2974" w:rsidP="00F732CD">
      <w:pPr>
        <w:spacing w:after="0" w:line="240" w:lineRule="auto"/>
      </w:pPr>
      <w:r>
        <w:separator/>
      </w:r>
    </w:p>
  </w:footnote>
  <w:footnote w:type="continuationSeparator" w:id="0">
    <w:p w14:paraId="6FD95640" w14:textId="77777777" w:rsidR="00BD2974" w:rsidRDefault="00BD2974" w:rsidP="00F73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FF065" w14:textId="2292D3FE" w:rsidR="00F732CD" w:rsidRDefault="00F732CD">
    <w:pPr>
      <w:pStyle w:val="Header"/>
    </w:pPr>
    <w:r>
      <w:rPr>
        <w:noProof/>
      </w:rPr>
      <w:pict w14:anchorId="77200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41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0BD0B" w14:textId="089108AB" w:rsidR="00F732CD" w:rsidRDefault="00F732CD">
    <w:pPr>
      <w:pStyle w:val="Header"/>
    </w:pPr>
    <w:r>
      <w:rPr>
        <w:noProof/>
      </w:rPr>
      <w:pict w14:anchorId="7D74E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41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315EC" w14:textId="6E453FFB" w:rsidR="00F732CD" w:rsidRDefault="00F732CD">
    <w:pPr>
      <w:pStyle w:val="Header"/>
    </w:pPr>
    <w:r>
      <w:rPr>
        <w:noProof/>
      </w:rPr>
      <w:pict w14:anchorId="380D3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441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71A37"/>
    <w:multiLevelType w:val="multilevel"/>
    <w:tmpl w:val="A880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4A"/>
    <w:rsid w:val="000019C2"/>
    <w:rsid w:val="000C7206"/>
    <w:rsid w:val="00206C59"/>
    <w:rsid w:val="00423946"/>
    <w:rsid w:val="004F04CC"/>
    <w:rsid w:val="00516BA9"/>
    <w:rsid w:val="005244EA"/>
    <w:rsid w:val="00547FDD"/>
    <w:rsid w:val="006A1B83"/>
    <w:rsid w:val="006C354A"/>
    <w:rsid w:val="00702E1B"/>
    <w:rsid w:val="00724F67"/>
    <w:rsid w:val="00777602"/>
    <w:rsid w:val="007A1526"/>
    <w:rsid w:val="007D088B"/>
    <w:rsid w:val="00810047"/>
    <w:rsid w:val="00833122"/>
    <w:rsid w:val="00956918"/>
    <w:rsid w:val="00A50AD7"/>
    <w:rsid w:val="00AF342D"/>
    <w:rsid w:val="00BC5DE6"/>
    <w:rsid w:val="00BD2974"/>
    <w:rsid w:val="00C275A8"/>
    <w:rsid w:val="00C45FE2"/>
    <w:rsid w:val="00C74AA1"/>
    <w:rsid w:val="00E317EE"/>
    <w:rsid w:val="00E46C85"/>
    <w:rsid w:val="00E92C37"/>
    <w:rsid w:val="00EC5B13"/>
    <w:rsid w:val="00EE0016"/>
    <w:rsid w:val="00EE5B09"/>
    <w:rsid w:val="00F732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A3BD72"/>
  <w15:chartTrackingRefBased/>
  <w15:docId w15:val="{83E065E0-01DF-4F3E-A3B8-08A978D5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5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5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5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5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5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5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5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5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5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54A"/>
    <w:rPr>
      <w:rFonts w:eastAsiaTheme="majorEastAsia" w:cstheme="majorBidi"/>
      <w:color w:val="272727" w:themeColor="text1" w:themeTint="D8"/>
    </w:rPr>
  </w:style>
  <w:style w:type="paragraph" w:styleId="Title">
    <w:name w:val="Title"/>
    <w:basedOn w:val="Normal"/>
    <w:next w:val="Normal"/>
    <w:link w:val="TitleChar"/>
    <w:uiPriority w:val="10"/>
    <w:qFormat/>
    <w:rsid w:val="006C3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54A"/>
    <w:pPr>
      <w:spacing w:before="160"/>
      <w:jc w:val="center"/>
    </w:pPr>
    <w:rPr>
      <w:i/>
      <w:iCs/>
      <w:color w:val="404040" w:themeColor="text1" w:themeTint="BF"/>
    </w:rPr>
  </w:style>
  <w:style w:type="character" w:customStyle="1" w:styleId="QuoteChar">
    <w:name w:val="Quote Char"/>
    <w:basedOn w:val="DefaultParagraphFont"/>
    <w:link w:val="Quote"/>
    <w:uiPriority w:val="29"/>
    <w:rsid w:val="006C354A"/>
    <w:rPr>
      <w:i/>
      <w:iCs/>
      <w:color w:val="404040" w:themeColor="text1" w:themeTint="BF"/>
    </w:rPr>
  </w:style>
  <w:style w:type="paragraph" w:styleId="ListParagraph">
    <w:name w:val="List Paragraph"/>
    <w:basedOn w:val="Normal"/>
    <w:uiPriority w:val="34"/>
    <w:qFormat/>
    <w:rsid w:val="006C354A"/>
    <w:pPr>
      <w:ind w:left="720"/>
      <w:contextualSpacing/>
    </w:pPr>
  </w:style>
  <w:style w:type="character" w:styleId="IntenseEmphasis">
    <w:name w:val="Intense Emphasis"/>
    <w:basedOn w:val="DefaultParagraphFont"/>
    <w:uiPriority w:val="21"/>
    <w:qFormat/>
    <w:rsid w:val="006C354A"/>
    <w:rPr>
      <w:i/>
      <w:iCs/>
      <w:color w:val="2F5496" w:themeColor="accent1" w:themeShade="BF"/>
    </w:rPr>
  </w:style>
  <w:style w:type="paragraph" w:styleId="IntenseQuote">
    <w:name w:val="Intense Quote"/>
    <w:basedOn w:val="Normal"/>
    <w:next w:val="Normal"/>
    <w:link w:val="IntenseQuoteChar"/>
    <w:uiPriority w:val="30"/>
    <w:qFormat/>
    <w:rsid w:val="006C3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54A"/>
    <w:rPr>
      <w:i/>
      <w:iCs/>
      <w:color w:val="2F5496" w:themeColor="accent1" w:themeShade="BF"/>
    </w:rPr>
  </w:style>
  <w:style w:type="character" w:styleId="IntenseReference">
    <w:name w:val="Intense Reference"/>
    <w:basedOn w:val="DefaultParagraphFont"/>
    <w:uiPriority w:val="32"/>
    <w:qFormat/>
    <w:rsid w:val="006C354A"/>
    <w:rPr>
      <w:b/>
      <w:bCs/>
      <w:smallCaps/>
      <w:color w:val="2F5496" w:themeColor="accent1" w:themeShade="BF"/>
      <w:spacing w:val="5"/>
    </w:rPr>
  </w:style>
  <w:style w:type="table" w:styleId="TableGrid">
    <w:name w:val="Table Grid"/>
    <w:basedOn w:val="TableNormal"/>
    <w:uiPriority w:val="59"/>
    <w:rsid w:val="00724F67"/>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5DE6"/>
    <w:rPr>
      <w:color w:val="0563C1" w:themeColor="hyperlink"/>
      <w:u w:val="single"/>
    </w:rPr>
  </w:style>
  <w:style w:type="character" w:styleId="UnresolvedMention">
    <w:name w:val="Unresolved Mention"/>
    <w:basedOn w:val="DefaultParagraphFont"/>
    <w:uiPriority w:val="99"/>
    <w:semiHidden/>
    <w:unhideWhenUsed/>
    <w:rsid w:val="00BC5DE6"/>
    <w:rPr>
      <w:color w:val="605E5C"/>
      <w:shd w:val="clear" w:color="auto" w:fill="E1DFDD"/>
    </w:rPr>
  </w:style>
  <w:style w:type="paragraph" w:styleId="Header">
    <w:name w:val="header"/>
    <w:basedOn w:val="Normal"/>
    <w:link w:val="HeaderChar"/>
    <w:uiPriority w:val="99"/>
    <w:unhideWhenUsed/>
    <w:rsid w:val="00F7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2CD"/>
  </w:style>
  <w:style w:type="paragraph" w:styleId="Footer">
    <w:name w:val="footer"/>
    <w:basedOn w:val="Normal"/>
    <w:link w:val="FooterChar"/>
    <w:uiPriority w:val="99"/>
    <w:unhideWhenUsed/>
    <w:rsid w:val="00F7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envpol.2014.09.022" TargetMode="External"/><Relationship Id="rId21" Type="http://schemas.openxmlformats.org/officeDocument/2006/relationships/hyperlink" Target="https://doi.org/10.1007/978-3-030-34544-0_2" TargetMode="External"/><Relationship Id="rId42" Type="http://schemas.openxmlformats.org/officeDocument/2006/relationships/hyperlink" Target="https://doi.org/10.3389/fnut.2021.663229" TargetMode="External"/><Relationship Id="rId47" Type="http://schemas.openxmlformats.org/officeDocument/2006/relationships/hyperlink" Target="https://doi.org/10.5772/intechopen.80818" TargetMode="External"/><Relationship Id="rId63" Type="http://schemas.openxmlformats.org/officeDocument/2006/relationships/hyperlink" Target="https://doi.org/10.1007/s00217-017-2878-2" TargetMode="External"/><Relationship Id="rId6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389/fnut.2023.1109204" TargetMode="External"/><Relationship Id="rId29" Type="http://schemas.openxmlformats.org/officeDocument/2006/relationships/hyperlink" Target="https://doi.org/10.1016/b978-0-323-99446-0.00007-6" TargetMode="External"/><Relationship Id="rId11" Type="http://schemas.openxmlformats.org/officeDocument/2006/relationships/hyperlink" Target="https://doi.org/10.1016/j.jafr.2022.100270" TargetMode="External"/><Relationship Id="rId24" Type="http://schemas.openxmlformats.org/officeDocument/2006/relationships/hyperlink" Target="https://doi.org/10.1007/s11947-012-0797-6" TargetMode="External"/><Relationship Id="rId32" Type="http://schemas.openxmlformats.org/officeDocument/2006/relationships/hyperlink" Target="https://doi.org/10.1515/eces-2015-0018" TargetMode="External"/><Relationship Id="rId37" Type="http://schemas.openxmlformats.org/officeDocument/2006/relationships/hyperlink" Target="https://doi.org/10.2903/j.efsa.2021.6790" TargetMode="External"/><Relationship Id="rId40" Type="http://schemas.openxmlformats.org/officeDocument/2006/relationships/hyperlink" Target="https://doi.org/10.3390/polym15163362" TargetMode="External"/><Relationship Id="rId45" Type="http://schemas.openxmlformats.org/officeDocument/2006/relationships/hyperlink" Target="https://doi.org/10.1007/s10311-017-0633-3" TargetMode="External"/><Relationship Id="rId53" Type="http://schemas.openxmlformats.org/officeDocument/2006/relationships/hyperlink" Target="https://doi.org/10.1016/j.crfs.2022.04.005" TargetMode="External"/><Relationship Id="rId58" Type="http://schemas.openxmlformats.org/officeDocument/2006/relationships/hyperlink" Target="https://doi.org/10.1007/978-1-4939-8916-4_1"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doi.org/10.1016/j.bej.2023.108861" TargetMode="External"/><Relationship Id="rId19" Type="http://schemas.openxmlformats.org/officeDocument/2006/relationships/hyperlink" Target="https://doi.org/10.1016/j.clcb.2025.100140" TargetMode="External"/><Relationship Id="rId14" Type="http://schemas.openxmlformats.org/officeDocument/2006/relationships/hyperlink" Target="https://doi.org/10.3390/su13116260" TargetMode="External"/><Relationship Id="rId22" Type="http://schemas.openxmlformats.org/officeDocument/2006/relationships/hyperlink" Target="https://doi.org/10.1039/d4ra03711a" TargetMode="External"/><Relationship Id="rId27" Type="http://schemas.openxmlformats.org/officeDocument/2006/relationships/hyperlink" Target="https://doi.org/10.3390/microorganisms10091778" TargetMode="External"/><Relationship Id="rId30" Type="http://schemas.openxmlformats.org/officeDocument/2006/relationships/hyperlink" Target="https://doi.org/10.1201/9781003186298-5" TargetMode="External"/><Relationship Id="rId35" Type="http://schemas.openxmlformats.org/officeDocument/2006/relationships/hyperlink" Target="https://doi.org/10.22004/ag.econ.162233" TargetMode="External"/><Relationship Id="rId43" Type="http://schemas.openxmlformats.org/officeDocument/2006/relationships/hyperlink" Target="https://doi.org/10.3390/nano12173066" TargetMode="External"/><Relationship Id="rId48" Type="http://schemas.openxmlformats.org/officeDocument/2006/relationships/hyperlink" Target="https://doi.org/10.3390/pr9091594" TargetMode="External"/><Relationship Id="rId56" Type="http://schemas.openxmlformats.org/officeDocument/2006/relationships/hyperlink" Target="https://doi.org/10.1021/acs.chemrev.3c00326" TargetMode="External"/><Relationship Id="rId64" Type="http://schemas.openxmlformats.org/officeDocument/2006/relationships/hyperlink" Target="https://doi.org/10.3390/ijms23116074" TargetMode="External"/><Relationship Id="rId69" Type="http://schemas.openxmlformats.org/officeDocument/2006/relationships/footer" Target="footer2.xml"/><Relationship Id="rId8" Type="http://schemas.openxmlformats.org/officeDocument/2006/relationships/hyperlink" Target="https://doi.org/10.1016/b978-0-08-100596-5.22499-2" TargetMode="External"/><Relationship Id="rId51" Type="http://schemas.openxmlformats.org/officeDocument/2006/relationships/hyperlink" Target="https://doi.org/10.1016/b978-0-12-823358-0.00017-4"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155/2022/6053922" TargetMode="External"/><Relationship Id="rId17" Type="http://schemas.openxmlformats.org/officeDocument/2006/relationships/hyperlink" Target="https://doi.org/10.1016/j.jksus.2016.05.004" TargetMode="External"/><Relationship Id="rId25" Type="http://schemas.openxmlformats.org/officeDocument/2006/relationships/hyperlink" Target="https://doi.org/10.1007/s11947-012-0944-0" TargetMode="External"/><Relationship Id="rId33" Type="http://schemas.openxmlformats.org/officeDocument/2006/relationships/hyperlink" Target="https://doi.org/10.3390/nano11020263" TargetMode="External"/><Relationship Id="rId38" Type="http://schemas.openxmlformats.org/officeDocument/2006/relationships/hyperlink" Target="https://doi.org/10.3390/polym14214733" TargetMode="External"/><Relationship Id="rId46" Type="http://schemas.openxmlformats.org/officeDocument/2006/relationships/hyperlink" Target="https://doi.org/10.2202/1941-6008.1120" TargetMode="External"/><Relationship Id="rId59" Type="http://schemas.openxmlformats.org/officeDocument/2006/relationships/hyperlink" Target="https://doi.org/10.1155/2012/562381" TargetMode="External"/><Relationship Id="rId67" Type="http://schemas.openxmlformats.org/officeDocument/2006/relationships/header" Target="header2.xml"/><Relationship Id="rId20" Type="http://schemas.openxmlformats.org/officeDocument/2006/relationships/hyperlink" Target="https://doi.org/10.4324/9781315276670-1" TargetMode="External"/><Relationship Id="rId41" Type="http://schemas.openxmlformats.org/officeDocument/2006/relationships/hyperlink" Target="https://doi.org/10.3390/foods11131884" TargetMode="External"/><Relationship Id="rId54" Type="http://schemas.openxmlformats.org/officeDocument/2006/relationships/hyperlink" Target="https://doi.org/10.1007/978-3-031-88322-4_2" TargetMode="External"/><Relationship Id="rId62" Type="http://schemas.openxmlformats.org/officeDocument/2006/relationships/hyperlink" Target="https://doi.org/10.21275/sr241029101142" TargetMode="External"/><Relationship Id="rId7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89/fchem.2024.1356304" TargetMode="External"/><Relationship Id="rId23" Type="http://schemas.openxmlformats.org/officeDocument/2006/relationships/hyperlink" Target="https://doi.org/10.1007/s40089-022-00388-8" TargetMode="External"/><Relationship Id="rId28" Type="http://schemas.openxmlformats.org/officeDocument/2006/relationships/hyperlink" Target="https://www.gminsights.com/industry-analysis/food-packaging-market" TargetMode="External"/><Relationship Id="rId36" Type="http://schemas.openxmlformats.org/officeDocument/2006/relationships/hyperlink" Target="https://doi.org/10.1016/j.foodqual.2020.103922" TargetMode="External"/><Relationship Id="rId49" Type="http://schemas.openxmlformats.org/officeDocument/2006/relationships/hyperlink" Target="https://doi.org/10.1051/e3sconf/202454701014" TargetMode="External"/><Relationship Id="rId57" Type="http://schemas.openxmlformats.org/officeDocument/2006/relationships/hyperlink" Target="https://doi.org/10.1039/d2ra00912a" TargetMode="External"/><Relationship Id="rId10" Type="http://schemas.openxmlformats.org/officeDocument/2006/relationships/hyperlink" Target="https://doi.org/10.1016/j.yrtph.2021.104885" TargetMode="External"/><Relationship Id="rId31" Type="http://schemas.openxmlformats.org/officeDocument/2006/relationships/hyperlink" Target="https://doi.org/10.61186/mch.2025.1076" TargetMode="External"/><Relationship Id="rId44" Type="http://schemas.openxmlformats.org/officeDocument/2006/relationships/hyperlink" Target="https://doi.org/10.1111/jfpe.70120" TargetMode="External"/><Relationship Id="rId52" Type="http://schemas.openxmlformats.org/officeDocument/2006/relationships/hyperlink" Target="https://doi.org/10.3390/foods14152657" TargetMode="External"/><Relationship Id="rId60" Type="http://schemas.openxmlformats.org/officeDocument/2006/relationships/hyperlink" Target="https://doi.org/10.1111/1750-3841.70265" TargetMode="External"/><Relationship Id="rId65" Type="http://schemas.openxmlformats.org/officeDocument/2006/relationships/hyperlink" Target="https://doi.org/10.3390/microorganisms8010132"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8421/tem113-26" TargetMode="External"/><Relationship Id="rId13" Type="http://schemas.openxmlformats.org/officeDocument/2006/relationships/hyperlink" Target="https://doi.org/10.1021/acs.chemrev.3c00705" TargetMode="External"/><Relationship Id="rId18" Type="http://schemas.openxmlformats.org/officeDocument/2006/relationships/hyperlink" Target="https://doi.org/10.1016/b978-0-323-51271-8.00001-2" TargetMode="External"/><Relationship Id="rId39" Type="http://schemas.openxmlformats.org/officeDocument/2006/relationships/hyperlink" Target="https://doi.org/10.3390/bioengineering12010019" TargetMode="External"/><Relationship Id="rId34" Type="http://schemas.openxmlformats.org/officeDocument/2006/relationships/hyperlink" Target="https://doi.org/10.3390/nano15050356" TargetMode="External"/><Relationship Id="rId50" Type="http://schemas.openxmlformats.org/officeDocument/2006/relationships/hyperlink" Target="https://doi.org/10.1016/j.tsf.2011.01.347" TargetMode="External"/><Relationship Id="rId55" Type="http://schemas.openxmlformats.org/officeDocument/2006/relationships/hyperlink" Target="https://doi.org/10.3139/9781569905258.005" TargetMode="External"/><Relationship Id="rId7" Type="http://schemas.openxmlformats.org/officeDocument/2006/relationships/hyperlink" Target="https://doi.org/10.3390/coatings11040380" TargetMode="Externa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19</Pages>
  <Words>7454</Words>
  <Characters>42494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SDI 1084</cp:lastModifiedBy>
  <cp:revision>6</cp:revision>
  <dcterms:created xsi:type="dcterms:W3CDTF">2025-09-24T08:26:00Z</dcterms:created>
  <dcterms:modified xsi:type="dcterms:W3CDTF">2025-10-08T13:18:00Z</dcterms:modified>
</cp:coreProperties>
</file>