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5DB56" w14:textId="4A59237F" w:rsidR="00053700" w:rsidRPr="00053700" w:rsidRDefault="00053700" w:rsidP="00053700">
      <w:pPr>
        <w:spacing w:after="160" w:line="360" w:lineRule="auto"/>
        <w:jc w:val="both"/>
        <w:rPr>
          <w:b/>
          <w:bCs/>
          <w:color w:val="000000"/>
          <w:lang w:val="en-US"/>
        </w:rPr>
      </w:pPr>
      <w:r w:rsidRPr="00053700">
        <w:rPr>
          <w:b/>
          <w:bCs/>
          <w:color w:val="000000"/>
          <w:lang w:val="en-US"/>
        </w:rPr>
        <w:t xml:space="preserve">Evaluation of the immunogenicity of </w:t>
      </w:r>
      <w:r w:rsidRPr="00053700">
        <w:rPr>
          <w:b/>
          <w:bCs/>
          <w:i/>
          <w:iCs/>
          <w:color w:val="000000"/>
          <w:lang w:val="en-US"/>
        </w:rPr>
        <w:t xml:space="preserve">Sargassum </w:t>
      </w:r>
      <w:proofErr w:type="spellStart"/>
      <w:r w:rsidRPr="00053700">
        <w:rPr>
          <w:b/>
          <w:bCs/>
          <w:i/>
          <w:iCs/>
          <w:color w:val="000000"/>
          <w:lang w:val="en-US"/>
        </w:rPr>
        <w:t>fluitans</w:t>
      </w:r>
      <w:proofErr w:type="spellEnd"/>
      <w:r w:rsidRPr="00053700">
        <w:rPr>
          <w:b/>
          <w:bCs/>
          <w:color w:val="000000"/>
          <w:lang w:val="en-US"/>
        </w:rPr>
        <w:t>, an invasive brown seaweed in the coastal zone of Côte d'Ivoire, in rabbits</w:t>
      </w:r>
    </w:p>
    <w:p w14:paraId="4DF73353" w14:textId="77777777" w:rsidR="00063928" w:rsidRDefault="00063928" w:rsidP="000537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lang w:val="en-US"/>
        </w:rPr>
      </w:pPr>
    </w:p>
    <w:p w14:paraId="33D97371" w14:textId="0EE6F950" w:rsidR="00053700" w:rsidRPr="00C05A32" w:rsidRDefault="00053700" w:rsidP="000537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lang w:val="en-US"/>
        </w:rPr>
      </w:pPr>
      <w:bookmarkStart w:id="0" w:name="_GoBack"/>
      <w:bookmarkEnd w:id="0"/>
      <w:r w:rsidRPr="00C05A32">
        <w:rPr>
          <w:b/>
          <w:bCs/>
          <w:color w:val="000000"/>
          <w:lang w:val="en-US"/>
        </w:rPr>
        <w:t>Abstract</w:t>
      </w:r>
    </w:p>
    <w:p w14:paraId="601CCC20" w14:textId="75833551" w:rsidR="002F310C" w:rsidRPr="002F310C" w:rsidRDefault="002F310C" w:rsidP="002F31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US"/>
        </w:rPr>
      </w:pPr>
      <w:r w:rsidRPr="002F310C">
        <w:rPr>
          <w:color w:val="000000"/>
          <w:lang w:val="en-US"/>
        </w:rPr>
        <w:t xml:space="preserve">Sargassum </w:t>
      </w:r>
      <w:proofErr w:type="spellStart"/>
      <w:r w:rsidRPr="002F310C">
        <w:rPr>
          <w:color w:val="000000"/>
          <w:lang w:val="en-US"/>
        </w:rPr>
        <w:t>fluitans</w:t>
      </w:r>
      <w:proofErr w:type="spellEnd"/>
      <w:r w:rsidRPr="002F310C">
        <w:rPr>
          <w:color w:val="000000"/>
          <w:lang w:val="en-US"/>
        </w:rPr>
        <w:t xml:space="preserve"> is an invasive brown seaweed found in coastal areas of Côte d'Ivoire, whose presence causes numerous problems for local communities. The aim of this study is to contribute to the development of this species by evaluating its immunogenic potential in rabbits. The study made it possible to extract and identify, through phytochemical sorting, the active ingredients contained in the Total Aqueous Extract (TAE), which are polyphenols and tannins. The injection of TAE in increasing doses to rabbits showed that Sargassum </w:t>
      </w:r>
      <w:proofErr w:type="spellStart"/>
      <w:r w:rsidRPr="002F310C">
        <w:rPr>
          <w:color w:val="000000"/>
          <w:lang w:val="en-US"/>
        </w:rPr>
        <w:t>fluitans</w:t>
      </w:r>
      <w:proofErr w:type="spellEnd"/>
      <w:r w:rsidRPr="002F310C">
        <w:rPr>
          <w:color w:val="000000"/>
          <w:lang w:val="en-US"/>
        </w:rPr>
        <w:t xml:space="preserve"> stimulates immunity by inducing an increase in immune cell levels. Indeed, the results of blood tests on the rabbits showed that the immune defense cells, composed mainly of white blood cells, lymphocytes, and neutrophils, underwent various changes over time (from D0 to D8) after injection of the product. The different doses of 5 mg/mL, 15 mg/mL, 25 mg/mL, and 9‰ NaCl (controls) showed relatively low results. However, the 25 mg/mL dose proved to be the most interesting. Indeed, the number of Gb and Ne on D2 was significantly higher (p &lt; 0.001) than on D0, confirming rapid and strong stimulation. Sargassum </w:t>
      </w:r>
      <w:proofErr w:type="spellStart"/>
      <w:r w:rsidRPr="002F310C">
        <w:rPr>
          <w:color w:val="000000"/>
          <w:lang w:val="en-US"/>
        </w:rPr>
        <w:t>fluitans</w:t>
      </w:r>
      <w:proofErr w:type="spellEnd"/>
      <w:r w:rsidRPr="002F310C">
        <w:rPr>
          <w:color w:val="000000"/>
          <w:lang w:val="en-US"/>
        </w:rPr>
        <w:t xml:space="preserve"> could be an excellent candidate for further studies with a view to developing an immunostimulant, thereby contributing to the genuine promotion of </w:t>
      </w:r>
      <w:r w:rsidR="00053700" w:rsidRPr="002F310C">
        <w:rPr>
          <w:color w:val="000000"/>
          <w:lang w:val="en-US"/>
        </w:rPr>
        <w:t>these brown algae</w:t>
      </w:r>
      <w:r w:rsidRPr="002F310C">
        <w:rPr>
          <w:color w:val="000000"/>
          <w:lang w:val="en-US"/>
        </w:rPr>
        <w:t>.</w:t>
      </w:r>
    </w:p>
    <w:p w14:paraId="59F4D960" w14:textId="77777777" w:rsidR="00053700" w:rsidRDefault="00053700" w:rsidP="000537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US"/>
        </w:rPr>
      </w:pPr>
      <w:r w:rsidRPr="00505C24">
        <w:rPr>
          <w:b/>
          <w:bCs/>
          <w:color w:val="000000"/>
          <w:lang w:val="en-US"/>
        </w:rPr>
        <w:t>Keywords</w:t>
      </w:r>
      <w:r>
        <w:rPr>
          <w:b/>
          <w:bCs/>
          <w:color w:val="000000"/>
          <w:lang w:val="en-US"/>
        </w:rPr>
        <w:t>:</w:t>
      </w:r>
      <w:r w:rsidRPr="00505C24">
        <w:rPr>
          <w:color w:val="000000"/>
          <w:lang w:val="en-US"/>
        </w:rPr>
        <w:t xml:space="preserve"> Sargassum </w:t>
      </w:r>
      <w:proofErr w:type="spellStart"/>
      <w:r w:rsidRPr="00505C24">
        <w:rPr>
          <w:color w:val="000000"/>
          <w:lang w:val="en-US"/>
        </w:rPr>
        <w:t>fluitans</w:t>
      </w:r>
      <w:proofErr w:type="spellEnd"/>
      <w:r w:rsidRPr="00505C24">
        <w:rPr>
          <w:color w:val="000000"/>
          <w:lang w:val="en-US"/>
        </w:rPr>
        <w:t>, invasive brown seaweed, aqueous extract, immunogenicity, rabbit.</w:t>
      </w:r>
    </w:p>
    <w:p w14:paraId="3B021504" w14:textId="77777777" w:rsidR="00053700" w:rsidRPr="007A29B8" w:rsidRDefault="00E30D64" w:rsidP="0073448E">
      <w:pPr>
        <w:spacing w:line="360" w:lineRule="auto"/>
        <w:jc w:val="both"/>
        <w:rPr>
          <w:b/>
          <w:bCs/>
          <w:color w:val="000000"/>
          <w:lang w:val="en-US"/>
        </w:rPr>
      </w:pPr>
      <w:r w:rsidRPr="007A29B8">
        <w:rPr>
          <w:b/>
          <w:bCs/>
          <w:color w:val="000000"/>
          <w:lang w:val="en-US"/>
        </w:rPr>
        <w:t>Introduction</w:t>
      </w:r>
    </w:p>
    <w:p w14:paraId="0D2BF3F2" w14:textId="77777777" w:rsidR="00635658" w:rsidRPr="00635658" w:rsidRDefault="00635658" w:rsidP="00635658">
      <w:pPr>
        <w:spacing w:after="160" w:line="360" w:lineRule="auto"/>
        <w:jc w:val="both"/>
        <w:rPr>
          <w:color w:val="000000"/>
          <w:lang w:val="en-US"/>
        </w:rPr>
      </w:pPr>
      <w:r w:rsidRPr="00635658">
        <w:rPr>
          <w:color w:val="000000"/>
          <w:lang w:val="en-US"/>
        </w:rPr>
        <w:t xml:space="preserve">Côte d'Ivoire, a West African country, opens onto the Atlantic Ocean with a coastal area stretching approximately 300 km (Kouakou et al., 2015). In this coastal zone, particularly along the coastline and in the Gulf of Guinea, polluting marine macroalgae have been reported since 2011 by several authors, including Johnson et al. (2012), Guiry and </w:t>
      </w:r>
      <w:proofErr w:type="spellStart"/>
      <w:r w:rsidRPr="00635658">
        <w:rPr>
          <w:color w:val="000000"/>
          <w:lang w:val="en-US"/>
        </w:rPr>
        <w:t>Guiry</w:t>
      </w:r>
      <w:proofErr w:type="spellEnd"/>
      <w:r w:rsidRPr="00635658">
        <w:rPr>
          <w:color w:val="000000"/>
          <w:lang w:val="en-US"/>
        </w:rPr>
        <w:t xml:space="preserve"> (2013), </w:t>
      </w:r>
      <w:proofErr w:type="spellStart"/>
      <w:r w:rsidRPr="00635658">
        <w:rPr>
          <w:color w:val="000000"/>
          <w:lang w:val="en-US"/>
        </w:rPr>
        <w:t>Komoé</w:t>
      </w:r>
      <w:proofErr w:type="spellEnd"/>
      <w:r w:rsidRPr="00635658">
        <w:rPr>
          <w:color w:val="000000"/>
          <w:lang w:val="en-US"/>
        </w:rPr>
        <w:t xml:space="preserve"> et al. (2016), and </w:t>
      </w:r>
      <w:proofErr w:type="spellStart"/>
      <w:r w:rsidRPr="00635658">
        <w:rPr>
          <w:color w:val="000000"/>
          <w:lang w:val="en-US"/>
        </w:rPr>
        <w:t>Sankaré</w:t>
      </w:r>
      <w:proofErr w:type="spellEnd"/>
      <w:r w:rsidRPr="00635658">
        <w:rPr>
          <w:color w:val="000000"/>
          <w:lang w:val="en-US"/>
        </w:rPr>
        <w:t xml:space="preserve"> et al. (2016). These algae have been identified as Sargassum by these same authors. Sargassum are macroscopic brownish algae. They belong to the order </w:t>
      </w:r>
      <w:proofErr w:type="spellStart"/>
      <w:r w:rsidRPr="00635658">
        <w:rPr>
          <w:color w:val="000000"/>
          <w:lang w:val="en-US"/>
        </w:rPr>
        <w:t>Fucales</w:t>
      </w:r>
      <w:proofErr w:type="spellEnd"/>
      <w:r w:rsidRPr="00635658">
        <w:rPr>
          <w:color w:val="000000"/>
          <w:lang w:val="en-US"/>
        </w:rPr>
        <w:t xml:space="preserve">, which is one of the most diverse in the class Phaeophyceae, with nearly 1,000 taxa described (Guiry and Guiry, 2008). They live in tropical waters and are found in large accumulations in the Sargasso Sea off the east coast of the United States (Zubia, 2003; Mattio, 2008). However, since 2011, there has been a massive influx of these algae into the marine waters of the Gulf of Guinea. This new invasive presence of Sargassum in these waters is thought to be due to a new </w:t>
      </w:r>
      <w:r w:rsidRPr="00635658">
        <w:rPr>
          <w:color w:val="000000"/>
          <w:lang w:val="en-US"/>
        </w:rPr>
        <w:lastRenderedPageBreak/>
        <w:t xml:space="preserve">accumulation zone located in northeastern Brazil. This zone, known as the “little Sargasso Sea,” is a reservoir of algae. Depending on the currents and seasons, this mass of algae could move from eastern Brazil and travel up towards the Antilles arc. It is then carried by the North Equatorial Current and follows a loop into the Gulf of Guinea, where it grows in contact with the rich waters of the African rivers that flow into this area. This seaweed is carried into Ivorian waters by ocean currents, swells, and tides (Johnson et al., 2012; </w:t>
      </w:r>
      <w:proofErr w:type="spellStart"/>
      <w:r w:rsidRPr="00635658">
        <w:rPr>
          <w:color w:val="000000"/>
          <w:lang w:val="en-US"/>
        </w:rPr>
        <w:t>Sankaré</w:t>
      </w:r>
      <w:proofErr w:type="spellEnd"/>
      <w:r w:rsidRPr="00635658">
        <w:rPr>
          <w:color w:val="000000"/>
          <w:lang w:val="en-US"/>
        </w:rPr>
        <w:t xml:space="preserve"> et al., 2016). Faced with this situation and given the lack of effective solutions to deal with this increasingly worrying scourge, taking initiatives to make use of these algae seems to be the best course of action. The overall objective of this study is to contribute to the fight against the proliferation of sargassum on Ivorian beaches by using it as a therapeutic agent with immunogenic properties. More specifically, the aim was to extract the active ingredients from the seaweed, identify these active ingredients, and evaluate the immunogenic activity of the seaweed extracts in rabbits.</w:t>
      </w:r>
    </w:p>
    <w:p w14:paraId="109384FA" w14:textId="77777777" w:rsidR="00635658" w:rsidRPr="007A29B8" w:rsidRDefault="00635658" w:rsidP="00BA5266">
      <w:pPr>
        <w:rPr>
          <w:b/>
          <w:noProof/>
          <w:lang w:val="en-US"/>
        </w:rPr>
      </w:pPr>
    </w:p>
    <w:p w14:paraId="703D28A5" w14:textId="77777777" w:rsidR="00A676EA" w:rsidRPr="00A676EA" w:rsidRDefault="00A676EA" w:rsidP="00A676EA">
      <w:pPr>
        <w:spacing w:line="360" w:lineRule="auto"/>
        <w:jc w:val="both"/>
        <w:rPr>
          <w:b/>
          <w:noProof/>
          <w:lang w:val="en-US"/>
        </w:rPr>
      </w:pPr>
      <w:r w:rsidRPr="00A676EA">
        <w:rPr>
          <w:b/>
          <w:noProof/>
          <w:lang w:val="en-US"/>
        </w:rPr>
        <w:t>Materials and Methods</w:t>
      </w:r>
    </w:p>
    <w:p w14:paraId="754D3447" w14:textId="77777777" w:rsidR="00A676EA" w:rsidRPr="00A676EA" w:rsidRDefault="00A676EA" w:rsidP="00A676EA">
      <w:pPr>
        <w:spacing w:line="360" w:lineRule="auto"/>
        <w:jc w:val="both"/>
        <w:rPr>
          <w:b/>
          <w:noProof/>
          <w:lang w:val="en-US"/>
        </w:rPr>
      </w:pPr>
      <w:r w:rsidRPr="00A676EA">
        <w:rPr>
          <w:b/>
          <w:noProof/>
          <w:lang w:val="en-US"/>
        </w:rPr>
        <w:t>I-1- Biological material</w:t>
      </w:r>
    </w:p>
    <w:p w14:paraId="2DDB8F0A" w14:textId="77777777" w:rsidR="00A676EA" w:rsidRPr="00A676EA" w:rsidRDefault="00A676EA" w:rsidP="00A676EA">
      <w:pPr>
        <w:spacing w:line="360" w:lineRule="auto"/>
        <w:jc w:val="both"/>
        <w:rPr>
          <w:bCs/>
          <w:noProof/>
          <w:lang w:val="en-US"/>
        </w:rPr>
      </w:pPr>
      <w:r w:rsidRPr="00A676EA">
        <w:rPr>
          <w:bCs/>
          <w:noProof/>
          <w:lang w:val="en-US"/>
        </w:rPr>
        <w:t xml:space="preserve">The biological material consisted of the species Sargassum fluitans collected on Assinie beach </w:t>
      </w:r>
      <w:r w:rsidRPr="00A676EA">
        <w:rPr>
          <w:b/>
          <w:noProof/>
          <w:lang w:val="en-US"/>
        </w:rPr>
        <w:t>(Figure 1)</w:t>
      </w:r>
      <w:r w:rsidRPr="00A676EA">
        <w:rPr>
          <w:bCs/>
          <w:noProof/>
          <w:lang w:val="en-US"/>
        </w:rPr>
        <w:t xml:space="preserve"> and twelve (12) albino rabbits of the species Oryctolagus cuniculus weighing between 1.5 and 1.8 kg, all from the same farm.</w:t>
      </w:r>
    </w:p>
    <w:p w14:paraId="5B0B473A" w14:textId="77777777" w:rsidR="00A676EA" w:rsidRPr="00A676EA" w:rsidRDefault="00A676EA" w:rsidP="00A676EA">
      <w:pPr>
        <w:spacing w:line="360" w:lineRule="auto"/>
        <w:jc w:val="both"/>
        <w:rPr>
          <w:b/>
          <w:noProof/>
          <w:lang w:val="en-US"/>
        </w:rPr>
      </w:pPr>
    </w:p>
    <w:p w14:paraId="5AB858AE" w14:textId="77777777" w:rsidR="00A676EA" w:rsidRPr="00A676EA" w:rsidRDefault="00A676EA" w:rsidP="00A676EA">
      <w:pPr>
        <w:spacing w:line="360" w:lineRule="auto"/>
        <w:jc w:val="both"/>
        <w:rPr>
          <w:b/>
          <w:noProof/>
          <w:lang w:val="en-US"/>
        </w:rPr>
      </w:pPr>
    </w:p>
    <w:p w14:paraId="74AA7B75" w14:textId="0B2236C5" w:rsidR="00F63702" w:rsidRPr="00A676EA" w:rsidRDefault="00687F06" w:rsidP="00F63702">
      <w:pPr>
        <w:rPr>
          <w:rFonts w:eastAsia="Calibri"/>
          <w:b/>
          <w:lang w:val="en-US"/>
        </w:rPr>
      </w:pPr>
      <w:r>
        <w:rPr>
          <w:rFonts w:eastAsia="Calibri"/>
          <w:b/>
          <w:noProof/>
        </w:rPr>
        <mc:AlternateContent>
          <mc:Choice Requires="wps">
            <w:drawing>
              <wp:anchor distT="0" distB="0" distL="114300" distR="114300" simplePos="0" relativeHeight="251659264" behindDoc="0" locked="0" layoutInCell="1" allowOverlap="1" wp14:anchorId="058E3EC7" wp14:editId="2FF96435">
                <wp:simplePos x="0" y="0"/>
                <wp:positionH relativeFrom="column">
                  <wp:posOffset>404072</wp:posOffset>
                </wp:positionH>
                <wp:positionV relativeFrom="paragraph">
                  <wp:posOffset>2444750</wp:posOffset>
                </wp:positionV>
                <wp:extent cx="5071533" cy="397933"/>
                <wp:effectExtent l="0" t="0" r="0" b="0"/>
                <wp:wrapNone/>
                <wp:docPr id="1975132237" name="Zone de texte 1"/>
                <wp:cNvGraphicFramePr/>
                <a:graphic xmlns:a="http://schemas.openxmlformats.org/drawingml/2006/main">
                  <a:graphicData uri="http://schemas.microsoft.com/office/word/2010/wordprocessingShape">
                    <wps:wsp>
                      <wps:cNvSpPr txBox="1"/>
                      <wps:spPr>
                        <a:xfrm>
                          <a:off x="0" y="0"/>
                          <a:ext cx="5071533" cy="397933"/>
                        </a:xfrm>
                        <a:prstGeom prst="rect">
                          <a:avLst/>
                        </a:prstGeom>
                        <a:solidFill>
                          <a:schemeClr val="lt1"/>
                        </a:solidFill>
                        <a:ln w="6350">
                          <a:noFill/>
                        </a:ln>
                      </wps:spPr>
                      <wps:txbx>
                        <w:txbxContent>
                          <w:p w14:paraId="37394963" w14:textId="6A12439B" w:rsidR="00EC1DC5" w:rsidRPr="00A676EA" w:rsidRDefault="00EC1DC5" w:rsidP="00A676EA">
                            <w:pPr>
                              <w:pStyle w:val="NormalWeb"/>
                              <w:rPr>
                                <w:color w:val="000000"/>
                                <w:lang w:val="en-US"/>
                              </w:rPr>
                            </w:pPr>
                            <w:r w:rsidRPr="00A676EA">
                              <w:rPr>
                                <w:b/>
                                <w:bCs/>
                                <w:color w:val="000000"/>
                                <w:lang w:val="en-US"/>
                              </w:rPr>
                              <w:t xml:space="preserve">Figure </w:t>
                            </w:r>
                            <w:r w:rsidR="00A676EA" w:rsidRPr="00A676EA">
                              <w:rPr>
                                <w:b/>
                                <w:bCs/>
                                <w:color w:val="000000"/>
                                <w:lang w:val="en-US"/>
                              </w:rPr>
                              <w:t>1:</w:t>
                            </w:r>
                            <w:r w:rsidRPr="00A676EA">
                              <w:rPr>
                                <w:color w:val="000000"/>
                                <w:lang w:val="en-US"/>
                              </w:rPr>
                              <w:t xml:space="preserve"> </w:t>
                            </w:r>
                            <w:r w:rsidR="00A676EA" w:rsidRPr="00A676EA">
                              <w:rPr>
                                <w:color w:val="000000"/>
                                <w:lang w:val="en-US"/>
                              </w:rPr>
                              <w:t>Piles of sargassum washed up on a beach</w:t>
                            </w:r>
                            <w:r w:rsidR="00A676EA" w:rsidRPr="00A676EA">
                              <w:rPr>
                                <w:rStyle w:val="apple-converted-space"/>
                                <w:rFonts w:eastAsiaTheme="majorEastAsia"/>
                                <w:color w:val="000000"/>
                                <w:lang w:val="en-US"/>
                              </w:rPr>
                              <w:t> </w:t>
                            </w:r>
                            <w:r w:rsidRPr="00A676EA">
                              <w:rPr>
                                <w:color w:val="000000"/>
                                <w:lang w:val="en-US"/>
                              </w:rPr>
                              <w:t xml:space="preserve">(Desrochers </w:t>
                            </w:r>
                            <w:r w:rsidRPr="00A676EA">
                              <w:rPr>
                                <w:i/>
                                <w:iCs/>
                                <w:color w:val="000000"/>
                                <w:lang w:val="en-US"/>
                              </w:rPr>
                              <w:t>et al</w:t>
                            </w:r>
                            <w:r w:rsidRPr="00A676EA">
                              <w:rPr>
                                <w:color w:val="000000"/>
                                <w:lang w:val="en-US"/>
                              </w:rPr>
                              <w:t>., 2020)</w:t>
                            </w:r>
                          </w:p>
                          <w:p w14:paraId="29132772" w14:textId="77777777" w:rsidR="00EC1DC5" w:rsidRPr="00A676EA" w:rsidRDefault="00EC1DC5" w:rsidP="00EC1DC5">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3EC7" id="_x0000_t202" coordsize="21600,21600" o:spt="202" path="m,l,21600r21600,l21600,xe">
                <v:stroke joinstyle="miter"/>
                <v:path gradientshapeok="t" o:connecttype="rect"/>
              </v:shapetype>
              <v:shape id="Zone de texte 1" o:spid="_x0000_s1026" type="#_x0000_t202" style="position:absolute;margin-left:31.8pt;margin-top:192.5pt;width:399.3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" fillcolor="white [3201]" stroked="f" strokeweight=".5pt">
                <v:textbox>
                  <w:txbxContent>
                    <w:p w14:paraId="37394963" w14:textId="6A12439B" w:rsidR="00EC1DC5" w:rsidRPr="00A676EA" w:rsidRDefault="00EC1DC5" w:rsidP="00A676EA">
                      <w:pPr>
                        <w:pStyle w:val="NormalWeb"/>
                        <w:rPr>
                          <w:color w:val="000000"/>
                          <w:lang w:val="en-US"/>
                        </w:rPr>
                      </w:pPr>
                      <w:r w:rsidRPr="00A676EA">
                        <w:rPr>
                          <w:b/>
                          <w:bCs/>
                          <w:color w:val="000000"/>
                          <w:lang w:val="en-US"/>
                        </w:rPr>
                        <w:t xml:space="preserve">Figure </w:t>
                      </w:r>
                      <w:r w:rsidR="00A676EA" w:rsidRPr="00A676EA">
                        <w:rPr>
                          <w:b/>
                          <w:bCs/>
                          <w:color w:val="000000"/>
                          <w:lang w:val="en-US"/>
                        </w:rPr>
                        <w:t>1:</w:t>
                      </w:r>
                      <w:r w:rsidRPr="00A676EA">
                        <w:rPr>
                          <w:color w:val="000000"/>
                          <w:lang w:val="en-US"/>
                        </w:rPr>
                        <w:t xml:space="preserve"> </w:t>
                      </w:r>
                      <w:r w:rsidR="00A676EA" w:rsidRPr="00A676EA">
                        <w:rPr>
                          <w:color w:val="000000"/>
                          <w:lang w:val="en-US"/>
                        </w:rPr>
                        <w:t>Piles of sargassum washed up on a beach</w:t>
                      </w:r>
                      <w:r w:rsidR="00A676EA" w:rsidRPr="00A676EA">
                        <w:rPr>
                          <w:rStyle w:val="apple-converted-space"/>
                          <w:rFonts w:eastAsiaTheme="majorEastAsia"/>
                          <w:color w:val="000000"/>
                          <w:lang w:val="en-US"/>
                        </w:rPr>
                        <w:t> </w:t>
                      </w:r>
                      <w:r w:rsidRPr="00A676EA">
                        <w:rPr>
                          <w:color w:val="000000"/>
                          <w:lang w:val="en-US"/>
                        </w:rPr>
                        <w:t xml:space="preserve">(Desrochers </w:t>
                      </w:r>
                      <w:r w:rsidRPr="00A676EA">
                        <w:rPr>
                          <w:i/>
                          <w:iCs/>
                          <w:color w:val="000000"/>
                          <w:lang w:val="en-US"/>
                        </w:rPr>
                        <w:t>et al</w:t>
                      </w:r>
                      <w:r w:rsidRPr="00A676EA">
                        <w:rPr>
                          <w:color w:val="000000"/>
                          <w:lang w:val="en-US"/>
                        </w:rPr>
                        <w:t>., 2020)</w:t>
                      </w:r>
                    </w:p>
                    <w:p w14:paraId="29132772" w14:textId="77777777" w:rsidR="00EC1DC5" w:rsidRPr="00A676EA" w:rsidRDefault="00EC1DC5" w:rsidP="00EC1DC5">
                      <w:pPr>
                        <w:jc w:val="both"/>
                        <w:rPr>
                          <w:lang w:val="en-US"/>
                        </w:rPr>
                      </w:pPr>
                    </w:p>
                  </w:txbxContent>
                </v:textbox>
              </v:shape>
            </w:pict>
          </mc:Fallback>
        </mc:AlternateContent>
      </w:r>
      <w:r w:rsidR="00EC1DC5" w:rsidRPr="00EC1DC5">
        <w:rPr>
          <w:rFonts w:eastAsia="Calibri"/>
          <w:b/>
          <w:noProof/>
        </w:rPr>
        <w:drawing>
          <wp:anchor distT="0" distB="0" distL="114300" distR="114300" simplePos="0" relativeHeight="251658240" behindDoc="0" locked="0" layoutInCell="1" allowOverlap="1" wp14:anchorId="78D551B4" wp14:editId="014CFE77">
            <wp:simplePos x="0" y="0"/>
            <wp:positionH relativeFrom="column">
              <wp:posOffset>505460</wp:posOffset>
            </wp:positionH>
            <wp:positionV relativeFrom="paragraph">
              <wp:posOffset>34290</wp:posOffset>
            </wp:positionV>
            <wp:extent cx="4216400" cy="2404110"/>
            <wp:effectExtent l="0" t="0" r="0" b="0"/>
            <wp:wrapThrough wrapText="bothSides">
              <wp:wrapPolygon edited="0">
                <wp:start x="0" y="0"/>
                <wp:lineTo x="0" y="21452"/>
                <wp:lineTo x="21535" y="21452"/>
                <wp:lineTo x="21535" y="0"/>
                <wp:lineTo x="0" y="0"/>
              </wp:wrapPolygon>
            </wp:wrapThrough>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0"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25F6F" w14:textId="7C900B5E" w:rsidR="00104035" w:rsidRDefault="00104035" w:rsidP="003B428D">
      <w:pPr>
        <w:keepNext/>
        <w:keepLines/>
        <w:spacing w:before="40" w:line="360" w:lineRule="auto"/>
        <w:outlineLvl w:val="3"/>
        <w:rPr>
          <w:b/>
          <w:bCs/>
          <w:kern w:val="32"/>
          <w:lang w:val="en-US"/>
        </w:rPr>
      </w:pPr>
    </w:p>
    <w:p w14:paraId="2E365881" w14:textId="77777777" w:rsidR="00104035" w:rsidRDefault="00104035" w:rsidP="003B428D">
      <w:pPr>
        <w:keepNext/>
        <w:keepLines/>
        <w:spacing w:before="40" w:line="360" w:lineRule="auto"/>
        <w:outlineLvl w:val="3"/>
        <w:rPr>
          <w:b/>
          <w:bCs/>
          <w:kern w:val="32"/>
          <w:lang w:val="en-US"/>
        </w:rPr>
      </w:pPr>
    </w:p>
    <w:p w14:paraId="48058A77" w14:textId="77777777" w:rsidR="00104035" w:rsidRDefault="00104035" w:rsidP="003B428D">
      <w:pPr>
        <w:keepNext/>
        <w:keepLines/>
        <w:spacing w:before="40" w:line="360" w:lineRule="auto"/>
        <w:outlineLvl w:val="3"/>
        <w:rPr>
          <w:b/>
          <w:bCs/>
          <w:kern w:val="32"/>
          <w:lang w:val="en-US"/>
        </w:rPr>
      </w:pPr>
    </w:p>
    <w:p w14:paraId="1C8CEFA9" w14:textId="16DA6486" w:rsidR="00104035" w:rsidRDefault="007904D5" w:rsidP="003B428D">
      <w:pPr>
        <w:keepNext/>
        <w:keepLines/>
        <w:spacing w:before="40" w:line="360" w:lineRule="auto"/>
        <w:outlineLvl w:val="3"/>
        <w:rPr>
          <w:b/>
          <w:bCs/>
          <w:kern w:val="32"/>
          <w:lang w:val="en-US"/>
        </w:rPr>
      </w:pPr>
      <w:r>
        <w:rPr>
          <w:b/>
          <w:bCs/>
          <w:kern w:val="32"/>
          <w:lang w:val="en-US"/>
        </w:rPr>
        <w:t>.</w:t>
      </w:r>
    </w:p>
    <w:p w14:paraId="69022362" w14:textId="77777777" w:rsidR="00104035" w:rsidRDefault="00104035" w:rsidP="003B428D">
      <w:pPr>
        <w:keepNext/>
        <w:keepLines/>
        <w:spacing w:before="40" w:line="360" w:lineRule="auto"/>
        <w:outlineLvl w:val="3"/>
        <w:rPr>
          <w:b/>
          <w:bCs/>
          <w:kern w:val="32"/>
          <w:lang w:val="en-US"/>
        </w:rPr>
      </w:pPr>
    </w:p>
    <w:p w14:paraId="3106DD8C" w14:textId="77777777" w:rsidR="00104035" w:rsidRDefault="00104035" w:rsidP="003B428D">
      <w:pPr>
        <w:keepNext/>
        <w:keepLines/>
        <w:spacing w:before="40" w:line="360" w:lineRule="auto"/>
        <w:outlineLvl w:val="3"/>
        <w:rPr>
          <w:b/>
          <w:bCs/>
          <w:kern w:val="32"/>
          <w:lang w:val="en-US"/>
        </w:rPr>
      </w:pPr>
    </w:p>
    <w:p w14:paraId="6D22FCF5" w14:textId="77777777" w:rsidR="00104035" w:rsidRPr="007A29B8" w:rsidRDefault="00104035" w:rsidP="003B428D">
      <w:pPr>
        <w:keepNext/>
        <w:keepLines/>
        <w:spacing w:before="40" w:line="360" w:lineRule="auto"/>
        <w:outlineLvl w:val="3"/>
        <w:rPr>
          <w:b/>
          <w:bCs/>
          <w:kern w:val="32"/>
          <w:lang w:val="en-US"/>
        </w:rPr>
      </w:pPr>
    </w:p>
    <w:p w14:paraId="19E447B1" w14:textId="77777777" w:rsidR="00104035" w:rsidRPr="007A29B8" w:rsidRDefault="00104035" w:rsidP="003B428D">
      <w:pPr>
        <w:keepNext/>
        <w:keepLines/>
        <w:spacing w:before="40" w:line="360" w:lineRule="auto"/>
        <w:outlineLvl w:val="3"/>
        <w:rPr>
          <w:b/>
          <w:bCs/>
          <w:kern w:val="32"/>
          <w:lang w:val="en-US"/>
        </w:rPr>
      </w:pPr>
    </w:p>
    <w:p w14:paraId="23053B42" w14:textId="77777777" w:rsidR="00104035" w:rsidRPr="007A29B8" w:rsidRDefault="00104035" w:rsidP="003B428D">
      <w:pPr>
        <w:keepNext/>
        <w:keepLines/>
        <w:spacing w:before="40" w:line="360" w:lineRule="auto"/>
        <w:outlineLvl w:val="3"/>
        <w:rPr>
          <w:b/>
          <w:bCs/>
          <w:kern w:val="32"/>
          <w:lang w:val="en-US"/>
        </w:rPr>
      </w:pPr>
    </w:p>
    <w:p w14:paraId="55EFD251" w14:textId="77777777" w:rsidR="00104035" w:rsidRPr="007A29B8" w:rsidRDefault="00104035" w:rsidP="007904D5">
      <w:pPr>
        <w:spacing w:line="360" w:lineRule="auto"/>
        <w:jc w:val="both"/>
        <w:rPr>
          <w:b/>
          <w:bCs/>
          <w:kern w:val="32"/>
          <w:lang w:val="en-US"/>
        </w:rPr>
      </w:pPr>
    </w:p>
    <w:p w14:paraId="3D762E79" w14:textId="50A7F1B0" w:rsidR="00104035" w:rsidRPr="00104035" w:rsidRDefault="00104035" w:rsidP="00104035">
      <w:pPr>
        <w:spacing w:line="360" w:lineRule="auto"/>
        <w:jc w:val="both"/>
        <w:rPr>
          <w:b/>
          <w:bCs/>
          <w:kern w:val="32"/>
          <w:lang w:val="en-US"/>
        </w:rPr>
      </w:pPr>
      <w:r w:rsidRPr="00104035">
        <w:rPr>
          <w:b/>
          <w:bCs/>
          <w:kern w:val="32"/>
          <w:lang w:val="en-US"/>
        </w:rPr>
        <w:t>I- 2 - Technical and chemical equipment</w:t>
      </w:r>
    </w:p>
    <w:p w14:paraId="79E19D1D" w14:textId="77777777" w:rsidR="00104035" w:rsidRPr="00104035" w:rsidRDefault="00104035" w:rsidP="00104035">
      <w:pPr>
        <w:spacing w:line="360" w:lineRule="auto"/>
        <w:jc w:val="both"/>
        <w:rPr>
          <w:kern w:val="32"/>
          <w:lang w:val="en-US"/>
        </w:rPr>
      </w:pPr>
      <w:r w:rsidRPr="00104035">
        <w:rPr>
          <w:kern w:val="32"/>
          <w:lang w:val="en-US"/>
        </w:rPr>
        <w:lastRenderedPageBreak/>
        <w:t xml:space="preserve">Various types of laboratory equipment were used to carry out this work. These included a Blinder mixer for grinding the dried algae and macerating the resulting powder, Wattman filter paper for filtering the solutions, a laboratory balance for various weighing tasks, an oven for evaporating the filtrates, a laboratory mortar for grinding the extract into a fine powder, insulin syringes for injecting the product into rabbits, sterile </w:t>
      </w:r>
      <w:proofErr w:type="spellStart"/>
      <w:r w:rsidRPr="00104035">
        <w:rPr>
          <w:kern w:val="32"/>
          <w:lang w:val="en-US"/>
        </w:rPr>
        <w:t>microlance</w:t>
      </w:r>
      <w:proofErr w:type="spellEnd"/>
      <w:r w:rsidRPr="00104035">
        <w:rPr>
          <w:kern w:val="32"/>
          <w:lang w:val="en-US"/>
        </w:rPr>
        <w:t xml:space="preserve"> needles and 5 cc syringes for blood sampling, EDTA (ethylenediaminetetraacetic acid) tubes for blood collection, alcohol for disinfection after sampling, a 9‰ NaCl solution for dilutions, a Millipore filter for sterilizing the product to be injected, a </w:t>
      </w:r>
      <w:proofErr w:type="spellStart"/>
      <w:r w:rsidRPr="00104035">
        <w:rPr>
          <w:kern w:val="32"/>
          <w:lang w:val="en-US"/>
        </w:rPr>
        <w:t>Mendray</w:t>
      </w:r>
      <w:proofErr w:type="spellEnd"/>
      <w:r w:rsidRPr="00104035">
        <w:rPr>
          <w:kern w:val="32"/>
          <w:lang w:val="en-US"/>
        </w:rPr>
        <w:t xml:space="preserve"> BC-3000 Plus device for blood cell counting in the laboratory, glass pipettes for sampling, and a water bath for boiling. Chemical products and reagents for characterizing major chemical groups are also noted. </w:t>
      </w:r>
    </w:p>
    <w:p w14:paraId="5F555479" w14:textId="77777777" w:rsidR="00104035" w:rsidRPr="00104035" w:rsidRDefault="00104035" w:rsidP="00104035">
      <w:pPr>
        <w:spacing w:line="360" w:lineRule="auto"/>
        <w:ind w:left="600"/>
        <w:jc w:val="both"/>
        <w:rPr>
          <w:b/>
          <w:bCs/>
          <w:kern w:val="32"/>
          <w:lang w:val="en-US"/>
        </w:rPr>
      </w:pPr>
    </w:p>
    <w:p w14:paraId="6E488FD6" w14:textId="77777777" w:rsidR="00E00BDA" w:rsidRPr="00E00BDA" w:rsidRDefault="00E00BDA" w:rsidP="00E00BDA">
      <w:pPr>
        <w:spacing w:line="360" w:lineRule="auto"/>
        <w:rPr>
          <w:b/>
          <w:noProof/>
          <w:lang w:val="en-US"/>
        </w:rPr>
      </w:pPr>
      <w:r w:rsidRPr="00E00BDA">
        <w:rPr>
          <w:b/>
          <w:noProof/>
          <w:lang w:val="en-US"/>
        </w:rPr>
        <w:t>III - Method </w:t>
      </w:r>
    </w:p>
    <w:p w14:paraId="70C2E459" w14:textId="77777777" w:rsidR="00E00BDA" w:rsidRPr="00E00BDA" w:rsidRDefault="00E00BDA" w:rsidP="00E00BDA">
      <w:pPr>
        <w:spacing w:line="360" w:lineRule="auto"/>
        <w:rPr>
          <w:b/>
          <w:noProof/>
          <w:lang w:val="en-US"/>
        </w:rPr>
      </w:pPr>
      <w:r w:rsidRPr="00E00BDA">
        <w:rPr>
          <w:b/>
          <w:noProof/>
          <w:lang w:val="en-US"/>
        </w:rPr>
        <w:t>III- 1 - Algae harvesting</w:t>
      </w:r>
    </w:p>
    <w:p w14:paraId="7203CE10" w14:textId="77777777" w:rsidR="006008B3" w:rsidRDefault="00E00BDA" w:rsidP="006008B3">
      <w:pPr>
        <w:spacing w:line="360" w:lineRule="auto"/>
        <w:jc w:val="both"/>
        <w:rPr>
          <w:bCs/>
          <w:noProof/>
          <w:lang w:val="en-US"/>
        </w:rPr>
      </w:pPr>
      <w:r w:rsidRPr="00E00BDA">
        <w:rPr>
          <w:bCs/>
          <w:noProof/>
          <w:lang w:val="en-US"/>
        </w:rPr>
        <w:t>The algae was harvested in large quantities on Assinie beach, in the department of Grand-Bassam, simply by hand, and transported to the laboratory in Abidjan</w:t>
      </w:r>
    </w:p>
    <w:p w14:paraId="3EBC988C" w14:textId="77777777" w:rsidR="006008B3" w:rsidRDefault="006008B3" w:rsidP="006008B3">
      <w:pPr>
        <w:spacing w:line="360" w:lineRule="auto"/>
        <w:jc w:val="both"/>
        <w:rPr>
          <w:bCs/>
          <w:noProof/>
          <w:lang w:val="en-US"/>
        </w:rPr>
      </w:pPr>
    </w:p>
    <w:p w14:paraId="49A78B84" w14:textId="77777777" w:rsidR="006008B3" w:rsidRDefault="006008B3" w:rsidP="006008B3">
      <w:pPr>
        <w:spacing w:line="360" w:lineRule="auto"/>
        <w:jc w:val="both"/>
        <w:rPr>
          <w:bCs/>
          <w:noProof/>
          <w:lang w:val="en-US"/>
        </w:rPr>
      </w:pPr>
      <w:r w:rsidRPr="006008B3">
        <w:rPr>
          <w:b/>
          <w:noProof/>
          <w:lang w:val="en-US"/>
        </w:rPr>
        <w:t>III- 2 - Preparation of the Total Aqueous Extract (TAE)</w:t>
      </w:r>
    </w:p>
    <w:p w14:paraId="6B393E3F" w14:textId="3BA03121" w:rsidR="006008B3" w:rsidRPr="006008B3" w:rsidRDefault="006008B3" w:rsidP="006008B3">
      <w:pPr>
        <w:spacing w:line="360" w:lineRule="auto"/>
        <w:jc w:val="both"/>
        <w:rPr>
          <w:bCs/>
          <w:noProof/>
          <w:lang w:val="en-US"/>
        </w:rPr>
      </w:pPr>
      <w:r w:rsidRPr="006008B3">
        <w:rPr>
          <w:bCs/>
          <w:noProof/>
          <w:lang w:val="en-US"/>
        </w:rPr>
        <w:t>Once in the laboratory, the sample, which consisted mainly of two species of algae, namely Sargassum fluitans and Sargassum natans, and debris washed up by the sea, was sorted. Once separated, Sargassum fluitans was washed to remove sand and various other residues. It was then soaked in buckets of tap water for a week to reduce the salt content as much as possible. The water was changed every 24 hours. After a week in water, it was dried at a temperature of 24°C in the laboratory. Once dry, it was ground into a fine powder in a blender. One hundred (100) grams of seaweed powder was macerated in the blender with one liter of distilled water and then filtered through a square of white cloth. The residue obtained was macerated again under the same conditions as before and filtered again with the square of cloth. The solution obtained was stored in a beaker before being filtered three times on cotton wool and then once on 3 mm Wattman filter paper. The filtrates obtained constitute the total aqueous extract called ETA. Finally, the extract was evaporated in an oven at a temperature of 50°C, then ground into a fine powder using a laboratory mortar (Zirihi, 2001). This powder was used to evaluate the immunogenic activity of the plant.</w:t>
      </w:r>
    </w:p>
    <w:p w14:paraId="11D3B754" w14:textId="77777777" w:rsidR="006008B3" w:rsidRDefault="006008B3" w:rsidP="006008B3">
      <w:pPr>
        <w:spacing w:before="100" w:beforeAutospacing="1" w:after="100" w:afterAutospacing="1"/>
        <w:rPr>
          <w:b/>
          <w:bCs/>
          <w:color w:val="000000"/>
          <w:lang w:val="en-US"/>
        </w:rPr>
      </w:pPr>
    </w:p>
    <w:p w14:paraId="52C352A1" w14:textId="0485888A" w:rsidR="006008B3" w:rsidRPr="006008B3" w:rsidRDefault="006008B3" w:rsidP="006008B3">
      <w:pPr>
        <w:spacing w:before="100" w:beforeAutospacing="1" w:after="100" w:afterAutospacing="1"/>
        <w:rPr>
          <w:b/>
          <w:bCs/>
          <w:color w:val="000000"/>
          <w:lang w:val="en-US"/>
        </w:rPr>
      </w:pPr>
      <w:r w:rsidRPr="006008B3">
        <w:rPr>
          <w:b/>
          <w:bCs/>
          <w:color w:val="000000"/>
          <w:lang w:val="en-US"/>
        </w:rPr>
        <w:t>III- 3 - Calculation of the yield (R) of the Total Aqueous Extract (TAE)</w:t>
      </w:r>
    </w:p>
    <w:p w14:paraId="7BA99A2C" w14:textId="77777777" w:rsidR="006008B3" w:rsidRDefault="006008B3" w:rsidP="006008B3">
      <w:pPr>
        <w:spacing w:before="100" w:beforeAutospacing="1" w:after="100" w:afterAutospacing="1" w:line="360" w:lineRule="auto"/>
        <w:jc w:val="both"/>
        <w:rPr>
          <w:color w:val="000000"/>
          <w:lang w:val="en-US"/>
        </w:rPr>
      </w:pPr>
      <w:r w:rsidRPr="006008B3">
        <w:rPr>
          <w:color w:val="000000"/>
          <w:lang w:val="en-US"/>
        </w:rPr>
        <w:lastRenderedPageBreak/>
        <w:t>The yield (R%) of ATE is the ratio of the weight of the extract obtained to the weight of the material. It can be determined using the following formula:</w:t>
      </w:r>
    </w:p>
    <w:p w14:paraId="50C904DA" w14:textId="0D3D170A" w:rsidR="006008B3" w:rsidRPr="006008B3" w:rsidRDefault="006008B3" w:rsidP="007904D5">
      <w:pPr>
        <w:spacing w:before="100" w:beforeAutospacing="1" w:after="100" w:afterAutospacing="1" w:line="276" w:lineRule="auto"/>
        <w:jc w:val="both"/>
        <w:rPr>
          <w:color w:val="000000"/>
          <w:lang w:val="en-US"/>
        </w:rPr>
      </w:pPr>
      <w:r w:rsidRPr="006008B3">
        <w:rPr>
          <w:color w:val="000000"/>
          <w:lang w:val="en-US"/>
        </w:rPr>
        <w:t>- R (%) = (p/P) X 100</w:t>
      </w:r>
    </w:p>
    <w:p w14:paraId="4ACC0027" w14:textId="77777777" w:rsidR="006008B3" w:rsidRPr="006008B3" w:rsidRDefault="006008B3" w:rsidP="007904D5">
      <w:pPr>
        <w:spacing w:before="100" w:beforeAutospacing="1" w:after="100" w:afterAutospacing="1" w:line="276" w:lineRule="auto"/>
        <w:jc w:val="both"/>
        <w:rPr>
          <w:color w:val="000000"/>
          <w:lang w:val="en-US"/>
        </w:rPr>
      </w:pPr>
      <w:r w:rsidRPr="006008B3">
        <w:rPr>
          <w:color w:val="000000"/>
          <w:lang w:val="en-US"/>
        </w:rPr>
        <w:t>- P: weight of the extract</w:t>
      </w:r>
    </w:p>
    <w:p w14:paraId="2E47FC4F" w14:textId="4C6F22A5" w:rsidR="00FE7CD1" w:rsidRDefault="006008B3" w:rsidP="007904D5">
      <w:pPr>
        <w:spacing w:before="100" w:beforeAutospacing="1" w:after="100" w:afterAutospacing="1" w:line="276" w:lineRule="auto"/>
        <w:jc w:val="both"/>
        <w:rPr>
          <w:color w:val="000000"/>
          <w:lang w:val="en-US"/>
        </w:rPr>
      </w:pPr>
      <w:r w:rsidRPr="006008B3">
        <w:rPr>
          <w:color w:val="000000"/>
          <w:lang w:val="en-US"/>
        </w:rPr>
        <w:t>- P: weight of the seaweed powder used for extraction</w:t>
      </w:r>
    </w:p>
    <w:p w14:paraId="79FBD7F2" w14:textId="77777777" w:rsidR="00FE7CD1" w:rsidRDefault="00FE7CD1" w:rsidP="00FE7CD1">
      <w:pPr>
        <w:spacing w:before="100" w:beforeAutospacing="1" w:after="100" w:afterAutospacing="1"/>
        <w:rPr>
          <w:color w:val="000000"/>
          <w:lang w:val="en-US"/>
        </w:rPr>
      </w:pPr>
    </w:p>
    <w:p w14:paraId="5B5FFBF6" w14:textId="77777777" w:rsidR="00FE7CD1" w:rsidRDefault="00FE7CD1" w:rsidP="00FE7CD1">
      <w:pPr>
        <w:spacing w:before="100" w:beforeAutospacing="1" w:after="100" w:afterAutospacing="1"/>
        <w:rPr>
          <w:color w:val="000000"/>
          <w:lang w:val="en-US"/>
        </w:rPr>
      </w:pPr>
      <w:r w:rsidRPr="00FE7CD1">
        <w:rPr>
          <w:rFonts w:eastAsia="Calibri"/>
          <w:b/>
          <w:lang w:val="en-US"/>
        </w:rPr>
        <w:t>IV- Phytochemical study</w:t>
      </w:r>
    </w:p>
    <w:p w14:paraId="28AA7466" w14:textId="77777777" w:rsidR="00FE7CD1" w:rsidRDefault="00FE7CD1" w:rsidP="00FE7CD1">
      <w:pPr>
        <w:spacing w:before="100" w:beforeAutospacing="1" w:after="100" w:afterAutospacing="1"/>
        <w:rPr>
          <w:color w:val="000000"/>
          <w:lang w:val="en-US"/>
        </w:rPr>
      </w:pPr>
      <w:r w:rsidRPr="00FE7CD1">
        <w:rPr>
          <w:rFonts w:eastAsia="Calibri"/>
          <w:b/>
          <w:lang w:val="en-US"/>
        </w:rPr>
        <w:t>IV- 1 - Identification of several major chemical groups</w:t>
      </w:r>
    </w:p>
    <w:p w14:paraId="4F8EBEDC" w14:textId="2F850F55" w:rsidR="00AD634C" w:rsidRPr="00E71927" w:rsidRDefault="00FE7CD1" w:rsidP="00AD634C">
      <w:pPr>
        <w:spacing w:before="100" w:beforeAutospacing="1" w:after="100" w:afterAutospacing="1" w:line="360" w:lineRule="auto"/>
        <w:jc w:val="both"/>
        <w:rPr>
          <w:color w:val="000000"/>
          <w:lang w:val="en-US"/>
        </w:rPr>
      </w:pPr>
      <w:r w:rsidRPr="00FE7CD1">
        <w:rPr>
          <w:rFonts w:eastAsia="Calibri"/>
          <w:bCs/>
          <w:lang w:val="en-US"/>
        </w:rPr>
        <w:t xml:space="preserve">The analysis of phytochemicals was performed based on characteristic color tests in test tubes using specific reagents to detect the presence of several major chemical groups in the extract through various methods already used by several authors, notably Lhuillier (2007), </w:t>
      </w:r>
      <w:proofErr w:type="spellStart"/>
      <w:r w:rsidRPr="00FE7CD1">
        <w:rPr>
          <w:rFonts w:eastAsia="Calibri"/>
          <w:bCs/>
          <w:lang w:val="en-US"/>
        </w:rPr>
        <w:t>Benariba</w:t>
      </w:r>
      <w:proofErr w:type="spellEnd"/>
      <w:r w:rsidRPr="00FE7CD1">
        <w:rPr>
          <w:rFonts w:eastAsia="Calibri"/>
          <w:bCs/>
          <w:lang w:val="en-US"/>
        </w:rPr>
        <w:t xml:space="preserve"> et al. (2013), Goldberg et al. (2015). To do this, a mass of 10 g of extract powder was dissolved in 100 mL of distilled water. This extract solution was used to characterize the major chemical groups. The results are classified according to: presence (+) and absence (-). The presence of </w:t>
      </w:r>
      <w:proofErr w:type="spellStart"/>
      <w:r w:rsidRPr="00FE7CD1">
        <w:rPr>
          <w:rFonts w:eastAsia="Calibri"/>
          <w:bCs/>
          <w:lang w:val="en-US"/>
        </w:rPr>
        <w:t>saponosides</w:t>
      </w:r>
      <w:proofErr w:type="spellEnd"/>
      <w:r w:rsidRPr="00FE7CD1">
        <w:rPr>
          <w:rFonts w:eastAsia="Calibri"/>
          <w:bCs/>
          <w:lang w:val="en-US"/>
        </w:rPr>
        <w:t xml:space="preserve"> was detected by the persistent foam test after shaking the tube. The characterization of sterols and </w:t>
      </w:r>
      <w:proofErr w:type="spellStart"/>
      <w:r w:rsidRPr="00FE7CD1">
        <w:rPr>
          <w:rFonts w:eastAsia="Calibri"/>
          <w:bCs/>
          <w:lang w:val="en-US"/>
        </w:rPr>
        <w:t>polyterpenes</w:t>
      </w:r>
      <w:proofErr w:type="spellEnd"/>
      <w:r w:rsidRPr="00FE7CD1">
        <w:rPr>
          <w:rFonts w:eastAsia="Calibri"/>
          <w:bCs/>
          <w:lang w:val="en-US"/>
        </w:rPr>
        <w:t xml:space="preserve"> was performed using the Liebermann reaction. The search for polyphenols was performed using the ferric chloride reaction. Catechin tannins were characterized using the Stiasny reagent. Gallic tannins were detected using a reaction with sodium acetate and 2% FeCl3 reagent. The detection of </w:t>
      </w:r>
      <w:proofErr w:type="spellStart"/>
      <w:r w:rsidRPr="00FE7CD1">
        <w:rPr>
          <w:rFonts w:eastAsia="Calibri"/>
          <w:bCs/>
          <w:lang w:val="en-US"/>
        </w:rPr>
        <w:t>quinonic</w:t>
      </w:r>
      <w:proofErr w:type="spellEnd"/>
      <w:r w:rsidRPr="00FE7CD1">
        <w:rPr>
          <w:rFonts w:eastAsia="Calibri"/>
          <w:bCs/>
          <w:lang w:val="en-US"/>
        </w:rPr>
        <w:t xml:space="preserve"> substances was carried out using hydrochloric acid, chloroform, and 50% ammonia. Flavonoids were detected using the cyanidin reaction. Alkaloids were characterized using </w:t>
      </w:r>
      <w:proofErr w:type="spellStart"/>
      <w:r w:rsidRPr="00FE7CD1">
        <w:rPr>
          <w:rFonts w:eastAsia="Calibri"/>
          <w:bCs/>
          <w:lang w:val="en-US"/>
        </w:rPr>
        <w:t>Dragendorff's</w:t>
      </w:r>
      <w:proofErr w:type="spellEnd"/>
      <w:r w:rsidRPr="00FE7CD1">
        <w:rPr>
          <w:rFonts w:eastAsia="Calibri"/>
          <w:bCs/>
          <w:lang w:val="en-US"/>
        </w:rPr>
        <w:t xml:space="preserve"> and </w:t>
      </w:r>
      <w:proofErr w:type="spellStart"/>
      <w:r w:rsidRPr="00FE7CD1">
        <w:rPr>
          <w:rFonts w:eastAsia="Calibri"/>
          <w:bCs/>
          <w:lang w:val="en-US"/>
        </w:rPr>
        <w:t>Bouchardât's</w:t>
      </w:r>
      <w:proofErr w:type="spellEnd"/>
      <w:r w:rsidRPr="00FE7CD1">
        <w:rPr>
          <w:rFonts w:eastAsia="Calibri"/>
          <w:bCs/>
          <w:lang w:val="en-US"/>
        </w:rPr>
        <w:t xml:space="preserve"> reagents.</w:t>
      </w:r>
    </w:p>
    <w:p w14:paraId="1AF68FF3" w14:textId="77777777" w:rsidR="00FF7E8A" w:rsidRPr="00FF7E8A" w:rsidRDefault="00FF7E8A" w:rsidP="00FF7E8A">
      <w:pPr>
        <w:spacing w:line="360" w:lineRule="auto"/>
        <w:jc w:val="both"/>
        <w:rPr>
          <w:b/>
          <w:noProof/>
          <w:lang w:val="en-US"/>
        </w:rPr>
      </w:pPr>
      <w:r w:rsidRPr="00FF7E8A">
        <w:rPr>
          <w:b/>
          <w:noProof/>
          <w:lang w:val="en-US"/>
        </w:rPr>
        <w:t>IV- 2 - Animals and grouping by batch</w:t>
      </w:r>
    </w:p>
    <w:p w14:paraId="2E134446" w14:textId="3071ED88" w:rsidR="00FF7E8A" w:rsidRPr="00FF7E8A" w:rsidRDefault="00FF7E8A" w:rsidP="00FF7E8A">
      <w:pPr>
        <w:spacing w:line="360" w:lineRule="auto"/>
        <w:jc w:val="both"/>
        <w:rPr>
          <w:bCs/>
          <w:noProof/>
          <w:lang w:val="en-US"/>
        </w:rPr>
      </w:pPr>
      <w:r w:rsidRPr="00FF7E8A">
        <w:rPr>
          <w:bCs/>
          <w:noProof/>
          <w:lang w:val="en-US"/>
        </w:rPr>
        <w:t xml:space="preserve">Twelve (12) male rabbits were selected. The animals, all from the same breeding stock, were placed in different cages. These rabbits, belonging to the species Oryctolagus canuculus (Leporidae), were divided into 4 batches of 3 rabbits. Batch (L0) was considered the control, and the other three batches (L5, L15, and L25) were treated with the plant extract </w:t>
      </w:r>
      <w:r w:rsidRPr="00FF7E8A">
        <w:rPr>
          <w:b/>
          <w:noProof/>
          <w:lang w:val="en-US"/>
        </w:rPr>
        <w:t>(Table I).</w:t>
      </w:r>
      <w:r w:rsidRPr="00FF7E8A">
        <w:rPr>
          <w:bCs/>
          <w:noProof/>
          <w:lang w:val="en-US"/>
        </w:rPr>
        <w:t xml:space="preserve"> The batches corresponded to the concentrations injected. </w:t>
      </w:r>
    </w:p>
    <w:p w14:paraId="342EF863" w14:textId="77777777" w:rsidR="00FF7E8A" w:rsidRPr="00FF7E8A" w:rsidRDefault="00FF7E8A" w:rsidP="00FF7E8A">
      <w:pPr>
        <w:spacing w:line="360" w:lineRule="auto"/>
        <w:jc w:val="both"/>
        <w:rPr>
          <w:b/>
          <w:noProof/>
          <w:lang w:val="en-US"/>
        </w:rPr>
      </w:pPr>
    </w:p>
    <w:p w14:paraId="59A02C19" w14:textId="77777777" w:rsidR="00294323" w:rsidRPr="00294323" w:rsidRDefault="00294323" w:rsidP="00294323">
      <w:pPr>
        <w:spacing w:line="360" w:lineRule="auto"/>
        <w:jc w:val="both"/>
        <w:rPr>
          <w:b/>
          <w:noProof/>
          <w:lang w:val="en-US"/>
        </w:rPr>
      </w:pPr>
      <w:r w:rsidRPr="00294323">
        <w:rPr>
          <w:b/>
          <w:noProof/>
          <w:lang w:val="en-US"/>
        </w:rPr>
        <w:t>IV- 3 - Injection of ETA extracts into rabbits.</w:t>
      </w:r>
    </w:p>
    <w:p w14:paraId="4F8140C4" w14:textId="3F9EB45C" w:rsidR="00DE5E49" w:rsidRDefault="00294323" w:rsidP="003C3758">
      <w:pPr>
        <w:spacing w:line="360" w:lineRule="auto"/>
        <w:jc w:val="both"/>
        <w:rPr>
          <w:bCs/>
          <w:noProof/>
          <w:lang w:val="en-US"/>
        </w:rPr>
      </w:pPr>
      <w:r w:rsidRPr="00294323">
        <w:rPr>
          <w:bCs/>
          <w:noProof/>
          <w:lang w:val="en-US"/>
        </w:rPr>
        <w:lastRenderedPageBreak/>
        <w:t>The rabbits were first acclimatized for two weeks in the animal facility of the Pharmacology Laboratory of the Faculty of Biological and Pharmaceutical Sciences at Félix HOUPHOUËT-BOIGNY University (UFHB) in Abidjan before being treated with different doses of ETA extracts. The dilutions were made in a 9</w:t>
      </w:r>
      <w:r w:rsidR="003C3758">
        <w:rPr>
          <w:bCs/>
          <w:noProof/>
          <w:lang w:val="en-US"/>
        </w:rPr>
        <w:t xml:space="preserve"> </w:t>
      </w:r>
      <w:r w:rsidRPr="00294323">
        <w:rPr>
          <w:bCs/>
          <w:noProof/>
          <w:lang w:val="en-US"/>
        </w:rPr>
        <w:t>‰ NaCl solution and sterilized by filtration through a Millipore filter. The different concentrations of the injected solutions were prepared as shown in Table I. A single intraperitoneal injection was given to each animal on D0 (first day of the experiment) using an insulin syringe (1mL). </w:t>
      </w:r>
    </w:p>
    <w:p w14:paraId="102C4D04" w14:textId="77777777" w:rsidR="003C3758" w:rsidRPr="00DE5E49" w:rsidRDefault="003C3758" w:rsidP="003C3758">
      <w:pPr>
        <w:spacing w:line="360" w:lineRule="auto"/>
        <w:jc w:val="both"/>
        <w:rPr>
          <w:bCs/>
          <w:noProof/>
          <w:lang w:val="en-US"/>
        </w:rPr>
      </w:pPr>
    </w:p>
    <w:p w14:paraId="56423F06" w14:textId="77777777" w:rsidR="00163785" w:rsidRPr="00163785" w:rsidRDefault="00163785" w:rsidP="00163785">
      <w:pPr>
        <w:spacing w:after="160" w:line="360" w:lineRule="auto"/>
        <w:jc w:val="both"/>
        <w:rPr>
          <w:b/>
          <w:noProof/>
          <w:lang w:val="en-US"/>
        </w:rPr>
      </w:pPr>
      <w:r w:rsidRPr="00163785">
        <w:rPr>
          <w:b/>
          <w:noProof/>
          <w:lang w:val="en-US"/>
        </w:rPr>
        <w:t>IV- 4 - Data analysis and statistical methodology</w:t>
      </w:r>
    </w:p>
    <w:p w14:paraId="4678B587" w14:textId="77777777" w:rsidR="00163785" w:rsidRPr="00163785" w:rsidRDefault="00163785" w:rsidP="00163785">
      <w:pPr>
        <w:spacing w:after="160" w:line="360" w:lineRule="auto"/>
        <w:jc w:val="both"/>
        <w:rPr>
          <w:bCs/>
          <w:noProof/>
          <w:lang w:val="en-US"/>
        </w:rPr>
      </w:pPr>
      <w:r w:rsidRPr="00163785">
        <w:rPr>
          <w:bCs/>
          <w:noProof/>
          <w:lang w:val="en-US"/>
        </w:rPr>
        <w:t>Complete blood count (CBC) data, expressed as mean ± standard error (SE), were analyzed to determine the significance of the observations. All analyses were performed with a significance threshold of p &lt; 0.05. To evaluate the immunostimulatory effect of the Total Aqueous Extract (TAE), a two-factor analysis of variance (ANOVA) with repeated measures was used. This analysis allows three main effects to be tested:</w:t>
      </w:r>
    </w:p>
    <w:p w14:paraId="1FD8C88C" w14:textId="77777777" w:rsidR="00163785" w:rsidRPr="00163785" w:rsidRDefault="00163785" w:rsidP="00163785">
      <w:pPr>
        <w:spacing w:after="160" w:line="360" w:lineRule="auto"/>
        <w:jc w:val="both"/>
        <w:rPr>
          <w:bCs/>
          <w:noProof/>
          <w:lang w:val="en-US"/>
        </w:rPr>
      </w:pPr>
      <w:r w:rsidRPr="00163785">
        <w:rPr>
          <w:bCs/>
          <w:noProof/>
          <w:lang w:val="en-US"/>
        </w:rPr>
        <w:t>• The effect of the Group (independent factor: L0, L5, L15, L25) to see if there is an </w:t>
      </w:r>
    </w:p>
    <w:p w14:paraId="5A9267CB" w14:textId="77777777" w:rsidR="00163785" w:rsidRPr="00163785" w:rsidRDefault="00163785" w:rsidP="00163785">
      <w:pPr>
        <w:spacing w:after="160" w:line="360" w:lineRule="auto"/>
        <w:jc w:val="both"/>
        <w:rPr>
          <w:bCs/>
          <w:noProof/>
          <w:lang w:val="en-US"/>
        </w:rPr>
      </w:pPr>
      <w:r w:rsidRPr="00163785">
        <w:rPr>
          <w:bCs/>
          <w:noProof/>
          <w:lang w:val="en-US"/>
        </w:rPr>
        <w:t>overall difference between the batches.</w:t>
      </w:r>
    </w:p>
    <w:p w14:paraId="3DA4B4C8" w14:textId="77777777" w:rsidR="00163785" w:rsidRPr="00163785" w:rsidRDefault="00163785" w:rsidP="00163785">
      <w:pPr>
        <w:spacing w:after="160" w:line="360" w:lineRule="auto"/>
        <w:jc w:val="both"/>
        <w:rPr>
          <w:bCs/>
          <w:noProof/>
          <w:lang w:val="en-US"/>
        </w:rPr>
      </w:pPr>
      <w:r w:rsidRPr="00163785">
        <w:rPr>
          <w:bCs/>
          <w:noProof/>
          <w:lang w:val="en-US"/>
        </w:rPr>
        <w:t>• The effect of Time (repeated measures factor: D0, D2, D3, D8) to check whether the </w:t>
      </w:r>
    </w:p>
    <w:p w14:paraId="72B834EB" w14:textId="77777777" w:rsidR="00163785" w:rsidRPr="00163785" w:rsidRDefault="00163785" w:rsidP="00163785">
      <w:pPr>
        <w:spacing w:after="160" w:line="360" w:lineRule="auto"/>
        <w:jc w:val="both"/>
        <w:rPr>
          <w:bCs/>
          <w:noProof/>
          <w:lang w:val="en-US"/>
        </w:rPr>
      </w:pPr>
      <w:r w:rsidRPr="00163785">
        <w:rPr>
          <w:bCs/>
          <w:noProof/>
          <w:lang w:val="en-US"/>
        </w:rPr>
        <w:t>blood parameters change overall.</w:t>
      </w:r>
    </w:p>
    <w:p w14:paraId="1FD31A87" w14:textId="77777777" w:rsidR="00163785" w:rsidRPr="00163785" w:rsidRDefault="00163785" w:rsidP="00163785">
      <w:pPr>
        <w:spacing w:after="160" w:line="360" w:lineRule="auto"/>
        <w:jc w:val="both"/>
        <w:rPr>
          <w:bCs/>
          <w:noProof/>
          <w:lang w:val="en-US"/>
        </w:rPr>
      </w:pPr>
      <w:r w:rsidRPr="00163785">
        <w:rPr>
          <w:bCs/>
          <w:noProof/>
          <w:lang w:val="en-US"/>
        </w:rPr>
        <w:t>• The effect of the Group x Time Interaction, which is the most relevant, as it indicates whether </w:t>
      </w:r>
    </w:p>
    <w:p w14:paraId="00AD69F7" w14:textId="77777777" w:rsidR="00163785" w:rsidRPr="00163785" w:rsidRDefault="00163785" w:rsidP="00163785">
      <w:pPr>
        <w:spacing w:after="160" w:line="360" w:lineRule="auto"/>
        <w:jc w:val="both"/>
        <w:rPr>
          <w:bCs/>
          <w:noProof/>
          <w:lang w:val="en-US"/>
        </w:rPr>
      </w:pPr>
      <w:r w:rsidRPr="00163785">
        <w:rPr>
          <w:bCs/>
          <w:noProof/>
          <w:lang w:val="en-US"/>
        </w:rPr>
        <w:t>the change in parameters over time differs depending on the dose of TAE injected.</w:t>
      </w:r>
    </w:p>
    <w:p w14:paraId="17C6CFB2" w14:textId="77777777" w:rsidR="00163785" w:rsidRPr="00163785" w:rsidRDefault="00163785" w:rsidP="00163785">
      <w:pPr>
        <w:spacing w:after="160" w:line="360" w:lineRule="auto"/>
        <w:jc w:val="both"/>
        <w:rPr>
          <w:bCs/>
          <w:noProof/>
          <w:lang w:val="en-US"/>
        </w:rPr>
      </w:pPr>
      <w:r w:rsidRPr="00163785">
        <w:rPr>
          <w:bCs/>
          <w:noProof/>
          <w:lang w:val="en-US"/>
        </w:rPr>
        <w:t>Following a significant ANOVA, Tukey HSD (Honestly Significant Difference) post-hoc tests were applied to compare the means in pairs and identify precisely the differences between groups at a given time, and between times for a given group. Prior to these analyses, the conditions of normality (Shapiro-Wilk test) and homogeneity of variances (Levene's test) were verified.</w:t>
      </w:r>
    </w:p>
    <w:p w14:paraId="445E3BA1" w14:textId="77777777" w:rsidR="00CD3AFE" w:rsidRPr="00CD3AFE" w:rsidRDefault="00CD3AFE" w:rsidP="00CD3AFE">
      <w:pPr>
        <w:spacing w:after="160" w:line="278" w:lineRule="auto"/>
        <w:rPr>
          <w:b/>
          <w:lang w:val="en-US"/>
        </w:rPr>
      </w:pPr>
      <w:r w:rsidRPr="00CD3AFE">
        <w:rPr>
          <w:b/>
          <w:lang w:val="en-US"/>
        </w:rPr>
        <w:t>V- Results and Discussion</w:t>
      </w:r>
    </w:p>
    <w:p w14:paraId="6E227A1C" w14:textId="77777777" w:rsidR="00CD3AFE" w:rsidRPr="00CD3AFE" w:rsidRDefault="00CD3AFE" w:rsidP="00CD3AFE">
      <w:pPr>
        <w:spacing w:after="160" w:line="278" w:lineRule="auto"/>
        <w:rPr>
          <w:b/>
          <w:lang w:val="en-US"/>
        </w:rPr>
      </w:pPr>
      <w:r w:rsidRPr="00CD3AFE">
        <w:rPr>
          <w:b/>
          <w:lang w:val="en-US"/>
        </w:rPr>
        <w:t>V-1- Results</w:t>
      </w:r>
    </w:p>
    <w:p w14:paraId="3BB37038" w14:textId="77777777" w:rsidR="00CD3AFE" w:rsidRPr="00CD3AFE" w:rsidRDefault="00CD3AFE" w:rsidP="00CD3AFE">
      <w:pPr>
        <w:spacing w:after="160" w:line="278" w:lineRule="auto"/>
        <w:rPr>
          <w:b/>
          <w:lang w:val="en-US"/>
        </w:rPr>
      </w:pPr>
      <w:r w:rsidRPr="00CD3AFE">
        <w:rPr>
          <w:b/>
          <w:lang w:val="en-US"/>
        </w:rPr>
        <w:t>V- 1-1- ETA yield</w:t>
      </w:r>
    </w:p>
    <w:p w14:paraId="022517AA" w14:textId="55AB49E5" w:rsidR="00CD3AFE" w:rsidRPr="00CD3AFE" w:rsidRDefault="00CD3AFE" w:rsidP="00CD3AFE">
      <w:pPr>
        <w:spacing w:after="160" w:line="360" w:lineRule="auto"/>
        <w:jc w:val="both"/>
        <w:rPr>
          <w:bCs/>
          <w:lang w:val="en-US"/>
        </w:rPr>
      </w:pPr>
      <w:r w:rsidRPr="00CD3AFE">
        <w:rPr>
          <w:bCs/>
          <w:lang w:val="en-US"/>
        </w:rPr>
        <w:t>The average yield is obtained from three extractions. The first extraction yielded 4.5 g of powder, the second 5.26 g, and the third 4 g. This gives an average yield of 4.58% ± 0.63%.</w:t>
      </w:r>
    </w:p>
    <w:p w14:paraId="2DAB9548" w14:textId="77777777" w:rsidR="00CD3AFE" w:rsidRDefault="00CD3AFE" w:rsidP="00CD3AFE">
      <w:pPr>
        <w:rPr>
          <w:b/>
          <w:lang w:val="en-US"/>
        </w:rPr>
      </w:pPr>
    </w:p>
    <w:p w14:paraId="64098AEE" w14:textId="273EC22A" w:rsidR="00CD3AFE" w:rsidRPr="00CD3AFE" w:rsidRDefault="00CD3AFE" w:rsidP="00CD3AFE">
      <w:pPr>
        <w:spacing w:after="160" w:line="278" w:lineRule="auto"/>
        <w:rPr>
          <w:b/>
          <w:lang w:val="en-US"/>
        </w:rPr>
      </w:pPr>
      <w:r w:rsidRPr="00CD3AFE">
        <w:rPr>
          <w:b/>
          <w:lang w:val="en-US"/>
        </w:rPr>
        <w:t>V-1- 2 - Phytochemical sorting</w:t>
      </w:r>
    </w:p>
    <w:p w14:paraId="3D8FCB0D" w14:textId="2A8AC4B2" w:rsidR="00CD3AFE" w:rsidRPr="00CD3AFE" w:rsidRDefault="00CD3AFE" w:rsidP="00CD3AFE">
      <w:pPr>
        <w:spacing w:after="160" w:line="360" w:lineRule="auto"/>
        <w:jc w:val="both"/>
        <w:rPr>
          <w:bCs/>
          <w:lang w:val="en-US"/>
        </w:rPr>
      </w:pPr>
      <w:r w:rsidRPr="00CD3AFE">
        <w:rPr>
          <w:bCs/>
          <w:lang w:val="en-US"/>
        </w:rPr>
        <w:t>Phytochemical sorting performed with the Total Aqueous Extract (TAE) showed only the presence of polyphenols and catechin tannins (Table II).</w:t>
      </w:r>
    </w:p>
    <w:p w14:paraId="506D845E" w14:textId="77777777" w:rsidR="00CD3AFE" w:rsidRPr="00CD3AFE" w:rsidRDefault="00CD3AFE" w:rsidP="00CD3AFE">
      <w:pPr>
        <w:spacing w:after="160" w:line="278" w:lineRule="auto"/>
        <w:rPr>
          <w:b/>
          <w:lang w:val="en-US"/>
        </w:rPr>
      </w:pPr>
      <w:r w:rsidRPr="00CD3AFE">
        <w:rPr>
          <w:b/>
          <w:lang w:val="en-US"/>
        </w:rPr>
        <w:t>V-1-3 - Evaluation of the immunostimulatory activity of the extracts</w:t>
      </w:r>
    </w:p>
    <w:p w14:paraId="00BDFF7A" w14:textId="28A8BCD4" w:rsidR="00DC1F76" w:rsidRPr="00CD3AFE" w:rsidRDefault="00CD3AFE" w:rsidP="00CD3AFE">
      <w:pPr>
        <w:spacing w:after="160" w:line="360" w:lineRule="auto"/>
        <w:jc w:val="both"/>
        <w:rPr>
          <w:rFonts w:eastAsiaTheme="minorHAnsi"/>
          <w:bCs/>
          <w:lang w:val="en-US" w:eastAsia="en-US"/>
        </w:rPr>
      </w:pPr>
      <w:r w:rsidRPr="00CD3AFE">
        <w:rPr>
          <w:bCs/>
          <w:lang w:val="en-US"/>
        </w:rPr>
        <w:t>Following the injection of different doses of extracts into rabbits, a variation in the number of immune cells in rabbits in batches 0, 5, 15, and 25 was observed depending on the concentrations injected.</w:t>
      </w:r>
      <w:r w:rsidRPr="00CD3AFE">
        <w:rPr>
          <w:rFonts w:eastAsiaTheme="majorEastAsia"/>
          <w:bCs/>
          <w:lang w:val="en-US"/>
        </w:rPr>
        <w:t> </w:t>
      </w:r>
    </w:p>
    <w:p w14:paraId="2810C173" w14:textId="77777777" w:rsidR="00DC1F76" w:rsidRPr="00CD3AFE" w:rsidRDefault="00DC1F76" w:rsidP="00554C52">
      <w:pPr>
        <w:widowControl w:val="0"/>
        <w:autoSpaceDE w:val="0"/>
        <w:autoSpaceDN w:val="0"/>
        <w:adjustRightInd w:val="0"/>
        <w:spacing w:line="360" w:lineRule="auto"/>
        <w:jc w:val="both"/>
        <w:rPr>
          <w:b/>
          <w:lang w:val="en-US"/>
        </w:rPr>
      </w:pPr>
    </w:p>
    <w:p w14:paraId="18205BCF" w14:textId="5447B83E" w:rsidR="00DC1F76" w:rsidRPr="00AD540A" w:rsidRDefault="00E737CE" w:rsidP="00DC1F76">
      <w:pPr>
        <w:widowControl w:val="0"/>
        <w:autoSpaceDE w:val="0"/>
        <w:autoSpaceDN w:val="0"/>
        <w:adjustRightInd w:val="0"/>
        <w:spacing w:line="360" w:lineRule="auto"/>
        <w:jc w:val="both"/>
        <w:rPr>
          <w:b/>
          <w:lang w:val="en-US"/>
        </w:rPr>
      </w:pPr>
      <w:r w:rsidRPr="00E737CE">
        <w:rPr>
          <w:b/>
          <w:lang w:val="en-US"/>
        </w:rPr>
        <w:t xml:space="preserve">Table I: </w:t>
      </w:r>
      <w:r w:rsidRPr="00E737CE">
        <w:rPr>
          <w:bCs/>
          <w:lang w:val="en-US"/>
        </w:rPr>
        <w:t>Preparation of different concentrations of solutions for injection.</w:t>
      </w:r>
    </w:p>
    <w:tbl>
      <w:tblPr>
        <w:tblStyle w:val="TableGrid"/>
        <w:tblpPr w:leftFromText="141" w:rightFromText="141" w:vertAnchor="text" w:horzAnchor="page" w:tblpX="2350" w:tblpY="-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2423"/>
        <w:gridCol w:w="2786"/>
      </w:tblGrid>
      <w:tr w:rsidR="00554C52" w:rsidRPr="00B57370" w14:paraId="5A84ADFF" w14:textId="77777777" w:rsidTr="00DC1F76">
        <w:trPr>
          <w:trHeight w:val="699"/>
        </w:trPr>
        <w:tc>
          <w:tcPr>
            <w:tcW w:w="1449" w:type="dxa"/>
            <w:tcBorders>
              <w:top w:val="single" w:sz="4" w:space="0" w:color="auto"/>
              <w:bottom w:val="single" w:sz="4" w:space="0" w:color="auto"/>
            </w:tcBorders>
          </w:tcPr>
          <w:p w14:paraId="56813E9E" w14:textId="03A0DA1F" w:rsidR="00554C52" w:rsidRPr="00B57370" w:rsidRDefault="00DC1F76" w:rsidP="00863404">
            <w:pPr>
              <w:tabs>
                <w:tab w:val="left" w:pos="954"/>
              </w:tabs>
              <w:spacing w:line="360" w:lineRule="auto"/>
              <w:rPr>
                <w:b/>
                <w:sz w:val="22"/>
                <w:szCs w:val="22"/>
              </w:rPr>
            </w:pPr>
            <w:r w:rsidRPr="00E737CE">
              <w:rPr>
                <w:b/>
                <w:sz w:val="22"/>
                <w:szCs w:val="22"/>
                <w:lang w:val="en-US"/>
              </w:rPr>
              <w:t xml:space="preserve">      </w:t>
            </w:r>
            <w:r w:rsidR="00E737CE" w:rsidRPr="00E737CE">
              <w:rPr>
                <w:color w:val="000000"/>
                <w:lang w:val="en-US"/>
              </w:rPr>
              <w:t xml:space="preserve"> </w:t>
            </w:r>
            <w:r w:rsidR="00E737CE" w:rsidRPr="00E737CE">
              <w:rPr>
                <w:b/>
                <w:sz w:val="22"/>
                <w:szCs w:val="22"/>
                <w:lang w:val="en-US"/>
              </w:rPr>
              <w:t>Batches</w:t>
            </w:r>
          </w:p>
        </w:tc>
        <w:tc>
          <w:tcPr>
            <w:tcW w:w="2423" w:type="dxa"/>
            <w:tcBorders>
              <w:top w:val="single" w:sz="4" w:space="0" w:color="auto"/>
              <w:bottom w:val="single" w:sz="4" w:space="0" w:color="auto"/>
            </w:tcBorders>
          </w:tcPr>
          <w:p w14:paraId="416D1E2E" w14:textId="77777777" w:rsidR="00E737CE" w:rsidRPr="00E737CE" w:rsidRDefault="00E737CE" w:rsidP="00E737CE">
            <w:pPr>
              <w:spacing w:line="360" w:lineRule="auto"/>
              <w:jc w:val="center"/>
              <w:rPr>
                <w:b/>
                <w:sz w:val="22"/>
                <w:szCs w:val="22"/>
                <w:lang w:val="en-US"/>
              </w:rPr>
            </w:pPr>
            <w:r w:rsidRPr="00E737CE">
              <w:rPr>
                <w:b/>
                <w:sz w:val="22"/>
                <w:szCs w:val="22"/>
                <w:lang w:val="en-US"/>
              </w:rPr>
              <w:t>Volume injected</w:t>
            </w:r>
          </w:p>
          <w:p w14:paraId="7EACCBE9" w14:textId="08D6C3E9" w:rsidR="00554C52" w:rsidRPr="00B57370" w:rsidRDefault="00554C52" w:rsidP="00863404">
            <w:pPr>
              <w:spacing w:line="360" w:lineRule="auto"/>
              <w:jc w:val="center"/>
              <w:rPr>
                <w:b/>
                <w:sz w:val="22"/>
                <w:szCs w:val="22"/>
              </w:rPr>
            </w:pPr>
            <w:r w:rsidRPr="00B57370">
              <w:rPr>
                <w:b/>
                <w:sz w:val="22"/>
                <w:szCs w:val="22"/>
              </w:rPr>
              <w:t>(</w:t>
            </w:r>
            <w:proofErr w:type="spellStart"/>
            <w:proofErr w:type="gramStart"/>
            <w:r w:rsidRPr="00B57370">
              <w:rPr>
                <w:b/>
                <w:sz w:val="22"/>
                <w:szCs w:val="22"/>
              </w:rPr>
              <w:t>m</w:t>
            </w:r>
            <w:r w:rsidR="00B57370">
              <w:rPr>
                <w:b/>
                <w:sz w:val="22"/>
                <w:szCs w:val="22"/>
              </w:rPr>
              <w:t>L</w:t>
            </w:r>
            <w:proofErr w:type="spellEnd"/>
            <w:proofErr w:type="gramEnd"/>
            <w:r w:rsidRPr="00B57370">
              <w:rPr>
                <w:b/>
                <w:sz w:val="22"/>
                <w:szCs w:val="22"/>
              </w:rPr>
              <w:t>)</w:t>
            </w:r>
          </w:p>
        </w:tc>
        <w:tc>
          <w:tcPr>
            <w:tcW w:w="2786" w:type="dxa"/>
            <w:tcBorders>
              <w:top w:val="single" w:sz="4" w:space="0" w:color="auto"/>
              <w:bottom w:val="single" w:sz="4" w:space="0" w:color="auto"/>
            </w:tcBorders>
          </w:tcPr>
          <w:p w14:paraId="14C4BC9E" w14:textId="7E5A61B0" w:rsidR="00554C52" w:rsidRPr="00B57370" w:rsidRDefault="00E737CE" w:rsidP="00863404">
            <w:pPr>
              <w:spacing w:line="360" w:lineRule="auto"/>
              <w:jc w:val="center"/>
              <w:rPr>
                <w:b/>
                <w:sz w:val="22"/>
                <w:szCs w:val="22"/>
              </w:rPr>
            </w:pPr>
            <w:r w:rsidRPr="00E737CE">
              <w:rPr>
                <w:b/>
                <w:sz w:val="22"/>
                <w:szCs w:val="22"/>
                <w:lang w:val="en-US"/>
              </w:rPr>
              <w:t>Final concentration</w:t>
            </w:r>
            <w:r w:rsidRPr="00E737CE">
              <w:rPr>
                <w:b/>
                <w:sz w:val="22"/>
                <w:szCs w:val="22"/>
                <w:lang w:val="fr-CI"/>
              </w:rPr>
              <w:t xml:space="preserve"> </w:t>
            </w:r>
            <w:r w:rsidR="00554C52" w:rsidRPr="00B57370">
              <w:rPr>
                <w:b/>
                <w:sz w:val="22"/>
                <w:szCs w:val="22"/>
              </w:rPr>
              <w:t>(mg/</w:t>
            </w:r>
            <w:proofErr w:type="spellStart"/>
            <w:r w:rsidR="00B57370">
              <w:rPr>
                <w:b/>
                <w:sz w:val="22"/>
                <w:szCs w:val="22"/>
              </w:rPr>
              <w:t>mL</w:t>
            </w:r>
            <w:proofErr w:type="spellEnd"/>
            <w:r w:rsidR="00554C52" w:rsidRPr="00B57370">
              <w:rPr>
                <w:b/>
                <w:sz w:val="22"/>
                <w:szCs w:val="22"/>
              </w:rPr>
              <w:t>)</w:t>
            </w:r>
          </w:p>
        </w:tc>
      </w:tr>
      <w:tr w:rsidR="00554C52" w:rsidRPr="00B57370" w14:paraId="57A0301B" w14:textId="77777777" w:rsidTr="00863404">
        <w:trPr>
          <w:trHeight w:val="423"/>
        </w:trPr>
        <w:tc>
          <w:tcPr>
            <w:tcW w:w="1449" w:type="dxa"/>
            <w:tcBorders>
              <w:top w:val="single" w:sz="4" w:space="0" w:color="auto"/>
            </w:tcBorders>
          </w:tcPr>
          <w:p w14:paraId="2F13FD1C"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0</w:t>
            </w:r>
          </w:p>
        </w:tc>
        <w:tc>
          <w:tcPr>
            <w:tcW w:w="2423" w:type="dxa"/>
            <w:tcBorders>
              <w:top w:val="single" w:sz="4" w:space="0" w:color="auto"/>
            </w:tcBorders>
          </w:tcPr>
          <w:p w14:paraId="2CE1DD1C"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Borders>
              <w:top w:val="single" w:sz="4" w:space="0" w:color="auto"/>
            </w:tcBorders>
          </w:tcPr>
          <w:p w14:paraId="6FEC4F04" w14:textId="77777777" w:rsidR="00554C52" w:rsidRPr="00B57370" w:rsidRDefault="00554C52" w:rsidP="00863404">
            <w:pPr>
              <w:spacing w:line="360" w:lineRule="auto"/>
              <w:jc w:val="center"/>
              <w:rPr>
                <w:sz w:val="22"/>
                <w:szCs w:val="22"/>
              </w:rPr>
            </w:pPr>
            <w:r w:rsidRPr="00B57370">
              <w:rPr>
                <w:sz w:val="22"/>
                <w:szCs w:val="22"/>
              </w:rPr>
              <w:t>0</w:t>
            </w:r>
          </w:p>
        </w:tc>
      </w:tr>
      <w:tr w:rsidR="00554C52" w:rsidRPr="00B57370" w14:paraId="74A9F444" w14:textId="77777777" w:rsidTr="00863404">
        <w:trPr>
          <w:trHeight w:val="423"/>
        </w:trPr>
        <w:tc>
          <w:tcPr>
            <w:tcW w:w="1449" w:type="dxa"/>
          </w:tcPr>
          <w:p w14:paraId="37626BFA"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5</w:t>
            </w:r>
          </w:p>
        </w:tc>
        <w:tc>
          <w:tcPr>
            <w:tcW w:w="2423" w:type="dxa"/>
          </w:tcPr>
          <w:p w14:paraId="55D52C70"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Pr>
          <w:p w14:paraId="6E169DA0" w14:textId="77777777" w:rsidR="00554C52" w:rsidRPr="00B57370" w:rsidRDefault="00554C52" w:rsidP="00863404">
            <w:pPr>
              <w:spacing w:line="360" w:lineRule="auto"/>
              <w:jc w:val="center"/>
              <w:rPr>
                <w:sz w:val="22"/>
                <w:szCs w:val="22"/>
              </w:rPr>
            </w:pPr>
            <w:r w:rsidRPr="00B57370">
              <w:rPr>
                <w:sz w:val="22"/>
                <w:szCs w:val="22"/>
              </w:rPr>
              <w:t>5</w:t>
            </w:r>
          </w:p>
        </w:tc>
      </w:tr>
      <w:tr w:rsidR="00554C52" w:rsidRPr="00B57370" w14:paraId="74F522FF" w14:textId="77777777" w:rsidTr="00863404">
        <w:trPr>
          <w:trHeight w:val="462"/>
        </w:trPr>
        <w:tc>
          <w:tcPr>
            <w:tcW w:w="1449" w:type="dxa"/>
          </w:tcPr>
          <w:p w14:paraId="370CB92F"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15</w:t>
            </w:r>
          </w:p>
        </w:tc>
        <w:tc>
          <w:tcPr>
            <w:tcW w:w="2423" w:type="dxa"/>
          </w:tcPr>
          <w:p w14:paraId="7E2909E0"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Pr>
          <w:p w14:paraId="076CD35C" w14:textId="77777777" w:rsidR="00554C52" w:rsidRPr="00B57370" w:rsidRDefault="00554C52" w:rsidP="00863404">
            <w:pPr>
              <w:spacing w:line="360" w:lineRule="auto"/>
              <w:jc w:val="center"/>
              <w:rPr>
                <w:sz w:val="22"/>
                <w:szCs w:val="22"/>
              </w:rPr>
            </w:pPr>
            <w:r w:rsidRPr="00B57370">
              <w:rPr>
                <w:sz w:val="22"/>
                <w:szCs w:val="22"/>
              </w:rPr>
              <w:t>15</w:t>
            </w:r>
          </w:p>
        </w:tc>
      </w:tr>
      <w:tr w:rsidR="00554C52" w:rsidRPr="00B57370" w14:paraId="6E20EEE9" w14:textId="77777777" w:rsidTr="00DC1F76">
        <w:trPr>
          <w:trHeight w:val="182"/>
        </w:trPr>
        <w:tc>
          <w:tcPr>
            <w:tcW w:w="1449" w:type="dxa"/>
          </w:tcPr>
          <w:p w14:paraId="7B4C81C6"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25</w:t>
            </w:r>
          </w:p>
        </w:tc>
        <w:tc>
          <w:tcPr>
            <w:tcW w:w="2423" w:type="dxa"/>
          </w:tcPr>
          <w:p w14:paraId="411B93C6"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Pr>
          <w:p w14:paraId="5A00DCBC" w14:textId="77777777" w:rsidR="00554C52" w:rsidRPr="00B57370" w:rsidRDefault="00554C52" w:rsidP="00863404">
            <w:pPr>
              <w:spacing w:line="360" w:lineRule="auto"/>
              <w:jc w:val="center"/>
              <w:rPr>
                <w:sz w:val="22"/>
                <w:szCs w:val="22"/>
              </w:rPr>
            </w:pPr>
            <w:r w:rsidRPr="00B57370">
              <w:rPr>
                <w:sz w:val="22"/>
                <w:szCs w:val="22"/>
              </w:rPr>
              <w:t>25</w:t>
            </w:r>
          </w:p>
        </w:tc>
      </w:tr>
    </w:tbl>
    <w:p w14:paraId="007A5FF4" w14:textId="77777777" w:rsidR="00554C52" w:rsidRPr="003237FC" w:rsidRDefault="00554C52" w:rsidP="00554C52">
      <w:pPr>
        <w:tabs>
          <w:tab w:val="left" w:pos="3680"/>
        </w:tabs>
        <w:spacing w:line="360" w:lineRule="auto"/>
        <w:rPr>
          <w:rFonts w:eastAsia="Calibri"/>
          <w:b/>
        </w:rPr>
      </w:pPr>
    </w:p>
    <w:p w14:paraId="71BFB821" w14:textId="77777777" w:rsidR="00554C52" w:rsidRPr="003237FC" w:rsidRDefault="00554C52" w:rsidP="00554C52">
      <w:pPr>
        <w:tabs>
          <w:tab w:val="left" w:pos="3680"/>
        </w:tabs>
        <w:spacing w:line="360" w:lineRule="auto"/>
        <w:rPr>
          <w:rFonts w:eastAsia="Calibri"/>
          <w:b/>
        </w:rPr>
      </w:pPr>
    </w:p>
    <w:p w14:paraId="6307B56F" w14:textId="77777777" w:rsidR="00554C52" w:rsidRPr="003237FC" w:rsidRDefault="00554C52" w:rsidP="00554C52">
      <w:pPr>
        <w:tabs>
          <w:tab w:val="left" w:pos="3680"/>
        </w:tabs>
        <w:spacing w:line="360" w:lineRule="auto"/>
        <w:rPr>
          <w:rFonts w:eastAsia="Calibri"/>
          <w:b/>
        </w:rPr>
      </w:pPr>
    </w:p>
    <w:p w14:paraId="39C85AD6" w14:textId="77777777" w:rsidR="00554C52" w:rsidRPr="003237FC" w:rsidRDefault="00554C52" w:rsidP="00554C52">
      <w:pPr>
        <w:tabs>
          <w:tab w:val="left" w:pos="3680"/>
        </w:tabs>
        <w:spacing w:line="360" w:lineRule="auto"/>
        <w:rPr>
          <w:rFonts w:eastAsia="Calibri"/>
          <w:b/>
        </w:rPr>
      </w:pPr>
    </w:p>
    <w:p w14:paraId="565192B7" w14:textId="77777777" w:rsidR="00554C52" w:rsidRPr="003237FC" w:rsidRDefault="00554C52" w:rsidP="00554C52">
      <w:pPr>
        <w:tabs>
          <w:tab w:val="left" w:pos="3680"/>
        </w:tabs>
        <w:spacing w:line="360" w:lineRule="auto"/>
        <w:rPr>
          <w:rFonts w:eastAsia="Calibri"/>
          <w:b/>
        </w:rPr>
      </w:pPr>
    </w:p>
    <w:p w14:paraId="4EF927E1" w14:textId="77777777" w:rsidR="00E737CE" w:rsidRDefault="00E737CE" w:rsidP="00554C52">
      <w:pPr>
        <w:tabs>
          <w:tab w:val="left" w:pos="3680"/>
        </w:tabs>
        <w:spacing w:line="360" w:lineRule="auto"/>
        <w:rPr>
          <w:rFonts w:eastAsia="Calibri"/>
          <w:b/>
        </w:rPr>
      </w:pPr>
    </w:p>
    <w:p w14:paraId="73D5B507" w14:textId="77777777" w:rsidR="00E737CE" w:rsidRDefault="00E737CE" w:rsidP="00E737CE">
      <w:pPr>
        <w:rPr>
          <w:rFonts w:eastAsia="Calibri"/>
          <w:b/>
          <w:lang w:val="en-US"/>
        </w:rPr>
      </w:pPr>
    </w:p>
    <w:p w14:paraId="5A180BEF" w14:textId="77777777" w:rsidR="007904D5" w:rsidRDefault="007904D5" w:rsidP="00E737CE">
      <w:pPr>
        <w:rPr>
          <w:rFonts w:eastAsia="Calibri"/>
          <w:b/>
          <w:lang w:val="en-US"/>
        </w:rPr>
      </w:pPr>
    </w:p>
    <w:p w14:paraId="67408E3B" w14:textId="77777777" w:rsidR="007904D5" w:rsidRDefault="007904D5" w:rsidP="00E737CE">
      <w:pPr>
        <w:rPr>
          <w:rFonts w:eastAsia="Calibri"/>
          <w:b/>
          <w:lang w:val="en-US"/>
        </w:rPr>
      </w:pPr>
    </w:p>
    <w:p w14:paraId="57B2AF5E" w14:textId="77777777" w:rsidR="007904D5" w:rsidRDefault="007904D5" w:rsidP="00E737CE">
      <w:pPr>
        <w:rPr>
          <w:rFonts w:eastAsia="Calibri"/>
          <w:b/>
          <w:lang w:val="en-US"/>
        </w:rPr>
      </w:pPr>
    </w:p>
    <w:p w14:paraId="4B5E50CC" w14:textId="77777777" w:rsidR="007904D5" w:rsidRDefault="007904D5" w:rsidP="00E737CE">
      <w:pPr>
        <w:rPr>
          <w:rFonts w:eastAsia="Calibri"/>
          <w:b/>
          <w:lang w:val="en-US"/>
        </w:rPr>
      </w:pPr>
    </w:p>
    <w:p w14:paraId="6A0CE9EA" w14:textId="77777777" w:rsidR="007904D5" w:rsidRDefault="007904D5" w:rsidP="00E737CE">
      <w:pPr>
        <w:rPr>
          <w:rFonts w:eastAsia="Calibri"/>
          <w:b/>
          <w:lang w:val="en-US"/>
        </w:rPr>
      </w:pPr>
    </w:p>
    <w:p w14:paraId="06F8D98B" w14:textId="7C4E7C8B" w:rsidR="00E737CE" w:rsidRPr="00E737CE" w:rsidRDefault="00E737CE" w:rsidP="00E737CE">
      <w:pPr>
        <w:rPr>
          <w:rFonts w:eastAsia="Calibri"/>
          <w:b/>
          <w:lang w:val="en-US"/>
        </w:rPr>
      </w:pPr>
      <w:r w:rsidRPr="00E737CE">
        <w:rPr>
          <w:rFonts w:eastAsia="Calibri"/>
          <w:b/>
          <w:lang w:val="en-US"/>
        </w:rPr>
        <w:t xml:space="preserve">Table II: </w:t>
      </w:r>
      <w:r w:rsidRPr="00E737CE">
        <w:rPr>
          <w:rFonts w:eastAsia="Calibri"/>
          <w:bCs/>
          <w:lang w:val="en-US"/>
        </w:rPr>
        <w:t>Summary of phytochemical screening results.</w:t>
      </w:r>
    </w:p>
    <w:p w14:paraId="4D7CA566" w14:textId="03FE3A93" w:rsidR="00554C52" w:rsidRPr="00E737CE" w:rsidRDefault="00554C52" w:rsidP="00554C52">
      <w:pPr>
        <w:rPr>
          <w:rFonts w:eastAsia="Calibri"/>
          <w:b/>
          <w:lang w:val="en-US"/>
        </w:rPr>
      </w:pPr>
    </w:p>
    <w:tbl>
      <w:tblPr>
        <w:tblStyle w:val="TableGrid"/>
        <w:tblW w:w="11199" w:type="dxa"/>
        <w:tblInd w:w="-998" w:type="dxa"/>
        <w:tblLayout w:type="fixed"/>
        <w:tblLook w:val="04A0" w:firstRow="1" w:lastRow="0" w:firstColumn="1" w:lastColumn="0" w:noHBand="0" w:noVBand="1"/>
      </w:tblPr>
      <w:tblGrid>
        <w:gridCol w:w="2411"/>
        <w:gridCol w:w="1276"/>
        <w:gridCol w:w="1417"/>
        <w:gridCol w:w="1276"/>
        <w:gridCol w:w="567"/>
        <w:gridCol w:w="567"/>
        <w:gridCol w:w="1134"/>
        <w:gridCol w:w="1276"/>
        <w:gridCol w:w="708"/>
        <w:gridCol w:w="567"/>
      </w:tblGrid>
      <w:tr w:rsidR="00554C52" w:rsidRPr="001F00CC" w14:paraId="051A82CD" w14:textId="77777777" w:rsidTr="001F00CC">
        <w:trPr>
          <w:trHeight w:val="1019"/>
        </w:trPr>
        <w:tc>
          <w:tcPr>
            <w:tcW w:w="2411" w:type="dxa"/>
            <w:vMerge w:val="restart"/>
          </w:tcPr>
          <w:p w14:paraId="76A07C24" w14:textId="0766A4C4" w:rsidR="00554C52" w:rsidRPr="001F00CC" w:rsidRDefault="00E60146" w:rsidP="00863404">
            <w:pPr>
              <w:rPr>
                <w:rFonts w:eastAsia="Calibri"/>
                <w:b/>
                <w:sz w:val="20"/>
                <w:szCs w:val="20"/>
                <w:lang w:val="en-US"/>
              </w:rPr>
            </w:pPr>
            <w:r>
              <w:rPr>
                <w:rFonts w:eastAsia="Calibri"/>
                <w:b/>
                <w:noProof/>
                <w:sz w:val="20"/>
                <w:szCs w:val="20"/>
                <w:lang w:val="en-US"/>
                <w14:ligatures w14:val="standardContextual"/>
              </w:rPr>
              <mc:AlternateContent>
                <mc:Choice Requires="wps">
                  <w:drawing>
                    <wp:anchor distT="0" distB="0" distL="114300" distR="114300" simplePos="0" relativeHeight="251660288" behindDoc="0" locked="0" layoutInCell="1" allowOverlap="1" wp14:anchorId="07CB9C92" wp14:editId="64B0E0C6">
                      <wp:simplePos x="0" y="0"/>
                      <wp:positionH relativeFrom="column">
                        <wp:posOffset>-41275</wp:posOffset>
                      </wp:positionH>
                      <wp:positionV relativeFrom="paragraph">
                        <wp:posOffset>36618</wp:posOffset>
                      </wp:positionV>
                      <wp:extent cx="1473200" cy="1303867"/>
                      <wp:effectExtent l="0" t="0" r="12700" b="17145"/>
                      <wp:wrapNone/>
                      <wp:docPr id="350932546" name="Connecteur droit 2"/>
                      <wp:cNvGraphicFramePr/>
                      <a:graphic xmlns:a="http://schemas.openxmlformats.org/drawingml/2006/main">
                        <a:graphicData uri="http://schemas.microsoft.com/office/word/2010/wordprocessingShape">
                          <wps:wsp>
                            <wps:cNvCnPr/>
                            <wps:spPr>
                              <a:xfrm>
                                <a:off x="0" y="0"/>
                                <a:ext cx="1473200" cy="1303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4133F6" id="Connecteur droit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5pt,2.9pt" to="112.75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" strokecolor="black [3200]" strokeweight=".5pt">
                      <v:stroke joinstyle="miter"/>
                    </v:line>
                  </w:pict>
                </mc:Fallback>
              </mc:AlternateContent>
            </w:r>
            <w:r w:rsidR="00554C52" w:rsidRPr="001F00CC">
              <w:rPr>
                <w:rFonts w:eastAsia="Calibri"/>
                <w:b/>
                <w:sz w:val="20"/>
                <w:szCs w:val="20"/>
                <w:lang w:val="en-US"/>
              </w:rPr>
              <w:t xml:space="preserve">                </w:t>
            </w:r>
          </w:p>
          <w:p w14:paraId="05C76825" w14:textId="384057F6" w:rsidR="00554C52" w:rsidRPr="001F00CC" w:rsidRDefault="00554C52" w:rsidP="00863404">
            <w:pPr>
              <w:rPr>
                <w:rFonts w:eastAsia="Calibri"/>
                <w:b/>
                <w:sz w:val="20"/>
                <w:szCs w:val="20"/>
              </w:rPr>
            </w:pPr>
            <w:r w:rsidRPr="007904D5">
              <w:rPr>
                <w:rFonts w:eastAsia="Calibri"/>
                <w:b/>
                <w:sz w:val="20"/>
                <w:szCs w:val="20"/>
                <w:lang w:val="en-US"/>
              </w:rPr>
              <w:t xml:space="preserve">            </w:t>
            </w:r>
            <w:proofErr w:type="spellStart"/>
            <w:r w:rsidR="00AD540A" w:rsidRPr="001F00CC">
              <w:rPr>
                <w:rFonts w:eastAsia="Calibri"/>
                <w:b/>
                <w:sz w:val="20"/>
                <w:szCs w:val="20"/>
              </w:rPr>
              <w:t>P</w:t>
            </w:r>
            <w:r w:rsidR="008D5229" w:rsidRPr="001F00CC">
              <w:rPr>
                <w:rFonts w:eastAsia="Calibri"/>
                <w:b/>
                <w:sz w:val="20"/>
                <w:szCs w:val="20"/>
              </w:rPr>
              <w:t>hyto</w:t>
            </w:r>
            <w:r w:rsidRPr="001F00CC">
              <w:rPr>
                <w:rFonts w:eastAsia="Calibri"/>
                <w:b/>
                <w:sz w:val="20"/>
                <w:szCs w:val="20"/>
              </w:rPr>
              <w:t>ch</w:t>
            </w:r>
            <w:r w:rsidR="00AD540A" w:rsidRPr="001F00CC">
              <w:rPr>
                <w:rFonts w:eastAsia="Calibri"/>
                <w:b/>
                <w:sz w:val="20"/>
                <w:szCs w:val="20"/>
              </w:rPr>
              <w:t>emical</w:t>
            </w:r>
            <w:proofErr w:type="spellEnd"/>
          </w:p>
          <w:p w14:paraId="7A847E95" w14:textId="67230D3C" w:rsidR="00AD540A" w:rsidRPr="001F00CC" w:rsidRDefault="00AD540A" w:rsidP="00AD540A">
            <w:pPr>
              <w:jc w:val="center"/>
              <w:rPr>
                <w:rFonts w:eastAsia="Calibri"/>
                <w:b/>
                <w:sz w:val="20"/>
                <w:szCs w:val="20"/>
              </w:rPr>
            </w:pPr>
            <w:proofErr w:type="gramStart"/>
            <w:r w:rsidRPr="001F00CC">
              <w:rPr>
                <w:rFonts w:eastAsia="Calibri"/>
                <w:b/>
                <w:sz w:val="20"/>
                <w:szCs w:val="20"/>
              </w:rPr>
              <w:t>compounds</w:t>
            </w:r>
            <w:proofErr w:type="gramEnd"/>
          </w:p>
          <w:p w14:paraId="4DF2F8AE" w14:textId="77777777" w:rsidR="00554C52" w:rsidRPr="001F00CC" w:rsidRDefault="00554C52" w:rsidP="00863404">
            <w:pPr>
              <w:rPr>
                <w:rFonts w:eastAsia="Calibri"/>
                <w:b/>
                <w:sz w:val="20"/>
                <w:szCs w:val="20"/>
              </w:rPr>
            </w:pPr>
            <w:r w:rsidRPr="001F00CC">
              <w:rPr>
                <w:rFonts w:eastAsia="Calibri"/>
                <w:b/>
                <w:sz w:val="20"/>
                <w:szCs w:val="20"/>
              </w:rPr>
              <w:t xml:space="preserve">  </w:t>
            </w:r>
          </w:p>
          <w:p w14:paraId="5568FC47" w14:textId="77777777" w:rsidR="001F00CC" w:rsidRDefault="001F00CC" w:rsidP="00AD540A">
            <w:pPr>
              <w:rPr>
                <w:rFonts w:eastAsia="Calibri"/>
                <w:b/>
                <w:sz w:val="20"/>
                <w:szCs w:val="20"/>
              </w:rPr>
            </w:pPr>
          </w:p>
          <w:p w14:paraId="03650CA9" w14:textId="77777777" w:rsidR="001F00CC" w:rsidRDefault="001F00CC" w:rsidP="00AD540A">
            <w:pPr>
              <w:rPr>
                <w:rFonts w:eastAsia="Calibri"/>
                <w:b/>
                <w:sz w:val="20"/>
                <w:szCs w:val="20"/>
              </w:rPr>
            </w:pPr>
          </w:p>
          <w:p w14:paraId="3ACB71E8" w14:textId="5F081DB8" w:rsidR="00AD540A" w:rsidRPr="001F00CC" w:rsidRDefault="00554C52" w:rsidP="00AD540A">
            <w:pPr>
              <w:rPr>
                <w:rFonts w:eastAsia="Calibri"/>
                <w:b/>
                <w:sz w:val="20"/>
                <w:szCs w:val="20"/>
                <w:lang w:val="fr-CI"/>
              </w:rPr>
            </w:pPr>
            <w:r w:rsidRPr="001F00CC">
              <w:rPr>
                <w:rFonts w:eastAsia="Calibri"/>
                <w:b/>
                <w:sz w:val="20"/>
                <w:szCs w:val="20"/>
              </w:rPr>
              <w:t xml:space="preserve"> </w:t>
            </w:r>
            <w:r w:rsidR="00AD540A" w:rsidRPr="001F00CC">
              <w:rPr>
                <w:rFonts w:eastAsia="Calibri"/>
                <w:b/>
                <w:sz w:val="20"/>
                <w:szCs w:val="20"/>
                <w:lang w:val="fr-CI"/>
              </w:rPr>
              <w:t xml:space="preserve">Extrait </w:t>
            </w:r>
          </w:p>
          <w:p w14:paraId="29DDB577" w14:textId="77777777" w:rsidR="00AD540A" w:rsidRPr="00AD540A" w:rsidRDefault="00AD540A" w:rsidP="00AD540A">
            <w:pPr>
              <w:rPr>
                <w:rFonts w:eastAsia="Calibri"/>
                <w:b/>
                <w:sz w:val="20"/>
                <w:szCs w:val="20"/>
                <w:lang w:val="fr-CI"/>
              </w:rPr>
            </w:pPr>
            <w:proofErr w:type="gramStart"/>
            <w:r w:rsidRPr="00AD540A">
              <w:rPr>
                <w:rFonts w:eastAsia="Calibri"/>
                <w:b/>
                <w:sz w:val="20"/>
                <w:szCs w:val="20"/>
                <w:lang w:val="fr-CI"/>
              </w:rPr>
              <w:t>de</w:t>
            </w:r>
            <w:proofErr w:type="gramEnd"/>
            <w:r w:rsidRPr="00AD540A">
              <w:rPr>
                <w:rFonts w:eastAsia="Calibri"/>
                <w:b/>
                <w:sz w:val="20"/>
                <w:szCs w:val="20"/>
                <w:lang w:val="fr-CI"/>
              </w:rPr>
              <w:t xml:space="preserve"> la plante                </w:t>
            </w:r>
          </w:p>
          <w:p w14:paraId="7E616FBC" w14:textId="39875B17" w:rsidR="00554C52" w:rsidRPr="001F00CC" w:rsidRDefault="00554C52" w:rsidP="00863404">
            <w:pPr>
              <w:rPr>
                <w:rFonts w:eastAsia="Calibri"/>
                <w:sz w:val="20"/>
                <w:szCs w:val="20"/>
              </w:rPr>
            </w:pPr>
          </w:p>
        </w:tc>
        <w:tc>
          <w:tcPr>
            <w:tcW w:w="1276" w:type="dxa"/>
            <w:vMerge w:val="restart"/>
          </w:tcPr>
          <w:p w14:paraId="7B088950" w14:textId="77777777" w:rsidR="00554C52" w:rsidRPr="001F00CC" w:rsidRDefault="00554C52" w:rsidP="00863404">
            <w:pPr>
              <w:rPr>
                <w:rFonts w:eastAsia="Calibri"/>
                <w:b/>
                <w:sz w:val="20"/>
                <w:szCs w:val="20"/>
              </w:rPr>
            </w:pPr>
          </w:p>
          <w:p w14:paraId="1188B23C" w14:textId="24189B3C" w:rsidR="00554C52" w:rsidRPr="001F00CC" w:rsidRDefault="00554C52" w:rsidP="00863404">
            <w:pPr>
              <w:rPr>
                <w:rFonts w:eastAsia="Calibri"/>
                <w:b/>
                <w:sz w:val="20"/>
                <w:szCs w:val="20"/>
              </w:rPr>
            </w:pPr>
            <w:r w:rsidRPr="001F00CC">
              <w:rPr>
                <w:rFonts w:eastAsia="Calibri"/>
                <w:b/>
                <w:sz w:val="20"/>
                <w:szCs w:val="20"/>
              </w:rPr>
              <w:t>Saponosides</w:t>
            </w:r>
          </w:p>
        </w:tc>
        <w:tc>
          <w:tcPr>
            <w:tcW w:w="1417" w:type="dxa"/>
            <w:vMerge w:val="restart"/>
          </w:tcPr>
          <w:p w14:paraId="442A5820" w14:textId="77777777" w:rsidR="00554C52" w:rsidRPr="001F00CC" w:rsidRDefault="00554C52" w:rsidP="00863404">
            <w:pPr>
              <w:rPr>
                <w:rFonts w:eastAsia="Calibri"/>
                <w:sz w:val="20"/>
                <w:szCs w:val="20"/>
              </w:rPr>
            </w:pPr>
          </w:p>
          <w:p w14:paraId="2783A389" w14:textId="4C2E79C9" w:rsidR="00554C52" w:rsidRPr="001F00CC" w:rsidRDefault="00554C52" w:rsidP="00863404">
            <w:pPr>
              <w:rPr>
                <w:rFonts w:eastAsia="Calibri"/>
                <w:b/>
                <w:sz w:val="20"/>
                <w:szCs w:val="20"/>
              </w:rPr>
            </w:pPr>
            <w:proofErr w:type="spellStart"/>
            <w:r w:rsidRPr="001F00CC">
              <w:rPr>
                <w:rFonts w:eastAsia="Calibri"/>
                <w:b/>
                <w:sz w:val="20"/>
                <w:szCs w:val="20"/>
              </w:rPr>
              <w:t>St</w:t>
            </w:r>
            <w:r w:rsidR="00AD540A" w:rsidRPr="001F00CC">
              <w:rPr>
                <w:rFonts w:eastAsia="Calibri"/>
                <w:b/>
                <w:sz w:val="20"/>
                <w:szCs w:val="20"/>
              </w:rPr>
              <w:t>e</w:t>
            </w:r>
            <w:r w:rsidRPr="001F00CC">
              <w:rPr>
                <w:rFonts w:eastAsia="Calibri"/>
                <w:b/>
                <w:sz w:val="20"/>
                <w:szCs w:val="20"/>
              </w:rPr>
              <w:t>rols</w:t>
            </w:r>
            <w:proofErr w:type="spellEnd"/>
            <w:r w:rsidRPr="001F00CC">
              <w:rPr>
                <w:rFonts w:eastAsia="Calibri"/>
                <w:b/>
                <w:sz w:val="20"/>
                <w:szCs w:val="20"/>
              </w:rPr>
              <w:t xml:space="preserve">    et </w:t>
            </w:r>
            <w:proofErr w:type="spellStart"/>
            <w:r w:rsidRPr="001F00CC">
              <w:rPr>
                <w:rFonts w:eastAsia="Calibri"/>
                <w:b/>
                <w:sz w:val="20"/>
                <w:szCs w:val="20"/>
              </w:rPr>
              <w:t>polyter</w:t>
            </w:r>
            <w:proofErr w:type="spellEnd"/>
            <w:r w:rsidRPr="001F00CC">
              <w:rPr>
                <w:rFonts w:eastAsia="Calibri"/>
                <w:b/>
                <w:sz w:val="20"/>
                <w:szCs w:val="20"/>
              </w:rPr>
              <w:t xml:space="preserve">- </w:t>
            </w:r>
            <w:proofErr w:type="spellStart"/>
            <w:r w:rsidRPr="001F00CC">
              <w:rPr>
                <w:rFonts w:eastAsia="Calibri"/>
                <w:b/>
                <w:sz w:val="20"/>
                <w:szCs w:val="20"/>
              </w:rPr>
              <w:t>p</w:t>
            </w:r>
            <w:r w:rsidR="00AD540A" w:rsidRPr="001F00CC">
              <w:rPr>
                <w:rFonts w:eastAsia="Calibri"/>
                <w:b/>
                <w:sz w:val="20"/>
                <w:szCs w:val="20"/>
              </w:rPr>
              <w:t>e</w:t>
            </w:r>
            <w:r w:rsidRPr="001F00CC">
              <w:rPr>
                <w:rFonts w:eastAsia="Calibri"/>
                <w:b/>
                <w:sz w:val="20"/>
                <w:szCs w:val="20"/>
              </w:rPr>
              <w:t>n</w:t>
            </w:r>
            <w:r w:rsidR="00AD540A" w:rsidRPr="001F00CC">
              <w:rPr>
                <w:rFonts w:eastAsia="Calibri"/>
                <w:b/>
                <w:sz w:val="20"/>
                <w:szCs w:val="20"/>
              </w:rPr>
              <w:t>e</w:t>
            </w:r>
            <w:r w:rsidRPr="001F00CC">
              <w:rPr>
                <w:rFonts w:eastAsia="Calibri"/>
                <w:b/>
                <w:sz w:val="20"/>
                <w:szCs w:val="20"/>
              </w:rPr>
              <w:t>s</w:t>
            </w:r>
            <w:proofErr w:type="spellEnd"/>
          </w:p>
          <w:p w14:paraId="0025856E" w14:textId="77777777" w:rsidR="00554C52" w:rsidRPr="001F00CC" w:rsidRDefault="00554C52" w:rsidP="00863404">
            <w:pPr>
              <w:rPr>
                <w:rFonts w:eastAsia="Calibri"/>
                <w:sz w:val="20"/>
                <w:szCs w:val="20"/>
              </w:rPr>
            </w:pPr>
          </w:p>
          <w:p w14:paraId="3A7C8B74" w14:textId="77777777" w:rsidR="00554C52" w:rsidRPr="001F00CC" w:rsidRDefault="00554C52" w:rsidP="00863404">
            <w:pPr>
              <w:rPr>
                <w:rFonts w:eastAsia="Calibri"/>
                <w:sz w:val="20"/>
                <w:szCs w:val="20"/>
              </w:rPr>
            </w:pPr>
          </w:p>
          <w:p w14:paraId="56FEA759" w14:textId="77777777" w:rsidR="00554C52" w:rsidRPr="001F00CC" w:rsidRDefault="00554C52" w:rsidP="00863404">
            <w:pPr>
              <w:rPr>
                <w:rFonts w:eastAsia="Calibri"/>
                <w:sz w:val="20"/>
                <w:szCs w:val="20"/>
              </w:rPr>
            </w:pPr>
          </w:p>
        </w:tc>
        <w:tc>
          <w:tcPr>
            <w:tcW w:w="1276" w:type="dxa"/>
            <w:vMerge w:val="restart"/>
          </w:tcPr>
          <w:p w14:paraId="0266F121" w14:textId="77777777" w:rsidR="00554C52" w:rsidRPr="001F00CC" w:rsidRDefault="00554C52" w:rsidP="00863404">
            <w:pPr>
              <w:rPr>
                <w:rFonts w:eastAsia="Calibri"/>
                <w:b/>
                <w:sz w:val="20"/>
                <w:szCs w:val="20"/>
              </w:rPr>
            </w:pPr>
          </w:p>
          <w:p w14:paraId="423D32C4" w14:textId="7993D414" w:rsidR="00554C52" w:rsidRPr="001F00CC" w:rsidRDefault="00554C52" w:rsidP="00863404">
            <w:pPr>
              <w:rPr>
                <w:rFonts w:eastAsia="Calibri"/>
                <w:b/>
                <w:sz w:val="20"/>
                <w:szCs w:val="20"/>
              </w:rPr>
            </w:pPr>
            <w:r w:rsidRPr="001F00CC">
              <w:rPr>
                <w:rFonts w:eastAsia="Calibri"/>
                <w:b/>
                <w:sz w:val="20"/>
                <w:szCs w:val="20"/>
              </w:rPr>
              <w:t xml:space="preserve"> </w:t>
            </w:r>
            <w:proofErr w:type="spellStart"/>
            <w:r w:rsidRPr="001F00CC">
              <w:rPr>
                <w:rFonts w:eastAsia="Calibri"/>
                <w:b/>
                <w:sz w:val="20"/>
                <w:szCs w:val="20"/>
              </w:rPr>
              <w:t>Polyph</w:t>
            </w:r>
            <w:r w:rsidR="00AD540A" w:rsidRPr="001F00CC">
              <w:rPr>
                <w:rFonts w:eastAsia="Calibri"/>
                <w:b/>
                <w:sz w:val="20"/>
                <w:szCs w:val="20"/>
              </w:rPr>
              <w:t>e</w:t>
            </w:r>
            <w:r w:rsidRPr="001F00CC">
              <w:rPr>
                <w:rFonts w:eastAsia="Calibri"/>
                <w:b/>
                <w:sz w:val="20"/>
                <w:szCs w:val="20"/>
              </w:rPr>
              <w:t>nols</w:t>
            </w:r>
            <w:proofErr w:type="spellEnd"/>
          </w:p>
        </w:tc>
        <w:tc>
          <w:tcPr>
            <w:tcW w:w="1134" w:type="dxa"/>
            <w:gridSpan w:val="2"/>
          </w:tcPr>
          <w:p w14:paraId="40D15063" w14:textId="77777777" w:rsidR="00554C52" w:rsidRPr="001F00CC" w:rsidRDefault="00554C52" w:rsidP="00863404">
            <w:pPr>
              <w:rPr>
                <w:rFonts w:eastAsia="Calibri"/>
                <w:b/>
                <w:sz w:val="20"/>
                <w:szCs w:val="20"/>
              </w:rPr>
            </w:pPr>
          </w:p>
          <w:p w14:paraId="3905C5E0" w14:textId="77777777" w:rsidR="00554C52" w:rsidRPr="001F00CC" w:rsidRDefault="00554C52" w:rsidP="00863404">
            <w:pPr>
              <w:rPr>
                <w:rFonts w:eastAsia="Calibri"/>
                <w:b/>
                <w:sz w:val="20"/>
                <w:szCs w:val="20"/>
              </w:rPr>
            </w:pPr>
            <w:r w:rsidRPr="001F00CC">
              <w:rPr>
                <w:rFonts w:eastAsia="Calibri"/>
                <w:b/>
                <w:sz w:val="20"/>
                <w:szCs w:val="20"/>
              </w:rPr>
              <w:t>Tanins</w:t>
            </w:r>
          </w:p>
        </w:tc>
        <w:tc>
          <w:tcPr>
            <w:tcW w:w="1134" w:type="dxa"/>
            <w:vMerge w:val="restart"/>
          </w:tcPr>
          <w:p w14:paraId="2D84E909" w14:textId="77777777" w:rsidR="00554C52" w:rsidRPr="001F00CC" w:rsidRDefault="00554C52" w:rsidP="00863404">
            <w:pPr>
              <w:rPr>
                <w:rFonts w:eastAsia="Calibri"/>
                <w:b/>
                <w:sz w:val="20"/>
                <w:szCs w:val="20"/>
              </w:rPr>
            </w:pPr>
            <w:r w:rsidRPr="001F00CC">
              <w:rPr>
                <w:rFonts w:eastAsia="Calibri"/>
                <w:b/>
                <w:sz w:val="20"/>
                <w:szCs w:val="20"/>
              </w:rPr>
              <w:t xml:space="preserve">  </w:t>
            </w:r>
          </w:p>
          <w:p w14:paraId="47D5ECC4" w14:textId="4FB3895F" w:rsidR="00554C52" w:rsidRPr="001F00CC" w:rsidRDefault="00AD540A" w:rsidP="00863404">
            <w:pPr>
              <w:rPr>
                <w:rFonts w:eastAsia="Calibri"/>
                <w:sz w:val="20"/>
                <w:szCs w:val="20"/>
              </w:rPr>
            </w:pPr>
            <w:r w:rsidRPr="001F00CC">
              <w:rPr>
                <w:rFonts w:eastAsia="Calibri"/>
                <w:b/>
                <w:sz w:val="20"/>
                <w:szCs w:val="20"/>
              </w:rPr>
              <w:t>Quinone substances</w:t>
            </w:r>
          </w:p>
          <w:p w14:paraId="74E8FA22" w14:textId="77777777" w:rsidR="00554C52" w:rsidRPr="001F00CC" w:rsidRDefault="00554C52" w:rsidP="00863404">
            <w:pPr>
              <w:rPr>
                <w:rFonts w:eastAsia="Calibri"/>
                <w:sz w:val="20"/>
                <w:szCs w:val="20"/>
              </w:rPr>
            </w:pPr>
          </w:p>
          <w:p w14:paraId="28D0EFE0" w14:textId="77777777" w:rsidR="00554C52" w:rsidRPr="001F00CC" w:rsidRDefault="00554C52" w:rsidP="00863404">
            <w:pPr>
              <w:rPr>
                <w:rFonts w:eastAsia="Calibri"/>
                <w:b/>
                <w:sz w:val="20"/>
                <w:szCs w:val="20"/>
              </w:rPr>
            </w:pPr>
          </w:p>
        </w:tc>
        <w:tc>
          <w:tcPr>
            <w:tcW w:w="1276" w:type="dxa"/>
            <w:vMerge w:val="restart"/>
          </w:tcPr>
          <w:p w14:paraId="728F3213" w14:textId="77777777" w:rsidR="00554C52" w:rsidRPr="001F00CC" w:rsidRDefault="00554C52" w:rsidP="00863404">
            <w:pPr>
              <w:rPr>
                <w:rFonts w:eastAsia="Calibri"/>
                <w:b/>
                <w:sz w:val="20"/>
                <w:szCs w:val="20"/>
              </w:rPr>
            </w:pPr>
          </w:p>
          <w:p w14:paraId="7A80EA9A" w14:textId="237F82E5" w:rsidR="00554C52" w:rsidRPr="001F00CC" w:rsidRDefault="00554C52" w:rsidP="00863404">
            <w:pPr>
              <w:rPr>
                <w:rFonts w:eastAsia="Calibri"/>
                <w:b/>
                <w:sz w:val="20"/>
                <w:szCs w:val="20"/>
              </w:rPr>
            </w:pPr>
            <w:proofErr w:type="spellStart"/>
            <w:r w:rsidRPr="001F00CC">
              <w:rPr>
                <w:rFonts w:eastAsia="Calibri"/>
                <w:b/>
                <w:sz w:val="20"/>
                <w:szCs w:val="20"/>
              </w:rPr>
              <w:t>Flavono</w:t>
            </w:r>
            <w:r w:rsidR="00AD540A" w:rsidRPr="001F00CC">
              <w:rPr>
                <w:rFonts w:eastAsia="Calibri"/>
                <w:b/>
                <w:sz w:val="20"/>
                <w:szCs w:val="20"/>
              </w:rPr>
              <w:t>i</w:t>
            </w:r>
            <w:r w:rsidRPr="001F00CC">
              <w:rPr>
                <w:rFonts w:eastAsia="Calibri"/>
                <w:b/>
                <w:sz w:val="20"/>
                <w:szCs w:val="20"/>
              </w:rPr>
              <w:t>ds</w:t>
            </w:r>
            <w:proofErr w:type="spellEnd"/>
          </w:p>
          <w:p w14:paraId="3EB4FEC5" w14:textId="77777777" w:rsidR="00554C52" w:rsidRPr="001F00CC" w:rsidRDefault="00554C52" w:rsidP="00863404">
            <w:pPr>
              <w:rPr>
                <w:rFonts w:eastAsia="Calibri"/>
                <w:sz w:val="20"/>
                <w:szCs w:val="20"/>
              </w:rPr>
            </w:pPr>
          </w:p>
          <w:p w14:paraId="409EA9E7" w14:textId="77777777" w:rsidR="00554C52" w:rsidRPr="001F00CC" w:rsidRDefault="00554C52" w:rsidP="00863404">
            <w:pPr>
              <w:rPr>
                <w:rFonts w:eastAsia="Calibri"/>
                <w:b/>
                <w:sz w:val="20"/>
                <w:szCs w:val="20"/>
              </w:rPr>
            </w:pPr>
          </w:p>
        </w:tc>
        <w:tc>
          <w:tcPr>
            <w:tcW w:w="1275" w:type="dxa"/>
            <w:gridSpan w:val="2"/>
          </w:tcPr>
          <w:p w14:paraId="21E8D0B2" w14:textId="77777777" w:rsidR="00554C52" w:rsidRPr="001F00CC" w:rsidRDefault="00554C52" w:rsidP="00863404">
            <w:pPr>
              <w:rPr>
                <w:rFonts w:eastAsia="Calibri"/>
                <w:b/>
                <w:sz w:val="20"/>
                <w:szCs w:val="20"/>
              </w:rPr>
            </w:pPr>
          </w:p>
          <w:p w14:paraId="7B9B04F7" w14:textId="3D223C00" w:rsidR="00554C52" w:rsidRPr="001F00CC" w:rsidRDefault="00554C52" w:rsidP="00863404">
            <w:pPr>
              <w:rPr>
                <w:rFonts w:eastAsia="Calibri"/>
                <w:b/>
                <w:sz w:val="20"/>
                <w:szCs w:val="20"/>
              </w:rPr>
            </w:pPr>
            <w:proofErr w:type="spellStart"/>
            <w:r w:rsidRPr="001F00CC">
              <w:rPr>
                <w:rFonts w:eastAsia="Calibri"/>
                <w:b/>
                <w:sz w:val="20"/>
                <w:szCs w:val="20"/>
              </w:rPr>
              <w:t>Al</w:t>
            </w:r>
            <w:r w:rsidR="00AD540A" w:rsidRPr="001F00CC">
              <w:rPr>
                <w:rFonts w:eastAsia="Calibri"/>
                <w:b/>
                <w:sz w:val="20"/>
                <w:szCs w:val="20"/>
              </w:rPr>
              <w:t>k</w:t>
            </w:r>
            <w:r w:rsidRPr="001F00CC">
              <w:rPr>
                <w:rFonts w:eastAsia="Calibri"/>
                <w:b/>
                <w:sz w:val="20"/>
                <w:szCs w:val="20"/>
              </w:rPr>
              <w:t>alo</w:t>
            </w:r>
            <w:r w:rsidR="00AD540A" w:rsidRPr="001F00CC">
              <w:rPr>
                <w:rFonts w:eastAsia="Calibri"/>
                <w:b/>
                <w:sz w:val="20"/>
                <w:szCs w:val="20"/>
              </w:rPr>
              <w:t>i</w:t>
            </w:r>
            <w:r w:rsidRPr="001F00CC">
              <w:rPr>
                <w:rFonts w:eastAsia="Calibri"/>
                <w:b/>
                <w:sz w:val="20"/>
                <w:szCs w:val="20"/>
              </w:rPr>
              <w:t>ds</w:t>
            </w:r>
            <w:proofErr w:type="spellEnd"/>
          </w:p>
        </w:tc>
      </w:tr>
      <w:tr w:rsidR="00554C52" w:rsidRPr="001F00CC" w14:paraId="12910972" w14:textId="77777777" w:rsidTr="001F00CC">
        <w:trPr>
          <w:trHeight w:val="1074"/>
        </w:trPr>
        <w:tc>
          <w:tcPr>
            <w:tcW w:w="2411" w:type="dxa"/>
            <w:vMerge/>
          </w:tcPr>
          <w:p w14:paraId="6518AABE" w14:textId="77777777" w:rsidR="00554C52" w:rsidRPr="001F00CC" w:rsidRDefault="00554C52" w:rsidP="00863404">
            <w:pPr>
              <w:rPr>
                <w:rFonts w:eastAsia="Calibri"/>
                <w:sz w:val="20"/>
                <w:szCs w:val="20"/>
              </w:rPr>
            </w:pPr>
          </w:p>
        </w:tc>
        <w:tc>
          <w:tcPr>
            <w:tcW w:w="1276" w:type="dxa"/>
            <w:vMerge/>
          </w:tcPr>
          <w:p w14:paraId="7E5B24AB" w14:textId="77777777" w:rsidR="00554C52" w:rsidRPr="001F00CC" w:rsidRDefault="00554C52" w:rsidP="00863404">
            <w:pPr>
              <w:rPr>
                <w:rFonts w:eastAsia="Calibri"/>
                <w:sz w:val="20"/>
                <w:szCs w:val="20"/>
              </w:rPr>
            </w:pPr>
          </w:p>
        </w:tc>
        <w:tc>
          <w:tcPr>
            <w:tcW w:w="1417" w:type="dxa"/>
            <w:vMerge/>
          </w:tcPr>
          <w:p w14:paraId="099AB8AC" w14:textId="77777777" w:rsidR="00554C52" w:rsidRPr="001F00CC" w:rsidRDefault="00554C52" w:rsidP="00863404">
            <w:pPr>
              <w:rPr>
                <w:rFonts w:eastAsia="Calibri"/>
                <w:sz w:val="20"/>
                <w:szCs w:val="20"/>
              </w:rPr>
            </w:pPr>
          </w:p>
        </w:tc>
        <w:tc>
          <w:tcPr>
            <w:tcW w:w="1276" w:type="dxa"/>
            <w:vMerge/>
          </w:tcPr>
          <w:p w14:paraId="0FAB5E67" w14:textId="77777777" w:rsidR="00554C52" w:rsidRPr="001F00CC" w:rsidRDefault="00554C52" w:rsidP="00863404">
            <w:pPr>
              <w:rPr>
                <w:rFonts w:eastAsia="Calibri"/>
                <w:sz w:val="20"/>
                <w:szCs w:val="20"/>
              </w:rPr>
            </w:pPr>
          </w:p>
        </w:tc>
        <w:tc>
          <w:tcPr>
            <w:tcW w:w="567" w:type="dxa"/>
          </w:tcPr>
          <w:p w14:paraId="3C514692" w14:textId="77777777" w:rsidR="00554C52" w:rsidRPr="001F00CC" w:rsidRDefault="00554C52" w:rsidP="00863404">
            <w:pPr>
              <w:rPr>
                <w:rFonts w:eastAsia="Calibri"/>
                <w:sz w:val="20"/>
                <w:szCs w:val="20"/>
              </w:rPr>
            </w:pPr>
            <w:r w:rsidRPr="001F00CC">
              <w:rPr>
                <w:rFonts w:eastAsia="Calibri"/>
                <w:sz w:val="20"/>
                <w:szCs w:val="20"/>
              </w:rPr>
              <w:t>Gal</w:t>
            </w:r>
          </w:p>
          <w:p w14:paraId="150D2EE0" w14:textId="77777777" w:rsidR="00554C52" w:rsidRPr="001F00CC" w:rsidRDefault="00554C52" w:rsidP="00863404">
            <w:pPr>
              <w:rPr>
                <w:rFonts w:eastAsia="Calibri"/>
                <w:sz w:val="20"/>
                <w:szCs w:val="20"/>
              </w:rPr>
            </w:pPr>
          </w:p>
          <w:p w14:paraId="35CC0711" w14:textId="77777777" w:rsidR="00554C52" w:rsidRPr="001F00CC" w:rsidRDefault="00554C52" w:rsidP="00863404">
            <w:pPr>
              <w:rPr>
                <w:rFonts w:eastAsia="Calibri"/>
                <w:sz w:val="20"/>
                <w:szCs w:val="20"/>
              </w:rPr>
            </w:pPr>
          </w:p>
        </w:tc>
        <w:tc>
          <w:tcPr>
            <w:tcW w:w="567" w:type="dxa"/>
          </w:tcPr>
          <w:p w14:paraId="6F37D9C9" w14:textId="77777777" w:rsidR="00554C52" w:rsidRPr="001F00CC" w:rsidRDefault="00554C52" w:rsidP="00863404">
            <w:pPr>
              <w:rPr>
                <w:rFonts w:eastAsia="Calibri"/>
                <w:sz w:val="20"/>
                <w:szCs w:val="20"/>
              </w:rPr>
            </w:pPr>
            <w:r w:rsidRPr="001F00CC">
              <w:rPr>
                <w:rFonts w:eastAsia="Calibri"/>
                <w:sz w:val="20"/>
                <w:szCs w:val="20"/>
              </w:rPr>
              <w:t>Cat</w:t>
            </w:r>
          </w:p>
          <w:p w14:paraId="4CAAE037" w14:textId="77777777" w:rsidR="00554C52" w:rsidRPr="001F00CC" w:rsidRDefault="00554C52" w:rsidP="00863404">
            <w:pPr>
              <w:rPr>
                <w:rFonts w:eastAsia="Calibri"/>
                <w:sz w:val="20"/>
                <w:szCs w:val="20"/>
              </w:rPr>
            </w:pPr>
          </w:p>
        </w:tc>
        <w:tc>
          <w:tcPr>
            <w:tcW w:w="1134" w:type="dxa"/>
            <w:vMerge/>
          </w:tcPr>
          <w:p w14:paraId="526882E8" w14:textId="77777777" w:rsidR="00554C52" w:rsidRPr="001F00CC" w:rsidRDefault="00554C52" w:rsidP="00863404">
            <w:pPr>
              <w:rPr>
                <w:rFonts w:eastAsia="Calibri"/>
                <w:sz w:val="20"/>
                <w:szCs w:val="20"/>
              </w:rPr>
            </w:pPr>
          </w:p>
        </w:tc>
        <w:tc>
          <w:tcPr>
            <w:tcW w:w="1276" w:type="dxa"/>
            <w:vMerge/>
          </w:tcPr>
          <w:p w14:paraId="0E72F1D3" w14:textId="77777777" w:rsidR="00554C52" w:rsidRPr="001F00CC" w:rsidRDefault="00554C52" w:rsidP="00863404">
            <w:pPr>
              <w:rPr>
                <w:rFonts w:eastAsia="Calibri"/>
                <w:sz w:val="20"/>
                <w:szCs w:val="20"/>
              </w:rPr>
            </w:pPr>
          </w:p>
        </w:tc>
        <w:tc>
          <w:tcPr>
            <w:tcW w:w="708" w:type="dxa"/>
          </w:tcPr>
          <w:p w14:paraId="6AB3E293" w14:textId="77777777" w:rsidR="00554C52" w:rsidRPr="001F00CC" w:rsidRDefault="00554C52" w:rsidP="00863404">
            <w:pPr>
              <w:rPr>
                <w:rFonts w:eastAsia="Calibri"/>
                <w:sz w:val="20"/>
                <w:szCs w:val="20"/>
              </w:rPr>
            </w:pPr>
            <w:r w:rsidRPr="001F00CC">
              <w:rPr>
                <w:rFonts w:eastAsia="Calibri"/>
                <w:sz w:val="20"/>
                <w:szCs w:val="20"/>
              </w:rPr>
              <w:t xml:space="preserve">  D</w:t>
            </w:r>
          </w:p>
          <w:p w14:paraId="120800B7" w14:textId="77777777" w:rsidR="00554C52" w:rsidRPr="001F00CC" w:rsidRDefault="00554C52" w:rsidP="00863404">
            <w:pPr>
              <w:rPr>
                <w:rFonts w:eastAsia="Calibri"/>
                <w:sz w:val="20"/>
                <w:szCs w:val="20"/>
              </w:rPr>
            </w:pPr>
          </w:p>
          <w:p w14:paraId="581021C1" w14:textId="77777777" w:rsidR="00554C52" w:rsidRPr="001F00CC" w:rsidRDefault="00554C52" w:rsidP="00863404">
            <w:pPr>
              <w:rPr>
                <w:rFonts w:eastAsia="Calibri"/>
                <w:sz w:val="20"/>
                <w:szCs w:val="20"/>
              </w:rPr>
            </w:pPr>
          </w:p>
        </w:tc>
        <w:tc>
          <w:tcPr>
            <w:tcW w:w="567" w:type="dxa"/>
          </w:tcPr>
          <w:p w14:paraId="7DEBC892" w14:textId="77777777" w:rsidR="00554C52" w:rsidRPr="001F00CC" w:rsidRDefault="00554C52" w:rsidP="00863404">
            <w:pPr>
              <w:rPr>
                <w:rFonts w:eastAsia="Calibri"/>
                <w:sz w:val="20"/>
                <w:szCs w:val="20"/>
              </w:rPr>
            </w:pPr>
            <w:r w:rsidRPr="001F00CC">
              <w:rPr>
                <w:rFonts w:eastAsia="Calibri"/>
                <w:sz w:val="20"/>
                <w:szCs w:val="20"/>
              </w:rPr>
              <w:t>B</w:t>
            </w:r>
          </w:p>
          <w:p w14:paraId="597A729D" w14:textId="77777777" w:rsidR="00554C52" w:rsidRPr="001F00CC" w:rsidRDefault="00554C52" w:rsidP="00863404">
            <w:pPr>
              <w:rPr>
                <w:rFonts w:eastAsia="Calibri"/>
                <w:sz w:val="20"/>
                <w:szCs w:val="20"/>
              </w:rPr>
            </w:pPr>
          </w:p>
          <w:p w14:paraId="498BC854" w14:textId="77777777" w:rsidR="00554C52" w:rsidRPr="001F00CC" w:rsidRDefault="00554C52" w:rsidP="00863404">
            <w:pPr>
              <w:rPr>
                <w:rFonts w:eastAsia="Calibri"/>
                <w:sz w:val="20"/>
                <w:szCs w:val="20"/>
              </w:rPr>
            </w:pPr>
          </w:p>
        </w:tc>
      </w:tr>
      <w:tr w:rsidR="00554C52" w:rsidRPr="001F00CC" w14:paraId="5A7494D9" w14:textId="77777777" w:rsidTr="001F00CC">
        <w:trPr>
          <w:trHeight w:val="590"/>
        </w:trPr>
        <w:tc>
          <w:tcPr>
            <w:tcW w:w="2411" w:type="dxa"/>
          </w:tcPr>
          <w:p w14:paraId="61242677" w14:textId="77777777" w:rsidR="00554C52" w:rsidRPr="001F00CC" w:rsidRDefault="00554C52" w:rsidP="00863404">
            <w:pPr>
              <w:rPr>
                <w:rFonts w:eastAsia="Calibri"/>
                <w:b/>
                <w:sz w:val="20"/>
                <w:szCs w:val="20"/>
              </w:rPr>
            </w:pPr>
          </w:p>
          <w:p w14:paraId="42E48B15" w14:textId="701C17C9" w:rsidR="00554C52" w:rsidRPr="001F00CC" w:rsidRDefault="00554C52" w:rsidP="00863404">
            <w:pPr>
              <w:rPr>
                <w:rFonts w:eastAsia="Calibri"/>
                <w:b/>
                <w:sz w:val="20"/>
                <w:szCs w:val="20"/>
              </w:rPr>
            </w:pPr>
            <w:r w:rsidRPr="001F00CC">
              <w:rPr>
                <w:rFonts w:eastAsia="Calibri"/>
                <w:b/>
                <w:sz w:val="20"/>
                <w:szCs w:val="20"/>
              </w:rPr>
              <w:t xml:space="preserve">       TA</w:t>
            </w:r>
            <w:r w:rsidR="00AD540A" w:rsidRPr="001F00CC">
              <w:rPr>
                <w:rFonts w:eastAsia="Calibri"/>
                <w:b/>
                <w:sz w:val="20"/>
                <w:szCs w:val="20"/>
              </w:rPr>
              <w:t>E</w:t>
            </w:r>
          </w:p>
        </w:tc>
        <w:tc>
          <w:tcPr>
            <w:tcW w:w="1276" w:type="dxa"/>
          </w:tcPr>
          <w:p w14:paraId="54B87507" w14:textId="77777777" w:rsidR="00554C52" w:rsidRPr="001F00CC" w:rsidRDefault="00554C52" w:rsidP="00863404">
            <w:pPr>
              <w:rPr>
                <w:rFonts w:eastAsia="Calibri"/>
                <w:b/>
                <w:i/>
                <w:sz w:val="20"/>
                <w:szCs w:val="20"/>
              </w:rPr>
            </w:pPr>
          </w:p>
          <w:p w14:paraId="436E6390" w14:textId="77777777" w:rsidR="00554C52" w:rsidRPr="001F00CC" w:rsidRDefault="00554C52" w:rsidP="00863404">
            <w:pPr>
              <w:rPr>
                <w:rFonts w:eastAsia="Calibri"/>
                <w:b/>
                <w:sz w:val="20"/>
                <w:szCs w:val="20"/>
              </w:rPr>
            </w:pPr>
            <w:r w:rsidRPr="001F00CC">
              <w:rPr>
                <w:rFonts w:eastAsia="Calibri"/>
                <w:b/>
                <w:sz w:val="20"/>
                <w:szCs w:val="20"/>
              </w:rPr>
              <w:t>-</w:t>
            </w:r>
          </w:p>
        </w:tc>
        <w:tc>
          <w:tcPr>
            <w:tcW w:w="1417" w:type="dxa"/>
          </w:tcPr>
          <w:p w14:paraId="7CEE52DE" w14:textId="77777777" w:rsidR="00554C52" w:rsidRPr="001F00CC" w:rsidRDefault="00554C52" w:rsidP="00863404">
            <w:pPr>
              <w:rPr>
                <w:rFonts w:eastAsia="Calibri"/>
                <w:b/>
                <w:sz w:val="20"/>
                <w:szCs w:val="20"/>
              </w:rPr>
            </w:pPr>
          </w:p>
          <w:p w14:paraId="5DEDFA65" w14:textId="77777777" w:rsidR="00554C52" w:rsidRPr="001F00CC" w:rsidRDefault="00554C52" w:rsidP="00863404">
            <w:pPr>
              <w:rPr>
                <w:rFonts w:eastAsia="Calibri"/>
                <w:b/>
                <w:sz w:val="20"/>
                <w:szCs w:val="20"/>
              </w:rPr>
            </w:pPr>
            <w:r w:rsidRPr="001F00CC">
              <w:rPr>
                <w:rFonts w:eastAsia="Calibri"/>
                <w:b/>
                <w:sz w:val="20"/>
                <w:szCs w:val="20"/>
              </w:rPr>
              <w:t>-</w:t>
            </w:r>
          </w:p>
          <w:p w14:paraId="0DABD62D" w14:textId="77777777" w:rsidR="00554C52" w:rsidRPr="001F00CC" w:rsidRDefault="00554C52" w:rsidP="00863404">
            <w:pPr>
              <w:rPr>
                <w:rFonts w:eastAsia="Calibri"/>
                <w:b/>
                <w:sz w:val="20"/>
                <w:szCs w:val="20"/>
              </w:rPr>
            </w:pPr>
          </w:p>
        </w:tc>
        <w:tc>
          <w:tcPr>
            <w:tcW w:w="1276" w:type="dxa"/>
          </w:tcPr>
          <w:p w14:paraId="14443BE4" w14:textId="77777777" w:rsidR="00554C52" w:rsidRPr="001F00CC" w:rsidRDefault="00554C52" w:rsidP="00863404">
            <w:pPr>
              <w:rPr>
                <w:rFonts w:eastAsia="Calibri"/>
                <w:b/>
                <w:sz w:val="20"/>
                <w:szCs w:val="20"/>
              </w:rPr>
            </w:pPr>
          </w:p>
          <w:p w14:paraId="18BA4E81" w14:textId="05EFA525" w:rsidR="00554C52" w:rsidRPr="001F00CC" w:rsidRDefault="001F00CC" w:rsidP="00863404">
            <w:pPr>
              <w:rPr>
                <w:rFonts w:eastAsia="Calibri"/>
                <w:b/>
                <w:sz w:val="20"/>
                <w:szCs w:val="20"/>
              </w:rPr>
            </w:pPr>
            <w:r>
              <w:rPr>
                <w:rFonts w:eastAsia="Calibri"/>
                <w:b/>
                <w:sz w:val="20"/>
                <w:szCs w:val="20"/>
              </w:rPr>
              <w:t xml:space="preserve">     </w:t>
            </w:r>
            <w:r w:rsidR="00554C52" w:rsidRPr="001F00CC">
              <w:rPr>
                <w:rFonts w:eastAsia="Calibri"/>
                <w:b/>
                <w:sz w:val="20"/>
                <w:szCs w:val="20"/>
              </w:rPr>
              <w:t>+</w:t>
            </w:r>
          </w:p>
        </w:tc>
        <w:tc>
          <w:tcPr>
            <w:tcW w:w="567" w:type="dxa"/>
          </w:tcPr>
          <w:p w14:paraId="3E6278F0" w14:textId="77777777" w:rsidR="00554C52" w:rsidRPr="001F00CC" w:rsidRDefault="00554C52" w:rsidP="00863404">
            <w:pPr>
              <w:rPr>
                <w:rFonts w:eastAsia="Calibri"/>
                <w:b/>
                <w:sz w:val="20"/>
                <w:szCs w:val="20"/>
              </w:rPr>
            </w:pPr>
          </w:p>
          <w:p w14:paraId="62C6735D" w14:textId="77777777" w:rsidR="00554C52" w:rsidRPr="001F00CC" w:rsidRDefault="00554C52" w:rsidP="00863404">
            <w:pPr>
              <w:rPr>
                <w:rFonts w:eastAsia="Calibri"/>
                <w:b/>
                <w:sz w:val="20"/>
                <w:szCs w:val="20"/>
              </w:rPr>
            </w:pPr>
            <w:r w:rsidRPr="001F00CC">
              <w:rPr>
                <w:rFonts w:eastAsia="Calibri"/>
                <w:b/>
                <w:sz w:val="20"/>
                <w:szCs w:val="20"/>
              </w:rPr>
              <w:t>-</w:t>
            </w:r>
          </w:p>
        </w:tc>
        <w:tc>
          <w:tcPr>
            <w:tcW w:w="567" w:type="dxa"/>
          </w:tcPr>
          <w:p w14:paraId="7244B15D" w14:textId="77777777" w:rsidR="00554C52" w:rsidRPr="001F00CC" w:rsidRDefault="00554C52" w:rsidP="00863404">
            <w:pPr>
              <w:rPr>
                <w:rFonts w:eastAsia="Calibri"/>
                <w:b/>
                <w:sz w:val="20"/>
                <w:szCs w:val="20"/>
              </w:rPr>
            </w:pPr>
          </w:p>
          <w:p w14:paraId="50554348" w14:textId="190EEA12" w:rsidR="00554C52" w:rsidRPr="001F00CC" w:rsidRDefault="00554C52" w:rsidP="00863404">
            <w:pPr>
              <w:rPr>
                <w:rFonts w:eastAsia="Calibri"/>
                <w:b/>
                <w:sz w:val="20"/>
                <w:szCs w:val="20"/>
              </w:rPr>
            </w:pPr>
            <w:r w:rsidRPr="001F00CC">
              <w:rPr>
                <w:rFonts w:eastAsia="Calibri"/>
                <w:b/>
                <w:sz w:val="20"/>
                <w:szCs w:val="20"/>
              </w:rPr>
              <w:t>+</w:t>
            </w:r>
          </w:p>
        </w:tc>
        <w:tc>
          <w:tcPr>
            <w:tcW w:w="1134" w:type="dxa"/>
          </w:tcPr>
          <w:p w14:paraId="7202FCCA" w14:textId="77777777" w:rsidR="00554C52" w:rsidRPr="001F00CC" w:rsidRDefault="00554C52" w:rsidP="00863404">
            <w:pPr>
              <w:rPr>
                <w:rFonts w:eastAsia="Calibri"/>
                <w:b/>
                <w:sz w:val="20"/>
                <w:szCs w:val="20"/>
              </w:rPr>
            </w:pPr>
          </w:p>
          <w:p w14:paraId="77A8D734" w14:textId="77777777" w:rsidR="00554C52" w:rsidRPr="001F00CC" w:rsidRDefault="00554C52" w:rsidP="00863404">
            <w:pPr>
              <w:tabs>
                <w:tab w:val="left" w:pos="940"/>
              </w:tabs>
              <w:rPr>
                <w:rFonts w:eastAsia="Calibri"/>
                <w:b/>
                <w:sz w:val="20"/>
                <w:szCs w:val="20"/>
              </w:rPr>
            </w:pPr>
            <w:r w:rsidRPr="001F00CC">
              <w:rPr>
                <w:rFonts w:eastAsia="Calibri"/>
                <w:b/>
                <w:sz w:val="20"/>
                <w:szCs w:val="20"/>
              </w:rPr>
              <w:t>-</w:t>
            </w:r>
          </w:p>
        </w:tc>
        <w:tc>
          <w:tcPr>
            <w:tcW w:w="1276" w:type="dxa"/>
          </w:tcPr>
          <w:p w14:paraId="2354CF77" w14:textId="77777777" w:rsidR="00554C52" w:rsidRPr="001F00CC" w:rsidRDefault="00554C52" w:rsidP="00863404">
            <w:pPr>
              <w:rPr>
                <w:rFonts w:eastAsia="Calibri"/>
                <w:b/>
                <w:sz w:val="20"/>
                <w:szCs w:val="20"/>
              </w:rPr>
            </w:pPr>
          </w:p>
          <w:p w14:paraId="07A7DF87" w14:textId="77777777" w:rsidR="00554C52" w:rsidRPr="001F00CC" w:rsidRDefault="00554C52" w:rsidP="00863404">
            <w:pPr>
              <w:rPr>
                <w:rFonts w:eastAsia="Calibri"/>
                <w:b/>
                <w:sz w:val="20"/>
                <w:szCs w:val="20"/>
              </w:rPr>
            </w:pPr>
            <w:r w:rsidRPr="001F00CC">
              <w:rPr>
                <w:rFonts w:eastAsia="Calibri"/>
                <w:b/>
                <w:sz w:val="20"/>
                <w:szCs w:val="20"/>
              </w:rPr>
              <w:t>-</w:t>
            </w:r>
          </w:p>
        </w:tc>
        <w:tc>
          <w:tcPr>
            <w:tcW w:w="708" w:type="dxa"/>
          </w:tcPr>
          <w:p w14:paraId="4E36E29C" w14:textId="77777777" w:rsidR="00554C52" w:rsidRPr="001F00CC" w:rsidRDefault="00554C52" w:rsidP="00863404">
            <w:pPr>
              <w:rPr>
                <w:rFonts w:eastAsia="Calibri"/>
                <w:b/>
                <w:sz w:val="20"/>
                <w:szCs w:val="20"/>
              </w:rPr>
            </w:pPr>
          </w:p>
          <w:p w14:paraId="2AA046BA" w14:textId="77777777" w:rsidR="00554C52" w:rsidRPr="001F00CC" w:rsidRDefault="00554C52" w:rsidP="00863404">
            <w:pPr>
              <w:rPr>
                <w:rFonts w:eastAsia="Calibri"/>
                <w:b/>
                <w:sz w:val="20"/>
                <w:szCs w:val="20"/>
              </w:rPr>
            </w:pPr>
            <w:r w:rsidRPr="001F00CC">
              <w:rPr>
                <w:rFonts w:eastAsia="Calibri"/>
                <w:b/>
                <w:sz w:val="20"/>
                <w:szCs w:val="20"/>
              </w:rPr>
              <w:t>-</w:t>
            </w:r>
          </w:p>
        </w:tc>
        <w:tc>
          <w:tcPr>
            <w:tcW w:w="567" w:type="dxa"/>
          </w:tcPr>
          <w:p w14:paraId="61C60F0E" w14:textId="77777777" w:rsidR="00554C52" w:rsidRPr="001F00CC" w:rsidRDefault="00554C52" w:rsidP="00863404">
            <w:pPr>
              <w:rPr>
                <w:rFonts w:eastAsia="Calibri"/>
                <w:b/>
                <w:sz w:val="20"/>
                <w:szCs w:val="20"/>
              </w:rPr>
            </w:pPr>
          </w:p>
          <w:p w14:paraId="063C82DA" w14:textId="77777777" w:rsidR="00554C52" w:rsidRPr="001F00CC" w:rsidRDefault="00554C52" w:rsidP="00863404">
            <w:pPr>
              <w:rPr>
                <w:rFonts w:eastAsia="Calibri"/>
                <w:b/>
                <w:sz w:val="20"/>
                <w:szCs w:val="20"/>
              </w:rPr>
            </w:pPr>
            <w:r w:rsidRPr="001F00CC">
              <w:rPr>
                <w:rFonts w:eastAsia="Calibri"/>
                <w:b/>
                <w:sz w:val="20"/>
                <w:szCs w:val="20"/>
              </w:rPr>
              <w:t>-</w:t>
            </w:r>
          </w:p>
        </w:tc>
      </w:tr>
    </w:tbl>
    <w:p w14:paraId="6E1D3B3C" w14:textId="77777777" w:rsidR="00554C52" w:rsidRDefault="00554C52" w:rsidP="00C05A32">
      <w:pPr>
        <w:rPr>
          <w:b/>
          <w:bCs/>
        </w:rPr>
      </w:pPr>
    </w:p>
    <w:p w14:paraId="784C38F7" w14:textId="77777777" w:rsidR="00E626D1" w:rsidRPr="00E626D1" w:rsidRDefault="00E626D1" w:rsidP="00E626D1">
      <w:pPr>
        <w:rPr>
          <w:rFonts w:eastAsia="Calibri"/>
          <w:lang w:val="en-US"/>
        </w:rPr>
      </w:pPr>
      <w:r w:rsidRPr="00E626D1">
        <w:rPr>
          <w:rFonts w:eastAsia="Calibri"/>
          <w:lang w:val="en-US"/>
        </w:rPr>
        <w:t>(+): positive result</w:t>
      </w:r>
    </w:p>
    <w:p w14:paraId="2FF16548" w14:textId="019DBCBA" w:rsidR="00DC0CD9" w:rsidRPr="007904D5" w:rsidRDefault="00E626D1" w:rsidP="00C05A32">
      <w:pPr>
        <w:rPr>
          <w:rFonts w:eastAsia="Calibri"/>
          <w:lang w:val="en-US"/>
        </w:rPr>
      </w:pPr>
      <w:r w:rsidRPr="00E626D1">
        <w:rPr>
          <w:rFonts w:eastAsia="Calibri"/>
          <w:lang w:val="en-US"/>
        </w:rPr>
        <w:t>(-</w:t>
      </w:r>
      <w:proofErr w:type="gramStart"/>
      <w:r w:rsidRPr="00E626D1">
        <w:rPr>
          <w:rFonts w:eastAsia="Calibri"/>
          <w:lang w:val="en-US"/>
        </w:rPr>
        <w:t>) :</w:t>
      </w:r>
      <w:proofErr w:type="gramEnd"/>
      <w:r w:rsidRPr="00E626D1">
        <w:rPr>
          <w:rFonts w:eastAsia="Calibri"/>
          <w:lang w:val="en-US"/>
        </w:rPr>
        <w:t xml:space="preserve"> negative result </w:t>
      </w:r>
      <w:r w:rsidR="007904D5">
        <w:rPr>
          <w:rFonts w:eastAsia="Calibri"/>
          <w:lang w:val="en-US"/>
        </w:rPr>
        <w:t xml:space="preserve">; </w:t>
      </w:r>
      <w:r w:rsidR="006738F7" w:rsidRPr="00E626D1">
        <w:rPr>
          <w:rFonts w:eastAsia="Calibri"/>
          <w:b/>
          <w:lang w:val="en-US"/>
        </w:rPr>
        <w:t>N</w:t>
      </w:r>
      <w:r w:rsidR="006738F7">
        <w:rPr>
          <w:rFonts w:eastAsia="Calibri"/>
          <w:b/>
          <w:lang w:val="en-US"/>
        </w:rPr>
        <w:t xml:space="preserve">ote </w:t>
      </w:r>
      <w:r w:rsidR="006738F7" w:rsidRPr="00E626D1">
        <w:rPr>
          <w:rFonts w:eastAsia="Calibri"/>
          <w:b/>
          <w:lang w:val="en-US"/>
        </w:rPr>
        <w:t>:</w:t>
      </w:r>
      <w:r w:rsidR="00DC0CD9" w:rsidRPr="00E626D1">
        <w:rPr>
          <w:rFonts w:eastAsia="Calibri"/>
          <w:lang w:val="en-US"/>
        </w:rPr>
        <w:t xml:space="preserve"> Gal = galli</w:t>
      </w:r>
      <w:r>
        <w:rPr>
          <w:rFonts w:eastAsia="Calibri"/>
          <w:lang w:val="en-US"/>
        </w:rPr>
        <w:t>c</w:t>
      </w:r>
      <w:r w:rsidR="00DC0CD9" w:rsidRPr="00E626D1">
        <w:rPr>
          <w:rFonts w:eastAsia="Calibri"/>
          <w:lang w:val="en-US"/>
        </w:rPr>
        <w:t xml:space="preserve"> ; Cat = </w:t>
      </w:r>
      <w:proofErr w:type="spellStart"/>
      <w:r w:rsidR="00DC0CD9" w:rsidRPr="00E626D1">
        <w:rPr>
          <w:rFonts w:eastAsia="Calibri"/>
          <w:lang w:val="en-US"/>
        </w:rPr>
        <w:t>catéchi</w:t>
      </w:r>
      <w:r>
        <w:rPr>
          <w:rFonts w:eastAsia="Calibri"/>
          <w:lang w:val="en-US"/>
        </w:rPr>
        <w:t>c</w:t>
      </w:r>
      <w:proofErr w:type="spellEnd"/>
      <w:r w:rsidR="00DC0CD9" w:rsidRPr="00E626D1">
        <w:rPr>
          <w:rFonts w:eastAsia="Calibri"/>
          <w:lang w:val="en-US"/>
        </w:rPr>
        <w:t xml:space="preserve"> ; D = </w:t>
      </w:r>
      <w:proofErr w:type="spellStart"/>
      <w:r w:rsidR="00DC0CD9" w:rsidRPr="00E626D1">
        <w:rPr>
          <w:rFonts w:eastAsia="Calibri"/>
          <w:lang w:val="en-US"/>
        </w:rPr>
        <w:t>Dragendorff</w:t>
      </w:r>
      <w:proofErr w:type="spellEnd"/>
      <w:r w:rsidR="00DC0CD9" w:rsidRPr="00E626D1">
        <w:rPr>
          <w:rFonts w:eastAsia="Calibri"/>
          <w:lang w:val="en-US"/>
        </w:rPr>
        <w:t> ; B = Burchard</w:t>
      </w:r>
    </w:p>
    <w:p w14:paraId="7689B3C2" w14:textId="77777777" w:rsidR="00E626D1" w:rsidRPr="006738F7" w:rsidRDefault="00E626D1" w:rsidP="00DC0CD9">
      <w:pPr>
        <w:spacing w:line="360" w:lineRule="auto"/>
        <w:jc w:val="both"/>
        <w:rPr>
          <w:rFonts w:eastAsia="Calibri"/>
          <w:b/>
          <w:lang w:val="en-US"/>
        </w:rPr>
      </w:pPr>
    </w:p>
    <w:p w14:paraId="64429948" w14:textId="69FF3B51" w:rsidR="004D6C4F" w:rsidRPr="004D6C4F" w:rsidRDefault="004D6C4F" w:rsidP="004D6C4F">
      <w:pPr>
        <w:spacing w:line="360" w:lineRule="auto"/>
        <w:rPr>
          <w:rFonts w:eastAsia="Calibri"/>
          <w:b/>
          <w:lang w:val="en-US"/>
        </w:rPr>
      </w:pPr>
      <w:r w:rsidRPr="004D6C4F">
        <w:rPr>
          <w:rFonts w:eastAsia="Calibri"/>
          <w:b/>
          <w:lang w:val="en-US"/>
        </w:rPr>
        <w:t>V- 1-3 - 1 - Dose-response effect of the aqueous extract on total white blood cells (WBC) over time </w:t>
      </w:r>
    </w:p>
    <w:p w14:paraId="764BF77F" w14:textId="77777777" w:rsidR="004D6C4F" w:rsidRPr="004D6C4F" w:rsidRDefault="004D6C4F" w:rsidP="004D6C4F">
      <w:pPr>
        <w:spacing w:line="360" w:lineRule="auto"/>
        <w:jc w:val="both"/>
        <w:rPr>
          <w:rFonts w:eastAsia="Calibri"/>
          <w:bCs/>
          <w:lang w:val="en-US"/>
        </w:rPr>
      </w:pPr>
      <w:r w:rsidRPr="004D6C4F">
        <w:rPr>
          <w:rFonts w:eastAsia="Calibri"/>
          <w:bCs/>
          <w:lang w:val="en-US"/>
        </w:rPr>
        <w:lastRenderedPageBreak/>
        <w:t>The values observed indicate that after injecting the AWE, the total number of white blood cells underwent several variations (Figure 2). With a concentration of 25 mg/mL, from D0 to D8, the number of white blood cells increased from 5.9 x 109/L (D0) to 10.6 x 109/L (D2). This represents an increase of 4.7 x 109 cells/L. On D3, this number decreased compared to D2, but remained high compared to D0, with a value of 8.8 x 109/L, representing an increase of 2.9 x 109/L. Finally, on D8, the number of white blood cells fell from 8.8 x 109/L on D3 to 7.7 x 109/L, a decrease of 1.1 x 109/L. Thus, a peak increase was observed with this concentration (25 mg/mL) on D2 with a maximum value of 10.6 × 10⁹/L, followed by a gradual decrease until D8 with a value of 7.7 × 10⁹/L (Figure 2).</w:t>
      </w:r>
    </w:p>
    <w:p w14:paraId="5B62C73C" w14:textId="77777777" w:rsidR="004D6C4F" w:rsidRPr="004D6C4F" w:rsidRDefault="004D6C4F" w:rsidP="004D6C4F">
      <w:pPr>
        <w:spacing w:line="360" w:lineRule="auto"/>
        <w:jc w:val="both"/>
        <w:rPr>
          <w:rFonts w:eastAsia="Calibri"/>
          <w:bCs/>
          <w:lang w:val="en-US"/>
        </w:rPr>
      </w:pPr>
      <w:r w:rsidRPr="004D6C4F">
        <w:rPr>
          <w:rFonts w:eastAsia="Calibri"/>
          <w:bCs/>
          <w:lang w:val="en-US"/>
        </w:rPr>
        <w:t>For concentrations of 5mg/mL and 15 mg/mL, a sawtooth increase in the number of white blood cells was also observed from D0 to D8. </w:t>
      </w:r>
    </w:p>
    <w:p w14:paraId="77822BA0" w14:textId="77777777" w:rsidR="004D6C4F" w:rsidRPr="004D6C4F" w:rsidRDefault="004D6C4F" w:rsidP="004D6C4F">
      <w:pPr>
        <w:spacing w:line="360" w:lineRule="auto"/>
        <w:jc w:val="both"/>
        <w:rPr>
          <w:rFonts w:eastAsia="Calibri"/>
          <w:bCs/>
          <w:lang w:val="en-US"/>
        </w:rPr>
      </w:pPr>
      <w:r w:rsidRPr="004D6C4F">
        <w:rPr>
          <w:rFonts w:eastAsia="Calibri"/>
          <w:bCs/>
          <w:lang w:val="en-US"/>
        </w:rPr>
        <w:t>With the 5 mg/mL concentration, the cell count rose from 5.4 × 10⁹/L to 7.4 × 10⁹/L on Day 2, an increase of 2 × 10⁹/L. This value rose to 5.9 × 10⁹/L on Day 3 and 6.2 on Day 8. This represents an increase of 1.5 × 109/L on day 3 and 0.3 × 109/L on day 8, in contrast to batch 25, which showed a gradual decrease from day 2 to day 8. </w:t>
      </w:r>
    </w:p>
    <w:p w14:paraId="7632B8BB" w14:textId="1B5DEEA2" w:rsidR="004D6C4F" w:rsidRPr="004D6C4F" w:rsidRDefault="004D6C4F" w:rsidP="007904D5">
      <w:pPr>
        <w:spacing w:line="360" w:lineRule="auto"/>
        <w:jc w:val="both"/>
        <w:rPr>
          <w:rFonts w:eastAsia="Calibri"/>
          <w:bCs/>
          <w:lang w:val="en-US"/>
        </w:rPr>
      </w:pPr>
      <w:r w:rsidRPr="004D6C4F">
        <w:rPr>
          <w:rFonts w:eastAsia="Calibri"/>
          <w:bCs/>
          <w:lang w:val="en-US"/>
        </w:rPr>
        <w:t>For the batch that received the 15 mg/mL concentration, the observation is the same as for the two previous batches. It went from 5.6 × 10⁹/L (D0) to 6.9 × 10⁹/L (D2), an increase of 1.3 × 10⁹/L. On D3, it rose from 5.3 x 109/L to 7.1 x 109/L (D8), an increase of 1.8 x 109/L. However, this number increased by 5.8 x 109/L on D8. In summary, the white blood cell count remained high compared to D0 for the three groups of rabbits that received the extract. However, a gradual and slight decrease was observed between D2 and D3, followed by an increase up to D8 that was roughly equal to the initial value at D0 for the control group that received only NaCl. </w:t>
      </w:r>
    </w:p>
    <w:p w14:paraId="12E5D91E" w14:textId="77777777" w:rsidR="004D6C4F" w:rsidRPr="004D6C4F" w:rsidRDefault="004D6C4F" w:rsidP="004D6C4F">
      <w:pPr>
        <w:rPr>
          <w:rFonts w:eastAsia="Calibri"/>
          <w:b/>
          <w:lang w:val="en-US"/>
        </w:rPr>
      </w:pPr>
    </w:p>
    <w:p w14:paraId="37861A05" w14:textId="77777777" w:rsidR="00913F65" w:rsidRDefault="00913F65" w:rsidP="00913F65">
      <w:pPr>
        <w:rPr>
          <w:noProof/>
        </w:rPr>
      </w:pPr>
      <w:r>
        <w:rPr>
          <w:noProof/>
        </w:rPr>
        <w:lastRenderedPageBreak/>
        <w:drawing>
          <wp:inline distT="0" distB="0" distL="0" distR="0" wp14:anchorId="7265E7EB" wp14:editId="79557C9B">
            <wp:extent cx="5760720" cy="3302000"/>
            <wp:effectExtent l="0" t="0" r="17780" b="1270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D69C38" w14:textId="77777777" w:rsidR="001313B8" w:rsidRDefault="001313B8" w:rsidP="001313B8">
      <w:pPr>
        <w:pStyle w:val="NormalWeb"/>
        <w:rPr>
          <w:rStyle w:val="apple-converted-space"/>
          <w:rFonts w:eastAsiaTheme="majorEastAsia"/>
          <w:color w:val="000000"/>
          <w:lang w:val="en-US"/>
        </w:rPr>
      </w:pPr>
      <w:r w:rsidRPr="001313B8">
        <w:rPr>
          <w:b/>
          <w:bCs/>
          <w:color w:val="000000"/>
          <w:lang w:val="en-US"/>
        </w:rPr>
        <w:t>Figure 2:</w:t>
      </w:r>
      <w:r w:rsidRPr="001313B8">
        <w:rPr>
          <w:color w:val="000000"/>
          <w:lang w:val="en-US"/>
        </w:rPr>
        <w:t xml:space="preserve"> Dose-response effect of the aqueous extract on total white blood cells (WBC) over time (x 10⁹ cells/L)</w:t>
      </w:r>
      <w:r w:rsidRPr="001313B8">
        <w:rPr>
          <w:rStyle w:val="apple-converted-space"/>
          <w:rFonts w:eastAsiaTheme="majorEastAsia"/>
          <w:color w:val="000000"/>
          <w:lang w:val="en-US"/>
        </w:rPr>
        <w:t> </w:t>
      </w:r>
    </w:p>
    <w:p w14:paraId="46139C03" w14:textId="77777777" w:rsidR="00DE27A4" w:rsidRPr="001313B8" w:rsidRDefault="00DE27A4" w:rsidP="001313B8">
      <w:pPr>
        <w:pStyle w:val="NormalWeb"/>
        <w:rPr>
          <w:color w:val="000000"/>
          <w:lang w:val="en-US"/>
        </w:rPr>
      </w:pPr>
    </w:p>
    <w:p w14:paraId="381B2204" w14:textId="77777777" w:rsidR="00DE27A4" w:rsidRPr="00DE27A4" w:rsidRDefault="00DE27A4" w:rsidP="00DE27A4">
      <w:pPr>
        <w:spacing w:line="360" w:lineRule="auto"/>
        <w:jc w:val="both"/>
        <w:rPr>
          <w:rFonts w:eastAsia="Calibri"/>
          <w:b/>
          <w:lang w:val="en-US"/>
        </w:rPr>
      </w:pPr>
      <w:r w:rsidRPr="00DE27A4">
        <w:rPr>
          <w:rFonts w:eastAsia="Calibri"/>
          <w:b/>
          <w:lang w:val="en-US"/>
        </w:rPr>
        <w:t>V- 1-3 -2 - Dose-response effect of ETA on total lymphocytes (Ly) over time </w:t>
      </w:r>
    </w:p>
    <w:p w14:paraId="4325C361" w14:textId="7D988621" w:rsidR="00DE27A4" w:rsidRPr="00DE27A4" w:rsidRDefault="00DE27A4" w:rsidP="00DE27A4">
      <w:pPr>
        <w:spacing w:line="360" w:lineRule="auto"/>
        <w:jc w:val="both"/>
        <w:rPr>
          <w:rFonts w:eastAsia="Calibri"/>
          <w:bCs/>
          <w:lang w:val="en-US"/>
        </w:rPr>
      </w:pPr>
      <w:r w:rsidRPr="00DE27A4">
        <w:rPr>
          <w:rFonts w:eastAsia="Calibri"/>
          <w:bCs/>
          <w:lang w:val="en-US"/>
        </w:rPr>
        <w:t xml:space="preserve">The injection of increasing doses of the aqueous extract of Sargassum </w:t>
      </w:r>
      <w:proofErr w:type="spellStart"/>
      <w:r w:rsidRPr="00DE27A4">
        <w:rPr>
          <w:rFonts w:eastAsia="Calibri"/>
          <w:bCs/>
          <w:lang w:val="en-US"/>
        </w:rPr>
        <w:t>fluitans</w:t>
      </w:r>
      <w:proofErr w:type="spellEnd"/>
      <w:r w:rsidRPr="00DE27A4">
        <w:rPr>
          <w:rFonts w:eastAsia="Calibri"/>
          <w:bCs/>
          <w:lang w:val="en-US"/>
        </w:rPr>
        <w:t xml:space="preserve"> into rabbits showed that, except for batch 25, the concentrations used induced a decrease in total lymphocytes for all batches from D0 to D2 (Figure 3). With batches 15 and 05, a decrease in cell number was observed between D0 and D2, unlike batch 25, where an increase was observed. Subsequently, the number in batch 25 gradually decreased from D3 to D8, representing a difference of 2.5 x 109 cells. However, a peak was observed with this concentration on D3, with a maximum value of 3.9 x 109. Between D2 and D8, an increase in the number of LYs was observed in batches 15 and 5. Batch 15 increased from 0.8 x 10⁹ (D2) to 1.8 x 10⁹ (D3) and 1.6 x 10⁹ cells/L on D8. Batch 5, evolving at the same rate as the previous batch, increased from 0.8 × 10⁹ (D2) to 1.9 × 10⁹ (D3) with a difference of 1.1 × 10⁹ cells/L. This value increased to 1.3 × 10⁹ on D8. It should be noted that the control batch is progressing at the same rate as the two previous batches, although the numerical values are relatively different. It can be seen that the 25mg/mL concentration remains the best for lymphocyte stimulation.</w:t>
      </w:r>
    </w:p>
    <w:p w14:paraId="3C232852" w14:textId="77777777" w:rsidR="00A81558" w:rsidRPr="00DE27A4" w:rsidRDefault="00A81558" w:rsidP="00A81558">
      <w:pPr>
        <w:spacing w:line="360" w:lineRule="auto"/>
        <w:jc w:val="both"/>
        <w:rPr>
          <w:rFonts w:eastAsia="Calibri"/>
          <w:b/>
          <w:lang w:val="en-US"/>
        </w:rPr>
      </w:pPr>
    </w:p>
    <w:p w14:paraId="2BCEA509" w14:textId="77777777" w:rsidR="00A81558" w:rsidRDefault="00A81558" w:rsidP="00A81558">
      <w:pPr>
        <w:spacing w:line="360" w:lineRule="auto"/>
        <w:jc w:val="both"/>
        <w:rPr>
          <w:rFonts w:eastAsia="Calibri"/>
          <w:b/>
        </w:rPr>
      </w:pPr>
      <w:r>
        <w:rPr>
          <w:noProof/>
        </w:rPr>
        <w:lastRenderedPageBreak/>
        <w:drawing>
          <wp:inline distT="0" distB="0" distL="0" distR="0" wp14:anchorId="19B9C4E9" wp14:editId="66AB0483">
            <wp:extent cx="5760720" cy="3178412"/>
            <wp:effectExtent l="0" t="0" r="17780" b="952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029653" w14:textId="139E5B35" w:rsidR="003843CA" w:rsidRPr="003843CA" w:rsidRDefault="003843CA" w:rsidP="003843CA">
      <w:pPr>
        <w:spacing w:line="276" w:lineRule="auto"/>
        <w:jc w:val="both"/>
        <w:rPr>
          <w:rFonts w:eastAsia="Calibri"/>
          <w:bCs/>
          <w:lang w:val="en-US"/>
        </w:rPr>
      </w:pPr>
      <w:r w:rsidRPr="003843CA">
        <w:rPr>
          <w:rFonts w:eastAsia="Calibri"/>
          <w:b/>
          <w:lang w:val="en-US"/>
        </w:rPr>
        <w:t xml:space="preserve">Figure 3: </w:t>
      </w:r>
      <w:r w:rsidRPr="003843CA">
        <w:rPr>
          <w:rFonts w:eastAsia="Calibri"/>
          <w:bCs/>
          <w:lang w:val="en-US"/>
        </w:rPr>
        <w:t>Dose-response effect of ETA on total lymphocytes (Ly) over time (x 109 cells/L) </w:t>
      </w:r>
    </w:p>
    <w:p w14:paraId="1E4DAB39" w14:textId="77777777" w:rsidR="003843CA" w:rsidRPr="003843CA" w:rsidRDefault="003843CA" w:rsidP="003843CA">
      <w:pPr>
        <w:spacing w:line="360" w:lineRule="auto"/>
        <w:jc w:val="both"/>
        <w:rPr>
          <w:rFonts w:eastAsia="Calibri"/>
          <w:b/>
          <w:lang w:val="en-US"/>
        </w:rPr>
      </w:pPr>
    </w:p>
    <w:p w14:paraId="19CB2C73" w14:textId="77777777" w:rsidR="00653B1D" w:rsidRPr="00653B1D" w:rsidRDefault="00653B1D" w:rsidP="00653B1D">
      <w:pPr>
        <w:spacing w:line="360" w:lineRule="auto"/>
        <w:rPr>
          <w:rFonts w:eastAsia="Calibri"/>
          <w:b/>
          <w:lang w:val="en-US"/>
        </w:rPr>
      </w:pPr>
      <w:r w:rsidRPr="00653B1D">
        <w:rPr>
          <w:rFonts w:eastAsia="Calibri"/>
          <w:b/>
          <w:lang w:val="en-US"/>
        </w:rPr>
        <w:t>I - 3 - 3 - Dose-response effects of ETA on neutrophil (Ne) cells over time </w:t>
      </w:r>
    </w:p>
    <w:p w14:paraId="2274FB71" w14:textId="77777777" w:rsidR="00653B1D" w:rsidRPr="00653B1D" w:rsidRDefault="00653B1D" w:rsidP="00653B1D">
      <w:pPr>
        <w:spacing w:line="360" w:lineRule="auto"/>
        <w:jc w:val="both"/>
        <w:rPr>
          <w:rFonts w:eastAsia="Calibri"/>
          <w:bCs/>
          <w:lang w:val="en-US"/>
        </w:rPr>
      </w:pPr>
      <w:r w:rsidRPr="00653B1D">
        <w:rPr>
          <w:rFonts w:eastAsia="Calibri"/>
          <w:bCs/>
          <w:lang w:val="en-US"/>
        </w:rPr>
        <w:t xml:space="preserve">After injection of the different doses of ETA, an increase in the total number of neutrophils (Ne) was observed in all rabbit groups from D0 to D2 and from D3 to D8. However, a decrease in </w:t>
      </w:r>
      <w:proofErr w:type="spellStart"/>
      <w:r w:rsidRPr="00653B1D">
        <w:rPr>
          <w:rFonts w:eastAsia="Calibri"/>
          <w:bCs/>
          <w:lang w:val="en-US"/>
        </w:rPr>
        <w:t>Ne</w:t>
      </w:r>
      <w:proofErr w:type="spellEnd"/>
      <w:r w:rsidRPr="00653B1D">
        <w:rPr>
          <w:rFonts w:eastAsia="Calibri"/>
          <w:bCs/>
          <w:lang w:val="en-US"/>
        </w:rPr>
        <w:t xml:space="preserve"> was observed between D2 and D3 in all groups. With the 5 mg/mL dose, the number of Ne in group 5 increased by 3.1 x 109 cells, from 2.1 x 109 (D0) to 5.2 x 109 cells/L (D2). This rate decreased by 3.109 cells between D2 and D3. From D3 onwards, the number of Ne cells increased again from 2.2 x 109 to 3.7 x 109, an increase of 1.5 x 109 cells/L.</w:t>
      </w:r>
    </w:p>
    <w:p w14:paraId="7CDED259" w14:textId="77777777" w:rsidR="00653B1D" w:rsidRPr="00653B1D" w:rsidRDefault="00653B1D" w:rsidP="00653B1D">
      <w:pPr>
        <w:spacing w:line="360" w:lineRule="auto"/>
        <w:jc w:val="both"/>
        <w:rPr>
          <w:rFonts w:eastAsia="Calibri"/>
          <w:bCs/>
          <w:lang w:val="en-US"/>
        </w:rPr>
      </w:pPr>
      <w:r w:rsidRPr="00653B1D">
        <w:rPr>
          <w:rFonts w:eastAsia="Calibri"/>
          <w:bCs/>
          <w:lang w:val="en-US"/>
        </w:rPr>
        <w:t>For batch 15, which received a dose of 15 mg/mL, the change in the number of Ne cells is almost similar to that of batch 5 (Figure 4). From D0 to D2, there was an increase of 2.4 x 109 cells, from D2 to D3, there was a decrease of 2.5 x 109 cells/L, and between D3 and D8, an increase of 2.3 x 109 cells/L was noted. </w:t>
      </w:r>
    </w:p>
    <w:p w14:paraId="153747BF" w14:textId="5F5E9E0E" w:rsidR="00653B1D" w:rsidRPr="00653B1D" w:rsidRDefault="00653B1D" w:rsidP="007904D5">
      <w:pPr>
        <w:spacing w:line="360" w:lineRule="auto"/>
        <w:jc w:val="both"/>
        <w:rPr>
          <w:rFonts w:eastAsia="Calibri"/>
          <w:bCs/>
          <w:lang w:val="en-US"/>
        </w:rPr>
      </w:pPr>
      <w:r w:rsidRPr="00653B1D">
        <w:rPr>
          <w:rFonts w:eastAsia="Calibri"/>
          <w:bCs/>
          <w:lang w:val="en-US"/>
        </w:rPr>
        <w:t>As for batch 25, there was an increase from 2.7 x 109 (D0) to 4.8 x 109, representing an increase of 2.1 x 109 cells/L, followed by a decrease of 2.2 x 109 cells/L on D0. This decrease on D3 was followed, as in all other batches, by an increase from 2.6 × 10⁹ to 5.3 × 10⁹ cells, representing an increase of 2.7 × 10⁹ cells/L. This value was the highest among all batches. The Ne cells in the control batch evolved at the same rate as all other batches, but with relatively low values. </w:t>
      </w:r>
    </w:p>
    <w:p w14:paraId="04C81D58" w14:textId="77777777" w:rsidR="00653B1D" w:rsidRPr="00653B1D" w:rsidRDefault="00653B1D" w:rsidP="00653B1D">
      <w:pPr>
        <w:spacing w:line="360" w:lineRule="auto"/>
        <w:rPr>
          <w:rFonts w:eastAsia="Calibri"/>
          <w:b/>
          <w:lang w:val="en-US"/>
        </w:rPr>
      </w:pPr>
    </w:p>
    <w:p w14:paraId="5AE9D7EF" w14:textId="77777777" w:rsidR="00503678" w:rsidRDefault="00503678" w:rsidP="00503678">
      <w:pPr>
        <w:spacing w:line="360" w:lineRule="auto"/>
        <w:rPr>
          <w:rFonts w:eastAsia="Calibri"/>
          <w:b/>
        </w:rPr>
      </w:pPr>
      <w:r>
        <w:rPr>
          <w:noProof/>
        </w:rPr>
        <w:lastRenderedPageBreak/>
        <w:drawing>
          <wp:inline distT="0" distB="0" distL="0" distR="0" wp14:anchorId="5721334D" wp14:editId="386DB7B6">
            <wp:extent cx="6121861" cy="2876550"/>
            <wp:effectExtent l="0" t="0" r="12700" b="635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0DDFBD" w14:textId="77777777" w:rsidR="00503678" w:rsidRDefault="00503678" w:rsidP="00503678">
      <w:pPr>
        <w:tabs>
          <w:tab w:val="left" w:pos="1820"/>
        </w:tabs>
        <w:rPr>
          <w:rFonts w:eastAsia="Calibri"/>
          <w:b/>
        </w:rPr>
      </w:pPr>
    </w:p>
    <w:p w14:paraId="7CE5B2B6" w14:textId="77777777" w:rsidR="00E16484" w:rsidRPr="00E16484" w:rsidRDefault="00E16484" w:rsidP="00E16484">
      <w:pPr>
        <w:spacing w:line="360" w:lineRule="auto"/>
        <w:jc w:val="both"/>
        <w:rPr>
          <w:rFonts w:eastAsia="Calibri"/>
          <w:b/>
          <w:lang w:val="en-US"/>
        </w:rPr>
      </w:pPr>
      <w:r w:rsidRPr="00E16484">
        <w:rPr>
          <w:rFonts w:eastAsia="Calibri"/>
          <w:b/>
          <w:lang w:val="en-US"/>
        </w:rPr>
        <w:t>Figure 4:</w:t>
      </w:r>
      <w:r w:rsidRPr="00E16484">
        <w:rPr>
          <w:rFonts w:eastAsia="Calibri"/>
          <w:bCs/>
          <w:lang w:val="en-US"/>
        </w:rPr>
        <w:t xml:space="preserve"> Dose-response effects of ETA on neutrophil cells (Ne) over time (x 10⁹ cells/L)</w:t>
      </w:r>
    </w:p>
    <w:p w14:paraId="3D7AEC6E" w14:textId="77777777" w:rsidR="00A81558" w:rsidRPr="00E16484" w:rsidRDefault="00A81558" w:rsidP="00A81558">
      <w:pPr>
        <w:spacing w:line="360" w:lineRule="auto"/>
        <w:jc w:val="both"/>
        <w:rPr>
          <w:rFonts w:eastAsia="Calibri"/>
          <w:sz w:val="12"/>
          <w:lang w:val="en-US"/>
        </w:rPr>
      </w:pPr>
    </w:p>
    <w:p w14:paraId="237C7A87" w14:textId="77777777" w:rsidR="00E16484" w:rsidRPr="00E16484" w:rsidRDefault="00E16484" w:rsidP="00E16484">
      <w:pPr>
        <w:spacing w:line="360" w:lineRule="auto"/>
        <w:rPr>
          <w:rFonts w:eastAsia="Calibri"/>
          <w:b/>
          <w:lang w:val="en-US"/>
        </w:rPr>
      </w:pPr>
      <w:r w:rsidRPr="00E16484">
        <w:rPr>
          <w:rFonts w:eastAsia="Calibri"/>
          <w:b/>
          <w:lang w:val="en-US"/>
        </w:rPr>
        <w:t>V- 1-3-3 - Change in the number of white blood cells (WBC) and lymphocytes (Ly) in batch 25 over time</w:t>
      </w:r>
    </w:p>
    <w:p w14:paraId="79754C5B" w14:textId="77777777" w:rsidR="00E16484" w:rsidRPr="00E16484" w:rsidRDefault="00E16484" w:rsidP="00E16484">
      <w:pPr>
        <w:spacing w:line="360" w:lineRule="auto"/>
        <w:jc w:val="both"/>
        <w:rPr>
          <w:rFonts w:eastAsia="Calibri"/>
          <w:bCs/>
          <w:lang w:val="en-US"/>
        </w:rPr>
      </w:pPr>
      <w:r w:rsidRPr="00E16484">
        <w:rPr>
          <w:rFonts w:eastAsia="Calibri"/>
          <w:bCs/>
          <w:lang w:val="en-US"/>
        </w:rPr>
        <w:t>Between D0 and D2, there was a marked increase in the white blood cell (WBC) and lymphocyte (Ly) counts. The WBC and LC curves show the same pattern as that observed before the ETA injection (D0), with values much higher than on D0 (Figure 5). The number of WBCs, which was 5.9 x 109 cells/L on D0, almost doubled to 10.6 x 109 cells/L on D2, an increase of 4.7 x 109 cells/L. The same observation applies to lymphocytes. The number of lymphocytes increased by 1.109 cells, from 2.3.109 (D0) to 3.3.109 cells/L on D2. Between D2 and D8, the number of Gb will gradually decrease until D8, from 10.6 x 109 (D2) to 8.8 x 109 (D3) and 7.7 x 109 cells/L on D8. Despite this gradual decrease, the values remain high compared to D0. On D3, the number of lymphocytes will continue to grow, rising from 3.3 x 109 (D2) to 3.9 x 109 cells/L (D3) before falling to 1.4 x 109 cells/L on D8. </w:t>
      </w:r>
    </w:p>
    <w:p w14:paraId="23FF2B8F" w14:textId="77777777" w:rsidR="00E16484" w:rsidRPr="00E16484" w:rsidRDefault="00E16484" w:rsidP="00E16484">
      <w:pPr>
        <w:spacing w:line="360" w:lineRule="auto"/>
        <w:jc w:val="both"/>
        <w:rPr>
          <w:rFonts w:eastAsia="Calibri"/>
          <w:bCs/>
          <w:lang w:val="en-US"/>
        </w:rPr>
      </w:pPr>
      <w:r w:rsidRPr="00E16484">
        <w:rPr>
          <w:rFonts w:eastAsia="Calibri"/>
          <w:bCs/>
          <w:lang w:val="en-US"/>
        </w:rPr>
        <w:t>In terms of white blood cells, a decrease was observed from D2 to D8, before changing trajectory between D3 and D8 with an increase of 2.7 x 109 cells/L. </w:t>
      </w:r>
    </w:p>
    <w:p w14:paraId="58686A94" w14:textId="4BE25D1F" w:rsidR="00E16484" w:rsidRPr="00E16484" w:rsidRDefault="00E16484" w:rsidP="00E16484">
      <w:pPr>
        <w:spacing w:line="360" w:lineRule="auto"/>
        <w:jc w:val="both"/>
        <w:rPr>
          <w:rFonts w:eastAsia="Calibri"/>
          <w:bCs/>
          <w:lang w:val="en-US"/>
        </w:rPr>
      </w:pPr>
      <w:r w:rsidRPr="00E16484">
        <w:rPr>
          <w:rFonts w:eastAsia="Calibri"/>
          <w:bCs/>
          <w:lang w:val="en-US"/>
        </w:rPr>
        <w:t>In summary, it can be seen that the two curves follow almost the same pattern over time (from D0 to D8), but the curve for the 25 mg/mL concentration differs slightly from the other concentrations, with relatively more interesting values. </w:t>
      </w:r>
    </w:p>
    <w:p w14:paraId="00D55067" w14:textId="77777777" w:rsidR="00437C43" w:rsidRDefault="00437C43" w:rsidP="00437C43">
      <w:pPr>
        <w:spacing w:line="360" w:lineRule="auto"/>
        <w:rPr>
          <w:rFonts w:eastAsia="Calibri"/>
          <w:b/>
        </w:rPr>
      </w:pPr>
      <w:r>
        <w:rPr>
          <w:noProof/>
        </w:rPr>
        <w:lastRenderedPageBreak/>
        <w:drawing>
          <wp:inline distT="0" distB="0" distL="0" distR="0" wp14:anchorId="5D8338BE" wp14:editId="5D08C1BC">
            <wp:extent cx="5829512" cy="3016250"/>
            <wp:effectExtent l="0" t="0" r="12700" b="63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7AB66C" w14:textId="77777777" w:rsidR="006A6C77" w:rsidRPr="006A6C77" w:rsidRDefault="006A6C77" w:rsidP="006A6C77">
      <w:pPr>
        <w:spacing w:line="360" w:lineRule="auto"/>
        <w:rPr>
          <w:rFonts w:eastAsia="Calibri"/>
          <w:bCs/>
          <w:lang w:val="en-US"/>
        </w:rPr>
      </w:pPr>
      <w:r w:rsidRPr="006A6C77">
        <w:rPr>
          <w:rFonts w:eastAsia="Calibri"/>
          <w:b/>
          <w:lang w:val="en-US"/>
        </w:rPr>
        <w:t xml:space="preserve">Figure 5: </w:t>
      </w:r>
      <w:r w:rsidRPr="006A6C77">
        <w:rPr>
          <w:rFonts w:eastAsia="Calibri"/>
          <w:bCs/>
          <w:lang w:val="en-US"/>
        </w:rPr>
        <w:t>Change in the number of white blood cells (WBC) and lymphocytes (Ly) in batch L25 over time (x 10⁹ cells/L) </w:t>
      </w:r>
    </w:p>
    <w:p w14:paraId="56AB0C68" w14:textId="77777777" w:rsidR="00AE67D0" w:rsidRPr="006A6C77" w:rsidRDefault="00AE67D0" w:rsidP="00801625">
      <w:pPr>
        <w:rPr>
          <w:bCs/>
          <w:lang w:val="en-US"/>
        </w:rPr>
      </w:pPr>
    </w:p>
    <w:p w14:paraId="188956E0" w14:textId="77777777" w:rsidR="00CF69C5" w:rsidRPr="00CF69C5" w:rsidRDefault="00CF69C5" w:rsidP="00CF69C5">
      <w:pPr>
        <w:spacing w:line="360" w:lineRule="auto"/>
        <w:jc w:val="both"/>
        <w:rPr>
          <w:b/>
          <w:bCs/>
          <w:lang w:val="en-US"/>
        </w:rPr>
      </w:pPr>
      <w:r w:rsidRPr="00CF69C5">
        <w:rPr>
          <w:b/>
          <w:bCs/>
          <w:lang w:val="en-US"/>
        </w:rPr>
        <w:t>V-1-3-4 - Statistical Analyses of Immunostimulatory Activity</w:t>
      </w:r>
    </w:p>
    <w:p w14:paraId="67D69654" w14:textId="77777777" w:rsidR="00CF69C5" w:rsidRPr="00CF69C5" w:rsidRDefault="00CF69C5" w:rsidP="00CF69C5">
      <w:pPr>
        <w:spacing w:line="360" w:lineRule="auto"/>
        <w:jc w:val="both"/>
        <w:rPr>
          <w:lang w:val="en-US"/>
        </w:rPr>
      </w:pPr>
      <w:r w:rsidRPr="00CF69C5">
        <w:rPr>
          <w:lang w:val="en-US"/>
        </w:rPr>
        <w:t>The results of the two-way ANOVA revealed a statistically significant Group x Time interaction for the white blood cell (WBC), lymphocyte (Ly), and neutrophil (Ne) counts (p &lt; 0.001 for all parameters). This confirms that the dynamics of the immune response over time significantly depends on the administered ETA dose. Post-hoc analysis (Tukey) clarified these effects:</w:t>
      </w:r>
    </w:p>
    <w:p w14:paraId="2E52153E" w14:textId="77777777" w:rsidR="00CF69C5" w:rsidRPr="00CF69C5" w:rsidRDefault="00CF69C5" w:rsidP="00CF69C5">
      <w:pPr>
        <w:spacing w:line="360" w:lineRule="auto"/>
        <w:jc w:val="both"/>
        <w:rPr>
          <w:lang w:val="en-US"/>
        </w:rPr>
      </w:pPr>
      <w:r w:rsidRPr="00CF69C5">
        <w:rPr>
          <w:lang w:val="en-US"/>
        </w:rPr>
        <w:t>• Dose effect at peak response (D2): On D2, group 25 (25 mg/mL) had</w:t>
      </w:r>
    </w:p>
    <w:p w14:paraId="74803F82" w14:textId="77777777" w:rsidR="00CF69C5" w:rsidRDefault="00CF69C5" w:rsidP="00CF69C5">
      <w:pPr>
        <w:spacing w:line="360" w:lineRule="auto"/>
        <w:jc w:val="both"/>
        <w:rPr>
          <w:lang w:val="en-US"/>
        </w:rPr>
      </w:pPr>
      <w:r w:rsidRPr="00CF69C5">
        <w:rPr>
          <w:lang w:val="en-US"/>
        </w:rPr>
        <w:t>significantly higher WBC, Ly, and Ne counts (p &lt; 0.01) than the control group (L0) and groups L5 and L15. No significant difference was observed between groups L0, L5, and L15 at this time point.</w:t>
      </w:r>
    </w:p>
    <w:p w14:paraId="1E05C79D" w14:textId="591E250D" w:rsidR="00CF69C5" w:rsidRPr="00CF69C5" w:rsidRDefault="00CF69C5" w:rsidP="00CF69C5">
      <w:pPr>
        <w:spacing w:line="360" w:lineRule="auto"/>
        <w:jc w:val="both"/>
        <w:rPr>
          <w:lang w:val="en-US"/>
        </w:rPr>
      </w:pPr>
      <w:r w:rsidRPr="00CF69C5">
        <w:rPr>
          <w:lang w:val="en-US"/>
        </w:rPr>
        <w:t xml:space="preserve"> • Time course in the L25 group: In the L25 group, the number of Gb</w:t>
      </w:r>
    </w:p>
    <w:p w14:paraId="5EC78E93" w14:textId="77777777" w:rsidR="00CF69C5" w:rsidRPr="00CF69C5" w:rsidRDefault="00CF69C5" w:rsidP="00CF69C5">
      <w:pPr>
        <w:spacing w:line="360" w:lineRule="auto"/>
        <w:jc w:val="both"/>
        <w:rPr>
          <w:lang w:val="en-US"/>
        </w:rPr>
      </w:pPr>
      <w:r w:rsidRPr="00CF69C5">
        <w:rPr>
          <w:lang w:val="en-US"/>
        </w:rPr>
        <w:t>and Ne on Day 2 was significantly higher (p &lt; 0.001) than on Day 0, confirming rapid and strong stimulation. Although a decrease was observed thereafter, the values ​​on Days 3 and 8 remained significantly higher (p &lt; 0.05) than the baseline value on Day 0. For lymphocytes, the maximum peak was reached on Day 3, with a value significantly higher (p &lt; 0.01) than on Days 0 and 2.</w:t>
      </w:r>
    </w:p>
    <w:p w14:paraId="67BFC4FA" w14:textId="28B5949D" w:rsidR="00DC2A4B" w:rsidRDefault="00CF69C5" w:rsidP="00CF69C5">
      <w:pPr>
        <w:spacing w:line="360" w:lineRule="auto"/>
        <w:jc w:val="both"/>
        <w:rPr>
          <w:lang w:val="en-US"/>
        </w:rPr>
      </w:pPr>
      <w:r w:rsidRPr="00CF69C5">
        <w:rPr>
          <w:lang w:val="en-US"/>
        </w:rPr>
        <w:t>• Comparison with the control group: No significant variation in immune parameters was observed over time for the control group (L0), indicating that the 9‰ NaCl solution had no immunostimulatory effect.</w:t>
      </w:r>
    </w:p>
    <w:p w14:paraId="307452CD" w14:textId="7C2440CC" w:rsidR="006F3AAC" w:rsidRPr="006F3AAC" w:rsidRDefault="006F3AAC" w:rsidP="006F3AAC">
      <w:pPr>
        <w:spacing w:line="360" w:lineRule="auto"/>
        <w:jc w:val="both"/>
        <w:rPr>
          <w:rFonts w:eastAsia="Calibri"/>
          <w:b/>
          <w:lang w:val="en-US"/>
        </w:rPr>
      </w:pPr>
      <w:r w:rsidRPr="006F3AAC">
        <w:rPr>
          <w:rFonts w:eastAsia="Calibri"/>
          <w:b/>
          <w:lang w:val="en-US"/>
        </w:rPr>
        <w:lastRenderedPageBreak/>
        <w:t>V- 2 - D</w:t>
      </w:r>
      <w:r w:rsidR="00CF69C5" w:rsidRPr="006F3AAC">
        <w:rPr>
          <w:rFonts w:eastAsia="Calibri"/>
          <w:b/>
          <w:sz w:val="22"/>
          <w:szCs w:val="22"/>
          <w:lang w:val="en-US"/>
        </w:rPr>
        <w:t>iscussion</w:t>
      </w:r>
      <w:r w:rsidRPr="006F3AAC">
        <w:rPr>
          <w:rFonts w:eastAsia="Calibri"/>
          <w:b/>
          <w:lang w:val="en-US"/>
        </w:rPr>
        <w:t> </w:t>
      </w:r>
    </w:p>
    <w:p w14:paraId="7999514B" w14:textId="77777777" w:rsidR="006F3AAC" w:rsidRPr="006F3AAC" w:rsidRDefault="006F3AAC" w:rsidP="006F3AAC">
      <w:pPr>
        <w:spacing w:line="360" w:lineRule="auto"/>
        <w:jc w:val="both"/>
        <w:rPr>
          <w:rFonts w:eastAsia="Calibri"/>
          <w:bCs/>
          <w:lang w:val="en-US"/>
        </w:rPr>
      </w:pPr>
      <w:r w:rsidRPr="006F3AAC">
        <w:rPr>
          <w:rFonts w:eastAsia="Calibri"/>
          <w:bCs/>
          <w:lang w:val="en-US"/>
        </w:rPr>
        <w:t xml:space="preserve">Phytochemical sorting has highlighted polyphenols and tannins. These results support therapeutic indications that compounds such as polyphenols and tannins have pharmacological properties. Indeed, according to the work of Smit (2004); Song et al., (2006); </w:t>
      </w:r>
      <w:proofErr w:type="spellStart"/>
      <w:r w:rsidRPr="006F3AAC">
        <w:rPr>
          <w:rFonts w:eastAsia="Calibri"/>
          <w:bCs/>
          <w:lang w:val="en-US"/>
        </w:rPr>
        <w:t>Chouikhi</w:t>
      </w:r>
      <w:proofErr w:type="spellEnd"/>
      <w:r w:rsidRPr="006F3AAC">
        <w:rPr>
          <w:rFonts w:eastAsia="Calibri"/>
          <w:bCs/>
          <w:lang w:val="en-US"/>
        </w:rPr>
        <w:t xml:space="preserve"> (2013); </w:t>
      </w:r>
      <w:proofErr w:type="spellStart"/>
      <w:r w:rsidRPr="006F3AAC">
        <w:rPr>
          <w:rFonts w:eastAsia="Calibri"/>
          <w:bCs/>
          <w:lang w:val="en-US"/>
        </w:rPr>
        <w:t>Burlot</w:t>
      </w:r>
      <w:proofErr w:type="spellEnd"/>
      <w:r w:rsidRPr="006F3AAC">
        <w:rPr>
          <w:rFonts w:eastAsia="Calibri"/>
          <w:bCs/>
          <w:lang w:val="en-US"/>
        </w:rPr>
        <w:t xml:space="preserve"> (2016). Products derived from algae containing active ingredients such as polyphenols and tannins have a variety of uses in medicine and pharmacology. Polyphenols and tannins have immunostimulatory effects by acting as antioxidants, strengthening the immune system and fighting infections thanks to their antibacterial and antiviral properties, which give Sargassum </w:t>
      </w:r>
      <w:proofErr w:type="spellStart"/>
      <w:r w:rsidRPr="006F3AAC">
        <w:rPr>
          <w:rFonts w:eastAsia="Calibri"/>
          <w:bCs/>
          <w:lang w:val="en-US"/>
        </w:rPr>
        <w:t>fluitans</w:t>
      </w:r>
      <w:proofErr w:type="spellEnd"/>
      <w:r w:rsidRPr="006F3AAC">
        <w:rPr>
          <w:rFonts w:eastAsia="Calibri"/>
          <w:bCs/>
          <w:lang w:val="en-US"/>
        </w:rPr>
        <w:t xml:space="preserve"> numerous therapeutic indications. </w:t>
      </w:r>
    </w:p>
    <w:p w14:paraId="238689E4" w14:textId="3BB300FF" w:rsidR="006F3AAC" w:rsidRPr="007A29B8" w:rsidRDefault="006F3AAC" w:rsidP="006F3AAC">
      <w:pPr>
        <w:spacing w:line="360" w:lineRule="auto"/>
        <w:jc w:val="both"/>
        <w:rPr>
          <w:rFonts w:eastAsia="Calibri"/>
          <w:bCs/>
          <w:lang w:val="en-US"/>
        </w:rPr>
      </w:pPr>
      <w:r w:rsidRPr="006F3AAC">
        <w:rPr>
          <w:rFonts w:eastAsia="Calibri"/>
          <w:bCs/>
          <w:lang w:val="en-US"/>
        </w:rPr>
        <w:t xml:space="preserve">At the hematological level, results indicate that two days after administration of the Total Aqueous Extract (TAE) (D2) and up to eight days later (D8), the TAE of Sargassum </w:t>
      </w:r>
      <w:proofErr w:type="spellStart"/>
      <w:r w:rsidRPr="006F3AAC">
        <w:rPr>
          <w:rFonts w:eastAsia="Calibri"/>
          <w:bCs/>
          <w:lang w:val="en-US"/>
        </w:rPr>
        <w:t>fluitans</w:t>
      </w:r>
      <w:proofErr w:type="spellEnd"/>
      <w:r w:rsidRPr="006F3AAC">
        <w:rPr>
          <w:rFonts w:eastAsia="Calibri"/>
          <w:bCs/>
          <w:lang w:val="en-US"/>
        </w:rPr>
        <w:t xml:space="preserve"> has an immunostimulatory effect on the cells of the immune system in rabbits. In fact, there was an increase in the number of white blood cells, neutrophils, and lymphocytes, which are the body's defense mechanisms. The baseline white blood cell counts recorded on D0 in all individual rabbits ranged from 3.4 x 109 to 8.5 x 109 cells/L. These results show that in a homogeneous population of rabbits, the white blood cell count does not have a fixed value but varies within a certain range compatible with normal rabbit life. The same is true for lymphocytes, whose count varies between 1.109 and 3.2.109 cells/L, as well as neutrophils. These results are consistent with those of Kra et al. (2007). </w:t>
      </w:r>
      <w:r w:rsidRPr="006F3AAC">
        <w:rPr>
          <w:color w:val="000000"/>
          <w:lang w:val="en-US"/>
        </w:rPr>
        <w:t xml:space="preserve">On Day 2, the results indicate a sharp increase in the number of white blood cells, lymphocytes, and neutrophils. The most interesting values are observed in rabbits from batch 25 (25 mg/mL). The concentrations of 5 mg/mL and 15 mg/mL, which give </w:t>
      </w:r>
      <w:proofErr w:type="gramStart"/>
      <w:r w:rsidRPr="006F3AAC">
        <w:rPr>
          <w:color w:val="000000"/>
          <w:lang w:val="en-US"/>
        </w:rPr>
        <w:t>less</w:t>
      </w:r>
      <w:proofErr w:type="gramEnd"/>
      <w:r w:rsidRPr="006F3AAC">
        <w:rPr>
          <w:color w:val="000000"/>
          <w:lang w:val="en-US"/>
        </w:rPr>
        <w:t xml:space="preserve"> interesting results, are certainly too low, i.e., below the optimal concentration threshold to effectively boost immunity. In terms of white blood cells, these values range from 5.9 x 109 (D0) to 10.6 x 109 cells/L (D2), representing an increase of 4.7 x 109 cells/L. On D3, this value drops to 8.8 x 109 cells/L and to 7.7 x 109 cells/L on D8. It should be noted that these values remain higher than the value obtained on D0. Lymphocytes evolve at the same rate as white blood cells. When white blood cells increase, lymphocytes also increase, and when their number decreases, lymphocytes do the same. The same observation was made for neutrophils between D0 and D2. It should be noted that these results are consistent with those of Kra et al. (2007), who observed the same trends in their work. Between D2 and D3, a decrease in the number of neutrophils in rabbits in batch 25 (from 4.8 x 109 to 2.6 x 109 cells/L) was observed, before increasing to 5.3 x 109 cells/L on D8. These different activities could certainly be due to the presence of primary and/or secondary metabolites contained in ATA. Indeed, the work of Pugh et al. (2001) showed that metabolites such as polysaccharides </w:t>
      </w:r>
      <w:r w:rsidRPr="006F3AAC">
        <w:rPr>
          <w:color w:val="000000"/>
          <w:lang w:val="en-US"/>
        </w:rPr>
        <w:lastRenderedPageBreak/>
        <w:t>derived from spirulina (Spirulina platensis) are powerful activators of monocytes and macrophages and increase the level of human tumor necrosis factor. According to Lee et al. (1999); Ruiz (2005), Sun et al. (2007), metabolites observed in certain algae also play a role in stimulating the immune defenses of certain organisms, particularly fish.</w:t>
      </w:r>
      <w:r w:rsidRPr="006F3AAC">
        <w:rPr>
          <w:rStyle w:val="apple-converted-space"/>
          <w:rFonts w:eastAsiaTheme="majorEastAsia"/>
          <w:color w:val="000000"/>
          <w:lang w:val="en-US"/>
        </w:rPr>
        <w:t> </w:t>
      </w:r>
      <w:r w:rsidRPr="006F3AAC">
        <w:rPr>
          <w:color w:val="000000"/>
          <w:lang w:val="en-US"/>
        </w:rPr>
        <w:t xml:space="preserve">In light of these results, we can affirm that the aqueous extract of Sargassum </w:t>
      </w:r>
      <w:proofErr w:type="spellStart"/>
      <w:r w:rsidRPr="006F3AAC">
        <w:rPr>
          <w:color w:val="000000"/>
          <w:lang w:val="en-US"/>
        </w:rPr>
        <w:t>fluitans</w:t>
      </w:r>
      <w:proofErr w:type="spellEnd"/>
      <w:r w:rsidRPr="006F3AAC">
        <w:rPr>
          <w:color w:val="000000"/>
          <w:lang w:val="en-US"/>
        </w:rPr>
        <w:t xml:space="preserve"> stimulates immunity by inducing an increase in immune cell levels. Indeed, following the penetration of an antigen into an organism, there is an initial immune response manifested by an increase in the number of </w:t>
      </w:r>
      <w:proofErr w:type="spellStart"/>
      <w:r w:rsidRPr="006F3AAC">
        <w:rPr>
          <w:color w:val="000000"/>
          <w:lang w:val="en-US"/>
        </w:rPr>
        <w:t>monomacrophagic</w:t>
      </w:r>
      <w:proofErr w:type="spellEnd"/>
      <w:r w:rsidRPr="006F3AAC">
        <w:rPr>
          <w:color w:val="000000"/>
          <w:lang w:val="en-US"/>
        </w:rPr>
        <w:t xml:space="preserve"> cells in order to capture and eliminate the antigen (Arthur et al. 1989). This could make Sargassum </w:t>
      </w:r>
      <w:proofErr w:type="spellStart"/>
      <w:r w:rsidRPr="006F3AAC">
        <w:rPr>
          <w:color w:val="000000"/>
          <w:lang w:val="en-US"/>
        </w:rPr>
        <w:t>fluitans</w:t>
      </w:r>
      <w:proofErr w:type="spellEnd"/>
      <w:r w:rsidRPr="006F3AAC">
        <w:rPr>
          <w:color w:val="000000"/>
          <w:lang w:val="en-US"/>
        </w:rPr>
        <w:t xml:space="preserve"> a therapeutic plant with immunogenic properties, a source of happiness for immunocompromised individuals.</w:t>
      </w:r>
    </w:p>
    <w:p w14:paraId="01A9A470" w14:textId="1A8F4C28" w:rsidR="00A81558" w:rsidRPr="006F3AAC" w:rsidRDefault="00A81558" w:rsidP="00A81558">
      <w:pPr>
        <w:tabs>
          <w:tab w:val="left" w:pos="2360"/>
        </w:tabs>
        <w:rPr>
          <w:lang w:val="en-US"/>
        </w:rPr>
      </w:pPr>
    </w:p>
    <w:p w14:paraId="5E1C90A1" w14:textId="77777777" w:rsidR="002C1A8A" w:rsidRPr="002C1A8A" w:rsidRDefault="002C1A8A" w:rsidP="00DB09B6">
      <w:pPr>
        <w:tabs>
          <w:tab w:val="left" w:pos="2360"/>
        </w:tabs>
        <w:spacing w:line="360" w:lineRule="auto"/>
        <w:jc w:val="both"/>
        <w:rPr>
          <w:b/>
          <w:lang w:val="en-US"/>
        </w:rPr>
      </w:pPr>
      <w:r w:rsidRPr="002C1A8A">
        <w:rPr>
          <w:b/>
          <w:lang w:val="en-US"/>
        </w:rPr>
        <w:t>Conclusion</w:t>
      </w:r>
    </w:p>
    <w:p w14:paraId="08E56B99" w14:textId="745DC956" w:rsidR="002C1A8A" w:rsidRPr="002C1A8A" w:rsidRDefault="002C1A8A" w:rsidP="002C1A8A">
      <w:pPr>
        <w:tabs>
          <w:tab w:val="left" w:pos="2360"/>
        </w:tabs>
        <w:spacing w:line="360" w:lineRule="auto"/>
        <w:jc w:val="both"/>
        <w:rPr>
          <w:bCs/>
          <w:lang w:val="en-US"/>
        </w:rPr>
      </w:pPr>
      <w:r w:rsidRPr="002C1A8A">
        <w:rPr>
          <w:bCs/>
          <w:lang w:val="en-US"/>
        </w:rPr>
        <w:t xml:space="preserve">The objective of this study was to evaluate the immunogenicity of these algae in rabbits in order to promote its use. The study identified secondary metabolites, namely polyphenols and tannins, in the Total Aqueous Extract (TAE) of Sargassum </w:t>
      </w:r>
      <w:proofErr w:type="spellStart"/>
      <w:r w:rsidRPr="002C1A8A">
        <w:rPr>
          <w:bCs/>
          <w:lang w:val="en-US"/>
        </w:rPr>
        <w:t>fluitans</w:t>
      </w:r>
      <w:proofErr w:type="spellEnd"/>
      <w:r w:rsidRPr="002C1A8A">
        <w:rPr>
          <w:bCs/>
          <w:lang w:val="en-US"/>
        </w:rPr>
        <w:t xml:space="preserve">. Injecting increasing doses of Total Aqueous Extract (TAE) into different groups of rabbits showed that TAE from Sargassum </w:t>
      </w:r>
      <w:proofErr w:type="spellStart"/>
      <w:r w:rsidRPr="002C1A8A">
        <w:rPr>
          <w:bCs/>
          <w:lang w:val="en-US"/>
        </w:rPr>
        <w:t>fluitans</w:t>
      </w:r>
      <w:proofErr w:type="spellEnd"/>
      <w:r w:rsidRPr="002C1A8A">
        <w:rPr>
          <w:bCs/>
          <w:lang w:val="en-US"/>
        </w:rPr>
        <w:t xml:space="preserve"> has immunogenic properties in rabbits. Indeed, the results of the complete blood count showed that the immune defense cells, composed mainly of white blood cells, lymphocytes, and neutrophils, underwent various changes over time (from D0 to D8) after the injection of the extract. The different doses, namely 5 mg/mL, 15 mg/mL, and 25 mg/mL, and 9‰ NaCl (control) showed variable results. However, the 25 mg/mL dose proved to be the most effective in inducing a significant immunostimulatory response in rabbits. This observed immunostimulatory action could be explained by the presence in the extract of possible biomolecules, in particular primary metabolites and/or the characterized polyphenols and tannins. Polyphenols and tannins have immunostimulatory effects by acting as antioxidants, strengthening the immune system, and fighting infections thanks to their antibacterial and antiviral properties. In light of these results, it can be said that the aqueous extract of Sargassum </w:t>
      </w:r>
      <w:proofErr w:type="spellStart"/>
      <w:r w:rsidRPr="002C1A8A">
        <w:rPr>
          <w:bCs/>
          <w:lang w:val="en-US"/>
        </w:rPr>
        <w:t>fluitans</w:t>
      </w:r>
      <w:proofErr w:type="spellEnd"/>
      <w:r w:rsidRPr="002C1A8A">
        <w:rPr>
          <w:bCs/>
          <w:lang w:val="en-US"/>
        </w:rPr>
        <w:t xml:space="preserve"> stimulates immunity by inducing an increase in immune cell levels. This could make this plant a promising source for improving the immune system of immunocompromised individuals and for the manufacture of potential pharmaceutical drugs. These various actions could contribute to the valorization of this species, which is becoming increasingly threatening. </w:t>
      </w:r>
    </w:p>
    <w:p w14:paraId="432F47D1" w14:textId="77777777" w:rsidR="00CF69C5" w:rsidRDefault="00CF69C5" w:rsidP="00CF69C5">
      <w:pPr>
        <w:widowControl w:val="0"/>
        <w:autoSpaceDE w:val="0"/>
        <w:autoSpaceDN w:val="0"/>
        <w:adjustRightInd w:val="0"/>
        <w:spacing w:after="240" w:line="360" w:lineRule="auto"/>
        <w:rPr>
          <w:rFonts w:eastAsia="Calibri"/>
          <w:b/>
          <w:lang w:val="en-US"/>
        </w:rPr>
      </w:pPr>
    </w:p>
    <w:p w14:paraId="78DAE72F" w14:textId="77777777" w:rsidR="009C71EF" w:rsidRDefault="009C71EF" w:rsidP="00CF69C5">
      <w:pPr>
        <w:widowControl w:val="0"/>
        <w:autoSpaceDE w:val="0"/>
        <w:autoSpaceDN w:val="0"/>
        <w:adjustRightInd w:val="0"/>
        <w:spacing w:after="240" w:line="360" w:lineRule="auto"/>
        <w:rPr>
          <w:rFonts w:eastAsia="Calibri"/>
          <w:b/>
          <w:lang w:val="en-US"/>
        </w:rPr>
      </w:pPr>
    </w:p>
    <w:p w14:paraId="09F504CD" w14:textId="1D664E6A" w:rsidR="00CF69C5" w:rsidRDefault="001A016B" w:rsidP="00CF69C5">
      <w:pPr>
        <w:widowControl w:val="0"/>
        <w:autoSpaceDE w:val="0"/>
        <w:autoSpaceDN w:val="0"/>
        <w:adjustRightInd w:val="0"/>
        <w:spacing w:after="240" w:line="360" w:lineRule="auto"/>
        <w:rPr>
          <w:rFonts w:eastAsia="Calibri"/>
          <w:b/>
          <w:lang w:val="en-US"/>
        </w:rPr>
      </w:pPr>
      <w:r w:rsidRPr="001A016B">
        <w:rPr>
          <w:rFonts w:eastAsia="Calibri"/>
          <w:b/>
          <w:lang w:val="en-US"/>
        </w:rPr>
        <w:lastRenderedPageBreak/>
        <w:t>References</w:t>
      </w:r>
    </w:p>
    <w:p w14:paraId="345B2638"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Arthur, M. B., Hall, D. T. &amp; Lawrence, B. S. 1989. Handbook of career theory. Cambridge: Cambridge University Press. Online at https://doi.org/10.1017/CBO9780511625459.</w:t>
      </w:r>
    </w:p>
    <w:p w14:paraId="27D5F34F" w14:textId="77777777" w:rsidR="00F1606F" w:rsidRPr="00F1606F" w:rsidRDefault="00F1606F" w:rsidP="00F1606F">
      <w:pPr>
        <w:widowControl w:val="0"/>
        <w:autoSpaceDE w:val="0"/>
        <w:autoSpaceDN w:val="0"/>
        <w:adjustRightInd w:val="0"/>
        <w:spacing w:after="240" w:line="360" w:lineRule="auto"/>
        <w:rPr>
          <w:rFonts w:eastAsia="Calibri"/>
          <w:b/>
          <w:bCs/>
          <w:lang w:val="en-US"/>
        </w:rPr>
      </w:pPr>
      <w:proofErr w:type="spellStart"/>
      <w:r w:rsidRPr="00F1606F">
        <w:rPr>
          <w:rFonts w:eastAsia="Calibri"/>
          <w:b/>
          <w:bCs/>
          <w:lang w:val="en-US"/>
        </w:rPr>
        <w:t>Benariba</w:t>
      </w:r>
      <w:proofErr w:type="spellEnd"/>
      <w:r w:rsidRPr="00F1606F">
        <w:rPr>
          <w:rFonts w:eastAsia="Calibri"/>
          <w:b/>
          <w:bCs/>
          <w:lang w:val="en-US"/>
        </w:rPr>
        <w:t xml:space="preserve"> N., </w:t>
      </w:r>
      <w:proofErr w:type="spellStart"/>
      <w:r w:rsidRPr="00F1606F">
        <w:rPr>
          <w:rFonts w:eastAsia="Calibri"/>
          <w:b/>
          <w:bCs/>
          <w:lang w:val="en-US"/>
        </w:rPr>
        <w:t>Djaziri</w:t>
      </w:r>
      <w:proofErr w:type="spellEnd"/>
      <w:r w:rsidRPr="00F1606F">
        <w:rPr>
          <w:rFonts w:eastAsia="Calibri"/>
          <w:b/>
          <w:bCs/>
          <w:lang w:val="en-US"/>
        </w:rPr>
        <w:t xml:space="preserve"> R., </w:t>
      </w:r>
      <w:proofErr w:type="spellStart"/>
      <w:r w:rsidRPr="00F1606F">
        <w:rPr>
          <w:rFonts w:eastAsia="Calibri"/>
          <w:b/>
          <w:bCs/>
          <w:lang w:val="en-US"/>
        </w:rPr>
        <w:t>Bellakhdar</w:t>
      </w:r>
      <w:proofErr w:type="spellEnd"/>
      <w:r w:rsidRPr="00F1606F">
        <w:rPr>
          <w:rFonts w:eastAsia="Calibri"/>
          <w:b/>
          <w:bCs/>
          <w:lang w:val="en-US"/>
        </w:rPr>
        <w:t xml:space="preserve"> W., Belkacem N., Kadiata M., </w:t>
      </w:r>
      <w:proofErr w:type="spellStart"/>
      <w:r w:rsidRPr="00F1606F">
        <w:rPr>
          <w:rFonts w:eastAsia="Calibri"/>
          <w:b/>
          <w:bCs/>
          <w:lang w:val="en-US"/>
        </w:rPr>
        <w:t>Malaisse</w:t>
      </w:r>
      <w:proofErr w:type="spellEnd"/>
      <w:r w:rsidRPr="00F1606F">
        <w:rPr>
          <w:rFonts w:eastAsia="Calibri"/>
          <w:b/>
          <w:bCs/>
          <w:lang w:val="en-US"/>
        </w:rPr>
        <w:t xml:space="preserve"> W. J. &amp; Sener A. 2013. Phytochemical screening and free radical scavenging activity of Citrullus </w:t>
      </w:r>
      <w:proofErr w:type="spellStart"/>
      <w:r w:rsidRPr="00F1606F">
        <w:rPr>
          <w:rFonts w:eastAsia="Calibri"/>
          <w:b/>
          <w:bCs/>
          <w:lang w:val="en-US"/>
        </w:rPr>
        <w:t>colocynthis</w:t>
      </w:r>
      <w:proofErr w:type="spellEnd"/>
      <w:r w:rsidRPr="00F1606F">
        <w:rPr>
          <w:rFonts w:eastAsia="Calibri"/>
          <w:b/>
          <w:bCs/>
          <w:lang w:val="en-US"/>
        </w:rPr>
        <w:t xml:space="preserve"> seed extracts. Asian Pacific Journal of Tropical Biomedicine, 3(1): 35-40.</w:t>
      </w:r>
    </w:p>
    <w:p w14:paraId="55E3E3AE" w14:textId="77777777" w:rsidR="00F1606F" w:rsidRPr="00F1606F" w:rsidRDefault="00F1606F" w:rsidP="00F1606F">
      <w:pPr>
        <w:widowControl w:val="0"/>
        <w:autoSpaceDE w:val="0"/>
        <w:autoSpaceDN w:val="0"/>
        <w:adjustRightInd w:val="0"/>
        <w:spacing w:after="240" w:line="360" w:lineRule="auto"/>
        <w:rPr>
          <w:rFonts w:eastAsia="Calibri"/>
          <w:b/>
          <w:bCs/>
          <w:lang w:val="en-US"/>
        </w:rPr>
      </w:pPr>
      <w:proofErr w:type="spellStart"/>
      <w:r w:rsidRPr="00F1606F">
        <w:rPr>
          <w:rFonts w:eastAsia="Calibri"/>
          <w:b/>
          <w:bCs/>
          <w:lang w:val="en-US"/>
        </w:rPr>
        <w:t>Burlot</w:t>
      </w:r>
      <w:proofErr w:type="spellEnd"/>
      <w:r w:rsidRPr="00F1606F">
        <w:rPr>
          <w:rFonts w:eastAsia="Calibri"/>
          <w:b/>
          <w:bCs/>
          <w:lang w:val="en-US"/>
        </w:rPr>
        <w:t xml:space="preserve"> A-S. 2016. Enzymatic valorization of proliferating algae metabolites: applications in the fields of animal, plant and human nutrition and health, cosmetics and the environment. Doctoral thesis, University of Southern Brittany, France. Specialization: Biotechnology, 418 p.</w:t>
      </w:r>
    </w:p>
    <w:p w14:paraId="22A27D14" w14:textId="77777777" w:rsidR="00F1606F" w:rsidRPr="00F1606F" w:rsidRDefault="00F1606F" w:rsidP="00F1606F">
      <w:pPr>
        <w:widowControl w:val="0"/>
        <w:autoSpaceDE w:val="0"/>
        <w:autoSpaceDN w:val="0"/>
        <w:adjustRightInd w:val="0"/>
        <w:spacing w:after="240" w:line="360" w:lineRule="auto"/>
        <w:rPr>
          <w:rFonts w:eastAsia="Calibri"/>
          <w:b/>
          <w:bCs/>
          <w:lang w:val="en-US"/>
        </w:rPr>
      </w:pPr>
    </w:p>
    <w:p w14:paraId="4EA52D33" w14:textId="77777777" w:rsidR="00F1606F" w:rsidRPr="00F1606F" w:rsidRDefault="00F1606F" w:rsidP="00F1606F">
      <w:pPr>
        <w:widowControl w:val="0"/>
        <w:autoSpaceDE w:val="0"/>
        <w:autoSpaceDN w:val="0"/>
        <w:adjustRightInd w:val="0"/>
        <w:spacing w:after="240" w:line="360" w:lineRule="auto"/>
        <w:rPr>
          <w:rFonts w:eastAsia="Calibri"/>
          <w:b/>
          <w:bCs/>
          <w:lang w:val="en-US"/>
        </w:rPr>
      </w:pPr>
      <w:proofErr w:type="spellStart"/>
      <w:r w:rsidRPr="00F1606F">
        <w:rPr>
          <w:rFonts w:eastAsia="Calibri"/>
          <w:b/>
          <w:bCs/>
          <w:lang w:val="en-US"/>
        </w:rPr>
        <w:t>Chouikhi</w:t>
      </w:r>
      <w:proofErr w:type="spellEnd"/>
      <w:r w:rsidRPr="00F1606F">
        <w:rPr>
          <w:rFonts w:eastAsia="Calibri"/>
          <w:b/>
          <w:bCs/>
          <w:lang w:val="en-US"/>
        </w:rPr>
        <w:t xml:space="preserve"> A. 2013. The potential applications of marine macroalgae and the pharmacological activities of their metabolites: A review. InUSTHB-FBS-4th International Congress of the Populations &amp; Animal Communities-Dynamics &amp; Biodiversity of the terrestrial &amp; aquatic Ecosystems"" CIPCA4" TAGHIT (</w:t>
      </w:r>
      <w:proofErr w:type="spellStart"/>
      <w:r w:rsidRPr="00F1606F">
        <w:rPr>
          <w:rFonts w:eastAsia="Calibri"/>
          <w:b/>
          <w:bCs/>
          <w:lang w:val="en-US"/>
        </w:rPr>
        <w:t>Bechar</w:t>
      </w:r>
      <w:proofErr w:type="spellEnd"/>
      <w:r w:rsidRPr="00F1606F">
        <w:rPr>
          <w:rFonts w:eastAsia="Calibri"/>
          <w:b/>
          <w:bCs/>
          <w:lang w:val="en-US"/>
        </w:rPr>
        <w:t>) Algeria, 40 p.</w:t>
      </w:r>
    </w:p>
    <w:p w14:paraId="31C3DB90"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Goldberg DS, Forde KA, Carbonari DM et al (2015). Population representative incidence of</w:t>
      </w:r>
    </w:p>
    <w:p w14:paraId="41CAFB94"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drug-induced acute liver failure based on an analysis of an integrated health care system. Gastroenterology, 148 (7): 1353-1361.</w:t>
      </w:r>
    </w:p>
    <w:p w14:paraId="2322358F"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Guiry, M. D. &amp; Guiry, G. M., 2008; 2013. Algae Base version 4.2. World-wide electronic </w:t>
      </w:r>
    </w:p>
    <w:p w14:paraId="726D6BCA"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publication, National University of Ireland, Galway, http://www.algaebase.org.</w:t>
      </w:r>
    </w:p>
    <w:p w14:paraId="6ACD111A"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Johnson D. R., Franks J. S., Ko D. S., Moreno P. &amp; Sanchez-Rubio G. 2012. Sargassum Invasion of the Eastern Caribbean and West Africa 2011: Hypothesis Center for Fisheries Research and Development Gulf Coast Research Laboratory University of Southern Mississippi U.S. Naval Research Laboratory- Stennis Space Center, Mississippi. Gulf Caribbean. Fish. Institute, 65: pp 102-103.</w:t>
      </w:r>
    </w:p>
    <w:p w14:paraId="581601DD"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lastRenderedPageBreak/>
        <w:t xml:space="preserve">Komoe K., Sankare Y., Fofie N. B. Y., Bamba A. &amp; Sahra G. 2016. Taxonomic study of two species of Sargassum: Sargassum </w:t>
      </w:r>
      <w:proofErr w:type="spellStart"/>
      <w:r w:rsidRPr="00F1606F">
        <w:rPr>
          <w:rFonts w:eastAsia="Calibri"/>
          <w:b/>
          <w:bCs/>
          <w:lang w:val="en-US"/>
        </w:rPr>
        <w:t>fluitans</w:t>
      </w:r>
      <w:proofErr w:type="spellEnd"/>
      <w:r w:rsidRPr="00F1606F">
        <w:rPr>
          <w:rFonts w:eastAsia="Calibri"/>
          <w:b/>
          <w:bCs/>
          <w:lang w:val="en-US"/>
        </w:rPr>
        <w:t xml:space="preserve"> (</w:t>
      </w:r>
      <w:proofErr w:type="spellStart"/>
      <w:r w:rsidRPr="00F1606F">
        <w:rPr>
          <w:rFonts w:eastAsia="Calibri"/>
          <w:b/>
          <w:bCs/>
          <w:lang w:val="en-US"/>
        </w:rPr>
        <w:t>Børgesen</w:t>
      </w:r>
      <w:proofErr w:type="spellEnd"/>
      <w:r w:rsidRPr="00F1606F">
        <w:rPr>
          <w:rFonts w:eastAsia="Calibri"/>
          <w:b/>
          <w:bCs/>
          <w:lang w:val="en-US"/>
        </w:rPr>
        <w:t xml:space="preserve">) </w:t>
      </w:r>
      <w:proofErr w:type="spellStart"/>
      <w:r w:rsidRPr="00F1606F">
        <w:rPr>
          <w:rFonts w:eastAsia="Calibri"/>
          <w:b/>
          <w:bCs/>
          <w:lang w:val="en-US"/>
        </w:rPr>
        <w:t>Børgesen</w:t>
      </w:r>
      <w:proofErr w:type="spellEnd"/>
      <w:r w:rsidRPr="00F1606F">
        <w:rPr>
          <w:rFonts w:eastAsia="Calibri"/>
          <w:b/>
          <w:bCs/>
          <w:lang w:val="en-US"/>
        </w:rPr>
        <w:t xml:space="preserve"> and Sargassum </w:t>
      </w:r>
      <w:proofErr w:type="spellStart"/>
      <w:r w:rsidRPr="00F1606F">
        <w:rPr>
          <w:rFonts w:eastAsia="Calibri"/>
          <w:b/>
          <w:bCs/>
          <w:lang w:val="en-US"/>
        </w:rPr>
        <w:t>natans</w:t>
      </w:r>
      <w:proofErr w:type="spellEnd"/>
      <w:r w:rsidRPr="00F1606F">
        <w:rPr>
          <w:rFonts w:eastAsia="Calibri"/>
          <w:b/>
          <w:bCs/>
          <w:lang w:val="en-US"/>
        </w:rPr>
        <w:t xml:space="preserve"> (</w:t>
      </w:r>
      <w:proofErr w:type="spellStart"/>
      <w:r w:rsidRPr="00F1606F">
        <w:rPr>
          <w:rFonts w:eastAsia="Calibri"/>
          <w:b/>
          <w:bCs/>
          <w:lang w:val="en-US"/>
        </w:rPr>
        <w:t>Linnaneus</w:t>
      </w:r>
      <w:proofErr w:type="spellEnd"/>
      <w:r w:rsidRPr="00F1606F">
        <w:rPr>
          <w:rFonts w:eastAsia="Calibri"/>
          <w:b/>
          <w:bCs/>
          <w:lang w:val="en-US"/>
        </w:rPr>
        <w:t xml:space="preserve">) </w:t>
      </w:r>
      <w:proofErr w:type="spellStart"/>
      <w:r w:rsidRPr="00F1606F">
        <w:rPr>
          <w:rFonts w:eastAsia="Calibri"/>
          <w:b/>
          <w:bCs/>
          <w:lang w:val="en-US"/>
        </w:rPr>
        <w:t>Gaillon</w:t>
      </w:r>
      <w:proofErr w:type="spellEnd"/>
      <w:r w:rsidRPr="00F1606F">
        <w:rPr>
          <w:rFonts w:eastAsia="Calibri"/>
          <w:b/>
          <w:bCs/>
          <w:lang w:val="en-US"/>
        </w:rPr>
        <w:t xml:space="preserve"> (</w:t>
      </w:r>
      <w:proofErr w:type="spellStart"/>
      <w:r w:rsidRPr="00F1606F">
        <w:rPr>
          <w:rFonts w:eastAsia="Calibri"/>
          <w:b/>
          <w:bCs/>
          <w:lang w:val="en-US"/>
        </w:rPr>
        <w:t>brownalgae</w:t>
      </w:r>
      <w:proofErr w:type="spellEnd"/>
      <w:r w:rsidRPr="00F1606F">
        <w:rPr>
          <w:rFonts w:eastAsia="Calibri"/>
          <w:b/>
          <w:bCs/>
          <w:lang w:val="en-US"/>
        </w:rPr>
        <w:t>) collected in Côte d’Ivoire coasts, West Africa. Nature and Science, (14): 10.</w:t>
      </w:r>
    </w:p>
    <w:p w14:paraId="5F525905"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Kouakou R., Kouassi A. M., Kwa-Koffi E. K., </w:t>
      </w:r>
      <w:proofErr w:type="spellStart"/>
      <w:r w:rsidRPr="00F1606F">
        <w:rPr>
          <w:rFonts w:eastAsia="Calibri"/>
          <w:b/>
          <w:bCs/>
          <w:lang w:val="en-US"/>
        </w:rPr>
        <w:t>Gnonsoro</w:t>
      </w:r>
      <w:proofErr w:type="spellEnd"/>
      <w:r w:rsidRPr="00F1606F">
        <w:rPr>
          <w:rFonts w:eastAsia="Calibri"/>
          <w:b/>
          <w:bCs/>
          <w:lang w:val="en-US"/>
        </w:rPr>
        <w:t xml:space="preserve"> U. P. &amp; </w:t>
      </w:r>
      <w:proofErr w:type="spellStart"/>
      <w:r w:rsidRPr="00F1606F">
        <w:rPr>
          <w:rFonts w:eastAsia="Calibri"/>
          <w:b/>
          <w:bCs/>
          <w:lang w:val="en-US"/>
        </w:rPr>
        <w:t>Trokourey</w:t>
      </w:r>
      <w:proofErr w:type="spellEnd"/>
      <w:r w:rsidRPr="00F1606F">
        <w:rPr>
          <w:rFonts w:eastAsia="Calibri"/>
          <w:b/>
          <w:bCs/>
          <w:lang w:val="en-US"/>
        </w:rPr>
        <w:t xml:space="preserve"> A., 2015. Distribution of Polycyclic Aromatic Hydrocarbons (PAHs) in a tropical coastal lagoon (Grand-Lahou lagoon, Ivory Coast). Int. J. Biol. Chem. Sci., 9 (2): 1120–1129.</w:t>
      </w:r>
    </w:p>
    <w:p w14:paraId="752DF792"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Kra A. K. M., </w:t>
      </w:r>
      <w:proofErr w:type="spellStart"/>
      <w:r w:rsidRPr="00F1606F">
        <w:rPr>
          <w:rFonts w:eastAsia="Calibri"/>
          <w:b/>
          <w:bCs/>
          <w:lang w:val="en-US"/>
        </w:rPr>
        <w:t>Zirihi</w:t>
      </w:r>
      <w:proofErr w:type="spellEnd"/>
      <w:r w:rsidRPr="00F1606F">
        <w:rPr>
          <w:rFonts w:eastAsia="Calibri"/>
          <w:b/>
          <w:bCs/>
          <w:lang w:val="en-US"/>
        </w:rPr>
        <w:t xml:space="preserve"> G. N. &amp; Kouadio G. F., 2007. Immunostimulatory activity (in vivo in rabbits) of NR1A, a glycoprotein fraction isolated from </w:t>
      </w:r>
      <w:proofErr w:type="spellStart"/>
      <w:r w:rsidRPr="00F1606F">
        <w:rPr>
          <w:rFonts w:eastAsia="Calibri"/>
          <w:b/>
          <w:bCs/>
          <w:lang w:val="en-US"/>
        </w:rPr>
        <w:t>Aerva</w:t>
      </w:r>
      <w:proofErr w:type="spellEnd"/>
      <w:r w:rsidRPr="00F1606F">
        <w:rPr>
          <w:rFonts w:eastAsia="Calibri"/>
          <w:b/>
          <w:bCs/>
          <w:lang w:val="en-US"/>
        </w:rPr>
        <w:t xml:space="preserve"> </w:t>
      </w:r>
      <w:proofErr w:type="spellStart"/>
      <w:r w:rsidRPr="00F1606F">
        <w:rPr>
          <w:rFonts w:eastAsia="Calibri"/>
          <w:b/>
          <w:bCs/>
          <w:lang w:val="en-US"/>
        </w:rPr>
        <w:t>lanata</w:t>
      </w:r>
      <w:proofErr w:type="spellEnd"/>
      <w:r w:rsidRPr="00F1606F">
        <w:rPr>
          <w:rFonts w:eastAsia="Calibri"/>
          <w:b/>
          <w:bCs/>
          <w:lang w:val="en-US"/>
        </w:rPr>
        <w:t xml:space="preserve"> (L) JUSS. EX. SCHLT (</w:t>
      </w:r>
      <w:proofErr w:type="spellStart"/>
      <w:r w:rsidRPr="00F1606F">
        <w:rPr>
          <w:rFonts w:eastAsia="Calibri"/>
          <w:b/>
          <w:bCs/>
          <w:lang w:val="en-US"/>
        </w:rPr>
        <w:t>Amaranthaceae</w:t>
      </w:r>
      <w:proofErr w:type="spellEnd"/>
      <w:r w:rsidRPr="00F1606F">
        <w:rPr>
          <w:rFonts w:eastAsia="Calibri"/>
          <w:b/>
          <w:bCs/>
          <w:lang w:val="en-US"/>
        </w:rPr>
        <w:t>), a medicinal plant in the Ivorian pharmacopoeia. Journal of Medicine and Pharmacy of Africa, 20:19–24.</w:t>
      </w:r>
    </w:p>
    <w:p w14:paraId="7F7F854F"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Lee J. B., Hayashi K., Hayashi T., </w:t>
      </w:r>
      <w:proofErr w:type="spellStart"/>
      <w:r w:rsidRPr="00F1606F">
        <w:rPr>
          <w:rFonts w:eastAsia="Calibri"/>
          <w:b/>
          <w:bCs/>
          <w:lang w:val="en-US"/>
        </w:rPr>
        <w:t>Sankawa</w:t>
      </w:r>
      <w:proofErr w:type="spellEnd"/>
      <w:r w:rsidRPr="00F1606F">
        <w:rPr>
          <w:rFonts w:eastAsia="Calibri"/>
          <w:b/>
          <w:bCs/>
          <w:lang w:val="en-US"/>
        </w:rPr>
        <w:t xml:space="preserve"> U. &amp; Maeda M. 1999. Antiviral activities against HS 1, HCMV and HIV-1 of </w:t>
      </w:r>
      <w:proofErr w:type="spellStart"/>
      <w:r w:rsidRPr="00F1606F">
        <w:rPr>
          <w:rFonts w:eastAsia="Calibri"/>
          <w:b/>
          <w:bCs/>
          <w:lang w:val="en-US"/>
        </w:rPr>
        <w:t>rhamnan</w:t>
      </w:r>
      <w:proofErr w:type="spellEnd"/>
      <w:r w:rsidRPr="00F1606F">
        <w:rPr>
          <w:rFonts w:eastAsia="Calibri"/>
          <w:b/>
          <w:bCs/>
          <w:lang w:val="en-US"/>
        </w:rPr>
        <w:t xml:space="preserve"> sulfate from </w:t>
      </w:r>
      <w:proofErr w:type="spellStart"/>
      <w:r w:rsidRPr="00F1606F">
        <w:rPr>
          <w:rFonts w:eastAsia="Calibri"/>
          <w:b/>
          <w:bCs/>
          <w:lang w:val="en-US"/>
        </w:rPr>
        <w:t>Monostroma</w:t>
      </w:r>
      <w:proofErr w:type="spellEnd"/>
      <w:r w:rsidRPr="00F1606F">
        <w:rPr>
          <w:rFonts w:eastAsia="Calibri"/>
          <w:b/>
          <w:bCs/>
          <w:lang w:val="en-US"/>
        </w:rPr>
        <w:t xml:space="preserve"> </w:t>
      </w:r>
      <w:proofErr w:type="spellStart"/>
      <w:r w:rsidRPr="00F1606F">
        <w:rPr>
          <w:rFonts w:eastAsia="Calibri"/>
          <w:b/>
          <w:bCs/>
          <w:lang w:val="en-US"/>
        </w:rPr>
        <w:t>latissimum</w:t>
      </w:r>
      <w:proofErr w:type="spellEnd"/>
      <w:r w:rsidRPr="00F1606F">
        <w:rPr>
          <w:rFonts w:eastAsia="Calibri"/>
          <w:b/>
          <w:bCs/>
          <w:lang w:val="en-US"/>
        </w:rPr>
        <w:t>. Planta Medica, 65: 439-441.</w:t>
      </w:r>
    </w:p>
    <w:p w14:paraId="5A2A2FD8"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Lhuillier A (2007). Contribution to the phytochemical study of four Malagasy plants: </w:t>
      </w:r>
      <w:proofErr w:type="spellStart"/>
      <w:r w:rsidRPr="00F1606F">
        <w:rPr>
          <w:rFonts w:eastAsia="Calibri"/>
          <w:b/>
          <w:bCs/>
          <w:lang w:val="en-US"/>
        </w:rPr>
        <w:t>Agauria</w:t>
      </w:r>
      <w:proofErr w:type="spellEnd"/>
      <w:r w:rsidRPr="00F1606F">
        <w:rPr>
          <w:rFonts w:eastAsia="Calibri"/>
          <w:b/>
          <w:bCs/>
          <w:lang w:val="en-US"/>
        </w:rPr>
        <w:t xml:space="preserve"> </w:t>
      </w:r>
      <w:proofErr w:type="spellStart"/>
      <w:r w:rsidRPr="00F1606F">
        <w:rPr>
          <w:rFonts w:eastAsia="Calibri"/>
          <w:b/>
          <w:bCs/>
          <w:lang w:val="en-US"/>
        </w:rPr>
        <w:t>salicifolia</w:t>
      </w:r>
      <w:proofErr w:type="spellEnd"/>
      <w:r w:rsidRPr="00F1606F">
        <w:rPr>
          <w:rFonts w:eastAsia="Calibri"/>
          <w:b/>
          <w:bCs/>
          <w:lang w:val="en-US"/>
        </w:rPr>
        <w:t xml:space="preserve"> Hook. F. ex Olivier, </w:t>
      </w:r>
      <w:proofErr w:type="spellStart"/>
      <w:r w:rsidRPr="00F1606F">
        <w:rPr>
          <w:rFonts w:eastAsia="Calibri"/>
          <w:b/>
          <w:bCs/>
          <w:lang w:val="en-US"/>
        </w:rPr>
        <w:t>Agauria</w:t>
      </w:r>
      <w:proofErr w:type="spellEnd"/>
      <w:r w:rsidRPr="00F1606F">
        <w:rPr>
          <w:rFonts w:eastAsia="Calibri"/>
          <w:b/>
          <w:bCs/>
          <w:lang w:val="en-US"/>
        </w:rPr>
        <w:t xml:space="preserve"> </w:t>
      </w:r>
      <w:proofErr w:type="spellStart"/>
      <w:r w:rsidRPr="00F1606F">
        <w:rPr>
          <w:rFonts w:eastAsia="Calibri"/>
          <w:b/>
          <w:bCs/>
          <w:lang w:val="en-US"/>
        </w:rPr>
        <w:t>polyphylla</w:t>
      </w:r>
      <w:proofErr w:type="spellEnd"/>
      <w:r w:rsidRPr="00F1606F">
        <w:rPr>
          <w:rFonts w:eastAsia="Calibri"/>
          <w:b/>
          <w:bCs/>
          <w:lang w:val="en-US"/>
        </w:rPr>
        <w:t xml:space="preserve"> Baker (Ericaceae), </w:t>
      </w:r>
      <w:proofErr w:type="spellStart"/>
      <w:r w:rsidRPr="00F1606F">
        <w:rPr>
          <w:rFonts w:eastAsia="Calibri"/>
          <w:b/>
          <w:bCs/>
          <w:lang w:val="en-US"/>
        </w:rPr>
        <w:t>Tambourissa</w:t>
      </w:r>
      <w:proofErr w:type="spellEnd"/>
      <w:r w:rsidRPr="00F1606F">
        <w:rPr>
          <w:rFonts w:eastAsia="Calibri"/>
          <w:b/>
          <w:bCs/>
          <w:lang w:val="en-US"/>
        </w:rPr>
        <w:t xml:space="preserve"> </w:t>
      </w:r>
      <w:proofErr w:type="spellStart"/>
      <w:r w:rsidRPr="00F1606F">
        <w:rPr>
          <w:rFonts w:eastAsia="Calibri"/>
          <w:b/>
          <w:bCs/>
          <w:lang w:val="en-US"/>
        </w:rPr>
        <w:t>trichophylla</w:t>
      </w:r>
      <w:proofErr w:type="spellEnd"/>
      <w:r w:rsidRPr="00F1606F">
        <w:rPr>
          <w:rFonts w:eastAsia="Calibri"/>
          <w:b/>
          <w:bCs/>
          <w:lang w:val="en-US"/>
        </w:rPr>
        <w:t xml:space="preserve"> Baker (</w:t>
      </w:r>
      <w:proofErr w:type="spellStart"/>
      <w:r w:rsidRPr="00F1606F">
        <w:rPr>
          <w:rFonts w:eastAsia="Calibri"/>
          <w:b/>
          <w:bCs/>
          <w:lang w:val="en-US"/>
        </w:rPr>
        <w:t>Monimiaceae</w:t>
      </w:r>
      <w:proofErr w:type="spellEnd"/>
      <w:r w:rsidRPr="00F1606F">
        <w:rPr>
          <w:rFonts w:eastAsia="Calibri"/>
          <w:b/>
          <w:bCs/>
          <w:lang w:val="en-US"/>
        </w:rPr>
        <w:t xml:space="preserve">), </w:t>
      </w:r>
      <w:proofErr w:type="spellStart"/>
      <w:r w:rsidRPr="00F1606F">
        <w:rPr>
          <w:rFonts w:eastAsia="Calibri"/>
          <w:b/>
          <w:bCs/>
          <w:lang w:val="en-US"/>
        </w:rPr>
        <w:t>Embelia</w:t>
      </w:r>
      <w:proofErr w:type="spellEnd"/>
      <w:r w:rsidRPr="00F1606F">
        <w:rPr>
          <w:rFonts w:eastAsia="Calibri"/>
          <w:b/>
          <w:bCs/>
          <w:lang w:val="en-US"/>
        </w:rPr>
        <w:t xml:space="preserve"> </w:t>
      </w:r>
      <w:proofErr w:type="spellStart"/>
      <w:r w:rsidRPr="00F1606F">
        <w:rPr>
          <w:rFonts w:eastAsia="Calibri"/>
          <w:b/>
          <w:bCs/>
          <w:lang w:val="en-US"/>
        </w:rPr>
        <w:t>concinna</w:t>
      </w:r>
      <w:proofErr w:type="spellEnd"/>
      <w:r w:rsidRPr="00F1606F">
        <w:rPr>
          <w:rFonts w:eastAsia="Calibri"/>
          <w:b/>
          <w:bCs/>
          <w:lang w:val="en-US"/>
        </w:rPr>
        <w:t xml:space="preserve"> Baker (</w:t>
      </w:r>
      <w:proofErr w:type="spellStart"/>
      <w:r w:rsidRPr="00F1606F">
        <w:rPr>
          <w:rFonts w:eastAsia="Calibri"/>
          <w:b/>
          <w:bCs/>
          <w:lang w:val="en-US"/>
        </w:rPr>
        <w:t>Myrsinaceae</w:t>
      </w:r>
      <w:proofErr w:type="spellEnd"/>
      <w:r w:rsidRPr="00F1606F">
        <w:rPr>
          <w:rFonts w:eastAsia="Calibri"/>
          <w:b/>
          <w:bCs/>
          <w:lang w:val="en-US"/>
        </w:rPr>
        <w:t>). Doctoral thesis, Paul Sabatier-Toulouse III University (France), 201p.</w:t>
      </w:r>
    </w:p>
    <w:p w14:paraId="1F7A4CF5"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Mattio L., 2008. Taxonomy of the genus Sargassum (</w:t>
      </w:r>
      <w:proofErr w:type="spellStart"/>
      <w:r w:rsidRPr="00F1606F">
        <w:rPr>
          <w:rFonts w:eastAsia="Calibri"/>
          <w:b/>
          <w:bCs/>
          <w:lang w:val="en-US"/>
        </w:rPr>
        <w:t>Fucales</w:t>
      </w:r>
      <w:proofErr w:type="spellEnd"/>
      <w:r w:rsidRPr="00F1606F">
        <w:rPr>
          <w:rFonts w:eastAsia="Calibri"/>
          <w:b/>
          <w:bCs/>
          <w:lang w:val="en-US"/>
        </w:rPr>
        <w:t xml:space="preserve">, </w:t>
      </w:r>
      <w:proofErr w:type="spellStart"/>
      <w:r w:rsidRPr="00F1606F">
        <w:rPr>
          <w:rFonts w:eastAsia="Calibri"/>
          <w:b/>
          <w:bCs/>
          <w:lang w:val="en-US"/>
        </w:rPr>
        <w:t>Phaeophyceae</w:t>
      </w:r>
      <w:proofErr w:type="spellEnd"/>
      <w:r w:rsidRPr="00F1606F">
        <w:rPr>
          <w:rFonts w:eastAsia="Calibri"/>
          <w:b/>
          <w:bCs/>
          <w:lang w:val="en-US"/>
        </w:rPr>
        <w:t>) in New Caledonia and the South Pacific: Morphological and molecular approaches. Doctoral thesis from the University of the Mediterranean - Aix-Marseille II, France, 352p.</w:t>
      </w:r>
    </w:p>
    <w:p w14:paraId="31E72487"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Pugh K., Jenner A., ​​Mencl W., Frost S., </w:t>
      </w:r>
      <w:proofErr w:type="spellStart"/>
      <w:r w:rsidRPr="00F1606F">
        <w:rPr>
          <w:rFonts w:eastAsia="Calibri"/>
          <w:b/>
          <w:bCs/>
          <w:lang w:val="en-US"/>
        </w:rPr>
        <w:t>Shaywitz</w:t>
      </w:r>
      <w:proofErr w:type="spellEnd"/>
      <w:r w:rsidRPr="00F1606F">
        <w:rPr>
          <w:rFonts w:eastAsia="Calibri"/>
          <w:b/>
          <w:bCs/>
          <w:lang w:val="en-US"/>
        </w:rPr>
        <w:t xml:space="preserve"> B., </w:t>
      </w:r>
      <w:proofErr w:type="spellStart"/>
      <w:r w:rsidRPr="00F1606F">
        <w:rPr>
          <w:rFonts w:eastAsia="Calibri"/>
          <w:b/>
          <w:bCs/>
          <w:lang w:val="en-US"/>
        </w:rPr>
        <w:t>Shaywitz</w:t>
      </w:r>
      <w:proofErr w:type="spellEnd"/>
      <w:r w:rsidRPr="00F1606F">
        <w:rPr>
          <w:rFonts w:eastAsia="Calibri"/>
          <w:b/>
          <w:bCs/>
          <w:lang w:val="en-US"/>
        </w:rPr>
        <w:t xml:space="preserve"> S., Katz L., </w:t>
      </w:r>
      <w:proofErr w:type="spellStart"/>
      <w:r w:rsidRPr="00F1606F">
        <w:rPr>
          <w:rFonts w:eastAsia="Calibri"/>
          <w:b/>
          <w:bCs/>
          <w:lang w:val="en-US"/>
        </w:rPr>
        <w:t>Rueckl</w:t>
      </w:r>
      <w:proofErr w:type="spellEnd"/>
      <w:r w:rsidRPr="00F1606F">
        <w:rPr>
          <w:rFonts w:eastAsia="Calibri"/>
          <w:b/>
          <w:bCs/>
          <w:lang w:val="en-US"/>
        </w:rPr>
        <w:t xml:space="preserve"> J., Lee JR., Fulbright R., Marchione K., &amp; Gore J. (in preparation. 2001. Neurobiological studies of reading and reading disability. Journal of Communication Disorders, 34: pp. 479-492.</w:t>
      </w:r>
    </w:p>
    <w:p w14:paraId="0B711A80"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Ruiz G. 2005. Extraction, Structural Determination, and Chemical Valorization of </w:t>
      </w:r>
      <w:proofErr w:type="spellStart"/>
      <w:r w:rsidRPr="00F1606F">
        <w:rPr>
          <w:rFonts w:eastAsia="Calibri"/>
          <w:b/>
          <w:bCs/>
          <w:lang w:val="en-US"/>
        </w:rPr>
        <w:t>Phycocolloids</w:t>
      </w:r>
      <w:proofErr w:type="spellEnd"/>
      <w:r w:rsidRPr="00F1606F">
        <w:rPr>
          <w:rFonts w:eastAsia="Calibri"/>
          <w:b/>
          <w:bCs/>
          <w:lang w:val="en-US"/>
        </w:rPr>
        <w:t xml:space="preserve"> from Red Algae. Doctoral Thesis in Natural Substance Chemistry, University of Limoges, France, 215 p.</w:t>
      </w:r>
    </w:p>
    <w:p w14:paraId="0D12509B" w14:textId="77777777" w:rsidR="00F1606F" w:rsidRPr="00F1606F" w:rsidRDefault="00F1606F" w:rsidP="00F1606F">
      <w:pPr>
        <w:widowControl w:val="0"/>
        <w:autoSpaceDE w:val="0"/>
        <w:autoSpaceDN w:val="0"/>
        <w:adjustRightInd w:val="0"/>
        <w:spacing w:after="240" w:line="360" w:lineRule="auto"/>
        <w:rPr>
          <w:rFonts w:eastAsia="Calibri"/>
          <w:b/>
          <w:bCs/>
          <w:lang w:val="en-US"/>
        </w:rPr>
      </w:pPr>
      <w:proofErr w:type="spellStart"/>
      <w:r w:rsidRPr="00F1606F">
        <w:rPr>
          <w:rFonts w:eastAsia="Calibri"/>
          <w:b/>
          <w:bCs/>
          <w:lang w:val="en-US"/>
        </w:rPr>
        <w:t>Sankaré</w:t>
      </w:r>
      <w:proofErr w:type="spellEnd"/>
      <w:r w:rsidRPr="00F1606F">
        <w:rPr>
          <w:rFonts w:eastAsia="Calibri"/>
          <w:b/>
          <w:bCs/>
          <w:lang w:val="en-US"/>
        </w:rPr>
        <w:t xml:space="preserve"> Y., </w:t>
      </w:r>
      <w:proofErr w:type="spellStart"/>
      <w:r w:rsidRPr="00F1606F">
        <w:rPr>
          <w:rFonts w:eastAsia="Calibri"/>
          <w:b/>
          <w:bCs/>
          <w:lang w:val="en-US"/>
        </w:rPr>
        <w:t>Komoé</w:t>
      </w:r>
      <w:proofErr w:type="spellEnd"/>
      <w:r w:rsidRPr="00F1606F">
        <w:rPr>
          <w:rFonts w:eastAsia="Calibri"/>
          <w:b/>
          <w:bCs/>
          <w:lang w:val="en-US"/>
        </w:rPr>
        <w:t xml:space="preserve"> K., Aka K. S., </w:t>
      </w:r>
      <w:proofErr w:type="spellStart"/>
      <w:r w:rsidRPr="00F1606F">
        <w:rPr>
          <w:rFonts w:eastAsia="Calibri"/>
          <w:b/>
          <w:bCs/>
          <w:lang w:val="en-US"/>
        </w:rPr>
        <w:t>Fofié</w:t>
      </w:r>
      <w:proofErr w:type="spellEnd"/>
      <w:r w:rsidRPr="00F1606F">
        <w:rPr>
          <w:rFonts w:eastAsia="Calibri"/>
          <w:b/>
          <w:bCs/>
          <w:lang w:val="en-US"/>
        </w:rPr>
        <w:t xml:space="preserve"> N. B. Y. &amp; Bamba A., 2016. Distribution and </w:t>
      </w:r>
      <w:r w:rsidRPr="00F1606F">
        <w:rPr>
          <w:rFonts w:eastAsia="Calibri"/>
          <w:b/>
          <w:bCs/>
          <w:lang w:val="en-US"/>
        </w:rPr>
        <w:lastRenderedPageBreak/>
        <w:t xml:space="preserve">abundance of Sargassum </w:t>
      </w:r>
      <w:proofErr w:type="spellStart"/>
      <w:r w:rsidRPr="00F1606F">
        <w:rPr>
          <w:rFonts w:eastAsia="Calibri"/>
          <w:b/>
          <w:bCs/>
          <w:lang w:val="en-US"/>
        </w:rPr>
        <w:t>natans</w:t>
      </w:r>
      <w:proofErr w:type="spellEnd"/>
      <w:r w:rsidRPr="00F1606F">
        <w:rPr>
          <w:rFonts w:eastAsia="Calibri"/>
          <w:b/>
          <w:bCs/>
          <w:lang w:val="en-US"/>
        </w:rPr>
        <w:t xml:space="preserve"> and Sargassum </w:t>
      </w:r>
      <w:proofErr w:type="spellStart"/>
      <w:r w:rsidRPr="00F1606F">
        <w:rPr>
          <w:rFonts w:eastAsia="Calibri"/>
          <w:b/>
          <w:bCs/>
          <w:lang w:val="en-US"/>
        </w:rPr>
        <w:t>fluitans</w:t>
      </w:r>
      <w:proofErr w:type="spellEnd"/>
      <w:r w:rsidRPr="00F1606F">
        <w:rPr>
          <w:rFonts w:eastAsia="Calibri"/>
          <w:b/>
          <w:bCs/>
          <w:lang w:val="en-US"/>
        </w:rPr>
        <w:t xml:space="preserve"> (</w:t>
      </w:r>
      <w:proofErr w:type="spellStart"/>
      <w:r w:rsidRPr="00F1606F">
        <w:rPr>
          <w:rFonts w:eastAsia="Calibri"/>
          <w:b/>
          <w:bCs/>
          <w:lang w:val="en-US"/>
        </w:rPr>
        <w:t>Sargassaceae</w:t>
      </w:r>
      <w:proofErr w:type="spellEnd"/>
      <w:r w:rsidRPr="00F1606F">
        <w:rPr>
          <w:rFonts w:eastAsia="Calibri"/>
          <w:b/>
          <w:bCs/>
          <w:lang w:val="en-US"/>
        </w:rPr>
        <w:t xml:space="preserve">, </w:t>
      </w:r>
      <w:proofErr w:type="spellStart"/>
      <w:r w:rsidRPr="00F1606F">
        <w:rPr>
          <w:rFonts w:eastAsia="Calibri"/>
          <w:b/>
          <w:bCs/>
          <w:lang w:val="en-US"/>
        </w:rPr>
        <w:t>Fucales</w:t>
      </w:r>
      <w:proofErr w:type="spellEnd"/>
      <w:r w:rsidRPr="00F1606F">
        <w:rPr>
          <w:rFonts w:eastAsia="Calibri"/>
          <w:b/>
          <w:bCs/>
          <w:lang w:val="en-US"/>
        </w:rPr>
        <w:t>) in Ivorian marine waters (West Africa). Int. J. Biol. Chem. Sci. 10(4): 1853-1864.</w:t>
      </w:r>
    </w:p>
    <w:p w14:paraId="12AB1551"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Smit A. J., 2004. Medicinal and pharmaceutical uses of seaweed natural products: A review. </w:t>
      </w:r>
      <w:proofErr w:type="spellStart"/>
      <w:r w:rsidRPr="00F1606F">
        <w:rPr>
          <w:rFonts w:eastAsia="Calibri"/>
          <w:b/>
          <w:bCs/>
          <w:lang w:val="en-US"/>
        </w:rPr>
        <w:t>J.Appl</w:t>
      </w:r>
      <w:proofErr w:type="spellEnd"/>
      <w:r w:rsidRPr="00F1606F">
        <w:rPr>
          <w:rFonts w:eastAsia="Calibri"/>
          <w:b/>
          <w:bCs/>
          <w:lang w:val="en-US"/>
        </w:rPr>
        <w:t>. Phycol.16:245-262. </w:t>
      </w:r>
    </w:p>
    <w:p w14:paraId="485D7115"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Song J. H., Kim S. K, Chang K. W., Han S. K., Yi H. K. &amp; Jeon J. G., 2006. In vitro inhibitory effects of Polygonum </w:t>
      </w:r>
      <w:proofErr w:type="spellStart"/>
      <w:r w:rsidRPr="00F1606F">
        <w:rPr>
          <w:rFonts w:eastAsia="Calibri"/>
          <w:b/>
          <w:bCs/>
          <w:lang w:val="en-US"/>
        </w:rPr>
        <w:t>cuspidatum</w:t>
      </w:r>
      <w:proofErr w:type="spellEnd"/>
      <w:r w:rsidRPr="00F1606F">
        <w:rPr>
          <w:rFonts w:eastAsia="Calibri"/>
          <w:b/>
          <w:bCs/>
          <w:lang w:val="en-US"/>
        </w:rPr>
        <w:t xml:space="preserve"> on bacterial viability and virulence factors of Streptococcus </w:t>
      </w:r>
      <w:proofErr w:type="spellStart"/>
      <w:r w:rsidRPr="00F1606F">
        <w:rPr>
          <w:rFonts w:eastAsia="Calibri"/>
          <w:b/>
          <w:bCs/>
          <w:lang w:val="en-US"/>
        </w:rPr>
        <w:t>mutans</w:t>
      </w:r>
      <w:proofErr w:type="spellEnd"/>
      <w:r w:rsidRPr="00F1606F">
        <w:rPr>
          <w:rFonts w:eastAsia="Calibri"/>
          <w:b/>
          <w:bCs/>
          <w:lang w:val="en-US"/>
        </w:rPr>
        <w:t xml:space="preserve"> and Streptococcus </w:t>
      </w:r>
      <w:proofErr w:type="spellStart"/>
      <w:r w:rsidRPr="00F1606F">
        <w:rPr>
          <w:rFonts w:eastAsia="Calibri"/>
          <w:b/>
          <w:bCs/>
          <w:lang w:val="en-US"/>
        </w:rPr>
        <w:t>sobrinus</w:t>
      </w:r>
      <w:proofErr w:type="spellEnd"/>
      <w:r w:rsidRPr="00F1606F">
        <w:rPr>
          <w:rFonts w:eastAsia="Calibri"/>
          <w:b/>
          <w:bCs/>
          <w:lang w:val="en-US"/>
        </w:rPr>
        <w:t>. Archives Oral Biology. 51 (12):1131-1140</w:t>
      </w:r>
    </w:p>
    <w:p w14:paraId="43C8165C" w14:textId="77777777" w:rsidR="00F1606F" w:rsidRPr="00F1606F" w:rsidRDefault="00F1606F" w:rsidP="00F1606F">
      <w:pPr>
        <w:widowControl w:val="0"/>
        <w:autoSpaceDE w:val="0"/>
        <w:autoSpaceDN w:val="0"/>
        <w:adjustRightInd w:val="0"/>
        <w:spacing w:after="240" w:line="360" w:lineRule="auto"/>
        <w:rPr>
          <w:rFonts w:eastAsia="Calibri"/>
          <w:b/>
          <w:bCs/>
          <w:lang w:val="en-US"/>
        </w:rPr>
      </w:pPr>
      <w:r w:rsidRPr="00F1606F">
        <w:rPr>
          <w:rFonts w:eastAsia="Calibri"/>
          <w:b/>
          <w:bCs/>
          <w:lang w:val="en-US"/>
        </w:rPr>
        <w:t xml:space="preserve">Sun H.H., Mao W.J., Fang F. &amp; Li H.Y. (2007). Polysaccharides from marine green seaweed Ulva species and their characteristics. </w:t>
      </w:r>
      <w:proofErr w:type="spellStart"/>
      <w:r w:rsidRPr="00F1606F">
        <w:rPr>
          <w:rFonts w:eastAsia="Calibri"/>
          <w:b/>
          <w:bCs/>
          <w:lang w:val="en-US"/>
        </w:rPr>
        <w:t>AgroFOOD</w:t>
      </w:r>
      <w:proofErr w:type="spellEnd"/>
      <w:r w:rsidRPr="00F1606F">
        <w:rPr>
          <w:rFonts w:eastAsia="Calibri"/>
          <w:b/>
          <w:bCs/>
          <w:lang w:val="en-US"/>
        </w:rPr>
        <w:t>, 18:28-29.</w:t>
      </w:r>
    </w:p>
    <w:p w14:paraId="6E0E9831" w14:textId="77777777" w:rsidR="00F1606F" w:rsidRPr="00F1606F" w:rsidRDefault="00F1606F" w:rsidP="00F1606F">
      <w:pPr>
        <w:widowControl w:val="0"/>
        <w:autoSpaceDE w:val="0"/>
        <w:autoSpaceDN w:val="0"/>
        <w:adjustRightInd w:val="0"/>
        <w:spacing w:after="240" w:line="360" w:lineRule="auto"/>
        <w:rPr>
          <w:rFonts w:eastAsia="Calibri"/>
          <w:b/>
          <w:bCs/>
          <w:lang w:val="en-US"/>
        </w:rPr>
      </w:pPr>
      <w:proofErr w:type="spellStart"/>
      <w:r w:rsidRPr="00F1606F">
        <w:rPr>
          <w:rFonts w:eastAsia="Calibri"/>
          <w:b/>
          <w:bCs/>
          <w:lang w:val="en-US"/>
        </w:rPr>
        <w:t>Zirihi</w:t>
      </w:r>
      <w:proofErr w:type="spellEnd"/>
      <w:r w:rsidRPr="00F1606F">
        <w:rPr>
          <w:rFonts w:eastAsia="Calibri"/>
          <w:b/>
          <w:bCs/>
          <w:lang w:val="en-US"/>
        </w:rPr>
        <w:t xml:space="preserve"> G. N., 2001. Activity Immunostimulatory and antitumor properties of the aqueous extract of Alternanthera repens (L) Link (</w:t>
      </w:r>
      <w:proofErr w:type="spellStart"/>
      <w:r w:rsidRPr="00F1606F">
        <w:rPr>
          <w:rFonts w:eastAsia="Calibri"/>
          <w:b/>
          <w:bCs/>
          <w:lang w:val="en-US"/>
        </w:rPr>
        <w:t>Amaranthaceae</w:t>
      </w:r>
      <w:proofErr w:type="spellEnd"/>
      <w:r w:rsidRPr="00F1606F">
        <w:rPr>
          <w:rFonts w:eastAsia="Calibri"/>
          <w:b/>
          <w:bCs/>
          <w:lang w:val="en-US"/>
        </w:rPr>
        <w:t xml:space="preserve">). Rev </w:t>
      </w:r>
      <w:proofErr w:type="spellStart"/>
      <w:r w:rsidRPr="00F1606F">
        <w:rPr>
          <w:rFonts w:eastAsia="Calibri"/>
          <w:b/>
          <w:bCs/>
          <w:lang w:val="en-US"/>
        </w:rPr>
        <w:t>Méd</w:t>
      </w:r>
      <w:proofErr w:type="spellEnd"/>
      <w:r w:rsidRPr="00F1606F">
        <w:rPr>
          <w:rFonts w:eastAsia="Calibri"/>
          <w:b/>
          <w:bCs/>
          <w:lang w:val="en-US"/>
        </w:rPr>
        <w:t>. Pharm. Afr., 16: 59-68.</w:t>
      </w:r>
    </w:p>
    <w:p w14:paraId="40F188A9" w14:textId="77777777" w:rsidR="00F1606F" w:rsidRPr="00F1606F" w:rsidRDefault="00F1606F" w:rsidP="00F1606F">
      <w:pPr>
        <w:widowControl w:val="0"/>
        <w:autoSpaceDE w:val="0"/>
        <w:autoSpaceDN w:val="0"/>
        <w:adjustRightInd w:val="0"/>
        <w:spacing w:after="240" w:line="360" w:lineRule="auto"/>
        <w:rPr>
          <w:rFonts w:eastAsia="Calibri"/>
          <w:b/>
          <w:bCs/>
          <w:lang w:val="en-US"/>
        </w:rPr>
      </w:pPr>
    </w:p>
    <w:p w14:paraId="72DF85E6" w14:textId="1995DC60" w:rsidR="00494CDE" w:rsidRPr="00A81558" w:rsidRDefault="00F1606F" w:rsidP="00F1606F">
      <w:pPr>
        <w:widowControl w:val="0"/>
        <w:autoSpaceDE w:val="0"/>
        <w:autoSpaceDN w:val="0"/>
        <w:adjustRightInd w:val="0"/>
        <w:spacing w:after="240" w:line="360" w:lineRule="auto"/>
      </w:pPr>
      <w:r w:rsidRPr="00F1606F">
        <w:rPr>
          <w:rFonts w:eastAsia="Calibri"/>
          <w:b/>
          <w:bCs/>
          <w:lang w:val="en-US"/>
        </w:rPr>
        <w:t>Zubia M., 2003. - Industrial valorization of invasive brown algae (</w:t>
      </w:r>
      <w:proofErr w:type="spellStart"/>
      <w:r w:rsidRPr="00F1606F">
        <w:rPr>
          <w:rFonts w:eastAsia="Calibri"/>
          <w:b/>
          <w:bCs/>
          <w:lang w:val="en-US"/>
        </w:rPr>
        <w:t>Fucales</w:t>
      </w:r>
      <w:proofErr w:type="spellEnd"/>
      <w:r w:rsidRPr="00F1606F">
        <w:rPr>
          <w:rFonts w:eastAsia="Calibri"/>
          <w:b/>
          <w:bCs/>
          <w:lang w:val="en-US"/>
        </w:rPr>
        <w:t>) from French Polynesia: a prospective study</w:t>
      </w:r>
      <w:r w:rsidRPr="00F1606F">
        <w:t xml:space="preserve"> </w:t>
      </w:r>
      <w:r w:rsidRPr="00F1606F">
        <w:rPr>
          <w:rFonts w:eastAsia="Calibri"/>
          <w:b/>
          <w:bCs/>
          <w:lang w:val="en-US"/>
        </w:rPr>
        <w:t>to combat their proliferation and contribute to the sustainable management of the reef environment. Doctoral thesis, University of French Polynesia, Papeete, pp. 297.</w:t>
      </w:r>
    </w:p>
    <w:sectPr w:rsidR="00494CDE" w:rsidRPr="00A81558" w:rsidSect="00E0416D">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08147" w14:textId="77777777" w:rsidR="00652707" w:rsidRDefault="00652707" w:rsidP="00742D2F">
      <w:r>
        <w:separator/>
      </w:r>
    </w:p>
  </w:endnote>
  <w:endnote w:type="continuationSeparator" w:id="0">
    <w:p w14:paraId="14B566FA" w14:textId="77777777" w:rsidR="00652707" w:rsidRDefault="00652707" w:rsidP="0074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8469647"/>
      <w:docPartObj>
        <w:docPartGallery w:val="Page Numbers (Bottom of Page)"/>
        <w:docPartUnique/>
      </w:docPartObj>
    </w:sdtPr>
    <w:sdtEndPr>
      <w:rPr>
        <w:rStyle w:val="PageNumber"/>
      </w:rPr>
    </w:sdtEndPr>
    <w:sdtContent>
      <w:p w14:paraId="4AB06CCC" w14:textId="77777777" w:rsidR="00742D2F" w:rsidRDefault="00742D2F" w:rsidP="00CF62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4A9883" w14:textId="77777777" w:rsidR="00742D2F" w:rsidRDefault="00742D2F" w:rsidP="00742D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5229011"/>
      <w:docPartObj>
        <w:docPartGallery w:val="Page Numbers (Bottom of Page)"/>
        <w:docPartUnique/>
      </w:docPartObj>
    </w:sdtPr>
    <w:sdtEndPr>
      <w:rPr>
        <w:rStyle w:val="PageNumber"/>
      </w:rPr>
    </w:sdtEndPr>
    <w:sdtContent>
      <w:p w14:paraId="14149C31" w14:textId="77777777" w:rsidR="00742D2F" w:rsidRDefault="00742D2F" w:rsidP="00CF62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B8D193" w14:textId="77777777" w:rsidR="00742D2F" w:rsidRDefault="00742D2F" w:rsidP="00742D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4FB04" w14:textId="77777777" w:rsidR="00063928" w:rsidRDefault="00063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0C847" w14:textId="77777777" w:rsidR="00652707" w:rsidRDefault="00652707" w:rsidP="00742D2F">
      <w:r>
        <w:separator/>
      </w:r>
    </w:p>
  </w:footnote>
  <w:footnote w:type="continuationSeparator" w:id="0">
    <w:p w14:paraId="3E948DAA" w14:textId="77777777" w:rsidR="00652707" w:rsidRDefault="00652707" w:rsidP="00742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041B" w14:textId="31E2C490" w:rsidR="00063928" w:rsidRDefault="00063928">
    <w:pPr>
      <w:pStyle w:val="Header"/>
    </w:pPr>
    <w:r>
      <w:rPr>
        <w:noProof/>
      </w:rPr>
      <w:pict w14:anchorId="1F94F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389876"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F4641" w14:textId="37D07D86" w:rsidR="00063928" w:rsidRDefault="00063928">
    <w:pPr>
      <w:pStyle w:val="Header"/>
    </w:pPr>
    <w:r>
      <w:rPr>
        <w:noProof/>
      </w:rPr>
      <w:pict w14:anchorId="218CF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389877"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EF25" w14:textId="10B1DBFD" w:rsidR="00063928" w:rsidRDefault="00063928">
    <w:pPr>
      <w:pStyle w:val="Header"/>
    </w:pPr>
    <w:r>
      <w:rPr>
        <w:noProof/>
      </w:rPr>
      <w:pict w14:anchorId="1F155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389875"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60E33"/>
    <w:multiLevelType w:val="multilevel"/>
    <w:tmpl w:val="DCEA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45F89"/>
    <w:multiLevelType w:val="multilevel"/>
    <w:tmpl w:val="8F96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681572"/>
    <w:multiLevelType w:val="hybridMultilevel"/>
    <w:tmpl w:val="238ABA6E"/>
    <w:lvl w:ilvl="0" w:tplc="8C3C3CFC">
      <w:numFmt w:val="bullet"/>
      <w:lvlText w:val="-"/>
      <w:lvlJc w:val="left"/>
      <w:pPr>
        <w:ind w:left="600" w:hanging="360"/>
      </w:pPr>
      <w:rPr>
        <w:rFonts w:ascii="Times" w:eastAsiaTheme="minorHAnsi" w:hAnsi="Times" w:cs="Times"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A32"/>
    <w:rsid w:val="00001401"/>
    <w:rsid w:val="000039CE"/>
    <w:rsid w:val="000078BC"/>
    <w:rsid w:val="00010BAB"/>
    <w:rsid w:val="00012C9C"/>
    <w:rsid w:val="00023723"/>
    <w:rsid w:val="00036BDC"/>
    <w:rsid w:val="00040236"/>
    <w:rsid w:val="00053700"/>
    <w:rsid w:val="00054E0C"/>
    <w:rsid w:val="00057DD3"/>
    <w:rsid w:val="00063928"/>
    <w:rsid w:val="00073B6D"/>
    <w:rsid w:val="00075D50"/>
    <w:rsid w:val="00086081"/>
    <w:rsid w:val="000860AD"/>
    <w:rsid w:val="000870BC"/>
    <w:rsid w:val="00091E73"/>
    <w:rsid w:val="000A076D"/>
    <w:rsid w:val="000A26A7"/>
    <w:rsid w:val="000A57C9"/>
    <w:rsid w:val="000A7884"/>
    <w:rsid w:val="000B0184"/>
    <w:rsid w:val="000B7FB4"/>
    <w:rsid w:val="000E7FBC"/>
    <w:rsid w:val="000F5C44"/>
    <w:rsid w:val="00104035"/>
    <w:rsid w:val="00105F42"/>
    <w:rsid w:val="00123E4E"/>
    <w:rsid w:val="0012488D"/>
    <w:rsid w:val="001313B8"/>
    <w:rsid w:val="0013491D"/>
    <w:rsid w:val="00146BE1"/>
    <w:rsid w:val="0015417E"/>
    <w:rsid w:val="001555D4"/>
    <w:rsid w:val="00163785"/>
    <w:rsid w:val="001771D3"/>
    <w:rsid w:val="00187159"/>
    <w:rsid w:val="00187F82"/>
    <w:rsid w:val="001A016B"/>
    <w:rsid w:val="001A0F44"/>
    <w:rsid w:val="001A7C95"/>
    <w:rsid w:val="001B176A"/>
    <w:rsid w:val="001C3BF7"/>
    <w:rsid w:val="001D4D2E"/>
    <w:rsid w:val="001D559A"/>
    <w:rsid w:val="001E19CF"/>
    <w:rsid w:val="001E6204"/>
    <w:rsid w:val="001E7461"/>
    <w:rsid w:val="001E7DCB"/>
    <w:rsid w:val="001F00CC"/>
    <w:rsid w:val="001F352F"/>
    <w:rsid w:val="001F53B9"/>
    <w:rsid w:val="0021194D"/>
    <w:rsid w:val="002170E7"/>
    <w:rsid w:val="002242E3"/>
    <w:rsid w:val="0023377D"/>
    <w:rsid w:val="00244184"/>
    <w:rsid w:val="00247AC5"/>
    <w:rsid w:val="002571EB"/>
    <w:rsid w:val="00261D3C"/>
    <w:rsid w:val="002650EE"/>
    <w:rsid w:val="0028797D"/>
    <w:rsid w:val="00294323"/>
    <w:rsid w:val="002A3AB2"/>
    <w:rsid w:val="002A401B"/>
    <w:rsid w:val="002A5455"/>
    <w:rsid w:val="002C1A8A"/>
    <w:rsid w:val="002E5019"/>
    <w:rsid w:val="002F0601"/>
    <w:rsid w:val="002F310C"/>
    <w:rsid w:val="00315D7C"/>
    <w:rsid w:val="00322C20"/>
    <w:rsid w:val="00336640"/>
    <w:rsid w:val="00344964"/>
    <w:rsid w:val="00367407"/>
    <w:rsid w:val="00370451"/>
    <w:rsid w:val="00373F23"/>
    <w:rsid w:val="003843CA"/>
    <w:rsid w:val="00391D84"/>
    <w:rsid w:val="003A08E8"/>
    <w:rsid w:val="003A439B"/>
    <w:rsid w:val="003B3C9F"/>
    <w:rsid w:val="003B428D"/>
    <w:rsid w:val="003C170E"/>
    <w:rsid w:val="003C3758"/>
    <w:rsid w:val="003D4BA7"/>
    <w:rsid w:val="003D7126"/>
    <w:rsid w:val="003E5F7F"/>
    <w:rsid w:val="003E6D76"/>
    <w:rsid w:val="004041FA"/>
    <w:rsid w:val="0041792B"/>
    <w:rsid w:val="00437C43"/>
    <w:rsid w:val="00455521"/>
    <w:rsid w:val="0046011C"/>
    <w:rsid w:val="00463127"/>
    <w:rsid w:val="004670AE"/>
    <w:rsid w:val="004812E8"/>
    <w:rsid w:val="00494CDE"/>
    <w:rsid w:val="004B214F"/>
    <w:rsid w:val="004B21AA"/>
    <w:rsid w:val="004B3B55"/>
    <w:rsid w:val="004B5830"/>
    <w:rsid w:val="004B59CA"/>
    <w:rsid w:val="004C1011"/>
    <w:rsid w:val="004C3A25"/>
    <w:rsid w:val="004D6C4F"/>
    <w:rsid w:val="004D7F3E"/>
    <w:rsid w:val="004E1CE2"/>
    <w:rsid w:val="004F7D23"/>
    <w:rsid w:val="00503678"/>
    <w:rsid w:val="00505C24"/>
    <w:rsid w:val="00535BBE"/>
    <w:rsid w:val="00537FDF"/>
    <w:rsid w:val="00554C52"/>
    <w:rsid w:val="0056387C"/>
    <w:rsid w:val="00573E22"/>
    <w:rsid w:val="0057594F"/>
    <w:rsid w:val="00590BE7"/>
    <w:rsid w:val="005B5C75"/>
    <w:rsid w:val="005E5593"/>
    <w:rsid w:val="006008B3"/>
    <w:rsid w:val="0061356C"/>
    <w:rsid w:val="00630B82"/>
    <w:rsid w:val="00635658"/>
    <w:rsid w:val="00652707"/>
    <w:rsid w:val="00652F66"/>
    <w:rsid w:val="00653B1D"/>
    <w:rsid w:val="00657366"/>
    <w:rsid w:val="00667378"/>
    <w:rsid w:val="006738F7"/>
    <w:rsid w:val="00674E19"/>
    <w:rsid w:val="006752F4"/>
    <w:rsid w:val="00676A80"/>
    <w:rsid w:val="00677B2E"/>
    <w:rsid w:val="00687F06"/>
    <w:rsid w:val="00696DB8"/>
    <w:rsid w:val="00697A33"/>
    <w:rsid w:val="006A6C77"/>
    <w:rsid w:val="006D783E"/>
    <w:rsid w:val="006F3AAC"/>
    <w:rsid w:val="00715704"/>
    <w:rsid w:val="00715F1B"/>
    <w:rsid w:val="00716D86"/>
    <w:rsid w:val="007229FC"/>
    <w:rsid w:val="00727FE0"/>
    <w:rsid w:val="00733D6B"/>
    <w:rsid w:val="0073448E"/>
    <w:rsid w:val="00737348"/>
    <w:rsid w:val="00742D2F"/>
    <w:rsid w:val="00751B59"/>
    <w:rsid w:val="007619C4"/>
    <w:rsid w:val="00766E4A"/>
    <w:rsid w:val="00781CBA"/>
    <w:rsid w:val="00787942"/>
    <w:rsid w:val="00787A49"/>
    <w:rsid w:val="007904D5"/>
    <w:rsid w:val="007A29B8"/>
    <w:rsid w:val="007A6925"/>
    <w:rsid w:val="007B56CF"/>
    <w:rsid w:val="007C25EE"/>
    <w:rsid w:val="007C3D6D"/>
    <w:rsid w:val="007D2955"/>
    <w:rsid w:val="00801625"/>
    <w:rsid w:val="00803E3E"/>
    <w:rsid w:val="00812931"/>
    <w:rsid w:val="00824DDC"/>
    <w:rsid w:val="008253BF"/>
    <w:rsid w:val="00832E5F"/>
    <w:rsid w:val="00835F13"/>
    <w:rsid w:val="00860C8D"/>
    <w:rsid w:val="00867A34"/>
    <w:rsid w:val="00886D3C"/>
    <w:rsid w:val="00893734"/>
    <w:rsid w:val="008A02B2"/>
    <w:rsid w:val="008A2ABB"/>
    <w:rsid w:val="008B39F5"/>
    <w:rsid w:val="008B5B29"/>
    <w:rsid w:val="008D5229"/>
    <w:rsid w:val="008E1387"/>
    <w:rsid w:val="008E2C6F"/>
    <w:rsid w:val="008E48C9"/>
    <w:rsid w:val="00913F65"/>
    <w:rsid w:val="00915043"/>
    <w:rsid w:val="00923DD3"/>
    <w:rsid w:val="00940A3F"/>
    <w:rsid w:val="00945A52"/>
    <w:rsid w:val="009631B5"/>
    <w:rsid w:val="009703E0"/>
    <w:rsid w:val="009856A6"/>
    <w:rsid w:val="00994FC2"/>
    <w:rsid w:val="009A2514"/>
    <w:rsid w:val="009A53D9"/>
    <w:rsid w:val="009C71EF"/>
    <w:rsid w:val="009D76A3"/>
    <w:rsid w:val="009E1DB0"/>
    <w:rsid w:val="009E34C1"/>
    <w:rsid w:val="009E4DFB"/>
    <w:rsid w:val="009F2087"/>
    <w:rsid w:val="009F2EA1"/>
    <w:rsid w:val="009F5CB5"/>
    <w:rsid w:val="00A007CB"/>
    <w:rsid w:val="00A12C07"/>
    <w:rsid w:val="00A244C1"/>
    <w:rsid w:val="00A36569"/>
    <w:rsid w:val="00A3691E"/>
    <w:rsid w:val="00A37890"/>
    <w:rsid w:val="00A42508"/>
    <w:rsid w:val="00A43E25"/>
    <w:rsid w:val="00A46A0B"/>
    <w:rsid w:val="00A53ACC"/>
    <w:rsid w:val="00A54564"/>
    <w:rsid w:val="00A676EA"/>
    <w:rsid w:val="00A81558"/>
    <w:rsid w:val="00A824F9"/>
    <w:rsid w:val="00A8634C"/>
    <w:rsid w:val="00A97158"/>
    <w:rsid w:val="00AB6D2A"/>
    <w:rsid w:val="00AC5349"/>
    <w:rsid w:val="00AD540A"/>
    <w:rsid w:val="00AD634C"/>
    <w:rsid w:val="00AD7BC4"/>
    <w:rsid w:val="00AE67D0"/>
    <w:rsid w:val="00AF25ED"/>
    <w:rsid w:val="00B214AD"/>
    <w:rsid w:val="00B25836"/>
    <w:rsid w:val="00B27E8C"/>
    <w:rsid w:val="00B328F7"/>
    <w:rsid w:val="00B33989"/>
    <w:rsid w:val="00B462F5"/>
    <w:rsid w:val="00B47270"/>
    <w:rsid w:val="00B57370"/>
    <w:rsid w:val="00B64336"/>
    <w:rsid w:val="00B7494E"/>
    <w:rsid w:val="00B773F1"/>
    <w:rsid w:val="00B9420C"/>
    <w:rsid w:val="00BA14F6"/>
    <w:rsid w:val="00BA5266"/>
    <w:rsid w:val="00BC4360"/>
    <w:rsid w:val="00BF05F3"/>
    <w:rsid w:val="00C05A32"/>
    <w:rsid w:val="00C31A84"/>
    <w:rsid w:val="00C3425C"/>
    <w:rsid w:val="00C35C01"/>
    <w:rsid w:val="00C6703A"/>
    <w:rsid w:val="00C77FA5"/>
    <w:rsid w:val="00C8207A"/>
    <w:rsid w:val="00C84C9F"/>
    <w:rsid w:val="00C85758"/>
    <w:rsid w:val="00C8737F"/>
    <w:rsid w:val="00CA4620"/>
    <w:rsid w:val="00CA5DBB"/>
    <w:rsid w:val="00CC2E2E"/>
    <w:rsid w:val="00CC381A"/>
    <w:rsid w:val="00CC4F35"/>
    <w:rsid w:val="00CD30DE"/>
    <w:rsid w:val="00CD3AFE"/>
    <w:rsid w:val="00CE1C57"/>
    <w:rsid w:val="00CF5849"/>
    <w:rsid w:val="00CF5897"/>
    <w:rsid w:val="00CF69C5"/>
    <w:rsid w:val="00D075FC"/>
    <w:rsid w:val="00D20660"/>
    <w:rsid w:val="00D356E5"/>
    <w:rsid w:val="00D360DE"/>
    <w:rsid w:val="00D7224C"/>
    <w:rsid w:val="00D77D43"/>
    <w:rsid w:val="00D9537B"/>
    <w:rsid w:val="00D95EAC"/>
    <w:rsid w:val="00DA57B6"/>
    <w:rsid w:val="00DB09B6"/>
    <w:rsid w:val="00DC0CD9"/>
    <w:rsid w:val="00DC1F76"/>
    <w:rsid w:val="00DC2A4B"/>
    <w:rsid w:val="00DE27A4"/>
    <w:rsid w:val="00DE55F2"/>
    <w:rsid w:val="00DE5A58"/>
    <w:rsid w:val="00DE5E49"/>
    <w:rsid w:val="00DF428B"/>
    <w:rsid w:val="00E00BDA"/>
    <w:rsid w:val="00E0416D"/>
    <w:rsid w:val="00E07A50"/>
    <w:rsid w:val="00E141A4"/>
    <w:rsid w:val="00E16484"/>
    <w:rsid w:val="00E205C7"/>
    <w:rsid w:val="00E2258C"/>
    <w:rsid w:val="00E25D0D"/>
    <w:rsid w:val="00E30D64"/>
    <w:rsid w:val="00E60146"/>
    <w:rsid w:val="00E626D1"/>
    <w:rsid w:val="00E6276B"/>
    <w:rsid w:val="00E71927"/>
    <w:rsid w:val="00E737CE"/>
    <w:rsid w:val="00E85F56"/>
    <w:rsid w:val="00EA3C91"/>
    <w:rsid w:val="00EC1DC5"/>
    <w:rsid w:val="00EC2E2B"/>
    <w:rsid w:val="00ED25BB"/>
    <w:rsid w:val="00ED4E1A"/>
    <w:rsid w:val="00ED5056"/>
    <w:rsid w:val="00EE1A7E"/>
    <w:rsid w:val="00EF337A"/>
    <w:rsid w:val="00F13198"/>
    <w:rsid w:val="00F1606F"/>
    <w:rsid w:val="00F37786"/>
    <w:rsid w:val="00F470DF"/>
    <w:rsid w:val="00F63702"/>
    <w:rsid w:val="00F75DD7"/>
    <w:rsid w:val="00F8224E"/>
    <w:rsid w:val="00F84C93"/>
    <w:rsid w:val="00F93DBC"/>
    <w:rsid w:val="00F946C1"/>
    <w:rsid w:val="00F97818"/>
    <w:rsid w:val="00FA3CCC"/>
    <w:rsid w:val="00FA4946"/>
    <w:rsid w:val="00FB73B2"/>
    <w:rsid w:val="00FC6609"/>
    <w:rsid w:val="00FE7CD1"/>
    <w:rsid w:val="00FF2834"/>
    <w:rsid w:val="00FF7E8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D3512"/>
  <w15:chartTrackingRefBased/>
  <w15:docId w15:val="{84829932-80E9-5E40-8A45-F8AF7497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7CE"/>
    <w:pPr>
      <w:spacing w:after="0" w:line="240" w:lineRule="auto"/>
    </w:pPr>
    <w:rPr>
      <w:rFonts w:ascii="Times New Roman" w:eastAsia="Times New Roman" w:hAnsi="Times New Roman" w:cs="Times New Roman"/>
      <w:kern w:val="0"/>
      <w:lang w:eastAsia="fr-FR"/>
      <w14:ligatures w14:val="none"/>
    </w:rPr>
  </w:style>
  <w:style w:type="paragraph" w:styleId="Heading1">
    <w:name w:val="heading 1"/>
    <w:basedOn w:val="Normal"/>
    <w:next w:val="Normal"/>
    <w:link w:val="Heading1Char"/>
    <w:uiPriority w:val="9"/>
    <w:qFormat/>
    <w:rsid w:val="00C05A32"/>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C05A32"/>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C05A32"/>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05A32"/>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C05A32"/>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C05A32"/>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C05A32"/>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C05A32"/>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C05A32"/>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A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5A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5A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5A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5A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5A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5A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5A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5A32"/>
    <w:rPr>
      <w:rFonts w:eastAsiaTheme="majorEastAsia" w:cstheme="majorBidi"/>
      <w:color w:val="272727" w:themeColor="text1" w:themeTint="D8"/>
    </w:rPr>
  </w:style>
  <w:style w:type="paragraph" w:styleId="Title">
    <w:name w:val="Title"/>
    <w:basedOn w:val="Normal"/>
    <w:next w:val="Normal"/>
    <w:link w:val="TitleChar"/>
    <w:uiPriority w:val="10"/>
    <w:qFormat/>
    <w:rsid w:val="00C05A3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05A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A3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05A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5A32"/>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C05A32"/>
    <w:rPr>
      <w:i/>
      <w:iCs/>
      <w:color w:val="404040" w:themeColor="text1" w:themeTint="BF"/>
    </w:rPr>
  </w:style>
  <w:style w:type="paragraph" w:styleId="ListParagraph">
    <w:name w:val="List Paragraph"/>
    <w:basedOn w:val="Normal"/>
    <w:uiPriority w:val="34"/>
    <w:qFormat/>
    <w:rsid w:val="00C05A32"/>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C05A32"/>
    <w:rPr>
      <w:i/>
      <w:iCs/>
      <w:color w:val="2F5496" w:themeColor="accent1" w:themeShade="BF"/>
    </w:rPr>
  </w:style>
  <w:style w:type="paragraph" w:styleId="IntenseQuote">
    <w:name w:val="Intense Quote"/>
    <w:basedOn w:val="Normal"/>
    <w:next w:val="Normal"/>
    <w:link w:val="IntenseQuoteChar"/>
    <w:uiPriority w:val="30"/>
    <w:qFormat/>
    <w:rsid w:val="00C05A3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C05A32"/>
    <w:rPr>
      <w:i/>
      <w:iCs/>
      <w:color w:val="2F5496" w:themeColor="accent1" w:themeShade="BF"/>
    </w:rPr>
  </w:style>
  <w:style w:type="character" w:styleId="IntenseReference">
    <w:name w:val="Intense Reference"/>
    <w:basedOn w:val="DefaultParagraphFont"/>
    <w:uiPriority w:val="32"/>
    <w:qFormat/>
    <w:rsid w:val="00C05A32"/>
    <w:rPr>
      <w:b/>
      <w:bCs/>
      <w:smallCaps/>
      <w:color w:val="2F5496" w:themeColor="accent1" w:themeShade="BF"/>
      <w:spacing w:val="5"/>
    </w:rPr>
  </w:style>
  <w:style w:type="paragraph" w:customStyle="1" w:styleId="p1">
    <w:name w:val="p1"/>
    <w:basedOn w:val="Normal"/>
    <w:rsid w:val="00C05A32"/>
    <w:rPr>
      <w:color w:val="000000"/>
      <w:sz w:val="21"/>
      <w:szCs w:val="21"/>
    </w:rPr>
  </w:style>
  <w:style w:type="paragraph" w:customStyle="1" w:styleId="p2">
    <w:name w:val="p2"/>
    <w:basedOn w:val="Normal"/>
    <w:rsid w:val="00E30D64"/>
    <w:rPr>
      <w:color w:val="111111"/>
      <w:sz w:val="18"/>
      <w:szCs w:val="18"/>
    </w:rPr>
  </w:style>
  <w:style w:type="character" w:customStyle="1" w:styleId="s1">
    <w:name w:val="s1"/>
    <w:basedOn w:val="DefaultParagraphFont"/>
    <w:rsid w:val="00E30D64"/>
    <w:rPr>
      <w:rFonts w:ascii="Times New Roman" w:hAnsi="Times New Roman" w:cs="Times New Roman" w:hint="default"/>
      <w:sz w:val="12"/>
      <w:szCs w:val="12"/>
    </w:rPr>
  </w:style>
  <w:style w:type="character" w:customStyle="1" w:styleId="s2">
    <w:name w:val="s2"/>
    <w:basedOn w:val="DefaultParagraphFont"/>
    <w:rsid w:val="00E30D64"/>
    <w:rPr>
      <w:color w:val="355BB7"/>
    </w:rPr>
  </w:style>
  <w:style w:type="character" w:customStyle="1" w:styleId="s4">
    <w:name w:val="s4"/>
    <w:basedOn w:val="DefaultParagraphFont"/>
    <w:rsid w:val="00E30D64"/>
    <w:rPr>
      <w:rFonts w:ascii="Helvetica" w:hAnsi="Helvetica" w:hint="default"/>
      <w:sz w:val="17"/>
      <w:szCs w:val="17"/>
    </w:rPr>
  </w:style>
  <w:style w:type="character" w:customStyle="1" w:styleId="s5">
    <w:name w:val="s5"/>
    <w:basedOn w:val="DefaultParagraphFont"/>
    <w:rsid w:val="00E30D64"/>
    <w:rPr>
      <w:color w:val="000000"/>
    </w:rPr>
  </w:style>
  <w:style w:type="character" w:customStyle="1" w:styleId="s6">
    <w:name w:val="s6"/>
    <w:basedOn w:val="DefaultParagraphFont"/>
    <w:rsid w:val="00E30D64"/>
    <w:rPr>
      <w:color w:val="262626"/>
    </w:rPr>
  </w:style>
  <w:style w:type="character" w:customStyle="1" w:styleId="s7">
    <w:name w:val="s7"/>
    <w:basedOn w:val="DefaultParagraphFont"/>
    <w:rsid w:val="00E30D64"/>
    <w:rPr>
      <w:rFonts w:ascii="Arial" w:hAnsi="Arial" w:cs="Arial" w:hint="default"/>
      <w:sz w:val="18"/>
      <w:szCs w:val="18"/>
    </w:rPr>
  </w:style>
  <w:style w:type="character" w:customStyle="1" w:styleId="apple-converted-space">
    <w:name w:val="apple-converted-space"/>
    <w:basedOn w:val="DefaultParagraphFont"/>
    <w:rsid w:val="00E30D64"/>
  </w:style>
  <w:style w:type="paragraph" w:styleId="Footer">
    <w:name w:val="footer"/>
    <w:basedOn w:val="Normal"/>
    <w:link w:val="FooterChar"/>
    <w:uiPriority w:val="99"/>
    <w:unhideWhenUsed/>
    <w:rsid w:val="00742D2F"/>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742D2F"/>
  </w:style>
  <w:style w:type="character" w:styleId="PageNumber">
    <w:name w:val="page number"/>
    <w:basedOn w:val="DefaultParagraphFont"/>
    <w:uiPriority w:val="99"/>
    <w:semiHidden/>
    <w:unhideWhenUsed/>
    <w:rsid w:val="00742D2F"/>
  </w:style>
  <w:style w:type="table" w:styleId="TableGrid">
    <w:name w:val="Table Grid"/>
    <w:basedOn w:val="TableNormal"/>
    <w:uiPriority w:val="39"/>
    <w:rsid w:val="00554C52"/>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4CDE"/>
    <w:rPr>
      <w:color w:val="0563C1" w:themeColor="hyperlink"/>
      <w:u w:val="single"/>
    </w:rPr>
  </w:style>
  <w:style w:type="paragraph" w:styleId="BodyText2">
    <w:name w:val="Body Text 2"/>
    <w:basedOn w:val="Normal"/>
    <w:link w:val="BodyText2Char"/>
    <w:uiPriority w:val="99"/>
    <w:unhideWhenUsed/>
    <w:rsid w:val="00494CDE"/>
    <w:pPr>
      <w:spacing w:after="120" w:line="480" w:lineRule="auto"/>
    </w:pPr>
    <w:rPr>
      <w:rFonts w:asciiTheme="minorHAnsi" w:eastAsiaTheme="minorHAnsi" w:hAnsiTheme="minorHAnsi" w:cstheme="minorBidi"/>
      <w:sz w:val="22"/>
      <w:szCs w:val="22"/>
      <w:lang w:val="fr-FR" w:eastAsia="en-US"/>
    </w:rPr>
  </w:style>
  <w:style w:type="character" w:customStyle="1" w:styleId="BodyText2Char">
    <w:name w:val="Body Text 2 Char"/>
    <w:basedOn w:val="DefaultParagraphFont"/>
    <w:link w:val="BodyText2"/>
    <w:uiPriority w:val="99"/>
    <w:rsid w:val="00494CDE"/>
    <w:rPr>
      <w:kern w:val="0"/>
      <w:sz w:val="22"/>
      <w:szCs w:val="22"/>
      <w:lang w:val="fr-FR"/>
      <w14:ligatures w14:val="none"/>
    </w:rPr>
  </w:style>
  <w:style w:type="paragraph" w:styleId="NoSpacing">
    <w:name w:val="No Spacing"/>
    <w:uiPriority w:val="1"/>
    <w:qFormat/>
    <w:rsid w:val="00494CDE"/>
    <w:pPr>
      <w:spacing w:after="0" w:line="240" w:lineRule="auto"/>
    </w:pPr>
    <w:rPr>
      <w:kern w:val="0"/>
      <w:sz w:val="22"/>
      <w:szCs w:val="22"/>
      <w:lang w:val="fr-FR"/>
      <w14:ligatures w14:val="none"/>
    </w:rPr>
  </w:style>
  <w:style w:type="character" w:customStyle="1" w:styleId="element-citation">
    <w:name w:val="element-citation"/>
    <w:basedOn w:val="DefaultParagraphFont"/>
    <w:rsid w:val="00494CDE"/>
  </w:style>
  <w:style w:type="character" w:customStyle="1" w:styleId="ref-journal">
    <w:name w:val="ref-journal"/>
    <w:basedOn w:val="DefaultParagraphFont"/>
    <w:rsid w:val="00494CDE"/>
  </w:style>
  <w:style w:type="character" w:customStyle="1" w:styleId="nowrap">
    <w:name w:val="nowrap"/>
    <w:basedOn w:val="DefaultParagraphFont"/>
    <w:rsid w:val="00494CDE"/>
  </w:style>
  <w:style w:type="character" w:customStyle="1" w:styleId="genename">
    <w:name w:val="gene_name"/>
    <w:basedOn w:val="DefaultParagraphFont"/>
    <w:rsid w:val="00494CDE"/>
  </w:style>
  <w:style w:type="character" w:customStyle="1" w:styleId="subheader">
    <w:name w:val="subheader"/>
    <w:basedOn w:val="DefaultParagraphFont"/>
    <w:rsid w:val="00494CDE"/>
  </w:style>
  <w:style w:type="character" w:styleId="Emphasis">
    <w:name w:val="Emphasis"/>
    <w:basedOn w:val="DefaultParagraphFont"/>
    <w:uiPriority w:val="20"/>
    <w:qFormat/>
    <w:rsid w:val="00494CDE"/>
    <w:rPr>
      <w:i/>
      <w:iCs/>
    </w:rPr>
  </w:style>
  <w:style w:type="paragraph" w:styleId="Header">
    <w:name w:val="header"/>
    <w:basedOn w:val="Normal"/>
    <w:link w:val="HeaderChar"/>
    <w:uiPriority w:val="99"/>
    <w:unhideWhenUsed/>
    <w:rsid w:val="0073448E"/>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73448E"/>
  </w:style>
  <w:style w:type="character" w:customStyle="1" w:styleId="react-xocs-alternative-link">
    <w:name w:val="react-xocs-alternative-link"/>
    <w:basedOn w:val="DefaultParagraphFont"/>
    <w:rsid w:val="00CD30DE"/>
  </w:style>
  <w:style w:type="character" w:styleId="CommentReference">
    <w:name w:val="annotation reference"/>
    <w:basedOn w:val="DefaultParagraphFont"/>
    <w:uiPriority w:val="99"/>
    <w:semiHidden/>
    <w:unhideWhenUsed/>
    <w:rsid w:val="004B21AA"/>
    <w:rPr>
      <w:sz w:val="16"/>
      <w:szCs w:val="16"/>
    </w:rPr>
  </w:style>
  <w:style w:type="paragraph" w:styleId="CommentText">
    <w:name w:val="annotation text"/>
    <w:basedOn w:val="Normal"/>
    <w:link w:val="CommentTextChar"/>
    <w:uiPriority w:val="99"/>
    <w:semiHidden/>
    <w:unhideWhenUsed/>
    <w:rsid w:val="004B21AA"/>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4B21AA"/>
    <w:rPr>
      <w:sz w:val="20"/>
      <w:szCs w:val="20"/>
    </w:rPr>
  </w:style>
  <w:style w:type="paragraph" w:styleId="CommentSubject">
    <w:name w:val="annotation subject"/>
    <w:basedOn w:val="CommentText"/>
    <w:next w:val="CommentText"/>
    <w:link w:val="CommentSubjectChar"/>
    <w:uiPriority w:val="99"/>
    <w:semiHidden/>
    <w:unhideWhenUsed/>
    <w:rsid w:val="004B21AA"/>
    <w:rPr>
      <w:b/>
      <w:bCs/>
    </w:rPr>
  </w:style>
  <w:style w:type="character" w:customStyle="1" w:styleId="CommentSubjectChar">
    <w:name w:val="Comment Subject Char"/>
    <w:basedOn w:val="CommentTextChar"/>
    <w:link w:val="CommentSubject"/>
    <w:uiPriority w:val="99"/>
    <w:semiHidden/>
    <w:rsid w:val="004B21AA"/>
    <w:rPr>
      <w:b/>
      <w:bCs/>
      <w:sz w:val="20"/>
      <w:szCs w:val="20"/>
    </w:rPr>
  </w:style>
  <w:style w:type="paragraph" w:styleId="Revision">
    <w:name w:val="Revision"/>
    <w:hidden/>
    <w:uiPriority w:val="99"/>
    <w:semiHidden/>
    <w:rsid w:val="000A7884"/>
    <w:pPr>
      <w:spacing w:after="0" w:line="240" w:lineRule="auto"/>
    </w:pPr>
  </w:style>
  <w:style w:type="character" w:styleId="UnresolvedMention">
    <w:name w:val="Unresolved Mention"/>
    <w:basedOn w:val="DefaultParagraphFont"/>
    <w:uiPriority w:val="99"/>
    <w:semiHidden/>
    <w:unhideWhenUsed/>
    <w:rsid w:val="007B56CF"/>
    <w:rPr>
      <w:color w:val="605E5C"/>
      <w:shd w:val="clear" w:color="auto" w:fill="E1DFDD"/>
    </w:rPr>
  </w:style>
  <w:style w:type="character" w:styleId="FollowedHyperlink">
    <w:name w:val="FollowedHyperlink"/>
    <w:basedOn w:val="DefaultParagraphFont"/>
    <w:uiPriority w:val="99"/>
    <w:semiHidden/>
    <w:unhideWhenUsed/>
    <w:rsid w:val="007B56CF"/>
    <w:rPr>
      <w:color w:val="954F72" w:themeColor="followedHyperlink"/>
      <w:u w:val="single"/>
    </w:rPr>
  </w:style>
  <w:style w:type="paragraph" w:styleId="NormalWeb">
    <w:name w:val="Normal (Web)"/>
    <w:basedOn w:val="Normal"/>
    <w:uiPriority w:val="99"/>
    <w:unhideWhenUsed/>
    <w:rsid w:val="00053700"/>
    <w:pPr>
      <w:spacing w:before="100" w:beforeAutospacing="1" w:after="100" w:afterAutospacing="1"/>
    </w:pPr>
  </w:style>
  <w:style w:type="character" w:styleId="LineNumber">
    <w:name w:val="line number"/>
    <w:basedOn w:val="DefaultParagraphFont"/>
    <w:uiPriority w:val="99"/>
    <w:semiHidden/>
    <w:unhideWhenUsed/>
    <w:rsid w:val="007A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9614">
      <w:bodyDiv w:val="1"/>
      <w:marLeft w:val="0"/>
      <w:marRight w:val="0"/>
      <w:marTop w:val="0"/>
      <w:marBottom w:val="0"/>
      <w:divBdr>
        <w:top w:val="none" w:sz="0" w:space="0" w:color="auto"/>
        <w:left w:val="none" w:sz="0" w:space="0" w:color="auto"/>
        <w:bottom w:val="none" w:sz="0" w:space="0" w:color="auto"/>
        <w:right w:val="none" w:sz="0" w:space="0" w:color="auto"/>
      </w:divBdr>
    </w:div>
    <w:div w:id="200166593">
      <w:bodyDiv w:val="1"/>
      <w:marLeft w:val="0"/>
      <w:marRight w:val="0"/>
      <w:marTop w:val="0"/>
      <w:marBottom w:val="0"/>
      <w:divBdr>
        <w:top w:val="none" w:sz="0" w:space="0" w:color="auto"/>
        <w:left w:val="none" w:sz="0" w:space="0" w:color="auto"/>
        <w:bottom w:val="none" w:sz="0" w:space="0" w:color="auto"/>
        <w:right w:val="none" w:sz="0" w:space="0" w:color="auto"/>
      </w:divBdr>
    </w:div>
    <w:div w:id="375860970">
      <w:bodyDiv w:val="1"/>
      <w:marLeft w:val="0"/>
      <w:marRight w:val="0"/>
      <w:marTop w:val="0"/>
      <w:marBottom w:val="0"/>
      <w:divBdr>
        <w:top w:val="none" w:sz="0" w:space="0" w:color="auto"/>
        <w:left w:val="none" w:sz="0" w:space="0" w:color="auto"/>
        <w:bottom w:val="none" w:sz="0" w:space="0" w:color="auto"/>
        <w:right w:val="none" w:sz="0" w:space="0" w:color="auto"/>
      </w:divBdr>
    </w:div>
    <w:div w:id="1164928430">
      <w:bodyDiv w:val="1"/>
      <w:marLeft w:val="0"/>
      <w:marRight w:val="0"/>
      <w:marTop w:val="0"/>
      <w:marBottom w:val="0"/>
      <w:divBdr>
        <w:top w:val="none" w:sz="0" w:space="0" w:color="auto"/>
        <w:left w:val="none" w:sz="0" w:space="0" w:color="auto"/>
        <w:bottom w:val="none" w:sz="0" w:space="0" w:color="auto"/>
        <w:right w:val="none" w:sz="0" w:space="0" w:color="auto"/>
      </w:divBdr>
    </w:div>
    <w:div w:id="1333297063">
      <w:bodyDiv w:val="1"/>
      <w:marLeft w:val="0"/>
      <w:marRight w:val="0"/>
      <w:marTop w:val="0"/>
      <w:marBottom w:val="0"/>
      <w:divBdr>
        <w:top w:val="none" w:sz="0" w:space="0" w:color="auto"/>
        <w:left w:val="none" w:sz="0" w:space="0" w:color="auto"/>
        <w:bottom w:val="none" w:sz="0" w:space="0" w:color="auto"/>
        <w:right w:val="none" w:sz="0" w:space="0" w:color="auto"/>
      </w:divBdr>
    </w:div>
    <w:div w:id="1416518237">
      <w:bodyDiv w:val="1"/>
      <w:marLeft w:val="0"/>
      <w:marRight w:val="0"/>
      <w:marTop w:val="0"/>
      <w:marBottom w:val="0"/>
      <w:divBdr>
        <w:top w:val="none" w:sz="0" w:space="0" w:color="auto"/>
        <w:left w:val="none" w:sz="0" w:space="0" w:color="auto"/>
        <w:bottom w:val="none" w:sz="0" w:space="0" w:color="auto"/>
        <w:right w:val="none" w:sz="0" w:space="0" w:color="auto"/>
      </w:divBdr>
    </w:div>
    <w:div w:id="1421098700">
      <w:bodyDiv w:val="1"/>
      <w:marLeft w:val="0"/>
      <w:marRight w:val="0"/>
      <w:marTop w:val="0"/>
      <w:marBottom w:val="0"/>
      <w:divBdr>
        <w:top w:val="none" w:sz="0" w:space="0" w:color="auto"/>
        <w:left w:val="none" w:sz="0" w:space="0" w:color="auto"/>
        <w:bottom w:val="none" w:sz="0" w:space="0" w:color="auto"/>
        <w:right w:val="none" w:sz="0" w:space="0" w:color="auto"/>
      </w:divBdr>
    </w:div>
    <w:div w:id="1430004399">
      <w:bodyDiv w:val="1"/>
      <w:marLeft w:val="0"/>
      <w:marRight w:val="0"/>
      <w:marTop w:val="0"/>
      <w:marBottom w:val="0"/>
      <w:divBdr>
        <w:top w:val="none" w:sz="0" w:space="0" w:color="auto"/>
        <w:left w:val="none" w:sz="0" w:space="0" w:color="auto"/>
        <w:bottom w:val="none" w:sz="0" w:space="0" w:color="auto"/>
        <w:right w:val="none" w:sz="0" w:space="0" w:color="auto"/>
      </w:divBdr>
    </w:div>
    <w:div w:id="1572078037">
      <w:bodyDiv w:val="1"/>
      <w:marLeft w:val="0"/>
      <w:marRight w:val="0"/>
      <w:marTop w:val="0"/>
      <w:marBottom w:val="0"/>
      <w:divBdr>
        <w:top w:val="none" w:sz="0" w:space="0" w:color="auto"/>
        <w:left w:val="none" w:sz="0" w:space="0" w:color="auto"/>
        <w:bottom w:val="none" w:sz="0" w:space="0" w:color="auto"/>
        <w:right w:val="none" w:sz="0" w:space="0" w:color="auto"/>
      </w:divBdr>
    </w:div>
    <w:div w:id="1592667185">
      <w:bodyDiv w:val="1"/>
      <w:marLeft w:val="0"/>
      <w:marRight w:val="0"/>
      <w:marTop w:val="0"/>
      <w:marBottom w:val="0"/>
      <w:divBdr>
        <w:top w:val="none" w:sz="0" w:space="0" w:color="auto"/>
        <w:left w:val="none" w:sz="0" w:space="0" w:color="auto"/>
        <w:bottom w:val="none" w:sz="0" w:space="0" w:color="auto"/>
        <w:right w:val="none" w:sz="0" w:space="0" w:color="auto"/>
      </w:divBdr>
    </w:div>
    <w:div w:id="1674453590">
      <w:bodyDiv w:val="1"/>
      <w:marLeft w:val="0"/>
      <w:marRight w:val="0"/>
      <w:marTop w:val="0"/>
      <w:marBottom w:val="0"/>
      <w:divBdr>
        <w:top w:val="none" w:sz="0" w:space="0" w:color="auto"/>
        <w:left w:val="none" w:sz="0" w:space="0" w:color="auto"/>
        <w:bottom w:val="none" w:sz="0" w:space="0" w:color="auto"/>
        <w:right w:val="none" w:sz="0" w:space="0" w:color="auto"/>
      </w:divBdr>
    </w:div>
    <w:div w:id="1928465903">
      <w:bodyDiv w:val="1"/>
      <w:marLeft w:val="0"/>
      <w:marRight w:val="0"/>
      <w:marTop w:val="0"/>
      <w:marBottom w:val="0"/>
      <w:divBdr>
        <w:top w:val="none" w:sz="0" w:space="0" w:color="auto"/>
        <w:left w:val="none" w:sz="0" w:space="0" w:color="auto"/>
        <w:bottom w:val="none" w:sz="0" w:space="0" w:color="auto"/>
        <w:right w:val="none" w:sz="0" w:space="0" w:color="auto"/>
      </w:divBdr>
    </w:div>
    <w:div w:id="198785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capi\Library\Containers\com.microsoft.Excel\Data\Library\Preferences\AutoRecovery\Classeur1%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capi\Library\Containers\com.microsoft.Excel\Data\Library\Preferences\AutoRecovery\Classeur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capi\Library\Containers\com.microsoft.Excel\Data\Library\Preferences\AutoRecovery\Classeur1%20(version%201).xlsb"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041300393006"/>
          <c:y val="0.05"/>
          <c:w val="0.84552660084156095"/>
          <c:h val="0.66010236220472396"/>
        </c:manualLayout>
      </c:layout>
      <c:lineChart>
        <c:grouping val="standard"/>
        <c:varyColors val="0"/>
        <c:ser>
          <c:idx val="0"/>
          <c:order val="0"/>
          <c:tx>
            <c:strRef>
              <c:f>Feuil1!$AH$6</c:f>
              <c:strCache>
                <c:ptCount val="1"/>
                <c:pt idx="0">
                  <c:v>Lot 25</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Feuil1!$AI$5:$AL$5</c:f>
              <c:strCache>
                <c:ptCount val="4"/>
                <c:pt idx="0">
                  <c:v>J0</c:v>
                </c:pt>
                <c:pt idx="1">
                  <c:v>J2</c:v>
                </c:pt>
                <c:pt idx="2">
                  <c:v>J3</c:v>
                </c:pt>
                <c:pt idx="3">
                  <c:v>J8</c:v>
                </c:pt>
              </c:strCache>
            </c:strRef>
          </c:cat>
          <c:val>
            <c:numRef>
              <c:f>Feuil1!$AI$6:$AL$6</c:f>
              <c:numCache>
                <c:formatCode>General</c:formatCode>
                <c:ptCount val="4"/>
                <c:pt idx="0">
                  <c:v>5.9</c:v>
                </c:pt>
                <c:pt idx="1">
                  <c:v>10.6</c:v>
                </c:pt>
                <c:pt idx="2">
                  <c:v>8.8000000000000007</c:v>
                </c:pt>
                <c:pt idx="3">
                  <c:v>7.7</c:v>
                </c:pt>
              </c:numCache>
            </c:numRef>
          </c:val>
          <c:smooth val="0"/>
          <c:extLst>
            <c:ext xmlns:c16="http://schemas.microsoft.com/office/drawing/2014/chart" uri="{C3380CC4-5D6E-409C-BE32-E72D297353CC}">
              <c16:uniqueId val="{00000000-504B-473C-9957-595B860F51F4}"/>
            </c:ext>
          </c:extLst>
        </c:ser>
        <c:ser>
          <c:idx val="1"/>
          <c:order val="1"/>
          <c:tx>
            <c:strRef>
              <c:f>Feuil1!$AH$7</c:f>
              <c:strCache>
                <c:ptCount val="1"/>
                <c:pt idx="0">
                  <c:v>Lot 15</c:v>
                </c:pt>
              </c:strCache>
            </c:strRef>
          </c:tx>
          <c:spPr>
            <a:ln w="31750" cap="rnd" cmpd="thickThin">
              <a:solidFill>
                <a:schemeClr val="accent2"/>
              </a:solidFill>
              <a:round/>
            </a:ln>
            <a:effectLst>
              <a:outerShdw blurRad="40000" dist="23000" dir="5400000" rotWithShape="0">
                <a:srgbClr val="000000">
                  <a:alpha val="35000"/>
                </a:srgbClr>
              </a:outerShdw>
            </a:effectLst>
          </c:spPr>
          <c:marker>
            <c:symbol val="circle"/>
            <c:size val="8"/>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Feuil1!$AI$5:$AL$5</c:f>
              <c:strCache>
                <c:ptCount val="4"/>
                <c:pt idx="0">
                  <c:v>J0</c:v>
                </c:pt>
                <c:pt idx="1">
                  <c:v>J2</c:v>
                </c:pt>
                <c:pt idx="2">
                  <c:v>J3</c:v>
                </c:pt>
                <c:pt idx="3">
                  <c:v>J8</c:v>
                </c:pt>
              </c:strCache>
            </c:strRef>
          </c:cat>
          <c:val>
            <c:numRef>
              <c:f>Feuil1!$AI$7:$AL$7</c:f>
              <c:numCache>
                <c:formatCode>General</c:formatCode>
                <c:ptCount val="4"/>
                <c:pt idx="0">
                  <c:v>5.6</c:v>
                </c:pt>
                <c:pt idx="1">
                  <c:v>6.9</c:v>
                </c:pt>
                <c:pt idx="2">
                  <c:v>5.3</c:v>
                </c:pt>
                <c:pt idx="3">
                  <c:v>7.1</c:v>
                </c:pt>
              </c:numCache>
            </c:numRef>
          </c:val>
          <c:smooth val="0"/>
          <c:extLst>
            <c:ext xmlns:c16="http://schemas.microsoft.com/office/drawing/2014/chart" uri="{C3380CC4-5D6E-409C-BE32-E72D297353CC}">
              <c16:uniqueId val="{00000001-504B-473C-9957-595B860F51F4}"/>
            </c:ext>
          </c:extLst>
        </c:ser>
        <c:ser>
          <c:idx val="2"/>
          <c:order val="2"/>
          <c:tx>
            <c:strRef>
              <c:f>Feuil1!$AH$8</c:f>
              <c:strCache>
                <c:ptCount val="1"/>
                <c:pt idx="0">
                  <c:v>Lot 05</c:v>
                </c:pt>
              </c:strCache>
            </c:strRef>
          </c:tx>
          <c:spPr>
            <a:ln w="31750" cap="rnd">
              <a:solidFill>
                <a:schemeClr val="accent3"/>
              </a:solidFill>
              <a:prstDash val="dash"/>
              <a:round/>
            </a:ln>
            <a:effectLst>
              <a:outerShdw blurRad="40000" dist="23000" dir="5400000" rotWithShape="0">
                <a:srgbClr val="000000">
                  <a:alpha val="35000"/>
                </a:srgbClr>
              </a:outerShdw>
            </a:effectLst>
          </c:spPr>
          <c:marker>
            <c:symbol val="none"/>
          </c:marker>
          <c:cat>
            <c:strRef>
              <c:f>Feuil1!$AI$5:$AL$5</c:f>
              <c:strCache>
                <c:ptCount val="4"/>
                <c:pt idx="0">
                  <c:v>J0</c:v>
                </c:pt>
                <c:pt idx="1">
                  <c:v>J2</c:v>
                </c:pt>
                <c:pt idx="2">
                  <c:v>J3</c:v>
                </c:pt>
                <c:pt idx="3">
                  <c:v>J8</c:v>
                </c:pt>
              </c:strCache>
            </c:strRef>
          </c:cat>
          <c:val>
            <c:numRef>
              <c:f>Feuil1!$AI$8:$AL$8</c:f>
              <c:numCache>
                <c:formatCode>General</c:formatCode>
                <c:ptCount val="4"/>
                <c:pt idx="0">
                  <c:v>5.4</c:v>
                </c:pt>
                <c:pt idx="1">
                  <c:v>7.4</c:v>
                </c:pt>
                <c:pt idx="2">
                  <c:v>5.9</c:v>
                </c:pt>
                <c:pt idx="3">
                  <c:v>6.2</c:v>
                </c:pt>
              </c:numCache>
            </c:numRef>
          </c:val>
          <c:smooth val="0"/>
          <c:extLst>
            <c:ext xmlns:c16="http://schemas.microsoft.com/office/drawing/2014/chart" uri="{C3380CC4-5D6E-409C-BE32-E72D297353CC}">
              <c16:uniqueId val="{00000002-504B-473C-9957-595B860F51F4}"/>
            </c:ext>
          </c:extLst>
        </c:ser>
        <c:ser>
          <c:idx val="3"/>
          <c:order val="3"/>
          <c:tx>
            <c:strRef>
              <c:f>Feuil1!$AH$9</c:f>
              <c:strCache>
                <c:ptCount val="1"/>
                <c:pt idx="0">
                  <c:v>Lot 0</c:v>
                </c:pt>
              </c:strCache>
            </c:strRef>
          </c:tx>
          <c:spPr>
            <a:ln w="31750" cap="rnd">
              <a:solidFill>
                <a:schemeClr val="accent4"/>
              </a:solidFill>
              <a:prstDash val="sysDot"/>
              <a:round/>
            </a:ln>
            <a:effectLst>
              <a:outerShdw blurRad="40000" dist="23000" dir="5400000" rotWithShape="0">
                <a:srgbClr val="000000">
                  <a:alpha val="35000"/>
                </a:srgbClr>
              </a:outerShdw>
            </a:effectLst>
          </c:spPr>
          <c:marker>
            <c:symbol val="none"/>
          </c:marker>
          <c:cat>
            <c:strRef>
              <c:f>Feuil1!$AI$5:$AL$5</c:f>
              <c:strCache>
                <c:ptCount val="4"/>
                <c:pt idx="0">
                  <c:v>J0</c:v>
                </c:pt>
                <c:pt idx="1">
                  <c:v>J2</c:v>
                </c:pt>
                <c:pt idx="2">
                  <c:v>J3</c:v>
                </c:pt>
                <c:pt idx="3">
                  <c:v>J8</c:v>
                </c:pt>
              </c:strCache>
            </c:strRef>
          </c:cat>
          <c:val>
            <c:numRef>
              <c:f>Feuil1!$AI$9:$AL$9</c:f>
              <c:numCache>
                <c:formatCode>General</c:formatCode>
                <c:ptCount val="4"/>
                <c:pt idx="0">
                  <c:v>7.2</c:v>
                </c:pt>
                <c:pt idx="1">
                  <c:v>6.8</c:v>
                </c:pt>
                <c:pt idx="2">
                  <c:v>5.7</c:v>
                </c:pt>
                <c:pt idx="3">
                  <c:v>7.6</c:v>
                </c:pt>
              </c:numCache>
            </c:numRef>
          </c:val>
          <c:smooth val="0"/>
          <c:extLst>
            <c:ext xmlns:c16="http://schemas.microsoft.com/office/drawing/2014/chart" uri="{C3380CC4-5D6E-409C-BE32-E72D297353CC}">
              <c16:uniqueId val="{00000003-504B-473C-9957-595B860F51F4}"/>
            </c:ext>
          </c:extLst>
        </c:ser>
        <c:dLbls>
          <c:showLegendKey val="0"/>
          <c:showVal val="0"/>
          <c:showCatName val="0"/>
          <c:showSerName val="0"/>
          <c:showPercent val="0"/>
          <c:showBubbleSize val="0"/>
        </c:dLbls>
        <c:smooth val="0"/>
        <c:axId val="-2108815312"/>
        <c:axId val="-2108400080"/>
      </c:lineChart>
      <c:catAx>
        <c:axId val="-21088153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fr-FR"/>
                  <a:t>Time (days = j)</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2108400080"/>
        <c:crosses val="autoZero"/>
        <c:auto val="1"/>
        <c:lblAlgn val="ctr"/>
        <c:lblOffset val="100"/>
        <c:noMultiLvlLbl val="0"/>
      </c:catAx>
      <c:valAx>
        <c:axId val="-2108400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lgn="ctr" rtl="0">
                  <a:defRPr sz="1200" b="1" i="0" u="none" strike="noStrike" kern="1200" baseline="0">
                    <a:solidFill>
                      <a:schemeClr val="tx2"/>
                    </a:solidFill>
                    <a:latin typeface="+mn-lt"/>
                    <a:ea typeface="+mn-ea"/>
                    <a:cs typeface="+mn-cs"/>
                  </a:defRPr>
                </a:pPr>
                <a:r>
                  <a:rPr lang="fr-FR"/>
                  <a:t>Number of cells </a:t>
                </a:r>
                <a:r>
                  <a:rPr lang="mr-IN"/>
                  <a:t>(x109 g/l)</a:t>
                </a:r>
              </a:p>
              <a:p>
                <a:pPr algn="ctr" rtl="0">
                  <a:defRPr/>
                </a:pPr>
                <a:r>
                  <a:rPr lang="fr-FR"/>
                  <a:t>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210881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41125414879"/>
          <c:y val="5.1948051948051903E-2"/>
          <c:w val="0.88455887458512095"/>
          <c:h val="0.64685959709581697"/>
        </c:manualLayout>
      </c:layout>
      <c:lineChart>
        <c:grouping val="standard"/>
        <c:varyColors val="0"/>
        <c:ser>
          <c:idx val="0"/>
          <c:order val="0"/>
          <c:tx>
            <c:strRef>
              <c:f>Feuil1!$Z$6</c:f>
              <c:strCache>
                <c:ptCount val="1"/>
                <c:pt idx="0">
                  <c:v>Lot 25</c:v>
                </c:pt>
              </c:strCache>
            </c:strRef>
          </c:tx>
          <c:spPr>
            <a:ln w="31750" cap="rnd">
              <a:solidFill>
                <a:schemeClr val="accent1"/>
              </a:solidFill>
              <a:round/>
            </a:ln>
            <a:effectLst/>
          </c:spPr>
          <c:marker>
            <c:symbol val="none"/>
          </c:marker>
          <c:cat>
            <c:strRef>
              <c:f>Feuil1!$AA$5:$AD$5</c:f>
              <c:strCache>
                <c:ptCount val="4"/>
                <c:pt idx="0">
                  <c:v>J0</c:v>
                </c:pt>
                <c:pt idx="1">
                  <c:v>J2</c:v>
                </c:pt>
                <c:pt idx="2">
                  <c:v>J3</c:v>
                </c:pt>
                <c:pt idx="3">
                  <c:v>J8</c:v>
                </c:pt>
              </c:strCache>
            </c:strRef>
          </c:cat>
          <c:val>
            <c:numRef>
              <c:f>Feuil1!$AA$6:$AD$6</c:f>
              <c:numCache>
                <c:formatCode>General</c:formatCode>
                <c:ptCount val="4"/>
                <c:pt idx="0">
                  <c:v>2.2999999999999998</c:v>
                </c:pt>
                <c:pt idx="1">
                  <c:v>3.3</c:v>
                </c:pt>
                <c:pt idx="2">
                  <c:v>3.9</c:v>
                </c:pt>
                <c:pt idx="3">
                  <c:v>1.4</c:v>
                </c:pt>
              </c:numCache>
            </c:numRef>
          </c:val>
          <c:smooth val="0"/>
          <c:extLst>
            <c:ext xmlns:c16="http://schemas.microsoft.com/office/drawing/2014/chart" uri="{C3380CC4-5D6E-409C-BE32-E72D297353CC}">
              <c16:uniqueId val="{00000000-553D-6D4B-ACA6-56FBE7C75073}"/>
            </c:ext>
          </c:extLst>
        </c:ser>
        <c:ser>
          <c:idx val="1"/>
          <c:order val="1"/>
          <c:tx>
            <c:strRef>
              <c:f>Feuil1!$Z$7</c:f>
              <c:strCache>
                <c:ptCount val="1"/>
                <c:pt idx="0">
                  <c:v>Lot 15</c:v>
                </c:pt>
              </c:strCache>
            </c:strRef>
          </c:tx>
          <c:spPr>
            <a:ln w="31750" cap="rnd" cmpd="thickThin">
              <a:solidFill>
                <a:schemeClr val="accent2"/>
              </a:solidFill>
              <a:round/>
            </a:ln>
            <a:effectLst/>
          </c:spPr>
          <c:marker>
            <c:symbol val="circle"/>
            <c:size val="8"/>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cap="rnd">
                <a:solidFill>
                  <a:schemeClr val="lt2"/>
                </a:solidFill>
                <a:round/>
              </a:ln>
              <a:effectLst>
                <a:outerShdw blurRad="40000" dist="23000" dir="5400000" rotWithShape="0">
                  <a:srgbClr val="000000">
                    <a:alpha val="35000"/>
                  </a:srgbClr>
                </a:outerShdw>
              </a:effectLst>
            </c:spPr>
          </c:marker>
          <c:cat>
            <c:strRef>
              <c:f>Feuil1!$AA$5:$AD$5</c:f>
              <c:strCache>
                <c:ptCount val="4"/>
                <c:pt idx="0">
                  <c:v>J0</c:v>
                </c:pt>
                <c:pt idx="1">
                  <c:v>J2</c:v>
                </c:pt>
                <c:pt idx="2">
                  <c:v>J3</c:v>
                </c:pt>
                <c:pt idx="3">
                  <c:v>J8</c:v>
                </c:pt>
              </c:strCache>
            </c:strRef>
          </c:cat>
          <c:val>
            <c:numRef>
              <c:f>Feuil1!$AA$7:$AD$7</c:f>
              <c:numCache>
                <c:formatCode>General</c:formatCode>
                <c:ptCount val="4"/>
                <c:pt idx="0">
                  <c:v>1.8</c:v>
                </c:pt>
                <c:pt idx="1">
                  <c:v>0.8</c:v>
                </c:pt>
                <c:pt idx="2">
                  <c:v>1.8</c:v>
                </c:pt>
                <c:pt idx="3">
                  <c:v>1.6</c:v>
                </c:pt>
              </c:numCache>
            </c:numRef>
          </c:val>
          <c:smooth val="0"/>
          <c:extLst>
            <c:ext xmlns:c16="http://schemas.microsoft.com/office/drawing/2014/chart" uri="{C3380CC4-5D6E-409C-BE32-E72D297353CC}">
              <c16:uniqueId val="{00000001-553D-6D4B-ACA6-56FBE7C75073}"/>
            </c:ext>
          </c:extLst>
        </c:ser>
        <c:ser>
          <c:idx val="2"/>
          <c:order val="2"/>
          <c:tx>
            <c:strRef>
              <c:f>Feuil1!$Z$8</c:f>
              <c:strCache>
                <c:ptCount val="1"/>
                <c:pt idx="0">
                  <c:v>Lot 05</c:v>
                </c:pt>
              </c:strCache>
            </c:strRef>
          </c:tx>
          <c:spPr>
            <a:ln w="31750" cap="rnd">
              <a:solidFill>
                <a:schemeClr val="accent3"/>
              </a:solidFill>
              <a:prstDash val="dash"/>
              <a:round/>
            </a:ln>
            <a:effectLst/>
          </c:spPr>
          <c:marker>
            <c:symbol val="none"/>
          </c:marker>
          <c:cat>
            <c:strRef>
              <c:f>Feuil1!$AA$5:$AD$5</c:f>
              <c:strCache>
                <c:ptCount val="4"/>
                <c:pt idx="0">
                  <c:v>J0</c:v>
                </c:pt>
                <c:pt idx="1">
                  <c:v>J2</c:v>
                </c:pt>
                <c:pt idx="2">
                  <c:v>J3</c:v>
                </c:pt>
                <c:pt idx="3">
                  <c:v>J8</c:v>
                </c:pt>
              </c:strCache>
            </c:strRef>
          </c:cat>
          <c:val>
            <c:numRef>
              <c:f>Feuil1!$AA$8:$AD$8</c:f>
              <c:numCache>
                <c:formatCode>General</c:formatCode>
                <c:ptCount val="4"/>
                <c:pt idx="0">
                  <c:v>1.6</c:v>
                </c:pt>
                <c:pt idx="1">
                  <c:v>0.8</c:v>
                </c:pt>
                <c:pt idx="2">
                  <c:v>1.9</c:v>
                </c:pt>
                <c:pt idx="3">
                  <c:v>1.3</c:v>
                </c:pt>
              </c:numCache>
            </c:numRef>
          </c:val>
          <c:smooth val="0"/>
          <c:extLst>
            <c:ext xmlns:c16="http://schemas.microsoft.com/office/drawing/2014/chart" uri="{C3380CC4-5D6E-409C-BE32-E72D297353CC}">
              <c16:uniqueId val="{00000002-553D-6D4B-ACA6-56FBE7C75073}"/>
            </c:ext>
          </c:extLst>
        </c:ser>
        <c:ser>
          <c:idx val="3"/>
          <c:order val="3"/>
          <c:tx>
            <c:strRef>
              <c:f>Feuil1!$Z$9</c:f>
              <c:strCache>
                <c:ptCount val="1"/>
                <c:pt idx="0">
                  <c:v>Lot 0</c:v>
                </c:pt>
              </c:strCache>
            </c:strRef>
          </c:tx>
          <c:spPr>
            <a:ln w="31750" cap="rnd">
              <a:solidFill>
                <a:schemeClr val="accent4"/>
              </a:solidFill>
              <a:prstDash val="sysDot"/>
              <a:round/>
            </a:ln>
            <a:effectLst/>
          </c:spPr>
          <c:marker>
            <c:symbol val="none"/>
          </c:marker>
          <c:cat>
            <c:strRef>
              <c:f>Feuil1!$AA$5:$AD$5</c:f>
              <c:strCache>
                <c:ptCount val="4"/>
                <c:pt idx="0">
                  <c:v>J0</c:v>
                </c:pt>
                <c:pt idx="1">
                  <c:v>J2</c:v>
                </c:pt>
                <c:pt idx="2">
                  <c:v>J3</c:v>
                </c:pt>
                <c:pt idx="3">
                  <c:v>J8</c:v>
                </c:pt>
              </c:strCache>
            </c:strRef>
          </c:cat>
          <c:val>
            <c:numRef>
              <c:f>Feuil1!$AA$9:$AD$9</c:f>
              <c:numCache>
                <c:formatCode>General</c:formatCode>
                <c:ptCount val="4"/>
                <c:pt idx="0">
                  <c:v>2.4</c:v>
                </c:pt>
                <c:pt idx="1">
                  <c:v>1.5</c:v>
                </c:pt>
                <c:pt idx="2">
                  <c:v>1.6</c:v>
                </c:pt>
                <c:pt idx="3">
                  <c:v>2.2999999999999998</c:v>
                </c:pt>
              </c:numCache>
            </c:numRef>
          </c:val>
          <c:smooth val="0"/>
          <c:extLst>
            <c:ext xmlns:c16="http://schemas.microsoft.com/office/drawing/2014/chart" uri="{C3380CC4-5D6E-409C-BE32-E72D297353CC}">
              <c16:uniqueId val="{00000003-553D-6D4B-ACA6-56FBE7C75073}"/>
            </c:ext>
          </c:extLst>
        </c:ser>
        <c:dLbls>
          <c:showLegendKey val="0"/>
          <c:showVal val="0"/>
          <c:showCatName val="0"/>
          <c:showSerName val="0"/>
          <c:showPercent val="0"/>
          <c:showBubbleSize val="0"/>
        </c:dLbls>
        <c:smooth val="0"/>
        <c:axId val="-2096583968"/>
        <c:axId val="2135110992"/>
      </c:lineChart>
      <c:catAx>
        <c:axId val="-20965839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sz="1200">
                    <a:latin typeface="Times New Roman" charset="0"/>
                    <a:ea typeface="Times New Roman" charset="0"/>
                    <a:cs typeface="Times New Roman" charset="0"/>
                  </a:rPr>
                  <a:t>Times</a:t>
                </a:r>
                <a:r>
                  <a:rPr lang="fr-FR" sz="1200" baseline="0">
                    <a:latin typeface="Times New Roman" charset="0"/>
                    <a:ea typeface="Times New Roman" charset="0"/>
                    <a:cs typeface="Times New Roman" charset="0"/>
                  </a:rPr>
                  <a:t> (days = j</a:t>
                </a:r>
                <a:r>
                  <a:rPr lang="fr-FR" baseline="0"/>
                  <a:t>)</a:t>
                </a:r>
                <a:endParaRPr lang="fr-F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5110992"/>
        <c:crosses val="autoZero"/>
        <c:auto val="1"/>
        <c:lblAlgn val="ctr"/>
        <c:lblOffset val="100"/>
        <c:noMultiLvlLbl val="0"/>
      </c:catAx>
      <c:valAx>
        <c:axId val="2135110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sz="1200">
                    <a:latin typeface="Times New Roman" charset="0"/>
                    <a:ea typeface="Times New Roman" charset="0"/>
                    <a:cs typeface="Times New Roman" charset="0"/>
                  </a:rPr>
                  <a:t>Number</a:t>
                </a:r>
                <a:r>
                  <a:rPr lang="fr-FR" sz="1200" baseline="0">
                    <a:latin typeface="Times New Roman" charset="0"/>
                    <a:ea typeface="Times New Roman" charset="0"/>
                    <a:cs typeface="Times New Roman" charset="0"/>
                  </a:rPr>
                  <a:t> of cells  (x10</a:t>
                </a:r>
                <a:r>
                  <a:rPr lang="fr-FR" sz="1200" baseline="30000">
                    <a:latin typeface="Times New Roman" charset="0"/>
                    <a:ea typeface="Times New Roman" charset="0"/>
                    <a:cs typeface="Times New Roman" charset="0"/>
                  </a:rPr>
                  <a:t>9 </a:t>
                </a:r>
                <a:r>
                  <a:rPr lang="fr-FR" sz="1200" baseline="0">
                    <a:latin typeface="Times New Roman" charset="0"/>
                    <a:ea typeface="Times New Roman" charset="0"/>
                    <a:cs typeface="Times New Roman" charset="0"/>
                  </a:rPr>
                  <a:t>cellules/l)</a:t>
                </a:r>
                <a:endParaRPr lang="fr-FR" baseline="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658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37630826507904E-2"/>
          <c:y val="4.41501103752759E-2"/>
          <c:w val="0.930562369173492"/>
          <c:h val="0.63550364151500904"/>
        </c:manualLayout>
      </c:layout>
      <c:lineChart>
        <c:grouping val="standard"/>
        <c:varyColors val="0"/>
        <c:ser>
          <c:idx val="0"/>
          <c:order val="0"/>
          <c:tx>
            <c:strRef>
              <c:f>Feuil1!$C$6</c:f>
              <c:strCache>
                <c:ptCount val="1"/>
                <c:pt idx="0">
                  <c:v>Lot 25</c:v>
                </c:pt>
              </c:strCache>
            </c:strRef>
          </c:tx>
          <c:spPr>
            <a:ln w="31750" cap="rnd">
              <a:solidFill>
                <a:schemeClr val="accent1"/>
              </a:solidFill>
              <a:round/>
            </a:ln>
            <a:effectLst/>
          </c:spPr>
          <c:marker>
            <c:symbol val="none"/>
          </c:marker>
          <c:cat>
            <c:strRef>
              <c:f>Feuil1!$D$5:$G$5</c:f>
              <c:strCache>
                <c:ptCount val="4"/>
                <c:pt idx="0">
                  <c:v>J0</c:v>
                </c:pt>
                <c:pt idx="1">
                  <c:v>J2</c:v>
                </c:pt>
                <c:pt idx="2">
                  <c:v>J3</c:v>
                </c:pt>
                <c:pt idx="3">
                  <c:v>J8</c:v>
                </c:pt>
              </c:strCache>
            </c:strRef>
          </c:cat>
          <c:val>
            <c:numRef>
              <c:f>Feuil1!$D$6:$G$6</c:f>
              <c:numCache>
                <c:formatCode>General</c:formatCode>
                <c:ptCount val="4"/>
                <c:pt idx="0">
                  <c:v>2.7</c:v>
                </c:pt>
                <c:pt idx="1">
                  <c:v>4.8</c:v>
                </c:pt>
                <c:pt idx="2">
                  <c:v>2.6</c:v>
                </c:pt>
                <c:pt idx="3">
                  <c:v>5.3</c:v>
                </c:pt>
              </c:numCache>
            </c:numRef>
          </c:val>
          <c:smooth val="0"/>
          <c:extLst>
            <c:ext xmlns:c16="http://schemas.microsoft.com/office/drawing/2014/chart" uri="{C3380CC4-5D6E-409C-BE32-E72D297353CC}">
              <c16:uniqueId val="{00000000-1C21-4E14-8C54-8C8BDB331664}"/>
            </c:ext>
          </c:extLst>
        </c:ser>
        <c:ser>
          <c:idx val="1"/>
          <c:order val="1"/>
          <c:tx>
            <c:strRef>
              <c:f>Feuil1!$C$7</c:f>
              <c:strCache>
                <c:ptCount val="1"/>
                <c:pt idx="0">
                  <c:v>Lot 15</c:v>
                </c:pt>
              </c:strCache>
            </c:strRef>
          </c:tx>
          <c:spPr>
            <a:ln w="31750" cap="rnd" cmpd="thickThin">
              <a:solidFill>
                <a:schemeClr val="accent2"/>
              </a:solidFill>
              <a:round/>
            </a:ln>
            <a:effectLst/>
          </c:spPr>
          <c:marker>
            <c:symbol val="circle"/>
            <c:size val="8"/>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Feuil1!$D$5:$G$5</c:f>
              <c:strCache>
                <c:ptCount val="4"/>
                <c:pt idx="0">
                  <c:v>J0</c:v>
                </c:pt>
                <c:pt idx="1">
                  <c:v>J2</c:v>
                </c:pt>
                <c:pt idx="2">
                  <c:v>J3</c:v>
                </c:pt>
                <c:pt idx="3">
                  <c:v>J8</c:v>
                </c:pt>
              </c:strCache>
            </c:strRef>
          </c:cat>
          <c:val>
            <c:numRef>
              <c:f>Feuil1!$D$7:$G$7</c:f>
              <c:numCache>
                <c:formatCode>General</c:formatCode>
                <c:ptCount val="4"/>
                <c:pt idx="0">
                  <c:v>2</c:v>
                </c:pt>
                <c:pt idx="1">
                  <c:v>4.4000000000000004</c:v>
                </c:pt>
                <c:pt idx="2">
                  <c:v>1.9</c:v>
                </c:pt>
                <c:pt idx="3">
                  <c:v>4.2</c:v>
                </c:pt>
              </c:numCache>
            </c:numRef>
          </c:val>
          <c:smooth val="0"/>
          <c:extLst>
            <c:ext xmlns:c16="http://schemas.microsoft.com/office/drawing/2014/chart" uri="{C3380CC4-5D6E-409C-BE32-E72D297353CC}">
              <c16:uniqueId val="{00000001-1C21-4E14-8C54-8C8BDB331664}"/>
            </c:ext>
          </c:extLst>
        </c:ser>
        <c:ser>
          <c:idx val="2"/>
          <c:order val="2"/>
          <c:tx>
            <c:strRef>
              <c:f>Feuil1!$C$8</c:f>
              <c:strCache>
                <c:ptCount val="1"/>
                <c:pt idx="0">
                  <c:v>Lot 05</c:v>
                </c:pt>
              </c:strCache>
            </c:strRef>
          </c:tx>
          <c:spPr>
            <a:ln w="31750" cap="rnd">
              <a:solidFill>
                <a:schemeClr val="accent3"/>
              </a:solidFill>
              <a:prstDash val="dash"/>
              <a:round/>
            </a:ln>
            <a:effectLst/>
          </c:spPr>
          <c:marker>
            <c:symbol val="none"/>
          </c:marker>
          <c:cat>
            <c:strRef>
              <c:f>Feuil1!$D$5:$G$5</c:f>
              <c:strCache>
                <c:ptCount val="4"/>
                <c:pt idx="0">
                  <c:v>J0</c:v>
                </c:pt>
                <c:pt idx="1">
                  <c:v>J2</c:v>
                </c:pt>
                <c:pt idx="2">
                  <c:v>J3</c:v>
                </c:pt>
                <c:pt idx="3">
                  <c:v>J8</c:v>
                </c:pt>
              </c:strCache>
            </c:strRef>
          </c:cat>
          <c:val>
            <c:numRef>
              <c:f>Feuil1!$D$8:$G$8</c:f>
              <c:numCache>
                <c:formatCode>General</c:formatCode>
                <c:ptCount val="4"/>
                <c:pt idx="0">
                  <c:v>2.1</c:v>
                </c:pt>
                <c:pt idx="1">
                  <c:v>5.2</c:v>
                </c:pt>
                <c:pt idx="2">
                  <c:v>2.2000000000000002</c:v>
                </c:pt>
                <c:pt idx="3">
                  <c:v>3.7</c:v>
                </c:pt>
              </c:numCache>
            </c:numRef>
          </c:val>
          <c:smooth val="0"/>
          <c:extLst>
            <c:ext xmlns:c16="http://schemas.microsoft.com/office/drawing/2014/chart" uri="{C3380CC4-5D6E-409C-BE32-E72D297353CC}">
              <c16:uniqueId val="{00000002-1C21-4E14-8C54-8C8BDB331664}"/>
            </c:ext>
          </c:extLst>
        </c:ser>
        <c:ser>
          <c:idx val="3"/>
          <c:order val="3"/>
          <c:tx>
            <c:strRef>
              <c:f>Feuil1!$C$9</c:f>
              <c:strCache>
                <c:ptCount val="1"/>
                <c:pt idx="0">
                  <c:v>Lot 0</c:v>
                </c:pt>
              </c:strCache>
            </c:strRef>
          </c:tx>
          <c:spPr>
            <a:ln w="31750" cap="rnd">
              <a:solidFill>
                <a:schemeClr val="accent4"/>
              </a:solidFill>
              <a:prstDash val="sysDot"/>
              <a:round/>
            </a:ln>
            <a:effectLst/>
          </c:spPr>
          <c:marker>
            <c:symbol val="none"/>
          </c:marker>
          <c:cat>
            <c:strRef>
              <c:f>Feuil1!$D$5:$G$5</c:f>
              <c:strCache>
                <c:ptCount val="4"/>
                <c:pt idx="0">
                  <c:v>J0</c:v>
                </c:pt>
                <c:pt idx="1">
                  <c:v>J2</c:v>
                </c:pt>
                <c:pt idx="2">
                  <c:v>J3</c:v>
                </c:pt>
                <c:pt idx="3">
                  <c:v>J8</c:v>
                </c:pt>
              </c:strCache>
            </c:strRef>
          </c:cat>
          <c:val>
            <c:numRef>
              <c:f>Feuil1!$D$9:$G$9</c:f>
              <c:numCache>
                <c:formatCode>General</c:formatCode>
                <c:ptCount val="4"/>
                <c:pt idx="0">
                  <c:v>2.6</c:v>
                </c:pt>
                <c:pt idx="1">
                  <c:v>3.8</c:v>
                </c:pt>
                <c:pt idx="2">
                  <c:v>2</c:v>
                </c:pt>
                <c:pt idx="3">
                  <c:v>4.2</c:v>
                </c:pt>
              </c:numCache>
            </c:numRef>
          </c:val>
          <c:smooth val="0"/>
          <c:extLst>
            <c:ext xmlns:c16="http://schemas.microsoft.com/office/drawing/2014/chart" uri="{C3380CC4-5D6E-409C-BE32-E72D297353CC}">
              <c16:uniqueId val="{00000003-1C21-4E14-8C54-8C8BDB331664}"/>
            </c:ext>
          </c:extLst>
        </c:ser>
        <c:dLbls>
          <c:showLegendKey val="0"/>
          <c:showVal val="0"/>
          <c:showCatName val="0"/>
          <c:showSerName val="0"/>
          <c:showPercent val="0"/>
          <c:showBubbleSize val="0"/>
        </c:dLbls>
        <c:smooth val="0"/>
        <c:axId val="-2108110096"/>
        <c:axId val="-2108413824"/>
      </c:lineChart>
      <c:catAx>
        <c:axId val="-2108110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Times (days =J)</a:t>
                </a:r>
              </a:p>
            </c:rich>
          </c:tx>
          <c:layout>
            <c:manualLayout>
              <c:xMode val="edge"/>
              <c:yMode val="edge"/>
              <c:x val="0.44162756885679749"/>
              <c:y val="0.75999930472267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8413824"/>
        <c:crosses val="autoZero"/>
        <c:auto val="1"/>
        <c:lblAlgn val="ctr"/>
        <c:lblOffset val="100"/>
        <c:noMultiLvlLbl val="0"/>
      </c:catAx>
      <c:valAx>
        <c:axId val="-2108413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sz="1000">
                    <a:latin typeface="Times New Roman" charset="0"/>
                    <a:ea typeface="Times New Roman" charset="0"/>
                    <a:cs typeface="Times New Roman" charset="0"/>
                  </a:rPr>
                  <a:t>Number of cells (x10</a:t>
                </a:r>
                <a:r>
                  <a:rPr lang="fr-FR" sz="1000" baseline="30000">
                    <a:latin typeface="Times New Roman" charset="0"/>
                    <a:ea typeface="Times New Roman" charset="0"/>
                    <a:cs typeface="Times New Roman" charset="0"/>
                  </a:rPr>
                  <a:t>9</a:t>
                </a:r>
                <a:r>
                  <a:rPr lang="fr-FR" sz="1000">
                    <a:latin typeface="Times New Roman" charset="0"/>
                    <a:ea typeface="Times New Roman" charset="0"/>
                    <a:cs typeface="Times New Roman" charset="0"/>
                  </a:rPr>
                  <a:t> cells/l)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811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97262535302"/>
          <c:y val="5.4736842105263098E-2"/>
          <c:w val="0.87432080573216797"/>
          <c:h val="0.627901533360961"/>
        </c:manualLayout>
      </c:layout>
      <c:lineChart>
        <c:grouping val="standard"/>
        <c:varyColors val="0"/>
        <c:ser>
          <c:idx val="0"/>
          <c:order val="0"/>
          <c:tx>
            <c:strRef>
              <c:f>Feuil1!$B$5</c:f>
              <c:strCache>
                <c:ptCount val="1"/>
                <c:pt idx="0">
                  <c:v>LYMPH.</c:v>
                </c:pt>
              </c:strCache>
            </c:strRef>
          </c:tx>
          <c:spPr>
            <a:ln w="28575" cap="rnd">
              <a:solidFill>
                <a:schemeClr val="accent1"/>
              </a:solidFill>
              <a:round/>
            </a:ln>
            <a:effectLst/>
          </c:spPr>
          <c:marker>
            <c:symbol val="circle"/>
            <c:size val="8"/>
            <c:spPr>
              <a:solidFill>
                <a:schemeClr val="accent1"/>
              </a:solidFill>
              <a:ln w="9525">
                <a:solidFill>
                  <a:schemeClr val="accent1"/>
                </a:solidFill>
              </a:ln>
              <a:effectLst/>
            </c:spPr>
          </c:marker>
          <c:cat>
            <c:strRef>
              <c:f>Feuil1!$C$4:$F$4</c:f>
              <c:strCache>
                <c:ptCount val="4"/>
                <c:pt idx="0">
                  <c:v>J0</c:v>
                </c:pt>
                <c:pt idx="1">
                  <c:v>J2</c:v>
                </c:pt>
                <c:pt idx="2">
                  <c:v>J3</c:v>
                </c:pt>
                <c:pt idx="3">
                  <c:v>J8</c:v>
                </c:pt>
              </c:strCache>
            </c:strRef>
          </c:cat>
          <c:val>
            <c:numRef>
              <c:f>Feuil1!$C$5:$F$5</c:f>
              <c:numCache>
                <c:formatCode>General</c:formatCode>
                <c:ptCount val="4"/>
                <c:pt idx="0">
                  <c:v>2.2999999999999998</c:v>
                </c:pt>
                <c:pt idx="1">
                  <c:v>3.3</c:v>
                </c:pt>
                <c:pt idx="2">
                  <c:v>3.9</c:v>
                </c:pt>
                <c:pt idx="3">
                  <c:v>1.4</c:v>
                </c:pt>
              </c:numCache>
            </c:numRef>
          </c:val>
          <c:smooth val="0"/>
          <c:extLst>
            <c:ext xmlns:c16="http://schemas.microsoft.com/office/drawing/2014/chart" uri="{C3380CC4-5D6E-409C-BE32-E72D297353CC}">
              <c16:uniqueId val="{00000000-9435-4881-985E-A27DFC763289}"/>
            </c:ext>
          </c:extLst>
        </c:ser>
        <c:ser>
          <c:idx val="1"/>
          <c:order val="1"/>
          <c:tx>
            <c:strRef>
              <c:f>Feuil1!$B$6</c:f>
              <c:strCache>
                <c:ptCount val="1"/>
                <c:pt idx="0">
                  <c:v>G.B.</c:v>
                </c:pt>
              </c:strCache>
            </c:strRef>
          </c:tx>
          <c:spPr>
            <a:ln w="28575" cap="rnd">
              <a:solidFill>
                <a:schemeClr val="accent2"/>
              </a:solidFill>
              <a:round/>
            </a:ln>
            <a:effectLst/>
          </c:spPr>
          <c:marker>
            <c:symbol val="square"/>
            <c:size val="8"/>
            <c:spPr>
              <a:solidFill>
                <a:schemeClr val="accent2"/>
              </a:solidFill>
              <a:ln w="9525">
                <a:solidFill>
                  <a:schemeClr val="accent2"/>
                </a:solidFill>
              </a:ln>
              <a:effectLst/>
            </c:spPr>
          </c:marker>
          <c:cat>
            <c:strRef>
              <c:f>Feuil1!$C$4:$F$4</c:f>
              <c:strCache>
                <c:ptCount val="4"/>
                <c:pt idx="0">
                  <c:v>J0</c:v>
                </c:pt>
                <c:pt idx="1">
                  <c:v>J2</c:v>
                </c:pt>
                <c:pt idx="2">
                  <c:v>J3</c:v>
                </c:pt>
                <c:pt idx="3">
                  <c:v>J8</c:v>
                </c:pt>
              </c:strCache>
            </c:strRef>
          </c:cat>
          <c:val>
            <c:numRef>
              <c:f>Feuil1!$C$6:$F$6</c:f>
              <c:numCache>
                <c:formatCode>General</c:formatCode>
                <c:ptCount val="4"/>
                <c:pt idx="0">
                  <c:v>5.9</c:v>
                </c:pt>
                <c:pt idx="1">
                  <c:v>10.6</c:v>
                </c:pt>
                <c:pt idx="2">
                  <c:v>8.8000000000000007</c:v>
                </c:pt>
                <c:pt idx="3">
                  <c:v>7.7</c:v>
                </c:pt>
              </c:numCache>
            </c:numRef>
          </c:val>
          <c:smooth val="0"/>
          <c:extLst>
            <c:ext xmlns:c16="http://schemas.microsoft.com/office/drawing/2014/chart" uri="{C3380CC4-5D6E-409C-BE32-E72D297353CC}">
              <c16:uniqueId val="{00000001-9435-4881-985E-A27DFC763289}"/>
            </c:ext>
          </c:extLst>
        </c:ser>
        <c:dLbls>
          <c:showLegendKey val="0"/>
          <c:showVal val="0"/>
          <c:showCatName val="0"/>
          <c:showSerName val="0"/>
          <c:showPercent val="0"/>
          <c:showBubbleSize val="0"/>
        </c:dLbls>
        <c:marker val="1"/>
        <c:smooth val="0"/>
        <c:axId val="-2109587744"/>
        <c:axId val="-2108764672"/>
      </c:lineChart>
      <c:catAx>
        <c:axId val="-21095877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200" b="1">
                    <a:latin typeface="Times New Roman" charset="0"/>
                    <a:ea typeface="Times New Roman" charset="0"/>
                    <a:cs typeface="Times New Roman" charset="0"/>
                  </a:rPr>
                  <a:t>Times</a:t>
                </a:r>
                <a:r>
                  <a:rPr lang="fr-FR" sz="1200" b="1" baseline="0">
                    <a:latin typeface="Times New Roman" charset="0"/>
                    <a:ea typeface="Times New Roman" charset="0"/>
                    <a:cs typeface="Times New Roman" charset="0"/>
                  </a:rPr>
                  <a:t> (days = j)</a:t>
                </a:r>
                <a:endParaRPr lang="fr-FR" sz="1200" b="1">
                  <a:latin typeface="Times New Roman" charset="0"/>
                  <a:ea typeface="Times New Roman" charset="0"/>
                  <a:cs typeface="Times New Roman" charset="0"/>
                </a:endParaRPr>
              </a:p>
            </c:rich>
          </c:tx>
          <c:layout>
            <c:manualLayout>
              <c:xMode val="edge"/>
              <c:yMode val="edge"/>
              <c:x val="0.40205544983152097"/>
              <c:y val="0.7952699098985369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764672"/>
        <c:crosses val="autoZero"/>
        <c:auto val="1"/>
        <c:lblAlgn val="ctr"/>
        <c:lblOffset val="100"/>
        <c:noMultiLvlLbl val="0"/>
      </c:catAx>
      <c:valAx>
        <c:axId val="-21087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200" b="1">
                    <a:latin typeface="Times New Roman" charset="0"/>
                    <a:ea typeface="Times New Roman" charset="0"/>
                    <a:cs typeface="Times New Roman" charset="0"/>
                  </a:rPr>
                  <a:t>Numbers</a:t>
                </a:r>
                <a:r>
                  <a:rPr lang="fr-FR" sz="1200" b="1" baseline="0">
                    <a:latin typeface="Times New Roman" charset="0"/>
                    <a:ea typeface="Times New Roman" charset="0"/>
                    <a:cs typeface="Times New Roman" charset="0"/>
                  </a:rPr>
                  <a:t> of cells </a:t>
                </a:r>
                <a:r>
                  <a:rPr lang="fr-FR" sz="1000" b="1" i="0" u="none" strike="noStrike" baseline="0">
                    <a:effectLst/>
                  </a:rPr>
                  <a:t>(x 10</a:t>
                </a:r>
                <a:r>
                  <a:rPr lang="fr-FR" sz="1000" b="1" i="0" u="none" strike="noStrike" baseline="30000">
                    <a:effectLst/>
                  </a:rPr>
                  <a:t>9 </a:t>
                </a:r>
                <a:r>
                  <a:rPr lang="fr-FR" sz="1000" b="1" i="0" u="none" strike="noStrike" baseline="0">
                    <a:effectLst/>
                  </a:rPr>
                  <a:t>cells/l) </a:t>
                </a:r>
                <a:r>
                  <a:rPr lang="fr-FR" sz="1200" b="1" baseline="0">
                    <a:latin typeface="Times New Roman" charset="0"/>
                    <a:ea typeface="Times New Roman" charset="0"/>
                    <a:cs typeface="Times New Roman" charset="0"/>
                  </a:rPr>
                  <a:t>       </a:t>
                </a:r>
                <a:endParaRPr lang="fr-FR" sz="1200" b="1">
                  <a:latin typeface="Times New Roman" charset="0"/>
                  <a:ea typeface="Times New Roman" charset="0"/>
                  <a:cs typeface="Times New Roman" charset="0"/>
                </a:endParaRPr>
              </a:p>
            </c:rich>
          </c:tx>
          <c:layout>
            <c:manualLayout>
              <c:xMode val="edge"/>
              <c:yMode val="edge"/>
              <c:x val="2.6607538802660698E-2"/>
              <c:y val="0.2239710917898790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5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007D5-BC55-4169-A1F5-B082D898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16</Pages>
  <Words>4546</Words>
  <Characters>25915</Characters>
  <Application>Microsoft Office Word</Application>
  <DocSecurity>0</DocSecurity>
  <Lines>215</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108</cp:revision>
  <dcterms:created xsi:type="dcterms:W3CDTF">2025-10-25T18:42:00Z</dcterms:created>
  <dcterms:modified xsi:type="dcterms:W3CDTF">2025-10-29T09:59:00Z</dcterms:modified>
</cp:coreProperties>
</file>