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C8ADF" w14:textId="77777777" w:rsidR="00754C9A" w:rsidRDefault="00754C9A" w:rsidP="007648F2">
      <w:pPr>
        <w:pStyle w:val="Title"/>
        <w:spacing w:after="0"/>
        <w:jc w:val="left"/>
        <w:rPr>
          <w:rFonts w:ascii="Arial" w:hAnsi="Arial" w:cs="Arial"/>
        </w:rPr>
      </w:pPr>
    </w:p>
    <w:p w14:paraId="24A06C0B" w14:textId="77777777" w:rsidR="00BB4B79" w:rsidRPr="00BB4B79" w:rsidRDefault="00BB4B79" w:rsidP="007648F2">
      <w:pPr>
        <w:pStyle w:val="Author"/>
        <w:jc w:val="left"/>
        <w:rPr>
          <w:rFonts w:ascii="Arial" w:hAnsi="Arial" w:cs="Arial"/>
          <w:bCs/>
          <w:i/>
          <w:iCs/>
          <w:kern w:val="28"/>
          <w:sz w:val="16"/>
          <w:szCs w:val="16"/>
          <w:u w:val="single"/>
        </w:rPr>
      </w:pPr>
      <w:r w:rsidRPr="00BB4B79">
        <w:rPr>
          <w:rFonts w:ascii="Arial" w:hAnsi="Arial" w:cs="Arial"/>
          <w:bCs/>
          <w:i/>
          <w:iCs/>
          <w:kern w:val="28"/>
          <w:sz w:val="16"/>
          <w:szCs w:val="16"/>
          <w:u w:val="single"/>
        </w:rPr>
        <w:t>Original Research Article</w:t>
      </w:r>
    </w:p>
    <w:p w14:paraId="3D1D2381" w14:textId="77777777" w:rsidR="00BB4B79" w:rsidRPr="00BB4B79" w:rsidRDefault="00BB4B79" w:rsidP="007648F2">
      <w:pPr>
        <w:pStyle w:val="Author"/>
        <w:jc w:val="left"/>
        <w:rPr>
          <w:rFonts w:ascii="Arial" w:hAnsi="Arial" w:cs="Arial"/>
          <w:bCs/>
          <w:i/>
          <w:iCs/>
          <w:kern w:val="28"/>
          <w:sz w:val="36"/>
          <w:u w:val="single"/>
        </w:rPr>
      </w:pPr>
    </w:p>
    <w:p w14:paraId="77987E73" w14:textId="77777777" w:rsidR="00163BC4" w:rsidRPr="00163BC4" w:rsidRDefault="005768C7" w:rsidP="007648F2">
      <w:pPr>
        <w:pStyle w:val="Author"/>
        <w:spacing w:line="240" w:lineRule="auto"/>
        <w:jc w:val="left"/>
        <w:rPr>
          <w:rFonts w:ascii="Arial" w:hAnsi="Arial" w:cs="Arial"/>
          <w:bCs/>
          <w:iCs/>
          <w:kern w:val="28"/>
          <w:sz w:val="36"/>
        </w:rPr>
      </w:pPr>
      <w:r w:rsidRPr="005768C7">
        <w:rPr>
          <w:rFonts w:ascii="Arial" w:hAnsi="Arial" w:cs="Arial"/>
          <w:bCs/>
          <w:iCs/>
          <w:kern w:val="28"/>
          <w:sz w:val="36"/>
        </w:rPr>
        <w:t>Atypical Saturated Fatty Acid Profile of Afraegle paniculata Seed Oil Induces Hyperlipidemia in Wistar Rats</w:t>
      </w:r>
    </w:p>
    <w:p w14:paraId="30380248" w14:textId="77777777" w:rsidR="00A258C3" w:rsidRPr="00790ADA" w:rsidRDefault="00A258C3" w:rsidP="007648F2">
      <w:pPr>
        <w:pStyle w:val="Author"/>
        <w:spacing w:line="240" w:lineRule="auto"/>
        <w:jc w:val="left"/>
        <w:rPr>
          <w:rFonts w:ascii="Arial" w:hAnsi="Arial" w:cs="Arial"/>
          <w:sz w:val="36"/>
        </w:rPr>
      </w:pPr>
    </w:p>
    <w:p w14:paraId="23DC1689" w14:textId="77777777" w:rsidR="00442562" w:rsidRDefault="00442562" w:rsidP="007648F2">
      <w:pPr>
        <w:pStyle w:val="Affiliation"/>
        <w:spacing w:after="0" w:line="240" w:lineRule="auto"/>
        <w:jc w:val="left"/>
        <w:rPr>
          <w:rFonts w:ascii="Arial" w:hAnsi="Arial" w:cs="Arial"/>
        </w:rPr>
      </w:pPr>
    </w:p>
    <w:p w14:paraId="3B0AD527" w14:textId="77777777" w:rsidR="00B01FCD" w:rsidRPr="00FB3A86" w:rsidRDefault="001A41C2" w:rsidP="007648F2">
      <w:pPr>
        <w:pStyle w:val="Copyright"/>
        <w:spacing w:after="0" w:line="240" w:lineRule="auto"/>
        <w:rPr>
          <w:rFonts w:ascii="Arial" w:hAnsi="Arial" w:cs="Arial"/>
        </w:rPr>
        <w:sectPr w:rsidR="00B01FCD" w:rsidRPr="00FB3A86" w:rsidSect="004425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4345EE7" wp14:editId="4829AC38">
                <wp:extent cx="5303520" cy="635"/>
                <wp:effectExtent l="11430" t="13970" r="952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7C58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9A00DB0" w14:textId="304B1AEE" w:rsidR="00B01FCD" w:rsidRDefault="00B01FCD" w:rsidP="007648F2">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7C39EE94" w14:textId="77777777" w:rsidR="00790ADA" w:rsidRPr="00FB3A86" w:rsidRDefault="00790ADA" w:rsidP="007648F2">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7C7D8E2" w14:textId="77777777" w:rsidTr="001E44FE">
        <w:tc>
          <w:tcPr>
            <w:tcW w:w="9576" w:type="dxa"/>
            <w:shd w:val="clear" w:color="auto" w:fill="F2F2F2"/>
          </w:tcPr>
          <w:p w14:paraId="55829535" w14:textId="77777777" w:rsidR="001A41C2" w:rsidRPr="001A41C2" w:rsidRDefault="001A41C2" w:rsidP="007648F2">
            <w:pPr>
              <w:pStyle w:val="NormalWeb"/>
              <w:rPr>
                <w:rFonts w:ascii="Arial" w:hAnsi="Arial" w:cs="Arial"/>
                <w:sz w:val="20"/>
                <w:szCs w:val="20"/>
              </w:rPr>
            </w:pPr>
            <w:proofErr w:type="gramStart"/>
            <w:r w:rsidRPr="001A41C2">
              <w:rPr>
                <w:rStyle w:val="citation-56"/>
                <w:rFonts w:ascii="Arial" w:hAnsi="Arial" w:cs="Arial"/>
                <w:b/>
                <w:bCs/>
                <w:sz w:val="20"/>
                <w:szCs w:val="20"/>
              </w:rPr>
              <w:t>Background:</w:t>
            </w:r>
            <w:proofErr w:type="gramEnd"/>
            <w:r w:rsidRPr="001A41C2">
              <w:rPr>
                <w:rStyle w:val="citation-56"/>
                <w:rFonts w:ascii="Arial" w:hAnsi="Arial" w:cs="Arial"/>
                <w:sz w:val="20"/>
                <w:szCs w:val="20"/>
              </w:rPr>
              <w:t xml:space="preserve"> Amidst the nutrition transition in West Africa, which is fueling a rise in diet-related non-communicable diseases, the scientific validation of traditional food resources is imperative</w:t>
            </w:r>
            <w:r w:rsidRPr="001A41C2">
              <w:rPr>
                <w:rFonts w:ascii="Arial" w:hAnsi="Arial" w:cs="Arial"/>
                <w:sz w:val="20"/>
                <w:szCs w:val="20"/>
              </w:rPr>
              <w:t xml:space="preserve">. </w:t>
            </w:r>
            <w:r w:rsidRPr="001A41C2">
              <w:rPr>
                <w:rStyle w:val="citation-55"/>
                <w:rFonts w:ascii="Arial" w:hAnsi="Arial" w:cs="Arial"/>
                <w:sz w:val="20"/>
                <w:szCs w:val="20"/>
              </w:rPr>
              <w:t xml:space="preserve">This study provides the first biochemical and metabolic characterization of seed oil from </w:t>
            </w:r>
            <w:r w:rsidRPr="001A41C2">
              <w:rPr>
                <w:rStyle w:val="citation-55"/>
                <w:rFonts w:ascii="Arial" w:hAnsi="Arial" w:cs="Arial"/>
                <w:i/>
                <w:iCs/>
                <w:sz w:val="20"/>
                <w:szCs w:val="20"/>
              </w:rPr>
              <w:t>Afraegle paniculata</w:t>
            </w:r>
            <w:r w:rsidRPr="001A41C2">
              <w:rPr>
                <w:rStyle w:val="citation-55"/>
                <w:rFonts w:ascii="Arial" w:hAnsi="Arial" w:cs="Arial"/>
                <w:sz w:val="20"/>
                <w:szCs w:val="20"/>
              </w:rPr>
              <w:t>, a plant integral to Togolese traditional practices but heretofore unexamined for its dietary impact</w:t>
            </w:r>
            <w:r w:rsidRPr="001A41C2">
              <w:rPr>
                <w:rFonts w:ascii="Arial" w:hAnsi="Arial" w:cs="Arial"/>
                <w:sz w:val="20"/>
                <w:szCs w:val="20"/>
              </w:rPr>
              <w:t>.</w:t>
            </w:r>
          </w:p>
          <w:p w14:paraId="0DA2EC65" w14:textId="77777777" w:rsidR="001A41C2" w:rsidRPr="001A41C2" w:rsidRDefault="001A41C2" w:rsidP="007648F2">
            <w:pPr>
              <w:pStyle w:val="NormalWeb"/>
              <w:rPr>
                <w:rFonts w:ascii="Arial" w:hAnsi="Arial" w:cs="Arial"/>
                <w:sz w:val="20"/>
                <w:szCs w:val="20"/>
              </w:rPr>
            </w:pPr>
            <w:proofErr w:type="gramStart"/>
            <w:r w:rsidRPr="001A41C2">
              <w:rPr>
                <w:rStyle w:val="citation-54"/>
                <w:rFonts w:ascii="Arial" w:hAnsi="Arial" w:cs="Arial"/>
                <w:b/>
                <w:bCs/>
                <w:sz w:val="20"/>
                <w:szCs w:val="20"/>
              </w:rPr>
              <w:t>Methods:</w:t>
            </w:r>
            <w:proofErr w:type="gramEnd"/>
            <w:r w:rsidRPr="001A41C2">
              <w:rPr>
                <w:rStyle w:val="citation-54"/>
                <w:rFonts w:ascii="Arial" w:hAnsi="Arial" w:cs="Arial"/>
                <w:sz w:val="20"/>
                <w:szCs w:val="20"/>
              </w:rPr>
              <w:t xml:space="preserve"> Oil was extracted from </w:t>
            </w:r>
            <w:r w:rsidRPr="001A41C2">
              <w:rPr>
                <w:rStyle w:val="citation-54"/>
                <w:rFonts w:ascii="Arial" w:hAnsi="Arial" w:cs="Arial"/>
                <w:i/>
                <w:iCs/>
                <w:sz w:val="20"/>
                <w:szCs w:val="20"/>
              </w:rPr>
              <w:t>A. paniculata</w:t>
            </w:r>
            <w:r w:rsidRPr="001A41C2">
              <w:rPr>
                <w:rStyle w:val="citation-54"/>
                <w:rFonts w:ascii="Arial" w:hAnsi="Arial" w:cs="Arial"/>
                <w:sz w:val="20"/>
                <w:szCs w:val="20"/>
              </w:rPr>
              <w:t xml:space="preserve"> seeds using a Soxhlet apparatus, and its fatty acid composition was determined by gas chromatography-mass spectrometry (GC-MS)</w:t>
            </w:r>
            <w:r w:rsidRPr="001A41C2">
              <w:rPr>
                <w:rFonts w:ascii="Arial" w:hAnsi="Arial" w:cs="Arial"/>
                <w:sz w:val="20"/>
                <w:szCs w:val="20"/>
              </w:rPr>
              <w:t xml:space="preserve">. </w:t>
            </w:r>
            <w:r w:rsidRPr="001A41C2">
              <w:rPr>
                <w:rStyle w:val="citation-53"/>
                <w:rFonts w:ascii="Arial" w:hAnsi="Arial" w:cs="Arial"/>
                <w:sz w:val="20"/>
                <w:szCs w:val="20"/>
              </w:rPr>
              <w:t xml:space="preserve">Subsequently, a 28-day </w:t>
            </w:r>
            <w:r w:rsidRPr="001A41C2">
              <w:rPr>
                <w:rStyle w:val="citation-53"/>
                <w:rFonts w:ascii="Arial" w:hAnsi="Arial" w:cs="Arial"/>
                <w:i/>
                <w:iCs/>
                <w:sz w:val="20"/>
                <w:szCs w:val="20"/>
              </w:rPr>
              <w:t>in vivo</w:t>
            </w:r>
            <w:r w:rsidRPr="001A41C2">
              <w:rPr>
                <w:rStyle w:val="citation-53"/>
                <w:rFonts w:ascii="Arial" w:hAnsi="Arial" w:cs="Arial"/>
                <w:sz w:val="20"/>
                <w:szCs w:val="20"/>
              </w:rPr>
              <w:t xml:space="preserve"> study was conducted, wherein male Wistar rats were orally administered the oil at doses of 2.5, 5.0, and 7.5 µL/g body weight to evaluate its effects on serum lipid profiles (TC, TG, HDL-C, LDL-C) compared to groundnut oil and a control</w:t>
            </w:r>
            <w:r w:rsidRPr="001A41C2">
              <w:rPr>
                <w:rFonts w:ascii="Arial" w:hAnsi="Arial" w:cs="Arial"/>
                <w:sz w:val="20"/>
                <w:szCs w:val="20"/>
              </w:rPr>
              <w:t>.</w:t>
            </w:r>
          </w:p>
          <w:p w14:paraId="3E53A5E0" w14:textId="77777777" w:rsidR="001A41C2" w:rsidRPr="001A41C2" w:rsidRDefault="001A41C2" w:rsidP="007648F2">
            <w:pPr>
              <w:pStyle w:val="NormalWeb"/>
              <w:rPr>
                <w:rFonts w:ascii="Arial" w:hAnsi="Arial" w:cs="Arial"/>
                <w:sz w:val="20"/>
                <w:szCs w:val="20"/>
              </w:rPr>
            </w:pPr>
            <w:proofErr w:type="gramStart"/>
            <w:r w:rsidRPr="001A41C2">
              <w:rPr>
                <w:rStyle w:val="citation-52"/>
                <w:rFonts w:ascii="Arial" w:hAnsi="Arial" w:cs="Arial"/>
                <w:b/>
                <w:bCs/>
                <w:sz w:val="20"/>
                <w:szCs w:val="20"/>
              </w:rPr>
              <w:t>Results:</w:t>
            </w:r>
            <w:proofErr w:type="gramEnd"/>
            <w:r w:rsidRPr="001A41C2">
              <w:rPr>
                <w:rStyle w:val="citation-52"/>
                <w:rFonts w:ascii="Arial" w:hAnsi="Arial" w:cs="Arial"/>
                <w:sz w:val="20"/>
                <w:szCs w:val="20"/>
              </w:rPr>
              <w:t xml:space="preserve"> The GC-MS analysis revealed an atypical lipid profile, overwhelmingly dominated by saturated fatty acids (SFAs) at 93.5%</w:t>
            </w:r>
            <w:r w:rsidRPr="001A41C2">
              <w:rPr>
                <w:rFonts w:ascii="Arial" w:hAnsi="Arial" w:cs="Arial"/>
                <w:sz w:val="20"/>
                <w:szCs w:val="20"/>
              </w:rPr>
              <w:t xml:space="preserve">. </w:t>
            </w:r>
            <w:r w:rsidRPr="001A41C2">
              <w:rPr>
                <w:rStyle w:val="citation-51"/>
                <w:rFonts w:ascii="Arial" w:hAnsi="Arial" w:cs="Arial"/>
                <w:sz w:val="20"/>
                <w:szCs w:val="20"/>
              </w:rPr>
              <w:t>The principal constituents were the medium-chain lauric acid (C</w:t>
            </w:r>
            <w:proofErr w:type="gramStart"/>
            <w:r w:rsidRPr="001A41C2">
              <w:rPr>
                <w:rStyle w:val="citation-51"/>
                <w:rFonts w:ascii="Arial" w:hAnsi="Arial" w:cs="Arial"/>
                <w:sz w:val="20"/>
                <w:szCs w:val="20"/>
              </w:rPr>
              <w:t>12:</w:t>
            </w:r>
            <w:proofErr w:type="gramEnd"/>
            <w:r w:rsidRPr="001A41C2">
              <w:rPr>
                <w:rStyle w:val="citation-51"/>
                <w:rFonts w:ascii="Arial" w:hAnsi="Arial" w:cs="Arial"/>
                <w:sz w:val="20"/>
                <w:szCs w:val="20"/>
              </w:rPr>
              <w:t>0; 60.73%) and the long-chain myristic acid (C14:0; 25.56</w:t>
            </w:r>
            <w:bookmarkStart w:id="0" w:name="_GoBack"/>
            <w:bookmarkEnd w:id="0"/>
            <w:r w:rsidRPr="001A41C2">
              <w:rPr>
                <w:rStyle w:val="citation-51"/>
                <w:rFonts w:ascii="Arial" w:hAnsi="Arial" w:cs="Arial"/>
                <w:sz w:val="20"/>
                <w:szCs w:val="20"/>
              </w:rPr>
              <w:t>%)</w:t>
            </w:r>
            <w:r w:rsidRPr="001A41C2">
              <w:rPr>
                <w:rFonts w:ascii="Arial" w:hAnsi="Arial" w:cs="Arial"/>
                <w:sz w:val="20"/>
                <w:szCs w:val="20"/>
              </w:rPr>
              <w:t xml:space="preserve">. </w:t>
            </w:r>
            <w:r w:rsidRPr="001A41C2">
              <w:rPr>
                <w:rStyle w:val="citation-50"/>
                <w:rFonts w:ascii="Arial" w:hAnsi="Arial" w:cs="Arial"/>
                <w:sz w:val="20"/>
                <w:szCs w:val="20"/>
              </w:rPr>
              <w:t xml:space="preserve">In vivo, administration of </w:t>
            </w:r>
            <w:r w:rsidRPr="001A41C2">
              <w:rPr>
                <w:rStyle w:val="citation-50"/>
                <w:rFonts w:ascii="Arial" w:hAnsi="Arial" w:cs="Arial"/>
                <w:i/>
                <w:iCs/>
                <w:sz w:val="20"/>
                <w:szCs w:val="20"/>
              </w:rPr>
              <w:t>A. paniculata</w:t>
            </w:r>
            <w:r w:rsidRPr="001A41C2">
              <w:rPr>
                <w:rStyle w:val="citation-50"/>
                <w:rFonts w:ascii="Arial" w:hAnsi="Arial" w:cs="Arial"/>
                <w:sz w:val="20"/>
                <w:szCs w:val="20"/>
              </w:rPr>
              <w:t xml:space="preserve"> oil induced a significant, dose-dependent hyperlipidemia</w:t>
            </w:r>
            <w:r w:rsidRPr="001A41C2">
              <w:rPr>
                <w:rFonts w:ascii="Arial" w:hAnsi="Arial" w:cs="Arial"/>
                <w:sz w:val="20"/>
                <w:szCs w:val="20"/>
              </w:rPr>
              <w:t xml:space="preserve">. </w:t>
            </w:r>
            <w:r w:rsidRPr="001A41C2">
              <w:rPr>
                <w:rStyle w:val="citation-49"/>
                <w:rFonts w:ascii="Arial" w:hAnsi="Arial" w:cs="Arial"/>
                <w:sz w:val="20"/>
                <w:szCs w:val="20"/>
              </w:rPr>
              <w:t>This was characterized by a pronounced elevation in serum triglycerides at all doses (p&lt;0.01) and a significant increase in total cholesterol at the highest dose (p&lt;0.05) relative to the control group</w:t>
            </w:r>
            <w:r w:rsidRPr="001A41C2">
              <w:rPr>
                <w:rFonts w:ascii="Arial" w:hAnsi="Arial" w:cs="Arial"/>
                <w:sz w:val="20"/>
                <w:szCs w:val="20"/>
              </w:rPr>
              <w:t>.</w:t>
            </w:r>
          </w:p>
          <w:p w14:paraId="2A0F4B48" w14:textId="77777777" w:rsidR="00505F06" w:rsidRPr="00BA1B01" w:rsidRDefault="001A41C2" w:rsidP="007648F2">
            <w:pPr>
              <w:pStyle w:val="Body"/>
              <w:spacing w:after="0"/>
              <w:jc w:val="left"/>
              <w:rPr>
                <w:rFonts w:ascii="Arial" w:eastAsia="Calibri" w:hAnsi="Arial" w:cs="Arial"/>
                <w:szCs w:val="22"/>
              </w:rPr>
            </w:pPr>
            <w:r w:rsidRPr="001A41C2">
              <w:rPr>
                <w:rStyle w:val="citation-48"/>
                <w:rFonts w:ascii="Arial" w:hAnsi="Arial" w:cs="Arial"/>
                <w:b/>
                <w:bCs/>
              </w:rPr>
              <w:t>Conclusion:</w:t>
            </w:r>
            <w:r w:rsidRPr="001A41C2">
              <w:rPr>
                <w:rStyle w:val="citation-48"/>
                <w:rFonts w:ascii="Arial" w:hAnsi="Arial" w:cs="Arial"/>
              </w:rPr>
              <w:t xml:space="preserve"> The unique SFA composition of </w:t>
            </w:r>
            <w:r w:rsidRPr="001A41C2">
              <w:rPr>
                <w:rStyle w:val="citation-48"/>
                <w:rFonts w:ascii="Arial" w:hAnsi="Arial" w:cs="Arial"/>
                <w:i/>
                <w:iCs/>
              </w:rPr>
              <w:t>A. paniculata</w:t>
            </w:r>
            <w:r w:rsidRPr="001A41C2">
              <w:rPr>
                <w:rStyle w:val="citation-48"/>
                <w:rFonts w:ascii="Arial" w:hAnsi="Arial" w:cs="Arial"/>
              </w:rPr>
              <w:t xml:space="preserve"> seed oil, particularly its high concentration of lauric and myristic acids, provides a direct mechanistic basis for its potent hyperlipidemic effects</w:t>
            </w:r>
            <w:r w:rsidRPr="001A41C2">
              <w:rPr>
                <w:rFonts w:ascii="Arial" w:hAnsi="Arial" w:cs="Arial"/>
              </w:rPr>
              <w:t xml:space="preserve">. </w:t>
            </w:r>
            <w:r w:rsidRPr="001A41C2">
              <w:rPr>
                <w:rStyle w:val="citation-47"/>
                <w:rFonts w:ascii="Arial" w:hAnsi="Arial" w:cs="Arial"/>
              </w:rPr>
              <w:t>These findings caution against the promotion of this traditional oil for widespread culinary use, as it could paradoxically exacerbate the growing burden of cardiovascular disease in the region</w:t>
            </w:r>
          </w:p>
        </w:tc>
      </w:tr>
    </w:tbl>
    <w:p w14:paraId="38D813C5" w14:textId="77777777" w:rsidR="00CB1249" w:rsidRDefault="00CB1249" w:rsidP="007648F2">
      <w:pPr>
        <w:pStyle w:val="Body"/>
        <w:spacing w:after="0"/>
        <w:jc w:val="left"/>
        <w:rPr>
          <w:rFonts w:ascii="Arial" w:hAnsi="Arial" w:cs="Arial"/>
          <w:i/>
        </w:rPr>
      </w:pPr>
    </w:p>
    <w:p w14:paraId="547B32D9" w14:textId="38E5AEC5" w:rsidR="00A24E7E" w:rsidRDefault="00A24E7E" w:rsidP="007648F2">
      <w:pPr>
        <w:pStyle w:val="Body"/>
        <w:spacing w:after="0"/>
        <w:jc w:val="left"/>
        <w:rPr>
          <w:rFonts w:ascii="Arial" w:hAnsi="Arial" w:cs="Arial"/>
        </w:rPr>
      </w:pPr>
      <w:r>
        <w:rPr>
          <w:rFonts w:ascii="Arial" w:hAnsi="Arial" w:cs="Arial"/>
          <w:i/>
        </w:rPr>
        <w:t xml:space="preserve">Keywords: </w:t>
      </w:r>
      <w:r w:rsidR="001A41C2" w:rsidRPr="001A41C2">
        <w:rPr>
          <w:rFonts w:ascii="Arial" w:hAnsi="Arial" w:cs="Arial"/>
          <w:i/>
          <w:iCs/>
        </w:rPr>
        <w:t xml:space="preserve">Afraegle </w:t>
      </w:r>
      <w:proofErr w:type="gramStart"/>
      <w:r w:rsidR="001A41C2" w:rsidRPr="001A41C2">
        <w:rPr>
          <w:rFonts w:ascii="Arial" w:hAnsi="Arial" w:cs="Arial"/>
          <w:i/>
          <w:iCs/>
        </w:rPr>
        <w:t>paniculata </w:t>
      </w:r>
      <w:r w:rsidR="001A41C2" w:rsidRPr="001A41C2">
        <w:rPr>
          <w:rFonts w:ascii="Arial" w:hAnsi="Arial" w:cs="Arial"/>
        </w:rPr>
        <w:t>,</w:t>
      </w:r>
      <w:proofErr w:type="gramEnd"/>
      <w:r w:rsidR="001A41C2" w:rsidRPr="001A41C2">
        <w:rPr>
          <w:rFonts w:ascii="Arial" w:hAnsi="Arial" w:cs="Arial"/>
        </w:rPr>
        <w:t xml:space="preserve"> Saturated Fatty Acids , Hyperlipidemia, Lauric Acid, Nutrition Transition, Togo</w:t>
      </w:r>
    </w:p>
    <w:p w14:paraId="5E6E9B8C" w14:textId="54523DD9" w:rsidR="007648F2" w:rsidRDefault="007648F2" w:rsidP="007648F2">
      <w:pPr>
        <w:pStyle w:val="Body"/>
        <w:spacing w:after="0"/>
        <w:jc w:val="left"/>
        <w:rPr>
          <w:rFonts w:ascii="Arial" w:hAnsi="Arial" w:cs="Arial"/>
          <w:i/>
        </w:rPr>
      </w:pPr>
    </w:p>
    <w:p w14:paraId="721B8E90" w14:textId="77777777" w:rsidR="007648F2" w:rsidRPr="001A41C2" w:rsidRDefault="007648F2" w:rsidP="007648F2">
      <w:pPr>
        <w:pStyle w:val="Body"/>
        <w:spacing w:after="0"/>
        <w:jc w:val="left"/>
        <w:rPr>
          <w:rFonts w:ascii="Arial" w:hAnsi="Arial" w:cs="Arial"/>
          <w:i/>
        </w:rPr>
      </w:pPr>
    </w:p>
    <w:p w14:paraId="155A9736" w14:textId="77777777" w:rsidR="007F7B32" w:rsidRDefault="00902823" w:rsidP="007648F2">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67A711" w14:textId="77777777" w:rsidR="00790ADA" w:rsidRPr="00FB3A86" w:rsidRDefault="00790ADA" w:rsidP="007648F2">
      <w:pPr>
        <w:pStyle w:val="AbstHead"/>
        <w:spacing w:after="0"/>
        <w:rPr>
          <w:rFonts w:ascii="Arial" w:hAnsi="Arial" w:cs="Arial"/>
        </w:rPr>
      </w:pPr>
    </w:p>
    <w:p w14:paraId="568116B5" w14:textId="77777777" w:rsidR="001A41C2" w:rsidRPr="001A41C2" w:rsidRDefault="001A41C2" w:rsidP="007648F2">
      <w:pPr>
        <w:spacing w:before="100" w:beforeAutospacing="1" w:after="100" w:afterAutospacing="1"/>
        <w:rPr>
          <w:rFonts w:ascii="Arial" w:hAnsi="Arial" w:cs="Arial"/>
          <w:szCs w:val="24"/>
          <w:lang w:eastAsia="fr-FR"/>
        </w:rPr>
      </w:pPr>
      <w:r w:rsidRPr="001A41C2">
        <w:rPr>
          <w:rFonts w:ascii="Arial" w:hAnsi="Arial" w:cs="Arial"/>
          <w:szCs w:val="24"/>
          <w:lang w:eastAsia="fr-FR"/>
        </w:rPr>
        <w:t xml:space="preserve">The intricate relationship between dietary lipid composition and cardiovascular health is a cornerstone of modern nutritional science [WHO, 2023]. It is unequivocally established that the profile of fatty acids consumed is a critical determinant of plasma lipid and lipoprotein concentrations, thereby acting as a major modulator of atherogenesis and the subsequent risk of cardiovascular disease (CVD) [Guesnet et al., 2005, Iggman et al., </w:t>
      </w:r>
      <w:proofErr w:type="gramStart"/>
      <w:r w:rsidRPr="001A41C2">
        <w:rPr>
          <w:rFonts w:ascii="Arial" w:hAnsi="Arial" w:cs="Arial"/>
          <w:szCs w:val="24"/>
          <w:lang w:eastAsia="fr-FR"/>
        </w:rPr>
        <w:t>2011 ;</w:t>
      </w:r>
      <w:proofErr w:type="gramEnd"/>
      <w:r w:rsidRPr="001A41C2">
        <w:rPr>
          <w:rFonts w:ascii="Arial" w:hAnsi="Arial" w:cs="Arial"/>
          <w:szCs w:val="24"/>
          <w:lang w:eastAsia="fr-FR"/>
        </w:rPr>
        <w:t xml:space="preserve"> Mensink, 2016].. The maintenance of normolipidemia is crucial, as aberrations such as elevated total cholesterol (TC), triglycerides (TG), and low-density lipoprotein cholesterol (LDL-C), or depressed high-density lipoprotein cholesterol (HDL-C), collectively termed dyslipidemia, are causally linked to the development of atherosclerosis [Banach, et al., 2015].</w:t>
      </w:r>
    </w:p>
    <w:p w14:paraId="31510E4C" w14:textId="77777777" w:rsidR="001A41C2" w:rsidRPr="001A41C2" w:rsidRDefault="001A41C2" w:rsidP="007648F2">
      <w:pPr>
        <w:spacing w:before="100" w:beforeAutospacing="1" w:after="100" w:afterAutospacing="1"/>
        <w:rPr>
          <w:rFonts w:ascii="Arial" w:hAnsi="Arial" w:cs="Arial"/>
          <w:szCs w:val="24"/>
          <w:lang w:eastAsia="fr-FR"/>
        </w:rPr>
      </w:pPr>
      <w:r w:rsidRPr="001A41C2">
        <w:rPr>
          <w:rFonts w:ascii="Arial" w:hAnsi="Arial" w:cs="Arial"/>
          <w:szCs w:val="24"/>
          <w:lang w:eastAsia="fr-FR"/>
        </w:rPr>
        <w:lastRenderedPageBreak/>
        <w:t>Within this framework, a dominant nutritional paradigm advocates for diets rich in monounsaturated (MUFA) and polyunsaturated (PUFA) fatty acids, found abundantly in oils like olive and rapeseed. These unsaturated fatty acids are recognized for their cardioprotective effects, which are mediated through mechanisms including the reduction of atherogenic LDL-C levels and their roles as precursors for anti-inflammatory eicosanoids [Siri-Tarino et al., 2010]. In stark contrast, tropical oils such as coconut and palm oil, characterized by their high concentration of saturated fatty acids (SFA), remain at the center of a persistent scientific debate regarding their metabolic implications and net effect on CVD risk [Zhuang et al., 2023]. This controversy is fueled by evidence that different SFAs exert varied effects on the TC/HDL-C ratio, a critical prognostic marker for cardiovascular events [Mensink, 2016</w:t>
      </w:r>
      <w:proofErr w:type="gramStart"/>
      <w:r w:rsidRPr="001A41C2">
        <w:rPr>
          <w:rFonts w:ascii="Arial" w:hAnsi="Arial" w:cs="Arial"/>
          <w:szCs w:val="24"/>
          <w:lang w:eastAsia="fr-FR"/>
        </w:rPr>
        <w:t>, ;</w:t>
      </w:r>
      <w:proofErr w:type="gramEnd"/>
      <w:r w:rsidRPr="001A41C2">
        <w:rPr>
          <w:rFonts w:ascii="Arial" w:hAnsi="Arial" w:cs="Arial"/>
          <w:szCs w:val="24"/>
          <w:lang w:eastAsia="fr-FR"/>
        </w:rPr>
        <w:t xml:space="preserve"> Zhuang et al., 2023]. </w:t>
      </w:r>
    </w:p>
    <w:p w14:paraId="0D9E4CB5" w14:textId="77777777" w:rsidR="001A41C2" w:rsidRPr="001A41C2" w:rsidRDefault="001A41C2" w:rsidP="007648F2">
      <w:pPr>
        <w:spacing w:before="100" w:beforeAutospacing="1" w:after="100" w:afterAutospacing="1"/>
        <w:rPr>
          <w:rFonts w:ascii="Arial" w:hAnsi="Arial" w:cs="Arial"/>
          <w:szCs w:val="24"/>
          <w:lang w:eastAsia="fr-FR"/>
        </w:rPr>
      </w:pPr>
      <w:r w:rsidRPr="001A41C2">
        <w:rPr>
          <w:rFonts w:ascii="Arial" w:hAnsi="Arial" w:cs="Arial"/>
          <w:szCs w:val="24"/>
          <w:lang w:eastAsia="fr-FR"/>
        </w:rPr>
        <w:t xml:space="preserve">This global paradigm assumes a particularly compelling dimension within the African context. The continent is a reservoir of immense biodiversity, harboring a vast array of underutilized and "orphan" plant species that are integral to traditional food systems and ethnopharmacology [Baa-Poku et al., 2018]. These local resources hold significant potential for enhancing food security and nutrition. However, this potential is shadowed by a major public health </w:t>
      </w:r>
      <w:proofErr w:type="gramStart"/>
      <w:r w:rsidRPr="001A41C2">
        <w:rPr>
          <w:rFonts w:ascii="Arial" w:hAnsi="Arial" w:cs="Arial"/>
          <w:szCs w:val="24"/>
          <w:lang w:eastAsia="fr-FR"/>
        </w:rPr>
        <w:t>challenge :</w:t>
      </w:r>
      <w:proofErr w:type="gramEnd"/>
      <w:r w:rsidRPr="001A41C2">
        <w:rPr>
          <w:rFonts w:ascii="Arial" w:hAnsi="Arial" w:cs="Arial"/>
          <w:szCs w:val="24"/>
          <w:lang w:eastAsia="fr-FR"/>
        </w:rPr>
        <w:t xml:space="preserve"> the "nutrition transition" [Popkin et al., 2020]. Many nations, including Togo, are navigating this complex shift, characterized by a departure from traditional, often fiber-rich diets towards the adoption of Westernized dietary patterns high in processed foods, refined carbohydrates, and saturated fats. This epidemiological shift is a primary driver behind the escalating prevalence of diet-related non-communicable diseases, with dyslipidemia and hypertension becoming increasingly common in both urban and rural West African populations [Chori et al., </w:t>
      </w:r>
      <w:proofErr w:type="gramStart"/>
      <w:r w:rsidRPr="001A41C2">
        <w:rPr>
          <w:rFonts w:ascii="Arial" w:hAnsi="Arial" w:cs="Arial"/>
          <w:szCs w:val="24"/>
          <w:lang w:eastAsia="fr-FR"/>
        </w:rPr>
        <w:t>2022 ;</w:t>
      </w:r>
      <w:proofErr w:type="gramEnd"/>
      <w:r w:rsidRPr="001A41C2">
        <w:rPr>
          <w:rFonts w:ascii="Arial" w:hAnsi="Arial" w:cs="Arial"/>
          <w:szCs w:val="24"/>
          <w:lang w:eastAsia="fr-FR"/>
        </w:rPr>
        <w:t xml:space="preserve"> </w:t>
      </w:r>
      <w:r w:rsidRPr="001A41C2">
        <w:rPr>
          <w:rFonts w:ascii="Arial" w:hAnsi="Arial" w:cs="Arial"/>
          <w:szCs w:val="24"/>
        </w:rPr>
        <w:t>Okaka</w:t>
      </w:r>
      <w:r w:rsidRPr="001A41C2">
        <w:rPr>
          <w:rFonts w:ascii="Arial" w:hAnsi="Arial" w:cs="Arial"/>
          <w:szCs w:val="24"/>
          <w:lang w:eastAsia="fr-FR"/>
        </w:rPr>
        <w:t xml:space="preserve"> et al., 2022 ; Adeloye et al., 2020].</w:t>
      </w:r>
    </w:p>
    <w:p w14:paraId="0CF18018" w14:textId="77777777" w:rsidR="001A41C2" w:rsidRPr="001A41C2" w:rsidRDefault="001A41C2" w:rsidP="007648F2">
      <w:pPr>
        <w:spacing w:before="100" w:beforeAutospacing="1" w:after="100" w:afterAutospacing="1"/>
        <w:rPr>
          <w:rFonts w:ascii="Arial" w:hAnsi="Arial" w:cs="Arial"/>
          <w:szCs w:val="24"/>
          <w:lang w:eastAsia="fr-FR"/>
        </w:rPr>
      </w:pPr>
      <w:r w:rsidRPr="001A41C2">
        <w:rPr>
          <w:rFonts w:ascii="Arial" w:hAnsi="Arial" w:cs="Arial"/>
          <w:szCs w:val="24"/>
          <w:lang w:eastAsia="fr-FR"/>
        </w:rPr>
        <w:t xml:space="preserve">This situation creates a research imperative to scientifically characterize local food resources to guide evidence-based public health nutrition policies. In Togo, the oil extracted from the seeds of </w:t>
      </w:r>
      <w:r w:rsidRPr="001A41C2">
        <w:rPr>
          <w:rFonts w:ascii="Arial" w:hAnsi="Arial" w:cs="Arial"/>
          <w:i/>
          <w:iCs/>
          <w:szCs w:val="24"/>
          <w:lang w:eastAsia="fr-FR"/>
        </w:rPr>
        <w:t>Afraegle paniculata</w:t>
      </w:r>
      <w:r w:rsidRPr="001A41C2">
        <w:rPr>
          <w:rFonts w:ascii="Arial" w:hAnsi="Arial" w:cs="Arial"/>
          <w:szCs w:val="24"/>
          <w:lang w:eastAsia="fr-FR"/>
        </w:rPr>
        <w:t>, a plant deeply rooted in traditional culinary practices and pharmacopeia, remains largely uncharacterized from a biochemical and metabolic standpoint. While prior investigations have explored the general toxicological or pleiotropic properties of various extracts from the plant, a significant lacuna persists in the scientific literature concerning a detailed characterization of the oil's fatty acid profile and its direct impact on lipid metabolism. Understanding this link is a prerequisite before its wider use as a dietary staple can be either encouraged or cautioned against. Promoting a traditional food for wider consumption without such validation carries the risk of inadvertently exacerbating the negative health trends associated with the nutrition transition.</w:t>
      </w:r>
    </w:p>
    <w:p w14:paraId="27CBBF02" w14:textId="77777777" w:rsidR="001A41C2" w:rsidRPr="001A41C2" w:rsidRDefault="001A41C2" w:rsidP="007648F2">
      <w:pPr>
        <w:spacing w:before="100" w:beforeAutospacing="1" w:after="100" w:afterAutospacing="1"/>
        <w:rPr>
          <w:rFonts w:ascii="Arial" w:hAnsi="Arial" w:cs="Arial"/>
          <w:szCs w:val="24"/>
          <w:lang w:eastAsia="fr-FR"/>
        </w:rPr>
      </w:pPr>
      <w:r w:rsidRPr="001A41C2">
        <w:rPr>
          <w:rFonts w:ascii="Arial" w:hAnsi="Arial" w:cs="Arial"/>
          <w:szCs w:val="24"/>
          <w:lang w:eastAsia="fr-FR"/>
        </w:rPr>
        <w:t xml:space="preserve">Therefore, the present study was designed with a dual </w:t>
      </w:r>
      <w:proofErr w:type="gramStart"/>
      <w:r w:rsidRPr="001A41C2">
        <w:rPr>
          <w:rFonts w:ascii="Arial" w:hAnsi="Arial" w:cs="Arial"/>
          <w:szCs w:val="24"/>
          <w:lang w:eastAsia="fr-FR"/>
        </w:rPr>
        <w:t>objective :</w:t>
      </w:r>
      <w:proofErr w:type="gramEnd"/>
      <w:r w:rsidRPr="001A41C2">
        <w:rPr>
          <w:rFonts w:ascii="Arial" w:hAnsi="Arial" w:cs="Arial"/>
          <w:szCs w:val="24"/>
          <w:lang w:eastAsia="fr-FR"/>
        </w:rPr>
        <w:t xml:space="preserve"> first, to conduct the first detailed characterization of the fatty acid composition of oil from </w:t>
      </w:r>
      <w:r w:rsidRPr="001A41C2">
        <w:rPr>
          <w:rFonts w:ascii="Arial" w:hAnsi="Arial" w:cs="Arial"/>
          <w:i/>
          <w:iCs/>
          <w:szCs w:val="24"/>
          <w:lang w:eastAsia="fr-FR"/>
        </w:rPr>
        <w:t>A. paniculata</w:t>
      </w:r>
      <w:r w:rsidRPr="001A41C2">
        <w:rPr>
          <w:rFonts w:ascii="Arial" w:hAnsi="Arial" w:cs="Arial"/>
          <w:szCs w:val="24"/>
          <w:lang w:eastAsia="fr-FR"/>
        </w:rPr>
        <w:t xml:space="preserve"> seeds sourced in Togo using gas chromatography-mass spectrometry. Second, to evaluate the </w:t>
      </w:r>
      <w:r w:rsidRPr="001A41C2">
        <w:rPr>
          <w:rFonts w:ascii="Arial" w:hAnsi="Arial" w:cs="Arial"/>
          <w:i/>
          <w:iCs/>
          <w:szCs w:val="24"/>
          <w:lang w:eastAsia="fr-FR"/>
        </w:rPr>
        <w:t>in vivo</w:t>
      </w:r>
      <w:r w:rsidRPr="001A41C2">
        <w:rPr>
          <w:rFonts w:ascii="Arial" w:hAnsi="Arial" w:cs="Arial"/>
          <w:szCs w:val="24"/>
          <w:lang w:eastAsia="fr-FR"/>
        </w:rPr>
        <w:t xml:space="preserve"> effects of this specific lipid profile on the serum lipid panel in a validated Wistar rat model of metabolic studies.</w:t>
      </w:r>
    </w:p>
    <w:p w14:paraId="4E6B8299" w14:textId="77777777" w:rsidR="00790ADA" w:rsidRPr="00FB3A86" w:rsidRDefault="00790ADA" w:rsidP="007648F2">
      <w:pPr>
        <w:pStyle w:val="Body"/>
        <w:spacing w:after="0"/>
        <w:jc w:val="left"/>
        <w:rPr>
          <w:rFonts w:ascii="Arial" w:hAnsi="Arial" w:cs="Arial"/>
        </w:rPr>
      </w:pPr>
    </w:p>
    <w:p w14:paraId="0D7DFD61" w14:textId="77777777" w:rsidR="00790ADA" w:rsidRPr="00FB3A86" w:rsidRDefault="00902823" w:rsidP="007648F2">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r w:rsidR="00F35AE7">
        <w:rPr>
          <w:rFonts w:ascii="Arial" w:hAnsi="Arial" w:cs="Arial"/>
        </w:rPr>
        <w:t xml:space="preserve"> </w:t>
      </w:r>
    </w:p>
    <w:p w14:paraId="356E24E4" w14:textId="77777777" w:rsidR="00152A06" w:rsidRPr="00F35AE7" w:rsidRDefault="00152A06" w:rsidP="007648F2">
      <w:pPr>
        <w:pStyle w:val="Heading3"/>
        <w:rPr>
          <w:rFonts w:ascii="Arial" w:hAnsi="Arial" w:cs="Arial"/>
          <w:b/>
          <w:color w:val="auto"/>
          <w:sz w:val="22"/>
          <w:szCs w:val="20"/>
        </w:rPr>
      </w:pPr>
      <w:r w:rsidRPr="00F35AE7">
        <w:rPr>
          <w:rFonts w:ascii="Arial" w:hAnsi="Arial" w:cs="Arial"/>
          <w:b/>
          <w:color w:val="auto"/>
          <w:sz w:val="22"/>
          <w:szCs w:val="20"/>
        </w:rPr>
        <w:t>2.1. Plant material and oil extraction</w:t>
      </w:r>
    </w:p>
    <w:p w14:paraId="5D8A1093" w14:textId="77777777" w:rsidR="00152A06" w:rsidRPr="00152A06" w:rsidRDefault="00152A06" w:rsidP="007648F2">
      <w:pPr>
        <w:pStyle w:val="NormalWeb"/>
        <w:rPr>
          <w:rFonts w:ascii="Arial" w:hAnsi="Arial" w:cs="Arial"/>
          <w:sz w:val="20"/>
          <w:szCs w:val="20"/>
        </w:rPr>
      </w:pPr>
      <w:r w:rsidRPr="00152A06">
        <w:rPr>
          <w:rFonts w:ascii="Arial" w:hAnsi="Arial" w:cs="Arial"/>
          <w:sz w:val="20"/>
          <w:szCs w:val="20"/>
        </w:rPr>
        <w:t xml:space="preserve">The seeds of </w:t>
      </w:r>
      <w:r w:rsidRPr="00152A06">
        <w:rPr>
          <w:rFonts w:ascii="Arial" w:hAnsi="Arial" w:cs="Arial"/>
          <w:bCs/>
          <w:i/>
          <w:iCs/>
          <w:sz w:val="20"/>
          <w:szCs w:val="20"/>
        </w:rPr>
        <w:t>Afraegle paniculata</w:t>
      </w:r>
      <w:r w:rsidRPr="00152A06">
        <w:rPr>
          <w:rFonts w:ascii="Arial" w:hAnsi="Arial" w:cs="Arial"/>
          <w:sz w:val="20"/>
          <w:szCs w:val="20"/>
        </w:rPr>
        <w:t xml:space="preserve"> (Schumach. &amp; Thonn.) Engl., a plant deeply rooted in the traditional pharmacopeia and culinary practices of West Africa, were procured for this study. To ensure representative sampling reflective of the local ecosystem, seeds were harvested from mature fruits collected from three distinct geographical locations in Togo : Niamtougou (Kara Region), Wahala (Plateaux Region), and Lomé (Maritime Region). This multi-site collection accounts for potential variations in phytochemical composition due to environmental factors. A voucher specimen was identified and deposited at the herbarium of the University of Lomé.</w:t>
      </w:r>
    </w:p>
    <w:p w14:paraId="14AAB7C3" w14:textId="77777777" w:rsidR="00152A06" w:rsidRPr="00161129" w:rsidRDefault="00152A06" w:rsidP="007648F2">
      <w:pPr>
        <w:pStyle w:val="NormalWeb"/>
        <w:rPr>
          <w:rFonts w:ascii="Arial" w:hAnsi="Arial" w:cs="Arial"/>
          <w:sz w:val="20"/>
          <w:szCs w:val="20"/>
        </w:rPr>
      </w:pPr>
      <w:r w:rsidRPr="00152A06">
        <w:rPr>
          <w:rFonts w:ascii="Arial" w:hAnsi="Arial" w:cs="Arial"/>
          <w:sz w:val="20"/>
          <w:szCs w:val="20"/>
        </w:rPr>
        <w:t>The oil was extracted from the air-dried seeds using a Soxhlet apparatus, a standard and efficient method for lipid extraction. Briefly, the seeds were mechanically ground into a coarse powder. A known mass of the pow</w:t>
      </w:r>
      <w:r w:rsidRPr="00161129">
        <w:rPr>
          <w:rFonts w:ascii="Arial" w:hAnsi="Arial" w:cs="Arial"/>
          <w:sz w:val="20"/>
          <w:szCs w:val="20"/>
        </w:rPr>
        <w:t>der was then subjected to continuous extraction with n-hexane as the solvent for 6 hours. Subsequently, the solvent was removed from the miscella under reduced pressure using a rotary evaporator (Buchi R114, Switzerland) at 40°C to yield the crude oil. The resulting oil was stored in amber-colored glass vials at 4°C to prevent lipid peroxidation prior to analysis and administration. Commercially available refined groundnut (peanut) oil (</w:t>
      </w:r>
      <w:r w:rsidRPr="00161129">
        <w:rPr>
          <w:rFonts w:ascii="Arial" w:hAnsi="Arial" w:cs="Arial"/>
          <w:i/>
          <w:iCs/>
          <w:sz w:val="20"/>
          <w:szCs w:val="20"/>
        </w:rPr>
        <w:t>Arachis hypogaea</w:t>
      </w:r>
      <w:r w:rsidRPr="00161129">
        <w:rPr>
          <w:rFonts w:ascii="Arial" w:hAnsi="Arial" w:cs="Arial"/>
          <w:sz w:val="20"/>
          <w:szCs w:val="20"/>
        </w:rPr>
        <w:t xml:space="preserve">) was purchased from a local market in Lomé, Togo, and used as </w:t>
      </w:r>
      <w:proofErr w:type="gramStart"/>
      <w:r w:rsidRPr="00161129">
        <w:rPr>
          <w:rFonts w:ascii="Arial" w:hAnsi="Arial" w:cs="Arial"/>
          <w:sz w:val="20"/>
          <w:szCs w:val="20"/>
        </w:rPr>
        <w:t>a</w:t>
      </w:r>
      <w:proofErr w:type="gramEnd"/>
      <w:r w:rsidRPr="00161129">
        <w:rPr>
          <w:rFonts w:ascii="Arial" w:hAnsi="Arial" w:cs="Arial"/>
          <w:sz w:val="20"/>
          <w:szCs w:val="20"/>
        </w:rPr>
        <w:t xml:space="preserve"> control oil due to its widespread consumption in the region.</w:t>
      </w:r>
    </w:p>
    <w:p w14:paraId="74587DF1" w14:textId="77777777" w:rsidR="00152A06" w:rsidRPr="00161129" w:rsidRDefault="00152A06" w:rsidP="007648F2">
      <w:pPr>
        <w:pStyle w:val="NormalWeb"/>
        <w:rPr>
          <w:rFonts w:ascii="Arial" w:hAnsi="Arial" w:cs="Arial"/>
          <w:sz w:val="20"/>
          <w:szCs w:val="20"/>
        </w:rPr>
      </w:pPr>
      <w:r w:rsidRPr="00161129">
        <w:rPr>
          <w:rFonts w:ascii="Arial" w:hAnsi="Arial" w:cs="Arial"/>
          <w:sz w:val="20"/>
          <w:szCs w:val="20"/>
        </w:rPr>
        <w:t>The seeds collected from the three different locations were pooled to create a representative composite sample before grinding. The oil extraction yield was calculated gravimetrically and found to be approximately 35.4% (w/w) of the dried seed powder</w:t>
      </w:r>
    </w:p>
    <w:p w14:paraId="01E4790C" w14:textId="77777777" w:rsidR="00152A06" w:rsidRPr="00F35AE7" w:rsidRDefault="00152A06" w:rsidP="007648F2">
      <w:pPr>
        <w:pStyle w:val="Heading3"/>
        <w:rPr>
          <w:rFonts w:ascii="Arial" w:hAnsi="Arial" w:cs="Arial"/>
          <w:b/>
          <w:color w:val="auto"/>
          <w:sz w:val="22"/>
          <w:szCs w:val="20"/>
        </w:rPr>
      </w:pPr>
      <w:r w:rsidRPr="00F35AE7">
        <w:rPr>
          <w:rFonts w:ascii="Arial" w:hAnsi="Arial" w:cs="Arial"/>
          <w:b/>
          <w:color w:val="auto"/>
          <w:sz w:val="22"/>
          <w:szCs w:val="20"/>
        </w:rPr>
        <w:lastRenderedPageBreak/>
        <w:t>2.2. Fatty acid profile analysis by GC-MS</w:t>
      </w:r>
    </w:p>
    <w:p w14:paraId="35046374" w14:textId="77777777" w:rsidR="00152A06" w:rsidRPr="00161129" w:rsidRDefault="00152A06" w:rsidP="007648F2">
      <w:pPr>
        <w:pStyle w:val="NormalWeb"/>
        <w:rPr>
          <w:rFonts w:ascii="Arial" w:hAnsi="Arial" w:cs="Arial"/>
          <w:sz w:val="20"/>
          <w:szCs w:val="20"/>
        </w:rPr>
      </w:pPr>
      <w:r w:rsidRPr="00161129">
        <w:rPr>
          <w:rFonts w:ascii="Arial" w:hAnsi="Arial" w:cs="Arial"/>
          <w:sz w:val="20"/>
          <w:szCs w:val="20"/>
        </w:rPr>
        <w:t xml:space="preserve">The resulting FAMEs were extracted with n-hexane and analyzed using a Thermo Scientific GC-MS system (Trace 1300 Gas Chromatograph coupled to an ISQ/QD Single Quadrupole Mass Spectrometer). Separation was performed on </w:t>
      </w:r>
      <w:proofErr w:type="gramStart"/>
      <w:r w:rsidRPr="00161129">
        <w:rPr>
          <w:rFonts w:ascii="Arial" w:hAnsi="Arial" w:cs="Arial"/>
          <w:sz w:val="20"/>
          <w:szCs w:val="20"/>
        </w:rPr>
        <w:t>a  Agilent</w:t>
      </w:r>
      <w:proofErr w:type="gramEnd"/>
      <w:r w:rsidRPr="00161129">
        <w:rPr>
          <w:rFonts w:ascii="Arial" w:hAnsi="Arial" w:cs="Arial"/>
          <w:sz w:val="20"/>
          <w:szCs w:val="20"/>
        </w:rPr>
        <w:t xml:space="preserve"> HP-88, 100 m x 0.25 mm x 0.20 µm capillary column. The carrier gas was helium at a constant flow rate of 1.0 mL/min. The injector temperature was set to 250°C, and the oven temperature was programmed as </w:t>
      </w:r>
      <w:proofErr w:type="gramStart"/>
      <w:r w:rsidRPr="00161129">
        <w:rPr>
          <w:rFonts w:ascii="Arial" w:hAnsi="Arial" w:cs="Arial"/>
          <w:sz w:val="20"/>
          <w:szCs w:val="20"/>
        </w:rPr>
        <w:t>follows:</w:t>
      </w:r>
      <w:proofErr w:type="gramEnd"/>
      <w:r w:rsidRPr="00161129">
        <w:rPr>
          <w:rFonts w:ascii="Arial" w:hAnsi="Arial" w:cs="Arial"/>
          <w:sz w:val="20"/>
          <w:szCs w:val="20"/>
        </w:rPr>
        <w:t xml:space="preserve"> initial temperature of 140°C held for  5 min, ramped to 240°C at a rate of  4°C/min, and held for 10 min. The mass spectrometer was operated in electron impact (EI) mode at 70 eV with a scan range of m/z 50-650</w:t>
      </w:r>
    </w:p>
    <w:p w14:paraId="0468256D" w14:textId="77777777" w:rsidR="00152A06" w:rsidRPr="00F35AE7" w:rsidRDefault="00152A06" w:rsidP="007648F2">
      <w:pPr>
        <w:pStyle w:val="Heading3"/>
        <w:rPr>
          <w:rFonts w:ascii="Arial" w:hAnsi="Arial" w:cs="Arial"/>
          <w:b/>
          <w:color w:val="auto"/>
          <w:sz w:val="22"/>
          <w:szCs w:val="20"/>
        </w:rPr>
      </w:pPr>
      <w:r w:rsidRPr="00F35AE7">
        <w:rPr>
          <w:rFonts w:ascii="Arial" w:hAnsi="Arial" w:cs="Arial"/>
          <w:b/>
          <w:color w:val="auto"/>
          <w:sz w:val="22"/>
          <w:szCs w:val="20"/>
        </w:rPr>
        <w:t>2.3. Animal housing and experimental design</w:t>
      </w:r>
    </w:p>
    <w:p w14:paraId="2A706745" w14:textId="77777777" w:rsidR="00152A06" w:rsidRPr="00161129" w:rsidRDefault="00152A06" w:rsidP="007648F2">
      <w:pPr>
        <w:pStyle w:val="NormalWeb"/>
        <w:rPr>
          <w:rFonts w:ascii="Arial" w:hAnsi="Arial" w:cs="Arial"/>
          <w:sz w:val="20"/>
          <w:szCs w:val="20"/>
        </w:rPr>
      </w:pPr>
      <w:r w:rsidRPr="00161129">
        <w:rPr>
          <w:rFonts w:ascii="Arial" w:hAnsi="Arial" w:cs="Arial"/>
          <w:sz w:val="20"/>
          <w:szCs w:val="20"/>
        </w:rPr>
        <w:t>Forty-two male Wistar rats (</w:t>
      </w:r>
      <w:r w:rsidRPr="00161129">
        <w:rPr>
          <w:rFonts w:ascii="Arial" w:hAnsi="Arial" w:cs="Arial"/>
          <w:i/>
          <w:iCs/>
          <w:sz w:val="20"/>
          <w:szCs w:val="20"/>
        </w:rPr>
        <w:t>Rattus norvegicus</w:t>
      </w:r>
      <w:r w:rsidRPr="00161129">
        <w:rPr>
          <w:rFonts w:ascii="Arial" w:hAnsi="Arial" w:cs="Arial"/>
          <w:sz w:val="20"/>
          <w:szCs w:val="20"/>
        </w:rPr>
        <w:t>), approximately 8-10 weeks of age and with an initial body weight range of 150-180 g, were obtained from the animal facility of the University of Lomé. The animals were housed in polycarbonate cages under controlled environmental conditions (22 ± 2°</w:t>
      </w:r>
      <w:proofErr w:type="gramStart"/>
      <w:r w:rsidRPr="00161129">
        <w:rPr>
          <w:rFonts w:ascii="Arial" w:hAnsi="Arial" w:cs="Arial"/>
          <w:sz w:val="20"/>
          <w:szCs w:val="20"/>
        </w:rPr>
        <w:t>C;</w:t>
      </w:r>
      <w:proofErr w:type="gramEnd"/>
      <w:r w:rsidRPr="00161129">
        <w:rPr>
          <w:rFonts w:ascii="Arial" w:hAnsi="Arial" w:cs="Arial"/>
          <w:sz w:val="20"/>
          <w:szCs w:val="20"/>
        </w:rPr>
        <w:t xml:space="preserve"> 12-hour light/dark cycle) with ad libitum access to a standard chow diet and tap water. Following a one-week acclimatization period, the rats were randomly allocated into seven groups of six animals each (n=6)</w:t>
      </w:r>
    </w:p>
    <w:p w14:paraId="35367D09" w14:textId="77777777" w:rsidR="00152A06" w:rsidRPr="00161129" w:rsidRDefault="00152A06" w:rsidP="007648F2">
      <w:pPr>
        <w:pStyle w:val="NormalWeb"/>
        <w:rPr>
          <w:rFonts w:ascii="Arial" w:hAnsi="Arial" w:cs="Arial"/>
          <w:sz w:val="20"/>
          <w:szCs w:val="20"/>
        </w:rPr>
      </w:pPr>
      <w:r w:rsidRPr="00161129">
        <w:rPr>
          <w:rFonts w:ascii="Arial" w:hAnsi="Arial" w:cs="Arial"/>
          <w:b/>
          <w:bCs/>
          <w:sz w:val="20"/>
          <w:szCs w:val="20"/>
        </w:rPr>
        <w:t xml:space="preserve">Table </w:t>
      </w:r>
      <w:proofErr w:type="gramStart"/>
      <w:r w:rsidRPr="00161129">
        <w:rPr>
          <w:rFonts w:ascii="Arial" w:hAnsi="Arial" w:cs="Arial"/>
          <w:b/>
          <w:bCs/>
          <w:sz w:val="20"/>
          <w:szCs w:val="20"/>
        </w:rPr>
        <w:t>1:</w:t>
      </w:r>
      <w:proofErr w:type="gramEnd"/>
      <w:r w:rsidRPr="00161129">
        <w:rPr>
          <w:rFonts w:ascii="Arial" w:hAnsi="Arial" w:cs="Arial"/>
          <w:b/>
          <w:bCs/>
          <w:sz w:val="20"/>
          <w:szCs w:val="20"/>
        </w:rPr>
        <w:t xml:space="preserve"> Experimental design for the 28-day animal study</w:t>
      </w:r>
      <w:r w:rsidRPr="00161129">
        <w:rPr>
          <w:rFonts w:ascii="Arial" w:hAnsi="Arial" w:cs="Arial"/>
          <w:sz w:val="20"/>
          <w:szCs w:val="20"/>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1706"/>
        <w:gridCol w:w="3251"/>
        <w:gridCol w:w="2455"/>
        <w:gridCol w:w="2551"/>
      </w:tblGrid>
      <w:tr w:rsidR="00152A06" w:rsidRPr="00161129" w14:paraId="06F78245" w14:textId="77777777" w:rsidTr="00E153C0">
        <w:tc>
          <w:tcPr>
            <w:tcW w:w="0" w:type="auto"/>
            <w:tcBorders>
              <w:top w:val="single" w:sz="4" w:space="0" w:color="auto"/>
              <w:bottom w:val="single" w:sz="4" w:space="0" w:color="auto"/>
            </w:tcBorders>
            <w:hideMark/>
          </w:tcPr>
          <w:p w14:paraId="06679A3D" w14:textId="77777777" w:rsidR="00152A06" w:rsidRPr="00161129" w:rsidRDefault="00152A06" w:rsidP="007648F2">
            <w:pPr>
              <w:rPr>
                <w:rFonts w:ascii="Arial" w:hAnsi="Arial" w:cs="Arial"/>
                <w:sz w:val="20"/>
                <w:szCs w:val="20"/>
              </w:rPr>
            </w:pPr>
            <w:r w:rsidRPr="00161129">
              <w:rPr>
                <w:rFonts w:ascii="Arial" w:hAnsi="Arial" w:cs="Arial"/>
                <w:sz w:val="20"/>
                <w:szCs w:val="20"/>
              </w:rPr>
              <w:t>Group</w:t>
            </w:r>
          </w:p>
        </w:tc>
        <w:tc>
          <w:tcPr>
            <w:tcW w:w="0" w:type="auto"/>
            <w:tcBorders>
              <w:top w:val="single" w:sz="4" w:space="0" w:color="auto"/>
              <w:bottom w:val="single" w:sz="4" w:space="0" w:color="auto"/>
            </w:tcBorders>
            <w:hideMark/>
          </w:tcPr>
          <w:p w14:paraId="4F94D314" w14:textId="77777777" w:rsidR="00152A06" w:rsidRPr="00161129" w:rsidRDefault="00152A06" w:rsidP="007648F2">
            <w:pPr>
              <w:rPr>
                <w:rFonts w:ascii="Arial" w:hAnsi="Arial" w:cs="Arial"/>
                <w:sz w:val="20"/>
                <w:szCs w:val="20"/>
              </w:rPr>
            </w:pPr>
            <w:r w:rsidRPr="00161129">
              <w:rPr>
                <w:rFonts w:ascii="Arial" w:hAnsi="Arial" w:cs="Arial"/>
                <w:sz w:val="20"/>
                <w:szCs w:val="20"/>
              </w:rPr>
              <w:t>Designation</w:t>
            </w:r>
          </w:p>
        </w:tc>
        <w:tc>
          <w:tcPr>
            <w:tcW w:w="0" w:type="auto"/>
            <w:tcBorders>
              <w:top w:val="single" w:sz="4" w:space="0" w:color="auto"/>
              <w:bottom w:val="single" w:sz="4" w:space="0" w:color="auto"/>
            </w:tcBorders>
            <w:hideMark/>
          </w:tcPr>
          <w:p w14:paraId="1B727398" w14:textId="77777777" w:rsidR="00152A06" w:rsidRPr="00161129" w:rsidRDefault="00152A06" w:rsidP="007648F2">
            <w:pPr>
              <w:rPr>
                <w:rFonts w:ascii="Arial" w:hAnsi="Arial" w:cs="Arial"/>
                <w:sz w:val="20"/>
                <w:szCs w:val="20"/>
              </w:rPr>
            </w:pPr>
            <w:r w:rsidRPr="00161129">
              <w:rPr>
                <w:rFonts w:ascii="Arial" w:hAnsi="Arial" w:cs="Arial"/>
                <w:sz w:val="20"/>
                <w:szCs w:val="20"/>
              </w:rPr>
              <w:t>Treatment Substance</w:t>
            </w:r>
          </w:p>
        </w:tc>
        <w:tc>
          <w:tcPr>
            <w:tcW w:w="0" w:type="auto"/>
            <w:tcBorders>
              <w:top w:val="single" w:sz="4" w:space="0" w:color="auto"/>
              <w:bottom w:val="single" w:sz="4" w:space="0" w:color="auto"/>
            </w:tcBorders>
            <w:hideMark/>
          </w:tcPr>
          <w:p w14:paraId="10C95315" w14:textId="77777777" w:rsidR="00152A06" w:rsidRPr="00161129" w:rsidRDefault="00152A06" w:rsidP="007648F2">
            <w:pPr>
              <w:rPr>
                <w:rFonts w:ascii="Arial" w:hAnsi="Arial" w:cs="Arial"/>
                <w:sz w:val="20"/>
                <w:szCs w:val="20"/>
              </w:rPr>
            </w:pPr>
            <w:r w:rsidRPr="00161129">
              <w:rPr>
                <w:rFonts w:ascii="Arial" w:hAnsi="Arial" w:cs="Arial"/>
                <w:sz w:val="20"/>
                <w:szCs w:val="20"/>
              </w:rPr>
              <w:t>Dose (</w:t>
            </w:r>
            <w:r w:rsidRPr="00161129">
              <w:rPr>
                <w:rStyle w:val="mord"/>
                <w:rFonts w:ascii="Arial" w:hAnsi="Arial" w:cs="Arial"/>
                <w:sz w:val="20"/>
                <w:szCs w:val="20"/>
              </w:rPr>
              <w:t>μL/g</w:t>
            </w:r>
            <w:r w:rsidRPr="00161129">
              <w:rPr>
                <w:rFonts w:ascii="Arial" w:hAnsi="Arial" w:cs="Arial"/>
                <w:sz w:val="20"/>
                <w:szCs w:val="20"/>
              </w:rPr>
              <w:t xml:space="preserve"> Body Weight)</w:t>
            </w:r>
          </w:p>
        </w:tc>
        <w:tc>
          <w:tcPr>
            <w:tcW w:w="0" w:type="auto"/>
            <w:tcBorders>
              <w:top w:val="single" w:sz="4" w:space="0" w:color="auto"/>
              <w:bottom w:val="single" w:sz="4" w:space="0" w:color="auto"/>
            </w:tcBorders>
            <w:hideMark/>
          </w:tcPr>
          <w:p w14:paraId="1684FD56" w14:textId="77777777" w:rsidR="00152A06" w:rsidRPr="00161129" w:rsidRDefault="00152A06" w:rsidP="007648F2">
            <w:pPr>
              <w:rPr>
                <w:rFonts w:ascii="Arial" w:hAnsi="Arial" w:cs="Arial"/>
                <w:sz w:val="20"/>
                <w:szCs w:val="20"/>
              </w:rPr>
            </w:pPr>
            <w:r w:rsidRPr="00161129">
              <w:rPr>
                <w:rFonts w:ascii="Arial" w:hAnsi="Arial" w:cs="Arial"/>
                <w:sz w:val="20"/>
                <w:szCs w:val="20"/>
              </w:rPr>
              <w:t>Description/Role</w:t>
            </w:r>
          </w:p>
        </w:tc>
      </w:tr>
      <w:tr w:rsidR="00152A06" w:rsidRPr="00161129" w14:paraId="451D8677" w14:textId="77777777" w:rsidTr="00E153C0">
        <w:tc>
          <w:tcPr>
            <w:tcW w:w="0" w:type="auto"/>
            <w:tcBorders>
              <w:top w:val="single" w:sz="4" w:space="0" w:color="auto"/>
            </w:tcBorders>
            <w:hideMark/>
          </w:tcPr>
          <w:p w14:paraId="604D431E" w14:textId="77777777" w:rsidR="00152A06" w:rsidRPr="00161129" w:rsidRDefault="00152A06" w:rsidP="007648F2">
            <w:pPr>
              <w:rPr>
                <w:rFonts w:ascii="Arial" w:hAnsi="Arial" w:cs="Arial"/>
                <w:sz w:val="20"/>
                <w:szCs w:val="20"/>
              </w:rPr>
            </w:pPr>
            <w:r w:rsidRPr="00161129">
              <w:rPr>
                <w:rFonts w:ascii="Arial" w:hAnsi="Arial" w:cs="Arial"/>
                <w:sz w:val="20"/>
                <w:szCs w:val="20"/>
              </w:rPr>
              <w:t>I</w:t>
            </w:r>
          </w:p>
        </w:tc>
        <w:tc>
          <w:tcPr>
            <w:tcW w:w="0" w:type="auto"/>
            <w:tcBorders>
              <w:top w:val="single" w:sz="4" w:space="0" w:color="auto"/>
            </w:tcBorders>
            <w:hideMark/>
          </w:tcPr>
          <w:p w14:paraId="0F14BCA1" w14:textId="77777777" w:rsidR="00152A06" w:rsidRPr="00161129" w:rsidRDefault="00152A06" w:rsidP="007648F2">
            <w:pPr>
              <w:rPr>
                <w:rFonts w:ascii="Arial" w:hAnsi="Arial" w:cs="Arial"/>
                <w:sz w:val="20"/>
                <w:szCs w:val="20"/>
              </w:rPr>
            </w:pPr>
            <w:r w:rsidRPr="00161129">
              <w:rPr>
                <w:rFonts w:ascii="Arial" w:hAnsi="Arial" w:cs="Arial"/>
                <w:sz w:val="20"/>
                <w:szCs w:val="20"/>
              </w:rPr>
              <w:t>Control</w:t>
            </w:r>
          </w:p>
        </w:tc>
        <w:tc>
          <w:tcPr>
            <w:tcW w:w="0" w:type="auto"/>
            <w:tcBorders>
              <w:top w:val="single" w:sz="4" w:space="0" w:color="auto"/>
            </w:tcBorders>
            <w:hideMark/>
          </w:tcPr>
          <w:p w14:paraId="29952117" w14:textId="77777777" w:rsidR="00152A06" w:rsidRPr="00161129" w:rsidRDefault="00152A06" w:rsidP="007648F2">
            <w:pPr>
              <w:rPr>
                <w:rFonts w:ascii="Arial" w:hAnsi="Arial" w:cs="Arial"/>
                <w:sz w:val="20"/>
                <w:szCs w:val="20"/>
              </w:rPr>
            </w:pPr>
            <w:r w:rsidRPr="00161129">
              <w:rPr>
                <w:rFonts w:ascii="Arial" w:hAnsi="Arial" w:cs="Arial"/>
                <w:sz w:val="20"/>
                <w:szCs w:val="20"/>
              </w:rPr>
              <w:t>Distilled Water</w:t>
            </w:r>
          </w:p>
        </w:tc>
        <w:tc>
          <w:tcPr>
            <w:tcW w:w="0" w:type="auto"/>
            <w:tcBorders>
              <w:top w:val="single" w:sz="4" w:space="0" w:color="auto"/>
            </w:tcBorders>
            <w:hideMark/>
          </w:tcPr>
          <w:p w14:paraId="59233676" w14:textId="77777777" w:rsidR="00152A06" w:rsidRPr="00161129" w:rsidRDefault="00152A06" w:rsidP="007648F2">
            <w:pPr>
              <w:rPr>
                <w:rFonts w:ascii="Arial" w:hAnsi="Arial" w:cs="Arial"/>
                <w:sz w:val="20"/>
                <w:szCs w:val="20"/>
              </w:rPr>
            </w:pPr>
            <w:r w:rsidRPr="00161129">
              <w:rPr>
                <w:rFonts w:ascii="Arial" w:hAnsi="Arial" w:cs="Arial"/>
                <w:sz w:val="20"/>
                <w:szCs w:val="20"/>
              </w:rPr>
              <w:t>-</w:t>
            </w:r>
          </w:p>
        </w:tc>
        <w:tc>
          <w:tcPr>
            <w:tcW w:w="0" w:type="auto"/>
            <w:tcBorders>
              <w:top w:val="single" w:sz="4" w:space="0" w:color="auto"/>
            </w:tcBorders>
            <w:hideMark/>
          </w:tcPr>
          <w:p w14:paraId="36ED352B" w14:textId="77777777" w:rsidR="00152A06" w:rsidRPr="00161129" w:rsidRDefault="00152A06" w:rsidP="007648F2">
            <w:pPr>
              <w:rPr>
                <w:rFonts w:ascii="Arial" w:hAnsi="Arial" w:cs="Arial"/>
                <w:sz w:val="20"/>
                <w:szCs w:val="20"/>
              </w:rPr>
            </w:pPr>
            <w:r w:rsidRPr="00161129">
              <w:rPr>
                <w:rFonts w:ascii="Arial" w:hAnsi="Arial" w:cs="Arial"/>
                <w:sz w:val="20"/>
                <w:szCs w:val="20"/>
              </w:rPr>
              <w:t>Negative Control (Vehicle)</w:t>
            </w:r>
          </w:p>
        </w:tc>
      </w:tr>
      <w:tr w:rsidR="00152A06" w:rsidRPr="00161129" w14:paraId="78A79369" w14:textId="77777777" w:rsidTr="00E153C0">
        <w:tc>
          <w:tcPr>
            <w:tcW w:w="0" w:type="auto"/>
            <w:hideMark/>
          </w:tcPr>
          <w:p w14:paraId="18BC66E3" w14:textId="77777777" w:rsidR="00152A06" w:rsidRPr="00161129" w:rsidRDefault="00152A06" w:rsidP="007648F2">
            <w:pPr>
              <w:rPr>
                <w:rFonts w:ascii="Arial" w:hAnsi="Arial" w:cs="Arial"/>
                <w:sz w:val="20"/>
                <w:szCs w:val="20"/>
              </w:rPr>
            </w:pPr>
            <w:r w:rsidRPr="00161129">
              <w:rPr>
                <w:rFonts w:ascii="Arial" w:hAnsi="Arial" w:cs="Arial"/>
                <w:sz w:val="20"/>
                <w:szCs w:val="20"/>
              </w:rPr>
              <w:t>II</w:t>
            </w:r>
          </w:p>
        </w:tc>
        <w:tc>
          <w:tcPr>
            <w:tcW w:w="0" w:type="auto"/>
            <w:hideMark/>
          </w:tcPr>
          <w:p w14:paraId="0EC3DC46"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2.5</w:t>
            </w:r>
          </w:p>
        </w:tc>
        <w:tc>
          <w:tcPr>
            <w:tcW w:w="0" w:type="auto"/>
            <w:hideMark/>
          </w:tcPr>
          <w:p w14:paraId="0AE619B0"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Oil (</w:t>
            </w:r>
            <w:r w:rsidRPr="00161129">
              <w:rPr>
                <w:rFonts w:ascii="Arial" w:hAnsi="Arial" w:cs="Arial"/>
                <w:i/>
                <w:iCs/>
                <w:sz w:val="20"/>
                <w:szCs w:val="20"/>
              </w:rPr>
              <w:t>Arachis hypogaea</w:t>
            </w:r>
            <w:r w:rsidRPr="00161129">
              <w:rPr>
                <w:rFonts w:ascii="Arial" w:hAnsi="Arial" w:cs="Arial"/>
                <w:sz w:val="20"/>
                <w:szCs w:val="20"/>
              </w:rPr>
              <w:t>)</w:t>
            </w:r>
          </w:p>
        </w:tc>
        <w:tc>
          <w:tcPr>
            <w:tcW w:w="0" w:type="auto"/>
            <w:hideMark/>
          </w:tcPr>
          <w:p w14:paraId="38742784" w14:textId="77777777" w:rsidR="00152A06" w:rsidRPr="00161129" w:rsidRDefault="00152A06" w:rsidP="007648F2">
            <w:pPr>
              <w:rPr>
                <w:rFonts w:ascii="Arial" w:hAnsi="Arial" w:cs="Arial"/>
                <w:sz w:val="20"/>
                <w:szCs w:val="20"/>
              </w:rPr>
            </w:pPr>
            <w:r w:rsidRPr="00161129">
              <w:rPr>
                <w:rFonts w:ascii="Arial" w:hAnsi="Arial" w:cs="Arial"/>
                <w:sz w:val="20"/>
                <w:szCs w:val="20"/>
              </w:rPr>
              <w:t>2.5</w:t>
            </w:r>
          </w:p>
        </w:tc>
        <w:tc>
          <w:tcPr>
            <w:tcW w:w="0" w:type="auto"/>
            <w:hideMark/>
          </w:tcPr>
          <w:p w14:paraId="5B1CBDBB" w14:textId="77777777" w:rsidR="00152A06" w:rsidRPr="00161129" w:rsidRDefault="00152A06" w:rsidP="007648F2">
            <w:pPr>
              <w:rPr>
                <w:rFonts w:ascii="Arial" w:hAnsi="Arial" w:cs="Arial"/>
                <w:sz w:val="20"/>
                <w:szCs w:val="20"/>
              </w:rPr>
            </w:pPr>
            <w:r w:rsidRPr="00161129">
              <w:rPr>
                <w:rFonts w:ascii="Arial" w:hAnsi="Arial" w:cs="Arial"/>
                <w:sz w:val="20"/>
                <w:szCs w:val="20"/>
              </w:rPr>
              <w:t>Low-Dose Control Oil</w:t>
            </w:r>
          </w:p>
        </w:tc>
      </w:tr>
      <w:tr w:rsidR="00152A06" w:rsidRPr="00161129" w14:paraId="2FB3B963" w14:textId="77777777" w:rsidTr="00E153C0">
        <w:tc>
          <w:tcPr>
            <w:tcW w:w="0" w:type="auto"/>
            <w:hideMark/>
          </w:tcPr>
          <w:p w14:paraId="4FCF133D" w14:textId="77777777" w:rsidR="00152A06" w:rsidRPr="00161129" w:rsidRDefault="00152A06" w:rsidP="007648F2">
            <w:pPr>
              <w:rPr>
                <w:rFonts w:ascii="Arial" w:hAnsi="Arial" w:cs="Arial"/>
                <w:sz w:val="20"/>
                <w:szCs w:val="20"/>
              </w:rPr>
            </w:pPr>
            <w:r w:rsidRPr="00161129">
              <w:rPr>
                <w:rFonts w:ascii="Arial" w:hAnsi="Arial" w:cs="Arial"/>
                <w:sz w:val="20"/>
                <w:szCs w:val="20"/>
              </w:rPr>
              <w:t>III</w:t>
            </w:r>
          </w:p>
        </w:tc>
        <w:tc>
          <w:tcPr>
            <w:tcW w:w="0" w:type="auto"/>
            <w:hideMark/>
          </w:tcPr>
          <w:p w14:paraId="5621DACF"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5.0</w:t>
            </w:r>
          </w:p>
        </w:tc>
        <w:tc>
          <w:tcPr>
            <w:tcW w:w="0" w:type="auto"/>
            <w:hideMark/>
          </w:tcPr>
          <w:p w14:paraId="6BD41442"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Oil (</w:t>
            </w:r>
            <w:r w:rsidRPr="00161129">
              <w:rPr>
                <w:rFonts w:ascii="Arial" w:hAnsi="Arial" w:cs="Arial"/>
                <w:i/>
                <w:iCs/>
                <w:sz w:val="20"/>
                <w:szCs w:val="20"/>
              </w:rPr>
              <w:t>Arachis hypogaea</w:t>
            </w:r>
            <w:r w:rsidRPr="00161129">
              <w:rPr>
                <w:rFonts w:ascii="Arial" w:hAnsi="Arial" w:cs="Arial"/>
                <w:sz w:val="20"/>
                <w:szCs w:val="20"/>
              </w:rPr>
              <w:t>)</w:t>
            </w:r>
          </w:p>
        </w:tc>
        <w:tc>
          <w:tcPr>
            <w:tcW w:w="0" w:type="auto"/>
            <w:hideMark/>
          </w:tcPr>
          <w:p w14:paraId="421A18BE" w14:textId="77777777" w:rsidR="00152A06" w:rsidRPr="00161129" w:rsidRDefault="00152A06" w:rsidP="007648F2">
            <w:pPr>
              <w:rPr>
                <w:rFonts w:ascii="Arial" w:hAnsi="Arial" w:cs="Arial"/>
                <w:sz w:val="20"/>
                <w:szCs w:val="20"/>
              </w:rPr>
            </w:pPr>
            <w:r w:rsidRPr="00161129">
              <w:rPr>
                <w:rFonts w:ascii="Arial" w:hAnsi="Arial" w:cs="Arial"/>
                <w:sz w:val="20"/>
                <w:szCs w:val="20"/>
              </w:rPr>
              <w:t>5.0</w:t>
            </w:r>
          </w:p>
        </w:tc>
        <w:tc>
          <w:tcPr>
            <w:tcW w:w="0" w:type="auto"/>
            <w:hideMark/>
          </w:tcPr>
          <w:p w14:paraId="7E341918" w14:textId="77777777" w:rsidR="00152A06" w:rsidRPr="00161129" w:rsidRDefault="00152A06" w:rsidP="007648F2">
            <w:pPr>
              <w:rPr>
                <w:rFonts w:ascii="Arial" w:hAnsi="Arial" w:cs="Arial"/>
                <w:sz w:val="20"/>
                <w:szCs w:val="20"/>
              </w:rPr>
            </w:pPr>
            <w:r w:rsidRPr="00161129">
              <w:rPr>
                <w:rFonts w:ascii="Arial" w:hAnsi="Arial" w:cs="Arial"/>
                <w:sz w:val="20"/>
                <w:szCs w:val="20"/>
              </w:rPr>
              <w:t>Mid-Dose Control Oil</w:t>
            </w:r>
          </w:p>
        </w:tc>
      </w:tr>
      <w:tr w:rsidR="00152A06" w:rsidRPr="00161129" w14:paraId="4CB19BED" w14:textId="77777777" w:rsidTr="00E153C0">
        <w:tc>
          <w:tcPr>
            <w:tcW w:w="0" w:type="auto"/>
            <w:hideMark/>
          </w:tcPr>
          <w:p w14:paraId="1CDBD49F" w14:textId="77777777" w:rsidR="00152A06" w:rsidRPr="00161129" w:rsidRDefault="00152A06" w:rsidP="007648F2">
            <w:pPr>
              <w:rPr>
                <w:rFonts w:ascii="Arial" w:hAnsi="Arial" w:cs="Arial"/>
                <w:sz w:val="20"/>
                <w:szCs w:val="20"/>
              </w:rPr>
            </w:pPr>
            <w:r w:rsidRPr="00161129">
              <w:rPr>
                <w:rFonts w:ascii="Arial" w:hAnsi="Arial" w:cs="Arial"/>
                <w:sz w:val="20"/>
                <w:szCs w:val="20"/>
              </w:rPr>
              <w:t>IV</w:t>
            </w:r>
          </w:p>
        </w:tc>
        <w:tc>
          <w:tcPr>
            <w:tcW w:w="0" w:type="auto"/>
            <w:hideMark/>
          </w:tcPr>
          <w:p w14:paraId="3878A071"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7.5</w:t>
            </w:r>
          </w:p>
        </w:tc>
        <w:tc>
          <w:tcPr>
            <w:tcW w:w="0" w:type="auto"/>
            <w:hideMark/>
          </w:tcPr>
          <w:p w14:paraId="06AFF03D" w14:textId="77777777" w:rsidR="00152A06" w:rsidRPr="00161129" w:rsidRDefault="00152A06" w:rsidP="007648F2">
            <w:pPr>
              <w:rPr>
                <w:rFonts w:ascii="Arial" w:hAnsi="Arial" w:cs="Arial"/>
                <w:sz w:val="20"/>
                <w:szCs w:val="20"/>
              </w:rPr>
            </w:pPr>
            <w:r w:rsidRPr="00161129">
              <w:rPr>
                <w:rFonts w:ascii="Arial" w:hAnsi="Arial" w:cs="Arial"/>
                <w:sz w:val="20"/>
                <w:szCs w:val="20"/>
              </w:rPr>
              <w:t>Groundnut Oil (</w:t>
            </w:r>
            <w:r w:rsidRPr="00161129">
              <w:rPr>
                <w:rFonts w:ascii="Arial" w:hAnsi="Arial" w:cs="Arial"/>
                <w:i/>
                <w:iCs/>
                <w:sz w:val="20"/>
                <w:szCs w:val="20"/>
              </w:rPr>
              <w:t>Arachis hypogaea</w:t>
            </w:r>
            <w:r w:rsidRPr="00161129">
              <w:rPr>
                <w:rFonts w:ascii="Arial" w:hAnsi="Arial" w:cs="Arial"/>
                <w:sz w:val="20"/>
                <w:szCs w:val="20"/>
              </w:rPr>
              <w:t>)</w:t>
            </w:r>
          </w:p>
        </w:tc>
        <w:tc>
          <w:tcPr>
            <w:tcW w:w="0" w:type="auto"/>
            <w:hideMark/>
          </w:tcPr>
          <w:p w14:paraId="269FF7D4" w14:textId="77777777" w:rsidR="00152A06" w:rsidRPr="00161129" w:rsidRDefault="00152A06" w:rsidP="007648F2">
            <w:pPr>
              <w:rPr>
                <w:rFonts w:ascii="Arial" w:hAnsi="Arial" w:cs="Arial"/>
                <w:sz w:val="20"/>
                <w:szCs w:val="20"/>
              </w:rPr>
            </w:pPr>
            <w:r w:rsidRPr="00161129">
              <w:rPr>
                <w:rFonts w:ascii="Arial" w:hAnsi="Arial" w:cs="Arial"/>
                <w:sz w:val="20"/>
                <w:szCs w:val="20"/>
              </w:rPr>
              <w:t>7.5</w:t>
            </w:r>
          </w:p>
        </w:tc>
        <w:tc>
          <w:tcPr>
            <w:tcW w:w="0" w:type="auto"/>
            <w:hideMark/>
          </w:tcPr>
          <w:p w14:paraId="61F3452C" w14:textId="77777777" w:rsidR="00152A06" w:rsidRPr="00161129" w:rsidRDefault="00152A06" w:rsidP="007648F2">
            <w:pPr>
              <w:rPr>
                <w:rFonts w:ascii="Arial" w:hAnsi="Arial" w:cs="Arial"/>
                <w:sz w:val="20"/>
                <w:szCs w:val="20"/>
              </w:rPr>
            </w:pPr>
            <w:r w:rsidRPr="00161129">
              <w:rPr>
                <w:rFonts w:ascii="Arial" w:hAnsi="Arial" w:cs="Arial"/>
                <w:sz w:val="20"/>
                <w:szCs w:val="20"/>
              </w:rPr>
              <w:t>High-Dose Control Oil</w:t>
            </w:r>
          </w:p>
        </w:tc>
      </w:tr>
      <w:tr w:rsidR="00152A06" w:rsidRPr="00161129" w14:paraId="0F3AB299" w14:textId="77777777" w:rsidTr="00E153C0">
        <w:tc>
          <w:tcPr>
            <w:tcW w:w="0" w:type="auto"/>
            <w:hideMark/>
          </w:tcPr>
          <w:p w14:paraId="54B79F00" w14:textId="77777777" w:rsidR="00152A06" w:rsidRPr="00161129" w:rsidRDefault="00152A06" w:rsidP="007648F2">
            <w:pPr>
              <w:rPr>
                <w:rFonts w:ascii="Arial" w:hAnsi="Arial" w:cs="Arial"/>
                <w:sz w:val="20"/>
                <w:szCs w:val="20"/>
              </w:rPr>
            </w:pPr>
            <w:r w:rsidRPr="00161129">
              <w:rPr>
                <w:rFonts w:ascii="Arial" w:hAnsi="Arial" w:cs="Arial"/>
                <w:sz w:val="20"/>
                <w:szCs w:val="20"/>
              </w:rPr>
              <w:t>V</w:t>
            </w:r>
          </w:p>
        </w:tc>
        <w:tc>
          <w:tcPr>
            <w:tcW w:w="0" w:type="auto"/>
            <w:hideMark/>
          </w:tcPr>
          <w:p w14:paraId="235B9CEB"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2.5</w:t>
            </w:r>
          </w:p>
        </w:tc>
        <w:tc>
          <w:tcPr>
            <w:tcW w:w="0" w:type="auto"/>
            <w:hideMark/>
          </w:tcPr>
          <w:p w14:paraId="0C9F95A7"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Oil</w:t>
            </w:r>
          </w:p>
        </w:tc>
        <w:tc>
          <w:tcPr>
            <w:tcW w:w="0" w:type="auto"/>
            <w:hideMark/>
          </w:tcPr>
          <w:p w14:paraId="613CD692" w14:textId="77777777" w:rsidR="00152A06" w:rsidRPr="00161129" w:rsidRDefault="00152A06" w:rsidP="007648F2">
            <w:pPr>
              <w:rPr>
                <w:rFonts w:ascii="Arial" w:hAnsi="Arial" w:cs="Arial"/>
                <w:sz w:val="20"/>
                <w:szCs w:val="20"/>
              </w:rPr>
            </w:pPr>
            <w:r w:rsidRPr="00161129">
              <w:rPr>
                <w:rFonts w:ascii="Arial" w:hAnsi="Arial" w:cs="Arial"/>
                <w:sz w:val="20"/>
                <w:szCs w:val="20"/>
              </w:rPr>
              <w:t>2.5</w:t>
            </w:r>
          </w:p>
        </w:tc>
        <w:tc>
          <w:tcPr>
            <w:tcW w:w="0" w:type="auto"/>
            <w:hideMark/>
          </w:tcPr>
          <w:p w14:paraId="76009400" w14:textId="77777777" w:rsidR="00152A06" w:rsidRPr="00161129" w:rsidRDefault="00152A06" w:rsidP="007648F2">
            <w:pPr>
              <w:rPr>
                <w:rFonts w:ascii="Arial" w:hAnsi="Arial" w:cs="Arial"/>
                <w:sz w:val="20"/>
                <w:szCs w:val="20"/>
              </w:rPr>
            </w:pPr>
            <w:r w:rsidRPr="00161129">
              <w:rPr>
                <w:rFonts w:ascii="Arial" w:hAnsi="Arial" w:cs="Arial"/>
                <w:sz w:val="20"/>
                <w:szCs w:val="20"/>
              </w:rPr>
              <w:t>Low-Dose Test Oil</w:t>
            </w:r>
          </w:p>
        </w:tc>
      </w:tr>
      <w:tr w:rsidR="00152A06" w:rsidRPr="00161129" w14:paraId="4AF20D07" w14:textId="77777777" w:rsidTr="00E153C0">
        <w:tc>
          <w:tcPr>
            <w:tcW w:w="0" w:type="auto"/>
            <w:hideMark/>
          </w:tcPr>
          <w:p w14:paraId="59E24EF4" w14:textId="77777777" w:rsidR="00152A06" w:rsidRPr="00161129" w:rsidRDefault="00152A06" w:rsidP="007648F2">
            <w:pPr>
              <w:rPr>
                <w:rFonts w:ascii="Arial" w:hAnsi="Arial" w:cs="Arial"/>
                <w:sz w:val="20"/>
                <w:szCs w:val="20"/>
              </w:rPr>
            </w:pPr>
            <w:r w:rsidRPr="00161129">
              <w:rPr>
                <w:rFonts w:ascii="Arial" w:hAnsi="Arial" w:cs="Arial"/>
                <w:sz w:val="20"/>
                <w:szCs w:val="20"/>
              </w:rPr>
              <w:t>VI</w:t>
            </w:r>
          </w:p>
        </w:tc>
        <w:tc>
          <w:tcPr>
            <w:tcW w:w="0" w:type="auto"/>
            <w:hideMark/>
          </w:tcPr>
          <w:p w14:paraId="59FBC965"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5.0</w:t>
            </w:r>
          </w:p>
        </w:tc>
        <w:tc>
          <w:tcPr>
            <w:tcW w:w="0" w:type="auto"/>
            <w:hideMark/>
          </w:tcPr>
          <w:p w14:paraId="2B6A10F8"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Oil</w:t>
            </w:r>
          </w:p>
        </w:tc>
        <w:tc>
          <w:tcPr>
            <w:tcW w:w="0" w:type="auto"/>
            <w:hideMark/>
          </w:tcPr>
          <w:p w14:paraId="1F19B570" w14:textId="77777777" w:rsidR="00152A06" w:rsidRPr="00161129" w:rsidRDefault="00152A06" w:rsidP="007648F2">
            <w:pPr>
              <w:rPr>
                <w:rFonts w:ascii="Arial" w:hAnsi="Arial" w:cs="Arial"/>
                <w:sz w:val="20"/>
                <w:szCs w:val="20"/>
              </w:rPr>
            </w:pPr>
            <w:r w:rsidRPr="00161129">
              <w:rPr>
                <w:rFonts w:ascii="Arial" w:hAnsi="Arial" w:cs="Arial"/>
                <w:sz w:val="20"/>
                <w:szCs w:val="20"/>
              </w:rPr>
              <w:t>5.0</w:t>
            </w:r>
          </w:p>
        </w:tc>
        <w:tc>
          <w:tcPr>
            <w:tcW w:w="0" w:type="auto"/>
            <w:hideMark/>
          </w:tcPr>
          <w:p w14:paraId="38525E22" w14:textId="77777777" w:rsidR="00152A06" w:rsidRPr="00161129" w:rsidRDefault="00152A06" w:rsidP="007648F2">
            <w:pPr>
              <w:rPr>
                <w:rFonts w:ascii="Arial" w:hAnsi="Arial" w:cs="Arial"/>
                <w:sz w:val="20"/>
                <w:szCs w:val="20"/>
              </w:rPr>
            </w:pPr>
            <w:r w:rsidRPr="00161129">
              <w:rPr>
                <w:rFonts w:ascii="Arial" w:hAnsi="Arial" w:cs="Arial"/>
                <w:sz w:val="20"/>
                <w:szCs w:val="20"/>
              </w:rPr>
              <w:t>Mid-Dose Test Oil</w:t>
            </w:r>
          </w:p>
        </w:tc>
      </w:tr>
      <w:tr w:rsidR="00152A06" w:rsidRPr="00161129" w14:paraId="2B805E05" w14:textId="77777777" w:rsidTr="00E153C0">
        <w:tc>
          <w:tcPr>
            <w:tcW w:w="0" w:type="auto"/>
            <w:hideMark/>
          </w:tcPr>
          <w:p w14:paraId="42EA94BE" w14:textId="77777777" w:rsidR="00152A06" w:rsidRPr="00161129" w:rsidRDefault="00152A06" w:rsidP="007648F2">
            <w:pPr>
              <w:rPr>
                <w:rFonts w:ascii="Arial" w:hAnsi="Arial" w:cs="Arial"/>
                <w:sz w:val="20"/>
                <w:szCs w:val="20"/>
              </w:rPr>
            </w:pPr>
            <w:r w:rsidRPr="00161129">
              <w:rPr>
                <w:rFonts w:ascii="Arial" w:hAnsi="Arial" w:cs="Arial"/>
                <w:sz w:val="20"/>
                <w:szCs w:val="20"/>
              </w:rPr>
              <w:t>VII</w:t>
            </w:r>
          </w:p>
        </w:tc>
        <w:tc>
          <w:tcPr>
            <w:tcW w:w="0" w:type="auto"/>
            <w:hideMark/>
          </w:tcPr>
          <w:p w14:paraId="3C5916A3"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7.5</w:t>
            </w:r>
          </w:p>
        </w:tc>
        <w:tc>
          <w:tcPr>
            <w:tcW w:w="0" w:type="auto"/>
            <w:hideMark/>
          </w:tcPr>
          <w:p w14:paraId="40C64E58" w14:textId="77777777" w:rsidR="00152A06" w:rsidRPr="00161129" w:rsidRDefault="00152A06" w:rsidP="007648F2">
            <w:pPr>
              <w:rPr>
                <w:rFonts w:ascii="Arial" w:hAnsi="Arial" w:cs="Arial"/>
                <w:sz w:val="20"/>
                <w:szCs w:val="20"/>
              </w:rPr>
            </w:pPr>
            <w:r w:rsidRPr="00161129">
              <w:rPr>
                <w:rFonts w:ascii="Arial" w:hAnsi="Arial" w:cs="Arial"/>
                <w:i/>
                <w:iCs/>
                <w:sz w:val="20"/>
                <w:szCs w:val="20"/>
              </w:rPr>
              <w:t>A. paniculata</w:t>
            </w:r>
            <w:r w:rsidRPr="00161129">
              <w:rPr>
                <w:rFonts w:ascii="Arial" w:hAnsi="Arial" w:cs="Arial"/>
                <w:sz w:val="20"/>
                <w:szCs w:val="20"/>
              </w:rPr>
              <w:t xml:space="preserve"> Oil</w:t>
            </w:r>
          </w:p>
        </w:tc>
        <w:tc>
          <w:tcPr>
            <w:tcW w:w="0" w:type="auto"/>
            <w:hideMark/>
          </w:tcPr>
          <w:p w14:paraId="12B86BB9" w14:textId="77777777" w:rsidR="00152A06" w:rsidRPr="00161129" w:rsidRDefault="00152A06" w:rsidP="007648F2">
            <w:pPr>
              <w:rPr>
                <w:rFonts w:ascii="Arial" w:hAnsi="Arial" w:cs="Arial"/>
                <w:sz w:val="20"/>
                <w:szCs w:val="20"/>
              </w:rPr>
            </w:pPr>
            <w:r w:rsidRPr="00161129">
              <w:rPr>
                <w:rFonts w:ascii="Arial" w:hAnsi="Arial" w:cs="Arial"/>
                <w:sz w:val="20"/>
                <w:szCs w:val="20"/>
              </w:rPr>
              <w:t>7.5</w:t>
            </w:r>
          </w:p>
        </w:tc>
        <w:tc>
          <w:tcPr>
            <w:tcW w:w="0" w:type="auto"/>
            <w:hideMark/>
          </w:tcPr>
          <w:p w14:paraId="4809654F" w14:textId="77777777" w:rsidR="00152A06" w:rsidRPr="00161129" w:rsidRDefault="00152A06" w:rsidP="007648F2">
            <w:pPr>
              <w:rPr>
                <w:rFonts w:ascii="Arial" w:hAnsi="Arial" w:cs="Arial"/>
                <w:sz w:val="20"/>
                <w:szCs w:val="20"/>
              </w:rPr>
            </w:pPr>
            <w:r w:rsidRPr="00161129">
              <w:rPr>
                <w:rFonts w:ascii="Arial" w:hAnsi="Arial" w:cs="Arial"/>
                <w:sz w:val="20"/>
                <w:szCs w:val="20"/>
              </w:rPr>
              <w:t>High-Dose Test Oil</w:t>
            </w:r>
          </w:p>
        </w:tc>
      </w:tr>
    </w:tbl>
    <w:p w14:paraId="76A3A2E1" w14:textId="77777777" w:rsidR="00152A06" w:rsidRPr="00161129" w:rsidRDefault="00152A06" w:rsidP="007648F2">
      <w:pPr>
        <w:pStyle w:val="NormalWeb"/>
        <w:rPr>
          <w:rFonts w:ascii="Arial" w:hAnsi="Arial" w:cs="Arial"/>
          <w:sz w:val="20"/>
          <w:szCs w:val="20"/>
        </w:rPr>
      </w:pPr>
      <w:r w:rsidRPr="00161129">
        <w:rPr>
          <w:rFonts w:ascii="Arial" w:hAnsi="Arial" w:cs="Arial"/>
          <w:sz w:val="20"/>
          <w:szCs w:val="20"/>
        </w:rPr>
        <w:t xml:space="preserve">This structured presentation facilitates easy comparison of treatments and doses, which is crucial for the </w:t>
      </w:r>
      <w:r w:rsidRPr="00161129">
        <w:rPr>
          <w:rFonts w:ascii="Arial" w:hAnsi="Arial" w:cs="Arial"/>
          <w:bCs/>
          <w:sz w:val="20"/>
          <w:szCs w:val="20"/>
        </w:rPr>
        <w:t>methodology</w:t>
      </w:r>
      <w:r w:rsidRPr="00161129">
        <w:rPr>
          <w:rFonts w:ascii="Arial" w:hAnsi="Arial" w:cs="Arial"/>
          <w:sz w:val="20"/>
          <w:szCs w:val="20"/>
        </w:rPr>
        <w:t xml:space="preserve"> and subsequent </w:t>
      </w:r>
      <w:r w:rsidRPr="00161129">
        <w:rPr>
          <w:rFonts w:ascii="Arial" w:hAnsi="Arial" w:cs="Arial"/>
          <w:bCs/>
          <w:sz w:val="20"/>
          <w:szCs w:val="20"/>
        </w:rPr>
        <w:t>results analysis</w:t>
      </w:r>
      <w:r w:rsidRPr="00161129">
        <w:rPr>
          <w:rFonts w:ascii="Arial" w:hAnsi="Arial" w:cs="Arial"/>
          <w:sz w:val="20"/>
          <w:szCs w:val="20"/>
        </w:rPr>
        <w:t xml:space="preserve"> sections of a scientific paper.</w:t>
      </w:r>
    </w:p>
    <w:p w14:paraId="7EAC935C" w14:textId="77777777" w:rsidR="00152A06" w:rsidRPr="00F35AE7" w:rsidRDefault="00152A06" w:rsidP="007648F2">
      <w:pPr>
        <w:pStyle w:val="Heading3"/>
        <w:rPr>
          <w:rFonts w:ascii="Arial" w:hAnsi="Arial" w:cs="Arial"/>
          <w:b/>
          <w:color w:val="auto"/>
          <w:sz w:val="22"/>
          <w:szCs w:val="20"/>
        </w:rPr>
      </w:pPr>
      <w:r w:rsidRPr="00F35AE7">
        <w:rPr>
          <w:rFonts w:ascii="Arial" w:hAnsi="Arial" w:cs="Arial"/>
          <w:b/>
          <w:color w:val="auto"/>
          <w:sz w:val="22"/>
          <w:szCs w:val="20"/>
        </w:rPr>
        <w:t>2.4. Serum biochemical analysis</w:t>
      </w:r>
    </w:p>
    <w:p w14:paraId="3D9E39EA" w14:textId="77777777" w:rsidR="00152A06" w:rsidRPr="00161129" w:rsidRDefault="00152A06" w:rsidP="007648F2">
      <w:pPr>
        <w:pStyle w:val="NormalWeb"/>
        <w:rPr>
          <w:rStyle w:val="mclose"/>
          <w:rFonts w:ascii="Arial" w:hAnsi="Arial" w:cs="Arial"/>
          <w:b/>
          <w:sz w:val="20"/>
          <w:szCs w:val="20"/>
        </w:rPr>
      </w:pPr>
      <w:r w:rsidRPr="00161129">
        <w:rPr>
          <w:rFonts w:ascii="Arial" w:hAnsi="Arial" w:cs="Arial"/>
          <w:sz w:val="20"/>
          <w:szCs w:val="20"/>
        </w:rPr>
        <w:t>At the end of the 28-day experimental period, animals were fasted overnight. Blood samples were collected and serum was separated for the analysis of lipid profile parameters. Serum concentrations of total cholesterol (TC), triglycerides (TG), and high-density lipoprotein cholesterol (HDL-C) were determined using enzymatic colorimetric assay kits (Cypress Diagnostics, Belgium) on an automated spectrophotometer (Vitalab Flexor E, Netherlands). The concentration of low-density lipoprotein cholesterol (LDL-C) was calculated using the Friedewald formula [Friedewald et al., 1972</w:t>
      </w:r>
      <w:proofErr w:type="gramStart"/>
      <w:r w:rsidRPr="00161129">
        <w:rPr>
          <w:rFonts w:ascii="Arial" w:hAnsi="Arial" w:cs="Arial"/>
          <w:sz w:val="20"/>
          <w:szCs w:val="20"/>
        </w:rPr>
        <w:t>]:</w:t>
      </w:r>
      <w:proofErr w:type="gramEnd"/>
      <w:r w:rsidRPr="00161129">
        <w:rPr>
          <w:rFonts w:ascii="Arial" w:hAnsi="Arial" w:cs="Arial"/>
          <w:sz w:val="20"/>
          <w:szCs w:val="20"/>
        </w:rPr>
        <w:t xml:space="preserve"> It is noted that this formula is valid for samples where triglyceride concentrations do not exceed 400 mg/dL, a condition met by all samples in this study.     </w:t>
      </w:r>
      <w:r w:rsidRPr="00161129">
        <w:rPr>
          <w:rStyle w:val="mord"/>
          <w:rFonts w:ascii="Arial" w:hAnsi="Arial" w:cs="Arial"/>
          <w:b/>
          <w:sz w:val="20"/>
          <w:szCs w:val="20"/>
        </w:rPr>
        <w:t>LDL</w:t>
      </w:r>
      <w:r w:rsidRPr="00161129">
        <w:rPr>
          <w:rStyle w:val="mbin"/>
          <w:rFonts w:ascii="Arial" w:hAnsi="Arial" w:cs="Arial"/>
          <w:b/>
          <w:sz w:val="20"/>
          <w:szCs w:val="20"/>
        </w:rPr>
        <w:t>−</w:t>
      </w:r>
      <w:r w:rsidRPr="00161129">
        <w:rPr>
          <w:rStyle w:val="mord"/>
          <w:rFonts w:ascii="Arial" w:hAnsi="Arial" w:cs="Arial"/>
          <w:b/>
          <w:sz w:val="20"/>
          <w:szCs w:val="20"/>
        </w:rPr>
        <w:t>C</w:t>
      </w:r>
      <w:r w:rsidRPr="00161129">
        <w:rPr>
          <w:rStyle w:val="mrel"/>
          <w:rFonts w:ascii="Arial" w:hAnsi="Arial" w:cs="Arial"/>
          <w:b/>
          <w:sz w:val="20"/>
          <w:szCs w:val="20"/>
        </w:rPr>
        <w:t>=</w:t>
      </w:r>
      <w:r w:rsidRPr="00161129">
        <w:rPr>
          <w:rStyle w:val="mord"/>
          <w:rFonts w:ascii="Arial" w:hAnsi="Arial" w:cs="Arial"/>
          <w:b/>
          <w:sz w:val="20"/>
          <w:szCs w:val="20"/>
        </w:rPr>
        <w:t>TC</w:t>
      </w:r>
      <w:r w:rsidRPr="00161129">
        <w:rPr>
          <w:rStyle w:val="mbin"/>
          <w:rFonts w:ascii="Arial" w:hAnsi="Arial" w:cs="Arial"/>
          <w:b/>
          <w:sz w:val="20"/>
          <w:szCs w:val="20"/>
        </w:rPr>
        <w:t>−</w:t>
      </w:r>
      <w:r w:rsidRPr="00161129">
        <w:rPr>
          <w:rStyle w:val="mord"/>
          <w:rFonts w:ascii="Arial" w:hAnsi="Arial" w:cs="Arial"/>
          <w:b/>
          <w:sz w:val="20"/>
          <w:szCs w:val="20"/>
        </w:rPr>
        <w:t>HDL</w:t>
      </w:r>
      <w:r w:rsidRPr="00161129">
        <w:rPr>
          <w:rStyle w:val="mbin"/>
          <w:rFonts w:ascii="Arial" w:hAnsi="Arial" w:cs="Arial"/>
          <w:b/>
          <w:sz w:val="20"/>
          <w:szCs w:val="20"/>
        </w:rPr>
        <w:t>−</w:t>
      </w:r>
      <w:r w:rsidRPr="00161129">
        <w:rPr>
          <w:rStyle w:val="mord"/>
          <w:rFonts w:ascii="Arial" w:hAnsi="Arial" w:cs="Arial"/>
          <w:b/>
          <w:sz w:val="20"/>
          <w:szCs w:val="20"/>
        </w:rPr>
        <w:t>C</w:t>
      </w:r>
      <w:r w:rsidRPr="00161129">
        <w:rPr>
          <w:rStyle w:val="mbin"/>
          <w:rFonts w:ascii="Arial" w:hAnsi="Arial" w:cs="Arial"/>
          <w:b/>
          <w:sz w:val="20"/>
          <w:szCs w:val="20"/>
        </w:rPr>
        <w:t>−</w:t>
      </w:r>
      <w:r w:rsidRPr="00161129">
        <w:rPr>
          <w:rStyle w:val="mopen"/>
          <w:rFonts w:ascii="Arial" w:hAnsi="Arial" w:cs="Arial"/>
          <w:b/>
          <w:sz w:val="20"/>
          <w:szCs w:val="20"/>
        </w:rPr>
        <w:t>(</w:t>
      </w:r>
      <w:r w:rsidRPr="00161129">
        <w:rPr>
          <w:rStyle w:val="mord"/>
          <w:rFonts w:ascii="Arial" w:hAnsi="Arial" w:cs="Arial"/>
          <w:b/>
          <w:sz w:val="20"/>
          <w:szCs w:val="20"/>
        </w:rPr>
        <w:t>TG/5</w:t>
      </w:r>
      <w:r w:rsidRPr="00161129">
        <w:rPr>
          <w:rStyle w:val="mclose"/>
          <w:rFonts w:ascii="Arial" w:hAnsi="Arial" w:cs="Arial"/>
          <w:b/>
          <w:sz w:val="20"/>
          <w:szCs w:val="20"/>
        </w:rPr>
        <w:t>)</w:t>
      </w:r>
    </w:p>
    <w:p w14:paraId="7A20ABD5" w14:textId="77777777" w:rsidR="00152A06" w:rsidRPr="00161129" w:rsidRDefault="00152A06" w:rsidP="007648F2">
      <w:pPr>
        <w:pStyle w:val="NormalWeb"/>
        <w:rPr>
          <w:rFonts w:ascii="Arial" w:hAnsi="Arial" w:cs="Arial"/>
          <w:sz w:val="20"/>
          <w:szCs w:val="20"/>
        </w:rPr>
      </w:pPr>
    </w:p>
    <w:p w14:paraId="526D04D0" w14:textId="77777777" w:rsidR="00152A06" w:rsidRPr="00F35AE7" w:rsidRDefault="00152A06" w:rsidP="007648F2">
      <w:pPr>
        <w:pStyle w:val="Heading3"/>
        <w:rPr>
          <w:rFonts w:ascii="Arial" w:hAnsi="Arial" w:cs="Arial"/>
          <w:b/>
          <w:color w:val="auto"/>
          <w:sz w:val="22"/>
          <w:szCs w:val="20"/>
        </w:rPr>
      </w:pPr>
      <w:r w:rsidRPr="00F35AE7">
        <w:rPr>
          <w:rFonts w:ascii="Arial" w:hAnsi="Arial" w:cs="Arial"/>
          <w:b/>
          <w:color w:val="auto"/>
          <w:sz w:val="22"/>
          <w:szCs w:val="20"/>
        </w:rPr>
        <w:t>2.5. Statistical analysis</w:t>
      </w:r>
    </w:p>
    <w:p w14:paraId="3B5E71E9" w14:textId="77777777" w:rsidR="00152A06" w:rsidRPr="00161129" w:rsidRDefault="00152A06" w:rsidP="007648F2">
      <w:pPr>
        <w:pStyle w:val="NormalWeb"/>
        <w:rPr>
          <w:rFonts w:ascii="Arial" w:hAnsi="Arial" w:cs="Arial"/>
          <w:sz w:val="20"/>
          <w:szCs w:val="20"/>
        </w:rPr>
      </w:pPr>
      <w:r w:rsidRPr="00161129">
        <w:rPr>
          <w:rFonts w:ascii="Arial" w:hAnsi="Arial" w:cs="Arial"/>
          <w:sz w:val="20"/>
          <w:szCs w:val="20"/>
        </w:rPr>
        <w:t>All data were expressed as the mean ± standard error of the mean (SEM). The statistical significance of differences between the oil-treated groups and the control group was evaluated using a one-way analysis of variance (ANOVA), followed by Dunnett's post-hoc test for multiple comparisons. A p-value of less than 0.05 was considered statistically significant.</w:t>
      </w:r>
    </w:p>
    <w:p w14:paraId="3144C306" w14:textId="77777777" w:rsidR="00790ADA" w:rsidRPr="00161129" w:rsidRDefault="00790ADA" w:rsidP="007648F2">
      <w:pPr>
        <w:pStyle w:val="Body"/>
        <w:spacing w:after="0"/>
        <w:jc w:val="left"/>
        <w:rPr>
          <w:rFonts w:ascii="Arial" w:hAnsi="Arial" w:cs="Arial"/>
        </w:rPr>
      </w:pPr>
    </w:p>
    <w:p w14:paraId="35FA8CAE" w14:textId="77777777" w:rsidR="00902823" w:rsidRPr="00161129" w:rsidRDefault="00000F8F" w:rsidP="007648F2">
      <w:pPr>
        <w:pStyle w:val="Head1"/>
        <w:spacing w:after="0"/>
        <w:rPr>
          <w:rFonts w:ascii="Arial" w:hAnsi="Arial" w:cs="Arial"/>
          <w:sz w:val="20"/>
        </w:rPr>
      </w:pPr>
      <w:r w:rsidRPr="00161129">
        <w:rPr>
          <w:rFonts w:ascii="Arial" w:hAnsi="Arial" w:cs="Arial"/>
          <w:sz w:val="20"/>
        </w:rPr>
        <w:lastRenderedPageBreak/>
        <w:t>3</w:t>
      </w:r>
      <w:r w:rsidR="00902823" w:rsidRPr="00161129">
        <w:rPr>
          <w:rFonts w:ascii="Arial" w:hAnsi="Arial" w:cs="Arial"/>
          <w:sz w:val="20"/>
        </w:rPr>
        <w:t xml:space="preserve">. </w:t>
      </w:r>
      <w:r w:rsidRPr="00161129">
        <w:rPr>
          <w:rFonts w:ascii="Arial" w:hAnsi="Arial" w:cs="Arial"/>
          <w:sz w:val="20"/>
        </w:rPr>
        <w:t>results and discussion</w:t>
      </w:r>
    </w:p>
    <w:p w14:paraId="67F3BE55" w14:textId="77777777" w:rsidR="00790ADA" w:rsidRPr="00161129" w:rsidRDefault="00790ADA" w:rsidP="007648F2">
      <w:pPr>
        <w:pStyle w:val="Head1"/>
        <w:spacing w:after="0"/>
        <w:rPr>
          <w:rFonts w:ascii="Arial" w:hAnsi="Arial" w:cs="Arial"/>
          <w:sz w:val="20"/>
        </w:rPr>
      </w:pPr>
    </w:p>
    <w:p w14:paraId="0CD9BBE4" w14:textId="77777777" w:rsidR="00161129" w:rsidRPr="00F35AE7" w:rsidRDefault="00161129" w:rsidP="007648F2">
      <w:pPr>
        <w:pStyle w:val="Heading3"/>
        <w:rPr>
          <w:rFonts w:ascii="Arial" w:hAnsi="Arial" w:cs="Arial"/>
          <w:b/>
          <w:color w:val="auto"/>
          <w:sz w:val="22"/>
          <w:szCs w:val="20"/>
        </w:rPr>
      </w:pPr>
      <w:r w:rsidRPr="00F35AE7">
        <w:rPr>
          <w:rFonts w:ascii="Arial" w:hAnsi="Arial" w:cs="Arial"/>
          <w:b/>
          <w:color w:val="auto"/>
          <w:sz w:val="22"/>
          <w:szCs w:val="20"/>
        </w:rPr>
        <w:t>3.</w:t>
      </w:r>
      <w:r w:rsidR="00F35AE7" w:rsidRPr="00F35AE7">
        <w:rPr>
          <w:rFonts w:ascii="Arial" w:hAnsi="Arial" w:cs="Arial"/>
          <w:b/>
          <w:color w:val="auto"/>
          <w:sz w:val="22"/>
          <w:szCs w:val="20"/>
        </w:rPr>
        <w:t>1</w:t>
      </w:r>
      <w:r w:rsidRPr="00F35AE7">
        <w:rPr>
          <w:rFonts w:ascii="Arial" w:hAnsi="Arial" w:cs="Arial"/>
          <w:b/>
          <w:color w:val="auto"/>
          <w:sz w:val="22"/>
          <w:szCs w:val="20"/>
        </w:rPr>
        <w:t xml:space="preserve"> RESULTS</w:t>
      </w:r>
    </w:p>
    <w:p w14:paraId="1809DAB8" w14:textId="77777777" w:rsidR="00161129" w:rsidRPr="00F35AE7" w:rsidRDefault="00161129" w:rsidP="007648F2">
      <w:pPr>
        <w:pStyle w:val="Heading3"/>
        <w:rPr>
          <w:rFonts w:ascii="Arial" w:hAnsi="Arial" w:cs="Arial"/>
          <w:b/>
          <w:color w:val="auto"/>
          <w:sz w:val="22"/>
          <w:szCs w:val="20"/>
        </w:rPr>
      </w:pPr>
      <w:r w:rsidRPr="00F35AE7">
        <w:rPr>
          <w:rFonts w:ascii="Arial" w:hAnsi="Arial" w:cs="Arial"/>
          <w:b/>
          <w:color w:val="auto"/>
          <w:sz w:val="22"/>
          <w:szCs w:val="20"/>
        </w:rPr>
        <w:t>3.</w:t>
      </w:r>
      <w:r w:rsidR="00F35AE7" w:rsidRPr="00F35AE7">
        <w:rPr>
          <w:rFonts w:ascii="Arial" w:hAnsi="Arial" w:cs="Arial"/>
          <w:b/>
          <w:color w:val="auto"/>
          <w:sz w:val="22"/>
          <w:szCs w:val="20"/>
        </w:rPr>
        <w:t>1.</w:t>
      </w:r>
      <w:r w:rsidRPr="00F35AE7">
        <w:rPr>
          <w:rFonts w:ascii="Arial" w:hAnsi="Arial" w:cs="Arial"/>
          <w:b/>
          <w:color w:val="auto"/>
          <w:sz w:val="22"/>
          <w:szCs w:val="20"/>
        </w:rPr>
        <w:t xml:space="preserve">1. Fatty acid profile of </w:t>
      </w:r>
      <w:r w:rsidRPr="00F35AE7">
        <w:rPr>
          <w:rFonts w:ascii="Arial" w:hAnsi="Arial" w:cs="Arial"/>
          <w:b/>
          <w:i/>
          <w:iCs/>
          <w:color w:val="auto"/>
          <w:sz w:val="22"/>
          <w:szCs w:val="20"/>
        </w:rPr>
        <w:t>Afraegle paniculata</w:t>
      </w:r>
      <w:r w:rsidRPr="00F35AE7">
        <w:rPr>
          <w:rFonts w:ascii="Arial" w:hAnsi="Arial" w:cs="Arial"/>
          <w:b/>
          <w:color w:val="auto"/>
          <w:sz w:val="22"/>
          <w:szCs w:val="20"/>
        </w:rPr>
        <w:t xml:space="preserve"> oil</w:t>
      </w:r>
    </w:p>
    <w:p w14:paraId="4D1883DC" w14:textId="77777777" w:rsidR="00161129" w:rsidRPr="00161129" w:rsidRDefault="00161129" w:rsidP="007648F2">
      <w:pPr>
        <w:pStyle w:val="NormalWeb"/>
        <w:rPr>
          <w:rFonts w:ascii="Arial" w:hAnsi="Arial" w:cs="Arial"/>
          <w:sz w:val="20"/>
          <w:szCs w:val="20"/>
        </w:rPr>
      </w:pPr>
      <w:r w:rsidRPr="00161129">
        <w:rPr>
          <w:rStyle w:val="citation-51"/>
          <w:rFonts w:ascii="Arial" w:hAnsi="Arial" w:cs="Arial"/>
          <w:sz w:val="20"/>
          <w:szCs w:val="20"/>
        </w:rPr>
        <w:t xml:space="preserve">The fatty acid composition of the oil extracted from the seeds of </w:t>
      </w:r>
      <w:r w:rsidRPr="00161129">
        <w:rPr>
          <w:rStyle w:val="citation-51"/>
          <w:rFonts w:ascii="Arial" w:hAnsi="Arial" w:cs="Arial"/>
          <w:i/>
          <w:iCs/>
          <w:sz w:val="20"/>
          <w:szCs w:val="20"/>
        </w:rPr>
        <w:t>Afraegle paniculata</w:t>
      </w:r>
      <w:r w:rsidRPr="00161129">
        <w:rPr>
          <w:rStyle w:val="citation-51"/>
          <w:rFonts w:ascii="Arial" w:hAnsi="Arial" w:cs="Arial"/>
          <w:sz w:val="20"/>
          <w:szCs w:val="20"/>
        </w:rPr>
        <w:t xml:space="preserve"> was determined by Gas Chromatography-Mass Spectrometry (GC-MS)</w:t>
      </w:r>
      <w:r w:rsidRPr="00161129">
        <w:rPr>
          <w:rFonts w:ascii="Arial" w:hAnsi="Arial" w:cs="Arial"/>
          <w:sz w:val="20"/>
          <w:szCs w:val="20"/>
        </w:rPr>
        <w:t xml:space="preserve">. </w:t>
      </w:r>
      <w:r w:rsidRPr="00161129">
        <w:rPr>
          <w:rStyle w:val="citation-50"/>
          <w:rFonts w:ascii="Arial" w:hAnsi="Arial" w:cs="Arial"/>
          <w:sz w:val="20"/>
          <w:szCs w:val="20"/>
        </w:rPr>
        <w:t xml:space="preserve">The analysis revealed an atypical profile for a vegetable oil, characterized by an overwhelming dominance of </w:t>
      </w:r>
      <w:r w:rsidRPr="00161129">
        <w:rPr>
          <w:rStyle w:val="citation-50"/>
          <w:rFonts w:ascii="Arial" w:hAnsi="Arial" w:cs="Arial"/>
          <w:bCs/>
          <w:sz w:val="20"/>
          <w:szCs w:val="20"/>
        </w:rPr>
        <w:t>saturated fatty acids (SFAs)</w:t>
      </w:r>
      <w:r w:rsidRPr="00161129">
        <w:rPr>
          <w:rStyle w:val="citation-50"/>
          <w:rFonts w:ascii="Arial" w:hAnsi="Arial" w:cs="Arial"/>
          <w:sz w:val="20"/>
          <w:szCs w:val="20"/>
        </w:rPr>
        <w:t xml:space="preserve">, which accounted for approximately </w:t>
      </w:r>
      <w:r w:rsidRPr="00161129">
        <w:rPr>
          <w:rStyle w:val="citation-50"/>
          <w:rFonts w:ascii="Arial" w:hAnsi="Arial" w:cs="Arial"/>
          <w:bCs/>
          <w:sz w:val="20"/>
          <w:szCs w:val="20"/>
        </w:rPr>
        <w:t>93.5%</w:t>
      </w:r>
      <w:r w:rsidRPr="00161129">
        <w:rPr>
          <w:rStyle w:val="citation-50"/>
          <w:rFonts w:ascii="Arial" w:hAnsi="Arial" w:cs="Arial"/>
          <w:sz w:val="20"/>
          <w:szCs w:val="20"/>
        </w:rPr>
        <w:t xml:space="preserve"> of the total fatty acids identified</w:t>
      </w:r>
      <w:r w:rsidRPr="00161129">
        <w:rPr>
          <w:rFonts w:ascii="Arial" w:hAnsi="Arial" w:cs="Arial"/>
          <w:sz w:val="20"/>
          <w:szCs w:val="20"/>
        </w:rPr>
        <w:t xml:space="preserve">. </w:t>
      </w:r>
      <w:r w:rsidRPr="00161129">
        <w:rPr>
          <w:rStyle w:val="citation-49"/>
          <w:rFonts w:ascii="Arial" w:eastAsiaTheme="majorEastAsia" w:hAnsi="Arial" w:cs="Arial"/>
          <w:sz w:val="20"/>
          <w:szCs w:val="20"/>
        </w:rPr>
        <w:t xml:space="preserve">The primary constituents were the medium-chain fatty acids </w:t>
      </w:r>
      <w:r w:rsidRPr="00161129">
        <w:rPr>
          <w:rStyle w:val="citation-49"/>
          <w:rFonts w:ascii="Arial" w:eastAsiaTheme="majorEastAsia" w:hAnsi="Arial" w:cs="Arial"/>
          <w:bCs/>
          <w:sz w:val="20"/>
          <w:szCs w:val="20"/>
        </w:rPr>
        <w:t>lauric acid (C</w:t>
      </w:r>
      <w:proofErr w:type="gramStart"/>
      <w:r w:rsidRPr="00161129">
        <w:rPr>
          <w:rStyle w:val="citation-49"/>
          <w:rFonts w:ascii="Arial" w:eastAsiaTheme="majorEastAsia" w:hAnsi="Arial" w:cs="Arial"/>
          <w:bCs/>
          <w:sz w:val="20"/>
          <w:szCs w:val="20"/>
        </w:rPr>
        <w:t>12:</w:t>
      </w:r>
      <w:proofErr w:type="gramEnd"/>
      <w:r w:rsidRPr="00161129">
        <w:rPr>
          <w:rStyle w:val="citation-49"/>
          <w:rFonts w:ascii="Arial" w:eastAsiaTheme="majorEastAsia" w:hAnsi="Arial" w:cs="Arial"/>
          <w:bCs/>
          <w:sz w:val="20"/>
          <w:szCs w:val="20"/>
        </w:rPr>
        <w:t>0)</w:t>
      </w:r>
      <w:r w:rsidRPr="00161129">
        <w:rPr>
          <w:rStyle w:val="citation-49"/>
          <w:rFonts w:ascii="Arial" w:eastAsiaTheme="majorEastAsia" w:hAnsi="Arial" w:cs="Arial"/>
          <w:sz w:val="20"/>
          <w:szCs w:val="20"/>
        </w:rPr>
        <w:t xml:space="preserve"> and </w:t>
      </w:r>
      <w:r w:rsidRPr="00161129">
        <w:rPr>
          <w:rStyle w:val="citation-49"/>
          <w:rFonts w:ascii="Arial" w:eastAsiaTheme="majorEastAsia" w:hAnsi="Arial" w:cs="Arial"/>
          <w:bCs/>
          <w:sz w:val="20"/>
          <w:szCs w:val="20"/>
        </w:rPr>
        <w:t>myristic acid (C14:0)</w:t>
      </w:r>
      <w:r w:rsidRPr="00161129">
        <w:rPr>
          <w:rFonts w:ascii="Arial" w:hAnsi="Arial" w:cs="Arial"/>
          <w:sz w:val="20"/>
          <w:szCs w:val="20"/>
        </w:rPr>
        <w:t xml:space="preserve">. </w:t>
      </w:r>
      <w:r w:rsidRPr="00161129">
        <w:rPr>
          <w:rStyle w:val="citation-48"/>
          <w:rFonts w:ascii="Arial" w:hAnsi="Arial" w:cs="Arial"/>
          <w:sz w:val="20"/>
          <w:szCs w:val="20"/>
        </w:rPr>
        <w:t>Unsaturated fatty acids were present in minor quantities</w:t>
      </w:r>
      <w:r w:rsidRPr="00161129">
        <w:rPr>
          <w:rFonts w:ascii="Arial" w:hAnsi="Arial" w:cs="Arial"/>
          <w:sz w:val="20"/>
          <w:szCs w:val="20"/>
        </w:rPr>
        <w:t>. The detailed fatty acid composition is presented in Table 2.</w:t>
      </w:r>
    </w:p>
    <w:p w14:paraId="40875F8C" w14:textId="77777777" w:rsidR="00161129" w:rsidRPr="00161129" w:rsidRDefault="00161129" w:rsidP="007648F2">
      <w:pPr>
        <w:pStyle w:val="NormalWeb"/>
        <w:rPr>
          <w:rFonts w:ascii="Arial" w:hAnsi="Arial" w:cs="Arial"/>
          <w:sz w:val="20"/>
          <w:szCs w:val="20"/>
        </w:rPr>
      </w:pPr>
      <w:r w:rsidRPr="00161129">
        <w:rPr>
          <w:rFonts w:ascii="Arial" w:hAnsi="Arial" w:cs="Arial"/>
          <w:b/>
          <w:bCs/>
          <w:sz w:val="20"/>
          <w:szCs w:val="20"/>
        </w:rPr>
        <w:t xml:space="preserve">Table </w:t>
      </w:r>
      <w:proofErr w:type="gramStart"/>
      <w:r w:rsidRPr="00161129">
        <w:rPr>
          <w:rFonts w:ascii="Arial" w:hAnsi="Arial" w:cs="Arial"/>
          <w:b/>
          <w:bCs/>
          <w:sz w:val="20"/>
          <w:szCs w:val="20"/>
        </w:rPr>
        <w:t>2:</w:t>
      </w:r>
      <w:proofErr w:type="gramEnd"/>
      <w:r w:rsidRPr="00161129">
        <w:rPr>
          <w:rFonts w:ascii="Arial" w:hAnsi="Arial" w:cs="Arial"/>
          <w:b/>
          <w:bCs/>
          <w:sz w:val="20"/>
          <w:szCs w:val="20"/>
        </w:rPr>
        <w:t xml:space="preserve"> Fatty acid composition of </w:t>
      </w:r>
      <w:r w:rsidRPr="00161129">
        <w:rPr>
          <w:rFonts w:ascii="Arial" w:hAnsi="Arial" w:cs="Arial"/>
          <w:b/>
          <w:bCs/>
          <w:i/>
          <w:iCs/>
          <w:sz w:val="20"/>
          <w:szCs w:val="20"/>
        </w:rPr>
        <w:t>Afraegle paniculata</w:t>
      </w:r>
      <w:r w:rsidRPr="00161129">
        <w:rPr>
          <w:rFonts w:ascii="Arial" w:hAnsi="Arial" w:cs="Arial"/>
          <w:b/>
          <w:bCs/>
          <w:sz w:val="20"/>
          <w:szCs w:val="20"/>
        </w:rPr>
        <w:t xml:space="preserve"> </w:t>
      </w:r>
      <w:r w:rsidR="00CB1249" w:rsidRPr="00161129">
        <w:rPr>
          <w:rFonts w:ascii="Arial" w:hAnsi="Arial" w:cs="Arial"/>
          <w:b/>
          <w:bCs/>
          <w:sz w:val="20"/>
          <w:szCs w:val="20"/>
        </w:rPr>
        <w:t>seed oil</w:t>
      </w:r>
      <w:r w:rsidR="00CB1249" w:rsidRPr="00161129">
        <w:rPr>
          <w:rFonts w:ascii="Arial" w:hAnsi="Arial" w:cs="Arial"/>
          <w:sz w:val="20"/>
          <w:szCs w:val="20"/>
        </w:rPr>
        <w:t xml:space="preserve"> </w:t>
      </w:r>
    </w:p>
    <w:tbl>
      <w:tblPr>
        <w:tblStyle w:val="TableGrid"/>
        <w:tblW w:w="973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2646"/>
        <w:gridCol w:w="2353"/>
      </w:tblGrid>
      <w:tr w:rsidR="00161129" w:rsidRPr="00161129" w14:paraId="5C9FD096" w14:textId="77777777" w:rsidTr="00E153C0">
        <w:trPr>
          <w:trHeight w:val="291"/>
        </w:trPr>
        <w:tc>
          <w:tcPr>
            <w:tcW w:w="0" w:type="auto"/>
            <w:tcBorders>
              <w:top w:val="single" w:sz="4" w:space="0" w:color="auto"/>
              <w:bottom w:val="single" w:sz="4" w:space="0" w:color="auto"/>
            </w:tcBorders>
            <w:hideMark/>
          </w:tcPr>
          <w:p w14:paraId="2469426C" w14:textId="77777777" w:rsidR="00161129" w:rsidRPr="00161129" w:rsidRDefault="00161129" w:rsidP="007648F2">
            <w:pPr>
              <w:rPr>
                <w:rFonts w:ascii="Arial" w:hAnsi="Arial" w:cs="Arial"/>
                <w:sz w:val="20"/>
                <w:szCs w:val="20"/>
              </w:rPr>
            </w:pPr>
            <w:r w:rsidRPr="00161129">
              <w:rPr>
                <w:rFonts w:ascii="Arial" w:hAnsi="Arial" w:cs="Arial"/>
                <w:sz w:val="20"/>
                <w:szCs w:val="20"/>
              </w:rPr>
              <w:t>Fatty Acid</w:t>
            </w:r>
          </w:p>
        </w:tc>
        <w:tc>
          <w:tcPr>
            <w:tcW w:w="0" w:type="auto"/>
            <w:tcBorders>
              <w:top w:val="single" w:sz="4" w:space="0" w:color="auto"/>
              <w:bottom w:val="single" w:sz="4" w:space="0" w:color="auto"/>
            </w:tcBorders>
            <w:hideMark/>
          </w:tcPr>
          <w:p w14:paraId="7525E46D" w14:textId="77777777" w:rsidR="00161129" w:rsidRPr="00161129" w:rsidRDefault="00161129" w:rsidP="007648F2">
            <w:pPr>
              <w:rPr>
                <w:rFonts w:ascii="Arial" w:hAnsi="Arial" w:cs="Arial"/>
                <w:sz w:val="20"/>
                <w:szCs w:val="20"/>
              </w:rPr>
            </w:pPr>
            <w:r w:rsidRPr="00161129">
              <w:rPr>
                <w:rFonts w:ascii="Arial" w:hAnsi="Arial" w:cs="Arial"/>
                <w:sz w:val="20"/>
                <w:szCs w:val="20"/>
              </w:rPr>
              <w:t>Molecular formula</w:t>
            </w:r>
          </w:p>
        </w:tc>
        <w:tc>
          <w:tcPr>
            <w:tcW w:w="0" w:type="auto"/>
            <w:tcBorders>
              <w:top w:val="single" w:sz="4" w:space="0" w:color="auto"/>
              <w:bottom w:val="single" w:sz="4" w:space="0" w:color="auto"/>
            </w:tcBorders>
            <w:hideMark/>
          </w:tcPr>
          <w:p w14:paraId="49B91678" w14:textId="77777777" w:rsidR="00161129" w:rsidRPr="00161129" w:rsidRDefault="00161129" w:rsidP="007648F2">
            <w:pPr>
              <w:rPr>
                <w:rFonts w:ascii="Arial" w:hAnsi="Arial" w:cs="Arial"/>
                <w:sz w:val="20"/>
                <w:szCs w:val="20"/>
              </w:rPr>
            </w:pPr>
            <w:r w:rsidRPr="00161129">
              <w:rPr>
                <w:rFonts w:ascii="Arial" w:hAnsi="Arial" w:cs="Arial"/>
                <w:sz w:val="20"/>
                <w:szCs w:val="20"/>
              </w:rPr>
              <w:t>Percentage (%)</w:t>
            </w:r>
          </w:p>
        </w:tc>
      </w:tr>
      <w:tr w:rsidR="00161129" w:rsidRPr="00161129" w14:paraId="1E647D2C" w14:textId="77777777" w:rsidTr="00E153C0">
        <w:trPr>
          <w:trHeight w:val="274"/>
        </w:trPr>
        <w:tc>
          <w:tcPr>
            <w:tcW w:w="0" w:type="auto"/>
            <w:tcBorders>
              <w:top w:val="single" w:sz="4" w:space="0" w:color="auto"/>
            </w:tcBorders>
            <w:hideMark/>
          </w:tcPr>
          <w:p w14:paraId="7A11DFE8" w14:textId="77777777" w:rsidR="00161129" w:rsidRPr="00161129" w:rsidRDefault="00161129" w:rsidP="007648F2">
            <w:pPr>
              <w:rPr>
                <w:rFonts w:ascii="Arial" w:hAnsi="Arial" w:cs="Arial"/>
                <w:sz w:val="20"/>
                <w:szCs w:val="20"/>
              </w:rPr>
            </w:pPr>
            <w:r w:rsidRPr="00161129">
              <w:rPr>
                <w:rFonts w:ascii="Arial" w:hAnsi="Arial" w:cs="Arial"/>
                <w:b/>
                <w:bCs/>
                <w:sz w:val="20"/>
                <w:szCs w:val="20"/>
              </w:rPr>
              <w:t>Saturated Fatty Acids (SFAs)</w:t>
            </w:r>
          </w:p>
        </w:tc>
        <w:tc>
          <w:tcPr>
            <w:tcW w:w="0" w:type="auto"/>
            <w:tcBorders>
              <w:top w:val="single" w:sz="4" w:space="0" w:color="auto"/>
            </w:tcBorders>
            <w:hideMark/>
          </w:tcPr>
          <w:p w14:paraId="1AC7CA2F" w14:textId="77777777" w:rsidR="00161129" w:rsidRPr="00161129" w:rsidRDefault="00161129" w:rsidP="007648F2">
            <w:pPr>
              <w:rPr>
                <w:rFonts w:ascii="Arial" w:hAnsi="Arial" w:cs="Arial"/>
                <w:sz w:val="20"/>
                <w:szCs w:val="20"/>
              </w:rPr>
            </w:pPr>
            <w:r w:rsidRPr="00161129">
              <w:rPr>
                <w:rFonts w:ascii="Arial" w:hAnsi="Arial" w:cs="Arial"/>
                <w:sz w:val="20"/>
                <w:szCs w:val="20"/>
              </w:rPr>
              <w:t>-</w:t>
            </w:r>
          </w:p>
        </w:tc>
        <w:tc>
          <w:tcPr>
            <w:tcW w:w="0" w:type="auto"/>
            <w:tcBorders>
              <w:top w:val="single" w:sz="4" w:space="0" w:color="auto"/>
            </w:tcBorders>
            <w:hideMark/>
          </w:tcPr>
          <w:p w14:paraId="7DA42D22" w14:textId="77777777" w:rsidR="00161129" w:rsidRPr="00161129" w:rsidRDefault="00161129" w:rsidP="007648F2">
            <w:pPr>
              <w:rPr>
                <w:rFonts w:ascii="Arial" w:hAnsi="Arial" w:cs="Arial"/>
                <w:sz w:val="20"/>
                <w:szCs w:val="20"/>
              </w:rPr>
            </w:pPr>
            <w:r w:rsidRPr="00161129">
              <w:rPr>
                <w:rFonts w:ascii="Arial" w:hAnsi="Arial" w:cs="Arial"/>
                <w:b/>
                <w:bCs/>
                <w:sz w:val="20"/>
                <w:szCs w:val="20"/>
              </w:rPr>
              <w:t>93.49</w:t>
            </w:r>
          </w:p>
        </w:tc>
      </w:tr>
      <w:tr w:rsidR="00161129" w:rsidRPr="00161129" w14:paraId="2CC02C3B" w14:textId="77777777" w:rsidTr="00E153C0">
        <w:trPr>
          <w:trHeight w:val="291"/>
        </w:trPr>
        <w:tc>
          <w:tcPr>
            <w:tcW w:w="0" w:type="auto"/>
            <w:hideMark/>
          </w:tcPr>
          <w:p w14:paraId="1022B25E" w14:textId="77777777" w:rsidR="00161129" w:rsidRPr="00161129" w:rsidRDefault="00161129" w:rsidP="007648F2">
            <w:pPr>
              <w:rPr>
                <w:rFonts w:ascii="Arial" w:hAnsi="Arial" w:cs="Arial"/>
                <w:sz w:val="20"/>
                <w:szCs w:val="20"/>
              </w:rPr>
            </w:pPr>
            <w:r w:rsidRPr="00161129">
              <w:rPr>
                <w:rFonts w:ascii="Arial" w:hAnsi="Arial" w:cs="Arial"/>
                <w:sz w:val="20"/>
                <w:szCs w:val="20"/>
              </w:rPr>
              <w:t>Lauric Acid</w:t>
            </w:r>
          </w:p>
        </w:tc>
        <w:tc>
          <w:tcPr>
            <w:tcW w:w="0" w:type="auto"/>
            <w:hideMark/>
          </w:tcPr>
          <w:p w14:paraId="1E21682A" w14:textId="77777777" w:rsidR="00161129" w:rsidRPr="00161129" w:rsidRDefault="00161129" w:rsidP="007648F2">
            <w:pPr>
              <w:rPr>
                <w:rFonts w:ascii="Arial" w:hAnsi="Arial" w:cs="Arial"/>
                <w:sz w:val="20"/>
                <w:szCs w:val="20"/>
              </w:rPr>
            </w:pPr>
            <w:r w:rsidRPr="00161129">
              <w:rPr>
                <w:rFonts w:ascii="Arial" w:hAnsi="Arial" w:cs="Arial"/>
                <w:sz w:val="20"/>
                <w:szCs w:val="20"/>
              </w:rPr>
              <w:t>C12:0</w:t>
            </w:r>
          </w:p>
        </w:tc>
        <w:tc>
          <w:tcPr>
            <w:tcW w:w="0" w:type="auto"/>
            <w:hideMark/>
          </w:tcPr>
          <w:p w14:paraId="02A5C696" w14:textId="77777777" w:rsidR="00161129" w:rsidRPr="00161129" w:rsidRDefault="00161129" w:rsidP="007648F2">
            <w:pPr>
              <w:rPr>
                <w:rFonts w:ascii="Arial" w:hAnsi="Arial" w:cs="Arial"/>
                <w:sz w:val="20"/>
                <w:szCs w:val="20"/>
              </w:rPr>
            </w:pPr>
            <w:r w:rsidRPr="00161129">
              <w:rPr>
                <w:rFonts w:ascii="Arial" w:hAnsi="Arial" w:cs="Arial"/>
                <w:sz w:val="20"/>
                <w:szCs w:val="20"/>
              </w:rPr>
              <w:t>60.73</w:t>
            </w:r>
          </w:p>
        </w:tc>
      </w:tr>
      <w:tr w:rsidR="00161129" w:rsidRPr="00161129" w14:paraId="0C3377AD" w14:textId="77777777" w:rsidTr="00E153C0">
        <w:trPr>
          <w:trHeight w:val="274"/>
        </w:trPr>
        <w:tc>
          <w:tcPr>
            <w:tcW w:w="0" w:type="auto"/>
            <w:hideMark/>
          </w:tcPr>
          <w:p w14:paraId="636D8EB4" w14:textId="77777777" w:rsidR="00161129" w:rsidRPr="00161129" w:rsidRDefault="00161129" w:rsidP="007648F2">
            <w:pPr>
              <w:rPr>
                <w:rFonts w:ascii="Arial" w:hAnsi="Arial" w:cs="Arial"/>
                <w:sz w:val="20"/>
                <w:szCs w:val="20"/>
              </w:rPr>
            </w:pPr>
            <w:r w:rsidRPr="00161129">
              <w:rPr>
                <w:rFonts w:ascii="Arial" w:hAnsi="Arial" w:cs="Arial"/>
                <w:sz w:val="20"/>
                <w:szCs w:val="20"/>
              </w:rPr>
              <w:t>Myristic Acid</w:t>
            </w:r>
          </w:p>
        </w:tc>
        <w:tc>
          <w:tcPr>
            <w:tcW w:w="0" w:type="auto"/>
            <w:hideMark/>
          </w:tcPr>
          <w:p w14:paraId="7D0873DE" w14:textId="77777777" w:rsidR="00161129" w:rsidRPr="00161129" w:rsidRDefault="00161129" w:rsidP="007648F2">
            <w:pPr>
              <w:rPr>
                <w:rFonts w:ascii="Arial" w:hAnsi="Arial" w:cs="Arial"/>
                <w:sz w:val="20"/>
                <w:szCs w:val="20"/>
              </w:rPr>
            </w:pPr>
            <w:r w:rsidRPr="00161129">
              <w:rPr>
                <w:rFonts w:ascii="Arial" w:hAnsi="Arial" w:cs="Arial"/>
                <w:sz w:val="20"/>
                <w:szCs w:val="20"/>
              </w:rPr>
              <w:t>C14:0</w:t>
            </w:r>
          </w:p>
        </w:tc>
        <w:tc>
          <w:tcPr>
            <w:tcW w:w="0" w:type="auto"/>
            <w:hideMark/>
          </w:tcPr>
          <w:p w14:paraId="4851FBBE" w14:textId="77777777" w:rsidR="00161129" w:rsidRPr="00161129" w:rsidRDefault="00161129" w:rsidP="007648F2">
            <w:pPr>
              <w:rPr>
                <w:rFonts w:ascii="Arial" w:hAnsi="Arial" w:cs="Arial"/>
                <w:sz w:val="20"/>
                <w:szCs w:val="20"/>
              </w:rPr>
            </w:pPr>
            <w:r w:rsidRPr="00161129">
              <w:rPr>
                <w:rFonts w:ascii="Arial" w:hAnsi="Arial" w:cs="Arial"/>
                <w:sz w:val="20"/>
                <w:szCs w:val="20"/>
              </w:rPr>
              <w:t>25.56</w:t>
            </w:r>
          </w:p>
        </w:tc>
      </w:tr>
      <w:tr w:rsidR="00161129" w:rsidRPr="00161129" w14:paraId="2C4ED4F1" w14:textId="77777777" w:rsidTr="00E153C0">
        <w:trPr>
          <w:trHeight w:val="291"/>
        </w:trPr>
        <w:tc>
          <w:tcPr>
            <w:tcW w:w="0" w:type="auto"/>
            <w:hideMark/>
          </w:tcPr>
          <w:p w14:paraId="2D82DE8C" w14:textId="77777777" w:rsidR="00161129" w:rsidRPr="00161129" w:rsidRDefault="00161129" w:rsidP="007648F2">
            <w:pPr>
              <w:rPr>
                <w:rFonts w:ascii="Arial" w:hAnsi="Arial" w:cs="Arial"/>
                <w:sz w:val="20"/>
                <w:szCs w:val="20"/>
              </w:rPr>
            </w:pPr>
            <w:r w:rsidRPr="00161129">
              <w:rPr>
                <w:rFonts w:ascii="Arial" w:hAnsi="Arial" w:cs="Arial"/>
                <w:sz w:val="20"/>
                <w:szCs w:val="20"/>
              </w:rPr>
              <w:t>Palmitic Acid</w:t>
            </w:r>
          </w:p>
        </w:tc>
        <w:tc>
          <w:tcPr>
            <w:tcW w:w="0" w:type="auto"/>
            <w:hideMark/>
          </w:tcPr>
          <w:p w14:paraId="10A06B44" w14:textId="77777777" w:rsidR="00161129" w:rsidRPr="00161129" w:rsidRDefault="00161129" w:rsidP="007648F2">
            <w:pPr>
              <w:rPr>
                <w:rFonts w:ascii="Arial" w:hAnsi="Arial" w:cs="Arial"/>
                <w:sz w:val="20"/>
                <w:szCs w:val="20"/>
              </w:rPr>
            </w:pPr>
            <w:r w:rsidRPr="00161129">
              <w:rPr>
                <w:rFonts w:ascii="Arial" w:hAnsi="Arial" w:cs="Arial"/>
                <w:sz w:val="20"/>
                <w:szCs w:val="20"/>
              </w:rPr>
              <w:t>C16:0</w:t>
            </w:r>
          </w:p>
        </w:tc>
        <w:tc>
          <w:tcPr>
            <w:tcW w:w="0" w:type="auto"/>
            <w:hideMark/>
          </w:tcPr>
          <w:p w14:paraId="753FD156" w14:textId="77777777" w:rsidR="00161129" w:rsidRPr="00161129" w:rsidRDefault="00161129" w:rsidP="007648F2">
            <w:pPr>
              <w:rPr>
                <w:rFonts w:ascii="Arial" w:hAnsi="Arial" w:cs="Arial"/>
                <w:sz w:val="20"/>
                <w:szCs w:val="20"/>
              </w:rPr>
            </w:pPr>
            <w:r w:rsidRPr="00161129">
              <w:rPr>
                <w:rFonts w:ascii="Arial" w:hAnsi="Arial" w:cs="Arial"/>
                <w:sz w:val="20"/>
                <w:szCs w:val="20"/>
              </w:rPr>
              <w:t>5.47</w:t>
            </w:r>
          </w:p>
        </w:tc>
      </w:tr>
      <w:tr w:rsidR="00161129" w:rsidRPr="00161129" w14:paraId="0AC9241D" w14:textId="77777777" w:rsidTr="00E153C0">
        <w:trPr>
          <w:trHeight w:val="274"/>
        </w:trPr>
        <w:tc>
          <w:tcPr>
            <w:tcW w:w="0" w:type="auto"/>
            <w:hideMark/>
          </w:tcPr>
          <w:p w14:paraId="674BEF66" w14:textId="77777777" w:rsidR="00161129" w:rsidRPr="00161129" w:rsidRDefault="00161129" w:rsidP="007648F2">
            <w:pPr>
              <w:rPr>
                <w:rFonts w:ascii="Arial" w:hAnsi="Arial" w:cs="Arial"/>
                <w:sz w:val="20"/>
                <w:szCs w:val="20"/>
              </w:rPr>
            </w:pPr>
            <w:r w:rsidRPr="00161129">
              <w:rPr>
                <w:rFonts w:ascii="Arial" w:hAnsi="Arial" w:cs="Arial"/>
                <w:sz w:val="20"/>
                <w:szCs w:val="20"/>
              </w:rPr>
              <w:t>Stearic Acid</w:t>
            </w:r>
          </w:p>
        </w:tc>
        <w:tc>
          <w:tcPr>
            <w:tcW w:w="0" w:type="auto"/>
            <w:hideMark/>
          </w:tcPr>
          <w:p w14:paraId="672C11B1" w14:textId="77777777" w:rsidR="00161129" w:rsidRPr="00161129" w:rsidRDefault="00161129" w:rsidP="007648F2">
            <w:pPr>
              <w:rPr>
                <w:rFonts w:ascii="Arial" w:hAnsi="Arial" w:cs="Arial"/>
                <w:sz w:val="20"/>
                <w:szCs w:val="20"/>
              </w:rPr>
            </w:pPr>
            <w:r w:rsidRPr="00161129">
              <w:rPr>
                <w:rFonts w:ascii="Arial" w:hAnsi="Arial" w:cs="Arial"/>
                <w:sz w:val="20"/>
                <w:szCs w:val="20"/>
              </w:rPr>
              <w:t>C18:0</w:t>
            </w:r>
          </w:p>
        </w:tc>
        <w:tc>
          <w:tcPr>
            <w:tcW w:w="0" w:type="auto"/>
            <w:hideMark/>
          </w:tcPr>
          <w:p w14:paraId="20AF93E3" w14:textId="77777777" w:rsidR="00161129" w:rsidRPr="00161129" w:rsidRDefault="00161129" w:rsidP="007648F2">
            <w:pPr>
              <w:rPr>
                <w:rFonts w:ascii="Arial" w:hAnsi="Arial" w:cs="Arial"/>
                <w:sz w:val="20"/>
                <w:szCs w:val="20"/>
              </w:rPr>
            </w:pPr>
            <w:r w:rsidRPr="00161129">
              <w:rPr>
                <w:rFonts w:ascii="Arial" w:hAnsi="Arial" w:cs="Arial"/>
                <w:sz w:val="20"/>
                <w:szCs w:val="20"/>
              </w:rPr>
              <w:t>1.73</w:t>
            </w:r>
          </w:p>
        </w:tc>
      </w:tr>
      <w:tr w:rsidR="00161129" w:rsidRPr="00161129" w14:paraId="11F394EA" w14:textId="77777777" w:rsidTr="00E153C0">
        <w:trPr>
          <w:trHeight w:val="291"/>
        </w:trPr>
        <w:tc>
          <w:tcPr>
            <w:tcW w:w="0" w:type="auto"/>
            <w:hideMark/>
          </w:tcPr>
          <w:p w14:paraId="617B2C4C" w14:textId="77777777" w:rsidR="00161129" w:rsidRPr="00161129" w:rsidRDefault="00161129" w:rsidP="007648F2">
            <w:pPr>
              <w:rPr>
                <w:rFonts w:ascii="Arial" w:hAnsi="Arial" w:cs="Arial"/>
                <w:sz w:val="20"/>
                <w:szCs w:val="20"/>
              </w:rPr>
            </w:pPr>
            <w:r w:rsidRPr="00161129">
              <w:rPr>
                <w:rFonts w:ascii="Arial" w:hAnsi="Arial" w:cs="Arial"/>
                <w:b/>
                <w:bCs/>
                <w:sz w:val="20"/>
                <w:szCs w:val="20"/>
              </w:rPr>
              <w:t>Unsaturated Fatty Acids (UFAs)</w:t>
            </w:r>
          </w:p>
        </w:tc>
        <w:tc>
          <w:tcPr>
            <w:tcW w:w="0" w:type="auto"/>
            <w:hideMark/>
          </w:tcPr>
          <w:p w14:paraId="4D5F4F8D" w14:textId="77777777" w:rsidR="00161129" w:rsidRPr="00161129" w:rsidRDefault="00161129" w:rsidP="007648F2">
            <w:pPr>
              <w:rPr>
                <w:rFonts w:ascii="Arial" w:hAnsi="Arial" w:cs="Arial"/>
                <w:sz w:val="20"/>
                <w:szCs w:val="20"/>
              </w:rPr>
            </w:pPr>
            <w:r w:rsidRPr="00161129">
              <w:rPr>
                <w:rFonts w:ascii="Arial" w:hAnsi="Arial" w:cs="Arial"/>
                <w:sz w:val="20"/>
                <w:szCs w:val="20"/>
              </w:rPr>
              <w:t>-</w:t>
            </w:r>
          </w:p>
        </w:tc>
        <w:tc>
          <w:tcPr>
            <w:tcW w:w="0" w:type="auto"/>
            <w:hideMark/>
          </w:tcPr>
          <w:p w14:paraId="5C7BBC4C" w14:textId="77777777" w:rsidR="00161129" w:rsidRPr="00161129" w:rsidRDefault="00161129" w:rsidP="007648F2">
            <w:pPr>
              <w:rPr>
                <w:rFonts w:ascii="Arial" w:hAnsi="Arial" w:cs="Arial"/>
                <w:sz w:val="20"/>
                <w:szCs w:val="20"/>
              </w:rPr>
            </w:pPr>
            <w:r w:rsidRPr="00161129">
              <w:rPr>
                <w:rFonts w:ascii="Arial" w:hAnsi="Arial" w:cs="Arial"/>
                <w:b/>
                <w:bCs/>
                <w:sz w:val="20"/>
                <w:szCs w:val="20"/>
              </w:rPr>
              <w:t>6.06</w:t>
            </w:r>
          </w:p>
        </w:tc>
      </w:tr>
      <w:tr w:rsidR="00161129" w:rsidRPr="00161129" w14:paraId="6A75821D" w14:textId="77777777" w:rsidTr="00E153C0">
        <w:trPr>
          <w:trHeight w:val="291"/>
        </w:trPr>
        <w:tc>
          <w:tcPr>
            <w:tcW w:w="0" w:type="auto"/>
            <w:hideMark/>
          </w:tcPr>
          <w:p w14:paraId="48A49EAA" w14:textId="77777777" w:rsidR="00161129" w:rsidRPr="00161129" w:rsidRDefault="00161129" w:rsidP="007648F2">
            <w:pPr>
              <w:rPr>
                <w:rFonts w:ascii="Arial" w:hAnsi="Arial" w:cs="Arial"/>
                <w:sz w:val="20"/>
                <w:szCs w:val="20"/>
              </w:rPr>
            </w:pPr>
            <w:r w:rsidRPr="00161129">
              <w:rPr>
                <w:rFonts w:ascii="Arial" w:hAnsi="Arial" w:cs="Arial"/>
                <w:sz w:val="20"/>
                <w:szCs w:val="20"/>
              </w:rPr>
              <w:t>Oleic Acid (Monounsaturated)</w:t>
            </w:r>
          </w:p>
        </w:tc>
        <w:tc>
          <w:tcPr>
            <w:tcW w:w="0" w:type="auto"/>
            <w:hideMark/>
          </w:tcPr>
          <w:p w14:paraId="6E67A870" w14:textId="77777777" w:rsidR="00161129" w:rsidRPr="00161129" w:rsidRDefault="00161129" w:rsidP="007648F2">
            <w:pPr>
              <w:rPr>
                <w:rFonts w:ascii="Arial" w:hAnsi="Arial" w:cs="Arial"/>
                <w:sz w:val="20"/>
                <w:szCs w:val="20"/>
              </w:rPr>
            </w:pPr>
            <w:r w:rsidRPr="00161129">
              <w:rPr>
                <w:rFonts w:ascii="Arial" w:hAnsi="Arial" w:cs="Arial"/>
                <w:sz w:val="20"/>
                <w:szCs w:val="20"/>
              </w:rPr>
              <w:t>C18:1</w:t>
            </w:r>
          </w:p>
        </w:tc>
        <w:tc>
          <w:tcPr>
            <w:tcW w:w="0" w:type="auto"/>
            <w:hideMark/>
          </w:tcPr>
          <w:p w14:paraId="19B5B1DF" w14:textId="77777777" w:rsidR="00161129" w:rsidRPr="00161129" w:rsidRDefault="00161129" w:rsidP="007648F2">
            <w:pPr>
              <w:rPr>
                <w:rFonts w:ascii="Arial" w:hAnsi="Arial" w:cs="Arial"/>
                <w:sz w:val="20"/>
                <w:szCs w:val="20"/>
              </w:rPr>
            </w:pPr>
            <w:r w:rsidRPr="00161129">
              <w:rPr>
                <w:rFonts w:ascii="Arial" w:hAnsi="Arial" w:cs="Arial"/>
                <w:sz w:val="20"/>
                <w:szCs w:val="20"/>
              </w:rPr>
              <w:t>4.69</w:t>
            </w:r>
          </w:p>
        </w:tc>
      </w:tr>
      <w:tr w:rsidR="00161129" w:rsidRPr="00161129" w14:paraId="004E6C31" w14:textId="77777777" w:rsidTr="00E153C0">
        <w:trPr>
          <w:trHeight w:val="274"/>
        </w:trPr>
        <w:tc>
          <w:tcPr>
            <w:tcW w:w="0" w:type="auto"/>
            <w:tcBorders>
              <w:bottom w:val="single" w:sz="4" w:space="0" w:color="auto"/>
            </w:tcBorders>
            <w:hideMark/>
          </w:tcPr>
          <w:p w14:paraId="390D8507" w14:textId="77777777" w:rsidR="00161129" w:rsidRPr="00161129" w:rsidRDefault="00161129" w:rsidP="007648F2">
            <w:pPr>
              <w:rPr>
                <w:rFonts w:ascii="Arial" w:hAnsi="Arial" w:cs="Arial"/>
                <w:sz w:val="20"/>
                <w:szCs w:val="20"/>
              </w:rPr>
            </w:pPr>
            <w:r w:rsidRPr="00161129">
              <w:rPr>
                <w:rFonts w:ascii="Arial" w:hAnsi="Arial" w:cs="Arial"/>
                <w:sz w:val="20"/>
                <w:szCs w:val="20"/>
              </w:rPr>
              <w:t>Linoleic Acid (Polyunsaturated)</w:t>
            </w:r>
          </w:p>
        </w:tc>
        <w:tc>
          <w:tcPr>
            <w:tcW w:w="0" w:type="auto"/>
            <w:tcBorders>
              <w:bottom w:val="single" w:sz="4" w:space="0" w:color="auto"/>
            </w:tcBorders>
            <w:hideMark/>
          </w:tcPr>
          <w:p w14:paraId="56B525FF" w14:textId="77777777" w:rsidR="00161129" w:rsidRPr="00161129" w:rsidRDefault="00161129" w:rsidP="007648F2">
            <w:pPr>
              <w:rPr>
                <w:rFonts w:ascii="Arial" w:hAnsi="Arial" w:cs="Arial"/>
                <w:sz w:val="20"/>
                <w:szCs w:val="20"/>
              </w:rPr>
            </w:pPr>
            <w:r w:rsidRPr="00161129">
              <w:rPr>
                <w:rFonts w:ascii="Arial" w:hAnsi="Arial" w:cs="Arial"/>
                <w:sz w:val="20"/>
                <w:szCs w:val="20"/>
              </w:rPr>
              <w:t>C18:2</w:t>
            </w:r>
          </w:p>
        </w:tc>
        <w:tc>
          <w:tcPr>
            <w:tcW w:w="0" w:type="auto"/>
            <w:tcBorders>
              <w:bottom w:val="single" w:sz="4" w:space="0" w:color="auto"/>
            </w:tcBorders>
            <w:hideMark/>
          </w:tcPr>
          <w:p w14:paraId="7E7F9A46" w14:textId="77777777" w:rsidR="00161129" w:rsidRPr="00161129" w:rsidRDefault="00161129" w:rsidP="007648F2">
            <w:pPr>
              <w:rPr>
                <w:rFonts w:ascii="Arial" w:hAnsi="Arial" w:cs="Arial"/>
                <w:sz w:val="20"/>
                <w:szCs w:val="20"/>
              </w:rPr>
            </w:pPr>
            <w:r w:rsidRPr="00161129">
              <w:rPr>
                <w:rFonts w:ascii="Arial" w:hAnsi="Arial" w:cs="Arial"/>
                <w:sz w:val="20"/>
                <w:szCs w:val="20"/>
              </w:rPr>
              <w:t>1.37</w:t>
            </w:r>
          </w:p>
        </w:tc>
      </w:tr>
    </w:tbl>
    <w:p w14:paraId="5B99318C" w14:textId="77777777" w:rsidR="00161129" w:rsidRPr="00161129" w:rsidRDefault="00161129" w:rsidP="007648F2">
      <w:pPr>
        <w:pStyle w:val="NormalWeb"/>
        <w:rPr>
          <w:rFonts w:ascii="Arial" w:hAnsi="Arial" w:cs="Arial"/>
          <w:sz w:val="20"/>
          <w:szCs w:val="20"/>
        </w:rPr>
      </w:pPr>
      <w:r w:rsidRPr="00161129">
        <w:rPr>
          <w:rStyle w:val="citation-41"/>
          <w:rFonts w:ascii="Arial" w:hAnsi="Arial" w:cs="Arial"/>
          <w:sz w:val="20"/>
          <w:szCs w:val="20"/>
        </w:rPr>
        <w:t>Data sourced from GC-MS analysis</w:t>
      </w:r>
      <w:r w:rsidRPr="00161129">
        <w:rPr>
          <w:rFonts w:ascii="Arial" w:hAnsi="Arial" w:cs="Arial"/>
          <w:sz w:val="20"/>
          <w:szCs w:val="20"/>
        </w:rPr>
        <w:t xml:space="preserve">. </w:t>
      </w:r>
      <w:r w:rsidRPr="00161129">
        <w:rPr>
          <w:rStyle w:val="citation-40"/>
          <w:rFonts w:ascii="Arial" w:hAnsi="Arial" w:cs="Arial"/>
          <w:sz w:val="20"/>
          <w:szCs w:val="20"/>
        </w:rPr>
        <w:t>Percentages are calculated from the peak area in the chromatogram</w:t>
      </w:r>
      <w:r w:rsidRPr="00161129">
        <w:rPr>
          <w:rFonts w:ascii="Arial" w:hAnsi="Arial" w:cs="Arial"/>
          <w:sz w:val="20"/>
          <w:szCs w:val="20"/>
        </w:rPr>
        <w:t>.</w:t>
      </w:r>
    </w:p>
    <w:p w14:paraId="1F0EA5F9" w14:textId="77777777" w:rsidR="00161129" w:rsidRPr="00161129" w:rsidRDefault="00161129" w:rsidP="007648F2">
      <w:pPr>
        <w:pStyle w:val="NormalWeb"/>
        <w:rPr>
          <w:rFonts w:ascii="Arial" w:hAnsi="Arial" w:cs="Arial"/>
          <w:sz w:val="20"/>
          <w:szCs w:val="20"/>
        </w:rPr>
      </w:pPr>
      <w:r w:rsidRPr="00161129">
        <w:rPr>
          <w:rStyle w:val="citation-39"/>
          <w:rFonts w:ascii="Arial" w:hAnsi="Arial" w:cs="Arial"/>
          <w:sz w:val="20"/>
          <w:szCs w:val="20"/>
        </w:rPr>
        <w:t xml:space="preserve">The data in Table 2 clearly demonstrates that the lipid profile of </w:t>
      </w:r>
      <w:r w:rsidRPr="00161129">
        <w:rPr>
          <w:rStyle w:val="citation-39"/>
          <w:rFonts w:ascii="Arial" w:hAnsi="Arial" w:cs="Arial"/>
          <w:iCs/>
          <w:sz w:val="20"/>
          <w:szCs w:val="20"/>
        </w:rPr>
        <w:t>A. paniculata</w:t>
      </w:r>
      <w:r w:rsidRPr="00161129">
        <w:rPr>
          <w:rStyle w:val="citation-39"/>
          <w:rFonts w:ascii="Arial" w:hAnsi="Arial" w:cs="Arial"/>
          <w:sz w:val="20"/>
          <w:szCs w:val="20"/>
        </w:rPr>
        <w:t xml:space="preserve"> seed oil is dominated by lauric and myristic acids, which together constitute over 86% of the total fatty acid content</w:t>
      </w:r>
      <w:r w:rsidRPr="00161129">
        <w:rPr>
          <w:rFonts w:ascii="Arial" w:hAnsi="Arial" w:cs="Arial"/>
          <w:sz w:val="20"/>
          <w:szCs w:val="20"/>
        </w:rPr>
        <w:t xml:space="preserve">. </w:t>
      </w:r>
      <w:r w:rsidRPr="00161129">
        <w:rPr>
          <w:rStyle w:val="citation-38"/>
          <w:rFonts w:ascii="Arial" w:hAnsi="Arial" w:cs="Arial"/>
          <w:sz w:val="20"/>
          <w:szCs w:val="20"/>
        </w:rPr>
        <w:t>The presence of other SFAs, such as palmitic and stearic acid, is minor in comparison</w:t>
      </w:r>
      <w:r w:rsidRPr="00161129">
        <w:rPr>
          <w:rFonts w:ascii="Arial" w:hAnsi="Arial" w:cs="Arial"/>
          <w:sz w:val="20"/>
          <w:szCs w:val="20"/>
        </w:rPr>
        <w:t xml:space="preserve">. </w:t>
      </w:r>
      <w:r w:rsidRPr="00161129">
        <w:rPr>
          <w:rStyle w:val="citation-37"/>
          <w:rFonts w:ascii="Arial" w:hAnsi="Arial" w:cs="Arial"/>
          <w:sz w:val="20"/>
          <w:szCs w:val="20"/>
        </w:rPr>
        <w:t>Unsaturated fatty acids, including oleic and linoleic acid, collectively represent only about 6% of the total profile, which is exceptionally low for a plant-derived oil</w:t>
      </w:r>
      <w:r w:rsidRPr="00161129">
        <w:rPr>
          <w:rFonts w:ascii="Arial" w:hAnsi="Arial" w:cs="Arial"/>
          <w:sz w:val="20"/>
          <w:szCs w:val="20"/>
        </w:rPr>
        <w:t>.</w:t>
      </w:r>
    </w:p>
    <w:p w14:paraId="100208B8" w14:textId="77777777" w:rsidR="00161129" w:rsidRPr="00F35AE7" w:rsidRDefault="00161129" w:rsidP="007648F2">
      <w:pPr>
        <w:pStyle w:val="Heading3"/>
        <w:rPr>
          <w:rFonts w:ascii="Arial" w:hAnsi="Arial" w:cs="Arial"/>
          <w:b/>
          <w:color w:val="auto"/>
          <w:sz w:val="22"/>
          <w:szCs w:val="20"/>
        </w:rPr>
      </w:pPr>
      <w:r w:rsidRPr="00F35AE7">
        <w:rPr>
          <w:rFonts w:ascii="Arial" w:hAnsi="Arial" w:cs="Arial"/>
          <w:b/>
          <w:color w:val="auto"/>
          <w:sz w:val="22"/>
          <w:szCs w:val="20"/>
        </w:rPr>
        <w:t>3.</w:t>
      </w:r>
      <w:r w:rsidR="00F35AE7" w:rsidRPr="00F35AE7">
        <w:rPr>
          <w:rFonts w:ascii="Arial" w:hAnsi="Arial" w:cs="Arial"/>
          <w:b/>
          <w:color w:val="auto"/>
          <w:sz w:val="22"/>
          <w:szCs w:val="20"/>
        </w:rPr>
        <w:t>1.</w:t>
      </w:r>
      <w:proofErr w:type="gramStart"/>
      <w:r w:rsidRPr="00F35AE7">
        <w:rPr>
          <w:rFonts w:ascii="Arial" w:hAnsi="Arial" w:cs="Arial"/>
          <w:b/>
          <w:color w:val="auto"/>
          <w:sz w:val="22"/>
          <w:szCs w:val="20"/>
        </w:rPr>
        <w:t>2.Effects</w:t>
      </w:r>
      <w:proofErr w:type="gramEnd"/>
      <w:r w:rsidRPr="00F35AE7">
        <w:rPr>
          <w:rFonts w:ascii="Arial" w:hAnsi="Arial" w:cs="Arial"/>
          <w:b/>
          <w:color w:val="auto"/>
          <w:sz w:val="22"/>
          <w:szCs w:val="20"/>
        </w:rPr>
        <w:t xml:space="preserve"> of oil supplementation on serum lipid profile</w:t>
      </w:r>
    </w:p>
    <w:p w14:paraId="3915245B" w14:textId="77777777" w:rsidR="00161129" w:rsidRDefault="00161129" w:rsidP="007648F2">
      <w:pPr>
        <w:pStyle w:val="NormalWeb"/>
        <w:rPr>
          <w:rFonts w:ascii="Arial" w:hAnsi="Arial" w:cs="Arial"/>
          <w:sz w:val="20"/>
          <w:szCs w:val="20"/>
        </w:rPr>
      </w:pPr>
      <w:r w:rsidRPr="00161129">
        <w:rPr>
          <w:rStyle w:val="citation-36"/>
          <w:rFonts w:ascii="Arial" w:hAnsi="Arial" w:cs="Arial"/>
          <w:sz w:val="20"/>
          <w:szCs w:val="20"/>
        </w:rPr>
        <w:t xml:space="preserve">The 28-day oral administration of </w:t>
      </w:r>
      <w:r w:rsidRPr="00161129">
        <w:rPr>
          <w:rStyle w:val="citation-36"/>
          <w:rFonts w:ascii="Arial" w:hAnsi="Arial" w:cs="Arial"/>
          <w:i/>
          <w:iCs/>
          <w:sz w:val="20"/>
          <w:szCs w:val="20"/>
        </w:rPr>
        <w:t>A. paniculata</w:t>
      </w:r>
      <w:r w:rsidRPr="00161129">
        <w:rPr>
          <w:rStyle w:val="citation-36"/>
          <w:rFonts w:ascii="Arial" w:hAnsi="Arial" w:cs="Arial"/>
          <w:sz w:val="20"/>
          <w:szCs w:val="20"/>
        </w:rPr>
        <w:t xml:space="preserve"> oil and groundnut oil induced significant alterations in the serum lipid profiles of Wistar rats compared to the control group that received distilled water</w:t>
      </w:r>
      <w:r w:rsidRPr="00161129">
        <w:rPr>
          <w:rFonts w:ascii="Arial" w:hAnsi="Arial" w:cs="Arial"/>
          <w:sz w:val="20"/>
          <w:szCs w:val="20"/>
        </w:rPr>
        <w:t xml:space="preserve">. </w:t>
      </w:r>
      <w:r w:rsidRPr="00161129">
        <w:rPr>
          <w:rStyle w:val="citation-35"/>
          <w:rFonts w:ascii="Arial" w:hAnsi="Arial" w:cs="Arial"/>
          <w:sz w:val="20"/>
          <w:szCs w:val="20"/>
        </w:rPr>
        <w:t xml:space="preserve">Overall, supplementation with </w:t>
      </w:r>
      <w:r w:rsidRPr="00161129">
        <w:rPr>
          <w:rStyle w:val="citation-35"/>
          <w:rFonts w:ascii="Arial" w:hAnsi="Arial" w:cs="Arial"/>
          <w:i/>
          <w:iCs/>
          <w:sz w:val="20"/>
          <w:szCs w:val="20"/>
        </w:rPr>
        <w:t>A. paniculata</w:t>
      </w:r>
      <w:r w:rsidRPr="00161129">
        <w:rPr>
          <w:rStyle w:val="citation-35"/>
          <w:rFonts w:ascii="Arial" w:hAnsi="Arial" w:cs="Arial"/>
          <w:sz w:val="20"/>
          <w:szCs w:val="20"/>
        </w:rPr>
        <w:t xml:space="preserve"> oil resulted in a pronounced </w:t>
      </w:r>
      <w:r w:rsidRPr="00161129">
        <w:rPr>
          <w:rStyle w:val="citation-35"/>
          <w:rFonts w:ascii="Arial" w:hAnsi="Arial" w:cs="Arial"/>
          <w:bCs/>
          <w:sz w:val="20"/>
          <w:szCs w:val="20"/>
        </w:rPr>
        <w:t>hyperlipidemic effect</w:t>
      </w:r>
      <w:r w:rsidRPr="00161129">
        <w:rPr>
          <w:rFonts w:ascii="Arial" w:hAnsi="Arial" w:cs="Arial"/>
          <w:sz w:val="20"/>
          <w:szCs w:val="20"/>
        </w:rPr>
        <w:t>. The effects of the different oil treatments on serum total cholesterol (TC), triglycerides (TG), high-density lipoprotein cholesterol (HDL-C), and low-density lipoprotein cholesterol (LDL-C) are summarized in Table 3.</w:t>
      </w:r>
    </w:p>
    <w:p w14:paraId="7B2082A8" w14:textId="77777777" w:rsidR="00CB1249" w:rsidRDefault="00CB1249" w:rsidP="007648F2">
      <w:pPr>
        <w:pStyle w:val="NormalWeb"/>
        <w:rPr>
          <w:rFonts w:ascii="Arial" w:hAnsi="Arial" w:cs="Arial"/>
          <w:sz w:val="20"/>
          <w:szCs w:val="20"/>
        </w:rPr>
      </w:pPr>
    </w:p>
    <w:p w14:paraId="294171CD" w14:textId="77777777" w:rsidR="00CB1249" w:rsidRDefault="00CB1249" w:rsidP="007648F2">
      <w:pPr>
        <w:pStyle w:val="NormalWeb"/>
        <w:rPr>
          <w:rFonts w:ascii="Arial" w:hAnsi="Arial" w:cs="Arial"/>
          <w:sz w:val="20"/>
          <w:szCs w:val="20"/>
        </w:rPr>
      </w:pPr>
    </w:p>
    <w:p w14:paraId="4EB7883C" w14:textId="77777777" w:rsidR="00CB1249" w:rsidRDefault="00CB1249" w:rsidP="007648F2">
      <w:pPr>
        <w:pStyle w:val="NormalWeb"/>
        <w:rPr>
          <w:rFonts w:ascii="Arial" w:hAnsi="Arial" w:cs="Arial"/>
          <w:sz w:val="20"/>
          <w:szCs w:val="20"/>
        </w:rPr>
      </w:pPr>
    </w:p>
    <w:p w14:paraId="71F23990" w14:textId="77777777" w:rsidR="00CB1249" w:rsidRDefault="00CB1249" w:rsidP="007648F2">
      <w:pPr>
        <w:pStyle w:val="NormalWeb"/>
        <w:rPr>
          <w:rFonts w:ascii="Arial" w:hAnsi="Arial" w:cs="Arial"/>
          <w:sz w:val="20"/>
          <w:szCs w:val="20"/>
        </w:rPr>
      </w:pPr>
    </w:p>
    <w:p w14:paraId="74974C5C" w14:textId="77777777" w:rsidR="00CB1249" w:rsidRPr="00161129" w:rsidRDefault="00CB1249" w:rsidP="007648F2">
      <w:pPr>
        <w:pStyle w:val="NormalWeb"/>
        <w:rPr>
          <w:rFonts w:ascii="Arial" w:hAnsi="Arial" w:cs="Arial"/>
          <w:sz w:val="20"/>
          <w:szCs w:val="20"/>
        </w:rPr>
      </w:pPr>
    </w:p>
    <w:p w14:paraId="6B5959C8" w14:textId="77777777" w:rsidR="00161129" w:rsidRPr="00161129" w:rsidRDefault="00161129" w:rsidP="007648F2">
      <w:pPr>
        <w:spacing w:beforeAutospacing="1" w:after="100" w:afterAutospacing="1"/>
        <w:rPr>
          <w:rFonts w:ascii="Arial" w:hAnsi="Arial" w:cs="Arial"/>
          <w:lang w:eastAsia="fr-FR"/>
        </w:rPr>
      </w:pPr>
      <w:r w:rsidRPr="00161129">
        <w:rPr>
          <w:rFonts w:ascii="Arial" w:hAnsi="Arial" w:cs="Arial"/>
          <w:b/>
          <w:bCs/>
          <w:lang w:eastAsia="fr-FR"/>
        </w:rPr>
        <w:t>Table 3:</w:t>
      </w:r>
      <w:r w:rsidRPr="00161129">
        <w:rPr>
          <w:rFonts w:ascii="Arial" w:hAnsi="Arial" w:cs="Arial"/>
          <w:lang w:eastAsia="fr-FR"/>
        </w:rPr>
        <w:t xml:space="preserve"> Effects of </w:t>
      </w:r>
      <w:r w:rsidRPr="00161129">
        <w:rPr>
          <w:rFonts w:ascii="Arial" w:hAnsi="Arial" w:cs="Arial"/>
          <w:i/>
          <w:iCs/>
          <w:lang w:eastAsia="fr-FR"/>
        </w:rPr>
        <w:t>A. paniculata</w:t>
      </w:r>
      <w:r w:rsidRPr="00161129">
        <w:rPr>
          <w:rFonts w:ascii="Arial" w:hAnsi="Arial" w:cs="Arial"/>
          <w:lang w:eastAsia="fr-FR"/>
        </w:rPr>
        <w:t xml:space="preserve"> and Groundnut Oil Supplementation on Serum Lipid Parameters in Wistar Rats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2473"/>
        <w:gridCol w:w="1572"/>
        <w:gridCol w:w="1539"/>
        <w:gridCol w:w="2095"/>
      </w:tblGrid>
      <w:tr w:rsidR="00161129" w:rsidRPr="00161129" w14:paraId="71EAEF09" w14:textId="77777777" w:rsidTr="00E153C0">
        <w:tc>
          <w:tcPr>
            <w:tcW w:w="0" w:type="auto"/>
            <w:tcBorders>
              <w:top w:val="single" w:sz="4" w:space="0" w:color="auto"/>
              <w:bottom w:val="single" w:sz="4" w:space="0" w:color="auto"/>
            </w:tcBorders>
            <w:hideMark/>
          </w:tcPr>
          <w:p w14:paraId="5DD6514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Treatment Group (n=6)</w:t>
            </w:r>
          </w:p>
        </w:tc>
        <w:tc>
          <w:tcPr>
            <w:tcW w:w="0" w:type="auto"/>
            <w:tcBorders>
              <w:top w:val="single" w:sz="4" w:space="0" w:color="auto"/>
              <w:bottom w:val="single" w:sz="4" w:space="0" w:color="auto"/>
            </w:tcBorders>
            <w:hideMark/>
          </w:tcPr>
          <w:p w14:paraId="01F9FCB9"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Total Cholesterol (mg/dL)</w:t>
            </w:r>
          </w:p>
        </w:tc>
        <w:tc>
          <w:tcPr>
            <w:tcW w:w="0" w:type="auto"/>
            <w:tcBorders>
              <w:top w:val="single" w:sz="4" w:space="0" w:color="auto"/>
              <w:bottom w:val="single" w:sz="4" w:space="0" w:color="auto"/>
            </w:tcBorders>
            <w:hideMark/>
          </w:tcPr>
          <w:p w14:paraId="6E610172"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HDL-C (mg/dL)</w:t>
            </w:r>
          </w:p>
        </w:tc>
        <w:tc>
          <w:tcPr>
            <w:tcW w:w="0" w:type="auto"/>
            <w:tcBorders>
              <w:top w:val="single" w:sz="4" w:space="0" w:color="auto"/>
              <w:bottom w:val="single" w:sz="4" w:space="0" w:color="auto"/>
            </w:tcBorders>
            <w:hideMark/>
          </w:tcPr>
          <w:p w14:paraId="1A81741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LDL-C (mg/dL)</w:t>
            </w:r>
          </w:p>
        </w:tc>
        <w:tc>
          <w:tcPr>
            <w:tcW w:w="0" w:type="auto"/>
            <w:tcBorders>
              <w:top w:val="single" w:sz="4" w:space="0" w:color="auto"/>
              <w:bottom w:val="single" w:sz="4" w:space="0" w:color="auto"/>
            </w:tcBorders>
            <w:hideMark/>
          </w:tcPr>
          <w:p w14:paraId="73507D7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Triglycerides (mg/dL)</w:t>
            </w:r>
          </w:p>
        </w:tc>
      </w:tr>
      <w:tr w:rsidR="00161129" w:rsidRPr="00161129" w14:paraId="3EC65483" w14:textId="77777777" w:rsidTr="00E153C0">
        <w:tc>
          <w:tcPr>
            <w:tcW w:w="0" w:type="auto"/>
            <w:tcBorders>
              <w:top w:val="single" w:sz="4" w:space="0" w:color="auto"/>
            </w:tcBorders>
            <w:hideMark/>
          </w:tcPr>
          <w:p w14:paraId="5CE1292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I: Control (Water)</w:t>
            </w:r>
          </w:p>
        </w:tc>
        <w:tc>
          <w:tcPr>
            <w:tcW w:w="0" w:type="auto"/>
            <w:tcBorders>
              <w:top w:val="single" w:sz="4" w:space="0" w:color="auto"/>
            </w:tcBorders>
            <w:hideMark/>
          </w:tcPr>
          <w:p w14:paraId="44F5756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83 ± 28</w:t>
            </w:r>
          </w:p>
        </w:tc>
        <w:tc>
          <w:tcPr>
            <w:tcW w:w="0" w:type="auto"/>
            <w:tcBorders>
              <w:top w:val="single" w:sz="4" w:space="0" w:color="auto"/>
            </w:tcBorders>
            <w:hideMark/>
          </w:tcPr>
          <w:p w14:paraId="17A57990"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40 ± 19</w:t>
            </w:r>
          </w:p>
        </w:tc>
        <w:tc>
          <w:tcPr>
            <w:tcW w:w="0" w:type="auto"/>
            <w:tcBorders>
              <w:top w:val="single" w:sz="4" w:space="0" w:color="auto"/>
            </w:tcBorders>
            <w:hideMark/>
          </w:tcPr>
          <w:p w14:paraId="423542E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31 ± 19</w:t>
            </w:r>
          </w:p>
        </w:tc>
        <w:tc>
          <w:tcPr>
            <w:tcW w:w="0" w:type="auto"/>
            <w:tcBorders>
              <w:top w:val="single" w:sz="4" w:space="0" w:color="auto"/>
            </w:tcBorders>
            <w:hideMark/>
          </w:tcPr>
          <w:p w14:paraId="10559874"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66 ± 22</w:t>
            </w:r>
          </w:p>
        </w:tc>
      </w:tr>
      <w:tr w:rsidR="00161129" w:rsidRPr="00161129" w14:paraId="62CC0AE2" w14:textId="77777777" w:rsidTr="00E153C0">
        <w:tc>
          <w:tcPr>
            <w:tcW w:w="0" w:type="auto"/>
            <w:hideMark/>
          </w:tcPr>
          <w:p w14:paraId="59A4EC2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II: Groundnut 2.5 µL/g</w:t>
            </w:r>
          </w:p>
        </w:tc>
        <w:tc>
          <w:tcPr>
            <w:tcW w:w="0" w:type="auto"/>
            <w:hideMark/>
          </w:tcPr>
          <w:p w14:paraId="270531D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102 ± 39</w:t>
            </w:r>
          </w:p>
        </w:tc>
        <w:tc>
          <w:tcPr>
            <w:tcW w:w="0" w:type="auto"/>
            <w:hideMark/>
          </w:tcPr>
          <w:p w14:paraId="0D570258"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36 ± 15</w:t>
            </w:r>
          </w:p>
        </w:tc>
        <w:tc>
          <w:tcPr>
            <w:tcW w:w="0" w:type="auto"/>
            <w:hideMark/>
          </w:tcPr>
          <w:p w14:paraId="5E01A4A3"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49 ± 35</w:t>
            </w:r>
          </w:p>
        </w:tc>
        <w:tc>
          <w:tcPr>
            <w:tcW w:w="0" w:type="auto"/>
            <w:hideMark/>
          </w:tcPr>
          <w:p w14:paraId="0015E3AD"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89 ± 28**</w:t>
            </w:r>
          </w:p>
        </w:tc>
      </w:tr>
      <w:tr w:rsidR="00161129" w:rsidRPr="00161129" w14:paraId="4DB842DE" w14:textId="77777777" w:rsidTr="00E153C0">
        <w:tc>
          <w:tcPr>
            <w:tcW w:w="0" w:type="auto"/>
            <w:hideMark/>
          </w:tcPr>
          <w:p w14:paraId="48CA724B"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III: Groundnut 5.0 µL/g</w:t>
            </w:r>
          </w:p>
        </w:tc>
        <w:tc>
          <w:tcPr>
            <w:tcW w:w="0" w:type="auto"/>
            <w:hideMark/>
          </w:tcPr>
          <w:p w14:paraId="198F87D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108 ± 38</w:t>
            </w:r>
          </w:p>
        </w:tc>
        <w:tc>
          <w:tcPr>
            <w:tcW w:w="0" w:type="auto"/>
            <w:hideMark/>
          </w:tcPr>
          <w:p w14:paraId="325AAF07"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35 ± 14</w:t>
            </w:r>
          </w:p>
        </w:tc>
        <w:tc>
          <w:tcPr>
            <w:tcW w:w="0" w:type="auto"/>
            <w:hideMark/>
          </w:tcPr>
          <w:p w14:paraId="5BF95F4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50 ± 37</w:t>
            </w:r>
          </w:p>
        </w:tc>
        <w:tc>
          <w:tcPr>
            <w:tcW w:w="0" w:type="auto"/>
            <w:hideMark/>
          </w:tcPr>
          <w:p w14:paraId="08CA2348"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116 ± 36**</w:t>
            </w:r>
          </w:p>
        </w:tc>
      </w:tr>
      <w:tr w:rsidR="00161129" w:rsidRPr="00161129" w14:paraId="3724696A" w14:textId="77777777" w:rsidTr="00E153C0">
        <w:tc>
          <w:tcPr>
            <w:tcW w:w="0" w:type="auto"/>
            <w:hideMark/>
          </w:tcPr>
          <w:p w14:paraId="30EA23F4"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lastRenderedPageBreak/>
              <w:t>IV: Groundnut 7.5 µL/g</w:t>
            </w:r>
          </w:p>
        </w:tc>
        <w:tc>
          <w:tcPr>
            <w:tcW w:w="0" w:type="auto"/>
            <w:hideMark/>
          </w:tcPr>
          <w:p w14:paraId="2172114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126 ± 39*</w:t>
            </w:r>
          </w:p>
        </w:tc>
        <w:tc>
          <w:tcPr>
            <w:tcW w:w="0" w:type="auto"/>
            <w:hideMark/>
          </w:tcPr>
          <w:p w14:paraId="300E594B"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36 ± 14</w:t>
            </w:r>
          </w:p>
        </w:tc>
        <w:tc>
          <w:tcPr>
            <w:tcW w:w="0" w:type="auto"/>
            <w:hideMark/>
          </w:tcPr>
          <w:p w14:paraId="31844D11"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66 ± 36</w:t>
            </w:r>
          </w:p>
        </w:tc>
        <w:tc>
          <w:tcPr>
            <w:tcW w:w="0" w:type="auto"/>
            <w:hideMark/>
          </w:tcPr>
          <w:p w14:paraId="3B8D4F3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120 ± 37**</w:t>
            </w:r>
          </w:p>
        </w:tc>
      </w:tr>
      <w:tr w:rsidR="00161129" w:rsidRPr="00161129" w14:paraId="24F28DD5" w14:textId="77777777" w:rsidTr="00E153C0">
        <w:tc>
          <w:tcPr>
            <w:tcW w:w="0" w:type="auto"/>
            <w:hideMark/>
          </w:tcPr>
          <w:p w14:paraId="0AECD417"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 xml:space="preserve">V: </w:t>
            </w:r>
            <w:r w:rsidRPr="00161129">
              <w:rPr>
                <w:rFonts w:ascii="Arial" w:eastAsia="Times New Roman" w:hAnsi="Arial" w:cs="Arial"/>
                <w:i/>
                <w:iCs/>
                <w:sz w:val="20"/>
                <w:szCs w:val="20"/>
                <w:lang w:eastAsia="fr-FR"/>
              </w:rPr>
              <w:t>A. paniculata</w:t>
            </w:r>
            <w:r w:rsidRPr="00161129">
              <w:rPr>
                <w:rFonts w:ascii="Arial" w:eastAsia="Times New Roman" w:hAnsi="Arial" w:cs="Arial"/>
                <w:sz w:val="20"/>
                <w:szCs w:val="20"/>
                <w:lang w:eastAsia="fr-FR"/>
              </w:rPr>
              <w:t xml:space="preserve"> 2.5 µL/g</w:t>
            </w:r>
          </w:p>
        </w:tc>
        <w:tc>
          <w:tcPr>
            <w:tcW w:w="0" w:type="auto"/>
            <w:hideMark/>
          </w:tcPr>
          <w:p w14:paraId="3A911BE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98 ± 40</w:t>
            </w:r>
          </w:p>
        </w:tc>
        <w:tc>
          <w:tcPr>
            <w:tcW w:w="0" w:type="auto"/>
            <w:hideMark/>
          </w:tcPr>
          <w:p w14:paraId="6BE7FA1A"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56 ± 20</w:t>
            </w:r>
          </w:p>
        </w:tc>
        <w:tc>
          <w:tcPr>
            <w:tcW w:w="0" w:type="auto"/>
            <w:hideMark/>
          </w:tcPr>
          <w:p w14:paraId="3D72B673"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30 ± 21</w:t>
            </w:r>
          </w:p>
        </w:tc>
        <w:tc>
          <w:tcPr>
            <w:tcW w:w="0" w:type="auto"/>
            <w:hideMark/>
          </w:tcPr>
          <w:p w14:paraId="74CE2F1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96 ± 40**</w:t>
            </w:r>
          </w:p>
        </w:tc>
      </w:tr>
      <w:tr w:rsidR="00161129" w:rsidRPr="00161129" w14:paraId="26E829CC" w14:textId="77777777" w:rsidTr="00E153C0">
        <w:tc>
          <w:tcPr>
            <w:tcW w:w="0" w:type="auto"/>
            <w:hideMark/>
          </w:tcPr>
          <w:p w14:paraId="0837E8A4"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 xml:space="preserve">VI: </w:t>
            </w:r>
            <w:r w:rsidRPr="00161129">
              <w:rPr>
                <w:rFonts w:ascii="Arial" w:eastAsia="Times New Roman" w:hAnsi="Arial" w:cs="Arial"/>
                <w:i/>
                <w:iCs/>
                <w:sz w:val="20"/>
                <w:szCs w:val="20"/>
                <w:lang w:eastAsia="fr-FR"/>
              </w:rPr>
              <w:t>A. paniculata</w:t>
            </w:r>
            <w:r w:rsidRPr="00161129">
              <w:rPr>
                <w:rFonts w:ascii="Arial" w:eastAsia="Times New Roman" w:hAnsi="Arial" w:cs="Arial"/>
                <w:sz w:val="20"/>
                <w:szCs w:val="20"/>
                <w:lang w:eastAsia="fr-FR"/>
              </w:rPr>
              <w:t xml:space="preserve"> 5.0 µL/g</w:t>
            </w:r>
          </w:p>
        </w:tc>
        <w:tc>
          <w:tcPr>
            <w:tcW w:w="0" w:type="auto"/>
            <w:hideMark/>
          </w:tcPr>
          <w:p w14:paraId="63E4A142"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103 ± 30</w:t>
            </w:r>
          </w:p>
        </w:tc>
        <w:tc>
          <w:tcPr>
            <w:tcW w:w="0" w:type="auto"/>
            <w:hideMark/>
          </w:tcPr>
          <w:p w14:paraId="550B5E5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32 ± 16</w:t>
            </w:r>
          </w:p>
        </w:tc>
        <w:tc>
          <w:tcPr>
            <w:tcW w:w="0" w:type="auto"/>
            <w:hideMark/>
          </w:tcPr>
          <w:p w14:paraId="302EB84C"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50 ± 32</w:t>
            </w:r>
          </w:p>
        </w:tc>
        <w:tc>
          <w:tcPr>
            <w:tcW w:w="0" w:type="auto"/>
            <w:hideMark/>
          </w:tcPr>
          <w:p w14:paraId="0B611826"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108 ± 34**</w:t>
            </w:r>
          </w:p>
        </w:tc>
      </w:tr>
      <w:tr w:rsidR="00161129" w:rsidRPr="00161129" w14:paraId="5F8027F6" w14:textId="77777777" w:rsidTr="00E153C0">
        <w:tc>
          <w:tcPr>
            <w:tcW w:w="0" w:type="auto"/>
            <w:hideMark/>
          </w:tcPr>
          <w:p w14:paraId="33982F3B"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 xml:space="preserve">VII: </w:t>
            </w:r>
            <w:r w:rsidRPr="00161129">
              <w:rPr>
                <w:rFonts w:ascii="Arial" w:eastAsia="Times New Roman" w:hAnsi="Arial" w:cs="Arial"/>
                <w:i/>
                <w:iCs/>
                <w:sz w:val="20"/>
                <w:szCs w:val="20"/>
                <w:lang w:eastAsia="fr-FR"/>
              </w:rPr>
              <w:t>A. paniculata</w:t>
            </w:r>
            <w:r w:rsidRPr="00161129">
              <w:rPr>
                <w:rFonts w:ascii="Arial" w:eastAsia="Times New Roman" w:hAnsi="Arial" w:cs="Arial"/>
                <w:sz w:val="20"/>
                <w:szCs w:val="20"/>
                <w:lang w:eastAsia="fr-FR"/>
              </w:rPr>
              <w:t xml:space="preserve"> 7.5 µL/g</w:t>
            </w:r>
          </w:p>
        </w:tc>
        <w:tc>
          <w:tcPr>
            <w:tcW w:w="0" w:type="auto"/>
            <w:hideMark/>
          </w:tcPr>
          <w:p w14:paraId="7058C625"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116 ± 35*</w:t>
            </w:r>
          </w:p>
        </w:tc>
        <w:tc>
          <w:tcPr>
            <w:tcW w:w="0" w:type="auto"/>
            <w:hideMark/>
          </w:tcPr>
          <w:p w14:paraId="18B65FDF"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39 ± 16</w:t>
            </w:r>
          </w:p>
        </w:tc>
        <w:tc>
          <w:tcPr>
            <w:tcW w:w="0" w:type="auto"/>
            <w:hideMark/>
          </w:tcPr>
          <w:p w14:paraId="2788AD2E"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44 ± 21</w:t>
            </w:r>
          </w:p>
        </w:tc>
        <w:tc>
          <w:tcPr>
            <w:tcW w:w="0" w:type="auto"/>
            <w:hideMark/>
          </w:tcPr>
          <w:p w14:paraId="416875E8" w14:textId="77777777" w:rsidR="00161129" w:rsidRPr="00161129" w:rsidRDefault="00161129" w:rsidP="007648F2">
            <w:pPr>
              <w:rPr>
                <w:rFonts w:ascii="Arial" w:eastAsia="Times New Roman" w:hAnsi="Arial" w:cs="Arial"/>
                <w:sz w:val="20"/>
                <w:szCs w:val="20"/>
                <w:lang w:eastAsia="fr-FR"/>
              </w:rPr>
            </w:pPr>
            <w:r w:rsidRPr="00161129">
              <w:rPr>
                <w:rFonts w:ascii="Arial" w:eastAsia="Times New Roman" w:hAnsi="Arial" w:cs="Arial"/>
                <w:sz w:val="20"/>
                <w:szCs w:val="20"/>
                <w:lang w:eastAsia="fr-FR"/>
              </w:rPr>
              <w:t>116 ± 35**</w:t>
            </w:r>
          </w:p>
        </w:tc>
      </w:tr>
    </w:tbl>
    <w:p w14:paraId="5289EAAC" w14:textId="77777777" w:rsidR="00161129" w:rsidRPr="00161129" w:rsidRDefault="00161129" w:rsidP="007648F2">
      <w:pPr>
        <w:spacing w:before="100" w:beforeAutospacing="1" w:after="100" w:afterAutospacing="1"/>
        <w:rPr>
          <w:rFonts w:ascii="Arial" w:hAnsi="Arial" w:cs="Arial"/>
          <w:lang w:eastAsia="fr-FR"/>
        </w:rPr>
      </w:pPr>
      <w:r w:rsidRPr="00161129">
        <w:rPr>
          <w:rFonts w:ascii="Arial" w:hAnsi="Arial" w:cs="Arial"/>
          <w:lang w:eastAsia="fr-FR"/>
        </w:rPr>
        <w:t>*Data are expressed as mean ± SEM (n=6). Statistical significance compared to the Control group (Group I) was determined by one-way ANOVA followed by Dunnett's post-hoc test. LDL-C was calculated using the Friedewald formula. *p &lt; 0.05, *</w:t>
      </w:r>
      <w:r w:rsidRPr="00161129">
        <w:rPr>
          <w:rFonts w:ascii="Arial" w:hAnsi="Arial" w:cs="Arial"/>
          <w:i/>
          <w:iCs/>
          <w:lang w:eastAsia="fr-FR"/>
        </w:rPr>
        <w:t>p &lt; 0.01.</w:t>
      </w:r>
    </w:p>
    <w:p w14:paraId="0FFCAE51" w14:textId="77777777" w:rsidR="00161129" w:rsidRPr="00161129" w:rsidRDefault="00161129" w:rsidP="007648F2">
      <w:pPr>
        <w:pStyle w:val="NormalWeb"/>
        <w:rPr>
          <w:rFonts w:ascii="Arial" w:hAnsi="Arial" w:cs="Arial"/>
          <w:sz w:val="20"/>
          <w:szCs w:val="20"/>
        </w:rPr>
      </w:pPr>
      <w:r w:rsidRPr="00161129">
        <w:rPr>
          <w:rFonts w:ascii="Arial" w:hAnsi="Arial" w:cs="Arial"/>
          <w:sz w:val="20"/>
          <w:szCs w:val="20"/>
        </w:rPr>
        <w:t xml:space="preserve">A detailed analysis of the serum biochemical data reveals several key findings. A significant, dose-dependent elevation in serum triglyceride concentrations was observed in all groups treated with </w:t>
      </w:r>
      <w:r w:rsidRPr="00161129">
        <w:rPr>
          <w:rFonts w:ascii="Arial" w:hAnsi="Arial" w:cs="Arial"/>
          <w:i/>
          <w:iCs/>
          <w:sz w:val="20"/>
          <w:szCs w:val="20"/>
        </w:rPr>
        <w:t>A. paniculata</w:t>
      </w:r>
      <w:r w:rsidRPr="00161129">
        <w:rPr>
          <w:rFonts w:ascii="Arial" w:hAnsi="Arial" w:cs="Arial"/>
          <w:sz w:val="20"/>
          <w:szCs w:val="20"/>
        </w:rPr>
        <w:t xml:space="preserve"> oil, with the effect being highly significant (</w:t>
      </w:r>
      <w:r w:rsidRPr="00161129">
        <w:rPr>
          <w:rFonts w:ascii="Arial" w:hAnsi="Arial" w:cs="Arial"/>
          <w:bCs/>
          <w:sz w:val="20"/>
          <w:szCs w:val="20"/>
        </w:rPr>
        <w:t>p&lt;0.01</w:t>
      </w:r>
      <w:r w:rsidRPr="00161129">
        <w:rPr>
          <w:rFonts w:ascii="Arial" w:hAnsi="Arial" w:cs="Arial"/>
          <w:sz w:val="20"/>
          <w:szCs w:val="20"/>
        </w:rPr>
        <w:t>) at all doses. At the highest dose of 7.5 µL/g, mean triglyceride levels reached 116 ± 35 mg/dL, a substantial increase from the 66 ± 22 mg/dL seen in the control group</w:t>
      </w:r>
    </w:p>
    <w:p w14:paraId="6BB80721" w14:textId="77777777" w:rsidR="00161129" w:rsidRDefault="00161129" w:rsidP="007648F2">
      <w:pPr>
        <w:pStyle w:val="NormalWeb"/>
        <w:rPr>
          <w:rFonts w:ascii="Arial" w:hAnsi="Arial" w:cs="Arial"/>
          <w:sz w:val="20"/>
          <w:szCs w:val="20"/>
        </w:rPr>
      </w:pPr>
      <w:r w:rsidRPr="00161129">
        <w:rPr>
          <w:rFonts w:ascii="Arial" w:hAnsi="Arial" w:cs="Arial"/>
          <w:sz w:val="20"/>
          <w:szCs w:val="20"/>
        </w:rPr>
        <w:t>Similarly, supplementation with A. paniculata oil led to a dose-dependent increase in total cholesterol, which reached statistical significance (p&lt;0.05) at the highest dose (116 ± 35 mg/dL compared to 83 ± 28 mg/dL in the control). At the highest dose of 7.5 µL/g, mean triglyceride levels reached 116 ± 35 mg/dL, a substantial increase from the 66 ± 22 mg/dL seen in the control group.</w:t>
      </w:r>
    </w:p>
    <w:p w14:paraId="0DF6758D" w14:textId="77777777" w:rsidR="00161129" w:rsidRPr="00F35AE7" w:rsidRDefault="00F35AE7" w:rsidP="007648F2">
      <w:pPr>
        <w:pStyle w:val="Heading3"/>
        <w:rPr>
          <w:rFonts w:ascii="Arial" w:hAnsi="Arial" w:cs="Arial"/>
          <w:b/>
          <w:color w:val="auto"/>
          <w:sz w:val="22"/>
        </w:rPr>
      </w:pPr>
      <w:r w:rsidRPr="00F35AE7">
        <w:rPr>
          <w:rStyle w:val="selected"/>
          <w:rFonts w:ascii="Arial" w:hAnsi="Arial" w:cs="Arial"/>
          <w:b/>
          <w:color w:val="auto"/>
          <w:sz w:val="22"/>
        </w:rPr>
        <w:t>3.2</w:t>
      </w:r>
      <w:r w:rsidR="00161129" w:rsidRPr="00F35AE7">
        <w:rPr>
          <w:rStyle w:val="selected"/>
          <w:rFonts w:ascii="Arial" w:hAnsi="Arial" w:cs="Arial"/>
          <w:b/>
          <w:color w:val="auto"/>
          <w:sz w:val="22"/>
        </w:rPr>
        <w:t>. DISCUSSION</w:t>
      </w:r>
    </w:p>
    <w:p w14:paraId="43085FBD" w14:textId="77777777" w:rsidR="00161129" w:rsidRPr="00161129" w:rsidRDefault="00161129" w:rsidP="007648F2">
      <w:pPr>
        <w:pStyle w:val="NormalWeb"/>
        <w:rPr>
          <w:rFonts w:ascii="Arial" w:hAnsi="Arial" w:cs="Arial"/>
          <w:sz w:val="20"/>
        </w:rPr>
      </w:pPr>
      <w:r w:rsidRPr="00161129">
        <w:rPr>
          <w:rStyle w:val="selected"/>
          <w:rFonts w:ascii="Arial" w:hAnsi="Arial" w:cs="Arial"/>
          <w:sz w:val="20"/>
        </w:rPr>
        <w:t xml:space="preserve">This study provides the first detailed biochemical characterization of seed oil from the Togolese plant </w:t>
      </w:r>
      <w:r w:rsidRPr="00161129">
        <w:rPr>
          <w:rStyle w:val="selected"/>
          <w:rFonts w:ascii="Arial" w:hAnsi="Arial" w:cs="Arial"/>
          <w:iCs/>
          <w:sz w:val="20"/>
        </w:rPr>
        <w:t>Afraegle paniculata</w:t>
      </w:r>
      <w:r w:rsidRPr="00161129">
        <w:rPr>
          <w:rStyle w:val="selected"/>
          <w:rFonts w:ascii="Arial" w:hAnsi="Arial" w:cs="Arial"/>
          <w:sz w:val="20"/>
        </w:rPr>
        <w:t xml:space="preserve"> and evaluates its metabolic impact within a controlled preclinical model. The results are unequivocal : the oil possesses an atypical lipid profile for a plant-derived substance, being overwhelmingly composed of saturated fatty acids (SFAs) at approximately 93.5%. This composition is dominated by the medium-chain lauric acid (C12 :0) and the long-chain myristic acid (C14 :0). This unique fatty acid signature offers a direct mechanistic rationale for the significant, dose-dependent hyperlipidemic effects observed in Wistar rats, particularly the marked elevation of serum triglycerides and total cholesterol.</w:t>
      </w:r>
    </w:p>
    <w:p w14:paraId="334DB45F" w14:textId="77777777" w:rsidR="00161129" w:rsidRPr="00161129" w:rsidRDefault="00161129" w:rsidP="007648F2">
      <w:pPr>
        <w:pStyle w:val="NormalWeb"/>
        <w:rPr>
          <w:rStyle w:val="selected"/>
          <w:rFonts w:ascii="Arial" w:hAnsi="Arial" w:cs="Arial"/>
          <w:sz w:val="20"/>
        </w:rPr>
      </w:pPr>
      <w:r w:rsidRPr="00161129">
        <w:rPr>
          <w:rStyle w:val="selected"/>
          <w:rFonts w:ascii="Arial" w:hAnsi="Arial" w:cs="Arial"/>
          <w:sz w:val="20"/>
        </w:rPr>
        <w:t xml:space="preserve">The biochemical impact of specific dietary SFAs on systemic lipid metabolism is well-established, and our findings align closely with known metabolic pathways. Myristic acid, which constituted over 25% of the oil’s profile, is widely recognized as one of the most potent hypercholesterolemic SFAs. Its primary mechanism involves the suppression of hepatic LDL receptor expression and activity, thereby impairing the clearance of LDL cholesterol from circulation [Hegsted et al., 1993 ; Khosla &amp; Sundram, 1996]. Lauric acid, the most abundant fatty acid in the oil (≈60%), also contributes to an increase in total cholesterol. While some meta-analyses suggest that its effect is partially mitigated by a concurrent rise in cardioprotective HDL cholesterol, leading to a potentially less atherogenic TC/HDL-C ratio, this HDL-raising effect was not observed in our 28-day study [Mensink et al., 2003 ; </w:t>
      </w:r>
      <w:r w:rsidRPr="00161129">
        <w:rPr>
          <w:rFonts w:ascii="Arial" w:hAnsi="Arial" w:cs="Arial"/>
          <w:sz w:val="20"/>
        </w:rPr>
        <w:t>Neelakantan</w:t>
      </w:r>
      <w:r w:rsidRPr="00161129">
        <w:rPr>
          <w:rStyle w:val="selected"/>
          <w:rFonts w:ascii="Arial" w:hAnsi="Arial" w:cs="Arial"/>
          <w:sz w:val="20"/>
        </w:rPr>
        <w:t xml:space="preserve"> et al., 2020]. The profound hypertriglyceridemic effect is also biochemically predictable. A high influx of SFAs to the liver promotes </w:t>
      </w:r>
      <w:r w:rsidRPr="00161129">
        <w:rPr>
          <w:rStyle w:val="selected"/>
          <w:rFonts w:ascii="Arial" w:hAnsi="Arial" w:cs="Arial"/>
          <w:iCs/>
          <w:sz w:val="20"/>
        </w:rPr>
        <w:t>de novo</w:t>
      </w:r>
      <w:r w:rsidRPr="00161129">
        <w:rPr>
          <w:rStyle w:val="selected"/>
          <w:rFonts w:ascii="Arial" w:hAnsi="Arial" w:cs="Arial"/>
          <w:sz w:val="20"/>
        </w:rPr>
        <w:t xml:space="preserve"> lipogenesis through the upregulation of key transcription factors like Sterol Regulatory Element-Binding Protein-1c (SREBP-1c), which in turn enhances the synthesis and secretion of triglyceride-rich very-low-density lipoproteins (VLDL) into the bloodstream [Parks &amp; Hellerstein, 2000 ; Lottenberg et al., 2012 ; </w:t>
      </w:r>
      <w:r w:rsidRPr="00161129">
        <w:rPr>
          <w:rFonts w:ascii="Arial" w:eastAsia="inter" w:hAnsi="Arial" w:cs="Arial"/>
          <w:color w:val="000000"/>
          <w:sz w:val="20"/>
        </w:rPr>
        <w:t xml:space="preserve">Ferré et al., 2021 ; </w:t>
      </w:r>
      <w:r w:rsidRPr="00161129">
        <w:rPr>
          <w:rStyle w:val="selected"/>
          <w:rFonts w:ascii="Arial" w:hAnsi="Arial" w:cs="Arial"/>
          <w:sz w:val="20"/>
        </w:rPr>
        <w:t xml:space="preserve">Cai et al., 2024]. Therefore, the fatty acid profile of </w:t>
      </w:r>
      <w:r w:rsidRPr="00161129">
        <w:rPr>
          <w:rStyle w:val="selected"/>
          <w:rFonts w:ascii="Arial" w:hAnsi="Arial" w:cs="Arial"/>
          <w:iCs/>
          <w:sz w:val="20"/>
        </w:rPr>
        <w:t>A. paniculata</w:t>
      </w:r>
      <w:r w:rsidRPr="00161129">
        <w:rPr>
          <w:rStyle w:val="selected"/>
          <w:rFonts w:ascii="Arial" w:hAnsi="Arial" w:cs="Arial"/>
          <w:sz w:val="20"/>
        </w:rPr>
        <w:t xml:space="preserve"> oil functionally aligns it with tropical oils such as coconut and palm kernel oil, which are also rich in lauric and myristic acids.</w:t>
      </w:r>
    </w:p>
    <w:p w14:paraId="470D6AC4" w14:textId="77777777" w:rsidR="00161129" w:rsidRPr="00161129" w:rsidRDefault="00161129" w:rsidP="007648F2">
      <w:pPr>
        <w:pStyle w:val="NormalWeb"/>
        <w:rPr>
          <w:rFonts w:ascii="Arial" w:hAnsi="Arial" w:cs="Arial"/>
          <w:sz w:val="20"/>
        </w:rPr>
      </w:pPr>
      <w:r w:rsidRPr="00161129">
        <w:rPr>
          <w:rStyle w:val="citation-16"/>
          <w:rFonts w:ascii="Arial" w:hAnsi="Arial" w:cs="Arial"/>
          <w:sz w:val="20"/>
        </w:rPr>
        <w:t>While some meta-analyses suggest that its effect is partially mitigated by a concurrent rise in cardioprotective HDL cholesterol... this HDL-raising effect was not observed in our 28-day study</w:t>
      </w:r>
      <w:r w:rsidRPr="00161129">
        <w:rPr>
          <w:rFonts w:ascii="Arial" w:hAnsi="Arial" w:cs="Arial"/>
          <w:sz w:val="20"/>
        </w:rPr>
        <w:t>. This could be attributable to several factors, including the sub-chronic duration of the study, which may not be sufficient to induce significant changes in HDL metabolism, or the potent hypercholesterolemic effect of myristic acid potentially masking the more subtle effects of lauric acid on HDL</w:t>
      </w:r>
    </w:p>
    <w:p w14:paraId="68C5BB44" w14:textId="77777777" w:rsidR="00161129" w:rsidRPr="00161129" w:rsidRDefault="00161129" w:rsidP="007648F2">
      <w:pPr>
        <w:pStyle w:val="NormalWeb"/>
        <w:rPr>
          <w:rFonts w:ascii="Arial" w:hAnsi="Arial" w:cs="Arial"/>
          <w:sz w:val="20"/>
        </w:rPr>
      </w:pPr>
      <w:r w:rsidRPr="00161129">
        <w:rPr>
          <w:rStyle w:val="selected"/>
          <w:rFonts w:ascii="Arial" w:hAnsi="Arial" w:cs="Arial"/>
          <w:sz w:val="20"/>
        </w:rPr>
        <w:t xml:space="preserve">These findings have profound public health implications, especially when framed within the specific socio-nutritional context of Togo and the broader West African region. Nations in this region are navigating a rapid "nutrition transition," characterized by a shift from traditional diets based on complex carbohydrates and fibre (e.g., yam, sorghum, legumes) towards diets high in processed foods, refined sugars, and saturated fats [Popkin et al., 2020 ; Amuna &amp; Zotor, 2008]. This dietary shift is a primary driver of the escalating prevalence of non-communicable diseases (NCDs), with dyslipidemia, hypertension, and type 2 diabetes becoming increasingly common in urban centers like Lomé [Sodjinou et al., 2008 ; </w:t>
      </w:r>
      <w:r w:rsidRPr="00161129">
        <w:rPr>
          <w:rFonts w:ascii="Arial" w:hAnsi="Arial" w:cs="Arial"/>
          <w:sz w:val="20"/>
        </w:rPr>
        <w:t>Bulto et al.</w:t>
      </w:r>
      <w:r w:rsidRPr="00161129">
        <w:rPr>
          <w:rStyle w:val="selected"/>
          <w:rFonts w:ascii="Arial" w:hAnsi="Arial" w:cs="Arial"/>
          <w:sz w:val="20"/>
        </w:rPr>
        <w:t xml:space="preserve">, 2024]. While </w:t>
      </w:r>
      <w:r w:rsidRPr="00161129">
        <w:rPr>
          <w:rStyle w:val="selected"/>
          <w:rFonts w:ascii="Arial" w:hAnsi="Arial" w:cs="Arial"/>
          <w:iCs/>
          <w:sz w:val="20"/>
        </w:rPr>
        <w:t>A. paniculata</w:t>
      </w:r>
      <w:r w:rsidRPr="00161129">
        <w:rPr>
          <w:rStyle w:val="selected"/>
          <w:rFonts w:ascii="Arial" w:hAnsi="Arial" w:cs="Arial"/>
          <w:sz w:val="20"/>
        </w:rPr>
        <w:t xml:space="preserve"> is an integral part of Togo's biodiversity and ethnopharmacopeia, its traditional use has likely been sporadic and in small quantities. Our data strongly suggest that promoting its oil for widespread, daily culinary consumption, analogous to groundnut or even the commonly used palm oil, could paradoxically </w:t>
      </w:r>
      <w:r w:rsidRPr="00161129">
        <w:rPr>
          <w:rStyle w:val="selected"/>
          <w:rFonts w:ascii="Arial" w:hAnsi="Arial" w:cs="Arial"/>
          <w:sz w:val="20"/>
        </w:rPr>
        <w:lastRenderedPageBreak/>
        <w:t>exacerbate the growing burden of cardiovascular disease. This underscores a critical principle for public health nutrition in Africa : "traditional" does not inherently equate to "optimal," particularly when indigenous food resources are extracted, refined, and integrated into modern dietary patterns at high volumes.</w:t>
      </w:r>
    </w:p>
    <w:p w14:paraId="04AE0649" w14:textId="77777777" w:rsidR="00161129" w:rsidRPr="00161129" w:rsidRDefault="00161129" w:rsidP="007648F2">
      <w:pPr>
        <w:pStyle w:val="NormalWeb"/>
        <w:rPr>
          <w:rFonts w:ascii="Arial" w:hAnsi="Arial" w:cs="Arial"/>
          <w:sz w:val="20"/>
        </w:rPr>
      </w:pPr>
      <w:r w:rsidRPr="00161129">
        <w:rPr>
          <w:rStyle w:val="selected"/>
          <w:rFonts w:ascii="Arial" w:hAnsi="Arial" w:cs="Arial"/>
          <w:sz w:val="20"/>
        </w:rPr>
        <w:t xml:space="preserve">It is imperative, however, to contextualize these results by acknowledging the limitations of this study. The investigation was conducted using a Wistar rat model. While this is a standard and valuable tool for metabolic research, rodents possess a lipid metabolism that differs from humans in key aspects, including a greater reliance on HDL as the primary cholesterol transporter and a higher resistance to diet-induced atherosclerosis [Dreon et al., 1999 ; </w:t>
      </w:r>
      <w:r w:rsidRPr="00161129">
        <w:rPr>
          <w:rFonts w:ascii="Arial" w:hAnsi="Arial" w:cs="Arial"/>
          <w:sz w:val="20"/>
        </w:rPr>
        <w:t>Börgeson</w:t>
      </w:r>
      <w:r w:rsidRPr="00161129">
        <w:rPr>
          <w:rStyle w:val="selected"/>
          <w:rFonts w:ascii="Arial" w:hAnsi="Arial" w:cs="Arial"/>
          <w:sz w:val="20"/>
        </w:rPr>
        <w:t xml:space="preserve"> et al., 2022]. Consequently, direct extrapolation of these quantitative findings to human populations must be approached with caution. Furthermore, the 28-day study duration represents sub-chronic exposure ; the metabolic sequelae of long-term, habitual consumption remain uninvestigated. Future research should pivot to address these gaps. Longer-term studies in animal models are warranted to assess potential hepatic steatosis and atherosclerotic plaque formation. Crucially, a detailed analysis of the oil's unsaponifiable fraction is required. This fraction may contain bioactive phytochemicals such as phytosterols, tocopherols, or other antioxidants that could potentially modulate the oil's net metabolic effect, as these compounds are known to possess lipid-lowering and anti-inflammatory properties [</w:t>
      </w:r>
      <w:r w:rsidRPr="00161129">
        <w:rPr>
          <w:rFonts w:ascii="Arial" w:eastAsia="inter" w:hAnsi="Arial" w:cs="Arial"/>
          <w:color w:val="000000"/>
          <w:sz w:val="20"/>
        </w:rPr>
        <w:t>Guiné</w:t>
      </w:r>
      <w:r w:rsidRPr="00161129">
        <w:rPr>
          <w:rStyle w:val="selected"/>
          <w:rFonts w:ascii="Arial" w:hAnsi="Arial" w:cs="Arial"/>
          <w:sz w:val="20"/>
        </w:rPr>
        <w:t xml:space="preserve"> et al., 2015]. Ultimately, should this oil be considered for wider dietary use, rigorously controlled human clinical trials are indispensable for definitively assessing its impact on human cardiovascular risk markers.</w:t>
      </w:r>
    </w:p>
    <w:p w14:paraId="2333C52F" w14:textId="77777777" w:rsidR="00790ADA" w:rsidRDefault="00161129" w:rsidP="007648F2">
      <w:pPr>
        <w:pStyle w:val="NormalWeb"/>
        <w:rPr>
          <w:rStyle w:val="selected"/>
          <w:rFonts w:ascii="Arial" w:hAnsi="Arial" w:cs="Arial"/>
          <w:sz w:val="20"/>
        </w:rPr>
      </w:pPr>
      <w:r w:rsidRPr="00161129">
        <w:rPr>
          <w:rStyle w:val="selected"/>
          <w:rFonts w:ascii="Arial" w:hAnsi="Arial" w:cs="Arial"/>
          <w:sz w:val="20"/>
        </w:rPr>
        <w:t xml:space="preserve">In conclusion, while the exploration of indigenous flora like </w:t>
      </w:r>
      <w:r w:rsidRPr="00161129">
        <w:rPr>
          <w:rStyle w:val="selected"/>
          <w:rFonts w:ascii="Arial" w:hAnsi="Arial" w:cs="Arial"/>
          <w:iCs/>
          <w:sz w:val="20"/>
        </w:rPr>
        <w:t>Afraegle paniculata</w:t>
      </w:r>
      <w:r w:rsidRPr="00161129">
        <w:rPr>
          <w:rStyle w:val="selected"/>
          <w:rFonts w:ascii="Arial" w:hAnsi="Arial" w:cs="Arial"/>
          <w:sz w:val="20"/>
        </w:rPr>
        <w:t xml:space="preserve"> is vital for food sovereignty and discovering novel nutritional sources in Togo, our findings serve as a critical scientific checkpoint. The seed oil possesses a potent, intrinsic hyperlipidemic capacity driven by its unusual saturation profile. This warrants considerable prudence from a public health perspective and cautions against its promotion as a staple dietary fat pending further, more comprehensive safety and efficacy evaluations in humans.</w:t>
      </w:r>
    </w:p>
    <w:p w14:paraId="14206B6D" w14:textId="77777777" w:rsidR="00F35AE7" w:rsidRPr="00F35AE7" w:rsidRDefault="00F35AE7" w:rsidP="007648F2">
      <w:pPr>
        <w:pStyle w:val="NormalWeb"/>
        <w:rPr>
          <w:rFonts w:ascii="Arial" w:hAnsi="Arial" w:cs="Arial"/>
          <w:sz w:val="20"/>
        </w:rPr>
      </w:pPr>
    </w:p>
    <w:p w14:paraId="3AC5F5C9" w14:textId="77777777" w:rsidR="00B01FCD" w:rsidRDefault="00000F8F" w:rsidP="007648F2">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5772FAE8" w14:textId="77777777" w:rsidR="00161129" w:rsidRPr="00161129" w:rsidRDefault="00161129" w:rsidP="007648F2">
      <w:pPr>
        <w:pStyle w:val="NormalWeb"/>
        <w:rPr>
          <w:rFonts w:ascii="Arial" w:hAnsi="Arial" w:cs="Arial"/>
          <w:sz w:val="20"/>
          <w:szCs w:val="20"/>
        </w:rPr>
      </w:pPr>
      <w:r w:rsidRPr="00161129">
        <w:rPr>
          <w:rStyle w:val="citation-56"/>
          <w:rFonts w:ascii="Arial" w:hAnsi="Arial" w:cs="Arial"/>
          <w:sz w:val="20"/>
          <w:szCs w:val="20"/>
        </w:rPr>
        <w:t xml:space="preserve">This investigation provides the first comprehensive analysis of the fatty acid profile of Togolese </w:t>
      </w:r>
      <w:r w:rsidRPr="00161129">
        <w:rPr>
          <w:rStyle w:val="citation-56"/>
          <w:rFonts w:ascii="Arial" w:hAnsi="Arial" w:cs="Arial"/>
          <w:i/>
          <w:iCs/>
          <w:sz w:val="20"/>
          <w:szCs w:val="20"/>
        </w:rPr>
        <w:t>Afraegle paniculata</w:t>
      </w:r>
      <w:r w:rsidRPr="00161129">
        <w:rPr>
          <w:rStyle w:val="citation-56"/>
          <w:rFonts w:ascii="Arial" w:hAnsi="Arial" w:cs="Arial"/>
          <w:sz w:val="20"/>
          <w:szCs w:val="20"/>
        </w:rPr>
        <w:t xml:space="preserve"> seed oil, revealing an atypical composition for a plant-derived lipid, overwhelmingly dominated by the saturated lauric (≈61%) and myristic (≈26%) acids</w:t>
      </w:r>
      <w:r w:rsidRPr="00161129">
        <w:rPr>
          <w:rFonts w:ascii="Arial" w:hAnsi="Arial" w:cs="Arial"/>
          <w:sz w:val="20"/>
          <w:szCs w:val="20"/>
        </w:rPr>
        <w:t xml:space="preserve">. </w:t>
      </w:r>
      <w:r w:rsidRPr="00161129">
        <w:rPr>
          <w:rStyle w:val="citation-55"/>
          <w:rFonts w:ascii="Arial" w:hAnsi="Arial" w:cs="Arial"/>
          <w:sz w:val="20"/>
          <w:szCs w:val="20"/>
        </w:rPr>
        <w:t xml:space="preserve">This distinct biochemical signature provides a direct mechanistic basis for the significant, dose-dependent hyperlipidemic effects observed </w:t>
      </w:r>
      <w:r w:rsidRPr="00161129">
        <w:rPr>
          <w:rStyle w:val="citation-55"/>
          <w:rFonts w:ascii="Arial" w:hAnsi="Arial" w:cs="Arial"/>
          <w:i/>
          <w:iCs/>
          <w:sz w:val="20"/>
          <w:szCs w:val="20"/>
        </w:rPr>
        <w:t>in vivo</w:t>
      </w:r>
      <w:r w:rsidRPr="00161129">
        <w:rPr>
          <w:rStyle w:val="citation-55"/>
          <w:rFonts w:ascii="Arial" w:hAnsi="Arial" w:cs="Arial"/>
          <w:sz w:val="20"/>
          <w:szCs w:val="20"/>
        </w:rPr>
        <w:t>, namely the pronounced elevation of serum total cholesterol and triglycerides</w:t>
      </w:r>
      <w:r w:rsidRPr="00161129">
        <w:rPr>
          <w:rFonts w:ascii="Arial" w:hAnsi="Arial" w:cs="Arial"/>
          <w:sz w:val="20"/>
          <w:szCs w:val="20"/>
        </w:rPr>
        <w:t xml:space="preserve">. </w:t>
      </w:r>
      <w:r w:rsidRPr="00161129">
        <w:rPr>
          <w:rStyle w:val="citation-54"/>
          <w:rFonts w:ascii="Arial" w:hAnsi="Arial" w:cs="Arial"/>
          <w:sz w:val="20"/>
          <w:szCs w:val="20"/>
        </w:rPr>
        <w:t xml:space="preserve">These findings align the metabolic impact of </w:t>
      </w:r>
      <w:r w:rsidRPr="00161129">
        <w:rPr>
          <w:rStyle w:val="citation-54"/>
          <w:rFonts w:ascii="Arial" w:hAnsi="Arial" w:cs="Arial"/>
          <w:i/>
          <w:iCs/>
          <w:sz w:val="20"/>
          <w:szCs w:val="20"/>
        </w:rPr>
        <w:t>A. paniculata</w:t>
      </w:r>
      <w:r w:rsidRPr="00161129">
        <w:rPr>
          <w:rStyle w:val="citation-54"/>
          <w:rFonts w:ascii="Arial" w:hAnsi="Arial" w:cs="Arial"/>
          <w:sz w:val="20"/>
          <w:szCs w:val="20"/>
        </w:rPr>
        <w:t xml:space="preserve"> oil more closely with that of tropical fats like coconut and palm kernel oil than with unsaturated oils typically recommended for cardiovascular health</w:t>
      </w:r>
      <w:r w:rsidRPr="00161129">
        <w:rPr>
          <w:rFonts w:ascii="Arial" w:hAnsi="Arial" w:cs="Arial"/>
          <w:sz w:val="20"/>
          <w:szCs w:val="20"/>
        </w:rPr>
        <w:t xml:space="preserve">. </w:t>
      </w:r>
      <w:r w:rsidRPr="00161129">
        <w:rPr>
          <w:rStyle w:val="citation-53"/>
          <w:rFonts w:ascii="Arial" w:hAnsi="Arial" w:cs="Arial"/>
          <w:sz w:val="20"/>
          <w:szCs w:val="20"/>
        </w:rPr>
        <w:t>In the context of West Africa's nutrition transition and the rising prevalence of diet-related non-communicable diseases, our results warrant considerable prudence</w:t>
      </w:r>
      <w:r w:rsidRPr="00161129">
        <w:rPr>
          <w:rFonts w:ascii="Arial" w:hAnsi="Arial" w:cs="Arial"/>
          <w:sz w:val="20"/>
          <w:szCs w:val="20"/>
        </w:rPr>
        <w:t xml:space="preserve">. </w:t>
      </w:r>
      <w:r w:rsidRPr="00161129">
        <w:rPr>
          <w:rStyle w:val="citation-52"/>
          <w:rFonts w:ascii="Arial" w:hAnsi="Arial" w:cs="Arial"/>
          <w:sz w:val="20"/>
          <w:szCs w:val="20"/>
        </w:rPr>
        <w:t>They strongly caution against promoting the widespread culinary use of this traditional oil without further rigorous evaluation, including long-term toxicological studies and, indispensably, controlled human clinical trials to definitively assess its cardiovascular risk profile</w:t>
      </w:r>
      <w:r w:rsidRPr="00161129">
        <w:rPr>
          <w:rFonts w:ascii="Arial" w:hAnsi="Arial" w:cs="Arial"/>
          <w:sz w:val="20"/>
          <w:szCs w:val="20"/>
        </w:rPr>
        <w:t>.</w:t>
      </w:r>
    </w:p>
    <w:p w14:paraId="71107CC8" w14:textId="77777777" w:rsidR="00790ADA" w:rsidRPr="00FB3A86" w:rsidRDefault="00790ADA" w:rsidP="007648F2">
      <w:pPr>
        <w:pStyle w:val="Body"/>
        <w:spacing w:after="0"/>
        <w:jc w:val="left"/>
        <w:rPr>
          <w:rFonts w:ascii="Arial" w:hAnsi="Arial" w:cs="Arial"/>
        </w:rPr>
      </w:pPr>
    </w:p>
    <w:p w14:paraId="55B0E842" w14:textId="77777777" w:rsidR="00315186" w:rsidRPr="00315186" w:rsidRDefault="00315186" w:rsidP="007648F2"/>
    <w:p w14:paraId="7ECB012B" w14:textId="77777777" w:rsidR="00315186" w:rsidRPr="00315186" w:rsidRDefault="00315186" w:rsidP="007648F2"/>
    <w:p w14:paraId="4CF8BC9E" w14:textId="77777777" w:rsidR="00315186" w:rsidRPr="00315186" w:rsidRDefault="00315186" w:rsidP="007648F2"/>
    <w:p w14:paraId="6B258CCD" w14:textId="77777777" w:rsidR="002B685A" w:rsidRDefault="002B685A" w:rsidP="007648F2">
      <w:pPr>
        <w:pStyle w:val="ReferHead"/>
        <w:spacing w:after="0"/>
        <w:rPr>
          <w:rFonts w:ascii="Arial" w:hAnsi="Arial" w:cs="Arial"/>
          <w:b w:val="0"/>
          <w:caps w:val="0"/>
          <w:sz w:val="20"/>
        </w:rPr>
      </w:pPr>
    </w:p>
    <w:p w14:paraId="1A97979A" w14:textId="77777777" w:rsidR="002B685A" w:rsidRDefault="002B685A" w:rsidP="007648F2">
      <w:pPr>
        <w:pStyle w:val="ReferHead"/>
        <w:spacing w:after="0"/>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49F9DA0" w14:textId="77777777" w:rsidR="002B685A" w:rsidRPr="002B685A" w:rsidRDefault="002B685A" w:rsidP="007648F2">
      <w:pPr>
        <w:pStyle w:val="ReferHead"/>
        <w:spacing w:after="0"/>
        <w:rPr>
          <w:rFonts w:ascii="Arial" w:hAnsi="Arial" w:cs="Arial"/>
          <w:bCs/>
        </w:rPr>
      </w:pPr>
    </w:p>
    <w:p w14:paraId="3A6EE32F" w14:textId="77777777" w:rsidR="001A29D8" w:rsidRDefault="00F35AE7" w:rsidP="007648F2">
      <w:pPr>
        <w:pStyle w:val="ReferHead"/>
        <w:spacing w:after="0"/>
        <w:rPr>
          <w:rFonts w:ascii="Arial" w:hAnsi="Arial" w:cs="Arial"/>
          <w:b w:val="0"/>
          <w:caps w:val="0"/>
          <w:sz w:val="20"/>
        </w:rPr>
      </w:pPr>
      <w:r>
        <w:rPr>
          <w:rFonts w:ascii="Arial" w:hAnsi="Arial" w:cs="Arial"/>
          <w:b w:val="0"/>
          <w:caps w:val="0"/>
          <w:sz w:val="20"/>
        </w:rPr>
        <w:t xml:space="preserve">No applicable </w:t>
      </w:r>
    </w:p>
    <w:p w14:paraId="4B0E56AB" w14:textId="77777777" w:rsidR="005C784C" w:rsidRDefault="005C784C" w:rsidP="007648F2">
      <w:pPr>
        <w:pStyle w:val="ReferHead"/>
        <w:spacing w:after="0"/>
        <w:rPr>
          <w:rFonts w:ascii="Arial" w:hAnsi="Arial" w:cs="Arial"/>
          <w:b w:val="0"/>
          <w:caps w:val="0"/>
          <w:sz w:val="20"/>
        </w:rPr>
      </w:pPr>
    </w:p>
    <w:p w14:paraId="001FBABD" w14:textId="77777777" w:rsidR="005C784C" w:rsidRDefault="005C784C" w:rsidP="007648F2">
      <w:pPr>
        <w:pStyle w:val="ReferHead"/>
        <w:spacing w:after="0"/>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C4B8541" w14:textId="77777777" w:rsidR="005C784C" w:rsidRPr="002B685A" w:rsidRDefault="005C784C" w:rsidP="007648F2">
      <w:pPr>
        <w:pStyle w:val="ReferHead"/>
        <w:spacing w:after="0"/>
        <w:rPr>
          <w:rFonts w:ascii="Arial" w:hAnsi="Arial" w:cs="Arial"/>
          <w:bCs/>
        </w:rPr>
      </w:pPr>
    </w:p>
    <w:p w14:paraId="5843E8FA" w14:textId="77777777" w:rsidR="0041027F" w:rsidRPr="00F35AE7" w:rsidRDefault="008671C6" w:rsidP="007648F2">
      <w:pPr>
        <w:pStyle w:val="ReferHead"/>
        <w:spacing w:after="0"/>
        <w:rPr>
          <w:rFonts w:ascii="Arial" w:hAnsi="Arial" w:cs="Arial"/>
          <w:b w:val="0"/>
          <w:caps w:val="0"/>
          <w:sz w:val="20"/>
        </w:rPr>
      </w:pPr>
      <w:r w:rsidRPr="00F35AE7">
        <w:rPr>
          <w:rFonts w:ascii="Arial" w:hAnsi="Arial" w:cs="Arial"/>
          <w:b w:val="0"/>
          <w:caps w:val="0"/>
          <w:sz w:val="20"/>
        </w:rPr>
        <w:t xml:space="preserve">All authors hereby declare that </w:t>
      </w:r>
      <w:r w:rsidR="0041027F" w:rsidRPr="00F35AE7">
        <w:rPr>
          <w:rFonts w:ascii="Arial" w:hAnsi="Arial" w:cs="Arial"/>
          <w:b w:val="0"/>
          <w:caps w:val="0"/>
          <w:sz w:val="20"/>
        </w:rPr>
        <w:t>"Principles of laboratory animal care" (NIH publication No. 85-23, revised 1985) were followed, as well as specific national laws where applicable.</w:t>
      </w:r>
      <w:r w:rsidRPr="00F35AE7">
        <w:rPr>
          <w:rFonts w:ascii="Arial" w:hAnsi="Arial" w:cs="Arial"/>
          <w:b w:val="0"/>
          <w:caps w:val="0"/>
          <w:sz w:val="20"/>
        </w:rPr>
        <w:t xml:space="preserve"> All experiments have been examined and approved by the appropriate ethics committee”</w:t>
      </w:r>
    </w:p>
    <w:p w14:paraId="404DA94B" w14:textId="77777777" w:rsidR="00CD6856" w:rsidRPr="00F35AE7" w:rsidRDefault="00CD6856" w:rsidP="007648F2">
      <w:pPr>
        <w:pStyle w:val="ReferHead"/>
        <w:spacing w:after="0"/>
        <w:rPr>
          <w:rFonts w:ascii="Arial" w:hAnsi="Arial" w:cs="Arial"/>
          <w:b w:val="0"/>
          <w:caps w:val="0"/>
          <w:sz w:val="20"/>
        </w:rPr>
      </w:pPr>
    </w:p>
    <w:p w14:paraId="7E64805A" w14:textId="77777777" w:rsidR="00860000" w:rsidRDefault="00860000" w:rsidP="007648F2">
      <w:pPr>
        <w:pStyle w:val="ReferHead"/>
        <w:spacing w:after="0"/>
        <w:rPr>
          <w:rFonts w:ascii="Arial" w:hAnsi="Arial" w:cs="Arial"/>
        </w:rPr>
      </w:pPr>
    </w:p>
    <w:p w14:paraId="709D024A" w14:textId="77777777" w:rsidR="00B01FCD" w:rsidRDefault="00B01FCD" w:rsidP="007648F2">
      <w:pPr>
        <w:pStyle w:val="ReferHead"/>
        <w:spacing w:after="0"/>
        <w:rPr>
          <w:rFonts w:ascii="Arial" w:hAnsi="Arial" w:cs="Arial"/>
        </w:rPr>
      </w:pPr>
      <w:r w:rsidRPr="00FB3A86">
        <w:rPr>
          <w:rFonts w:ascii="Arial" w:hAnsi="Arial" w:cs="Arial"/>
        </w:rPr>
        <w:t>References</w:t>
      </w:r>
    </w:p>
    <w:p w14:paraId="526DCBFD" w14:textId="77777777" w:rsidR="00790ADA" w:rsidRPr="00FB3A86" w:rsidRDefault="00790ADA" w:rsidP="007648F2">
      <w:pPr>
        <w:pStyle w:val="ReferHead"/>
        <w:spacing w:after="0"/>
        <w:rPr>
          <w:rFonts w:ascii="Arial" w:hAnsi="Arial" w:cs="Arial"/>
        </w:rPr>
      </w:pPr>
    </w:p>
    <w:p w14:paraId="59379388" w14:textId="77777777" w:rsidR="00F35AE7" w:rsidRPr="00F35AE7" w:rsidRDefault="00F35AE7" w:rsidP="007648F2">
      <w:pPr>
        <w:pStyle w:val="NormalWeb"/>
        <w:rPr>
          <w:rFonts w:ascii="Arial" w:hAnsi="Arial" w:cs="Arial"/>
          <w:sz w:val="20"/>
          <w:szCs w:val="20"/>
        </w:rPr>
      </w:pPr>
      <w:r w:rsidRPr="00F35AE7">
        <w:rPr>
          <w:rFonts w:ascii="Arial" w:hAnsi="Arial" w:cs="Arial"/>
          <w:sz w:val="20"/>
          <w:szCs w:val="20"/>
        </w:rPr>
        <w:t>Adeloye, D., Abaa, D. Q., Owolabi, E. O., Ale, B. M., Mpazanje, R. G., Dewan, M. T., ... &amp; Adewole, I. F. (2020). Prevalence of hypercholesterolemia in Nigeria : a systematic review and meta-analysis. Public Health, 178, 167-178.</w:t>
      </w:r>
    </w:p>
    <w:p w14:paraId="4423B474" w14:textId="77777777" w:rsidR="00F35AE7" w:rsidRPr="00F35AE7" w:rsidRDefault="00F35AE7" w:rsidP="007648F2">
      <w:pPr>
        <w:spacing w:before="240"/>
        <w:rPr>
          <w:rFonts w:ascii="Arial" w:eastAsia="inter" w:hAnsi="Arial" w:cs="Arial"/>
          <w:u w:val="single"/>
        </w:rPr>
      </w:pPr>
      <w:r w:rsidRPr="00F35AE7">
        <w:rPr>
          <w:rFonts w:ascii="Arial" w:eastAsia="inter" w:hAnsi="Arial" w:cs="Arial"/>
          <w:color w:val="000000"/>
        </w:rPr>
        <w:t xml:space="preserve">Amuna, P., &amp; Zotor, F. B. (2008). Epidemiological and nutrition transition in developing </w:t>
      </w:r>
      <w:proofErr w:type="gramStart"/>
      <w:r w:rsidRPr="00F35AE7">
        <w:rPr>
          <w:rFonts w:ascii="Arial" w:eastAsia="inter" w:hAnsi="Arial" w:cs="Arial"/>
          <w:color w:val="000000"/>
        </w:rPr>
        <w:t>countries :</w:t>
      </w:r>
      <w:proofErr w:type="gramEnd"/>
      <w:r w:rsidRPr="00F35AE7">
        <w:rPr>
          <w:rFonts w:ascii="Arial" w:eastAsia="inter" w:hAnsi="Arial" w:cs="Arial"/>
          <w:color w:val="000000"/>
        </w:rPr>
        <w:t xml:space="preserve"> impact on human health and development : The epidemiological and nutrition transition in developing countries : evolving trends and their impact in public health and human development. Proceedings of the nutrition society, 67(1), 82-90. </w:t>
      </w:r>
      <w:hyperlink r:id="rId14"/>
      <w:r w:rsidRPr="00F35AE7">
        <w:rPr>
          <w:rFonts w:ascii="Arial" w:eastAsia="inter" w:hAnsi="Arial" w:cs="Arial"/>
          <w:u w:val="single"/>
        </w:rPr>
        <w:t xml:space="preserve"> </w:t>
      </w:r>
    </w:p>
    <w:p w14:paraId="28CE9D22" w14:textId="77777777" w:rsidR="00F35AE7" w:rsidRPr="00F35AE7" w:rsidRDefault="00F35AE7" w:rsidP="007648F2">
      <w:pPr>
        <w:spacing w:before="240"/>
        <w:rPr>
          <w:rFonts w:ascii="Arial" w:hAnsi="Arial" w:cs="Arial"/>
        </w:rPr>
      </w:pPr>
      <w:r w:rsidRPr="00F35AE7">
        <w:rPr>
          <w:rFonts w:ascii="Arial" w:hAnsi="Arial" w:cs="Arial"/>
          <w:color w:val="222222"/>
          <w:shd w:val="clear" w:color="auto" w:fill="FFFFFF"/>
        </w:rPr>
        <w:t xml:space="preserve">Baa-Poku, F. (2018). Review on the role of underutilized crops in achieving food security in </w:t>
      </w:r>
      <w:proofErr w:type="gramStart"/>
      <w:r w:rsidRPr="00F35AE7">
        <w:rPr>
          <w:rFonts w:ascii="Arial" w:hAnsi="Arial" w:cs="Arial"/>
          <w:color w:val="222222"/>
          <w:shd w:val="clear" w:color="auto" w:fill="FFFFFF"/>
        </w:rPr>
        <w:t>Ghana :</w:t>
      </w:r>
      <w:proofErr w:type="gramEnd"/>
      <w:r w:rsidRPr="00F35AE7">
        <w:rPr>
          <w:rFonts w:ascii="Arial" w:hAnsi="Arial" w:cs="Arial"/>
          <w:color w:val="222222"/>
          <w:shd w:val="clear" w:color="auto" w:fill="FFFFFF"/>
        </w:rPr>
        <w:t xml:space="preserve"> implications for policy. </w:t>
      </w:r>
      <w:r w:rsidRPr="00F35AE7">
        <w:rPr>
          <w:rFonts w:ascii="Arial" w:hAnsi="Arial" w:cs="Arial"/>
          <w:i/>
          <w:iCs/>
          <w:color w:val="222222"/>
          <w:shd w:val="clear" w:color="auto" w:fill="FFFFFF"/>
        </w:rPr>
        <w:t>Ghana Journal of Agricultural Science</w:t>
      </w:r>
      <w:r w:rsidRPr="00F35AE7">
        <w:rPr>
          <w:rFonts w:ascii="Arial" w:hAnsi="Arial" w:cs="Arial"/>
          <w:color w:val="222222"/>
          <w:shd w:val="clear" w:color="auto" w:fill="FFFFFF"/>
        </w:rPr>
        <w:t>, </w:t>
      </w:r>
      <w:r w:rsidRPr="00F35AE7">
        <w:rPr>
          <w:rFonts w:ascii="Arial" w:hAnsi="Arial" w:cs="Arial"/>
          <w:i/>
          <w:iCs/>
          <w:color w:val="222222"/>
          <w:shd w:val="clear" w:color="auto" w:fill="FFFFFF"/>
        </w:rPr>
        <w:t>52</w:t>
      </w:r>
      <w:r w:rsidRPr="00F35AE7">
        <w:rPr>
          <w:rFonts w:ascii="Arial" w:hAnsi="Arial" w:cs="Arial"/>
          <w:color w:val="222222"/>
          <w:shd w:val="clear" w:color="auto" w:fill="FFFFFF"/>
        </w:rPr>
        <w:t>, 113-120.</w:t>
      </w:r>
    </w:p>
    <w:p w14:paraId="196EF6C6" w14:textId="77777777" w:rsidR="00F35AE7" w:rsidRPr="00F35AE7" w:rsidRDefault="00F35AE7" w:rsidP="007648F2">
      <w:pPr>
        <w:pStyle w:val="NormalWeb"/>
        <w:rPr>
          <w:rFonts w:ascii="Arial" w:hAnsi="Arial" w:cs="Arial"/>
          <w:sz w:val="20"/>
          <w:szCs w:val="20"/>
        </w:rPr>
      </w:pPr>
      <w:r w:rsidRPr="00F35AE7">
        <w:rPr>
          <w:rFonts w:ascii="Arial" w:hAnsi="Arial" w:cs="Arial"/>
          <w:sz w:val="20"/>
          <w:szCs w:val="20"/>
        </w:rPr>
        <w:t>Banach, M., Rizzo, M., Toth, P. P., Farnier, M., Davidson, M. H., Al-Rasadi, K., ... &amp; Mikhailidis, D. P. (2015). Statin intolerance–an attempt at a unified definition. Position paper from an International Lipid Expert Panel : This paper is also published in parallel in Archives of Medical Science [Banach M, Rizzo M, Toth PP, et al. Statin intolerance–an attempt at a unified definition. Position paper from an International Lipid Expert Panel. Arch Med Sci 2015 ; 11 (1</w:t>
      </w:r>
      <w:proofErr w:type="gramStart"/>
      <w:r w:rsidRPr="00F35AE7">
        <w:rPr>
          <w:rFonts w:ascii="Arial" w:hAnsi="Arial" w:cs="Arial"/>
          <w:sz w:val="20"/>
          <w:szCs w:val="20"/>
        </w:rPr>
        <w:t>):</w:t>
      </w:r>
      <w:proofErr w:type="gramEnd"/>
      <w:r w:rsidRPr="00F35AE7">
        <w:rPr>
          <w:rFonts w:ascii="Arial" w:hAnsi="Arial" w:cs="Arial"/>
          <w:sz w:val="20"/>
          <w:szCs w:val="20"/>
        </w:rPr>
        <w:t xml:space="preserve"> 1–23]. Expert opinion on drug safety, 14(6), 935-955.</w:t>
      </w:r>
    </w:p>
    <w:p w14:paraId="50FDC01A" w14:textId="77777777" w:rsidR="00F35AE7" w:rsidRPr="00F35AE7" w:rsidRDefault="00F35AE7" w:rsidP="007648F2">
      <w:pPr>
        <w:pStyle w:val="NormalWeb"/>
        <w:rPr>
          <w:rFonts w:ascii="Arial" w:hAnsi="Arial" w:cs="Arial"/>
          <w:sz w:val="20"/>
          <w:szCs w:val="20"/>
        </w:rPr>
      </w:pPr>
      <w:r w:rsidRPr="00F35AE7">
        <w:rPr>
          <w:rFonts w:ascii="Arial" w:hAnsi="Arial" w:cs="Arial"/>
          <w:sz w:val="20"/>
          <w:szCs w:val="20"/>
        </w:rPr>
        <w:t>Börgeson, E., Boucher, J., &amp; Hagberg, C. E. (2022). Of mice and men : Pinpointing species differences in adipose tissue biology. Frontiers in cell and developmental biology, 10, 1003118.</w:t>
      </w:r>
    </w:p>
    <w:p w14:paraId="31BF8BCC" w14:textId="77777777" w:rsidR="00F35AE7" w:rsidRPr="00F35AE7" w:rsidRDefault="00F35AE7" w:rsidP="007648F2">
      <w:pPr>
        <w:pStyle w:val="NormalWeb"/>
        <w:rPr>
          <w:rFonts w:ascii="Arial" w:hAnsi="Arial" w:cs="Arial"/>
          <w:sz w:val="20"/>
          <w:szCs w:val="20"/>
        </w:rPr>
      </w:pPr>
      <w:r w:rsidRPr="00F35AE7">
        <w:rPr>
          <w:rFonts w:ascii="Arial" w:hAnsi="Arial" w:cs="Arial"/>
          <w:sz w:val="20"/>
          <w:szCs w:val="20"/>
        </w:rPr>
        <w:t>Bulto, L. N., &amp; Hendriks, J. M. (2024). The burden of cardiovascular disease in Africa : prevention challenges and opportunities for mitigation. European Journal of Cardiovascular Nursing, 23(6), e88-e90.</w:t>
      </w:r>
    </w:p>
    <w:p w14:paraId="1C62EF99" w14:textId="77777777" w:rsidR="00F35AE7" w:rsidRPr="00F35AE7" w:rsidRDefault="00F35AE7" w:rsidP="007648F2">
      <w:pPr>
        <w:pStyle w:val="NormalWeb"/>
        <w:rPr>
          <w:rFonts w:ascii="Arial" w:hAnsi="Arial" w:cs="Arial"/>
          <w:sz w:val="20"/>
          <w:szCs w:val="20"/>
        </w:rPr>
      </w:pPr>
      <w:r w:rsidRPr="00F35AE7">
        <w:rPr>
          <w:rFonts w:ascii="Arial" w:hAnsi="Arial" w:cs="Arial"/>
          <w:sz w:val="20"/>
          <w:szCs w:val="20"/>
        </w:rPr>
        <w:t>Cai, T., Song, X., Xu, X., Dong, L., Liang, S., Xin, M., ... &amp; Li, L. (2024). Effects of plant natural products on metabolic-associated fatty liver disease and the underlying mechanisms : A narrative review with a focus on the modulation of the gut microbiota. Frontiers in cellular and infection microbiology, 14, 1323261.</w:t>
      </w:r>
    </w:p>
    <w:p w14:paraId="1A8E75EF" w14:textId="77777777" w:rsidR="00F35AE7" w:rsidRPr="00F35AE7" w:rsidRDefault="00F35AE7" w:rsidP="007648F2">
      <w:pPr>
        <w:spacing w:before="240"/>
        <w:rPr>
          <w:rFonts w:ascii="Arial" w:hAnsi="Arial" w:cs="Arial"/>
        </w:rPr>
      </w:pPr>
      <w:r w:rsidRPr="00F35AE7">
        <w:rPr>
          <w:rFonts w:ascii="Arial" w:hAnsi="Arial" w:cs="Arial"/>
        </w:rPr>
        <w:t xml:space="preserve">Chori, B., Danladi, B., Nwakile, P., Okoye, I., Abdullahi, U., Zawaya, K., ... &amp; Odili, A. (2022). Prevalence, patterns and predictors of dyslipidaemia in </w:t>
      </w:r>
      <w:proofErr w:type="gramStart"/>
      <w:r w:rsidRPr="00F35AE7">
        <w:rPr>
          <w:rFonts w:ascii="Arial" w:hAnsi="Arial" w:cs="Arial"/>
        </w:rPr>
        <w:t>Nigeria :</w:t>
      </w:r>
      <w:proofErr w:type="gramEnd"/>
      <w:r w:rsidRPr="00F35AE7">
        <w:rPr>
          <w:rFonts w:ascii="Arial" w:hAnsi="Arial" w:cs="Arial"/>
        </w:rPr>
        <w:t xml:space="preserve"> a report from the REMAH study. Cardiovascular journal of Africa, 33(2), 52-59.</w:t>
      </w:r>
    </w:p>
    <w:p w14:paraId="664F11E3" w14:textId="77777777" w:rsidR="00F35AE7" w:rsidRPr="00F35AE7" w:rsidRDefault="00F35AE7" w:rsidP="007648F2">
      <w:pPr>
        <w:spacing w:before="240"/>
        <w:rPr>
          <w:rFonts w:ascii="Arial" w:hAnsi="Arial" w:cs="Arial"/>
        </w:rPr>
      </w:pPr>
      <w:r w:rsidRPr="00F35AE7">
        <w:rPr>
          <w:rFonts w:ascii="Arial" w:hAnsi="Arial" w:cs="Arial"/>
        </w:rPr>
        <w:t>Doh, A., Tchaou, N., Vuti, K., HOUNDJI, S. V., AMENYRAN, K., Dossou, R., &amp; LAMBONI, C. (2019). Huile d’Afraegle paniculata (schumach et thonn engl. 1915): Bio tolérance et Impacts Biochimiques Chez les Rats. Afrique Science, 15(6), 384-393.</w:t>
      </w:r>
    </w:p>
    <w:p w14:paraId="026E16EC"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Dreon, D. M., Vranizan, K. M., Krauss, R. M., Austin, M. A., &amp; Wood, P. D. (1990). The effects of polyunsaturated fat vs monounsaturated fat on plasma lipoproteins. Jama, 263(18), 2462-2466.</w:t>
      </w:r>
    </w:p>
    <w:p w14:paraId="54720CF6"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 xml:space="preserve">Ferré, P., Phan, F., &amp; Foufelle, F. (2021). SREBP-1c and lipogenesis in the </w:t>
      </w:r>
      <w:proofErr w:type="gramStart"/>
      <w:r w:rsidRPr="00F35AE7">
        <w:rPr>
          <w:rFonts w:ascii="Arial" w:eastAsia="inter" w:hAnsi="Arial" w:cs="Arial"/>
          <w:color w:val="000000"/>
        </w:rPr>
        <w:t>liver :</w:t>
      </w:r>
      <w:proofErr w:type="gramEnd"/>
      <w:r w:rsidRPr="00F35AE7">
        <w:rPr>
          <w:rFonts w:ascii="Arial" w:eastAsia="inter" w:hAnsi="Arial" w:cs="Arial"/>
          <w:color w:val="000000"/>
        </w:rPr>
        <w:t xml:space="preserve"> an update. Biochemical journal, 478(20), 3723-3739.</w:t>
      </w:r>
    </w:p>
    <w:p w14:paraId="3668202C"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Friedewald, W. T., Levy, R. I., &amp; Fredrickson, D. S. (1972). Estimation of the concentration of low-density lipoprotein cholesterol in plasma, without use of the preparative ultracentrifuge. Clinical chemistry, 18(6), 499-502.</w:t>
      </w:r>
    </w:p>
    <w:p w14:paraId="53A70A8E"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lastRenderedPageBreak/>
        <w:t>Guesnet, P., Alessandri, J. M., Astorg, P., Pifferi, F., &amp; Lavialle, M. (2005). Les rôles physiologiques majeurs exercés par les acides gras polyinsaturés (AGPI). Oléagineux, Corps gras, Lipides, 12(5-6), 333-343.</w:t>
      </w:r>
    </w:p>
    <w:p w14:paraId="4A4CC9DE" w14:textId="77777777" w:rsidR="00F35AE7" w:rsidRPr="00F35AE7" w:rsidRDefault="00F35AE7" w:rsidP="007648F2">
      <w:pPr>
        <w:spacing w:before="240"/>
        <w:rPr>
          <w:rFonts w:ascii="Arial" w:eastAsia="inter" w:hAnsi="Arial" w:cs="Arial"/>
          <w:u w:val="single"/>
        </w:rPr>
      </w:pPr>
      <w:r w:rsidRPr="00F35AE7">
        <w:rPr>
          <w:rFonts w:ascii="Arial" w:eastAsia="inter" w:hAnsi="Arial" w:cs="Arial"/>
          <w:color w:val="000000"/>
        </w:rPr>
        <w:t>Guiné, R. (2015). Food Sources and Chemistry of Plant Sterols and Stanols. Phytosterols. Food Sources, Functions and Health Benefits, 23-</w:t>
      </w:r>
      <w:proofErr w:type="gramStart"/>
      <w:r w:rsidRPr="00F35AE7">
        <w:rPr>
          <w:rFonts w:ascii="Arial" w:eastAsia="inter" w:hAnsi="Arial" w:cs="Arial"/>
          <w:color w:val="000000"/>
        </w:rPr>
        <w:t>41..</w:t>
      </w:r>
      <w:proofErr w:type="gramEnd"/>
      <w:r w:rsidRPr="00F35AE7">
        <w:rPr>
          <w:rFonts w:ascii="Arial" w:eastAsia="inter" w:hAnsi="Arial" w:cs="Arial"/>
          <w:color w:val="000000"/>
        </w:rPr>
        <w:t xml:space="preserve"> </w:t>
      </w:r>
      <w:hyperlink r:id="rId15"/>
      <w:r w:rsidRPr="00F35AE7">
        <w:rPr>
          <w:rFonts w:ascii="Arial" w:eastAsia="inter" w:hAnsi="Arial" w:cs="Arial"/>
          <w:u w:val="single"/>
        </w:rPr>
        <w:t xml:space="preserve"> </w:t>
      </w:r>
    </w:p>
    <w:p w14:paraId="7EE93325"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Hegsted, D. M., McGandy, R. B., Myers, M. L., &amp; Stare, F. J. (1965). Quantitative effects of dietary fat on serum cholesterol in man. The American journal of clinical nutrition, 17(5), 281-295.</w:t>
      </w:r>
    </w:p>
    <w:p w14:paraId="535C090D"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Iggman, D., &amp; Risérus, U. (2011). Role of different dietary saturated fatty acids for cardiometabolic risk. Clinical lipidology, 6(2), 209-223.</w:t>
      </w:r>
    </w:p>
    <w:p w14:paraId="0CD4263F" w14:textId="77777777" w:rsidR="00F35AE7" w:rsidRPr="00F35AE7" w:rsidRDefault="00F35AE7" w:rsidP="007648F2">
      <w:pPr>
        <w:pStyle w:val="NormalWeb"/>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Khosla, P., &amp; Sundram, K. (1996). Effects of dietary fatty acid composition on plasma cholesterol. Progress in lipid research, 35(2), 93-132.</w:t>
      </w:r>
    </w:p>
    <w:p w14:paraId="41CBEF4A" w14:textId="77777777" w:rsidR="00F35AE7" w:rsidRPr="00F35AE7" w:rsidRDefault="00F35AE7" w:rsidP="007648F2">
      <w:pPr>
        <w:pStyle w:val="NormalWeb"/>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Lottenberg, A. M., da Silva Afonso, M., Lavrador, M. S. F., Machado, R. M., &amp; Nakandakare, E. R. (2012). The role of dietary fatty acids in the pathology of metabolic syndrome. The Journal of nutritional biochemistry, 23(9), 1027-1040.</w:t>
      </w:r>
    </w:p>
    <w:p w14:paraId="47A7D0C2" w14:textId="77777777" w:rsidR="00F35AE7" w:rsidRPr="00F35AE7" w:rsidRDefault="00F35AE7" w:rsidP="007648F2">
      <w:pPr>
        <w:spacing w:before="240"/>
        <w:rPr>
          <w:rFonts w:ascii="Arial" w:hAnsi="Arial" w:cs="Arial"/>
        </w:rPr>
      </w:pPr>
      <w:r w:rsidRPr="00F35AE7">
        <w:rPr>
          <w:rFonts w:ascii="Arial" w:eastAsia="inter" w:hAnsi="Arial" w:cs="Arial"/>
          <w:color w:val="000000"/>
        </w:rPr>
        <w:t xml:space="preserve">Mensink, R. P. (2016). Effects of saturated fatty acids on serum lipids and </w:t>
      </w:r>
      <w:proofErr w:type="gramStart"/>
      <w:r w:rsidRPr="00F35AE7">
        <w:rPr>
          <w:rFonts w:ascii="Arial" w:eastAsia="inter" w:hAnsi="Arial" w:cs="Arial"/>
          <w:color w:val="000000"/>
        </w:rPr>
        <w:t>lipoproteins :</w:t>
      </w:r>
      <w:proofErr w:type="gramEnd"/>
      <w:r w:rsidRPr="00F35AE7">
        <w:rPr>
          <w:rFonts w:ascii="Arial" w:eastAsia="inter" w:hAnsi="Arial" w:cs="Arial"/>
          <w:color w:val="000000"/>
        </w:rPr>
        <w:t xml:space="preserve"> A systematic review and regression analysis (pp. vi+-63). </w:t>
      </w:r>
      <w:hyperlink r:id="rId16"/>
      <w:r w:rsidRPr="00F35AE7">
        <w:rPr>
          <w:rFonts w:ascii="Arial" w:eastAsia="inter" w:hAnsi="Arial" w:cs="Arial"/>
          <w:u w:val="single"/>
        </w:rPr>
        <w:t xml:space="preserve"> </w:t>
      </w:r>
    </w:p>
    <w:p w14:paraId="0C008B61"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 xml:space="preserve">Mensink, R. P., Zock, P. L., Kester, A. D., &amp; Katan, M. B. (2003). Effects of dietary fatty acids and carbohydrates on the ratio of serum total to HDL cholesterol and on serum lipids and </w:t>
      </w:r>
      <w:proofErr w:type="gramStart"/>
      <w:r w:rsidRPr="00F35AE7">
        <w:rPr>
          <w:rFonts w:ascii="Arial" w:eastAsia="inter" w:hAnsi="Arial" w:cs="Arial"/>
          <w:color w:val="000000"/>
        </w:rPr>
        <w:t>apolipoproteins :</w:t>
      </w:r>
      <w:proofErr w:type="gramEnd"/>
      <w:r w:rsidRPr="00F35AE7">
        <w:rPr>
          <w:rFonts w:ascii="Arial" w:eastAsia="inter" w:hAnsi="Arial" w:cs="Arial"/>
          <w:color w:val="000000"/>
        </w:rPr>
        <w:t xml:space="preserve"> a meta-analysis of 60 controlled trials. The American journal of clinical nutrition, 77(5), 1146-1155.</w:t>
      </w:r>
    </w:p>
    <w:p w14:paraId="0BEFC71B" w14:textId="77777777" w:rsidR="00F35AE7" w:rsidRPr="00F35AE7" w:rsidRDefault="00F35AE7" w:rsidP="007648F2">
      <w:pPr>
        <w:pStyle w:val="NormalWeb"/>
        <w:rPr>
          <w:rFonts w:ascii="Arial" w:hAnsi="Arial" w:cs="Arial"/>
          <w:sz w:val="20"/>
          <w:szCs w:val="20"/>
        </w:rPr>
      </w:pPr>
      <w:r w:rsidRPr="00F35AE7">
        <w:rPr>
          <w:rFonts w:ascii="Arial" w:hAnsi="Arial" w:cs="Arial"/>
          <w:sz w:val="20"/>
          <w:szCs w:val="20"/>
        </w:rPr>
        <w:t>Neelakantan, N., Seah, J. Y. H., &amp; van Dam, R. M. (2020). The effect of coconut oil consumption on cardiovascular risk factors : a systematic review and meta-analysis of clinical trials. Circulation, 141(10), 803-814.</w:t>
      </w:r>
    </w:p>
    <w:p w14:paraId="08B61980" w14:textId="77777777" w:rsidR="00F35AE7" w:rsidRPr="00F35AE7" w:rsidRDefault="00F35AE7" w:rsidP="007648F2">
      <w:pPr>
        <w:spacing w:before="240"/>
        <w:rPr>
          <w:rFonts w:ascii="Arial" w:hAnsi="Arial" w:cs="Arial"/>
        </w:rPr>
      </w:pPr>
      <w:r w:rsidRPr="00F35AE7">
        <w:rPr>
          <w:rFonts w:ascii="Arial" w:hAnsi="Arial" w:cs="Arial"/>
        </w:rPr>
        <w:t xml:space="preserve">Okaka, E. I., &amp; Eiya, B. O. (2013). Prevalence and pattern of dyslipidaemia in a rural community in southern Nigeria. Afr J Med Health Sci </w:t>
      </w:r>
      <w:proofErr w:type="gramStart"/>
      <w:r w:rsidRPr="00F35AE7">
        <w:rPr>
          <w:rFonts w:ascii="Arial" w:hAnsi="Arial" w:cs="Arial"/>
        </w:rPr>
        <w:t>2013 ;</w:t>
      </w:r>
      <w:proofErr w:type="gramEnd"/>
      <w:r w:rsidRPr="00F35AE7">
        <w:rPr>
          <w:rFonts w:ascii="Arial" w:hAnsi="Arial" w:cs="Arial"/>
        </w:rPr>
        <w:t xml:space="preserve"> 12 (2): 82, 86.</w:t>
      </w:r>
    </w:p>
    <w:p w14:paraId="4CFCE9F0"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 xml:space="preserve">Parks, E. J., &amp; Hellerstein, M. K. (2000). Carbohydrate-induced </w:t>
      </w:r>
      <w:proofErr w:type="gramStart"/>
      <w:r w:rsidRPr="00F35AE7">
        <w:rPr>
          <w:rFonts w:ascii="Arial" w:eastAsia="inter" w:hAnsi="Arial" w:cs="Arial"/>
          <w:color w:val="000000"/>
        </w:rPr>
        <w:t>hypertriacylglycerolemia :</w:t>
      </w:r>
      <w:proofErr w:type="gramEnd"/>
      <w:r w:rsidRPr="00F35AE7">
        <w:rPr>
          <w:rFonts w:ascii="Arial" w:eastAsia="inter" w:hAnsi="Arial" w:cs="Arial"/>
          <w:color w:val="000000"/>
        </w:rPr>
        <w:t xml:space="preserve"> historical perspective and review of biological mechanisms. The American journal of clinical nutrition, 71(2), 412-433.</w:t>
      </w:r>
    </w:p>
    <w:p w14:paraId="1DA77CFF" w14:textId="77777777" w:rsidR="00F35AE7" w:rsidRPr="00F35AE7" w:rsidRDefault="00F35AE7" w:rsidP="007648F2">
      <w:pPr>
        <w:spacing w:before="240"/>
        <w:rPr>
          <w:rFonts w:ascii="Arial" w:eastAsia="inter" w:hAnsi="Arial" w:cs="Arial"/>
          <w:color w:val="000000"/>
        </w:rPr>
      </w:pPr>
      <w:r w:rsidRPr="00F35AE7">
        <w:rPr>
          <w:rFonts w:ascii="Arial" w:eastAsia="inter" w:hAnsi="Arial" w:cs="Arial"/>
          <w:color w:val="000000"/>
        </w:rPr>
        <w:t>Popkin, B. M., Corvalan, C., &amp; Grummer-Strawn, L. M. (2020). Dynamics of the double burden of malnutrition and the changing nutrition reality. The Lancet, 395(10217), 65-74.</w:t>
      </w:r>
    </w:p>
    <w:p w14:paraId="3D731030" w14:textId="77777777" w:rsidR="00F35AE7" w:rsidRPr="00F35AE7" w:rsidRDefault="00F35AE7" w:rsidP="007648F2">
      <w:pPr>
        <w:spacing w:before="240"/>
        <w:rPr>
          <w:rFonts w:ascii="Arial" w:hAnsi="Arial" w:cs="Arial"/>
        </w:rPr>
      </w:pPr>
      <w:r w:rsidRPr="00F35AE7">
        <w:rPr>
          <w:rFonts w:ascii="Arial" w:eastAsia="inter" w:hAnsi="Arial" w:cs="Arial"/>
          <w:color w:val="000000"/>
        </w:rPr>
        <w:t xml:space="preserve">Siri-Tarino, P. W., Sun, Q., Hu, F. B., &amp; Krauss, R. M. (2010). Saturated fatty acids and risk of coronary heart </w:t>
      </w:r>
      <w:proofErr w:type="gramStart"/>
      <w:r w:rsidRPr="00F35AE7">
        <w:rPr>
          <w:rFonts w:ascii="Arial" w:eastAsia="inter" w:hAnsi="Arial" w:cs="Arial"/>
          <w:color w:val="000000"/>
        </w:rPr>
        <w:t>disease :</w:t>
      </w:r>
      <w:proofErr w:type="gramEnd"/>
      <w:r w:rsidRPr="00F35AE7">
        <w:rPr>
          <w:rFonts w:ascii="Arial" w:eastAsia="inter" w:hAnsi="Arial" w:cs="Arial"/>
          <w:color w:val="000000"/>
        </w:rPr>
        <w:t xml:space="preserve"> modulation by replacement nutrients. Current atherosclerosis reports, 12(6), 384-390. </w:t>
      </w:r>
      <w:hyperlink r:id="rId17"/>
      <w:r w:rsidRPr="00F35AE7">
        <w:rPr>
          <w:rFonts w:ascii="Arial" w:eastAsia="inter" w:hAnsi="Arial" w:cs="Arial"/>
          <w:u w:val="single"/>
        </w:rPr>
        <w:t xml:space="preserve"> </w:t>
      </w:r>
    </w:p>
    <w:p w14:paraId="0240DB35" w14:textId="77777777" w:rsidR="00F35AE7" w:rsidRPr="00F35AE7" w:rsidRDefault="00F35AE7" w:rsidP="007648F2">
      <w:pPr>
        <w:pStyle w:val="NormalWeb"/>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Sodjinou, R., Agueh, V., Fayomi, B., &amp; Delisle, H. (2008). Obesity and cardio-metabolic risk factors in urban adults of Benin : relationship with socio-economic status, urbanisation, and lifestyle patterns. BMC public health, 8(1), 84.</w:t>
      </w:r>
    </w:p>
    <w:p w14:paraId="0D262499" w14:textId="77777777" w:rsidR="00F35AE7" w:rsidRPr="00F35AE7" w:rsidRDefault="00F35AE7" w:rsidP="007648F2">
      <w:pPr>
        <w:pStyle w:val="NormalWeb"/>
        <w:rPr>
          <w:rFonts w:ascii="Arial" w:eastAsia="inter" w:hAnsi="Arial" w:cs="Arial"/>
          <w:color w:val="000000"/>
          <w:sz w:val="20"/>
          <w:szCs w:val="20"/>
          <w:lang w:eastAsia="en-US"/>
        </w:rPr>
      </w:pPr>
      <w:r w:rsidRPr="00F35AE7">
        <w:rPr>
          <w:rFonts w:ascii="Arial" w:eastAsia="inter" w:hAnsi="Arial" w:cs="Arial"/>
          <w:color w:val="000000"/>
          <w:sz w:val="20"/>
          <w:szCs w:val="20"/>
          <w:lang w:eastAsia="en-US"/>
        </w:rPr>
        <w:t>World Health Organization. (2023). Report of the WHO expert consultation on the WHO protocol for measuring trans-fatty acids in foods held virtually on 27 and 30 June 2022. World Health Organization.</w:t>
      </w:r>
    </w:p>
    <w:p w14:paraId="0B56B8BC" w14:textId="77777777" w:rsidR="00F35AE7" w:rsidRPr="0033345D" w:rsidRDefault="00F35AE7" w:rsidP="007648F2">
      <w:pPr>
        <w:pStyle w:val="NormalWeb"/>
        <w:spacing w:before="240" w:beforeAutospacing="0" w:after="0" w:afterAutospacing="0"/>
      </w:pPr>
      <w:r w:rsidRPr="00F35AE7">
        <w:rPr>
          <w:rFonts w:ascii="Arial" w:hAnsi="Arial" w:cs="Arial"/>
          <w:sz w:val="20"/>
          <w:szCs w:val="20"/>
        </w:rPr>
        <w:t>Zhuang, P., Liu, X., Li, Y., Wu, Y., Li, H., Wan, X., ... &amp; Zhang, Y. (2023). Circulating fatty acids, genetic risk, and incident coronary artery disease : a prospective, longitudinal cohort study. Science Advances, 9(38), eadf9037</w:t>
      </w:r>
      <w:r w:rsidRPr="008F66A0">
        <w:t>.</w:t>
      </w:r>
    </w:p>
    <w:p w14:paraId="18F9C2C8" w14:textId="77777777" w:rsidR="00441B6F" w:rsidRDefault="00441B6F" w:rsidP="007648F2">
      <w:pPr>
        <w:pStyle w:val="Body"/>
        <w:spacing w:after="0"/>
        <w:jc w:val="left"/>
        <w:rPr>
          <w:rFonts w:ascii="Arial" w:hAnsi="Arial" w:cs="Arial"/>
        </w:rPr>
      </w:pPr>
    </w:p>
    <w:p w14:paraId="40B2299B" w14:textId="77777777" w:rsidR="00B01FCD" w:rsidRPr="00FB3A86" w:rsidRDefault="00B01FCD" w:rsidP="007648F2">
      <w:pPr>
        <w:pStyle w:val="Reference"/>
        <w:numPr>
          <w:ilvl w:val="0"/>
          <w:numId w:val="0"/>
        </w:numPr>
        <w:spacing w:line="240" w:lineRule="auto"/>
        <w:jc w:val="left"/>
        <w:rPr>
          <w:rFonts w:ascii="Arial" w:hAnsi="Arial" w:cs="Arial"/>
        </w:rPr>
      </w:pPr>
    </w:p>
    <w:p w14:paraId="3F3B623C" w14:textId="77777777" w:rsidR="00B01FCD" w:rsidRPr="00FB3A86" w:rsidRDefault="00B01FCD" w:rsidP="007648F2">
      <w:pPr>
        <w:pStyle w:val="Appendix"/>
        <w:spacing w:after="0"/>
        <w:rPr>
          <w:rFonts w:ascii="Arial" w:hAnsi="Arial" w:cs="Arial"/>
          <w:b w:val="0"/>
        </w:rPr>
      </w:pPr>
    </w:p>
    <w:sectPr w:rsidR="00B01FCD" w:rsidRPr="00FB3A86" w:rsidSect="0044256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9EA0B" w14:textId="77777777" w:rsidR="00133C3A" w:rsidRDefault="00133C3A" w:rsidP="00C37E61">
      <w:r>
        <w:separator/>
      </w:r>
    </w:p>
  </w:endnote>
  <w:endnote w:type="continuationSeparator" w:id="0">
    <w:p w14:paraId="2D304B78" w14:textId="77777777" w:rsidR="00133C3A" w:rsidRDefault="00133C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5A2F" w14:textId="77777777" w:rsidR="008B202F" w:rsidRDefault="008B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D403" w14:textId="1DF0ACD2" w:rsidR="00C37E61" w:rsidRPr="00442562" w:rsidRDefault="00F35AE7" w:rsidP="00442562">
    <w:pPr>
      <w:pStyle w:val="Footer"/>
    </w:pPr>
    <w:r w:rsidRPr="0044256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0B75" w14:textId="77777777" w:rsidR="009E048A" w:rsidRDefault="009E048A">
    <w:pPr>
      <w:pStyle w:val="Footer"/>
      <w:rPr>
        <w:rFonts w:ascii="Arial" w:hAnsi="Arial" w:cs="Arial"/>
        <w:sz w:val="16"/>
      </w:rPr>
    </w:pPr>
  </w:p>
  <w:p w14:paraId="22F5498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1227C4" w14:textId="77777777" w:rsidR="009E048A" w:rsidRDefault="009E048A">
    <w:pPr>
      <w:pStyle w:val="Footer"/>
      <w:rPr>
        <w:rFonts w:ascii="Arial" w:hAnsi="Arial" w:cs="Arial"/>
        <w:sz w:val="16"/>
      </w:rPr>
    </w:pPr>
  </w:p>
  <w:p w14:paraId="4E8C69B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7A8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EEEB3" w14:textId="77777777" w:rsidR="00133C3A" w:rsidRDefault="00133C3A" w:rsidP="00C37E61">
      <w:r>
        <w:separator/>
      </w:r>
    </w:p>
  </w:footnote>
  <w:footnote w:type="continuationSeparator" w:id="0">
    <w:p w14:paraId="42F1E346" w14:textId="77777777" w:rsidR="00133C3A" w:rsidRDefault="00133C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9A7E" w14:textId="64E96022" w:rsidR="008B202F" w:rsidRDefault="008B202F">
    <w:pPr>
      <w:pStyle w:val="Header"/>
    </w:pPr>
    <w:r>
      <w:rPr>
        <w:noProof/>
      </w:rPr>
      <w:pict w14:anchorId="0CF66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7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6F0C" w14:textId="7FCA61D1" w:rsidR="008B202F" w:rsidRDefault="008B202F">
    <w:pPr>
      <w:pStyle w:val="Header"/>
    </w:pPr>
    <w:r>
      <w:rPr>
        <w:noProof/>
      </w:rPr>
      <w:pict w14:anchorId="6AD81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5033" w14:textId="7F8C45A9" w:rsidR="00296529" w:rsidRPr="00296529" w:rsidRDefault="008B202F" w:rsidP="00296529">
    <w:pPr>
      <w:ind w:left="2160"/>
      <w:jc w:val="center"/>
      <w:rPr>
        <w:rFonts w:ascii="Times New Roman" w:eastAsia="Calibri" w:hAnsi="Times New Roman"/>
        <w:i/>
        <w:sz w:val="18"/>
        <w:szCs w:val="22"/>
      </w:rPr>
    </w:pPr>
    <w:r>
      <w:rPr>
        <w:noProof/>
      </w:rPr>
      <w:pict w14:anchorId="55999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7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449AE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F6886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DA8E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8C99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D97A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3C1E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DEBD" w14:textId="50C72D9B" w:rsidR="008B202F" w:rsidRDefault="008B202F">
    <w:pPr>
      <w:pStyle w:val="Header"/>
    </w:pPr>
    <w:r>
      <w:rPr>
        <w:noProof/>
      </w:rPr>
      <w:pict w14:anchorId="39C18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E596" w14:textId="5BC26428" w:rsidR="008B202F" w:rsidRDefault="008B202F">
    <w:pPr>
      <w:pStyle w:val="Header"/>
    </w:pPr>
    <w:r>
      <w:rPr>
        <w:noProof/>
      </w:rPr>
      <w:pict w14:anchorId="472B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B3A2" w14:textId="4DBDE0FF" w:rsidR="008B202F" w:rsidRDefault="008B202F">
    <w:pPr>
      <w:pStyle w:val="Header"/>
    </w:pPr>
    <w:r>
      <w:rPr>
        <w:noProof/>
      </w:rPr>
      <w:pict w14:anchorId="04DDD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1358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98E"/>
    <w:rsid w:val="00030174"/>
    <w:rsid w:val="0004579C"/>
    <w:rsid w:val="000A47FA"/>
    <w:rsid w:val="000A65D3"/>
    <w:rsid w:val="000B1E33"/>
    <w:rsid w:val="000D689F"/>
    <w:rsid w:val="000E7B7B"/>
    <w:rsid w:val="000E7D62"/>
    <w:rsid w:val="00103357"/>
    <w:rsid w:val="00123C9F"/>
    <w:rsid w:val="00126190"/>
    <w:rsid w:val="00130F17"/>
    <w:rsid w:val="001320BF"/>
    <w:rsid w:val="00133C3A"/>
    <w:rsid w:val="00152A06"/>
    <w:rsid w:val="00161129"/>
    <w:rsid w:val="00163BC4"/>
    <w:rsid w:val="00191062"/>
    <w:rsid w:val="00192B72"/>
    <w:rsid w:val="001A29D8"/>
    <w:rsid w:val="001A41C2"/>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562"/>
    <w:rsid w:val="00446221"/>
    <w:rsid w:val="00450E62"/>
    <w:rsid w:val="004539DB"/>
    <w:rsid w:val="00471A80"/>
    <w:rsid w:val="004D305E"/>
    <w:rsid w:val="004D4277"/>
    <w:rsid w:val="00502516"/>
    <w:rsid w:val="00505F06"/>
    <w:rsid w:val="00506828"/>
    <w:rsid w:val="0053056E"/>
    <w:rsid w:val="00554FDA"/>
    <w:rsid w:val="005768C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8F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202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4B79"/>
    <w:rsid w:val="00BC53A0"/>
    <w:rsid w:val="00BE62AD"/>
    <w:rsid w:val="00BF121F"/>
    <w:rsid w:val="00BF1F80"/>
    <w:rsid w:val="00C166EF"/>
    <w:rsid w:val="00C17EB0"/>
    <w:rsid w:val="00C279CC"/>
    <w:rsid w:val="00C27F5F"/>
    <w:rsid w:val="00C30A0F"/>
    <w:rsid w:val="00C37E61"/>
    <w:rsid w:val="00C61522"/>
    <w:rsid w:val="00C70F1B"/>
    <w:rsid w:val="00C71A47"/>
    <w:rsid w:val="00C7464C"/>
    <w:rsid w:val="00C85588"/>
    <w:rsid w:val="00CB1249"/>
    <w:rsid w:val="00CD6755"/>
    <w:rsid w:val="00CD6856"/>
    <w:rsid w:val="00CE0089"/>
    <w:rsid w:val="00CE793C"/>
    <w:rsid w:val="00CF193C"/>
    <w:rsid w:val="00D173F1"/>
    <w:rsid w:val="00D2712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0E62"/>
    <w:rsid w:val="00EA012C"/>
    <w:rsid w:val="00EC6A55"/>
    <w:rsid w:val="00ED0288"/>
    <w:rsid w:val="00EE52CB"/>
    <w:rsid w:val="00EF581D"/>
    <w:rsid w:val="00EF7FD8"/>
    <w:rsid w:val="00F06F59"/>
    <w:rsid w:val="00F17988"/>
    <w:rsid w:val="00F35AE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FE24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768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768C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A41C2"/>
    <w:pPr>
      <w:spacing w:before="100" w:beforeAutospacing="1" w:after="100" w:afterAutospacing="1"/>
    </w:pPr>
    <w:rPr>
      <w:rFonts w:ascii="Times New Roman" w:hAnsi="Times New Roman"/>
      <w:sz w:val="24"/>
      <w:szCs w:val="24"/>
      <w:lang w:val="fr-FR" w:eastAsia="fr-FR"/>
    </w:rPr>
  </w:style>
  <w:style w:type="character" w:customStyle="1" w:styleId="citation-51">
    <w:name w:val="citation-51"/>
    <w:basedOn w:val="DefaultParagraphFont"/>
    <w:rsid w:val="001A41C2"/>
  </w:style>
  <w:style w:type="character" w:customStyle="1" w:styleId="citation-50">
    <w:name w:val="citation-50"/>
    <w:basedOn w:val="DefaultParagraphFont"/>
    <w:rsid w:val="001A41C2"/>
  </w:style>
  <w:style w:type="character" w:customStyle="1" w:styleId="citation-49">
    <w:name w:val="citation-49"/>
    <w:basedOn w:val="DefaultParagraphFont"/>
    <w:rsid w:val="001A41C2"/>
  </w:style>
  <w:style w:type="character" w:customStyle="1" w:styleId="citation-48">
    <w:name w:val="citation-48"/>
    <w:basedOn w:val="DefaultParagraphFont"/>
    <w:rsid w:val="001A41C2"/>
  </w:style>
  <w:style w:type="character" w:customStyle="1" w:styleId="citation-56">
    <w:name w:val="citation-56"/>
    <w:basedOn w:val="DefaultParagraphFont"/>
    <w:rsid w:val="001A41C2"/>
  </w:style>
  <w:style w:type="character" w:customStyle="1" w:styleId="citation-55">
    <w:name w:val="citation-55"/>
    <w:basedOn w:val="DefaultParagraphFont"/>
    <w:rsid w:val="001A41C2"/>
  </w:style>
  <w:style w:type="character" w:customStyle="1" w:styleId="citation-54">
    <w:name w:val="citation-54"/>
    <w:basedOn w:val="DefaultParagraphFont"/>
    <w:rsid w:val="001A41C2"/>
  </w:style>
  <w:style w:type="character" w:customStyle="1" w:styleId="citation-53">
    <w:name w:val="citation-53"/>
    <w:basedOn w:val="DefaultParagraphFont"/>
    <w:rsid w:val="001A41C2"/>
  </w:style>
  <w:style w:type="character" w:customStyle="1" w:styleId="citation-52">
    <w:name w:val="citation-52"/>
    <w:basedOn w:val="DefaultParagraphFont"/>
    <w:rsid w:val="001A41C2"/>
  </w:style>
  <w:style w:type="character" w:customStyle="1" w:styleId="citation-47">
    <w:name w:val="citation-47"/>
    <w:basedOn w:val="DefaultParagraphFont"/>
    <w:rsid w:val="001A41C2"/>
  </w:style>
  <w:style w:type="character" w:customStyle="1" w:styleId="mord">
    <w:name w:val="mord"/>
    <w:basedOn w:val="DefaultParagraphFont"/>
    <w:rsid w:val="00152A06"/>
  </w:style>
  <w:style w:type="character" w:customStyle="1" w:styleId="mbin">
    <w:name w:val="mbin"/>
    <w:basedOn w:val="DefaultParagraphFont"/>
    <w:rsid w:val="00152A06"/>
  </w:style>
  <w:style w:type="character" w:customStyle="1" w:styleId="mrel">
    <w:name w:val="mrel"/>
    <w:basedOn w:val="DefaultParagraphFont"/>
    <w:rsid w:val="00152A06"/>
  </w:style>
  <w:style w:type="character" w:customStyle="1" w:styleId="mopen">
    <w:name w:val="mopen"/>
    <w:basedOn w:val="DefaultParagraphFont"/>
    <w:rsid w:val="00152A06"/>
  </w:style>
  <w:style w:type="character" w:customStyle="1" w:styleId="mclose">
    <w:name w:val="mclose"/>
    <w:basedOn w:val="DefaultParagraphFont"/>
    <w:rsid w:val="00152A06"/>
  </w:style>
  <w:style w:type="character" w:customStyle="1" w:styleId="citation-41">
    <w:name w:val="citation-41"/>
    <w:basedOn w:val="DefaultParagraphFont"/>
    <w:rsid w:val="00161129"/>
  </w:style>
  <w:style w:type="character" w:customStyle="1" w:styleId="citation-40">
    <w:name w:val="citation-40"/>
    <w:basedOn w:val="DefaultParagraphFont"/>
    <w:rsid w:val="00161129"/>
  </w:style>
  <w:style w:type="character" w:customStyle="1" w:styleId="citation-39">
    <w:name w:val="citation-39"/>
    <w:basedOn w:val="DefaultParagraphFont"/>
    <w:rsid w:val="00161129"/>
  </w:style>
  <w:style w:type="character" w:customStyle="1" w:styleId="citation-38">
    <w:name w:val="citation-38"/>
    <w:basedOn w:val="DefaultParagraphFont"/>
    <w:rsid w:val="00161129"/>
  </w:style>
  <w:style w:type="character" w:customStyle="1" w:styleId="citation-37">
    <w:name w:val="citation-37"/>
    <w:basedOn w:val="DefaultParagraphFont"/>
    <w:rsid w:val="00161129"/>
  </w:style>
  <w:style w:type="character" w:customStyle="1" w:styleId="citation-36">
    <w:name w:val="citation-36"/>
    <w:basedOn w:val="DefaultParagraphFont"/>
    <w:rsid w:val="00161129"/>
  </w:style>
  <w:style w:type="character" w:customStyle="1" w:styleId="citation-35">
    <w:name w:val="citation-35"/>
    <w:basedOn w:val="DefaultParagraphFont"/>
    <w:rsid w:val="00161129"/>
  </w:style>
  <w:style w:type="character" w:customStyle="1" w:styleId="citation-16">
    <w:name w:val="citation-16"/>
    <w:basedOn w:val="DefaultParagraphFont"/>
    <w:rsid w:val="00161129"/>
  </w:style>
  <w:style w:type="character" w:customStyle="1" w:styleId="selected">
    <w:name w:val="selected"/>
    <w:basedOn w:val="DefaultParagraphFont"/>
    <w:rsid w:val="0016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1883-010-0131-6" TargetMode="External"/><Relationship Id="rId2" Type="http://schemas.openxmlformats.org/officeDocument/2006/relationships/numbering" Target="numbering.xml"/><Relationship Id="rId16" Type="http://schemas.openxmlformats.org/officeDocument/2006/relationships/hyperlink" Target="https://www.who.int/publications/i/item/978924156534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ejlt.20170044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7/S002966510700561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C55B-47A9-46B1-8ECD-9A4CEC09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8</Pages>
  <Words>4400</Words>
  <Characters>25085</Characters>
  <Application>Microsoft Office Word</Application>
  <DocSecurity>0</DocSecurity>
  <Lines>209</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2025-10-15T14:04:00Z</dcterms:created>
  <dcterms:modified xsi:type="dcterms:W3CDTF">2025-10-16T12:37:00Z</dcterms:modified>
</cp:coreProperties>
</file>