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02C4F3" w14:textId="77777777" w:rsidR="00E77D80" w:rsidRDefault="00E77D80" w:rsidP="00E77D80">
      <w:pPr>
        <w:spacing w:after="0" w:line="240" w:lineRule="auto"/>
        <w:ind w:right="113"/>
        <w:contextualSpacing/>
        <w:jc w:val="right"/>
        <w:rPr>
          <w:rFonts w:ascii="Arial" w:hAnsi="Arial" w:cs="Arial"/>
          <w:b/>
          <w:bCs/>
          <w:i/>
          <w:iCs/>
          <w:sz w:val="36"/>
          <w:szCs w:val="36"/>
          <w:u w:val="single"/>
        </w:rPr>
      </w:pPr>
      <w:r w:rsidRPr="00E77D80">
        <w:rPr>
          <w:rFonts w:ascii="Arial" w:hAnsi="Arial" w:cs="Arial"/>
          <w:b/>
          <w:bCs/>
          <w:i/>
          <w:iCs/>
          <w:sz w:val="36"/>
          <w:szCs w:val="36"/>
          <w:u w:val="single"/>
        </w:rPr>
        <w:t>Original Research Article</w:t>
      </w:r>
    </w:p>
    <w:p w14:paraId="69D4BE69" w14:textId="77777777" w:rsidR="00E77D80" w:rsidRPr="00E77D80" w:rsidRDefault="00E77D80" w:rsidP="00E77D80">
      <w:pPr>
        <w:spacing w:after="0" w:line="240" w:lineRule="auto"/>
        <w:ind w:right="113"/>
        <w:contextualSpacing/>
        <w:jc w:val="right"/>
        <w:rPr>
          <w:rFonts w:ascii="Arial" w:hAnsi="Arial" w:cs="Arial"/>
          <w:b/>
          <w:bCs/>
          <w:i/>
          <w:iCs/>
          <w:sz w:val="36"/>
          <w:szCs w:val="36"/>
          <w:u w:val="single"/>
        </w:rPr>
      </w:pPr>
    </w:p>
    <w:p w14:paraId="3D51AB15" w14:textId="21803262" w:rsidR="00303D7A" w:rsidRPr="00166CF7" w:rsidRDefault="009E61E7" w:rsidP="00166CF7">
      <w:pPr>
        <w:spacing w:after="0" w:line="240" w:lineRule="auto"/>
        <w:ind w:right="113"/>
        <w:contextualSpacing/>
        <w:jc w:val="right"/>
        <w:rPr>
          <w:rFonts w:ascii="Arial" w:hAnsi="Arial" w:cs="Arial"/>
          <w:sz w:val="36"/>
          <w:szCs w:val="36"/>
        </w:rPr>
      </w:pPr>
      <w:r w:rsidRPr="00166CF7">
        <w:rPr>
          <w:rFonts w:ascii="Arial" w:hAnsi="Arial" w:cs="Arial"/>
          <w:sz w:val="36"/>
          <w:szCs w:val="36"/>
        </w:rPr>
        <w:t xml:space="preserve">Recycling </w:t>
      </w:r>
      <w:proofErr w:type="gramStart"/>
      <w:r w:rsidRPr="00166CF7">
        <w:rPr>
          <w:rFonts w:ascii="Arial" w:hAnsi="Arial" w:cs="Arial"/>
          <w:sz w:val="36"/>
          <w:szCs w:val="36"/>
        </w:rPr>
        <w:t>Of</w:t>
      </w:r>
      <w:proofErr w:type="gramEnd"/>
      <w:r w:rsidRPr="00166CF7">
        <w:rPr>
          <w:rFonts w:ascii="Arial" w:hAnsi="Arial" w:cs="Arial"/>
          <w:sz w:val="36"/>
          <w:szCs w:val="36"/>
        </w:rPr>
        <w:t xml:space="preserve"> Waste Electrical And Electronic Equipment: The Case Of Copper And</w:t>
      </w:r>
      <w:bookmarkStart w:id="0" w:name="_GoBack"/>
      <w:bookmarkEnd w:id="0"/>
      <w:r w:rsidRPr="00166CF7">
        <w:rPr>
          <w:rFonts w:ascii="Arial" w:hAnsi="Arial" w:cs="Arial"/>
          <w:sz w:val="36"/>
          <w:szCs w:val="36"/>
        </w:rPr>
        <w:t xml:space="preserve"> Aluminum Recovery From Printed Circuit Board Of Used </w:t>
      </w:r>
      <w:r w:rsidRPr="00166CF7">
        <w:rPr>
          <w:rFonts w:ascii="Arial" w:hAnsi="Arial" w:cs="Arial"/>
          <w:bCs/>
          <w:sz w:val="36"/>
          <w:szCs w:val="36"/>
          <w:vertAlign w:val="superscript"/>
        </w:rPr>
        <w:t xml:space="preserve"> </w:t>
      </w:r>
      <m:oMath>
        <m:sSub>
          <m:sSubPr>
            <m:ctrlPr>
              <w:rPr>
                <w:rFonts w:ascii="Cambria Math" w:hAnsi="Cambria Math" w:cs="Arial"/>
                <w:sz w:val="36"/>
                <w:szCs w:val="36"/>
              </w:rPr>
            </m:ctrlPr>
          </m:sSubPr>
          <m:e>
            <m:r>
              <m:rPr>
                <m:sty m:val="p"/>
              </m:rPr>
              <w:rPr>
                <w:rFonts w:ascii="Cambria Math" w:hAnsi="Cambria Math" w:cs="Arial"/>
                <w:sz w:val="36"/>
                <w:szCs w:val="36"/>
              </w:rPr>
              <m:t>B</m:t>
            </m:r>
          </m:e>
          <m:sub>
            <m:r>
              <m:rPr>
                <m:sty m:val="p"/>
              </m:rPr>
              <w:rPr>
                <w:rFonts w:ascii="Cambria Math" w:hAnsi="Cambria Math" w:cs="Arial"/>
                <w:sz w:val="36"/>
                <w:szCs w:val="36"/>
              </w:rPr>
              <m:t>22</m:t>
            </m:r>
          </m:sub>
        </m:sSub>
        <m:r>
          <w:rPr>
            <w:rFonts w:ascii="Cambria Math" w:hAnsi="Cambria Math" w:cs="Arial"/>
            <w:sz w:val="36"/>
            <w:szCs w:val="36"/>
          </w:rPr>
          <m:t xml:space="preserve"> </m:t>
        </m:r>
      </m:oMath>
      <w:r w:rsidRPr="00166CF7">
        <w:rPr>
          <w:rFonts w:ascii="Arial" w:hAnsi="Arial" w:cs="Arial"/>
          <w:sz w:val="36"/>
          <w:szCs w:val="36"/>
        </w:rPr>
        <w:t>Led Lamps</w:t>
      </w:r>
    </w:p>
    <w:p w14:paraId="30CC0D12" w14:textId="431C5506" w:rsidR="005C5E7F" w:rsidRPr="00303D7A" w:rsidRDefault="005C5E7F" w:rsidP="00CC65C1">
      <w:pPr>
        <w:spacing w:after="0" w:line="480" w:lineRule="auto"/>
        <w:ind w:right="113"/>
        <w:contextualSpacing/>
        <w:jc w:val="right"/>
        <w:rPr>
          <w:rFonts w:ascii="Times New Roman" w:hAnsi="Times New Roman" w:cs="Times New Roman"/>
          <w:i/>
        </w:rPr>
      </w:pPr>
      <w:r>
        <w:rPr>
          <w:rFonts w:ascii="Arial" w:hAnsi="Arial" w:cs="Arial"/>
          <w:noProof/>
        </w:rPr>
        <mc:AlternateContent>
          <mc:Choice Requires="wps">
            <w:drawing>
              <wp:inline distT="0" distB="0" distL="0" distR="0" wp14:anchorId="61C41BE2" wp14:editId="40C43B1B">
                <wp:extent cx="5303520" cy="635"/>
                <wp:effectExtent l="9525" t="9525" r="11430" b="9525"/>
                <wp:docPr id="1937963501" name="Connecteur droit avec flèch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2DC167B" id="_x0000_t32" coordsize="21600,21600" o:spt="32" o:oned="t" path="m,l21600,21600e" filled="f">
                <v:path arrowok="t" fillok="f" o:connecttype="none"/>
                <o:lock v:ext="edit" shapetype="t"/>
              </v:shapetype>
              <v:shape id="Connecteur droit avec flèche 7"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p>
    <w:p w14:paraId="1243B079" w14:textId="21A7ED03" w:rsidR="00670993" w:rsidRPr="005C5E7F" w:rsidRDefault="00303D7A" w:rsidP="008A68F4">
      <w:pPr>
        <w:spacing w:before="240" w:after="0" w:line="480" w:lineRule="auto"/>
        <w:contextualSpacing/>
        <w:jc w:val="both"/>
        <w:rPr>
          <w:rFonts w:ascii="Arial" w:hAnsi="Arial" w:cs="Arial"/>
          <w:b/>
          <w:bCs/>
          <w:sz w:val="22"/>
          <w:szCs w:val="22"/>
        </w:rPr>
      </w:pPr>
      <w:r w:rsidRPr="005C5E7F">
        <w:rPr>
          <w:rFonts w:ascii="Arial" w:hAnsi="Arial" w:cs="Arial"/>
          <w:b/>
          <w:bCs/>
          <w:sz w:val="22"/>
          <w:szCs w:val="22"/>
        </w:rPr>
        <w:t>ABSTRACT</w:t>
      </w:r>
    </w:p>
    <w:tbl>
      <w:tblPr>
        <w:tblStyle w:val="TableGrid"/>
        <w:tblW w:w="0" w:type="auto"/>
        <w:tblLook w:val="04A0" w:firstRow="1" w:lastRow="0" w:firstColumn="1" w:lastColumn="0" w:noHBand="0" w:noVBand="1"/>
      </w:tblPr>
      <w:tblGrid>
        <w:gridCol w:w="8494"/>
      </w:tblGrid>
      <w:tr w:rsidR="00670993" w:rsidRPr="005C5E7F" w14:paraId="64C88302" w14:textId="77777777" w:rsidTr="00166CF7">
        <w:trPr>
          <w:trHeight w:val="2723"/>
        </w:trPr>
        <w:tc>
          <w:tcPr>
            <w:tcW w:w="8494" w:type="dxa"/>
          </w:tcPr>
          <w:p w14:paraId="5F9EA90F" w14:textId="3B9A1A94" w:rsidR="00670993" w:rsidRPr="005C5E7F" w:rsidRDefault="00670993" w:rsidP="00166CF7">
            <w:pPr>
              <w:spacing w:line="240" w:lineRule="auto"/>
              <w:contextualSpacing/>
              <w:jc w:val="both"/>
              <w:rPr>
                <w:rFonts w:ascii="Arial" w:hAnsi="Arial" w:cs="Arial"/>
                <w:sz w:val="20"/>
                <w:szCs w:val="20"/>
              </w:rPr>
            </w:pPr>
            <w:bookmarkStart w:id="1" w:name="_Hlk207664864"/>
            <w:r w:rsidRPr="005C5E7F">
              <w:rPr>
                <w:rFonts w:ascii="Arial" w:hAnsi="Arial" w:cs="Arial"/>
                <w:sz w:val="20"/>
                <w:szCs w:val="20"/>
              </w:rPr>
              <w:t xml:space="preserve">Electrowinning is a promising method for recovering critical metals such as aluminum and copper from e-waste. These strategic metals are increasingly at the center of geopolitics and economic development. In Togo, e-waste generation has grown rapidly, increasing from 6,400 tons in 2016 to approximately 8,392 tons in 2024. This study explores the recovery of aluminum and copper from printed circuit boards of </w:t>
            </w:r>
            <m:oMath>
              <m:sSub>
                <m:sSubPr>
                  <m:ctrlPr>
                    <w:rPr>
                      <w:rFonts w:ascii="Cambria Math" w:hAnsi="Cambria Math" w:cs="Arial"/>
                      <w:iCs/>
                      <w:sz w:val="20"/>
                      <w:szCs w:val="20"/>
                    </w:rPr>
                  </m:ctrlPr>
                </m:sSubPr>
                <m:e>
                  <m:r>
                    <m:rPr>
                      <m:sty m:val="p"/>
                    </m:rPr>
                    <w:rPr>
                      <w:rFonts w:ascii="Cambria Math" w:hAnsi="Cambria Math" w:cs="Arial"/>
                      <w:sz w:val="20"/>
                      <w:szCs w:val="20"/>
                    </w:rPr>
                    <m:t>B</m:t>
                  </m:r>
                </m:e>
                <m:sub>
                  <m:r>
                    <m:rPr>
                      <m:sty m:val="p"/>
                    </m:rPr>
                    <w:rPr>
                      <w:rFonts w:ascii="Cambria Math" w:hAnsi="Cambria Math" w:cs="Arial"/>
                      <w:sz w:val="20"/>
                      <w:szCs w:val="20"/>
                    </w:rPr>
                    <m:t>22</m:t>
                  </m:r>
                </m:sub>
              </m:sSub>
            </m:oMath>
            <w:r w:rsidRPr="005C5E7F">
              <w:rPr>
                <w:rFonts w:ascii="Arial" w:hAnsi="Arial" w:cs="Arial"/>
                <w:sz w:val="20"/>
                <w:szCs w:val="20"/>
              </w:rPr>
              <w:t xml:space="preserve"> type LED lamps, which are commonly used in the country. Using nitric and hydrochloric acids to dissolve the metals, electrowinning was carried out with specific electrodes under constant voltage. The process yielded 9.0% for copper at 0.008 A and 1.89 V, and 16.0% for aluminum at 8.7 A and 2.89 V. Although modest, these results demonstrate potential for optimization. Industrial scaling could lead to the recovery of 26.11 tons of copper and 281 tons of aluminum in 2023 from 1,243.4 tons of used lamps in Togo. </w:t>
            </w:r>
            <w:bookmarkEnd w:id="1"/>
          </w:p>
        </w:tc>
      </w:tr>
    </w:tbl>
    <w:p w14:paraId="0D79AC56" w14:textId="5F2C54F8" w:rsidR="003C1A59" w:rsidRPr="00166CF7" w:rsidRDefault="003C1A59" w:rsidP="003C1A59">
      <w:pPr>
        <w:spacing w:before="240" w:after="0" w:line="480" w:lineRule="auto"/>
        <w:ind w:right="113"/>
        <w:jc w:val="both"/>
        <w:rPr>
          <w:rFonts w:ascii="Times New Roman" w:hAnsi="Times New Roman" w:cs="Times New Roman"/>
          <w:b/>
          <w:i/>
          <w:iCs/>
        </w:rPr>
      </w:pPr>
      <w:r w:rsidRPr="00166CF7">
        <w:rPr>
          <w:rFonts w:ascii="Arial" w:hAnsi="Arial" w:cs="Arial"/>
          <w:bCs/>
          <w:i/>
          <w:iCs/>
          <w:sz w:val="20"/>
          <w:szCs w:val="20"/>
        </w:rPr>
        <w:t>Keywords</w:t>
      </w:r>
      <w:r w:rsidRPr="00166CF7">
        <w:rPr>
          <w:rFonts w:ascii="Arial" w:hAnsi="Arial" w:cs="Arial"/>
          <w:b/>
          <w:i/>
          <w:iCs/>
          <w:sz w:val="20"/>
          <w:szCs w:val="20"/>
        </w:rPr>
        <w:t>:</w:t>
      </w:r>
      <w:r w:rsidRPr="00166CF7">
        <w:rPr>
          <w:rFonts w:ascii="Arial" w:hAnsi="Arial" w:cs="Arial"/>
          <w:i/>
          <w:iCs/>
          <w:sz w:val="20"/>
          <w:szCs w:val="20"/>
        </w:rPr>
        <w:t xml:space="preserve"> e-waste, LED-</w:t>
      </w:r>
      <m:oMath>
        <m:sSub>
          <m:sSubPr>
            <m:ctrlPr>
              <w:rPr>
                <w:rFonts w:ascii="Cambria Math" w:eastAsiaTheme="minorHAnsi" w:hAnsi="Cambria Math" w:cs="Arial"/>
                <w:i/>
                <w:iCs/>
                <w:sz w:val="20"/>
                <w:szCs w:val="20"/>
                <w:lang w:eastAsia="en-US"/>
              </w:rPr>
            </m:ctrlPr>
          </m:sSubPr>
          <m:e>
            <m:r>
              <w:rPr>
                <w:rFonts w:ascii="Cambria Math" w:hAnsi="Cambria Math" w:cs="Arial"/>
                <w:sz w:val="20"/>
                <w:szCs w:val="20"/>
              </w:rPr>
              <m:t>B</m:t>
            </m:r>
          </m:e>
          <m:sub>
            <m:r>
              <w:rPr>
                <w:rFonts w:ascii="Cambria Math" w:hAnsi="Cambria Math" w:cs="Arial"/>
                <w:sz w:val="20"/>
                <w:szCs w:val="20"/>
              </w:rPr>
              <m:t>22</m:t>
            </m:r>
          </m:sub>
        </m:sSub>
      </m:oMath>
      <w:r w:rsidRPr="00166CF7">
        <w:rPr>
          <w:rFonts w:ascii="Arial" w:hAnsi="Arial" w:cs="Arial"/>
          <w:i/>
          <w:iCs/>
          <w:sz w:val="20"/>
          <w:szCs w:val="20"/>
        </w:rPr>
        <w:t xml:space="preserve"> lamps, metals, recycling, Togo</w:t>
      </w:r>
    </w:p>
    <w:p w14:paraId="352981A0" w14:textId="3EDF096F" w:rsidR="00303D7A" w:rsidRPr="00166CF7" w:rsidRDefault="00303D7A" w:rsidP="00F33874">
      <w:pPr>
        <w:pStyle w:val="ListParagraph"/>
        <w:numPr>
          <w:ilvl w:val="0"/>
          <w:numId w:val="1"/>
        </w:numPr>
        <w:spacing w:before="240" w:after="0" w:line="480" w:lineRule="auto"/>
        <w:ind w:left="357" w:hanging="357"/>
        <w:jc w:val="both"/>
        <w:rPr>
          <w:rFonts w:ascii="Arial" w:hAnsi="Arial" w:cs="Arial"/>
          <w:b/>
          <w:sz w:val="22"/>
          <w:szCs w:val="22"/>
        </w:rPr>
      </w:pPr>
      <w:r w:rsidRPr="00166CF7">
        <w:rPr>
          <w:rFonts w:ascii="Arial" w:hAnsi="Arial" w:cs="Arial"/>
          <w:b/>
          <w:sz w:val="22"/>
          <w:szCs w:val="22"/>
        </w:rPr>
        <w:t xml:space="preserve">INTRODUCTION </w:t>
      </w:r>
    </w:p>
    <w:p w14:paraId="145EB34A" w14:textId="77777777" w:rsidR="00303D7A" w:rsidRPr="009E61E7" w:rsidRDefault="00303D7A" w:rsidP="009E61E7">
      <w:pPr>
        <w:spacing w:after="0" w:line="240" w:lineRule="auto"/>
        <w:contextualSpacing/>
        <w:jc w:val="both"/>
        <w:rPr>
          <w:rFonts w:ascii="Arial" w:hAnsi="Arial" w:cs="Arial"/>
          <w:sz w:val="20"/>
          <w:szCs w:val="20"/>
        </w:rPr>
      </w:pPr>
      <w:r w:rsidRPr="009E61E7">
        <w:rPr>
          <w:rFonts w:ascii="Arial" w:hAnsi="Arial" w:cs="Arial"/>
          <w:sz w:val="20"/>
          <w:szCs w:val="20"/>
        </w:rPr>
        <w:t>The rising standard of living and the growing global population are driving an increasing demand for electrical and electronic equipment (EEE), which requires the use of ever-greater amounts of mineral resources. This high demand for EEE generates significant quantities of waste electrical and electronic equipment (WEEE).</w:t>
      </w:r>
    </w:p>
    <w:p w14:paraId="1010E165" w14:textId="77777777" w:rsidR="00303D7A" w:rsidRPr="009E61E7" w:rsidRDefault="00303D7A" w:rsidP="009E61E7">
      <w:pPr>
        <w:spacing w:after="0" w:line="240" w:lineRule="auto"/>
        <w:contextualSpacing/>
        <w:jc w:val="both"/>
        <w:rPr>
          <w:rFonts w:ascii="Arial" w:hAnsi="Arial" w:cs="Arial"/>
          <w:sz w:val="20"/>
          <w:szCs w:val="20"/>
        </w:rPr>
      </w:pPr>
      <w:r w:rsidRPr="009E61E7">
        <w:rPr>
          <w:rFonts w:ascii="Arial" w:hAnsi="Arial" w:cs="Arial"/>
          <w:sz w:val="20"/>
          <w:szCs w:val="20"/>
        </w:rPr>
        <w:t>To meet these needs, the global population is consuming an increasing amount of various metals (</w:t>
      </w:r>
      <w:proofErr w:type="spellStart"/>
      <w:r w:rsidRPr="009E61E7">
        <w:rPr>
          <w:rFonts w:ascii="Arial" w:hAnsi="Arial" w:cs="Arial"/>
          <w:sz w:val="20"/>
          <w:szCs w:val="20"/>
        </w:rPr>
        <w:t>Dedryver</w:t>
      </w:r>
      <w:proofErr w:type="spellEnd"/>
      <w:r w:rsidRPr="009E61E7">
        <w:rPr>
          <w:rFonts w:ascii="Arial" w:hAnsi="Arial" w:cs="Arial"/>
          <w:sz w:val="20"/>
          <w:szCs w:val="20"/>
        </w:rPr>
        <w:t xml:space="preserve"> &amp; Couric, 2020). Research conducted by the French Geological Survey (BRGM) shows, on the one hand, that there has been a widespread increase in global demand for metals since the 1960s, and on the other hand, that this growth is significantly faster than that of the world population. Three main factors explain this rise in raw material consumption:</w:t>
      </w:r>
    </w:p>
    <w:p w14:paraId="72A3AC6A" w14:textId="77777777" w:rsidR="00303D7A" w:rsidRPr="009E61E7" w:rsidRDefault="00303D7A" w:rsidP="009E61E7">
      <w:pPr>
        <w:spacing w:after="0" w:line="240" w:lineRule="auto"/>
        <w:contextualSpacing/>
        <w:jc w:val="both"/>
        <w:rPr>
          <w:rFonts w:ascii="Arial" w:hAnsi="Arial" w:cs="Arial"/>
          <w:sz w:val="20"/>
          <w:szCs w:val="20"/>
        </w:rPr>
      </w:pPr>
      <w:r w:rsidRPr="009E61E7">
        <w:rPr>
          <w:rFonts w:ascii="Arial" w:hAnsi="Arial" w:cs="Arial"/>
          <w:sz w:val="20"/>
          <w:szCs w:val="20"/>
        </w:rPr>
        <w:t>Population growth, which leads to an increase in the number of metal consumers;</w:t>
      </w:r>
    </w:p>
    <w:p w14:paraId="0C1A5EB7" w14:textId="77777777" w:rsidR="00303D7A" w:rsidRPr="009E61E7" w:rsidRDefault="00303D7A" w:rsidP="009E61E7">
      <w:pPr>
        <w:spacing w:after="0" w:line="240" w:lineRule="auto"/>
        <w:contextualSpacing/>
        <w:jc w:val="both"/>
        <w:rPr>
          <w:rFonts w:ascii="Arial" w:hAnsi="Arial" w:cs="Arial"/>
          <w:sz w:val="20"/>
          <w:szCs w:val="20"/>
        </w:rPr>
      </w:pPr>
      <w:r w:rsidRPr="009E61E7">
        <w:rPr>
          <w:rFonts w:ascii="Arial" w:hAnsi="Arial" w:cs="Arial"/>
          <w:sz w:val="20"/>
          <w:szCs w:val="20"/>
        </w:rPr>
        <w:t>Rising living standards, reflected in higher individual demand;</w:t>
      </w:r>
    </w:p>
    <w:p w14:paraId="6AB03DDD" w14:textId="77777777" w:rsidR="00303D7A" w:rsidRPr="009E61E7" w:rsidRDefault="00303D7A" w:rsidP="009E61E7">
      <w:pPr>
        <w:spacing w:after="0" w:line="240" w:lineRule="auto"/>
        <w:contextualSpacing/>
        <w:jc w:val="both"/>
        <w:rPr>
          <w:rFonts w:ascii="Arial" w:hAnsi="Arial" w:cs="Arial"/>
          <w:sz w:val="20"/>
          <w:szCs w:val="20"/>
        </w:rPr>
      </w:pPr>
      <w:r w:rsidRPr="009E61E7">
        <w:rPr>
          <w:rFonts w:ascii="Arial" w:hAnsi="Arial" w:cs="Arial"/>
          <w:sz w:val="20"/>
          <w:szCs w:val="20"/>
        </w:rPr>
        <w:t>Industrial development, evidenced by the growing quantity of metals used in production (Vidal, 2018).</w:t>
      </w:r>
    </w:p>
    <w:p w14:paraId="064227A6" w14:textId="77777777" w:rsidR="00303D7A" w:rsidRPr="009E61E7" w:rsidRDefault="00303D7A" w:rsidP="009E61E7">
      <w:pPr>
        <w:spacing w:after="0" w:line="240" w:lineRule="auto"/>
        <w:contextualSpacing/>
        <w:jc w:val="both"/>
        <w:rPr>
          <w:rFonts w:ascii="Arial" w:hAnsi="Arial" w:cs="Arial"/>
          <w:sz w:val="20"/>
          <w:szCs w:val="20"/>
        </w:rPr>
      </w:pPr>
      <w:r w:rsidRPr="009E61E7">
        <w:rPr>
          <w:rFonts w:ascii="Arial" w:hAnsi="Arial" w:cs="Arial"/>
          <w:sz w:val="20"/>
          <w:szCs w:val="20"/>
        </w:rPr>
        <w:t xml:space="preserve">The exponential growth in the consumption of electrical and electronic equipment (EEE), combined with the shortening of their useful lifespan, has led to a significant increase in the volume of waste electrical and electronic equipment (WEEE) (Dias et al., 2023). In 2016, the global volume of WEEE was estimated at 44.7 million </w:t>
      </w:r>
      <w:proofErr w:type="spellStart"/>
      <w:r w:rsidRPr="009E61E7">
        <w:rPr>
          <w:rFonts w:ascii="Arial" w:hAnsi="Arial" w:cs="Arial"/>
          <w:sz w:val="20"/>
          <w:szCs w:val="20"/>
        </w:rPr>
        <w:t>tonnes</w:t>
      </w:r>
      <w:proofErr w:type="spellEnd"/>
      <w:r w:rsidRPr="009E61E7">
        <w:rPr>
          <w:rFonts w:ascii="Arial" w:hAnsi="Arial" w:cs="Arial"/>
          <w:sz w:val="20"/>
          <w:szCs w:val="20"/>
        </w:rPr>
        <w:t xml:space="preserve"> (</w:t>
      </w:r>
      <w:proofErr w:type="spellStart"/>
      <w:r w:rsidRPr="009E61E7">
        <w:rPr>
          <w:rFonts w:ascii="Arial" w:hAnsi="Arial" w:cs="Arial"/>
          <w:sz w:val="20"/>
          <w:szCs w:val="20"/>
        </w:rPr>
        <w:t>Baldé</w:t>
      </w:r>
      <w:proofErr w:type="spellEnd"/>
      <w:r w:rsidRPr="009E61E7">
        <w:rPr>
          <w:rFonts w:ascii="Arial" w:hAnsi="Arial" w:cs="Arial"/>
          <w:sz w:val="20"/>
          <w:szCs w:val="20"/>
        </w:rPr>
        <w:t xml:space="preserve"> et al., 2017), rising to 53.6 million </w:t>
      </w:r>
      <w:proofErr w:type="spellStart"/>
      <w:r w:rsidRPr="009E61E7">
        <w:rPr>
          <w:rFonts w:ascii="Arial" w:hAnsi="Arial" w:cs="Arial"/>
          <w:sz w:val="20"/>
          <w:szCs w:val="20"/>
        </w:rPr>
        <w:t>tonnes</w:t>
      </w:r>
      <w:proofErr w:type="spellEnd"/>
      <w:r w:rsidRPr="009E61E7">
        <w:rPr>
          <w:rFonts w:ascii="Arial" w:hAnsi="Arial" w:cs="Arial"/>
          <w:sz w:val="20"/>
          <w:szCs w:val="20"/>
        </w:rPr>
        <w:t xml:space="preserve"> in 2019 (Forti et al., 2020), representing a 17% increase in just three years. However, according to Baldé et al. (2017), only 20% of WEEE was properly treated in 2016. As a result, the majority of this waste is dispersed into the environment, posing a threat due to the hazardous substances it contains.</w:t>
      </w:r>
    </w:p>
    <w:p w14:paraId="32F7AF0C" w14:textId="77777777" w:rsidR="00303D7A" w:rsidRPr="009E61E7" w:rsidRDefault="00303D7A" w:rsidP="009E61E7">
      <w:pPr>
        <w:spacing w:after="0" w:line="240" w:lineRule="auto"/>
        <w:contextualSpacing/>
        <w:jc w:val="both"/>
        <w:rPr>
          <w:rFonts w:ascii="Arial" w:hAnsi="Arial" w:cs="Arial"/>
          <w:sz w:val="20"/>
          <w:szCs w:val="20"/>
        </w:rPr>
      </w:pPr>
      <w:r w:rsidRPr="009E61E7">
        <w:rPr>
          <w:rFonts w:ascii="Arial" w:hAnsi="Arial" w:cs="Arial"/>
          <w:sz w:val="20"/>
          <w:szCs w:val="20"/>
        </w:rPr>
        <w:t xml:space="preserve">The European Union Directive 2002/96/EC classified electrical and electronic equipment (EEE), specifying their composition when they become non-functional. Among WEEE, there are waste items such as lamps, mobile phones, computers, and large household appliances (refrigerators, </w:t>
      </w:r>
      <w:r w:rsidRPr="009E61E7">
        <w:rPr>
          <w:rFonts w:ascii="Arial" w:hAnsi="Arial" w:cs="Arial"/>
          <w:sz w:val="20"/>
          <w:szCs w:val="20"/>
        </w:rPr>
        <w:lastRenderedPageBreak/>
        <w:t xml:space="preserve">washing machines, dishwashers, etc.) that contain metals such as mercury, lead, cadmium, chromium, barium, and zinc (El </w:t>
      </w:r>
      <w:proofErr w:type="spellStart"/>
      <w:r w:rsidRPr="009E61E7">
        <w:rPr>
          <w:rFonts w:ascii="Arial" w:hAnsi="Arial" w:cs="Arial"/>
          <w:sz w:val="20"/>
          <w:szCs w:val="20"/>
        </w:rPr>
        <w:t>Bouchtioui</w:t>
      </w:r>
      <w:proofErr w:type="spellEnd"/>
      <w:r w:rsidRPr="009E61E7">
        <w:rPr>
          <w:rFonts w:ascii="Arial" w:hAnsi="Arial" w:cs="Arial"/>
          <w:sz w:val="20"/>
          <w:szCs w:val="20"/>
        </w:rPr>
        <w:t>, 2017), as well as copper, iron, and silver.</w:t>
      </w:r>
    </w:p>
    <w:p w14:paraId="63032B7C" w14:textId="77777777" w:rsidR="00303D7A" w:rsidRPr="009E61E7" w:rsidRDefault="00303D7A" w:rsidP="009E61E7">
      <w:pPr>
        <w:spacing w:after="0" w:line="240" w:lineRule="auto"/>
        <w:contextualSpacing/>
        <w:jc w:val="both"/>
        <w:rPr>
          <w:rFonts w:ascii="Arial" w:hAnsi="Arial" w:cs="Arial"/>
          <w:sz w:val="20"/>
          <w:szCs w:val="20"/>
        </w:rPr>
      </w:pPr>
      <w:r w:rsidRPr="009E61E7">
        <w:rPr>
          <w:rFonts w:ascii="Arial" w:hAnsi="Arial" w:cs="Arial"/>
          <w:sz w:val="20"/>
          <w:szCs w:val="20"/>
        </w:rPr>
        <w:t xml:space="preserve">The management of WEEE remains largely informal, particularly in developing countries (Dieng et al., 2018). It is therefore essential to develop an official market focused on the recovery of metals contained in end-of-life EEE, in order to reduce the consumption of natural resources. According to Baldé et al., the total value of secondary raw materials contained in WEEE generated in 2016 was estimated at around €55 billion, including €9.6 billion for 2,164,000 </w:t>
      </w:r>
      <w:proofErr w:type="spellStart"/>
      <w:r w:rsidRPr="009E61E7">
        <w:rPr>
          <w:rFonts w:ascii="Arial" w:hAnsi="Arial" w:cs="Arial"/>
          <w:sz w:val="20"/>
          <w:szCs w:val="20"/>
        </w:rPr>
        <w:t>tonnes</w:t>
      </w:r>
      <w:proofErr w:type="spellEnd"/>
      <w:r w:rsidRPr="009E61E7">
        <w:rPr>
          <w:rFonts w:ascii="Arial" w:hAnsi="Arial" w:cs="Arial"/>
          <w:sz w:val="20"/>
          <w:szCs w:val="20"/>
        </w:rPr>
        <w:t xml:space="preserve"> of copper and €3.6 billion for 2,472,000 </w:t>
      </w:r>
      <w:proofErr w:type="spellStart"/>
      <w:r w:rsidRPr="009E61E7">
        <w:rPr>
          <w:rFonts w:ascii="Arial" w:hAnsi="Arial" w:cs="Arial"/>
          <w:sz w:val="20"/>
          <w:szCs w:val="20"/>
        </w:rPr>
        <w:t>tonnes</w:t>
      </w:r>
      <w:proofErr w:type="spellEnd"/>
      <w:r w:rsidRPr="009E61E7">
        <w:rPr>
          <w:rFonts w:ascii="Arial" w:hAnsi="Arial" w:cs="Arial"/>
          <w:sz w:val="20"/>
          <w:szCs w:val="20"/>
        </w:rPr>
        <w:t xml:space="preserve"> of aluminum (</w:t>
      </w:r>
      <w:proofErr w:type="spellStart"/>
      <w:r w:rsidRPr="009E61E7">
        <w:rPr>
          <w:rFonts w:ascii="Arial" w:hAnsi="Arial" w:cs="Arial"/>
          <w:sz w:val="20"/>
          <w:szCs w:val="20"/>
        </w:rPr>
        <w:t>Baldé</w:t>
      </w:r>
      <w:proofErr w:type="spellEnd"/>
      <w:r w:rsidRPr="009E61E7">
        <w:rPr>
          <w:rFonts w:ascii="Arial" w:hAnsi="Arial" w:cs="Arial"/>
          <w:sz w:val="20"/>
          <w:szCs w:val="20"/>
        </w:rPr>
        <w:t xml:space="preserve"> et al., 2017). Since EEE are mainly concentrated in urban areas, Arduin refers to WEEE as an “urban mine” (Arduin, 2019). Their recovery through recycling has thus become a necessity to preserve mineral resources for future generations.</w:t>
      </w:r>
    </w:p>
    <w:p w14:paraId="0BA822DF" w14:textId="77777777" w:rsidR="00303D7A" w:rsidRPr="009E61E7" w:rsidRDefault="00303D7A" w:rsidP="009E61E7">
      <w:pPr>
        <w:spacing w:after="0" w:line="240" w:lineRule="auto"/>
        <w:contextualSpacing/>
        <w:jc w:val="both"/>
        <w:rPr>
          <w:rFonts w:ascii="Arial" w:hAnsi="Arial" w:cs="Arial"/>
          <w:sz w:val="20"/>
          <w:szCs w:val="20"/>
        </w:rPr>
      </w:pPr>
      <w:r w:rsidRPr="009E61E7">
        <w:rPr>
          <w:rFonts w:ascii="Arial" w:hAnsi="Arial" w:cs="Arial"/>
          <w:sz w:val="20"/>
          <w:szCs w:val="20"/>
        </w:rPr>
        <w:t>Recycling thus appears as a relevant alternative to reduce the consumption of natural resources and as a solution to environmental and economic challenges (</w:t>
      </w:r>
      <w:proofErr w:type="spellStart"/>
      <w:r w:rsidRPr="009E61E7">
        <w:rPr>
          <w:rFonts w:ascii="Arial" w:hAnsi="Arial" w:cs="Arial"/>
          <w:sz w:val="20"/>
          <w:szCs w:val="20"/>
        </w:rPr>
        <w:t>Harrou</w:t>
      </w:r>
      <w:proofErr w:type="spellEnd"/>
      <w:r w:rsidRPr="009E61E7">
        <w:rPr>
          <w:rFonts w:ascii="Arial" w:hAnsi="Arial" w:cs="Arial"/>
          <w:sz w:val="20"/>
          <w:szCs w:val="20"/>
        </w:rPr>
        <w:t xml:space="preserve"> et al., 2020). It fits within a broader approach of sustainable resource management, particularly of minerals. The rarest metals (Rh, Ru, </w:t>
      </w:r>
      <w:proofErr w:type="spellStart"/>
      <w:r w:rsidRPr="009E61E7">
        <w:rPr>
          <w:rFonts w:ascii="Arial" w:hAnsi="Arial" w:cs="Arial"/>
          <w:sz w:val="20"/>
          <w:szCs w:val="20"/>
        </w:rPr>
        <w:t>Os</w:t>
      </w:r>
      <w:proofErr w:type="spellEnd"/>
      <w:r w:rsidRPr="009E61E7">
        <w:rPr>
          <w:rFonts w:ascii="Arial" w:hAnsi="Arial" w:cs="Arial"/>
          <w:sz w:val="20"/>
          <w:szCs w:val="20"/>
        </w:rPr>
        <w:t xml:space="preserve">, </w:t>
      </w:r>
      <w:proofErr w:type="spellStart"/>
      <w:r w:rsidRPr="009E61E7">
        <w:rPr>
          <w:rFonts w:ascii="Arial" w:hAnsi="Arial" w:cs="Arial"/>
          <w:sz w:val="20"/>
          <w:szCs w:val="20"/>
        </w:rPr>
        <w:t>Ir</w:t>
      </w:r>
      <w:proofErr w:type="spellEnd"/>
      <w:r w:rsidRPr="009E61E7">
        <w:rPr>
          <w:rFonts w:ascii="Arial" w:hAnsi="Arial" w:cs="Arial"/>
          <w:sz w:val="20"/>
          <w:szCs w:val="20"/>
        </w:rPr>
        <w:t>, Pt, Au) are very expensive, while the most common ones (Al, Fe, Mg...) are inexpensive. The demand for metals depends on the need for finished products containing them. The rise of technologies has driven strong demand for specific metals such as gallium, tantalum, and rare earth elements. However, these resources are exhaustible. It is therefore essential to adopt a circular economic model, capable of circulating materials in a closed loop (reuse for the same product) or an open loop (for another product). Circular economy aims to share, reuse, repair, refurbish, and recycle products and materials to extend their value in use (European Parliament, 2023). It allows minimizing inputs of virgin materials and energy (Hu et al., 2011), while reducing waste (Zeller et al., 2019). Reverse logistics, a concept close to but more limited than the circular economy, includes activities such as direct reuse, repair, refurbishment, reconditioning, recycling, incineration, or landfill disposal (Khouloud &amp; Zouari, 2018). Recycling thus reduces risks related to raw material supply, notably by mitigating the effects of price fluctuations and geopolitical tensions.</w:t>
      </w:r>
    </w:p>
    <w:p w14:paraId="4C4E6AED" w14:textId="77777777" w:rsidR="00303D7A" w:rsidRPr="009E61E7" w:rsidRDefault="00303D7A" w:rsidP="009E61E7">
      <w:pPr>
        <w:spacing w:after="0" w:line="240" w:lineRule="auto"/>
        <w:contextualSpacing/>
        <w:jc w:val="both"/>
        <w:rPr>
          <w:rFonts w:ascii="Arial" w:hAnsi="Arial" w:cs="Arial"/>
          <w:sz w:val="20"/>
          <w:szCs w:val="20"/>
        </w:rPr>
      </w:pPr>
      <w:r w:rsidRPr="009E61E7">
        <w:rPr>
          <w:rFonts w:ascii="Arial" w:hAnsi="Arial" w:cs="Arial"/>
          <w:sz w:val="20"/>
          <w:szCs w:val="20"/>
        </w:rPr>
        <w:t>Recycling of WEEE involves recovering their still-functional components or materials (</w:t>
      </w:r>
      <w:proofErr w:type="spellStart"/>
      <w:r w:rsidRPr="009E61E7">
        <w:rPr>
          <w:rFonts w:ascii="Arial" w:hAnsi="Arial" w:cs="Arial"/>
          <w:sz w:val="20"/>
          <w:szCs w:val="20"/>
        </w:rPr>
        <w:t>Laliberté</w:t>
      </w:r>
      <w:proofErr w:type="spellEnd"/>
      <w:r w:rsidRPr="009E61E7">
        <w:rPr>
          <w:rFonts w:ascii="Arial" w:hAnsi="Arial" w:cs="Arial"/>
          <w:sz w:val="20"/>
          <w:szCs w:val="20"/>
        </w:rPr>
        <w:t xml:space="preserve">, 2020). In France, </w:t>
      </w:r>
      <w:proofErr w:type="spellStart"/>
      <w:r w:rsidRPr="009E61E7">
        <w:rPr>
          <w:rFonts w:ascii="Arial" w:hAnsi="Arial" w:cs="Arial"/>
          <w:sz w:val="20"/>
          <w:szCs w:val="20"/>
        </w:rPr>
        <w:t>Récylum</w:t>
      </w:r>
      <w:proofErr w:type="spellEnd"/>
      <w:r w:rsidRPr="009E61E7">
        <w:rPr>
          <w:rFonts w:ascii="Arial" w:hAnsi="Arial" w:cs="Arial"/>
          <w:sz w:val="20"/>
          <w:szCs w:val="20"/>
        </w:rPr>
        <w:t xml:space="preserve">, an eco-organization established in 2006, manages the collection and recycling of used lamps. In 2010, the recycling rate reached a record 95%. Today, </w:t>
      </w:r>
      <w:proofErr w:type="spellStart"/>
      <w:r w:rsidRPr="009E61E7">
        <w:rPr>
          <w:rFonts w:ascii="Arial" w:hAnsi="Arial" w:cs="Arial"/>
          <w:sz w:val="20"/>
          <w:szCs w:val="20"/>
        </w:rPr>
        <w:t>Récylum</w:t>
      </w:r>
      <w:proofErr w:type="spellEnd"/>
      <w:r w:rsidRPr="009E61E7">
        <w:rPr>
          <w:rFonts w:ascii="Arial" w:hAnsi="Arial" w:cs="Arial"/>
          <w:sz w:val="20"/>
          <w:szCs w:val="20"/>
        </w:rPr>
        <w:t xml:space="preserve"> supports the continuous improvement of industrial recycling processes (</w:t>
      </w:r>
      <w:proofErr w:type="spellStart"/>
      <w:r w:rsidRPr="009E61E7">
        <w:rPr>
          <w:rFonts w:ascii="Arial" w:hAnsi="Arial" w:cs="Arial"/>
          <w:sz w:val="20"/>
          <w:szCs w:val="20"/>
        </w:rPr>
        <w:t>Récylum</w:t>
      </w:r>
      <w:proofErr w:type="spellEnd"/>
      <w:r w:rsidRPr="009E61E7">
        <w:rPr>
          <w:rFonts w:ascii="Arial" w:hAnsi="Arial" w:cs="Arial"/>
          <w:sz w:val="20"/>
          <w:szCs w:val="20"/>
        </w:rPr>
        <w:t xml:space="preserve">, 2011). In developing countries, recycling of used lamps is often limited to metal recovery, with other materials being incinerated or discarded. However, some progress is notable. E-Waste Africa, founded in South Africa in 2014, is the continent’s first lamp recycling plant. In Morocco, </w:t>
      </w:r>
      <w:proofErr w:type="spellStart"/>
      <w:r w:rsidRPr="009E61E7">
        <w:rPr>
          <w:rFonts w:ascii="Arial" w:hAnsi="Arial" w:cs="Arial"/>
          <w:sz w:val="20"/>
          <w:szCs w:val="20"/>
        </w:rPr>
        <w:t>Logipro</w:t>
      </w:r>
      <w:proofErr w:type="spellEnd"/>
      <w:r w:rsidRPr="009E61E7">
        <w:rPr>
          <w:rFonts w:ascii="Arial" w:hAnsi="Arial" w:cs="Arial"/>
          <w:sz w:val="20"/>
          <w:szCs w:val="20"/>
        </w:rPr>
        <w:t xml:space="preserve"> specialized in 2018 in the pretreatment of mercury-containing lamps (</w:t>
      </w:r>
      <w:proofErr w:type="spellStart"/>
      <w:r w:rsidRPr="009E61E7">
        <w:rPr>
          <w:rFonts w:ascii="Arial" w:hAnsi="Arial" w:cs="Arial"/>
          <w:sz w:val="20"/>
          <w:szCs w:val="20"/>
        </w:rPr>
        <w:t>Boulmerka</w:t>
      </w:r>
      <w:proofErr w:type="spellEnd"/>
      <w:r w:rsidRPr="009E61E7">
        <w:rPr>
          <w:rFonts w:ascii="Arial" w:hAnsi="Arial" w:cs="Arial"/>
          <w:sz w:val="20"/>
          <w:szCs w:val="20"/>
        </w:rPr>
        <w:t xml:space="preserve"> &amp; Kati, 2020).</w:t>
      </w:r>
    </w:p>
    <w:p w14:paraId="7768DC7D" w14:textId="77777777" w:rsidR="00303D7A" w:rsidRPr="009E61E7" w:rsidRDefault="00303D7A" w:rsidP="009E61E7">
      <w:pPr>
        <w:spacing w:after="0" w:line="240" w:lineRule="auto"/>
        <w:contextualSpacing/>
        <w:jc w:val="both"/>
        <w:rPr>
          <w:rFonts w:ascii="Arial" w:hAnsi="Arial" w:cs="Arial"/>
          <w:sz w:val="20"/>
          <w:szCs w:val="20"/>
        </w:rPr>
      </w:pPr>
      <w:r w:rsidRPr="009E61E7">
        <w:rPr>
          <w:rFonts w:ascii="Arial" w:hAnsi="Arial" w:cs="Arial"/>
          <w:sz w:val="20"/>
          <w:szCs w:val="20"/>
        </w:rPr>
        <w:t>For the selective recovery of metals contained in WEEE, hydrometallurgical and pyrometallurgical processes are the most commonly used, but other emerging techniques are gaining ground. Plasma treatment, for example, allows recovery of metallic and ceramic fractions while neutralizing toxic elements (Cramer, 2018). Green chemistry, according to Anastas and Warner (2000), aims to reduce the use or production of hazardous substances (Anastas &amp; Warner, 2000). Within this framework, ionic liquids, environmentally friendly electrolytes, are replacing traditional leaching methods (Billy, 2012).</w:t>
      </w:r>
    </w:p>
    <w:p w14:paraId="0CDF91D0" w14:textId="77777777" w:rsidR="00303D7A" w:rsidRPr="009E61E7" w:rsidRDefault="00303D7A" w:rsidP="009E61E7">
      <w:pPr>
        <w:spacing w:after="0" w:line="240" w:lineRule="auto"/>
        <w:contextualSpacing/>
        <w:jc w:val="both"/>
        <w:rPr>
          <w:rFonts w:ascii="Arial" w:hAnsi="Arial" w:cs="Arial"/>
          <w:sz w:val="20"/>
          <w:szCs w:val="20"/>
        </w:rPr>
      </w:pPr>
      <w:r w:rsidRPr="009E61E7">
        <w:rPr>
          <w:rFonts w:ascii="Arial" w:hAnsi="Arial" w:cs="Arial"/>
          <w:sz w:val="20"/>
          <w:szCs w:val="20"/>
        </w:rPr>
        <w:t xml:space="preserve">Disassembly of WEEE is a crucial step, particularly for extracting high-value components such as printed circuit boards, cables, and technical plastics. LED bulbs, for example, consist of an optical system, LED diodes, a printed circuit board (PCB), a lamp body, and a base. Some electronic components, like capacitors or coils, are mounted on the board. Studies conducted in Belgium by Van </w:t>
      </w:r>
      <w:proofErr w:type="spellStart"/>
      <w:r w:rsidRPr="009E61E7">
        <w:rPr>
          <w:rFonts w:ascii="Arial" w:hAnsi="Arial" w:cs="Arial"/>
          <w:sz w:val="20"/>
          <w:szCs w:val="20"/>
        </w:rPr>
        <w:t>Eygen</w:t>
      </w:r>
      <w:proofErr w:type="spellEnd"/>
      <w:r w:rsidRPr="009E61E7">
        <w:rPr>
          <w:rFonts w:ascii="Arial" w:hAnsi="Arial" w:cs="Arial"/>
          <w:sz w:val="20"/>
          <w:szCs w:val="20"/>
        </w:rPr>
        <w:t xml:space="preserve"> et al. in 2016 demonstrated that manual disassembly improves metal recovery, especially precious metals (Van </w:t>
      </w:r>
      <w:proofErr w:type="spellStart"/>
      <w:r w:rsidRPr="009E61E7">
        <w:rPr>
          <w:rFonts w:ascii="Arial" w:hAnsi="Arial" w:cs="Arial"/>
          <w:sz w:val="20"/>
          <w:szCs w:val="20"/>
        </w:rPr>
        <w:t>Eygen</w:t>
      </w:r>
      <w:proofErr w:type="spellEnd"/>
      <w:r w:rsidRPr="009E61E7">
        <w:rPr>
          <w:rFonts w:ascii="Arial" w:hAnsi="Arial" w:cs="Arial"/>
          <w:sz w:val="20"/>
          <w:szCs w:val="20"/>
        </w:rPr>
        <w:t xml:space="preserve"> et al., 2016). Research by Peeters et al. shows that advanced automated disassembly systems enable greater material recovery while reducing environmental impact (Peeters et al., 2018). The dismantling of PCBs can be carried out through thermal treatment (Charpentier, 2024), including infrared heaters (H. Duan et al., 2011), hot air (Wang &amp; Xu, 2015), solder baths (Zhu et al., 2012), or heated centrifugation (Meng et al., 2018; Yi et al., 2019). Although these techniques are effective on a large scale, they are energy-intensive and may produce toxic gases (Charpentier, 2024). To overcome these limitations, chemical approaches have been developed, notably using acids (H</w:t>
      </w:r>
      <w:r w:rsidRPr="009E61E7">
        <w:rPr>
          <w:rFonts w:ascii="Cambria Math" w:hAnsi="Cambria Math" w:cs="Cambria Math"/>
          <w:sz w:val="20"/>
          <w:szCs w:val="20"/>
        </w:rPr>
        <w:t>₂</w:t>
      </w:r>
      <w:r w:rsidRPr="009E61E7">
        <w:rPr>
          <w:rFonts w:ascii="Arial" w:hAnsi="Arial" w:cs="Arial"/>
          <w:sz w:val="20"/>
          <w:szCs w:val="20"/>
        </w:rPr>
        <w:t>SO</w:t>
      </w:r>
      <w:r w:rsidRPr="009E61E7">
        <w:rPr>
          <w:rFonts w:ascii="Cambria Math" w:hAnsi="Cambria Math" w:cs="Cambria Math"/>
          <w:sz w:val="20"/>
          <w:szCs w:val="20"/>
        </w:rPr>
        <w:t>₄</w:t>
      </w:r>
      <w:r w:rsidRPr="009E61E7">
        <w:rPr>
          <w:rFonts w:ascii="Arial" w:hAnsi="Arial" w:cs="Arial"/>
          <w:sz w:val="20"/>
          <w:szCs w:val="20"/>
        </w:rPr>
        <w:t xml:space="preserve">, </w:t>
      </w:r>
      <w:proofErr w:type="spellStart"/>
      <w:r w:rsidRPr="009E61E7">
        <w:rPr>
          <w:rFonts w:ascii="Arial" w:hAnsi="Arial" w:cs="Arial"/>
          <w:sz w:val="20"/>
          <w:szCs w:val="20"/>
        </w:rPr>
        <w:t>CuSO</w:t>
      </w:r>
      <w:proofErr w:type="spellEnd"/>
      <w:r w:rsidRPr="009E61E7">
        <w:rPr>
          <w:rFonts w:ascii="Cambria Math" w:hAnsi="Cambria Math" w:cs="Cambria Math"/>
          <w:sz w:val="20"/>
          <w:szCs w:val="20"/>
        </w:rPr>
        <w:t>₄</w:t>
      </w:r>
      <w:r w:rsidRPr="009E61E7">
        <w:rPr>
          <w:rFonts w:ascii="Arial" w:hAnsi="Arial" w:cs="Arial"/>
          <w:sz w:val="20"/>
          <w:szCs w:val="20"/>
        </w:rPr>
        <w:t>, NaCl) or solvents such as dimethyl sulfoxide and subcritical acetic acid (Xing et al., 2020). Another innovative method is the High Voltage Electric Pulse Crusher, which fragments PCBs by electric pulses (C. L. Duan et al., 2015; Martino et al., 2017).</w:t>
      </w:r>
    </w:p>
    <w:p w14:paraId="77E98956" w14:textId="77777777" w:rsidR="00303D7A" w:rsidRPr="009E61E7" w:rsidRDefault="00303D7A" w:rsidP="009E61E7">
      <w:pPr>
        <w:spacing w:after="0" w:line="240" w:lineRule="auto"/>
        <w:contextualSpacing/>
        <w:jc w:val="both"/>
        <w:rPr>
          <w:rFonts w:ascii="Arial" w:hAnsi="Arial" w:cs="Arial"/>
          <w:sz w:val="20"/>
          <w:szCs w:val="20"/>
        </w:rPr>
      </w:pPr>
      <w:r w:rsidRPr="009E61E7">
        <w:rPr>
          <w:rFonts w:ascii="Arial" w:hAnsi="Arial" w:cs="Arial"/>
          <w:sz w:val="20"/>
          <w:szCs w:val="20"/>
        </w:rPr>
        <w:lastRenderedPageBreak/>
        <w:t>Physicochemical analysis techniques such as X-ray diffraction, scanning electron microscopy, ICP (inductively coupled plasma), colorimetry, and cyclic voltammetry are used to determine the constituents of WEEE.</w:t>
      </w:r>
    </w:p>
    <w:p w14:paraId="5546B1F6" w14:textId="77777777" w:rsidR="00303D7A" w:rsidRPr="009E61E7" w:rsidRDefault="00303D7A" w:rsidP="009E61E7">
      <w:pPr>
        <w:spacing w:after="0" w:line="240" w:lineRule="auto"/>
        <w:contextualSpacing/>
        <w:jc w:val="both"/>
        <w:rPr>
          <w:rFonts w:ascii="Arial" w:hAnsi="Arial" w:cs="Arial"/>
          <w:sz w:val="20"/>
          <w:szCs w:val="20"/>
        </w:rPr>
      </w:pPr>
      <w:r w:rsidRPr="009E61E7">
        <w:rPr>
          <w:rFonts w:ascii="Arial" w:hAnsi="Arial" w:cs="Arial"/>
          <w:sz w:val="20"/>
          <w:szCs w:val="20"/>
        </w:rPr>
        <w:t>In Togo, as in many other African countries, the management of WEEE remains largely informal. The consumption of electronic equipment, whether new or second-hand, is rapidly growing in the country (</w:t>
      </w:r>
      <w:proofErr w:type="spellStart"/>
      <w:r w:rsidRPr="009E61E7">
        <w:rPr>
          <w:rFonts w:ascii="Arial" w:hAnsi="Arial" w:cs="Arial"/>
          <w:sz w:val="20"/>
          <w:szCs w:val="20"/>
        </w:rPr>
        <w:t>Gnane</w:t>
      </w:r>
      <w:proofErr w:type="spellEnd"/>
      <w:r w:rsidRPr="009E61E7">
        <w:rPr>
          <w:rFonts w:ascii="Arial" w:hAnsi="Arial" w:cs="Arial"/>
          <w:sz w:val="20"/>
          <w:szCs w:val="20"/>
        </w:rPr>
        <w:t>, 2017). The Autonomous Port of Lomé serves as the main entry and transit point for this equipment, mostly originating from developed countries. The reuse of equipment that is nearly at the end of its life contributes to the increasing volume of waste generated in Togo. Repairers, collectors, and recyclers who handle EEE and WEEE often overlook the risks associated with poor practices in disassembly, dismantling, and metal recovery (copper, aluminum, silver, iron, etc.) contained in these items. It is therefore essential to initiate actions aimed at regulating this sector. While creating employment, the recovery of precious metals contained in this end-of-life waste would help preserve mineral resources for future generations, whereas the extraction of toxic metals would contribute to environmental protection and public health.</w:t>
      </w:r>
    </w:p>
    <w:p w14:paraId="1425FED0" w14:textId="77777777" w:rsidR="00303D7A" w:rsidRPr="009E61E7" w:rsidRDefault="00303D7A" w:rsidP="009E61E7">
      <w:pPr>
        <w:spacing w:after="0" w:line="240" w:lineRule="auto"/>
        <w:contextualSpacing/>
        <w:jc w:val="both"/>
        <w:rPr>
          <w:rFonts w:ascii="Arial" w:hAnsi="Arial" w:cs="Arial"/>
          <w:sz w:val="20"/>
          <w:szCs w:val="20"/>
        </w:rPr>
      </w:pPr>
      <w:r w:rsidRPr="009E61E7">
        <w:rPr>
          <w:rFonts w:ascii="Arial" w:hAnsi="Arial" w:cs="Arial"/>
          <w:sz w:val="20"/>
          <w:szCs w:val="20"/>
        </w:rPr>
        <w:t xml:space="preserve">This work aims to contribute to the recovery of end-of-life </w:t>
      </w:r>
      <m:oMath>
        <m:sSub>
          <m:sSubPr>
            <m:ctrlPr>
              <w:rPr>
                <w:rFonts w:ascii="Cambria Math" w:eastAsiaTheme="minorHAnsi" w:hAnsi="Cambria Math" w:cs="Arial"/>
                <w:iCs/>
                <w:sz w:val="20"/>
                <w:szCs w:val="20"/>
                <w:lang w:eastAsia="en-US"/>
              </w:rPr>
            </m:ctrlPr>
          </m:sSubPr>
          <m:e>
            <m:r>
              <m:rPr>
                <m:sty m:val="p"/>
              </m:rPr>
              <w:rPr>
                <w:rFonts w:ascii="Cambria Math" w:hAnsi="Cambria Math" w:cs="Arial"/>
                <w:sz w:val="20"/>
                <w:szCs w:val="20"/>
              </w:rPr>
              <m:t>B</m:t>
            </m:r>
          </m:e>
          <m:sub>
            <m:r>
              <m:rPr>
                <m:sty m:val="p"/>
              </m:rPr>
              <w:rPr>
                <w:rFonts w:ascii="Cambria Math" w:hAnsi="Cambria Math" w:cs="Arial"/>
                <w:sz w:val="20"/>
                <w:szCs w:val="20"/>
              </w:rPr>
              <m:t>22</m:t>
            </m:r>
          </m:sub>
        </m:sSub>
      </m:oMath>
      <w:r w:rsidRPr="009E61E7">
        <w:rPr>
          <w:rFonts w:ascii="Arial" w:hAnsi="Arial" w:cs="Arial"/>
          <w:sz w:val="20"/>
          <w:szCs w:val="20"/>
        </w:rPr>
        <w:t xml:space="preserve"> type LED lamps in Togo.</w:t>
      </w:r>
    </w:p>
    <w:p w14:paraId="10AD403E" w14:textId="77777777" w:rsidR="00303D7A" w:rsidRPr="009E61E7" w:rsidRDefault="00303D7A" w:rsidP="00F33874">
      <w:pPr>
        <w:pStyle w:val="ListParagraph"/>
        <w:numPr>
          <w:ilvl w:val="0"/>
          <w:numId w:val="1"/>
        </w:numPr>
        <w:spacing w:before="240" w:after="0" w:line="480" w:lineRule="auto"/>
        <w:ind w:left="357" w:hanging="357"/>
        <w:jc w:val="both"/>
        <w:rPr>
          <w:rFonts w:ascii="Arial" w:hAnsi="Arial" w:cs="Arial"/>
          <w:b/>
          <w:sz w:val="22"/>
          <w:szCs w:val="22"/>
        </w:rPr>
      </w:pPr>
      <w:r w:rsidRPr="009E61E7">
        <w:rPr>
          <w:rFonts w:ascii="Arial" w:hAnsi="Arial" w:cs="Arial"/>
          <w:b/>
          <w:sz w:val="22"/>
          <w:szCs w:val="22"/>
        </w:rPr>
        <w:t>MATERIAL AND METHOD</w:t>
      </w:r>
    </w:p>
    <w:p w14:paraId="6186335C" w14:textId="77777777" w:rsidR="00303D7A" w:rsidRPr="009E61E7" w:rsidRDefault="00303D7A" w:rsidP="009E61E7">
      <w:pPr>
        <w:spacing w:after="0" w:line="240" w:lineRule="auto"/>
        <w:contextualSpacing/>
        <w:jc w:val="both"/>
        <w:rPr>
          <w:rFonts w:ascii="Arial" w:hAnsi="Arial" w:cs="Arial"/>
          <w:sz w:val="20"/>
          <w:szCs w:val="20"/>
        </w:rPr>
      </w:pPr>
      <w:r w:rsidRPr="009E61E7">
        <w:rPr>
          <w:rFonts w:ascii="Arial" w:hAnsi="Arial" w:cs="Arial"/>
          <w:sz w:val="20"/>
          <w:szCs w:val="20"/>
        </w:rPr>
        <w:t xml:space="preserve">In Togo, the quantity of lamp waste was estimated at approximately 1,243.4 </w:t>
      </w:r>
      <w:proofErr w:type="spellStart"/>
      <w:r w:rsidRPr="009E61E7">
        <w:rPr>
          <w:rFonts w:ascii="Arial" w:hAnsi="Arial" w:cs="Arial"/>
          <w:sz w:val="20"/>
          <w:szCs w:val="20"/>
        </w:rPr>
        <w:t>tonnes</w:t>
      </w:r>
      <w:proofErr w:type="spellEnd"/>
      <w:r w:rsidRPr="009E61E7">
        <w:rPr>
          <w:rFonts w:ascii="Arial" w:hAnsi="Arial" w:cs="Arial"/>
          <w:sz w:val="20"/>
          <w:szCs w:val="20"/>
        </w:rPr>
        <w:t xml:space="preserve"> in 2023. Given that metals represent about 5% of the total mass of these lamps, the tonnage of recoverable metals is estimated at 62.17 </w:t>
      </w:r>
      <w:proofErr w:type="spellStart"/>
      <w:r w:rsidRPr="009E61E7">
        <w:rPr>
          <w:rFonts w:ascii="Arial" w:hAnsi="Arial" w:cs="Arial"/>
          <w:sz w:val="20"/>
          <w:szCs w:val="20"/>
        </w:rPr>
        <w:t>tonnes</w:t>
      </w:r>
      <w:proofErr w:type="spellEnd"/>
      <w:r w:rsidRPr="009E61E7">
        <w:rPr>
          <w:rFonts w:ascii="Arial" w:hAnsi="Arial" w:cs="Arial"/>
          <w:sz w:val="20"/>
          <w:szCs w:val="20"/>
        </w:rPr>
        <w:t xml:space="preserve">. It therefore appears relevant to implement a recycling process for this waste. This section describes the process of recovering copper and aluminum from a </w:t>
      </w:r>
      <m:oMath>
        <m:sSub>
          <m:sSubPr>
            <m:ctrlPr>
              <w:rPr>
                <w:rFonts w:ascii="Cambria Math" w:eastAsiaTheme="minorHAnsi" w:hAnsi="Cambria Math" w:cs="Arial"/>
                <w:iCs/>
                <w:sz w:val="20"/>
                <w:szCs w:val="20"/>
                <w:lang w:eastAsia="en-US"/>
              </w:rPr>
            </m:ctrlPr>
          </m:sSubPr>
          <m:e>
            <m:r>
              <m:rPr>
                <m:sty m:val="p"/>
              </m:rPr>
              <w:rPr>
                <w:rFonts w:ascii="Cambria Math" w:hAnsi="Cambria Math" w:cs="Arial"/>
                <w:sz w:val="20"/>
                <w:szCs w:val="20"/>
              </w:rPr>
              <m:t>B</m:t>
            </m:r>
          </m:e>
          <m:sub>
            <m:r>
              <m:rPr>
                <m:sty m:val="p"/>
              </m:rPr>
              <w:rPr>
                <w:rFonts w:ascii="Cambria Math" w:hAnsi="Cambria Math" w:cs="Arial"/>
                <w:sz w:val="20"/>
                <w:szCs w:val="20"/>
              </w:rPr>
              <m:t>22</m:t>
            </m:r>
          </m:sub>
        </m:sSub>
      </m:oMath>
      <w:r w:rsidRPr="009E61E7">
        <w:rPr>
          <w:rFonts w:ascii="Arial" w:hAnsi="Arial" w:cs="Arial"/>
          <w:sz w:val="20"/>
          <w:szCs w:val="20"/>
        </w:rPr>
        <w:t xml:space="preserve"> type LED lamp.</w:t>
      </w:r>
    </w:p>
    <w:p w14:paraId="746D2A09" w14:textId="77777777" w:rsidR="00303D7A" w:rsidRPr="00F33874" w:rsidRDefault="00303D7A" w:rsidP="00F33874">
      <w:pPr>
        <w:pStyle w:val="ListParagraph"/>
        <w:numPr>
          <w:ilvl w:val="1"/>
          <w:numId w:val="1"/>
        </w:numPr>
        <w:spacing w:before="240" w:after="0" w:line="240" w:lineRule="auto"/>
        <w:ind w:left="454" w:hanging="454"/>
        <w:jc w:val="both"/>
        <w:rPr>
          <w:rFonts w:ascii="Arial" w:hAnsi="Arial" w:cs="Arial"/>
          <w:b/>
          <w:sz w:val="22"/>
          <w:szCs w:val="22"/>
        </w:rPr>
      </w:pPr>
      <w:r w:rsidRPr="00F33874">
        <w:rPr>
          <w:rFonts w:ascii="Arial" w:hAnsi="Arial" w:cs="Arial"/>
          <w:b/>
          <w:sz w:val="22"/>
          <w:szCs w:val="22"/>
        </w:rPr>
        <w:t>Dismantling LED bulbs: Isolation of component and metal acids leaching</w:t>
      </w:r>
    </w:p>
    <w:p w14:paraId="1AF27E67" w14:textId="77777777" w:rsidR="00303D7A" w:rsidRPr="009E61E7" w:rsidRDefault="00303D7A" w:rsidP="009E61E7">
      <w:pPr>
        <w:spacing w:after="0" w:line="240" w:lineRule="auto"/>
        <w:contextualSpacing/>
        <w:jc w:val="both"/>
        <w:rPr>
          <w:rFonts w:ascii="Arial" w:hAnsi="Arial" w:cs="Arial"/>
          <w:sz w:val="20"/>
          <w:szCs w:val="20"/>
        </w:rPr>
      </w:pPr>
      <w:r w:rsidRPr="009E61E7">
        <w:rPr>
          <w:rFonts w:ascii="Arial" w:hAnsi="Arial" w:cs="Arial"/>
          <w:sz w:val="20"/>
          <w:szCs w:val="20"/>
        </w:rPr>
        <w:t>Used bulbs were collected from EEE vendors. They were then manually disassembled using simple tools: pliers, a screwdriver, a knife, and a hammer. The metal parts as well as the printed circuit boards extracted from the bulbs were digested using:</w:t>
      </w:r>
    </w:p>
    <w:p w14:paraId="63E7F4E1" w14:textId="77777777" w:rsidR="00303D7A" w:rsidRPr="009E61E7" w:rsidRDefault="00303D7A" w:rsidP="009E61E7">
      <w:pPr>
        <w:spacing w:after="0" w:line="240" w:lineRule="auto"/>
        <w:contextualSpacing/>
        <w:jc w:val="both"/>
        <w:rPr>
          <w:rFonts w:ascii="Arial" w:hAnsi="Arial" w:cs="Arial"/>
          <w:sz w:val="20"/>
          <w:szCs w:val="20"/>
        </w:rPr>
      </w:pPr>
      <w:r w:rsidRPr="009E61E7">
        <w:rPr>
          <w:rFonts w:ascii="Arial" w:hAnsi="Arial" w:cs="Arial"/>
          <w:sz w:val="20"/>
          <w:szCs w:val="20"/>
        </w:rPr>
        <w:t>aqua regia, a mixture of hydrochloric acid (HCl) and nitric acid (HNO</w:t>
      </w:r>
      <w:r w:rsidRPr="009E61E7">
        <w:rPr>
          <w:rFonts w:ascii="Cambria Math" w:hAnsi="Cambria Math" w:cs="Cambria Math"/>
          <w:sz w:val="20"/>
          <w:szCs w:val="20"/>
        </w:rPr>
        <w:t>₃</w:t>
      </w:r>
      <w:r w:rsidRPr="009E61E7">
        <w:rPr>
          <w:rFonts w:ascii="Arial" w:hAnsi="Arial" w:cs="Arial"/>
          <w:sz w:val="20"/>
          <w:szCs w:val="20"/>
        </w:rPr>
        <w:t>) in a volumetric ratio of 3:1 (</w:t>
      </w:r>
      <w:proofErr w:type="spellStart"/>
      <w:r w:rsidRPr="009E61E7">
        <w:rPr>
          <w:rFonts w:ascii="Arial" w:hAnsi="Arial" w:cs="Arial"/>
          <w:sz w:val="20"/>
          <w:szCs w:val="20"/>
        </w:rPr>
        <w:t>Aloueimine</w:t>
      </w:r>
      <w:proofErr w:type="spellEnd"/>
      <w:r w:rsidRPr="009E61E7">
        <w:rPr>
          <w:rFonts w:ascii="Arial" w:hAnsi="Arial" w:cs="Arial"/>
          <w:sz w:val="20"/>
          <w:szCs w:val="20"/>
        </w:rPr>
        <w:t xml:space="preserve">, 2006; </w:t>
      </w:r>
      <w:proofErr w:type="spellStart"/>
      <w:r w:rsidRPr="009E61E7">
        <w:rPr>
          <w:rFonts w:ascii="Arial" w:hAnsi="Arial" w:cs="Arial"/>
          <w:sz w:val="20"/>
          <w:szCs w:val="20"/>
        </w:rPr>
        <w:t>Bonnah</w:t>
      </w:r>
      <w:proofErr w:type="spellEnd"/>
      <w:r w:rsidRPr="009E61E7">
        <w:rPr>
          <w:rFonts w:ascii="Arial" w:hAnsi="Arial" w:cs="Arial"/>
          <w:sz w:val="20"/>
          <w:szCs w:val="20"/>
        </w:rPr>
        <w:t>, 2018; Cortes &amp; Patiño, 2016; Ropafadzo et al., 2014), and</w:t>
      </w:r>
    </w:p>
    <w:p w14:paraId="54AA562C" w14:textId="77777777" w:rsidR="00303D7A" w:rsidRPr="009E61E7" w:rsidRDefault="00303D7A" w:rsidP="009E61E7">
      <w:pPr>
        <w:spacing w:after="0" w:line="240" w:lineRule="auto"/>
        <w:contextualSpacing/>
        <w:jc w:val="both"/>
        <w:rPr>
          <w:rFonts w:ascii="Arial" w:hAnsi="Arial" w:cs="Arial"/>
          <w:sz w:val="20"/>
          <w:szCs w:val="20"/>
        </w:rPr>
      </w:pPr>
      <w:r w:rsidRPr="009E61E7">
        <w:rPr>
          <w:rFonts w:ascii="Arial" w:hAnsi="Arial" w:cs="Arial"/>
          <w:sz w:val="20"/>
          <w:szCs w:val="20"/>
        </w:rPr>
        <w:t>a solution of hydrochloric acid alone.</w:t>
      </w:r>
    </w:p>
    <w:p w14:paraId="25B8A82F" w14:textId="77777777" w:rsidR="00303D7A" w:rsidRPr="009E61E7" w:rsidRDefault="00303D7A" w:rsidP="009E61E7">
      <w:pPr>
        <w:spacing w:after="0" w:line="240" w:lineRule="auto"/>
        <w:contextualSpacing/>
        <w:jc w:val="both"/>
        <w:rPr>
          <w:rFonts w:ascii="Arial" w:hAnsi="Arial" w:cs="Arial"/>
          <w:sz w:val="20"/>
          <w:szCs w:val="20"/>
        </w:rPr>
      </w:pPr>
      <w:r w:rsidRPr="009E61E7">
        <w:rPr>
          <w:rFonts w:ascii="Arial" w:hAnsi="Arial" w:cs="Arial"/>
          <w:sz w:val="20"/>
          <w:szCs w:val="20"/>
        </w:rPr>
        <w:t xml:space="preserve">Leaching consisted of immersing the metal-containing components of the bulbs in an oxidizing solution to extract the metals. For this, a mass of each component was placed in a beaker containing one of the oxidizing agents. The mixture was then placed under a fume hood, and the reaction continued until complete dissolution of the metals from the components. Once dissolution was complete, the volume of the digestate was adjusted with distilled water to obtain a solution with an appropriate </w:t>
      </w:r>
      <w:proofErr w:type="spellStart"/>
      <w:r w:rsidRPr="009E61E7">
        <w:rPr>
          <w:rFonts w:ascii="Arial" w:hAnsi="Arial" w:cs="Arial"/>
          <w:sz w:val="20"/>
          <w:szCs w:val="20"/>
        </w:rPr>
        <w:t>pH.</w:t>
      </w:r>
      <w:proofErr w:type="spellEnd"/>
      <w:r w:rsidRPr="009E61E7">
        <w:rPr>
          <w:rFonts w:ascii="Arial" w:hAnsi="Arial" w:cs="Arial"/>
          <w:sz w:val="20"/>
          <w:szCs w:val="20"/>
        </w:rPr>
        <w:t xml:space="preserve"> The pH of the solution was measured using a Sartorius brand pH meter.</w:t>
      </w:r>
    </w:p>
    <w:p w14:paraId="3818D084" w14:textId="77777777" w:rsidR="00303D7A" w:rsidRPr="009E61E7" w:rsidRDefault="00303D7A" w:rsidP="009E61E7">
      <w:pPr>
        <w:spacing w:after="0" w:line="240" w:lineRule="auto"/>
        <w:contextualSpacing/>
        <w:jc w:val="both"/>
        <w:rPr>
          <w:rFonts w:ascii="Arial" w:hAnsi="Arial" w:cs="Arial"/>
          <w:sz w:val="20"/>
          <w:szCs w:val="20"/>
        </w:rPr>
      </w:pPr>
      <w:r w:rsidRPr="009E61E7">
        <w:rPr>
          <w:rFonts w:ascii="Arial" w:hAnsi="Arial" w:cs="Arial"/>
          <w:sz w:val="20"/>
          <w:szCs w:val="20"/>
        </w:rPr>
        <w:t xml:space="preserve">Before analysis, the solution was tested with a base (sodium hydroxide), then subjected to cyclic voltammetry analysis using a homemade </w:t>
      </w:r>
      <w:proofErr w:type="spellStart"/>
      <w:r w:rsidRPr="009E61E7">
        <w:rPr>
          <w:rFonts w:ascii="Arial" w:hAnsi="Arial" w:cs="Arial"/>
          <w:sz w:val="20"/>
          <w:szCs w:val="20"/>
        </w:rPr>
        <w:t>potentiostat</w:t>
      </w:r>
      <w:proofErr w:type="spellEnd"/>
      <w:r w:rsidRPr="009E61E7">
        <w:rPr>
          <w:rFonts w:ascii="Arial" w:hAnsi="Arial" w:cs="Arial"/>
          <w:sz w:val="20"/>
          <w:szCs w:val="20"/>
        </w:rPr>
        <w:t>. This analysis allowed identification of the metals present in each solution.</w:t>
      </w:r>
    </w:p>
    <w:p w14:paraId="2B042FB2" w14:textId="77777777" w:rsidR="00303D7A" w:rsidRPr="00D91081" w:rsidRDefault="00303D7A" w:rsidP="00F33874">
      <w:pPr>
        <w:pStyle w:val="ListParagraph"/>
        <w:numPr>
          <w:ilvl w:val="1"/>
          <w:numId w:val="1"/>
        </w:numPr>
        <w:spacing w:before="240" w:after="0" w:line="240" w:lineRule="auto"/>
        <w:ind w:left="454" w:hanging="454"/>
        <w:jc w:val="both"/>
        <w:rPr>
          <w:rFonts w:ascii="Arial" w:hAnsi="Arial" w:cs="Arial"/>
          <w:b/>
          <w:sz w:val="22"/>
          <w:szCs w:val="22"/>
        </w:rPr>
      </w:pPr>
      <w:r w:rsidRPr="00D91081">
        <w:rPr>
          <w:rFonts w:ascii="Arial" w:hAnsi="Arial" w:cs="Arial"/>
          <w:b/>
          <w:sz w:val="22"/>
          <w:szCs w:val="22"/>
        </w:rPr>
        <w:t>Electroextraction of metals: copper and aluminum</w:t>
      </w:r>
    </w:p>
    <w:p w14:paraId="5AA68E0A" w14:textId="77777777" w:rsidR="00303D7A" w:rsidRPr="00D91081" w:rsidRDefault="00303D7A" w:rsidP="00F33874">
      <w:pPr>
        <w:pStyle w:val="ListParagraph"/>
        <w:numPr>
          <w:ilvl w:val="2"/>
          <w:numId w:val="1"/>
        </w:numPr>
        <w:spacing w:after="0" w:line="240" w:lineRule="auto"/>
        <w:ind w:left="454" w:hanging="454"/>
        <w:jc w:val="both"/>
        <w:rPr>
          <w:rFonts w:ascii="Arial" w:hAnsi="Arial" w:cs="Arial"/>
          <w:b/>
          <w:bCs/>
          <w:sz w:val="20"/>
          <w:szCs w:val="20"/>
          <w:u w:val="single"/>
        </w:rPr>
      </w:pPr>
      <w:r w:rsidRPr="00D91081">
        <w:rPr>
          <w:rFonts w:ascii="Arial" w:hAnsi="Arial" w:cs="Arial"/>
          <w:b/>
          <w:bCs/>
          <w:sz w:val="20"/>
          <w:szCs w:val="20"/>
          <w:u w:val="single"/>
        </w:rPr>
        <w:t>Experimental Setup</w:t>
      </w:r>
    </w:p>
    <w:p w14:paraId="42A3EF52" w14:textId="77777777" w:rsidR="00303D7A" w:rsidRPr="009E61E7" w:rsidRDefault="00303D7A" w:rsidP="009E61E7">
      <w:pPr>
        <w:spacing w:after="0" w:line="240" w:lineRule="auto"/>
        <w:contextualSpacing/>
        <w:jc w:val="both"/>
        <w:rPr>
          <w:rFonts w:ascii="Arial" w:hAnsi="Arial" w:cs="Arial"/>
          <w:sz w:val="20"/>
          <w:szCs w:val="20"/>
        </w:rPr>
      </w:pPr>
      <w:r w:rsidRPr="009E61E7">
        <w:rPr>
          <w:rFonts w:ascii="Arial" w:hAnsi="Arial" w:cs="Arial"/>
          <w:sz w:val="20"/>
          <w:szCs w:val="20"/>
        </w:rPr>
        <w:t>First, the masses of each metal to be deposited on the cathode were determined by gravimetric differentiation, that is, by comparing the mass of the metal support before and after digestion.</w:t>
      </w:r>
      <w:r w:rsidRPr="009E61E7">
        <w:rPr>
          <w:rFonts w:ascii="Arial" w:hAnsi="Arial" w:cs="Arial"/>
          <w:sz w:val="20"/>
          <w:szCs w:val="20"/>
        </w:rPr>
        <w:br/>
        <w:t>The electrowinning method was then applied to recover the pure solid metals. The leachate obtained during the leaching step served as the electrolyte in the electrochemical cell.</w:t>
      </w:r>
    </w:p>
    <w:p w14:paraId="262106E4" w14:textId="19A3A823" w:rsidR="00303D7A" w:rsidRPr="009E61E7" w:rsidRDefault="00303D7A" w:rsidP="009E61E7">
      <w:pPr>
        <w:spacing w:after="0" w:line="240" w:lineRule="auto"/>
        <w:contextualSpacing/>
        <w:jc w:val="both"/>
        <w:rPr>
          <w:rFonts w:ascii="Arial" w:hAnsi="Arial" w:cs="Arial"/>
          <w:sz w:val="20"/>
          <w:szCs w:val="20"/>
        </w:rPr>
      </w:pPr>
      <w:r w:rsidRPr="009E61E7">
        <w:rPr>
          <w:rFonts w:ascii="Arial" w:hAnsi="Arial" w:cs="Arial"/>
          <w:sz w:val="20"/>
          <w:szCs w:val="20"/>
        </w:rPr>
        <w:t>The cell consists of an anode and a cathode, separated by a distance of 1 cm, and connected to a TENMA brand direct current power supply (Figure 1), allowing the passage of the current necessary for electrodeposition. The electrodeposition of metals on the cathode as well as the oxidation reactions at the anode were visually observed during the experiment (</w:t>
      </w:r>
      <w:proofErr w:type="spellStart"/>
      <w:r w:rsidRPr="009E61E7">
        <w:rPr>
          <w:rFonts w:ascii="Arial" w:hAnsi="Arial" w:cs="Arial"/>
          <w:sz w:val="20"/>
          <w:szCs w:val="20"/>
        </w:rPr>
        <w:t>Ratsimba</w:t>
      </w:r>
      <w:proofErr w:type="spellEnd"/>
      <w:r w:rsidRPr="009E61E7">
        <w:rPr>
          <w:rFonts w:ascii="Arial" w:hAnsi="Arial" w:cs="Arial"/>
          <w:sz w:val="20"/>
          <w:szCs w:val="20"/>
        </w:rPr>
        <w:t xml:space="preserve"> et al., 2022).</w:t>
      </w:r>
    </w:p>
    <w:p w14:paraId="5C121418" w14:textId="520B37EE" w:rsidR="00303D7A" w:rsidRPr="009E61E7" w:rsidRDefault="00E06C75" w:rsidP="00E06C75">
      <w:pPr>
        <w:spacing w:after="0" w:line="240" w:lineRule="auto"/>
        <w:ind w:right="113"/>
        <w:contextualSpacing/>
        <w:jc w:val="center"/>
        <w:rPr>
          <w:rFonts w:ascii="Arial" w:hAnsi="Arial" w:cs="Arial"/>
          <w:sz w:val="20"/>
          <w:szCs w:val="20"/>
        </w:rPr>
      </w:pPr>
      <w:r w:rsidRPr="009E61E7">
        <w:rPr>
          <w:rFonts w:ascii="Arial" w:hAnsi="Arial" w:cs="Arial"/>
          <w:noProof/>
          <w:sz w:val="20"/>
          <w:szCs w:val="20"/>
        </w:rPr>
        <w:lastRenderedPageBreak/>
        <mc:AlternateContent>
          <mc:Choice Requires="wps">
            <w:drawing>
              <wp:anchor distT="0" distB="0" distL="114300" distR="114300" simplePos="0" relativeHeight="251659264" behindDoc="0" locked="0" layoutInCell="1" allowOverlap="1" wp14:anchorId="6B5DEA3E" wp14:editId="7BF1E71B">
                <wp:simplePos x="0" y="0"/>
                <wp:positionH relativeFrom="margin">
                  <wp:posOffset>739140</wp:posOffset>
                </wp:positionH>
                <wp:positionV relativeFrom="paragraph">
                  <wp:posOffset>2294890</wp:posOffset>
                </wp:positionV>
                <wp:extent cx="2171700" cy="533400"/>
                <wp:effectExtent l="0" t="0" r="0" b="0"/>
                <wp:wrapNone/>
                <wp:docPr id="2057761116" name="Zone de texte 4"/>
                <wp:cNvGraphicFramePr/>
                <a:graphic xmlns:a="http://schemas.openxmlformats.org/drawingml/2006/main">
                  <a:graphicData uri="http://schemas.microsoft.com/office/word/2010/wordprocessingShape">
                    <wps:wsp>
                      <wps:cNvSpPr txBox="1"/>
                      <wps:spPr>
                        <a:xfrm>
                          <a:off x="0" y="0"/>
                          <a:ext cx="2171700" cy="533400"/>
                        </a:xfrm>
                        <a:prstGeom prst="rect">
                          <a:avLst/>
                        </a:prstGeom>
                        <a:noFill/>
                        <a:ln w="6350">
                          <a:noFill/>
                        </a:ln>
                      </wps:spPr>
                      <wps:txbx>
                        <w:txbxContent>
                          <w:p w14:paraId="453184C4" w14:textId="77777777" w:rsidR="00303D7A" w:rsidRPr="009E61E7" w:rsidRDefault="00303D7A" w:rsidP="009E61E7">
                            <w:pPr>
                              <w:spacing w:after="0" w:line="240" w:lineRule="auto"/>
                              <w:contextualSpacing/>
                              <w:rPr>
                                <w:rFonts w:ascii="Arial" w:hAnsi="Arial" w:cs="Arial"/>
                                <w:sz w:val="20"/>
                                <w:szCs w:val="20"/>
                              </w:rPr>
                            </w:pPr>
                            <w:r w:rsidRPr="009E61E7">
                              <w:rPr>
                                <w:rFonts w:ascii="Arial" w:hAnsi="Arial" w:cs="Arial"/>
                                <w:sz w:val="20"/>
                                <w:szCs w:val="20"/>
                              </w:rPr>
                              <w:t>1: Generator</w:t>
                            </w:r>
                          </w:p>
                          <w:p w14:paraId="17BF1E5C" w14:textId="77777777" w:rsidR="00303D7A" w:rsidRPr="009E61E7" w:rsidRDefault="00303D7A" w:rsidP="009E61E7">
                            <w:pPr>
                              <w:spacing w:after="0" w:line="240" w:lineRule="auto"/>
                              <w:contextualSpacing/>
                              <w:rPr>
                                <w:rFonts w:ascii="Arial" w:hAnsi="Arial" w:cs="Arial"/>
                                <w:sz w:val="20"/>
                                <w:szCs w:val="20"/>
                              </w:rPr>
                            </w:pPr>
                            <w:r w:rsidRPr="009E61E7">
                              <w:rPr>
                                <w:rFonts w:ascii="Arial" w:hAnsi="Arial" w:cs="Arial"/>
                                <w:sz w:val="20"/>
                                <w:szCs w:val="20"/>
                              </w:rPr>
                              <w:t>2: Connecting wire to the cathode</w:t>
                            </w:r>
                          </w:p>
                          <w:p w14:paraId="19FC6A05" w14:textId="77777777" w:rsidR="00303D7A" w:rsidRPr="009E61E7" w:rsidRDefault="00303D7A" w:rsidP="009E61E7">
                            <w:pPr>
                              <w:spacing w:after="0" w:line="240" w:lineRule="auto"/>
                              <w:contextualSpacing/>
                              <w:rPr>
                                <w:rFonts w:ascii="Arial" w:hAnsi="Arial" w:cs="Arial"/>
                                <w:sz w:val="20"/>
                                <w:szCs w:val="20"/>
                              </w:rPr>
                            </w:pPr>
                            <w:r w:rsidRPr="009E61E7">
                              <w:rPr>
                                <w:rFonts w:ascii="Arial" w:hAnsi="Arial" w:cs="Arial"/>
                                <w:sz w:val="20"/>
                                <w:szCs w:val="20"/>
                              </w:rPr>
                              <w:t>3: Connecting wire to the anode</w:t>
                            </w:r>
                          </w:p>
                          <w:p w14:paraId="389B8287" w14:textId="77777777" w:rsidR="00303D7A" w:rsidRPr="009E61E7" w:rsidRDefault="00303D7A" w:rsidP="009E61E7">
                            <w:pPr>
                              <w:spacing w:after="0" w:line="240" w:lineRule="auto"/>
                              <w:contextualSpacing/>
                              <w:rPr>
                                <w:rFonts w:ascii="Arial" w:hAnsi="Arial" w:cs="Arial"/>
                                <w:sz w:val="20"/>
                                <w:szCs w:val="20"/>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5DEA3E" id="_x0000_t202" coordsize="21600,21600" o:spt="202" path="m,l,21600r21600,l21600,xe">
                <v:stroke joinstyle="miter"/>
                <v:path gradientshapeok="t" o:connecttype="rect"/>
              </v:shapetype>
              <v:shape id="Zone de texte 4" o:spid="_x0000_s1026" type="#_x0000_t202" style="position:absolute;left:0;text-align:left;margin-left:58.2pt;margin-top:180.7pt;width:171pt;height:4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" filled="f" stroked="f" strokeweight=".5pt">
                <v:textbox>
                  <w:txbxContent>
                    <w:p w14:paraId="453184C4" w14:textId="77777777" w:rsidR="00303D7A" w:rsidRPr="009E61E7" w:rsidRDefault="00303D7A" w:rsidP="009E61E7">
                      <w:pPr>
                        <w:spacing w:after="0" w:line="240" w:lineRule="auto"/>
                        <w:contextualSpacing/>
                        <w:rPr>
                          <w:rFonts w:ascii="Arial" w:hAnsi="Arial" w:cs="Arial"/>
                          <w:sz w:val="20"/>
                          <w:szCs w:val="20"/>
                        </w:rPr>
                      </w:pPr>
                      <w:r w:rsidRPr="009E61E7">
                        <w:rPr>
                          <w:rFonts w:ascii="Arial" w:hAnsi="Arial" w:cs="Arial"/>
                          <w:sz w:val="20"/>
                          <w:szCs w:val="20"/>
                        </w:rPr>
                        <w:t>1: Generator</w:t>
                      </w:r>
                    </w:p>
                    <w:p w14:paraId="17BF1E5C" w14:textId="77777777" w:rsidR="00303D7A" w:rsidRPr="009E61E7" w:rsidRDefault="00303D7A" w:rsidP="009E61E7">
                      <w:pPr>
                        <w:spacing w:after="0" w:line="240" w:lineRule="auto"/>
                        <w:contextualSpacing/>
                        <w:rPr>
                          <w:rFonts w:ascii="Arial" w:hAnsi="Arial" w:cs="Arial"/>
                          <w:sz w:val="20"/>
                          <w:szCs w:val="20"/>
                        </w:rPr>
                      </w:pPr>
                      <w:r w:rsidRPr="009E61E7">
                        <w:rPr>
                          <w:rFonts w:ascii="Arial" w:hAnsi="Arial" w:cs="Arial"/>
                          <w:sz w:val="20"/>
                          <w:szCs w:val="20"/>
                        </w:rPr>
                        <w:t>2: Connecting wire to the cathode</w:t>
                      </w:r>
                    </w:p>
                    <w:p w14:paraId="19FC6A05" w14:textId="77777777" w:rsidR="00303D7A" w:rsidRPr="009E61E7" w:rsidRDefault="00303D7A" w:rsidP="009E61E7">
                      <w:pPr>
                        <w:spacing w:after="0" w:line="240" w:lineRule="auto"/>
                        <w:contextualSpacing/>
                        <w:rPr>
                          <w:rFonts w:ascii="Arial" w:hAnsi="Arial" w:cs="Arial"/>
                          <w:sz w:val="20"/>
                          <w:szCs w:val="20"/>
                        </w:rPr>
                      </w:pPr>
                      <w:r w:rsidRPr="009E61E7">
                        <w:rPr>
                          <w:rFonts w:ascii="Arial" w:hAnsi="Arial" w:cs="Arial"/>
                          <w:sz w:val="20"/>
                          <w:szCs w:val="20"/>
                        </w:rPr>
                        <w:t>3: Connecting wire to the anode</w:t>
                      </w:r>
                    </w:p>
                    <w:p w14:paraId="389B8287" w14:textId="77777777" w:rsidR="00303D7A" w:rsidRPr="009E61E7" w:rsidRDefault="00303D7A" w:rsidP="009E61E7">
                      <w:pPr>
                        <w:spacing w:after="0" w:line="240" w:lineRule="auto"/>
                        <w:contextualSpacing/>
                        <w:rPr>
                          <w:rFonts w:ascii="Arial" w:hAnsi="Arial" w:cs="Arial"/>
                          <w:sz w:val="20"/>
                          <w:szCs w:val="20"/>
                        </w:rPr>
                      </w:pPr>
                    </w:p>
                  </w:txbxContent>
                </v:textbox>
                <w10:wrap anchorx="margin"/>
              </v:shape>
            </w:pict>
          </mc:Fallback>
        </mc:AlternateContent>
      </w:r>
      <w:r w:rsidRPr="009E61E7">
        <w:rPr>
          <w:rFonts w:ascii="Arial" w:hAnsi="Arial" w:cs="Arial"/>
          <w:noProof/>
          <w:sz w:val="20"/>
          <w:szCs w:val="20"/>
        </w:rPr>
        <mc:AlternateContent>
          <mc:Choice Requires="wps">
            <w:drawing>
              <wp:anchor distT="0" distB="0" distL="114300" distR="114300" simplePos="0" relativeHeight="251661312" behindDoc="0" locked="0" layoutInCell="1" allowOverlap="1" wp14:anchorId="7F273E16" wp14:editId="1CCC720A">
                <wp:simplePos x="0" y="0"/>
                <wp:positionH relativeFrom="margin">
                  <wp:posOffset>2987040</wp:posOffset>
                </wp:positionH>
                <wp:positionV relativeFrom="paragraph">
                  <wp:posOffset>2294890</wp:posOffset>
                </wp:positionV>
                <wp:extent cx="1171575" cy="533400"/>
                <wp:effectExtent l="0" t="0" r="0" b="0"/>
                <wp:wrapNone/>
                <wp:docPr id="1649443341" name="Zone de texte 4"/>
                <wp:cNvGraphicFramePr/>
                <a:graphic xmlns:a="http://schemas.openxmlformats.org/drawingml/2006/main">
                  <a:graphicData uri="http://schemas.microsoft.com/office/word/2010/wordprocessingShape">
                    <wps:wsp>
                      <wps:cNvSpPr txBox="1"/>
                      <wps:spPr>
                        <a:xfrm>
                          <a:off x="0" y="0"/>
                          <a:ext cx="1171575" cy="533400"/>
                        </a:xfrm>
                        <a:prstGeom prst="rect">
                          <a:avLst/>
                        </a:prstGeom>
                        <a:noFill/>
                        <a:ln w="6350">
                          <a:noFill/>
                        </a:ln>
                      </wps:spPr>
                      <wps:txbx>
                        <w:txbxContent>
                          <w:p w14:paraId="48C2A868" w14:textId="77777777" w:rsidR="00E06C75" w:rsidRPr="009E61E7" w:rsidRDefault="00E06C75" w:rsidP="00E06C75">
                            <w:pPr>
                              <w:spacing w:after="0" w:line="240" w:lineRule="auto"/>
                              <w:contextualSpacing/>
                              <w:rPr>
                                <w:rFonts w:ascii="Arial" w:hAnsi="Arial" w:cs="Arial"/>
                                <w:sz w:val="20"/>
                                <w:szCs w:val="20"/>
                              </w:rPr>
                            </w:pPr>
                            <w:r w:rsidRPr="009E61E7">
                              <w:rPr>
                                <w:rFonts w:ascii="Arial" w:hAnsi="Arial" w:cs="Arial"/>
                                <w:sz w:val="20"/>
                                <w:szCs w:val="20"/>
                              </w:rPr>
                              <w:t>4: Electrolytic cell</w:t>
                            </w:r>
                          </w:p>
                          <w:p w14:paraId="6EC3785E" w14:textId="77777777" w:rsidR="00E06C75" w:rsidRPr="009E61E7" w:rsidRDefault="00E06C75" w:rsidP="00E06C75">
                            <w:pPr>
                              <w:spacing w:after="0" w:line="240" w:lineRule="auto"/>
                              <w:contextualSpacing/>
                              <w:rPr>
                                <w:rFonts w:ascii="Arial" w:hAnsi="Arial" w:cs="Arial"/>
                                <w:sz w:val="20"/>
                                <w:szCs w:val="20"/>
                              </w:rPr>
                            </w:pPr>
                            <w:r w:rsidRPr="009E61E7">
                              <w:rPr>
                                <w:rFonts w:ascii="Arial" w:hAnsi="Arial" w:cs="Arial"/>
                                <w:sz w:val="20"/>
                                <w:szCs w:val="20"/>
                              </w:rPr>
                              <w:t>5: Anode</w:t>
                            </w:r>
                          </w:p>
                          <w:p w14:paraId="3CDD0C79" w14:textId="4ED20158" w:rsidR="00E06C75" w:rsidRPr="009E61E7" w:rsidRDefault="00E06C75" w:rsidP="009E61E7">
                            <w:pPr>
                              <w:spacing w:after="0" w:line="240" w:lineRule="auto"/>
                              <w:contextualSpacing/>
                              <w:rPr>
                                <w:rFonts w:ascii="Arial" w:hAnsi="Arial" w:cs="Arial"/>
                                <w:sz w:val="20"/>
                                <w:szCs w:val="20"/>
                              </w:rPr>
                            </w:pPr>
                            <w:r w:rsidRPr="009E61E7">
                              <w:rPr>
                                <w:rFonts w:ascii="Arial" w:hAnsi="Arial" w:cs="Arial"/>
                                <w:sz w:val="20"/>
                                <w:szCs w:val="20"/>
                              </w:rPr>
                              <w:t>6: Cathode</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73E16" id="_x0000_s1027" type="#_x0000_t202" style="position:absolute;left:0;text-align:left;margin-left:235.2pt;margin-top:180.7pt;width:92.25pt;height:4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" filled="f" stroked="f" strokeweight=".5pt">
                <v:textbox>
                  <w:txbxContent>
                    <w:p w14:paraId="48C2A868" w14:textId="77777777" w:rsidR="00E06C75" w:rsidRPr="009E61E7" w:rsidRDefault="00E06C75" w:rsidP="00E06C75">
                      <w:pPr>
                        <w:spacing w:after="0" w:line="240" w:lineRule="auto"/>
                        <w:contextualSpacing/>
                        <w:rPr>
                          <w:rFonts w:ascii="Arial" w:hAnsi="Arial" w:cs="Arial"/>
                          <w:sz w:val="20"/>
                          <w:szCs w:val="20"/>
                        </w:rPr>
                      </w:pPr>
                      <w:r w:rsidRPr="009E61E7">
                        <w:rPr>
                          <w:rFonts w:ascii="Arial" w:hAnsi="Arial" w:cs="Arial"/>
                          <w:sz w:val="20"/>
                          <w:szCs w:val="20"/>
                        </w:rPr>
                        <w:t>4: Electrolytic cell</w:t>
                      </w:r>
                    </w:p>
                    <w:p w14:paraId="6EC3785E" w14:textId="77777777" w:rsidR="00E06C75" w:rsidRPr="009E61E7" w:rsidRDefault="00E06C75" w:rsidP="00E06C75">
                      <w:pPr>
                        <w:spacing w:after="0" w:line="240" w:lineRule="auto"/>
                        <w:contextualSpacing/>
                        <w:rPr>
                          <w:rFonts w:ascii="Arial" w:hAnsi="Arial" w:cs="Arial"/>
                          <w:sz w:val="20"/>
                          <w:szCs w:val="20"/>
                        </w:rPr>
                      </w:pPr>
                      <w:r w:rsidRPr="009E61E7">
                        <w:rPr>
                          <w:rFonts w:ascii="Arial" w:hAnsi="Arial" w:cs="Arial"/>
                          <w:sz w:val="20"/>
                          <w:szCs w:val="20"/>
                        </w:rPr>
                        <w:t>5: Anode</w:t>
                      </w:r>
                    </w:p>
                    <w:p w14:paraId="3CDD0C79" w14:textId="4ED20158" w:rsidR="00E06C75" w:rsidRPr="009E61E7" w:rsidRDefault="00E06C75" w:rsidP="009E61E7">
                      <w:pPr>
                        <w:spacing w:after="0" w:line="240" w:lineRule="auto"/>
                        <w:contextualSpacing/>
                        <w:rPr>
                          <w:rFonts w:ascii="Arial" w:hAnsi="Arial" w:cs="Arial"/>
                          <w:sz w:val="20"/>
                          <w:szCs w:val="20"/>
                        </w:rPr>
                      </w:pPr>
                      <w:r w:rsidRPr="009E61E7">
                        <w:rPr>
                          <w:rFonts w:ascii="Arial" w:hAnsi="Arial" w:cs="Arial"/>
                          <w:sz w:val="20"/>
                          <w:szCs w:val="20"/>
                        </w:rPr>
                        <w:t>6: Cathode</w:t>
                      </w:r>
                    </w:p>
                  </w:txbxContent>
                </v:textbox>
                <w10:wrap anchorx="margin"/>
              </v:shape>
            </w:pict>
          </mc:Fallback>
        </mc:AlternateContent>
      </w:r>
      <w:r w:rsidR="00303D7A" w:rsidRPr="009E61E7">
        <w:rPr>
          <w:rFonts w:ascii="Arial" w:hAnsi="Arial" w:cs="Arial"/>
          <w:noProof/>
          <w:sz w:val="20"/>
          <w:szCs w:val="20"/>
        </w:rPr>
        <w:drawing>
          <wp:inline distT="0" distB="0" distL="0" distR="0" wp14:anchorId="749208CE" wp14:editId="3B8D8FB9">
            <wp:extent cx="3486150" cy="2314575"/>
            <wp:effectExtent l="0" t="0" r="0" b="9525"/>
            <wp:docPr id="142673747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814027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86150" cy="2314575"/>
                    </a:xfrm>
                    <a:prstGeom prst="rect">
                      <a:avLst/>
                    </a:prstGeom>
                    <a:noFill/>
                    <a:ln>
                      <a:noFill/>
                    </a:ln>
                  </pic:spPr>
                </pic:pic>
              </a:graphicData>
            </a:graphic>
          </wp:inline>
        </w:drawing>
      </w:r>
    </w:p>
    <w:p w14:paraId="602DE528" w14:textId="77777777" w:rsidR="00E06C75" w:rsidRDefault="00E06C75" w:rsidP="009E61E7">
      <w:pPr>
        <w:spacing w:after="0" w:line="240" w:lineRule="auto"/>
        <w:ind w:right="113"/>
        <w:contextualSpacing/>
        <w:jc w:val="center"/>
        <w:rPr>
          <w:rFonts w:ascii="Arial" w:hAnsi="Arial" w:cs="Arial"/>
          <w:b/>
          <w:bCs/>
          <w:sz w:val="20"/>
          <w:szCs w:val="20"/>
        </w:rPr>
      </w:pPr>
    </w:p>
    <w:p w14:paraId="1BDE8C40" w14:textId="77777777" w:rsidR="00E06C75" w:rsidRDefault="00E06C75" w:rsidP="009E61E7">
      <w:pPr>
        <w:spacing w:after="0" w:line="240" w:lineRule="auto"/>
        <w:ind w:right="113"/>
        <w:contextualSpacing/>
        <w:jc w:val="center"/>
        <w:rPr>
          <w:rFonts w:ascii="Arial" w:hAnsi="Arial" w:cs="Arial"/>
          <w:b/>
          <w:bCs/>
          <w:sz w:val="20"/>
          <w:szCs w:val="20"/>
        </w:rPr>
      </w:pPr>
    </w:p>
    <w:p w14:paraId="054850B7" w14:textId="77777777" w:rsidR="00E06C75" w:rsidRDefault="00E06C75" w:rsidP="009E61E7">
      <w:pPr>
        <w:spacing w:after="0" w:line="240" w:lineRule="auto"/>
        <w:ind w:right="113"/>
        <w:contextualSpacing/>
        <w:jc w:val="center"/>
        <w:rPr>
          <w:rFonts w:ascii="Arial" w:hAnsi="Arial" w:cs="Arial"/>
          <w:b/>
          <w:bCs/>
          <w:sz w:val="20"/>
          <w:szCs w:val="20"/>
        </w:rPr>
      </w:pPr>
    </w:p>
    <w:p w14:paraId="6C8B7426" w14:textId="77777777" w:rsidR="00E06C75" w:rsidRDefault="00E06C75" w:rsidP="009E61E7">
      <w:pPr>
        <w:spacing w:after="0" w:line="240" w:lineRule="auto"/>
        <w:ind w:right="113"/>
        <w:contextualSpacing/>
        <w:jc w:val="center"/>
        <w:rPr>
          <w:rFonts w:ascii="Arial" w:hAnsi="Arial" w:cs="Arial"/>
          <w:b/>
          <w:bCs/>
          <w:sz w:val="20"/>
          <w:szCs w:val="20"/>
        </w:rPr>
      </w:pPr>
    </w:p>
    <w:p w14:paraId="3C99D08F" w14:textId="3F1D9289" w:rsidR="00303D7A" w:rsidRPr="00E06C75" w:rsidRDefault="00303D7A" w:rsidP="009E61E7">
      <w:pPr>
        <w:spacing w:after="0" w:line="240" w:lineRule="auto"/>
        <w:ind w:right="113"/>
        <w:contextualSpacing/>
        <w:jc w:val="center"/>
        <w:rPr>
          <w:rFonts w:ascii="Arial" w:hAnsi="Arial" w:cs="Arial"/>
          <w:b/>
          <w:bCs/>
          <w:sz w:val="20"/>
          <w:szCs w:val="20"/>
        </w:rPr>
      </w:pPr>
      <w:r w:rsidRPr="00E06C75">
        <w:rPr>
          <w:rFonts w:ascii="Arial" w:hAnsi="Arial" w:cs="Arial"/>
          <w:b/>
          <w:bCs/>
          <w:sz w:val="20"/>
          <w:szCs w:val="20"/>
        </w:rPr>
        <w:t>Figure 1:  Assembly of experimental device</w:t>
      </w:r>
    </w:p>
    <w:p w14:paraId="73E2D0BE" w14:textId="77777777" w:rsidR="00303D7A" w:rsidRPr="00D91081" w:rsidRDefault="00303D7A" w:rsidP="00D91081">
      <w:pPr>
        <w:pStyle w:val="ListParagraph"/>
        <w:numPr>
          <w:ilvl w:val="2"/>
          <w:numId w:val="1"/>
        </w:numPr>
        <w:spacing w:before="240" w:after="0" w:line="240" w:lineRule="auto"/>
        <w:ind w:left="454" w:hanging="454"/>
        <w:contextualSpacing w:val="0"/>
        <w:jc w:val="both"/>
        <w:rPr>
          <w:rFonts w:ascii="Arial" w:hAnsi="Arial" w:cs="Arial"/>
          <w:b/>
          <w:bCs/>
          <w:sz w:val="20"/>
          <w:szCs w:val="20"/>
          <w:u w:val="single"/>
        </w:rPr>
      </w:pPr>
      <w:r w:rsidRPr="00D91081">
        <w:rPr>
          <w:rFonts w:ascii="Arial" w:hAnsi="Arial" w:cs="Arial"/>
          <w:b/>
          <w:bCs/>
          <w:sz w:val="20"/>
          <w:szCs w:val="20"/>
          <w:u w:val="single"/>
        </w:rPr>
        <w:t xml:space="preserve">Current Intensity and Voltage to Apply </w:t>
      </w:r>
    </w:p>
    <w:p w14:paraId="5F6EFE36" w14:textId="77777777" w:rsidR="00303D7A" w:rsidRPr="009E61E7" w:rsidRDefault="00303D7A" w:rsidP="009E61E7">
      <w:pPr>
        <w:spacing w:after="0" w:line="240" w:lineRule="auto"/>
        <w:contextualSpacing/>
        <w:jc w:val="both"/>
        <w:rPr>
          <w:rFonts w:ascii="Arial" w:hAnsi="Arial" w:cs="Arial"/>
          <w:sz w:val="20"/>
          <w:szCs w:val="20"/>
        </w:rPr>
      </w:pPr>
      <w:r w:rsidRPr="009E61E7">
        <w:rPr>
          <w:rFonts w:ascii="Arial" w:hAnsi="Arial" w:cs="Arial"/>
          <w:sz w:val="20"/>
          <w:szCs w:val="20"/>
        </w:rPr>
        <w:t>Copper (Cu), atomic number 29 and molar mass 63.5 g·mol</w:t>
      </w:r>
      <w:r w:rsidRPr="009E61E7">
        <w:rPr>
          <w:rFonts w:ascii="Cambria Math" w:hAnsi="Cambria Math" w:cs="Cambria Math"/>
          <w:sz w:val="20"/>
          <w:szCs w:val="20"/>
        </w:rPr>
        <w:t>⁻</w:t>
      </w:r>
      <w:r w:rsidRPr="009E61E7">
        <w:rPr>
          <w:rFonts w:ascii="Arial" w:hAnsi="Arial" w:cs="Arial"/>
          <w:sz w:val="20"/>
          <w:szCs w:val="20"/>
        </w:rPr>
        <w:t>¹, is an excellent conductor of heat and electricity (International Copper Study Group, 2020). The Pourbaix diagram of copper (see Figure 2) helps identify the stable species (Cu, Cu</w:t>
      </w:r>
      <w:r w:rsidRPr="009E61E7">
        <w:rPr>
          <w:rFonts w:ascii="Cambria Math" w:hAnsi="Cambria Math" w:cs="Cambria Math"/>
          <w:sz w:val="20"/>
          <w:szCs w:val="20"/>
        </w:rPr>
        <w:t>⁺</w:t>
      </w:r>
      <w:r w:rsidRPr="009E61E7">
        <w:rPr>
          <w:rFonts w:ascii="Arial" w:hAnsi="Arial" w:cs="Arial"/>
          <w:sz w:val="20"/>
          <w:szCs w:val="20"/>
        </w:rPr>
        <w:t>, Cu²</w:t>
      </w:r>
      <w:r w:rsidRPr="009E61E7">
        <w:rPr>
          <w:rFonts w:ascii="Cambria Math" w:hAnsi="Cambria Math" w:cs="Cambria Math"/>
          <w:sz w:val="20"/>
          <w:szCs w:val="20"/>
        </w:rPr>
        <w:t>⁺</w:t>
      </w:r>
      <w:r w:rsidRPr="009E61E7">
        <w:rPr>
          <w:rFonts w:ascii="Arial" w:hAnsi="Arial" w:cs="Arial"/>
          <w:sz w:val="20"/>
          <w:szCs w:val="20"/>
        </w:rPr>
        <w:t>) depending on the pH and electrochemical potential, which guides the optimal conditions for deposition during electrowinning. The Pourbaix diagram of copper shows that Cu²</w:t>
      </w:r>
      <w:r w:rsidRPr="009E61E7">
        <w:rPr>
          <w:rFonts w:ascii="Cambria Math" w:hAnsi="Cambria Math" w:cs="Cambria Math"/>
          <w:sz w:val="20"/>
          <w:szCs w:val="20"/>
        </w:rPr>
        <w:t>⁺</w:t>
      </w:r>
      <w:r w:rsidRPr="009E61E7">
        <w:rPr>
          <w:rFonts w:ascii="Arial" w:hAnsi="Arial" w:cs="Arial"/>
          <w:sz w:val="20"/>
          <w:szCs w:val="20"/>
        </w:rPr>
        <w:t xml:space="preserve"> ions are stable at a pH range from -2 to 4 with a redox potential between 0.3 V and 1.3 V (relative to the standard hydrogen electrode).</w:t>
      </w:r>
    </w:p>
    <w:p w14:paraId="401B3AC1" w14:textId="77777777" w:rsidR="00303D7A" w:rsidRPr="009E61E7" w:rsidRDefault="00303D7A" w:rsidP="009E61E7">
      <w:pPr>
        <w:spacing w:after="0" w:line="240" w:lineRule="auto"/>
        <w:contextualSpacing/>
        <w:jc w:val="both"/>
        <w:rPr>
          <w:rFonts w:ascii="Arial" w:hAnsi="Arial" w:cs="Arial"/>
          <w:sz w:val="20"/>
          <w:szCs w:val="20"/>
        </w:rPr>
      </w:pPr>
      <w:r w:rsidRPr="009E61E7">
        <w:rPr>
          <w:rFonts w:ascii="Arial" w:hAnsi="Arial" w:cs="Arial"/>
          <w:sz w:val="20"/>
          <w:szCs w:val="20"/>
        </w:rPr>
        <w:t>Aluminum, with atomic number 13 and a molar mass of 27 g·mol</w:t>
      </w:r>
      <w:r w:rsidRPr="009E61E7">
        <w:rPr>
          <w:rFonts w:ascii="Cambria Math" w:hAnsi="Cambria Math" w:cs="Cambria Math"/>
          <w:sz w:val="20"/>
          <w:szCs w:val="20"/>
        </w:rPr>
        <w:t>⁻</w:t>
      </w:r>
      <w:r w:rsidRPr="009E61E7">
        <w:rPr>
          <w:rFonts w:ascii="Arial" w:hAnsi="Arial" w:cs="Arial"/>
          <w:sz w:val="20"/>
          <w:szCs w:val="20"/>
        </w:rPr>
        <w:t>¹, is a highly reducing metal (INRS, 2021). According to its Pourbaix diagram (Figure 2), Al³</w:t>
      </w:r>
      <w:r w:rsidRPr="009E61E7">
        <w:rPr>
          <w:rFonts w:ascii="Cambria Math" w:hAnsi="Cambria Math" w:cs="Cambria Math"/>
          <w:sz w:val="20"/>
          <w:szCs w:val="20"/>
        </w:rPr>
        <w:t>⁺</w:t>
      </w:r>
      <w:r w:rsidRPr="009E61E7">
        <w:rPr>
          <w:rFonts w:ascii="Arial" w:hAnsi="Arial" w:cs="Arial"/>
          <w:sz w:val="20"/>
          <w:szCs w:val="20"/>
        </w:rPr>
        <w:t xml:space="preserve"> ions are stable at a pH between approximately –2 and 2, and at a redox potential ranging from 0.2 V to 2.4 V (relative to the standard hydrogen electrode).</w:t>
      </w:r>
    </w:p>
    <w:p w14:paraId="6FA9CF7C" w14:textId="77777777" w:rsidR="00303D7A" w:rsidRPr="009E61E7" w:rsidRDefault="00303D7A" w:rsidP="009E61E7">
      <w:pPr>
        <w:spacing w:after="0" w:line="240" w:lineRule="auto"/>
        <w:contextualSpacing/>
        <w:jc w:val="both"/>
        <w:rPr>
          <w:rFonts w:ascii="Arial" w:hAnsi="Arial" w:cs="Arial"/>
          <w:b/>
          <w:bCs/>
          <w:sz w:val="20"/>
          <w:szCs w:val="20"/>
        </w:rPr>
      </w:pPr>
      <w:r w:rsidRPr="009E61E7">
        <w:rPr>
          <w:rFonts w:ascii="Arial" w:hAnsi="Arial" w:cs="Arial"/>
          <w:b/>
          <w:bCs/>
          <w:sz w:val="20"/>
          <w:szCs w:val="20"/>
        </w:rPr>
        <w:t xml:space="preserve">Current intensity I to be used: </w:t>
      </w:r>
    </w:p>
    <w:p w14:paraId="6089ABED" w14:textId="77777777" w:rsidR="00303D7A" w:rsidRPr="009E61E7" w:rsidRDefault="00303D7A" w:rsidP="009E61E7">
      <w:pPr>
        <w:spacing w:after="0" w:line="240" w:lineRule="auto"/>
        <w:contextualSpacing/>
        <w:jc w:val="both"/>
        <w:rPr>
          <w:rFonts w:ascii="Arial" w:hAnsi="Arial" w:cs="Arial"/>
          <w:sz w:val="20"/>
          <w:szCs w:val="20"/>
        </w:rPr>
      </w:pPr>
      <w:r w:rsidRPr="009E61E7">
        <w:rPr>
          <w:rFonts w:ascii="Arial" w:hAnsi="Arial" w:cs="Arial"/>
          <w:sz w:val="20"/>
          <w:szCs w:val="20"/>
        </w:rPr>
        <w:t xml:space="preserve">I </w:t>
      </w:r>
      <m:oMath>
        <m:r>
          <m:rPr>
            <m:sty m:val="p"/>
          </m:rPr>
          <w:rPr>
            <w:rFonts w:ascii="Cambria Math" w:hAnsi="Cambria Math" w:cs="Arial"/>
            <w:sz w:val="20"/>
            <w:szCs w:val="20"/>
          </w:rPr>
          <m:t xml:space="preserve">= </m:t>
        </m:r>
        <m:f>
          <m:fPr>
            <m:ctrlPr>
              <w:rPr>
                <w:rFonts w:ascii="Cambria Math" w:hAnsi="Cambria Math" w:cs="Arial"/>
                <w:sz w:val="20"/>
                <w:szCs w:val="20"/>
              </w:rPr>
            </m:ctrlPr>
          </m:fPr>
          <m:num>
            <m:r>
              <m:rPr>
                <m:sty m:val="p"/>
              </m:rPr>
              <w:rPr>
                <w:rFonts w:ascii="Cambria Math" w:hAnsi="Cambria Math" w:cs="Arial"/>
                <w:sz w:val="20"/>
                <w:szCs w:val="20"/>
              </w:rPr>
              <m:t>Q</m:t>
            </m:r>
          </m:num>
          <m:den>
            <m:r>
              <m:rPr>
                <m:sty m:val="p"/>
              </m:rPr>
              <w:rPr>
                <w:rFonts w:ascii="Cambria Math" w:hAnsi="Cambria Math" w:cs="Arial"/>
                <w:sz w:val="20"/>
                <w:szCs w:val="20"/>
              </w:rPr>
              <m:t>t</m:t>
            </m:r>
          </m:den>
        </m:f>
      </m:oMath>
      <w:r w:rsidRPr="009E61E7">
        <w:rPr>
          <w:rFonts w:ascii="Arial" w:hAnsi="Arial" w:cs="Arial"/>
          <w:sz w:val="20"/>
          <w:szCs w:val="20"/>
        </w:rPr>
        <w:t xml:space="preserve"> . According to Faraday’s law, I </w:t>
      </w:r>
      <m:oMath>
        <m:r>
          <m:rPr>
            <m:sty m:val="p"/>
          </m:rPr>
          <w:rPr>
            <w:rFonts w:ascii="Cambria Math" w:hAnsi="Cambria Math" w:cs="Arial"/>
            <w:sz w:val="20"/>
            <w:szCs w:val="20"/>
          </w:rPr>
          <m:t xml:space="preserve">= </m:t>
        </m:r>
        <m:f>
          <m:fPr>
            <m:ctrlPr>
              <w:rPr>
                <w:rFonts w:ascii="Cambria Math" w:hAnsi="Cambria Math" w:cs="Arial"/>
                <w:sz w:val="20"/>
                <w:szCs w:val="20"/>
              </w:rPr>
            </m:ctrlPr>
          </m:fPr>
          <m:num>
            <m:r>
              <m:rPr>
                <m:sty m:val="p"/>
              </m:rPr>
              <w:rPr>
                <w:rFonts w:ascii="Cambria Math" w:hAnsi="Cambria Math" w:cs="Arial"/>
                <w:sz w:val="20"/>
                <w:szCs w:val="20"/>
              </w:rPr>
              <m:t>e</m:t>
            </m:r>
            <m:sSub>
              <m:sSubPr>
                <m:ctrlPr>
                  <w:rPr>
                    <w:rFonts w:ascii="Cambria Math" w:hAnsi="Cambria Math" w:cs="Arial"/>
                    <w:sz w:val="20"/>
                    <w:szCs w:val="20"/>
                  </w:rPr>
                </m:ctrlPr>
              </m:sSubPr>
              <m:e>
                <m:r>
                  <m:rPr>
                    <m:sty m:val="p"/>
                  </m:rPr>
                  <w:rPr>
                    <w:rFonts w:ascii="Cambria Math" w:hAnsi="Cambria Math" w:cs="Arial"/>
                    <w:sz w:val="20"/>
                    <w:szCs w:val="20"/>
                  </w:rPr>
                  <m:t>×N</m:t>
                </m:r>
              </m:e>
              <m:sub>
                <m:r>
                  <m:rPr>
                    <m:sty m:val="p"/>
                  </m:rPr>
                  <w:rPr>
                    <w:rFonts w:ascii="Cambria Math" w:hAnsi="Cambria Math" w:cs="Arial"/>
                    <w:sz w:val="20"/>
                    <w:szCs w:val="20"/>
                  </w:rPr>
                  <m:t>A</m:t>
                </m:r>
              </m:sub>
            </m:sSub>
            <m:r>
              <m:rPr>
                <m:sty m:val="p"/>
              </m:rPr>
              <w:rPr>
                <w:rFonts w:ascii="Cambria Math" w:hAnsi="Cambria Math" w:cs="Arial"/>
                <w:sz w:val="20"/>
                <w:szCs w:val="20"/>
              </w:rPr>
              <m:t>×</m:t>
            </m:r>
            <m:sSub>
              <m:sSubPr>
                <m:ctrlPr>
                  <w:rPr>
                    <w:rFonts w:ascii="Cambria Math" w:hAnsi="Cambria Math" w:cs="Arial"/>
                    <w:sz w:val="20"/>
                    <w:szCs w:val="20"/>
                  </w:rPr>
                </m:ctrlPr>
              </m:sSubPr>
              <m:e>
                <m:r>
                  <m:rPr>
                    <m:sty m:val="p"/>
                  </m:rPr>
                  <w:rPr>
                    <w:rFonts w:ascii="Cambria Math" w:hAnsi="Cambria Math" w:cs="Arial"/>
                    <w:sz w:val="20"/>
                    <w:szCs w:val="20"/>
                  </w:rPr>
                  <m:t>m</m:t>
                </m:r>
              </m:e>
              <m:sub>
                <m:r>
                  <m:rPr>
                    <m:sty m:val="p"/>
                  </m:rPr>
                  <w:rPr>
                    <w:rFonts w:ascii="Cambria Math" w:hAnsi="Cambria Math" w:cs="Arial"/>
                    <w:sz w:val="20"/>
                    <w:szCs w:val="20"/>
                  </w:rPr>
                  <m:t>o</m:t>
                </m:r>
              </m:sub>
            </m:sSub>
            <m:r>
              <m:rPr>
                <m:sty m:val="p"/>
              </m:rPr>
              <w:rPr>
                <w:rFonts w:ascii="Cambria Math" w:hAnsi="Cambria Math" w:cs="Arial"/>
                <w:sz w:val="20"/>
                <w:szCs w:val="20"/>
              </w:rPr>
              <m:t>(Metal)×</m:t>
            </m:r>
            <m:sSub>
              <m:sSubPr>
                <m:ctrlPr>
                  <w:rPr>
                    <w:rFonts w:ascii="Cambria Math" w:hAnsi="Cambria Math" w:cs="Arial"/>
                    <w:sz w:val="20"/>
                    <w:szCs w:val="20"/>
                  </w:rPr>
                </m:ctrlPr>
              </m:sSubPr>
              <m:e>
                <m:r>
                  <m:rPr>
                    <m:sty m:val="p"/>
                  </m:rPr>
                  <w:rPr>
                    <w:rFonts w:ascii="Cambria Math" w:hAnsi="Cambria Math" w:cs="Arial"/>
                    <w:sz w:val="20"/>
                    <w:szCs w:val="20"/>
                  </w:rPr>
                  <m:t>Z</m:t>
                </m:r>
              </m:e>
              <m:sub>
                <m:r>
                  <m:rPr>
                    <m:sty m:val="p"/>
                  </m:rPr>
                  <w:rPr>
                    <w:rFonts w:ascii="Cambria Math" w:hAnsi="Cambria Math" w:cs="Arial"/>
                    <w:sz w:val="20"/>
                    <w:szCs w:val="20"/>
                  </w:rPr>
                  <m:t>Metal</m:t>
                </m:r>
              </m:sub>
            </m:sSub>
          </m:num>
          <m:den>
            <m:r>
              <m:rPr>
                <m:sty m:val="p"/>
              </m:rPr>
              <w:rPr>
                <w:rFonts w:ascii="Cambria Math" w:hAnsi="Cambria Math" w:cs="Arial"/>
                <w:sz w:val="20"/>
                <w:szCs w:val="20"/>
              </w:rPr>
              <m:t>t×</m:t>
            </m:r>
            <m:sSub>
              <m:sSubPr>
                <m:ctrlPr>
                  <w:rPr>
                    <w:rFonts w:ascii="Cambria Math" w:hAnsi="Cambria Math" w:cs="Arial"/>
                    <w:sz w:val="20"/>
                    <w:szCs w:val="20"/>
                  </w:rPr>
                </m:ctrlPr>
              </m:sSubPr>
              <m:e>
                <m:r>
                  <m:rPr>
                    <m:sty m:val="p"/>
                  </m:rPr>
                  <w:rPr>
                    <w:rFonts w:ascii="Cambria Math" w:hAnsi="Cambria Math" w:cs="Arial"/>
                    <w:sz w:val="20"/>
                    <w:szCs w:val="20"/>
                  </w:rPr>
                  <m:t>M</m:t>
                </m:r>
              </m:e>
              <m:sub>
                <m:r>
                  <m:rPr>
                    <m:sty m:val="p"/>
                  </m:rPr>
                  <w:rPr>
                    <w:rFonts w:ascii="Cambria Math" w:hAnsi="Cambria Math" w:cs="Arial"/>
                    <w:sz w:val="20"/>
                    <w:szCs w:val="20"/>
                  </w:rPr>
                  <m:t>Metal</m:t>
                </m:r>
              </m:sub>
            </m:sSub>
          </m:den>
        </m:f>
      </m:oMath>
      <w:r w:rsidRPr="009E61E7">
        <w:rPr>
          <w:rFonts w:ascii="Arial" w:hAnsi="Arial" w:cs="Arial"/>
          <w:sz w:val="20"/>
          <w:szCs w:val="20"/>
        </w:rPr>
        <w:t xml:space="preserve"> = (0.23 A for copper and 2.91 A for aluminum for a duration of t = 1 hour), with I = current intensity, Q = quantity of electricity, t = deposition time, e = elementary charge (e = 1.6 × 10</w:t>
      </w:r>
      <w:r w:rsidRPr="009E61E7">
        <w:rPr>
          <w:rFonts w:ascii="Cambria Math" w:hAnsi="Cambria Math" w:cs="Cambria Math"/>
          <w:sz w:val="20"/>
          <w:szCs w:val="20"/>
        </w:rPr>
        <w:t>⁻</w:t>
      </w:r>
      <w:r w:rsidRPr="009E61E7">
        <w:rPr>
          <w:rFonts w:ascii="Arial" w:hAnsi="Arial" w:cs="Arial"/>
          <w:sz w:val="20"/>
          <w:szCs w:val="20"/>
        </w:rPr>
        <w:t xml:space="preserve">¹⁹ C), </w:t>
      </w:r>
      <m:oMath>
        <m:sSub>
          <m:sSubPr>
            <m:ctrlPr>
              <w:rPr>
                <w:rFonts w:ascii="Cambria Math" w:hAnsi="Cambria Math" w:cs="Arial"/>
                <w:sz w:val="20"/>
                <w:szCs w:val="20"/>
              </w:rPr>
            </m:ctrlPr>
          </m:sSubPr>
          <m:e>
            <m:r>
              <m:rPr>
                <m:sty m:val="p"/>
              </m:rPr>
              <w:rPr>
                <w:rFonts w:ascii="Cambria Math" w:hAnsi="Cambria Math" w:cs="Arial"/>
                <w:sz w:val="20"/>
                <w:szCs w:val="20"/>
              </w:rPr>
              <m:t>N</m:t>
            </m:r>
          </m:e>
          <m:sub>
            <m:r>
              <m:rPr>
                <m:sty m:val="p"/>
              </m:rPr>
              <w:rPr>
                <w:rFonts w:ascii="Cambria Math" w:hAnsi="Cambria Math" w:cs="Arial"/>
                <w:sz w:val="20"/>
                <w:szCs w:val="20"/>
              </w:rPr>
              <m:t>A</m:t>
            </m:r>
          </m:sub>
        </m:sSub>
      </m:oMath>
      <w:r w:rsidRPr="009E61E7">
        <w:rPr>
          <w:rFonts w:ascii="Arial" w:hAnsi="Arial" w:cs="Arial"/>
          <w:sz w:val="20"/>
          <w:szCs w:val="20"/>
        </w:rPr>
        <w:t xml:space="preserve"> = Avogadro's constant (</w:t>
      </w:r>
      <m:oMath>
        <m:sSub>
          <m:sSubPr>
            <m:ctrlPr>
              <w:rPr>
                <w:rFonts w:ascii="Cambria Math" w:hAnsi="Cambria Math" w:cs="Arial"/>
                <w:sz w:val="20"/>
                <w:szCs w:val="20"/>
              </w:rPr>
            </m:ctrlPr>
          </m:sSubPr>
          <m:e>
            <m:r>
              <m:rPr>
                <m:sty m:val="p"/>
              </m:rPr>
              <w:rPr>
                <w:rFonts w:ascii="Cambria Math" w:hAnsi="Cambria Math" w:cs="Arial"/>
                <w:sz w:val="20"/>
                <w:szCs w:val="20"/>
              </w:rPr>
              <m:t>N</m:t>
            </m:r>
          </m:e>
          <m:sub>
            <m:r>
              <m:rPr>
                <m:sty m:val="p"/>
              </m:rPr>
              <w:rPr>
                <w:rFonts w:ascii="Cambria Math" w:hAnsi="Cambria Math" w:cs="Arial"/>
                <w:sz w:val="20"/>
                <w:szCs w:val="20"/>
              </w:rPr>
              <m:t>A</m:t>
            </m:r>
          </m:sub>
        </m:sSub>
      </m:oMath>
      <w:r w:rsidRPr="009E61E7">
        <w:rPr>
          <w:rFonts w:ascii="Arial" w:hAnsi="Arial" w:cs="Arial"/>
          <w:sz w:val="20"/>
          <w:szCs w:val="20"/>
        </w:rPr>
        <w:t xml:space="preserve"> = 6.02 × 10²³ mol</w:t>
      </w:r>
      <w:r w:rsidRPr="009E61E7">
        <w:rPr>
          <w:rFonts w:ascii="Cambria Math" w:hAnsi="Cambria Math" w:cs="Cambria Math"/>
          <w:sz w:val="20"/>
          <w:szCs w:val="20"/>
        </w:rPr>
        <w:t>⁻</w:t>
      </w:r>
      <w:r w:rsidRPr="009E61E7">
        <w:rPr>
          <w:rFonts w:ascii="Arial" w:hAnsi="Arial" w:cs="Arial"/>
          <w:sz w:val="20"/>
          <w:szCs w:val="20"/>
        </w:rPr>
        <w:t xml:space="preserve">¹), </w:t>
      </w:r>
      <m:oMath>
        <m:sSub>
          <m:sSubPr>
            <m:ctrlPr>
              <w:rPr>
                <w:rFonts w:ascii="Cambria Math" w:hAnsi="Cambria Math" w:cs="Arial"/>
                <w:sz w:val="20"/>
                <w:szCs w:val="20"/>
              </w:rPr>
            </m:ctrlPr>
          </m:sSubPr>
          <m:e>
            <m:r>
              <m:rPr>
                <m:sty m:val="p"/>
              </m:rPr>
              <w:rPr>
                <w:rFonts w:ascii="Cambria Math" w:hAnsi="Cambria Math" w:cs="Arial"/>
                <w:sz w:val="20"/>
                <w:szCs w:val="20"/>
              </w:rPr>
              <m:t>m</m:t>
            </m:r>
          </m:e>
          <m:sub>
            <m:r>
              <m:rPr>
                <m:sty m:val="p"/>
              </m:rPr>
              <w:rPr>
                <w:rFonts w:ascii="Cambria Math" w:hAnsi="Cambria Math" w:cs="Arial"/>
                <w:sz w:val="20"/>
                <w:szCs w:val="20"/>
              </w:rPr>
              <m:t>o</m:t>
            </m:r>
          </m:sub>
        </m:sSub>
        <m:r>
          <m:rPr>
            <m:sty m:val="p"/>
          </m:rPr>
          <w:rPr>
            <w:rFonts w:ascii="Cambria Math" w:hAnsi="Cambria Math" w:cs="Arial"/>
            <w:sz w:val="20"/>
            <w:szCs w:val="20"/>
          </w:rPr>
          <m:t>(Metal)</m:t>
        </m:r>
      </m:oMath>
      <w:r w:rsidRPr="009E61E7">
        <w:rPr>
          <w:rFonts w:ascii="Arial" w:hAnsi="Arial" w:cs="Arial"/>
          <w:sz w:val="20"/>
          <w:szCs w:val="20"/>
        </w:rPr>
        <w:t xml:space="preserve"> = mass of metal to be deposited, </w:t>
      </w:r>
      <m:oMath>
        <m:sSub>
          <m:sSubPr>
            <m:ctrlPr>
              <w:rPr>
                <w:rFonts w:ascii="Cambria Math" w:hAnsi="Cambria Math" w:cs="Arial"/>
                <w:iCs/>
                <w:sz w:val="20"/>
                <w:szCs w:val="20"/>
              </w:rPr>
            </m:ctrlPr>
          </m:sSubPr>
          <m:e>
            <m:r>
              <m:rPr>
                <m:sty m:val="p"/>
              </m:rPr>
              <w:rPr>
                <w:rFonts w:ascii="Cambria Math" w:hAnsi="Cambria Math" w:cs="Arial"/>
                <w:sz w:val="20"/>
                <w:szCs w:val="20"/>
              </w:rPr>
              <m:t>M</m:t>
            </m:r>
          </m:e>
          <m:sub>
            <m:r>
              <m:rPr>
                <m:sty m:val="p"/>
              </m:rPr>
              <w:rPr>
                <w:rFonts w:ascii="Cambria Math" w:hAnsi="Cambria Math" w:cs="Arial"/>
                <w:sz w:val="20"/>
                <w:szCs w:val="20"/>
              </w:rPr>
              <m:t>Metal</m:t>
            </m:r>
          </m:sub>
        </m:sSub>
      </m:oMath>
      <w:r w:rsidRPr="009E61E7">
        <w:rPr>
          <w:rFonts w:ascii="Arial" w:hAnsi="Arial" w:cs="Arial"/>
          <w:sz w:val="20"/>
          <w:szCs w:val="20"/>
        </w:rPr>
        <w:t xml:space="preserve"> = molar mass of metal, and </w:t>
      </w:r>
      <m:oMath>
        <m:sSub>
          <m:sSubPr>
            <m:ctrlPr>
              <w:rPr>
                <w:rFonts w:ascii="Cambria Math" w:hAnsi="Cambria Math" w:cs="Arial"/>
                <w:iCs/>
                <w:sz w:val="20"/>
                <w:szCs w:val="20"/>
              </w:rPr>
            </m:ctrlPr>
          </m:sSubPr>
          <m:e>
            <m:r>
              <m:rPr>
                <m:sty m:val="p"/>
              </m:rPr>
              <w:rPr>
                <w:rFonts w:ascii="Cambria Math" w:hAnsi="Cambria Math" w:cs="Arial"/>
                <w:sz w:val="20"/>
                <w:szCs w:val="20"/>
              </w:rPr>
              <m:t>Z</m:t>
            </m:r>
          </m:e>
          <m:sub>
            <m:r>
              <m:rPr>
                <m:sty m:val="p"/>
              </m:rPr>
              <w:rPr>
                <w:rFonts w:ascii="Cambria Math" w:hAnsi="Cambria Math" w:cs="Arial"/>
                <w:sz w:val="20"/>
                <w:szCs w:val="20"/>
              </w:rPr>
              <m:t>Metal</m:t>
            </m:r>
          </m:sub>
        </m:sSub>
      </m:oMath>
      <w:r w:rsidRPr="009E61E7">
        <w:rPr>
          <w:rFonts w:ascii="Arial" w:hAnsi="Arial" w:cs="Arial"/>
          <w:sz w:val="20"/>
          <w:szCs w:val="20"/>
        </w:rPr>
        <w:t xml:space="preserve"> = valence of metal (</w:t>
      </w:r>
      <m:oMath>
        <m:sSub>
          <m:sSubPr>
            <m:ctrlPr>
              <w:rPr>
                <w:rFonts w:ascii="Cambria Math" w:hAnsi="Cambria Math" w:cs="Arial"/>
                <w:iCs/>
                <w:sz w:val="20"/>
                <w:szCs w:val="20"/>
              </w:rPr>
            </m:ctrlPr>
          </m:sSubPr>
          <m:e>
            <m:r>
              <m:rPr>
                <m:sty m:val="p"/>
              </m:rPr>
              <w:rPr>
                <w:rFonts w:ascii="Cambria Math" w:hAnsi="Cambria Math" w:cs="Arial"/>
                <w:sz w:val="20"/>
                <w:szCs w:val="20"/>
              </w:rPr>
              <m:t>Z</m:t>
            </m:r>
          </m:e>
          <m:sub>
            <m:r>
              <m:rPr>
                <m:sty m:val="p"/>
              </m:rPr>
              <w:rPr>
                <w:rFonts w:ascii="Cambria Math" w:hAnsi="Cambria Math" w:cs="Arial"/>
                <w:sz w:val="20"/>
                <w:szCs w:val="20"/>
              </w:rPr>
              <m:t>Metal</m:t>
            </m:r>
          </m:sub>
        </m:sSub>
      </m:oMath>
      <w:r w:rsidRPr="009E61E7">
        <w:rPr>
          <w:rFonts w:ascii="Arial" w:hAnsi="Arial" w:cs="Arial"/>
          <w:sz w:val="20"/>
          <w:szCs w:val="20"/>
        </w:rPr>
        <w:t xml:space="preserve"> = 2 for copper and 3 for aluminum).</w:t>
      </w:r>
    </w:p>
    <w:p w14:paraId="1C9581E2" w14:textId="77777777" w:rsidR="00303D7A" w:rsidRPr="009E61E7" w:rsidRDefault="00303D7A" w:rsidP="009E61E7">
      <w:pPr>
        <w:spacing w:after="0" w:line="240" w:lineRule="auto"/>
        <w:contextualSpacing/>
        <w:jc w:val="both"/>
        <w:rPr>
          <w:rFonts w:ascii="Arial" w:hAnsi="Arial" w:cs="Arial"/>
          <w:b/>
          <w:bCs/>
          <w:sz w:val="20"/>
          <w:szCs w:val="20"/>
        </w:rPr>
      </w:pPr>
      <w:r w:rsidRPr="009E61E7">
        <w:rPr>
          <w:rFonts w:ascii="Arial" w:hAnsi="Arial" w:cs="Arial"/>
          <w:b/>
          <w:bCs/>
          <w:sz w:val="20"/>
          <w:szCs w:val="20"/>
        </w:rPr>
        <w:t>Voltage to Apply to the Electrodes:</w:t>
      </w:r>
    </w:p>
    <w:p w14:paraId="2EA48C53" w14:textId="77777777" w:rsidR="00303D7A" w:rsidRPr="009E61E7" w:rsidRDefault="00303D7A" w:rsidP="009E61E7">
      <w:pPr>
        <w:spacing w:after="0" w:line="240" w:lineRule="auto"/>
        <w:contextualSpacing/>
        <w:jc w:val="both"/>
        <w:rPr>
          <w:rFonts w:ascii="Arial" w:hAnsi="Arial" w:cs="Arial"/>
          <w:sz w:val="20"/>
          <w:szCs w:val="20"/>
        </w:rPr>
      </w:pPr>
      <w:r w:rsidRPr="009E61E7">
        <w:rPr>
          <w:rFonts w:ascii="Arial" w:hAnsi="Arial" w:cs="Arial"/>
          <w:sz w:val="20"/>
          <w:szCs w:val="20"/>
        </w:rPr>
        <w:t>For copper, the expected reactions at the electrodes are:</w:t>
      </w:r>
    </w:p>
    <w:p w14:paraId="79A82218" w14:textId="77777777" w:rsidR="00303D7A" w:rsidRPr="009E61E7" w:rsidRDefault="00303D7A" w:rsidP="009E61E7">
      <w:pPr>
        <w:spacing w:after="0" w:line="240" w:lineRule="auto"/>
        <w:contextualSpacing/>
        <w:jc w:val="both"/>
        <w:rPr>
          <w:rFonts w:ascii="Arial" w:hAnsi="Arial" w:cs="Arial"/>
          <w:sz w:val="20"/>
          <w:szCs w:val="20"/>
        </w:rPr>
      </w:pPr>
      <w:r w:rsidRPr="009E61E7">
        <w:rPr>
          <w:rFonts w:ascii="Arial" w:hAnsi="Arial" w:cs="Arial"/>
          <w:sz w:val="20"/>
          <w:szCs w:val="20"/>
        </w:rPr>
        <w:t xml:space="preserve">Reduction at the cathode: </w:t>
      </w:r>
      <m:oMath>
        <m:sSup>
          <m:sSupPr>
            <m:ctrlPr>
              <w:rPr>
                <w:rFonts w:ascii="Cambria Math" w:hAnsi="Cambria Math" w:cs="Arial"/>
                <w:iCs/>
                <w:sz w:val="20"/>
                <w:szCs w:val="20"/>
              </w:rPr>
            </m:ctrlPr>
          </m:sSupPr>
          <m:e>
            <m:r>
              <m:rPr>
                <m:sty m:val="p"/>
              </m:rPr>
              <w:rPr>
                <w:rFonts w:ascii="Cambria Math" w:hAnsi="Cambria Math" w:cs="Arial"/>
                <w:sz w:val="20"/>
                <w:szCs w:val="20"/>
              </w:rPr>
              <m:t>Cu</m:t>
            </m:r>
          </m:e>
          <m:sup>
            <m:r>
              <m:rPr>
                <m:sty m:val="p"/>
              </m:rPr>
              <w:rPr>
                <w:rFonts w:ascii="Cambria Math" w:hAnsi="Cambria Math" w:cs="Arial"/>
                <w:sz w:val="20"/>
                <w:szCs w:val="20"/>
              </w:rPr>
              <m:t>2+</m:t>
            </m:r>
          </m:sup>
        </m:sSup>
        <m:r>
          <m:rPr>
            <m:sty m:val="p"/>
          </m:rPr>
          <w:rPr>
            <w:rFonts w:ascii="Cambria Math" w:hAnsi="Cambria Math" w:cs="Arial"/>
            <w:sz w:val="20"/>
            <w:szCs w:val="20"/>
          </w:rPr>
          <m:t>+2</m:t>
        </m:r>
        <m:sSup>
          <m:sSupPr>
            <m:ctrlPr>
              <w:rPr>
                <w:rFonts w:ascii="Cambria Math" w:hAnsi="Cambria Math" w:cs="Arial"/>
                <w:iCs/>
                <w:sz w:val="20"/>
                <w:szCs w:val="20"/>
              </w:rPr>
            </m:ctrlPr>
          </m:sSupPr>
          <m:e>
            <m:r>
              <m:rPr>
                <m:sty m:val="p"/>
              </m:rPr>
              <w:rPr>
                <w:rFonts w:ascii="Cambria Math" w:hAnsi="Cambria Math" w:cs="Arial"/>
                <w:sz w:val="20"/>
                <w:szCs w:val="20"/>
              </w:rPr>
              <m:t>e</m:t>
            </m:r>
          </m:e>
          <m:sup>
            <m:r>
              <m:rPr>
                <m:sty m:val="p"/>
              </m:rPr>
              <w:rPr>
                <w:rFonts w:ascii="Cambria Math" w:hAnsi="Cambria Math" w:cs="Arial"/>
                <w:sz w:val="20"/>
                <w:szCs w:val="20"/>
              </w:rPr>
              <m:t>-</m:t>
            </m:r>
          </m:sup>
        </m:sSup>
        <m:r>
          <m:rPr>
            <m:sty m:val="p"/>
          </m:rPr>
          <w:rPr>
            <w:rFonts w:ascii="Cambria Math" w:hAnsi="Cambria Math" w:cs="Arial"/>
            <w:sz w:val="20"/>
            <w:szCs w:val="20"/>
          </w:rPr>
          <m:t xml:space="preserve"> → Cu</m:t>
        </m:r>
      </m:oMath>
    </w:p>
    <w:p w14:paraId="4230D9AC" w14:textId="77777777" w:rsidR="00303D7A" w:rsidRPr="009E61E7" w:rsidRDefault="00303D7A" w:rsidP="009E61E7">
      <w:pPr>
        <w:spacing w:after="0" w:line="240" w:lineRule="auto"/>
        <w:contextualSpacing/>
        <w:jc w:val="both"/>
        <w:rPr>
          <w:rFonts w:ascii="Arial" w:hAnsi="Arial" w:cs="Arial"/>
          <w:sz w:val="20"/>
          <w:szCs w:val="20"/>
        </w:rPr>
      </w:pPr>
      <w:r w:rsidRPr="009E61E7">
        <w:rPr>
          <w:rFonts w:ascii="Arial" w:hAnsi="Arial" w:cs="Arial"/>
          <w:sz w:val="20"/>
          <w:szCs w:val="20"/>
        </w:rPr>
        <w:t xml:space="preserve">Oxidation at the anode: </w:t>
      </w:r>
      <m:oMath>
        <m:sSub>
          <m:sSubPr>
            <m:ctrlPr>
              <w:rPr>
                <w:rFonts w:ascii="Cambria Math" w:hAnsi="Cambria Math" w:cs="Arial"/>
                <w:sz w:val="20"/>
                <w:szCs w:val="20"/>
              </w:rPr>
            </m:ctrlPr>
          </m:sSubPr>
          <m:e>
            <m:r>
              <m:rPr>
                <m:sty m:val="p"/>
              </m:rPr>
              <w:rPr>
                <w:rFonts w:ascii="Cambria Math" w:hAnsi="Cambria Math" w:cs="Arial"/>
                <w:sz w:val="20"/>
                <w:szCs w:val="20"/>
              </w:rPr>
              <m:t>H</m:t>
            </m:r>
          </m:e>
          <m:sub>
            <m:r>
              <m:rPr>
                <m:sty m:val="p"/>
              </m:rPr>
              <w:rPr>
                <w:rFonts w:ascii="Cambria Math" w:hAnsi="Cambria Math" w:cs="Arial"/>
                <w:sz w:val="20"/>
                <w:szCs w:val="20"/>
              </w:rPr>
              <m:t>2</m:t>
            </m:r>
          </m:sub>
        </m:sSub>
        <m:r>
          <m:rPr>
            <m:sty m:val="p"/>
          </m:rPr>
          <w:rPr>
            <w:rFonts w:ascii="Cambria Math" w:hAnsi="Cambria Math" w:cs="Arial"/>
            <w:sz w:val="20"/>
            <w:szCs w:val="20"/>
          </w:rPr>
          <m:t xml:space="preserve">O → </m:t>
        </m:r>
        <m:f>
          <m:fPr>
            <m:ctrlPr>
              <w:rPr>
                <w:rFonts w:ascii="Cambria Math" w:hAnsi="Cambria Math" w:cs="Arial"/>
                <w:sz w:val="20"/>
                <w:szCs w:val="20"/>
              </w:rPr>
            </m:ctrlPr>
          </m:fPr>
          <m:num>
            <m:r>
              <m:rPr>
                <m:sty m:val="p"/>
              </m:rPr>
              <w:rPr>
                <w:rFonts w:ascii="Cambria Math" w:hAnsi="Cambria Math" w:cs="Arial"/>
                <w:sz w:val="20"/>
                <w:szCs w:val="20"/>
              </w:rPr>
              <m:t>1</m:t>
            </m:r>
          </m:num>
          <m:den>
            <m:r>
              <m:rPr>
                <m:sty m:val="p"/>
              </m:rPr>
              <w:rPr>
                <w:rFonts w:ascii="Cambria Math" w:hAnsi="Cambria Math" w:cs="Arial"/>
                <w:sz w:val="20"/>
                <w:szCs w:val="20"/>
              </w:rPr>
              <m:t>2</m:t>
            </m:r>
          </m:den>
        </m:f>
        <m:sSub>
          <m:sSubPr>
            <m:ctrlPr>
              <w:rPr>
                <w:rFonts w:ascii="Cambria Math" w:hAnsi="Cambria Math" w:cs="Arial"/>
                <w:sz w:val="20"/>
                <w:szCs w:val="20"/>
              </w:rPr>
            </m:ctrlPr>
          </m:sSubPr>
          <m:e>
            <m:r>
              <m:rPr>
                <m:sty m:val="p"/>
              </m:rPr>
              <w:rPr>
                <w:rFonts w:ascii="Cambria Math" w:hAnsi="Cambria Math" w:cs="Arial"/>
                <w:sz w:val="20"/>
                <w:szCs w:val="20"/>
              </w:rPr>
              <m:t>O</m:t>
            </m:r>
          </m:e>
          <m:sub>
            <m:r>
              <m:rPr>
                <m:sty m:val="p"/>
              </m:rPr>
              <w:rPr>
                <w:rFonts w:ascii="Cambria Math" w:hAnsi="Cambria Math" w:cs="Arial"/>
                <w:sz w:val="20"/>
                <w:szCs w:val="20"/>
              </w:rPr>
              <m:t>2</m:t>
            </m:r>
          </m:sub>
        </m:sSub>
        <m:r>
          <m:rPr>
            <m:sty m:val="p"/>
          </m:rPr>
          <w:rPr>
            <w:rFonts w:ascii="Cambria Math" w:hAnsi="Cambria Math" w:cs="Arial"/>
            <w:sz w:val="20"/>
            <w:szCs w:val="20"/>
          </w:rPr>
          <m:t>+2</m:t>
        </m:r>
        <m:sSup>
          <m:sSupPr>
            <m:ctrlPr>
              <w:rPr>
                <w:rFonts w:ascii="Cambria Math" w:hAnsi="Cambria Math" w:cs="Arial"/>
                <w:sz w:val="20"/>
                <w:szCs w:val="20"/>
              </w:rPr>
            </m:ctrlPr>
          </m:sSupPr>
          <m:e>
            <m:r>
              <m:rPr>
                <m:sty m:val="p"/>
              </m:rPr>
              <w:rPr>
                <w:rFonts w:ascii="Cambria Math" w:hAnsi="Cambria Math" w:cs="Arial"/>
                <w:sz w:val="20"/>
                <w:szCs w:val="20"/>
              </w:rPr>
              <m:t>H</m:t>
            </m:r>
          </m:e>
          <m:sup>
            <m:r>
              <m:rPr>
                <m:sty m:val="p"/>
              </m:rPr>
              <w:rPr>
                <w:rFonts w:ascii="Cambria Math" w:hAnsi="Cambria Math" w:cs="Arial"/>
                <w:sz w:val="20"/>
                <w:szCs w:val="20"/>
              </w:rPr>
              <m:t>+</m:t>
            </m:r>
          </m:sup>
        </m:sSup>
        <m:r>
          <m:rPr>
            <m:sty m:val="p"/>
          </m:rPr>
          <w:rPr>
            <w:rFonts w:ascii="Cambria Math" w:hAnsi="Cambria Math" w:cs="Arial"/>
            <w:sz w:val="20"/>
            <w:szCs w:val="20"/>
          </w:rPr>
          <m:t>+2</m:t>
        </m:r>
        <m:sSup>
          <m:sSupPr>
            <m:ctrlPr>
              <w:rPr>
                <w:rFonts w:ascii="Cambria Math" w:hAnsi="Cambria Math" w:cs="Arial"/>
                <w:sz w:val="20"/>
                <w:szCs w:val="20"/>
              </w:rPr>
            </m:ctrlPr>
          </m:sSupPr>
          <m:e>
            <m:r>
              <m:rPr>
                <m:sty m:val="p"/>
              </m:rPr>
              <w:rPr>
                <w:rFonts w:ascii="Cambria Math" w:hAnsi="Cambria Math" w:cs="Arial"/>
                <w:sz w:val="20"/>
                <w:szCs w:val="20"/>
              </w:rPr>
              <m:t>e</m:t>
            </m:r>
          </m:e>
          <m:sup>
            <m:r>
              <m:rPr>
                <m:sty m:val="p"/>
              </m:rPr>
              <w:rPr>
                <w:rFonts w:ascii="Cambria Math" w:hAnsi="Cambria Math" w:cs="Arial"/>
                <w:sz w:val="20"/>
                <w:szCs w:val="20"/>
              </w:rPr>
              <m:t>-</m:t>
            </m:r>
          </m:sup>
        </m:sSup>
      </m:oMath>
    </w:p>
    <w:p w14:paraId="671B6523" w14:textId="77777777" w:rsidR="00303D7A" w:rsidRPr="009E61E7" w:rsidRDefault="00303D7A" w:rsidP="009E61E7">
      <w:pPr>
        <w:spacing w:after="0" w:line="240" w:lineRule="auto"/>
        <w:contextualSpacing/>
        <w:jc w:val="both"/>
        <w:rPr>
          <w:rFonts w:ascii="Arial" w:hAnsi="Arial" w:cs="Arial"/>
          <w:sz w:val="20"/>
          <w:szCs w:val="20"/>
        </w:rPr>
      </w:pPr>
      <w:r w:rsidRPr="009E61E7">
        <w:rPr>
          <w:rFonts w:ascii="Arial" w:hAnsi="Arial" w:cs="Arial"/>
          <w:sz w:val="20"/>
          <w:szCs w:val="20"/>
        </w:rPr>
        <w:t>Therefore, the minimum voltage to be applied across the electrodes for copper deposition should be at least: U = E⁰(O</w:t>
      </w:r>
      <w:r w:rsidRPr="009E61E7">
        <w:rPr>
          <w:rFonts w:ascii="Cambria Math" w:hAnsi="Cambria Math" w:cs="Cambria Math"/>
          <w:sz w:val="20"/>
          <w:szCs w:val="20"/>
        </w:rPr>
        <w:t>₂</w:t>
      </w:r>
      <w:r w:rsidRPr="009E61E7">
        <w:rPr>
          <w:rFonts w:ascii="Arial" w:hAnsi="Arial" w:cs="Arial"/>
          <w:sz w:val="20"/>
          <w:szCs w:val="20"/>
        </w:rPr>
        <w:t>/H</w:t>
      </w:r>
      <w:r w:rsidRPr="009E61E7">
        <w:rPr>
          <w:rFonts w:ascii="Cambria Math" w:hAnsi="Cambria Math" w:cs="Cambria Math"/>
          <w:sz w:val="20"/>
          <w:szCs w:val="20"/>
        </w:rPr>
        <w:t>₂</w:t>
      </w:r>
      <w:r w:rsidRPr="009E61E7">
        <w:rPr>
          <w:rFonts w:ascii="Arial" w:hAnsi="Arial" w:cs="Arial"/>
          <w:sz w:val="20"/>
          <w:szCs w:val="20"/>
        </w:rPr>
        <w:t>O) - E⁰(Cu²</w:t>
      </w:r>
      <w:r w:rsidRPr="009E61E7">
        <w:rPr>
          <w:rFonts w:ascii="Cambria Math" w:hAnsi="Cambria Math" w:cs="Cambria Math"/>
          <w:sz w:val="20"/>
          <w:szCs w:val="20"/>
        </w:rPr>
        <w:t>⁺</w:t>
      </w:r>
      <w:r w:rsidRPr="009E61E7">
        <w:rPr>
          <w:rFonts w:ascii="Arial" w:hAnsi="Arial" w:cs="Arial"/>
          <w:sz w:val="20"/>
          <w:szCs w:val="20"/>
        </w:rPr>
        <w:t>/Cu) = 1.23 V - 0.34 V = 0.89 V.</w:t>
      </w:r>
    </w:p>
    <w:p w14:paraId="2103DEC3" w14:textId="77777777" w:rsidR="00303D7A" w:rsidRPr="009E61E7" w:rsidRDefault="00303D7A" w:rsidP="009E61E7">
      <w:pPr>
        <w:spacing w:after="0" w:line="240" w:lineRule="auto"/>
        <w:contextualSpacing/>
        <w:jc w:val="both"/>
        <w:rPr>
          <w:rFonts w:ascii="Arial" w:hAnsi="Arial" w:cs="Arial"/>
          <w:sz w:val="20"/>
          <w:szCs w:val="20"/>
        </w:rPr>
      </w:pPr>
      <w:r w:rsidRPr="009E61E7">
        <w:rPr>
          <w:rFonts w:ascii="Arial" w:hAnsi="Arial" w:cs="Arial"/>
          <w:sz w:val="20"/>
          <w:szCs w:val="20"/>
        </w:rPr>
        <w:t>For aluminum, the expected reactions at the electrodes are:</w:t>
      </w:r>
    </w:p>
    <w:p w14:paraId="2C8599A9" w14:textId="77777777" w:rsidR="00303D7A" w:rsidRPr="009E61E7" w:rsidRDefault="00303D7A" w:rsidP="009E61E7">
      <w:pPr>
        <w:spacing w:after="0" w:line="240" w:lineRule="auto"/>
        <w:contextualSpacing/>
        <w:jc w:val="both"/>
        <w:rPr>
          <w:rFonts w:ascii="Arial" w:hAnsi="Arial" w:cs="Arial"/>
          <w:sz w:val="20"/>
          <w:szCs w:val="20"/>
        </w:rPr>
      </w:pPr>
      <w:r w:rsidRPr="009E61E7">
        <w:rPr>
          <w:rFonts w:ascii="Arial" w:hAnsi="Arial" w:cs="Arial"/>
          <w:sz w:val="20"/>
          <w:szCs w:val="20"/>
        </w:rPr>
        <w:t xml:space="preserve">Reduction at the cathode: </w:t>
      </w:r>
      <m:oMath>
        <m:sSup>
          <m:sSupPr>
            <m:ctrlPr>
              <w:rPr>
                <w:rFonts w:ascii="Cambria Math" w:hAnsi="Cambria Math" w:cs="Arial"/>
                <w:iCs/>
                <w:sz w:val="20"/>
                <w:szCs w:val="20"/>
              </w:rPr>
            </m:ctrlPr>
          </m:sSupPr>
          <m:e>
            <m:r>
              <m:rPr>
                <m:sty m:val="p"/>
              </m:rPr>
              <w:rPr>
                <w:rFonts w:ascii="Cambria Math" w:hAnsi="Cambria Math" w:cs="Arial"/>
                <w:sz w:val="20"/>
                <w:szCs w:val="20"/>
              </w:rPr>
              <m:t>Al</m:t>
            </m:r>
          </m:e>
          <m:sup>
            <m:r>
              <m:rPr>
                <m:sty m:val="p"/>
              </m:rPr>
              <w:rPr>
                <w:rFonts w:ascii="Cambria Math" w:hAnsi="Cambria Math" w:cs="Arial"/>
                <w:sz w:val="20"/>
                <w:szCs w:val="20"/>
              </w:rPr>
              <m:t>3+</m:t>
            </m:r>
          </m:sup>
        </m:sSup>
        <m:r>
          <m:rPr>
            <m:sty m:val="p"/>
          </m:rPr>
          <w:rPr>
            <w:rFonts w:ascii="Cambria Math" w:hAnsi="Cambria Math" w:cs="Arial"/>
            <w:sz w:val="20"/>
            <w:szCs w:val="20"/>
          </w:rPr>
          <m:t>+3</m:t>
        </m:r>
        <m:sSup>
          <m:sSupPr>
            <m:ctrlPr>
              <w:rPr>
                <w:rFonts w:ascii="Cambria Math" w:hAnsi="Cambria Math" w:cs="Arial"/>
                <w:iCs/>
                <w:sz w:val="20"/>
                <w:szCs w:val="20"/>
              </w:rPr>
            </m:ctrlPr>
          </m:sSupPr>
          <m:e>
            <m:r>
              <m:rPr>
                <m:sty m:val="p"/>
              </m:rPr>
              <w:rPr>
                <w:rFonts w:ascii="Cambria Math" w:hAnsi="Cambria Math" w:cs="Arial"/>
                <w:sz w:val="20"/>
                <w:szCs w:val="20"/>
              </w:rPr>
              <m:t>e</m:t>
            </m:r>
          </m:e>
          <m:sup>
            <m:r>
              <m:rPr>
                <m:sty m:val="p"/>
              </m:rPr>
              <w:rPr>
                <w:rFonts w:ascii="Cambria Math" w:hAnsi="Cambria Math" w:cs="Arial"/>
                <w:sz w:val="20"/>
                <w:szCs w:val="20"/>
              </w:rPr>
              <m:t>-</m:t>
            </m:r>
          </m:sup>
        </m:sSup>
        <m:r>
          <m:rPr>
            <m:sty m:val="p"/>
          </m:rPr>
          <w:rPr>
            <w:rFonts w:ascii="Cambria Math" w:hAnsi="Cambria Math" w:cs="Arial"/>
            <w:sz w:val="20"/>
            <w:szCs w:val="20"/>
          </w:rPr>
          <m:t xml:space="preserve"> → Al</m:t>
        </m:r>
      </m:oMath>
    </w:p>
    <w:p w14:paraId="1C64B26D" w14:textId="77777777" w:rsidR="00303D7A" w:rsidRPr="009E61E7" w:rsidRDefault="00303D7A" w:rsidP="009E61E7">
      <w:pPr>
        <w:spacing w:after="0" w:line="240" w:lineRule="auto"/>
        <w:contextualSpacing/>
        <w:jc w:val="both"/>
        <w:rPr>
          <w:rFonts w:ascii="Arial" w:hAnsi="Arial" w:cs="Arial"/>
          <w:sz w:val="20"/>
          <w:szCs w:val="20"/>
        </w:rPr>
      </w:pPr>
      <w:r w:rsidRPr="009E61E7">
        <w:rPr>
          <w:rFonts w:ascii="Arial" w:hAnsi="Arial" w:cs="Arial"/>
          <w:sz w:val="20"/>
          <w:szCs w:val="20"/>
        </w:rPr>
        <w:t xml:space="preserve">Oxidation at the anode: </w:t>
      </w:r>
      <m:oMath>
        <m:sSub>
          <m:sSubPr>
            <m:ctrlPr>
              <w:rPr>
                <w:rFonts w:ascii="Cambria Math" w:hAnsi="Cambria Math" w:cs="Arial"/>
                <w:sz w:val="20"/>
                <w:szCs w:val="20"/>
              </w:rPr>
            </m:ctrlPr>
          </m:sSubPr>
          <m:e>
            <m:r>
              <m:rPr>
                <m:sty m:val="p"/>
              </m:rPr>
              <w:rPr>
                <w:rFonts w:ascii="Cambria Math" w:hAnsi="Cambria Math" w:cs="Arial"/>
                <w:sz w:val="20"/>
                <w:szCs w:val="20"/>
              </w:rPr>
              <m:t>H</m:t>
            </m:r>
          </m:e>
          <m:sub>
            <m:r>
              <m:rPr>
                <m:sty m:val="p"/>
              </m:rPr>
              <w:rPr>
                <w:rFonts w:ascii="Cambria Math" w:hAnsi="Cambria Math" w:cs="Arial"/>
                <w:sz w:val="20"/>
                <w:szCs w:val="20"/>
              </w:rPr>
              <m:t>2</m:t>
            </m:r>
          </m:sub>
        </m:sSub>
        <m:r>
          <m:rPr>
            <m:sty m:val="p"/>
          </m:rPr>
          <w:rPr>
            <w:rFonts w:ascii="Cambria Math" w:hAnsi="Cambria Math" w:cs="Arial"/>
            <w:sz w:val="20"/>
            <w:szCs w:val="20"/>
          </w:rPr>
          <m:t xml:space="preserve">O → </m:t>
        </m:r>
        <m:f>
          <m:fPr>
            <m:ctrlPr>
              <w:rPr>
                <w:rFonts w:ascii="Cambria Math" w:hAnsi="Cambria Math" w:cs="Arial"/>
                <w:sz w:val="20"/>
                <w:szCs w:val="20"/>
              </w:rPr>
            </m:ctrlPr>
          </m:fPr>
          <m:num>
            <m:r>
              <m:rPr>
                <m:sty m:val="p"/>
              </m:rPr>
              <w:rPr>
                <w:rFonts w:ascii="Cambria Math" w:hAnsi="Cambria Math" w:cs="Arial"/>
                <w:sz w:val="20"/>
                <w:szCs w:val="20"/>
              </w:rPr>
              <m:t>1</m:t>
            </m:r>
          </m:num>
          <m:den>
            <m:r>
              <m:rPr>
                <m:sty m:val="p"/>
              </m:rPr>
              <w:rPr>
                <w:rFonts w:ascii="Cambria Math" w:hAnsi="Cambria Math" w:cs="Arial"/>
                <w:sz w:val="20"/>
                <w:szCs w:val="20"/>
              </w:rPr>
              <m:t>2</m:t>
            </m:r>
          </m:den>
        </m:f>
        <m:sSub>
          <m:sSubPr>
            <m:ctrlPr>
              <w:rPr>
                <w:rFonts w:ascii="Cambria Math" w:hAnsi="Cambria Math" w:cs="Arial"/>
                <w:sz w:val="20"/>
                <w:szCs w:val="20"/>
              </w:rPr>
            </m:ctrlPr>
          </m:sSubPr>
          <m:e>
            <m:r>
              <m:rPr>
                <m:sty m:val="p"/>
              </m:rPr>
              <w:rPr>
                <w:rFonts w:ascii="Cambria Math" w:hAnsi="Cambria Math" w:cs="Arial"/>
                <w:sz w:val="20"/>
                <w:szCs w:val="20"/>
              </w:rPr>
              <m:t>O</m:t>
            </m:r>
          </m:e>
          <m:sub>
            <m:r>
              <m:rPr>
                <m:sty m:val="p"/>
              </m:rPr>
              <w:rPr>
                <w:rFonts w:ascii="Cambria Math" w:hAnsi="Cambria Math" w:cs="Arial"/>
                <w:sz w:val="20"/>
                <w:szCs w:val="20"/>
              </w:rPr>
              <m:t>2</m:t>
            </m:r>
          </m:sub>
        </m:sSub>
        <m:r>
          <m:rPr>
            <m:sty m:val="p"/>
          </m:rPr>
          <w:rPr>
            <w:rFonts w:ascii="Cambria Math" w:hAnsi="Cambria Math" w:cs="Arial"/>
            <w:sz w:val="20"/>
            <w:szCs w:val="20"/>
          </w:rPr>
          <m:t>+2</m:t>
        </m:r>
        <m:sSup>
          <m:sSupPr>
            <m:ctrlPr>
              <w:rPr>
                <w:rFonts w:ascii="Cambria Math" w:hAnsi="Cambria Math" w:cs="Arial"/>
                <w:sz w:val="20"/>
                <w:szCs w:val="20"/>
              </w:rPr>
            </m:ctrlPr>
          </m:sSupPr>
          <m:e>
            <m:r>
              <m:rPr>
                <m:sty m:val="p"/>
              </m:rPr>
              <w:rPr>
                <w:rFonts w:ascii="Cambria Math" w:hAnsi="Cambria Math" w:cs="Arial"/>
                <w:sz w:val="20"/>
                <w:szCs w:val="20"/>
              </w:rPr>
              <m:t>H</m:t>
            </m:r>
          </m:e>
          <m:sup>
            <m:r>
              <m:rPr>
                <m:sty m:val="p"/>
              </m:rPr>
              <w:rPr>
                <w:rFonts w:ascii="Cambria Math" w:hAnsi="Cambria Math" w:cs="Arial"/>
                <w:sz w:val="20"/>
                <w:szCs w:val="20"/>
              </w:rPr>
              <m:t>+</m:t>
            </m:r>
          </m:sup>
        </m:sSup>
        <m:r>
          <m:rPr>
            <m:sty m:val="p"/>
          </m:rPr>
          <w:rPr>
            <w:rFonts w:ascii="Cambria Math" w:hAnsi="Cambria Math" w:cs="Arial"/>
            <w:sz w:val="20"/>
            <w:szCs w:val="20"/>
          </w:rPr>
          <m:t>+2</m:t>
        </m:r>
        <m:sSup>
          <m:sSupPr>
            <m:ctrlPr>
              <w:rPr>
                <w:rFonts w:ascii="Cambria Math" w:hAnsi="Cambria Math" w:cs="Arial"/>
                <w:sz w:val="20"/>
                <w:szCs w:val="20"/>
              </w:rPr>
            </m:ctrlPr>
          </m:sSupPr>
          <m:e>
            <m:r>
              <m:rPr>
                <m:sty m:val="p"/>
              </m:rPr>
              <w:rPr>
                <w:rFonts w:ascii="Cambria Math" w:hAnsi="Cambria Math" w:cs="Arial"/>
                <w:sz w:val="20"/>
                <w:szCs w:val="20"/>
              </w:rPr>
              <m:t>e</m:t>
            </m:r>
          </m:e>
          <m:sup>
            <m:r>
              <m:rPr>
                <m:sty m:val="p"/>
              </m:rPr>
              <w:rPr>
                <w:rFonts w:ascii="Cambria Math" w:hAnsi="Cambria Math" w:cs="Arial"/>
                <w:sz w:val="20"/>
                <w:szCs w:val="20"/>
              </w:rPr>
              <m:t>-</m:t>
            </m:r>
          </m:sup>
        </m:sSup>
      </m:oMath>
    </w:p>
    <w:p w14:paraId="5E1DC4C1" w14:textId="77777777" w:rsidR="00303D7A" w:rsidRPr="009E61E7" w:rsidRDefault="00303D7A" w:rsidP="009E61E7">
      <w:pPr>
        <w:spacing w:after="0" w:line="240" w:lineRule="auto"/>
        <w:contextualSpacing/>
        <w:jc w:val="both"/>
        <w:rPr>
          <w:rFonts w:ascii="Arial" w:hAnsi="Arial" w:cs="Arial"/>
          <w:sz w:val="20"/>
          <w:szCs w:val="20"/>
        </w:rPr>
      </w:pPr>
      <w:r w:rsidRPr="009E61E7">
        <w:rPr>
          <w:rFonts w:ascii="Arial" w:hAnsi="Arial" w:cs="Arial"/>
          <w:sz w:val="20"/>
          <w:szCs w:val="20"/>
        </w:rPr>
        <w:t>Therefore, the minimum voltage to be applied across the electrodes for aluminum deposition should be at least: U = E⁰(O</w:t>
      </w:r>
      <w:r w:rsidRPr="009E61E7">
        <w:rPr>
          <w:rFonts w:ascii="Cambria Math" w:hAnsi="Cambria Math" w:cs="Cambria Math"/>
          <w:sz w:val="20"/>
          <w:szCs w:val="20"/>
        </w:rPr>
        <w:t>₂</w:t>
      </w:r>
      <w:r w:rsidRPr="009E61E7">
        <w:rPr>
          <w:rFonts w:ascii="Arial" w:hAnsi="Arial" w:cs="Arial"/>
          <w:sz w:val="20"/>
          <w:szCs w:val="20"/>
        </w:rPr>
        <w:t>/H</w:t>
      </w:r>
      <w:r w:rsidRPr="009E61E7">
        <w:rPr>
          <w:rFonts w:ascii="Cambria Math" w:hAnsi="Cambria Math" w:cs="Cambria Math"/>
          <w:sz w:val="20"/>
          <w:szCs w:val="20"/>
        </w:rPr>
        <w:t>₂</w:t>
      </w:r>
      <w:r w:rsidRPr="009E61E7">
        <w:rPr>
          <w:rFonts w:ascii="Arial" w:hAnsi="Arial" w:cs="Arial"/>
          <w:sz w:val="20"/>
          <w:szCs w:val="20"/>
        </w:rPr>
        <w:t>O) - E⁰(</w:t>
      </w:r>
      <m:oMath>
        <m:sSup>
          <m:sSupPr>
            <m:ctrlPr>
              <w:rPr>
                <w:rFonts w:ascii="Cambria Math" w:hAnsi="Cambria Math" w:cs="Arial"/>
                <w:iCs/>
                <w:sz w:val="20"/>
                <w:szCs w:val="20"/>
              </w:rPr>
            </m:ctrlPr>
          </m:sSupPr>
          <m:e>
            <m:r>
              <m:rPr>
                <m:sty m:val="p"/>
              </m:rPr>
              <w:rPr>
                <w:rFonts w:ascii="Cambria Math" w:hAnsi="Cambria Math" w:cs="Arial"/>
                <w:sz w:val="20"/>
                <w:szCs w:val="20"/>
              </w:rPr>
              <m:t>Al</m:t>
            </m:r>
          </m:e>
          <m:sup>
            <m:r>
              <m:rPr>
                <m:sty m:val="p"/>
              </m:rPr>
              <w:rPr>
                <w:rFonts w:ascii="Cambria Math" w:hAnsi="Cambria Math" w:cs="Arial"/>
                <w:sz w:val="20"/>
                <w:szCs w:val="20"/>
              </w:rPr>
              <m:t>3+</m:t>
            </m:r>
          </m:sup>
        </m:sSup>
      </m:oMath>
      <w:r w:rsidRPr="009E61E7">
        <w:rPr>
          <w:rFonts w:ascii="Arial" w:hAnsi="Arial" w:cs="Arial"/>
          <w:sz w:val="20"/>
          <w:szCs w:val="20"/>
        </w:rPr>
        <w:t>/Al) = 1.23 V – (-1.66) V = 2.89 V.</w:t>
      </w:r>
    </w:p>
    <w:p w14:paraId="3712130E" w14:textId="77777777" w:rsidR="00303D7A" w:rsidRPr="009E61E7" w:rsidRDefault="00303D7A" w:rsidP="009E61E7">
      <w:pPr>
        <w:spacing w:after="0" w:line="240" w:lineRule="auto"/>
        <w:contextualSpacing/>
        <w:jc w:val="both"/>
        <w:rPr>
          <w:rFonts w:ascii="Arial" w:hAnsi="Arial" w:cs="Arial"/>
          <w:sz w:val="20"/>
          <w:szCs w:val="20"/>
        </w:rPr>
      </w:pPr>
      <w:r w:rsidRPr="009E61E7">
        <w:rPr>
          <w:rFonts w:ascii="Arial" w:hAnsi="Arial" w:cs="Arial"/>
          <w:sz w:val="20"/>
          <w:szCs w:val="20"/>
        </w:rPr>
        <w:t xml:space="preserve">The efficiency of copper electrodeposition is calculated using the formula: </w:t>
      </w:r>
      <m:oMath>
        <m:sSub>
          <m:sSubPr>
            <m:ctrlPr>
              <w:rPr>
                <w:rFonts w:ascii="Cambria Math" w:hAnsi="Cambria Math" w:cs="Arial"/>
                <w:sz w:val="20"/>
                <w:szCs w:val="20"/>
              </w:rPr>
            </m:ctrlPr>
          </m:sSubPr>
          <m:e>
            <m:r>
              <m:rPr>
                <m:sty m:val="p"/>
              </m:rPr>
              <w:rPr>
                <w:rFonts w:ascii="Cambria Math" w:hAnsi="Cambria Math" w:cs="Arial"/>
                <w:sz w:val="20"/>
                <w:szCs w:val="20"/>
              </w:rPr>
              <m:t>r</m:t>
            </m:r>
          </m:e>
          <m:sub>
            <m:r>
              <m:rPr>
                <m:sty m:val="p"/>
              </m:rPr>
              <w:rPr>
                <w:rFonts w:ascii="Cambria Math" w:hAnsi="Cambria Math" w:cs="Arial"/>
                <w:sz w:val="20"/>
                <w:szCs w:val="20"/>
              </w:rPr>
              <m:t>Metal</m:t>
            </m:r>
          </m:sub>
        </m:sSub>
        <m:r>
          <m:rPr>
            <m:sty m:val="p"/>
          </m:rPr>
          <w:rPr>
            <w:rFonts w:ascii="Cambria Math" w:hAnsi="Cambria Math" w:cs="Arial"/>
            <w:sz w:val="20"/>
            <w:szCs w:val="20"/>
          </w:rPr>
          <m:t xml:space="preserve">= </m:t>
        </m:r>
        <m:f>
          <m:fPr>
            <m:ctrlPr>
              <w:rPr>
                <w:rFonts w:ascii="Cambria Math" w:hAnsi="Cambria Math" w:cs="Arial"/>
                <w:sz w:val="20"/>
                <w:szCs w:val="20"/>
              </w:rPr>
            </m:ctrlPr>
          </m:fPr>
          <m:num>
            <m:r>
              <m:rPr>
                <m:sty m:val="p"/>
              </m:rPr>
              <w:rPr>
                <w:rFonts w:ascii="Cambria Math" w:hAnsi="Cambria Math" w:cs="Arial"/>
                <w:sz w:val="20"/>
                <w:szCs w:val="20"/>
              </w:rPr>
              <m:t>∆m(Metal)</m:t>
            </m:r>
          </m:num>
          <m:den>
            <m:sSub>
              <m:sSubPr>
                <m:ctrlPr>
                  <w:rPr>
                    <w:rFonts w:ascii="Cambria Math" w:hAnsi="Cambria Math" w:cs="Arial"/>
                    <w:sz w:val="20"/>
                    <w:szCs w:val="20"/>
                  </w:rPr>
                </m:ctrlPr>
              </m:sSubPr>
              <m:e>
                <m:r>
                  <m:rPr>
                    <m:sty m:val="p"/>
                  </m:rPr>
                  <w:rPr>
                    <w:rFonts w:ascii="Cambria Math" w:hAnsi="Cambria Math" w:cs="Arial"/>
                    <w:sz w:val="20"/>
                    <w:szCs w:val="20"/>
                  </w:rPr>
                  <m:t>m</m:t>
                </m:r>
              </m:e>
              <m:sub>
                <m:r>
                  <m:rPr>
                    <m:sty m:val="p"/>
                  </m:rPr>
                  <w:rPr>
                    <w:rFonts w:ascii="Cambria Math" w:hAnsi="Cambria Math" w:cs="Arial"/>
                    <w:sz w:val="20"/>
                    <w:szCs w:val="20"/>
                  </w:rPr>
                  <m:t>o</m:t>
                </m:r>
              </m:sub>
            </m:sSub>
            <m:r>
              <m:rPr>
                <m:sty m:val="p"/>
              </m:rPr>
              <w:rPr>
                <w:rFonts w:ascii="Cambria Math" w:hAnsi="Cambria Math" w:cs="Arial"/>
                <w:sz w:val="20"/>
                <w:szCs w:val="20"/>
              </w:rPr>
              <m:t>(Metal)</m:t>
            </m:r>
          </m:den>
        </m:f>
      </m:oMath>
      <w:r w:rsidRPr="009E61E7">
        <w:rPr>
          <w:rFonts w:ascii="Arial" w:hAnsi="Arial" w:cs="Arial"/>
          <w:sz w:val="20"/>
          <w:szCs w:val="20"/>
        </w:rPr>
        <w:t xml:space="preserve"> , </w:t>
      </w:r>
    </w:p>
    <w:p w14:paraId="4B71CBFD" w14:textId="77777777" w:rsidR="00303D7A" w:rsidRPr="009E61E7" w:rsidRDefault="00303D7A" w:rsidP="009E61E7">
      <w:pPr>
        <w:spacing w:after="0" w:line="240" w:lineRule="auto"/>
        <w:contextualSpacing/>
        <w:jc w:val="both"/>
        <w:rPr>
          <w:rFonts w:ascii="Arial" w:hAnsi="Arial" w:cs="Arial"/>
          <w:sz w:val="20"/>
          <w:szCs w:val="20"/>
        </w:rPr>
      </w:pPr>
      <w:r w:rsidRPr="009E61E7">
        <w:rPr>
          <w:rFonts w:ascii="Arial" w:hAnsi="Arial" w:cs="Arial"/>
          <w:sz w:val="20"/>
          <w:szCs w:val="20"/>
        </w:rPr>
        <w:t xml:space="preserve">where </w:t>
      </w:r>
      <m:oMath>
        <m:sSub>
          <m:sSubPr>
            <m:ctrlPr>
              <w:rPr>
                <w:rFonts w:ascii="Cambria Math" w:hAnsi="Cambria Math" w:cs="Arial"/>
                <w:sz w:val="20"/>
                <w:szCs w:val="20"/>
              </w:rPr>
            </m:ctrlPr>
          </m:sSubPr>
          <m:e>
            <m:r>
              <m:rPr>
                <m:sty m:val="p"/>
              </m:rPr>
              <w:rPr>
                <w:rFonts w:ascii="Cambria Math" w:hAnsi="Cambria Math" w:cs="Arial"/>
                <w:sz w:val="20"/>
                <w:szCs w:val="20"/>
              </w:rPr>
              <m:t>r</m:t>
            </m:r>
          </m:e>
          <m:sub>
            <m:r>
              <m:rPr>
                <m:sty m:val="p"/>
              </m:rPr>
              <w:rPr>
                <w:rFonts w:ascii="Cambria Math" w:hAnsi="Cambria Math" w:cs="Arial"/>
                <w:sz w:val="20"/>
                <w:szCs w:val="20"/>
              </w:rPr>
              <m:t>Metal</m:t>
            </m:r>
          </m:sub>
        </m:sSub>
      </m:oMath>
      <w:r w:rsidRPr="009E61E7">
        <w:rPr>
          <w:rFonts w:ascii="Arial" w:hAnsi="Arial" w:cs="Arial"/>
          <w:sz w:val="20"/>
          <w:szCs w:val="20"/>
        </w:rPr>
        <w:t xml:space="preserve">  is the deposition efficiency of metal and Δm(Metal) is the mass of metal deposited on the cathode.</w:t>
      </w:r>
    </w:p>
    <w:p w14:paraId="67AB82D2" w14:textId="77777777" w:rsidR="00303D7A" w:rsidRPr="009E61E7" w:rsidRDefault="00303D7A" w:rsidP="009E61E7">
      <w:pPr>
        <w:spacing w:after="0" w:line="240" w:lineRule="auto"/>
        <w:contextualSpacing/>
        <w:jc w:val="both"/>
        <w:rPr>
          <w:rFonts w:ascii="Arial" w:hAnsi="Arial" w:cs="Arial"/>
          <w:sz w:val="20"/>
          <w:szCs w:val="20"/>
        </w:rPr>
      </w:pPr>
      <w:r w:rsidRPr="009E61E7">
        <w:rPr>
          <w:rFonts w:ascii="Arial" w:hAnsi="Arial" w:cs="Arial"/>
          <w:sz w:val="20"/>
          <w:szCs w:val="20"/>
        </w:rPr>
        <w:lastRenderedPageBreak/>
        <w:t>This section, which presented the experimental approaches used, led to the results obtained in this study.</w:t>
      </w:r>
    </w:p>
    <w:p w14:paraId="39C6B14B" w14:textId="77777777" w:rsidR="00303D7A" w:rsidRPr="009E61E7" w:rsidRDefault="00303D7A" w:rsidP="009E61E7">
      <w:pPr>
        <w:spacing w:after="0" w:line="240" w:lineRule="auto"/>
        <w:contextualSpacing/>
        <w:jc w:val="center"/>
        <w:rPr>
          <w:rFonts w:ascii="Arial" w:hAnsi="Arial" w:cs="Arial"/>
          <w:sz w:val="20"/>
          <w:szCs w:val="20"/>
        </w:rPr>
      </w:pPr>
      <w:r w:rsidRPr="009E61E7">
        <w:rPr>
          <w:rFonts w:ascii="Arial" w:hAnsi="Arial" w:cs="Arial"/>
          <w:noProof/>
          <w:sz w:val="20"/>
          <w:szCs w:val="20"/>
        </w:rPr>
        <w:drawing>
          <wp:inline distT="0" distB="0" distL="0" distR="0" wp14:anchorId="49445800" wp14:editId="7DFB944E">
            <wp:extent cx="5400675" cy="3829050"/>
            <wp:effectExtent l="0" t="0" r="9525" b="0"/>
            <wp:docPr id="131263977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675" cy="3829050"/>
                    </a:xfrm>
                    <a:prstGeom prst="rect">
                      <a:avLst/>
                    </a:prstGeom>
                    <a:noFill/>
                    <a:ln>
                      <a:noFill/>
                    </a:ln>
                  </pic:spPr>
                </pic:pic>
              </a:graphicData>
            </a:graphic>
          </wp:inline>
        </w:drawing>
      </w:r>
    </w:p>
    <w:p w14:paraId="71D2AF27" w14:textId="77777777" w:rsidR="00A50530" w:rsidRPr="009E61E7" w:rsidRDefault="00303D7A" w:rsidP="009E61E7">
      <w:pPr>
        <w:spacing w:after="0" w:line="240" w:lineRule="auto"/>
        <w:contextualSpacing/>
        <w:jc w:val="center"/>
        <w:rPr>
          <w:rFonts w:ascii="Arial" w:hAnsi="Arial" w:cs="Arial"/>
          <w:sz w:val="20"/>
          <w:szCs w:val="20"/>
        </w:rPr>
      </w:pPr>
      <w:r w:rsidRPr="009E61E7">
        <w:rPr>
          <w:rFonts w:ascii="Arial" w:hAnsi="Arial" w:cs="Arial"/>
          <w:noProof/>
          <w:sz w:val="20"/>
          <w:szCs w:val="20"/>
        </w:rPr>
        <mc:AlternateContent>
          <mc:Choice Requires="wps">
            <w:drawing>
              <wp:inline distT="0" distB="0" distL="0" distR="0" wp14:anchorId="7C050762" wp14:editId="665A3FE3">
                <wp:extent cx="4467225" cy="257175"/>
                <wp:effectExtent l="0" t="0" r="0" b="0"/>
                <wp:docPr id="284871766" name="Zone de texte 8"/>
                <wp:cNvGraphicFramePr/>
                <a:graphic xmlns:a="http://schemas.openxmlformats.org/drawingml/2006/main">
                  <a:graphicData uri="http://schemas.microsoft.com/office/word/2010/wordprocessingShape">
                    <wps:wsp>
                      <wps:cNvSpPr txBox="1"/>
                      <wps:spPr>
                        <a:xfrm>
                          <a:off x="0" y="0"/>
                          <a:ext cx="4467225" cy="257175"/>
                        </a:xfrm>
                        <a:prstGeom prst="rect">
                          <a:avLst/>
                        </a:prstGeom>
                        <a:noFill/>
                        <a:ln w="6350">
                          <a:noFill/>
                        </a:ln>
                      </wps:spPr>
                      <wps:txbx>
                        <w:txbxContent>
                          <w:p w14:paraId="1C04DF62" w14:textId="77777777" w:rsidR="00303D7A" w:rsidRPr="00303D7A" w:rsidRDefault="00303D7A" w:rsidP="00303D7A">
                            <w:pPr>
                              <w:jc w:val="center"/>
                              <w:rPr>
                                <w:rFonts w:ascii="Times New Roman" w:hAnsi="Times New Roman" w:cs="Times New Roman"/>
                              </w:rPr>
                            </w:pPr>
                            <w:r w:rsidRPr="00303D7A">
                              <w:rPr>
                                <w:rFonts w:ascii="Times New Roman" w:hAnsi="Times New Roman" w:cs="Times New Roman"/>
                              </w:rPr>
                              <w:t>A: Pourbaix diagram for copper; B: Pourbaix diagram for aluminum</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C050762" id="Zone de texte 8" o:spid="_x0000_s1028" type="#_x0000_t202" style="width:351.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" filled="f" stroked="f" strokeweight=".5pt">
                <v:textbox>
                  <w:txbxContent>
                    <w:p w14:paraId="1C04DF62" w14:textId="77777777" w:rsidR="00303D7A" w:rsidRPr="00303D7A" w:rsidRDefault="00303D7A" w:rsidP="00303D7A">
                      <w:pPr>
                        <w:jc w:val="center"/>
                        <w:rPr>
                          <w:rFonts w:ascii="Times New Roman" w:hAnsi="Times New Roman" w:cs="Times New Roman"/>
                        </w:rPr>
                      </w:pPr>
                      <w:r w:rsidRPr="00303D7A">
                        <w:rPr>
                          <w:rFonts w:ascii="Times New Roman" w:hAnsi="Times New Roman" w:cs="Times New Roman"/>
                        </w:rPr>
                        <w:t>A: Pourbaix diagram for copper; B: Pourbaix diagram for aluminum</w:t>
                      </w:r>
                    </w:p>
                  </w:txbxContent>
                </v:textbox>
                <w10:anchorlock/>
              </v:shape>
            </w:pict>
          </mc:Fallback>
        </mc:AlternateContent>
      </w:r>
    </w:p>
    <w:p w14:paraId="2239198E" w14:textId="4FE48348" w:rsidR="00303D7A" w:rsidRPr="00E06C75" w:rsidRDefault="00303D7A" w:rsidP="009E61E7">
      <w:pPr>
        <w:spacing w:after="0" w:line="240" w:lineRule="auto"/>
        <w:contextualSpacing/>
        <w:jc w:val="center"/>
        <w:rPr>
          <w:rFonts w:ascii="Arial" w:hAnsi="Arial" w:cs="Arial"/>
          <w:b/>
          <w:bCs/>
          <w:sz w:val="20"/>
          <w:szCs w:val="20"/>
        </w:rPr>
      </w:pPr>
      <w:r w:rsidRPr="00E06C75">
        <w:rPr>
          <w:rFonts w:ascii="Arial" w:hAnsi="Arial" w:cs="Arial"/>
          <w:b/>
          <w:bCs/>
          <w:sz w:val="20"/>
          <w:szCs w:val="20"/>
        </w:rPr>
        <w:t>Figure 2: Pourbaix diagram of copper and aluminum (Pourbaix, 1974)</w:t>
      </w:r>
    </w:p>
    <w:p w14:paraId="039624D2" w14:textId="77777777" w:rsidR="00303D7A" w:rsidRPr="00D91081" w:rsidRDefault="00303D7A" w:rsidP="00D91081">
      <w:pPr>
        <w:pStyle w:val="ListParagraph"/>
        <w:numPr>
          <w:ilvl w:val="0"/>
          <w:numId w:val="1"/>
        </w:numPr>
        <w:spacing w:before="240" w:after="0" w:line="480" w:lineRule="auto"/>
        <w:ind w:left="357" w:hanging="357"/>
        <w:contextualSpacing w:val="0"/>
        <w:jc w:val="both"/>
        <w:rPr>
          <w:rFonts w:ascii="Arial" w:hAnsi="Arial" w:cs="Arial"/>
          <w:b/>
          <w:sz w:val="22"/>
          <w:szCs w:val="22"/>
        </w:rPr>
      </w:pPr>
      <w:r w:rsidRPr="00D91081">
        <w:rPr>
          <w:rFonts w:ascii="Arial" w:hAnsi="Arial" w:cs="Arial"/>
          <w:b/>
          <w:sz w:val="22"/>
          <w:szCs w:val="22"/>
        </w:rPr>
        <w:t>RESULTS AND DISCUSSION</w:t>
      </w:r>
    </w:p>
    <w:p w14:paraId="320F43AA" w14:textId="77777777" w:rsidR="00303D7A" w:rsidRPr="00D91081" w:rsidRDefault="00303D7A" w:rsidP="00D91081">
      <w:pPr>
        <w:spacing w:after="0" w:line="240" w:lineRule="auto"/>
        <w:jc w:val="both"/>
        <w:rPr>
          <w:rFonts w:ascii="Arial" w:hAnsi="Arial" w:cs="Arial"/>
          <w:sz w:val="20"/>
          <w:szCs w:val="20"/>
        </w:rPr>
      </w:pPr>
      <w:r w:rsidRPr="00D91081">
        <w:rPr>
          <w:rFonts w:ascii="Arial" w:hAnsi="Arial" w:cs="Arial"/>
          <w:sz w:val="20"/>
          <w:szCs w:val="20"/>
        </w:rPr>
        <w:t>This section is dedicated to the presentation and discussion of the results obtained from the experiments.</w:t>
      </w:r>
    </w:p>
    <w:p w14:paraId="0EA38D27" w14:textId="77777777" w:rsidR="00303D7A" w:rsidRPr="00D91081" w:rsidRDefault="00303D7A" w:rsidP="00D91081">
      <w:pPr>
        <w:pStyle w:val="ListParagraph"/>
        <w:numPr>
          <w:ilvl w:val="1"/>
          <w:numId w:val="1"/>
        </w:numPr>
        <w:spacing w:before="240" w:after="0" w:line="240" w:lineRule="auto"/>
        <w:ind w:left="454" w:hanging="454"/>
        <w:contextualSpacing w:val="0"/>
        <w:jc w:val="both"/>
        <w:rPr>
          <w:rFonts w:ascii="Arial" w:hAnsi="Arial" w:cs="Arial"/>
          <w:b/>
          <w:sz w:val="22"/>
          <w:szCs w:val="22"/>
        </w:rPr>
      </w:pPr>
      <w:r w:rsidRPr="00D91081">
        <w:rPr>
          <w:rFonts w:ascii="Arial" w:hAnsi="Arial" w:cs="Arial"/>
          <w:b/>
          <w:sz w:val="22"/>
          <w:szCs w:val="22"/>
        </w:rPr>
        <w:t xml:space="preserve">Detection of metals in different part of a </w:t>
      </w:r>
      <m:oMath>
        <m:sSub>
          <m:sSubPr>
            <m:ctrlPr>
              <w:rPr>
                <w:rFonts w:ascii="Cambria Math" w:eastAsiaTheme="minorHAnsi" w:hAnsi="Cambria Math" w:cs="Arial"/>
                <w:b/>
                <w:iCs/>
                <w:sz w:val="22"/>
                <w:szCs w:val="22"/>
                <w:lang w:eastAsia="en-US"/>
              </w:rPr>
            </m:ctrlPr>
          </m:sSubPr>
          <m:e>
            <m:r>
              <m:rPr>
                <m:sty m:val="b"/>
              </m:rPr>
              <w:rPr>
                <w:rFonts w:ascii="Cambria Math" w:hAnsi="Cambria Math" w:cs="Arial"/>
                <w:sz w:val="22"/>
                <w:szCs w:val="22"/>
              </w:rPr>
              <m:t>B</m:t>
            </m:r>
          </m:e>
          <m:sub>
            <m:r>
              <m:rPr>
                <m:sty m:val="b"/>
              </m:rPr>
              <w:rPr>
                <w:rFonts w:ascii="Cambria Math" w:hAnsi="Cambria Math" w:cs="Arial"/>
                <w:sz w:val="22"/>
                <w:szCs w:val="22"/>
              </w:rPr>
              <m:t>22</m:t>
            </m:r>
          </m:sub>
        </m:sSub>
      </m:oMath>
      <w:r w:rsidRPr="00D91081">
        <w:rPr>
          <w:rFonts w:ascii="Arial" w:hAnsi="Arial" w:cs="Arial"/>
          <w:b/>
          <w:sz w:val="22"/>
          <w:szCs w:val="22"/>
        </w:rPr>
        <w:t xml:space="preserve">  LED lamp</w:t>
      </w:r>
    </w:p>
    <w:p w14:paraId="336AD414" w14:textId="77777777" w:rsidR="00303D7A" w:rsidRPr="00D91081" w:rsidRDefault="00303D7A" w:rsidP="00D91081">
      <w:pPr>
        <w:pStyle w:val="ListParagraph"/>
        <w:numPr>
          <w:ilvl w:val="2"/>
          <w:numId w:val="1"/>
        </w:numPr>
        <w:spacing w:after="0" w:line="240" w:lineRule="auto"/>
        <w:ind w:left="454" w:hanging="454"/>
        <w:contextualSpacing w:val="0"/>
        <w:jc w:val="both"/>
        <w:rPr>
          <w:rFonts w:ascii="Arial" w:hAnsi="Arial" w:cs="Arial"/>
          <w:b/>
          <w:sz w:val="20"/>
          <w:szCs w:val="20"/>
          <w:u w:val="single"/>
        </w:rPr>
      </w:pPr>
      <w:r w:rsidRPr="00D91081">
        <w:rPr>
          <w:rFonts w:ascii="Arial" w:hAnsi="Arial" w:cs="Arial"/>
          <w:b/>
          <w:sz w:val="20"/>
          <w:szCs w:val="20"/>
          <w:u w:val="single"/>
        </w:rPr>
        <w:t xml:space="preserve">Detection by soda test </w:t>
      </w:r>
    </w:p>
    <w:p w14:paraId="62ADBF65" w14:textId="3E26351A" w:rsidR="003977D1" w:rsidRPr="00D91081" w:rsidRDefault="00303D7A" w:rsidP="00D91081">
      <w:pPr>
        <w:spacing w:after="0" w:line="240" w:lineRule="auto"/>
        <w:jc w:val="both"/>
        <w:rPr>
          <w:rFonts w:ascii="Arial" w:hAnsi="Arial" w:cs="Arial"/>
          <w:sz w:val="20"/>
          <w:szCs w:val="20"/>
        </w:rPr>
      </w:pPr>
      <w:r w:rsidRPr="00D91081">
        <w:rPr>
          <w:rFonts w:ascii="Arial" w:hAnsi="Arial" w:cs="Arial"/>
          <w:sz w:val="20"/>
          <w:szCs w:val="20"/>
        </w:rPr>
        <w:t>The LED support and the printed circuit board (PCB), after being treated with sodium hydroxide to remove resins, were then immersed, along with other components, in aqua regia. The characteristics of the resulting solutions, including color, pH, temperature, and the results of the sodium hydroxide test, are presented in Table 1.</w:t>
      </w:r>
    </w:p>
    <w:p w14:paraId="349AF8E7" w14:textId="6DD009FA" w:rsidR="00303D7A" w:rsidRPr="00D91081" w:rsidRDefault="00303D7A" w:rsidP="00D91081">
      <w:pPr>
        <w:spacing w:before="240" w:after="0" w:line="240" w:lineRule="auto"/>
        <w:ind w:right="113"/>
        <w:jc w:val="center"/>
        <w:rPr>
          <w:rFonts w:ascii="Arial" w:hAnsi="Arial" w:cs="Arial"/>
          <w:b/>
          <w:bCs/>
          <w:sz w:val="20"/>
          <w:szCs w:val="20"/>
        </w:rPr>
      </w:pPr>
      <w:r w:rsidRPr="00D91081">
        <w:rPr>
          <w:rFonts w:ascii="Arial" w:hAnsi="Arial" w:cs="Arial"/>
          <w:b/>
          <w:bCs/>
          <w:sz w:val="20"/>
          <w:szCs w:val="20"/>
        </w:rPr>
        <w:t xml:space="preserve">Table 1: Soda test results of components’ solutions of </w:t>
      </w:r>
      <m:oMath>
        <m:sSub>
          <m:sSubPr>
            <m:ctrlPr>
              <w:rPr>
                <w:rFonts w:ascii="Cambria Math" w:eastAsiaTheme="minorHAnsi" w:hAnsi="Cambria Math" w:cs="Arial"/>
                <w:b/>
                <w:bCs/>
                <w:iCs/>
                <w:sz w:val="20"/>
                <w:szCs w:val="20"/>
                <w:lang w:eastAsia="en-US"/>
              </w:rPr>
            </m:ctrlPr>
          </m:sSubPr>
          <m:e>
            <m:r>
              <m:rPr>
                <m:sty m:val="b"/>
              </m:rPr>
              <w:rPr>
                <w:rFonts w:ascii="Cambria Math" w:hAnsi="Cambria Math" w:cs="Arial"/>
                <w:sz w:val="20"/>
                <w:szCs w:val="20"/>
              </w:rPr>
              <m:t>B</m:t>
            </m:r>
          </m:e>
          <m:sub>
            <m:r>
              <m:rPr>
                <m:sty m:val="b"/>
              </m:rPr>
              <w:rPr>
                <w:rFonts w:ascii="Cambria Math" w:hAnsi="Cambria Math" w:cs="Arial"/>
                <w:sz w:val="20"/>
                <w:szCs w:val="20"/>
              </w:rPr>
              <m:t>22</m:t>
            </m:r>
          </m:sub>
        </m:sSub>
      </m:oMath>
      <w:r w:rsidRPr="00D91081">
        <w:rPr>
          <w:rFonts w:ascii="Arial" w:hAnsi="Arial" w:cs="Arial"/>
          <w:b/>
          <w:bCs/>
          <w:sz w:val="20"/>
          <w:szCs w:val="20"/>
        </w:rPr>
        <w:t xml:space="preserve">  LED bulb</w:t>
      </w:r>
    </w:p>
    <w:tbl>
      <w:tblPr>
        <w:tblStyle w:val="Tableausimple51"/>
        <w:tblpPr w:leftFromText="141" w:rightFromText="141" w:vertAnchor="text" w:horzAnchor="margin" w:tblpXSpec="center" w:tblpY="91"/>
        <w:tblW w:w="8506" w:type="dxa"/>
        <w:tblLayout w:type="fixed"/>
        <w:tblLook w:val="04A0" w:firstRow="1" w:lastRow="0" w:firstColumn="1" w:lastColumn="0" w:noHBand="0" w:noVBand="1"/>
      </w:tblPr>
      <w:tblGrid>
        <w:gridCol w:w="2694"/>
        <w:gridCol w:w="1418"/>
        <w:gridCol w:w="850"/>
        <w:gridCol w:w="1560"/>
        <w:gridCol w:w="1984"/>
      </w:tblGrid>
      <w:tr w:rsidR="00303D7A" w:rsidRPr="00D91081" w14:paraId="4D39928C" w14:textId="77777777" w:rsidTr="003977D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94" w:type="dxa"/>
            <w:vAlign w:val="center"/>
          </w:tcPr>
          <w:p w14:paraId="384B8498" w14:textId="77777777" w:rsidR="00303D7A" w:rsidRPr="00D91081" w:rsidRDefault="00303D7A" w:rsidP="00E06C75">
            <w:pPr>
              <w:spacing w:line="240" w:lineRule="auto"/>
              <w:ind w:right="113"/>
              <w:jc w:val="center"/>
              <w:rPr>
                <w:rFonts w:ascii="Arial" w:hAnsi="Arial" w:cs="Arial"/>
                <w:b/>
                <w:bCs/>
                <w:i w:val="0"/>
                <w:sz w:val="20"/>
                <w:szCs w:val="20"/>
              </w:rPr>
            </w:pPr>
            <w:r w:rsidRPr="00D91081">
              <w:rPr>
                <w:rFonts w:ascii="Arial" w:hAnsi="Arial" w:cs="Arial"/>
                <w:b/>
                <w:bCs/>
                <w:i w:val="0"/>
                <w:sz w:val="20"/>
                <w:szCs w:val="20"/>
              </w:rPr>
              <w:t>Components</w:t>
            </w:r>
          </w:p>
        </w:tc>
        <w:tc>
          <w:tcPr>
            <w:tcW w:w="1418" w:type="dxa"/>
            <w:vAlign w:val="center"/>
          </w:tcPr>
          <w:p w14:paraId="442A8A6B" w14:textId="77777777" w:rsidR="00303D7A" w:rsidRPr="00D91081" w:rsidRDefault="00303D7A" w:rsidP="00E06C75">
            <w:pPr>
              <w:spacing w:line="240" w:lineRule="auto"/>
              <w:ind w:right="113"/>
              <w:jc w:val="center"/>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sz w:val="20"/>
                <w:szCs w:val="20"/>
              </w:rPr>
            </w:pPr>
            <w:r w:rsidRPr="00D91081">
              <w:rPr>
                <w:rFonts w:ascii="Arial" w:hAnsi="Arial" w:cs="Arial"/>
                <w:b/>
                <w:bCs/>
                <w:i w:val="0"/>
                <w:iCs w:val="0"/>
                <w:sz w:val="20"/>
                <w:szCs w:val="20"/>
              </w:rPr>
              <w:t>aqua regia</w:t>
            </w:r>
          </w:p>
        </w:tc>
        <w:tc>
          <w:tcPr>
            <w:tcW w:w="850" w:type="dxa"/>
            <w:vAlign w:val="center"/>
          </w:tcPr>
          <w:p w14:paraId="2F0D047D" w14:textId="77777777" w:rsidR="00303D7A" w:rsidRPr="00D91081" w:rsidRDefault="00303D7A" w:rsidP="00E06C75">
            <w:pPr>
              <w:spacing w:line="240" w:lineRule="auto"/>
              <w:ind w:right="113"/>
              <w:jc w:val="center"/>
              <w:cnfStyle w:val="100000000000" w:firstRow="1" w:lastRow="0" w:firstColumn="0" w:lastColumn="0" w:oddVBand="0" w:evenVBand="0" w:oddHBand="0" w:evenHBand="0" w:firstRowFirstColumn="0" w:firstRowLastColumn="0" w:lastRowFirstColumn="0" w:lastRowLastColumn="0"/>
              <w:rPr>
                <w:rFonts w:ascii="Arial" w:hAnsi="Arial" w:cs="Arial"/>
                <w:b/>
                <w:bCs/>
                <w:i w:val="0"/>
                <w:sz w:val="20"/>
                <w:szCs w:val="20"/>
              </w:rPr>
            </w:pPr>
            <w:r w:rsidRPr="00D91081">
              <w:rPr>
                <w:rFonts w:ascii="Arial" w:hAnsi="Arial" w:cs="Arial"/>
                <w:b/>
                <w:bCs/>
                <w:i w:val="0"/>
                <w:sz w:val="20"/>
                <w:szCs w:val="20"/>
              </w:rPr>
              <w:t>pH</w:t>
            </w:r>
          </w:p>
        </w:tc>
        <w:tc>
          <w:tcPr>
            <w:tcW w:w="1560" w:type="dxa"/>
            <w:vAlign w:val="center"/>
          </w:tcPr>
          <w:p w14:paraId="2171EC2E" w14:textId="77777777" w:rsidR="00303D7A" w:rsidRPr="00D91081" w:rsidRDefault="00303D7A" w:rsidP="00E06C75">
            <w:pPr>
              <w:spacing w:line="240" w:lineRule="auto"/>
              <w:ind w:right="113"/>
              <w:jc w:val="center"/>
              <w:cnfStyle w:val="100000000000" w:firstRow="1" w:lastRow="0" w:firstColumn="0" w:lastColumn="0" w:oddVBand="0" w:evenVBand="0" w:oddHBand="0" w:evenHBand="0" w:firstRowFirstColumn="0" w:firstRowLastColumn="0" w:lastRowFirstColumn="0" w:lastRowLastColumn="0"/>
              <w:rPr>
                <w:rFonts w:ascii="Arial" w:hAnsi="Arial" w:cs="Arial"/>
                <w:b/>
                <w:bCs/>
                <w:i w:val="0"/>
                <w:sz w:val="20"/>
                <w:szCs w:val="20"/>
              </w:rPr>
            </w:pPr>
            <w:r w:rsidRPr="00D91081">
              <w:rPr>
                <w:rFonts w:ascii="Arial" w:hAnsi="Arial" w:cs="Arial"/>
                <w:b/>
                <w:bCs/>
                <w:i w:val="0"/>
                <w:sz w:val="20"/>
                <w:szCs w:val="20"/>
              </w:rPr>
              <w:t>Temperature</w:t>
            </w:r>
          </w:p>
        </w:tc>
        <w:tc>
          <w:tcPr>
            <w:tcW w:w="1984" w:type="dxa"/>
            <w:vAlign w:val="center"/>
          </w:tcPr>
          <w:p w14:paraId="2A7E601A" w14:textId="77777777" w:rsidR="00303D7A" w:rsidRPr="00D91081" w:rsidRDefault="00303D7A" w:rsidP="00E06C75">
            <w:pPr>
              <w:spacing w:line="240" w:lineRule="auto"/>
              <w:ind w:right="113"/>
              <w:jc w:val="center"/>
              <w:cnfStyle w:val="100000000000" w:firstRow="1" w:lastRow="0" w:firstColumn="0" w:lastColumn="0" w:oddVBand="0" w:evenVBand="0" w:oddHBand="0" w:evenHBand="0" w:firstRowFirstColumn="0" w:firstRowLastColumn="0" w:lastRowFirstColumn="0" w:lastRowLastColumn="0"/>
              <w:rPr>
                <w:rFonts w:ascii="Arial" w:hAnsi="Arial" w:cs="Arial"/>
                <w:b/>
                <w:bCs/>
                <w:i w:val="0"/>
                <w:sz w:val="20"/>
                <w:szCs w:val="20"/>
              </w:rPr>
            </w:pPr>
            <w:r w:rsidRPr="00D91081">
              <w:rPr>
                <w:rFonts w:ascii="Arial" w:hAnsi="Arial" w:cs="Arial"/>
                <w:b/>
                <w:bCs/>
                <w:i w:val="0"/>
                <w:sz w:val="20"/>
                <w:szCs w:val="20"/>
              </w:rPr>
              <w:t>Soda test</w:t>
            </w:r>
          </w:p>
        </w:tc>
      </w:tr>
      <w:tr w:rsidR="00303D7A" w:rsidRPr="00D91081" w14:paraId="39044C1E" w14:textId="77777777" w:rsidTr="003977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bottom w:val="single" w:sz="4" w:space="0" w:color="auto"/>
            </w:tcBorders>
            <w:vAlign w:val="center"/>
          </w:tcPr>
          <w:p w14:paraId="34B7DB2E" w14:textId="77777777" w:rsidR="00303D7A" w:rsidRPr="00D91081" w:rsidRDefault="00303D7A" w:rsidP="00E06C75">
            <w:pPr>
              <w:spacing w:line="240" w:lineRule="auto"/>
              <w:ind w:right="113"/>
              <w:jc w:val="center"/>
              <w:rPr>
                <w:rFonts w:ascii="Arial" w:hAnsi="Arial" w:cs="Arial"/>
                <w:i w:val="0"/>
                <w:sz w:val="20"/>
                <w:szCs w:val="20"/>
              </w:rPr>
            </w:pPr>
            <w:r w:rsidRPr="00D91081">
              <w:rPr>
                <w:rFonts w:ascii="Arial" w:hAnsi="Arial" w:cs="Arial"/>
                <w:i w:val="0"/>
                <w:sz w:val="20"/>
                <w:szCs w:val="20"/>
              </w:rPr>
              <w:t>LED</w:t>
            </w:r>
          </w:p>
        </w:tc>
        <w:tc>
          <w:tcPr>
            <w:tcW w:w="1418" w:type="dxa"/>
            <w:tcBorders>
              <w:bottom w:val="single" w:sz="4" w:space="0" w:color="auto"/>
            </w:tcBorders>
            <w:vAlign w:val="center"/>
          </w:tcPr>
          <w:p w14:paraId="0C6030C8" w14:textId="77777777" w:rsidR="00303D7A" w:rsidRPr="00D91081" w:rsidRDefault="00303D7A" w:rsidP="00E06C75">
            <w:pPr>
              <w:spacing w:line="240" w:lineRule="auto"/>
              <w:ind w:right="113"/>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91081">
              <w:rPr>
                <w:rFonts w:ascii="Arial" w:hAnsi="Arial" w:cs="Arial"/>
                <w:sz w:val="20"/>
                <w:szCs w:val="20"/>
              </w:rPr>
              <w:t>Blue</w:t>
            </w:r>
          </w:p>
        </w:tc>
        <w:tc>
          <w:tcPr>
            <w:tcW w:w="850" w:type="dxa"/>
            <w:tcBorders>
              <w:bottom w:val="single" w:sz="4" w:space="0" w:color="auto"/>
            </w:tcBorders>
            <w:vAlign w:val="center"/>
          </w:tcPr>
          <w:p w14:paraId="613C1D8E" w14:textId="77777777" w:rsidR="00303D7A" w:rsidRPr="00D91081" w:rsidRDefault="00303D7A" w:rsidP="00E06C75">
            <w:pPr>
              <w:spacing w:line="240" w:lineRule="auto"/>
              <w:ind w:right="113"/>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91081">
              <w:rPr>
                <w:rFonts w:ascii="Arial" w:hAnsi="Arial" w:cs="Arial"/>
                <w:sz w:val="20"/>
                <w:szCs w:val="20"/>
              </w:rPr>
              <w:t>1,59</w:t>
            </w:r>
          </w:p>
        </w:tc>
        <w:tc>
          <w:tcPr>
            <w:tcW w:w="1560" w:type="dxa"/>
            <w:tcBorders>
              <w:bottom w:val="single" w:sz="4" w:space="0" w:color="auto"/>
            </w:tcBorders>
            <w:vAlign w:val="center"/>
          </w:tcPr>
          <w:p w14:paraId="5A46B391" w14:textId="77777777" w:rsidR="00303D7A" w:rsidRPr="00D91081" w:rsidRDefault="00303D7A" w:rsidP="00E06C75">
            <w:pPr>
              <w:spacing w:line="240" w:lineRule="auto"/>
              <w:ind w:right="113"/>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91081">
              <w:rPr>
                <w:rFonts w:ascii="Arial" w:hAnsi="Arial" w:cs="Arial"/>
                <w:sz w:val="20"/>
                <w:szCs w:val="20"/>
              </w:rPr>
              <w:t>26,6</w:t>
            </w:r>
          </w:p>
        </w:tc>
        <w:tc>
          <w:tcPr>
            <w:tcW w:w="1984" w:type="dxa"/>
            <w:tcBorders>
              <w:bottom w:val="single" w:sz="4" w:space="0" w:color="auto"/>
            </w:tcBorders>
            <w:vAlign w:val="center"/>
          </w:tcPr>
          <w:p w14:paraId="6563997D" w14:textId="77777777" w:rsidR="00303D7A" w:rsidRPr="00D91081" w:rsidRDefault="00303D7A" w:rsidP="00E06C75">
            <w:pPr>
              <w:spacing w:line="240" w:lineRule="auto"/>
              <w:ind w:right="113"/>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91081">
              <w:rPr>
                <w:rFonts w:ascii="Arial" w:hAnsi="Arial" w:cs="Arial"/>
                <w:sz w:val="20"/>
                <w:szCs w:val="20"/>
              </w:rPr>
              <w:t>Blue precipitate</w:t>
            </w:r>
          </w:p>
        </w:tc>
      </w:tr>
      <w:tr w:rsidR="001F7C4B" w:rsidRPr="00D91081" w14:paraId="66BEBE96" w14:textId="77777777" w:rsidTr="003977D1">
        <w:trPr>
          <w:trHeight w:val="851"/>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auto"/>
            </w:tcBorders>
            <w:vAlign w:val="center"/>
          </w:tcPr>
          <w:p w14:paraId="53D26B2F" w14:textId="77777777" w:rsidR="001F7C4B" w:rsidRPr="00D91081" w:rsidRDefault="001F7C4B" w:rsidP="00E06C75">
            <w:pPr>
              <w:spacing w:line="240" w:lineRule="auto"/>
              <w:ind w:right="113"/>
              <w:jc w:val="center"/>
              <w:rPr>
                <w:rFonts w:ascii="Arial" w:hAnsi="Arial" w:cs="Arial"/>
                <w:iCs w:val="0"/>
                <w:sz w:val="20"/>
                <w:szCs w:val="20"/>
              </w:rPr>
            </w:pPr>
            <w:r w:rsidRPr="00D91081">
              <w:rPr>
                <w:rFonts w:ascii="Arial" w:hAnsi="Arial" w:cs="Arial"/>
                <w:i w:val="0"/>
                <w:sz w:val="20"/>
                <w:szCs w:val="20"/>
              </w:rPr>
              <w:t>Bulb base,</w:t>
            </w:r>
          </w:p>
          <w:p w14:paraId="341117B7" w14:textId="77777777" w:rsidR="001F7C4B" w:rsidRPr="00D91081" w:rsidRDefault="001F7C4B" w:rsidP="00E06C75">
            <w:pPr>
              <w:spacing w:line="240" w:lineRule="auto"/>
              <w:ind w:right="113"/>
              <w:jc w:val="center"/>
              <w:rPr>
                <w:rFonts w:ascii="Arial" w:hAnsi="Arial" w:cs="Arial"/>
                <w:iCs w:val="0"/>
                <w:sz w:val="20"/>
                <w:szCs w:val="20"/>
              </w:rPr>
            </w:pPr>
            <w:r w:rsidRPr="00D91081">
              <w:rPr>
                <w:rFonts w:ascii="Arial" w:hAnsi="Arial" w:cs="Arial"/>
                <w:i w:val="0"/>
                <w:sz w:val="20"/>
                <w:szCs w:val="20"/>
              </w:rPr>
              <w:t>Bar connecting the two sides of bulb base,</w:t>
            </w:r>
          </w:p>
          <w:p w14:paraId="74E8F077" w14:textId="18AC73B5" w:rsidR="001F7C4B" w:rsidRPr="00D91081" w:rsidRDefault="001F7C4B" w:rsidP="00E06C75">
            <w:pPr>
              <w:spacing w:line="240" w:lineRule="auto"/>
              <w:ind w:right="113"/>
              <w:jc w:val="center"/>
              <w:rPr>
                <w:rFonts w:ascii="Arial" w:hAnsi="Arial" w:cs="Arial"/>
                <w:i w:val="0"/>
                <w:sz w:val="20"/>
                <w:szCs w:val="20"/>
              </w:rPr>
            </w:pPr>
            <w:r w:rsidRPr="00D91081">
              <w:rPr>
                <w:rFonts w:ascii="Arial" w:hAnsi="Arial" w:cs="Arial"/>
                <w:i w:val="0"/>
                <w:sz w:val="20"/>
                <w:szCs w:val="20"/>
              </w:rPr>
              <w:t>Conn</w:t>
            </w:r>
            <w:r w:rsidR="008A68F4" w:rsidRPr="00D91081">
              <w:rPr>
                <w:rFonts w:ascii="Arial" w:hAnsi="Arial" w:cs="Arial"/>
                <w:i w:val="0"/>
                <w:sz w:val="20"/>
                <w:szCs w:val="20"/>
              </w:rPr>
              <w:t>e</w:t>
            </w:r>
            <w:r w:rsidRPr="00D91081">
              <w:rPr>
                <w:rFonts w:ascii="Arial" w:hAnsi="Arial" w:cs="Arial"/>
                <w:i w:val="0"/>
                <w:sz w:val="20"/>
                <w:szCs w:val="20"/>
              </w:rPr>
              <w:t>ction wires,</w:t>
            </w:r>
          </w:p>
        </w:tc>
        <w:tc>
          <w:tcPr>
            <w:tcW w:w="1418" w:type="dxa"/>
            <w:tcBorders>
              <w:top w:val="single" w:sz="4" w:space="0" w:color="auto"/>
            </w:tcBorders>
            <w:vAlign w:val="center"/>
          </w:tcPr>
          <w:p w14:paraId="275DEFB5" w14:textId="699A9026" w:rsidR="001F7C4B" w:rsidRPr="00D91081" w:rsidRDefault="001F7C4B" w:rsidP="00E06C75">
            <w:pPr>
              <w:spacing w:line="240" w:lineRule="auto"/>
              <w:ind w:right="113"/>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91081">
              <w:rPr>
                <w:rFonts w:ascii="Arial" w:hAnsi="Arial" w:cs="Arial"/>
                <w:sz w:val="20"/>
                <w:szCs w:val="20"/>
              </w:rPr>
              <w:t>Rust</w:t>
            </w:r>
          </w:p>
        </w:tc>
        <w:tc>
          <w:tcPr>
            <w:tcW w:w="850" w:type="dxa"/>
            <w:tcBorders>
              <w:top w:val="single" w:sz="4" w:space="0" w:color="auto"/>
            </w:tcBorders>
            <w:vAlign w:val="center"/>
          </w:tcPr>
          <w:p w14:paraId="7F55D7B7" w14:textId="77777777" w:rsidR="001F7C4B" w:rsidRPr="00D91081" w:rsidRDefault="001F7C4B" w:rsidP="00E06C75">
            <w:pPr>
              <w:spacing w:line="240" w:lineRule="auto"/>
              <w:ind w:right="113"/>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91081">
              <w:rPr>
                <w:rFonts w:ascii="Arial" w:hAnsi="Arial" w:cs="Arial"/>
                <w:sz w:val="20"/>
                <w:szCs w:val="20"/>
              </w:rPr>
              <w:t>1,41</w:t>
            </w:r>
          </w:p>
          <w:p w14:paraId="2BBCCF46" w14:textId="77777777" w:rsidR="001F7C4B" w:rsidRPr="00D91081" w:rsidRDefault="001F7C4B" w:rsidP="00E06C75">
            <w:pPr>
              <w:spacing w:line="240" w:lineRule="auto"/>
              <w:ind w:right="113"/>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91081">
              <w:rPr>
                <w:rFonts w:ascii="Arial" w:hAnsi="Arial" w:cs="Arial"/>
                <w:sz w:val="20"/>
                <w:szCs w:val="20"/>
              </w:rPr>
              <w:t>1,68</w:t>
            </w:r>
          </w:p>
          <w:p w14:paraId="59C1AA93" w14:textId="056879F0" w:rsidR="001F7C4B" w:rsidRPr="00D91081" w:rsidRDefault="001F7C4B" w:rsidP="00E06C75">
            <w:pPr>
              <w:spacing w:line="240" w:lineRule="auto"/>
              <w:ind w:right="113"/>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91081">
              <w:rPr>
                <w:rFonts w:ascii="Arial" w:hAnsi="Arial" w:cs="Arial"/>
                <w:sz w:val="20"/>
                <w:szCs w:val="20"/>
              </w:rPr>
              <w:t>1,59</w:t>
            </w:r>
          </w:p>
        </w:tc>
        <w:tc>
          <w:tcPr>
            <w:tcW w:w="1560" w:type="dxa"/>
            <w:tcBorders>
              <w:top w:val="single" w:sz="4" w:space="0" w:color="auto"/>
            </w:tcBorders>
            <w:vAlign w:val="center"/>
          </w:tcPr>
          <w:p w14:paraId="36C1CC54" w14:textId="77777777" w:rsidR="001F7C4B" w:rsidRPr="00D91081" w:rsidRDefault="001F7C4B" w:rsidP="00E06C75">
            <w:pPr>
              <w:spacing w:line="240" w:lineRule="auto"/>
              <w:ind w:right="113"/>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91081">
              <w:rPr>
                <w:rFonts w:ascii="Arial" w:hAnsi="Arial" w:cs="Arial"/>
                <w:sz w:val="20"/>
                <w:szCs w:val="20"/>
              </w:rPr>
              <w:t>25,7</w:t>
            </w:r>
          </w:p>
          <w:p w14:paraId="05FD0FB6" w14:textId="77777777" w:rsidR="001F7C4B" w:rsidRPr="00D91081" w:rsidRDefault="001F7C4B" w:rsidP="00E06C75">
            <w:pPr>
              <w:spacing w:line="240" w:lineRule="auto"/>
              <w:ind w:right="113"/>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91081">
              <w:rPr>
                <w:rFonts w:ascii="Arial" w:hAnsi="Arial" w:cs="Arial"/>
                <w:sz w:val="20"/>
                <w:szCs w:val="20"/>
              </w:rPr>
              <w:t>25,5</w:t>
            </w:r>
          </w:p>
          <w:p w14:paraId="75B9AF9A" w14:textId="58505DE8" w:rsidR="001F7C4B" w:rsidRPr="00D91081" w:rsidRDefault="001F7C4B" w:rsidP="00E06C75">
            <w:pPr>
              <w:spacing w:line="240" w:lineRule="auto"/>
              <w:ind w:right="113"/>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91081">
              <w:rPr>
                <w:rFonts w:ascii="Arial" w:hAnsi="Arial" w:cs="Arial"/>
                <w:sz w:val="20"/>
                <w:szCs w:val="20"/>
              </w:rPr>
              <w:t>24,6</w:t>
            </w:r>
          </w:p>
        </w:tc>
        <w:tc>
          <w:tcPr>
            <w:tcW w:w="1984" w:type="dxa"/>
            <w:tcBorders>
              <w:top w:val="single" w:sz="4" w:space="0" w:color="auto"/>
            </w:tcBorders>
            <w:vAlign w:val="center"/>
          </w:tcPr>
          <w:p w14:paraId="6F929DDB" w14:textId="5497A031" w:rsidR="001F7C4B" w:rsidRPr="00D91081" w:rsidRDefault="001F7C4B" w:rsidP="00E06C75">
            <w:pPr>
              <w:spacing w:line="240" w:lineRule="auto"/>
              <w:ind w:right="113"/>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91081">
              <w:rPr>
                <w:rFonts w:ascii="Arial" w:hAnsi="Arial" w:cs="Arial"/>
                <w:sz w:val="20"/>
                <w:szCs w:val="20"/>
              </w:rPr>
              <w:t>Rust precipitate</w:t>
            </w:r>
          </w:p>
        </w:tc>
      </w:tr>
      <w:tr w:rsidR="00303D7A" w:rsidRPr="00D91081" w14:paraId="63F918B7" w14:textId="77777777" w:rsidTr="003977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auto"/>
              <w:bottom w:val="single" w:sz="4" w:space="0" w:color="auto"/>
            </w:tcBorders>
            <w:vAlign w:val="center"/>
          </w:tcPr>
          <w:p w14:paraId="783C8053" w14:textId="77777777" w:rsidR="00303D7A" w:rsidRPr="00D91081" w:rsidRDefault="00303D7A" w:rsidP="00E06C75">
            <w:pPr>
              <w:spacing w:line="240" w:lineRule="auto"/>
              <w:ind w:right="113"/>
              <w:jc w:val="center"/>
              <w:rPr>
                <w:rFonts w:ascii="Arial" w:hAnsi="Arial" w:cs="Arial"/>
                <w:i w:val="0"/>
                <w:sz w:val="20"/>
                <w:szCs w:val="20"/>
              </w:rPr>
            </w:pPr>
            <w:r w:rsidRPr="00D91081">
              <w:rPr>
                <w:rFonts w:ascii="Arial" w:hAnsi="Arial" w:cs="Arial"/>
                <w:i w:val="0"/>
                <w:sz w:val="20"/>
                <w:szCs w:val="20"/>
              </w:rPr>
              <w:t>CCI</w:t>
            </w:r>
          </w:p>
        </w:tc>
        <w:tc>
          <w:tcPr>
            <w:tcW w:w="1418" w:type="dxa"/>
            <w:tcBorders>
              <w:top w:val="single" w:sz="4" w:space="0" w:color="auto"/>
              <w:bottom w:val="single" w:sz="4" w:space="0" w:color="auto"/>
            </w:tcBorders>
            <w:vAlign w:val="center"/>
          </w:tcPr>
          <w:p w14:paraId="4413F00E" w14:textId="7DD262B6" w:rsidR="00303D7A" w:rsidRPr="00D91081" w:rsidRDefault="00303D7A" w:rsidP="00E06C75">
            <w:pPr>
              <w:spacing w:line="240" w:lineRule="auto"/>
              <w:ind w:right="113"/>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91081">
              <w:rPr>
                <w:rFonts w:ascii="Arial" w:hAnsi="Arial" w:cs="Arial"/>
                <w:sz w:val="20"/>
                <w:szCs w:val="20"/>
              </w:rPr>
              <w:t>Yellowis</w:t>
            </w:r>
            <w:r w:rsidR="004734EF" w:rsidRPr="00D91081">
              <w:rPr>
                <w:rFonts w:ascii="Arial" w:hAnsi="Arial" w:cs="Arial"/>
                <w:sz w:val="20"/>
                <w:szCs w:val="20"/>
              </w:rPr>
              <w:t>h</w:t>
            </w:r>
            <w:r w:rsidRPr="00D91081">
              <w:rPr>
                <w:rFonts w:ascii="Arial" w:hAnsi="Arial" w:cs="Arial"/>
                <w:sz w:val="20"/>
                <w:szCs w:val="20"/>
              </w:rPr>
              <w:t>-green</w:t>
            </w:r>
          </w:p>
        </w:tc>
        <w:tc>
          <w:tcPr>
            <w:tcW w:w="850" w:type="dxa"/>
            <w:tcBorders>
              <w:top w:val="single" w:sz="4" w:space="0" w:color="auto"/>
              <w:bottom w:val="single" w:sz="4" w:space="0" w:color="auto"/>
            </w:tcBorders>
            <w:vAlign w:val="center"/>
          </w:tcPr>
          <w:p w14:paraId="4BED2552" w14:textId="77777777" w:rsidR="00303D7A" w:rsidRPr="00D91081" w:rsidRDefault="00303D7A" w:rsidP="00E06C75">
            <w:pPr>
              <w:spacing w:line="240" w:lineRule="auto"/>
              <w:ind w:right="113"/>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91081">
              <w:rPr>
                <w:rFonts w:ascii="Arial" w:hAnsi="Arial" w:cs="Arial"/>
                <w:sz w:val="20"/>
                <w:szCs w:val="20"/>
              </w:rPr>
              <w:t>1,03</w:t>
            </w:r>
          </w:p>
        </w:tc>
        <w:tc>
          <w:tcPr>
            <w:tcW w:w="1560" w:type="dxa"/>
            <w:tcBorders>
              <w:top w:val="single" w:sz="4" w:space="0" w:color="auto"/>
              <w:bottom w:val="single" w:sz="4" w:space="0" w:color="auto"/>
            </w:tcBorders>
            <w:vAlign w:val="center"/>
          </w:tcPr>
          <w:p w14:paraId="63BDABA1" w14:textId="77777777" w:rsidR="00303D7A" w:rsidRPr="00D91081" w:rsidRDefault="00303D7A" w:rsidP="00E06C75">
            <w:pPr>
              <w:spacing w:line="240" w:lineRule="auto"/>
              <w:ind w:right="113"/>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91081">
              <w:rPr>
                <w:rFonts w:ascii="Arial" w:hAnsi="Arial" w:cs="Arial"/>
                <w:sz w:val="20"/>
                <w:szCs w:val="20"/>
              </w:rPr>
              <w:t>25,4</w:t>
            </w:r>
          </w:p>
        </w:tc>
        <w:tc>
          <w:tcPr>
            <w:tcW w:w="1984" w:type="dxa"/>
            <w:tcBorders>
              <w:top w:val="single" w:sz="4" w:space="0" w:color="auto"/>
              <w:bottom w:val="single" w:sz="4" w:space="0" w:color="auto"/>
            </w:tcBorders>
            <w:vAlign w:val="center"/>
          </w:tcPr>
          <w:p w14:paraId="7E6E2E74" w14:textId="3D8A4233" w:rsidR="00303D7A" w:rsidRPr="00D91081" w:rsidRDefault="00303D7A" w:rsidP="00E06C75">
            <w:pPr>
              <w:spacing w:line="240" w:lineRule="auto"/>
              <w:ind w:right="113"/>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91081">
              <w:rPr>
                <w:rFonts w:ascii="Arial" w:hAnsi="Arial" w:cs="Arial"/>
                <w:sz w:val="20"/>
                <w:szCs w:val="20"/>
              </w:rPr>
              <w:t>Rust precipitate + blue</w:t>
            </w:r>
          </w:p>
        </w:tc>
      </w:tr>
    </w:tbl>
    <w:p w14:paraId="663618FE" w14:textId="77777777" w:rsidR="00303D7A" w:rsidRPr="00D91081" w:rsidRDefault="00303D7A" w:rsidP="00D91081">
      <w:pPr>
        <w:spacing w:before="240" w:after="0" w:line="240" w:lineRule="auto"/>
        <w:jc w:val="both"/>
        <w:rPr>
          <w:rFonts w:ascii="Arial" w:hAnsi="Arial" w:cs="Arial"/>
          <w:sz w:val="20"/>
          <w:szCs w:val="20"/>
        </w:rPr>
      </w:pPr>
      <w:r w:rsidRPr="00D91081">
        <w:rPr>
          <w:rFonts w:ascii="Arial" w:hAnsi="Arial" w:cs="Arial"/>
          <w:sz w:val="20"/>
          <w:szCs w:val="20"/>
        </w:rPr>
        <w:t xml:space="preserve">These results made it possible to conclude that the LED support contains copper, printed on one of the faces in contact with the diodes (Figure 3). The base, the bar connecting both sides of the base, and the connecting wires contain iron. The printed circuit board (PCB) contains both copper </w:t>
      </w:r>
      <w:r w:rsidRPr="00D91081">
        <w:rPr>
          <w:rFonts w:ascii="Arial" w:hAnsi="Arial" w:cs="Arial"/>
          <w:sz w:val="20"/>
          <w:szCs w:val="20"/>
        </w:rPr>
        <w:lastRenderedPageBreak/>
        <w:t>and iron. It also includes tin, used for soldering, which can be easily identified through simple observation. These findings fully support the integration of LED lamps into e-waste recycling strategies, particularly for the recovery of strategic metals valuable to the industry. These metals can be reintroduced into the production chain to manufacture new electronic or electrical equipment, thus reducing reliance on virgin raw materials.</w:t>
      </w:r>
    </w:p>
    <w:p w14:paraId="4469B36C" w14:textId="77777777" w:rsidR="00303D7A" w:rsidRPr="00D91081" w:rsidRDefault="00303D7A" w:rsidP="00D91081">
      <w:pPr>
        <w:spacing w:after="0" w:line="240" w:lineRule="auto"/>
        <w:jc w:val="both"/>
        <w:rPr>
          <w:rFonts w:ascii="Arial" w:hAnsi="Arial" w:cs="Arial"/>
          <w:sz w:val="20"/>
          <w:szCs w:val="20"/>
        </w:rPr>
      </w:pPr>
      <w:r w:rsidRPr="00D91081">
        <w:rPr>
          <w:rFonts w:ascii="Arial" w:hAnsi="Arial" w:cs="Arial"/>
          <w:sz w:val="20"/>
          <w:szCs w:val="20"/>
        </w:rPr>
        <w:t>Figure 3 shows some of the elements obtained after dismantling these lamps. Furthermore, visual observation of the LED support suggested the presence of other metals, such as aluminum or zinc (Figure 3). This hypothesis was confirmed by cyclic voltammetry analyses of the diode support, which revealed the presence of these metals.</w:t>
      </w:r>
    </w:p>
    <w:p w14:paraId="26150656" w14:textId="77777777" w:rsidR="00303D7A" w:rsidRPr="00D91081" w:rsidRDefault="00303D7A" w:rsidP="00D91081">
      <w:pPr>
        <w:spacing w:before="240" w:after="0" w:line="240" w:lineRule="auto"/>
        <w:jc w:val="center"/>
        <w:rPr>
          <w:rFonts w:ascii="Arial" w:hAnsi="Arial" w:cs="Arial"/>
          <w:sz w:val="20"/>
          <w:szCs w:val="20"/>
        </w:rPr>
      </w:pPr>
      <w:r w:rsidRPr="00D91081">
        <w:rPr>
          <w:rFonts w:ascii="Arial" w:hAnsi="Arial" w:cs="Arial"/>
          <w:noProof/>
          <w:sz w:val="20"/>
          <w:szCs w:val="20"/>
        </w:rPr>
        <w:drawing>
          <wp:inline distT="0" distB="0" distL="0" distR="0" wp14:anchorId="607F94ED" wp14:editId="0C0FD617">
            <wp:extent cx="4152900" cy="2238375"/>
            <wp:effectExtent l="0" t="0" r="0" b="9525"/>
            <wp:docPr id="94452215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52900" cy="2238375"/>
                    </a:xfrm>
                    <a:prstGeom prst="rect">
                      <a:avLst/>
                    </a:prstGeom>
                    <a:noFill/>
                    <a:ln>
                      <a:noFill/>
                    </a:ln>
                  </pic:spPr>
                </pic:pic>
              </a:graphicData>
            </a:graphic>
          </wp:inline>
        </w:drawing>
      </w:r>
    </w:p>
    <w:p w14:paraId="26A76D02" w14:textId="699C002A" w:rsidR="00303D7A" w:rsidRPr="00D91081" w:rsidRDefault="00303D7A" w:rsidP="00D91081">
      <w:pPr>
        <w:spacing w:after="0" w:line="240" w:lineRule="auto"/>
        <w:jc w:val="center"/>
        <w:rPr>
          <w:rFonts w:ascii="Arial" w:hAnsi="Arial" w:cs="Arial"/>
          <w:sz w:val="20"/>
          <w:szCs w:val="20"/>
        </w:rPr>
      </w:pPr>
      <w:r w:rsidRPr="00D91081">
        <w:rPr>
          <w:rFonts w:ascii="Arial" w:hAnsi="Arial" w:cs="Arial"/>
          <w:noProof/>
          <w:sz w:val="20"/>
          <w:szCs w:val="20"/>
        </w:rPr>
        <mc:AlternateContent>
          <mc:Choice Requires="wps">
            <w:drawing>
              <wp:inline distT="0" distB="0" distL="0" distR="0" wp14:anchorId="0E1336EB" wp14:editId="5843A20F">
                <wp:extent cx="5486400" cy="400050"/>
                <wp:effectExtent l="0" t="0" r="0" b="0"/>
                <wp:docPr id="2053387163" name="Zone de texte 12"/>
                <wp:cNvGraphicFramePr/>
                <a:graphic xmlns:a="http://schemas.openxmlformats.org/drawingml/2006/main">
                  <a:graphicData uri="http://schemas.microsoft.com/office/word/2010/wordprocessingShape">
                    <wps:wsp>
                      <wps:cNvSpPr txBox="1"/>
                      <wps:spPr>
                        <a:xfrm>
                          <a:off x="0" y="0"/>
                          <a:ext cx="5486400" cy="400050"/>
                        </a:xfrm>
                        <a:prstGeom prst="rect">
                          <a:avLst/>
                        </a:prstGeom>
                        <a:noFill/>
                        <a:ln w="6350">
                          <a:noFill/>
                        </a:ln>
                      </wps:spPr>
                      <wps:txbx>
                        <w:txbxContent>
                          <w:p w14:paraId="7FA64DDD" w14:textId="4ECA1528" w:rsidR="00303D7A" w:rsidRPr="00A33CAD" w:rsidRDefault="00303D7A" w:rsidP="00A33CAD">
                            <w:pPr>
                              <w:spacing w:after="0" w:line="240" w:lineRule="auto"/>
                              <w:contextualSpacing/>
                              <w:jc w:val="center"/>
                              <w:rPr>
                                <w:rFonts w:ascii="Arial" w:hAnsi="Arial" w:cs="Arial"/>
                                <w:sz w:val="20"/>
                                <w:szCs w:val="20"/>
                              </w:rPr>
                            </w:pPr>
                            <w:r w:rsidRPr="00A33CAD">
                              <w:rPr>
                                <w:rFonts w:ascii="Arial" w:hAnsi="Arial" w:cs="Arial"/>
                                <w:sz w:val="20"/>
                                <w:szCs w:val="20"/>
                              </w:rPr>
                              <w:t>C: LED support; D: Front of the LED support without diodes; E: Printed circuit board;</w:t>
                            </w:r>
                          </w:p>
                          <w:p w14:paraId="2A061026" w14:textId="77777777" w:rsidR="00303D7A" w:rsidRPr="00A33CAD" w:rsidRDefault="00303D7A" w:rsidP="00A33CAD">
                            <w:pPr>
                              <w:spacing w:after="0" w:line="240" w:lineRule="auto"/>
                              <w:contextualSpacing/>
                              <w:jc w:val="center"/>
                              <w:rPr>
                                <w:rFonts w:ascii="Arial" w:hAnsi="Arial" w:cs="Arial"/>
                                <w:sz w:val="20"/>
                                <w:szCs w:val="20"/>
                              </w:rPr>
                            </w:pPr>
                            <w:r w:rsidRPr="00A33CAD">
                              <w:rPr>
                                <w:rFonts w:ascii="Arial" w:hAnsi="Arial" w:cs="Arial"/>
                                <w:sz w:val="20"/>
                                <w:szCs w:val="20"/>
                              </w:rPr>
                              <w:t>F: Plastics; G: Metals</w:t>
                            </w:r>
                          </w:p>
                          <w:p w14:paraId="45A64BC2" w14:textId="77777777" w:rsidR="00303D7A" w:rsidRPr="00303D7A" w:rsidRDefault="00303D7A" w:rsidP="00CA2DEF">
                            <w:pPr>
                              <w:jc w:val="center"/>
                              <w:rPr>
                                <w:sz w:val="22"/>
                                <w:szCs w:val="2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E1336EB" id="Zone de texte 12" o:spid="_x0000_s1029" type="#_x0000_t202" style="width:6in;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" filled="f" stroked="f" strokeweight=".5pt">
                <v:textbox>
                  <w:txbxContent>
                    <w:p w14:paraId="7FA64DDD" w14:textId="4ECA1528" w:rsidR="00303D7A" w:rsidRPr="00A33CAD" w:rsidRDefault="00303D7A" w:rsidP="00A33CAD">
                      <w:pPr>
                        <w:spacing w:after="0" w:line="240" w:lineRule="auto"/>
                        <w:contextualSpacing/>
                        <w:jc w:val="center"/>
                        <w:rPr>
                          <w:rFonts w:ascii="Arial" w:hAnsi="Arial" w:cs="Arial"/>
                          <w:sz w:val="20"/>
                          <w:szCs w:val="20"/>
                        </w:rPr>
                      </w:pPr>
                      <w:r w:rsidRPr="00A33CAD">
                        <w:rPr>
                          <w:rFonts w:ascii="Arial" w:hAnsi="Arial" w:cs="Arial"/>
                          <w:sz w:val="20"/>
                          <w:szCs w:val="20"/>
                        </w:rPr>
                        <w:t>C: LED support; D: Front of the LED support without diodes; E: Printed circuit board;</w:t>
                      </w:r>
                    </w:p>
                    <w:p w14:paraId="2A061026" w14:textId="77777777" w:rsidR="00303D7A" w:rsidRPr="00A33CAD" w:rsidRDefault="00303D7A" w:rsidP="00A33CAD">
                      <w:pPr>
                        <w:spacing w:after="0" w:line="240" w:lineRule="auto"/>
                        <w:contextualSpacing/>
                        <w:jc w:val="center"/>
                        <w:rPr>
                          <w:rFonts w:ascii="Arial" w:hAnsi="Arial" w:cs="Arial"/>
                          <w:sz w:val="20"/>
                          <w:szCs w:val="20"/>
                        </w:rPr>
                      </w:pPr>
                      <w:r w:rsidRPr="00A33CAD">
                        <w:rPr>
                          <w:rFonts w:ascii="Arial" w:hAnsi="Arial" w:cs="Arial"/>
                          <w:sz w:val="20"/>
                          <w:szCs w:val="20"/>
                        </w:rPr>
                        <w:t>F: Plastics; G: Metals</w:t>
                      </w:r>
                    </w:p>
                    <w:p w14:paraId="45A64BC2" w14:textId="77777777" w:rsidR="00303D7A" w:rsidRPr="00303D7A" w:rsidRDefault="00303D7A" w:rsidP="00CA2DEF">
                      <w:pPr>
                        <w:jc w:val="center"/>
                        <w:rPr>
                          <w:sz w:val="22"/>
                          <w:szCs w:val="22"/>
                        </w:rPr>
                      </w:pPr>
                    </w:p>
                  </w:txbxContent>
                </v:textbox>
                <w10:anchorlock/>
              </v:shape>
            </w:pict>
          </mc:Fallback>
        </mc:AlternateContent>
      </w:r>
      <w:r w:rsidRPr="00E06C75">
        <w:rPr>
          <w:rFonts w:ascii="Arial" w:hAnsi="Arial" w:cs="Arial"/>
          <w:b/>
          <w:bCs/>
          <w:sz w:val="20"/>
          <w:szCs w:val="20"/>
        </w:rPr>
        <w:t xml:space="preserve">Figure 3: Main Components of a </w:t>
      </w:r>
      <m:oMath>
        <m:sSub>
          <m:sSubPr>
            <m:ctrlPr>
              <w:rPr>
                <w:rFonts w:ascii="Cambria Math" w:hAnsi="Cambria Math" w:cs="Arial"/>
                <w:b/>
                <w:bCs/>
                <w:sz w:val="20"/>
                <w:szCs w:val="20"/>
              </w:rPr>
            </m:ctrlPr>
          </m:sSubPr>
          <m:e>
            <m:r>
              <m:rPr>
                <m:sty m:val="b"/>
              </m:rPr>
              <w:rPr>
                <w:rFonts w:ascii="Cambria Math" w:hAnsi="Cambria Math" w:cs="Arial"/>
                <w:sz w:val="20"/>
                <w:szCs w:val="20"/>
              </w:rPr>
              <m:t>B</m:t>
            </m:r>
          </m:e>
          <m:sub>
            <m:r>
              <m:rPr>
                <m:sty m:val="b"/>
              </m:rPr>
              <w:rPr>
                <w:rFonts w:ascii="Cambria Math" w:hAnsi="Cambria Math" w:cs="Arial"/>
                <w:sz w:val="20"/>
                <w:szCs w:val="20"/>
              </w:rPr>
              <m:t>22</m:t>
            </m:r>
          </m:sub>
        </m:sSub>
      </m:oMath>
      <w:r w:rsidRPr="00E06C75">
        <w:rPr>
          <w:rFonts w:ascii="Arial" w:hAnsi="Arial" w:cs="Arial"/>
          <w:b/>
          <w:bCs/>
          <w:sz w:val="20"/>
          <w:szCs w:val="20"/>
        </w:rPr>
        <w:t xml:space="preserve"> LED Bulb</w:t>
      </w:r>
    </w:p>
    <w:p w14:paraId="000DA99E" w14:textId="77777777" w:rsidR="00303D7A" w:rsidRPr="00A33CAD" w:rsidRDefault="00303D7A" w:rsidP="00A33CAD">
      <w:pPr>
        <w:pStyle w:val="ListParagraph"/>
        <w:numPr>
          <w:ilvl w:val="2"/>
          <w:numId w:val="1"/>
        </w:numPr>
        <w:spacing w:before="240" w:after="0" w:line="240" w:lineRule="auto"/>
        <w:ind w:left="454" w:hanging="454"/>
        <w:contextualSpacing w:val="0"/>
        <w:jc w:val="both"/>
        <w:rPr>
          <w:rFonts w:ascii="Arial" w:hAnsi="Arial" w:cs="Arial"/>
          <w:b/>
          <w:sz w:val="20"/>
          <w:szCs w:val="20"/>
          <w:u w:val="single"/>
        </w:rPr>
      </w:pPr>
      <w:r w:rsidRPr="00A33CAD">
        <w:rPr>
          <w:rFonts w:ascii="Arial" w:hAnsi="Arial" w:cs="Arial"/>
          <w:b/>
          <w:sz w:val="20"/>
          <w:szCs w:val="20"/>
          <w:u w:val="single"/>
        </w:rPr>
        <w:t xml:space="preserve">Detection of copper and </w:t>
      </w:r>
      <w:proofErr w:type="spellStart"/>
      <w:r w:rsidRPr="00A33CAD">
        <w:rPr>
          <w:rFonts w:ascii="Arial" w:hAnsi="Arial" w:cs="Arial"/>
          <w:b/>
          <w:sz w:val="20"/>
          <w:szCs w:val="20"/>
          <w:u w:val="single"/>
        </w:rPr>
        <w:t>aluninum</w:t>
      </w:r>
      <w:proofErr w:type="spellEnd"/>
      <w:r w:rsidRPr="00A33CAD">
        <w:rPr>
          <w:rFonts w:ascii="Arial" w:hAnsi="Arial" w:cs="Arial"/>
          <w:b/>
          <w:sz w:val="20"/>
          <w:szCs w:val="20"/>
          <w:u w:val="single"/>
        </w:rPr>
        <w:t xml:space="preserve"> by cyclic voltammetry</w:t>
      </w:r>
    </w:p>
    <w:p w14:paraId="48FF4D03" w14:textId="77777777" w:rsidR="008637B9" w:rsidRPr="00D91081" w:rsidRDefault="00303D7A" w:rsidP="00D91081">
      <w:pPr>
        <w:spacing w:after="0" w:line="240" w:lineRule="auto"/>
        <w:jc w:val="both"/>
        <w:rPr>
          <w:rFonts w:ascii="Arial" w:hAnsi="Arial" w:cs="Arial"/>
          <w:sz w:val="20"/>
          <w:szCs w:val="20"/>
        </w:rPr>
      </w:pPr>
      <w:r w:rsidRPr="00D91081">
        <w:rPr>
          <w:rFonts w:ascii="Arial" w:hAnsi="Arial" w:cs="Arial"/>
          <w:sz w:val="20"/>
          <w:szCs w:val="20"/>
        </w:rPr>
        <w:t xml:space="preserve">Figure 4 shows the calibration curve of the </w:t>
      </w:r>
      <w:proofErr w:type="spellStart"/>
      <w:r w:rsidRPr="00D91081">
        <w:rPr>
          <w:rFonts w:ascii="Arial" w:hAnsi="Arial" w:cs="Arial"/>
          <w:sz w:val="20"/>
          <w:szCs w:val="20"/>
        </w:rPr>
        <w:t>potentiostat</w:t>
      </w:r>
      <w:proofErr w:type="spellEnd"/>
      <w:r w:rsidRPr="00D91081">
        <w:rPr>
          <w:rFonts w:ascii="Arial" w:hAnsi="Arial" w:cs="Arial"/>
          <w:sz w:val="20"/>
          <w:szCs w:val="20"/>
        </w:rPr>
        <w:t>. The graph representing DAC as a function of voltage (DAC = f(Voltage)) is a straight line, indicating successful calibration of the digital-to-analog converter (DAC). The linear regression applied to the data yielded the equation: y = 822.06x + 2063.4, where x represents voltage and y the DAC signal.</w:t>
      </w:r>
    </w:p>
    <w:p w14:paraId="2730B53E" w14:textId="1877DA52" w:rsidR="00303D7A" w:rsidRPr="00D91081" w:rsidRDefault="00303D7A" w:rsidP="00D91081">
      <w:pPr>
        <w:spacing w:after="0" w:line="240" w:lineRule="auto"/>
        <w:jc w:val="both"/>
        <w:rPr>
          <w:rFonts w:ascii="Arial" w:hAnsi="Arial" w:cs="Arial"/>
          <w:sz w:val="20"/>
          <w:szCs w:val="20"/>
        </w:rPr>
      </w:pPr>
      <w:r w:rsidRPr="00D91081">
        <w:rPr>
          <w:rFonts w:ascii="Arial" w:hAnsi="Arial" w:cs="Arial"/>
          <w:sz w:val="20"/>
          <w:szCs w:val="20"/>
        </w:rPr>
        <w:t xml:space="preserve">The slope (822.06) and the y-intercept (2063.4) are very close to the expected theoretical values (830 and 2080, respectively), which also confirms the proper calibration of the analog-to-digital converter (ADC). These two parameters, the slope and the intercept, are used in lines 23 and 26 of the Python script to ensure accurate calibration. Thanks to this proper DAC and ADC configuration on the working computer, the measurements obtained during the analyses were reliable. It is important to note that any change of computer requires a new calibration of the DAC and ADC to ensure a stable 5 V supply for the </w:t>
      </w:r>
      <w:proofErr w:type="spellStart"/>
      <w:r w:rsidRPr="00D91081">
        <w:rPr>
          <w:rFonts w:ascii="Arial" w:hAnsi="Arial" w:cs="Arial"/>
          <w:sz w:val="20"/>
          <w:szCs w:val="20"/>
        </w:rPr>
        <w:t>potentiostat</w:t>
      </w:r>
      <w:proofErr w:type="spellEnd"/>
      <w:r w:rsidRPr="00D91081">
        <w:rPr>
          <w:rFonts w:ascii="Arial" w:hAnsi="Arial" w:cs="Arial"/>
          <w:sz w:val="20"/>
          <w:szCs w:val="20"/>
        </w:rPr>
        <w:t>.</w:t>
      </w:r>
    </w:p>
    <w:p w14:paraId="12A5D0C3" w14:textId="77777777" w:rsidR="00303D7A" w:rsidRPr="00D91081" w:rsidRDefault="00303D7A" w:rsidP="00D91081">
      <w:pPr>
        <w:spacing w:after="0" w:line="240" w:lineRule="auto"/>
        <w:jc w:val="both"/>
        <w:rPr>
          <w:rFonts w:ascii="Arial" w:hAnsi="Arial" w:cs="Arial"/>
          <w:sz w:val="20"/>
          <w:szCs w:val="20"/>
        </w:rPr>
      </w:pPr>
      <w:r w:rsidRPr="00D91081">
        <w:rPr>
          <w:rFonts w:ascii="Arial" w:hAnsi="Arial" w:cs="Arial"/>
          <w:sz w:val="20"/>
          <w:szCs w:val="20"/>
        </w:rPr>
        <w:t>For the various electrochemical analyses, a glassy carbon working electrode was used, while the reference electrode was an Ag/AgCl electrode with a potential of 0.22 V relative to the standard hydrogen electrode. The counter electrode consisted of a pencil lead, an economical and efficient alternative for this type of setup.</w:t>
      </w:r>
    </w:p>
    <w:p w14:paraId="7E4683A8" w14:textId="77777777" w:rsidR="00303D7A" w:rsidRPr="00D91081" w:rsidRDefault="00303D7A" w:rsidP="00D91081">
      <w:pPr>
        <w:spacing w:after="0" w:line="240" w:lineRule="auto"/>
        <w:jc w:val="both"/>
        <w:rPr>
          <w:rFonts w:ascii="Arial" w:hAnsi="Arial" w:cs="Arial"/>
          <w:sz w:val="20"/>
          <w:szCs w:val="20"/>
        </w:rPr>
      </w:pPr>
      <w:r w:rsidRPr="00D91081">
        <w:rPr>
          <w:rFonts w:ascii="Arial" w:hAnsi="Arial" w:cs="Arial"/>
          <w:sz w:val="20"/>
          <w:szCs w:val="20"/>
        </w:rPr>
        <w:t>Figure 4 also shows the voltammogram of aqua regia (a mixture of HNO</w:t>
      </w:r>
      <w:r w:rsidRPr="00D91081">
        <w:rPr>
          <w:rFonts w:ascii="Cambria Math" w:hAnsi="Cambria Math" w:cs="Cambria Math"/>
          <w:sz w:val="20"/>
          <w:szCs w:val="20"/>
        </w:rPr>
        <w:t>₃</w:t>
      </w:r>
      <w:r w:rsidRPr="00D91081">
        <w:rPr>
          <w:rFonts w:ascii="Arial" w:hAnsi="Arial" w:cs="Arial"/>
          <w:sz w:val="20"/>
          <w:szCs w:val="20"/>
        </w:rPr>
        <w:t xml:space="preserve"> and 3HCl), used here as the electrolyte solvent. It is important to note that aqua regia is a chemically unstable medium, which rapidly decomposes according to the reaction: HNO</w:t>
      </w:r>
      <w:r w:rsidRPr="00D91081">
        <w:rPr>
          <w:rFonts w:ascii="Cambria Math" w:hAnsi="Cambria Math" w:cs="Cambria Math"/>
          <w:sz w:val="20"/>
          <w:szCs w:val="20"/>
        </w:rPr>
        <w:t>₃</w:t>
      </w:r>
      <w:r w:rsidRPr="00D91081">
        <w:rPr>
          <w:rFonts w:ascii="Arial" w:hAnsi="Arial" w:cs="Arial"/>
          <w:sz w:val="20"/>
          <w:szCs w:val="20"/>
        </w:rPr>
        <w:t xml:space="preserve"> + 3HCl → </w:t>
      </w:r>
      <w:proofErr w:type="spellStart"/>
      <w:r w:rsidRPr="00D91081">
        <w:rPr>
          <w:rFonts w:ascii="Arial" w:hAnsi="Arial" w:cs="Arial"/>
          <w:sz w:val="20"/>
          <w:szCs w:val="20"/>
        </w:rPr>
        <w:t>NOCl</w:t>
      </w:r>
      <w:proofErr w:type="spellEnd"/>
      <w:r w:rsidRPr="00D91081">
        <w:rPr>
          <w:rFonts w:ascii="Arial" w:hAnsi="Arial" w:cs="Arial"/>
          <w:sz w:val="20"/>
          <w:szCs w:val="20"/>
        </w:rPr>
        <w:t xml:space="preserve"> + Cl</w:t>
      </w:r>
      <w:r w:rsidRPr="00D91081">
        <w:rPr>
          <w:rFonts w:ascii="Cambria Math" w:hAnsi="Cambria Math" w:cs="Cambria Math"/>
          <w:sz w:val="20"/>
          <w:szCs w:val="20"/>
        </w:rPr>
        <w:t>₂</w:t>
      </w:r>
      <w:r w:rsidRPr="00D91081">
        <w:rPr>
          <w:rFonts w:ascii="Arial" w:hAnsi="Arial" w:cs="Arial"/>
          <w:sz w:val="20"/>
          <w:szCs w:val="20"/>
        </w:rPr>
        <w:t xml:space="preserve"> + 2H</w:t>
      </w:r>
      <w:r w:rsidRPr="00D91081">
        <w:rPr>
          <w:rFonts w:ascii="Cambria Math" w:hAnsi="Cambria Math" w:cs="Cambria Math"/>
          <w:sz w:val="20"/>
          <w:szCs w:val="20"/>
        </w:rPr>
        <w:t>₂</w:t>
      </w:r>
      <w:r w:rsidRPr="00D91081">
        <w:rPr>
          <w:rFonts w:ascii="Arial" w:hAnsi="Arial" w:cs="Arial"/>
          <w:sz w:val="20"/>
          <w:szCs w:val="20"/>
        </w:rPr>
        <w:t>O (Guilhem, 2006).</w:t>
      </w:r>
    </w:p>
    <w:p w14:paraId="7235B46C" w14:textId="77777777" w:rsidR="00303D7A" w:rsidRPr="00D91081" w:rsidRDefault="00303D7A" w:rsidP="00D91081">
      <w:pPr>
        <w:spacing w:after="0" w:line="240" w:lineRule="auto"/>
        <w:jc w:val="both"/>
        <w:rPr>
          <w:rFonts w:ascii="Arial" w:hAnsi="Arial" w:cs="Arial"/>
          <w:sz w:val="20"/>
          <w:szCs w:val="20"/>
        </w:rPr>
      </w:pPr>
      <w:r w:rsidRPr="00D91081">
        <w:rPr>
          <w:rFonts w:ascii="Arial" w:hAnsi="Arial" w:cs="Arial"/>
          <w:sz w:val="20"/>
          <w:szCs w:val="20"/>
        </w:rPr>
        <w:t>The voltammogram obtained helps define the electrochemical stability window of the solvent, with a reduction wall observed at –1.85 V and an oxidation wall around 2 V. No significant current peaks were observed within this window, suggesting the absence of notable redox processes within these limits. This observation may be explained by a low concentration of labile protons (even though the medium is acidic, the protons available are not sufficiently free (labile) or accessible to undergo reduction at the electrode). This is typically due to the nature of aqua regia, which does not behave like pure acidified water; the chemical bonds are more complex and can inhibit the reduction of H</w:t>
      </w:r>
      <w:r w:rsidRPr="00D91081">
        <w:rPr>
          <w:rFonts w:ascii="Cambria Math" w:hAnsi="Cambria Math" w:cs="Cambria Math"/>
          <w:sz w:val="20"/>
          <w:szCs w:val="20"/>
        </w:rPr>
        <w:t>⁺</w:t>
      </w:r>
      <w:r w:rsidRPr="00D91081">
        <w:rPr>
          <w:rFonts w:ascii="Arial" w:hAnsi="Arial" w:cs="Arial"/>
          <w:sz w:val="20"/>
          <w:szCs w:val="20"/>
        </w:rPr>
        <w:t xml:space="preserve"> to H</w:t>
      </w:r>
      <w:r w:rsidRPr="00D91081">
        <w:rPr>
          <w:rFonts w:ascii="Cambria Math" w:hAnsi="Cambria Math" w:cs="Cambria Math"/>
          <w:sz w:val="20"/>
          <w:szCs w:val="20"/>
        </w:rPr>
        <w:t>₂</w:t>
      </w:r>
      <w:r w:rsidRPr="00D91081">
        <w:rPr>
          <w:rFonts w:ascii="Arial" w:hAnsi="Arial" w:cs="Arial"/>
          <w:sz w:val="20"/>
          <w:szCs w:val="20"/>
        </w:rPr>
        <w:t>, hence the absence of a peak even at –1.85 V.</w:t>
      </w:r>
    </w:p>
    <w:p w14:paraId="11577EC2" w14:textId="77777777" w:rsidR="00303D7A" w:rsidRPr="00D91081" w:rsidRDefault="00303D7A" w:rsidP="00D91081">
      <w:pPr>
        <w:spacing w:after="0" w:line="240" w:lineRule="auto"/>
        <w:jc w:val="both"/>
        <w:rPr>
          <w:rFonts w:ascii="Arial" w:hAnsi="Arial" w:cs="Arial"/>
          <w:sz w:val="20"/>
          <w:szCs w:val="20"/>
        </w:rPr>
      </w:pPr>
      <w:r w:rsidRPr="00D91081">
        <w:rPr>
          <w:rFonts w:ascii="Arial" w:hAnsi="Arial" w:cs="Arial"/>
          <w:sz w:val="20"/>
          <w:szCs w:val="20"/>
        </w:rPr>
        <w:lastRenderedPageBreak/>
        <w:t>A 0.1 M hydrogen chloride (HCl) solution was also used as a solvent, and its voltammogram is shown in Figure 4. As with aqua regia, no electrochemical peak was observed, although the electrochemical window, defined by a reduction wall at –1.8 V and an oxidation wall at 1.8 V, was clearly visible. The absence of a peak in this window can be explained by the fact that the 0.1 M HCl solution does not contain any electroactive species likely to undergo a detectable redox reaction within this potential range, aside from possibly the H</w:t>
      </w:r>
      <w:r w:rsidRPr="00D91081">
        <w:rPr>
          <w:rFonts w:ascii="Cambria Math" w:hAnsi="Cambria Math" w:cs="Cambria Math"/>
          <w:sz w:val="20"/>
          <w:szCs w:val="20"/>
        </w:rPr>
        <w:t>⁺</w:t>
      </w:r>
      <w:r w:rsidRPr="00D91081">
        <w:rPr>
          <w:rFonts w:ascii="Arial" w:hAnsi="Arial" w:cs="Arial"/>
          <w:sz w:val="20"/>
          <w:szCs w:val="20"/>
        </w:rPr>
        <w:t xml:space="preserve"> protons. However, at this concentration, the protons are not significantly reduced on the glassy carbon electrode, or the current generated remains too low to produce a well-defined peak.</w:t>
      </w:r>
    </w:p>
    <w:p w14:paraId="64A6A520" w14:textId="77777777" w:rsidR="00303D7A" w:rsidRPr="00D91081" w:rsidRDefault="00303D7A" w:rsidP="00D91081">
      <w:pPr>
        <w:spacing w:after="0" w:line="240" w:lineRule="auto"/>
        <w:jc w:val="both"/>
        <w:rPr>
          <w:rFonts w:ascii="Arial" w:hAnsi="Arial" w:cs="Arial"/>
          <w:sz w:val="20"/>
          <w:szCs w:val="20"/>
        </w:rPr>
      </w:pPr>
      <w:r w:rsidRPr="00D91081">
        <w:rPr>
          <w:rFonts w:ascii="Arial" w:hAnsi="Arial" w:cs="Arial"/>
          <w:sz w:val="20"/>
          <w:szCs w:val="20"/>
        </w:rPr>
        <w:t xml:space="preserve">Moreover, the absence of metallic contaminants or reducible/oxidizable molecules makes the medium electrochemically inert within the studied window. This voltammogram therefore confirms the relative stability of the HCl solution as a reference solvent for </w:t>
      </w:r>
      <w:proofErr w:type="spellStart"/>
      <w:r w:rsidRPr="00D91081">
        <w:rPr>
          <w:rFonts w:ascii="Arial" w:hAnsi="Arial" w:cs="Arial"/>
          <w:sz w:val="20"/>
          <w:szCs w:val="20"/>
        </w:rPr>
        <w:t>voltammetric</w:t>
      </w:r>
      <w:proofErr w:type="spellEnd"/>
      <w:r w:rsidRPr="00D91081">
        <w:rPr>
          <w:rFonts w:ascii="Arial" w:hAnsi="Arial" w:cs="Arial"/>
          <w:sz w:val="20"/>
          <w:szCs w:val="20"/>
        </w:rPr>
        <w:t xml:space="preserve"> analyses, and serves to identify, by contrast, the electrochemical responses of metallic species when introduced.</w:t>
      </w:r>
    </w:p>
    <w:p w14:paraId="6819B5DB" w14:textId="77777777" w:rsidR="00303D7A" w:rsidRPr="00D91081" w:rsidRDefault="00303D7A" w:rsidP="00D91081">
      <w:pPr>
        <w:spacing w:after="0" w:line="240" w:lineRule="auto"/>
        <w:jc w:val="both"/>
        <w:rPr>
          <w:rFonts w:ascii="Arial" w:hAnsi="Arial" w:cs="Arial"/>
          <w:sz w:val="20"/>
          <w:szCs w:val="20"/>
        </w:rPr>
      </w:pPr>
      <w:r w:rsidRPr="00D91081">
        <w:rPr>
          <w:rFonts w:ascii="Arial" w:hAnsi="Arial" w:cs="Arial"/>
          <w:sz w:val="20"/>
          <w:szCs w:val="20"/>
        </w:rPr>
        <w:t>Figure 4 also displays the voltammogram corresponding to the analysis of the mixture composed of aqua regia and the printed circuit board of the diode support. Two characteristic electrochemical peaks are clearly observed:</w:t>
      </w:r>
    </w:p>
    <w:p w14:paraId="3D628EB7" w14:textId="77777777" w:rsidR="00303D7A" w:rsidRPr="00D91081" w:rsidRDefault="00303D7A" w:rsidP="00D91081">
      <w:pPr>
        <w:spacing w:after="0" w:line="240" w:lineRule="auto"/>
        <w:jc w:val="both"/>
        <w:rPr>
          <w:rFonts w:ascii="Arial" w:hAnsi="Arial" w:cs="Arial"/>
          <w:sz w:val="20"/>
          <w:szCs w:val="20"/>
        </w:rPr>
      </w:pPr>
      <w:r w:rsidRPr="00D91081">
        <w:rPr>
          <w:rFonts w:ascii="Arial" w:hAnsi="Arial" w:cs="Arial"/>
          <w:sz w:val="20"/>
          <w:szCs w:val="20"/>
        </w:rPr>
        <w:t>The cathodic peak C</w:t>
      </w:r>
      <w:r w:rsidRPr="00D91081">
        <w:rPr>
          <w:rFonts w:ascii="Cambria Math" w:hAnsi="Cambria Math" w:cs="Cambria Math"/>
          <w:sz w:val="20"/>
          <w:szCs w:val="20"/>
        </w:rPr>
        <w:t>₁</w:t>
      </w:r>
      <w:r w:rsidRPr="00D91081">
        <w:rPr>
          <w:rFonts w:ascii="Arial" w:hAnsi="Arial" w:cs="Arial"/>
          <w:sz w:val="20"/>
          <w:szCs w:val="20"/>
        </w:rPr>
        <w:t>, located at –0.56 V, corresponds to the reduction of copper according to the reaction: Cu²</w:t>
      </w:r>
      <w:r w:rsidRPr="00D91081">
        <w:rPr>
          <w:rFonts w:ascii="Cambria Math" w:hAnsi="Cambria Math" w:cs="Cambria Math"/>
          <w:sz w:val="20"/>
          <w:szCs w:val="20"/>
        </w:rPr>
        <w:t>⁺</w:t>
      </w:r>
      <w:r w:rsidRPr="00D91081">
        <w:rPr>
          <w:rFonts w:ascii="Arial" w:hAnsi="Arial" w:cs="Arial"/>
          <w:sz w:val="20"/>
          <w:szCs w:val="20"/>
        </w:rPr>
        <w:t xml:space="preserve"> + 2e</w:t>
      </w:r>
      <w:r w:rsidRPr="00D91081">
        <w:rPr>
          <w:rFonts w:ascii="Cambria Math" w:hAnsi="Cambria Math" w:cs="Cambria Math"/>
          <w:sz w:val="20"/>
          <w:szCs w:val="20"/>
        </w:rPr>
        <w:t>⁻</w:t>
      </w:r>
      <w:r w:rsidRPr="00D91081">
        <w:rPr>
          <w:rFonts w:ascii="Arial" w:hAnsi="Arial" w:cs="Arial"/>
          <w:sz w:val="20"/>
          <w:szCs w:val="20"/>
        </w:rPr>
        <w:t xml:space="preserve"> → Cu.</w:t>
      </w:r>
    </w:p>
    <w:p w14:paraId="0909DB80" w14:textId="77777777" w:rsidR="00303D7A" w:rsidRPr="00D91081" w:rsidRDefault="00303D7A" w:rsidP="00D91081">
      <w:pPr>
        <w:spacing w:after="0" w:line="240" w:lineRule="auto"/>
        <w:jc w:val="both"/>
        <w:rPr>
          <w:rFonts w:ascii="Arial" w:hAnsi="Arial" w:cs="Arial"/>
          <w:sz w:val="20"/>
          <w:szCs w:val="20"/>
        </w:rPr>
      </w:pPr>
      <w:r w:rsidRPr="00D91081">
        <w:rPr>
          <w:rFonts w:ascii="Arial" w:hAnsi="Arial" w:cs="Arial"/>
          <w:sz w:val="20"/>
          <w:szCs w:val="20"/>
        </w:rPr>
        <w:t>The anodic peak A</w:t>
      </w:r>
      <w:r w:rsidRPr="00D91081">
        <w:rPr>
          <w:rFonts w:ascii="Cambria Math" w:hAnsi="Cambria Math" w:cs="Cambria Math"/>
          <w:sz w:val="20"/>
          <w:szCs w:val="20"/>
        </w:rPr>
        <w:t>₁</w:t>
      </w:r>
      <w:r w:rsidRPr="00D91081">
        <w:rPr>
          <w:rFonts w:ascii="Arial" w:hAnsi="Arial" w:cs="Arial"/>
          <w:sz w:val="20"/>
          <w:szCs w:val="20"/>
        </w:rPr>
        <w:t>, located at 0.12 V, reflects the oxidation of metallic copper according to the reaction: Cu → Cu²</w:t>
      </w:r>
      <w:r w:rsidRPr="00D91081">
        <w:rPr>
          <w:rFonts w:ascii="Cambria Math" w:hAnsi="Cambria Math" w:cs="Cambria Math"/>
          <w:sz w:val="20"/>
          <w:szCs w:val="20"/>
        </w:rPr>
        <w:t>⁺</w:t>
      </w:r>
      <w:r w:rsidRPr="00D91081">
        <w:rPr>
          <w:rFonts w:ascii="Arial" w:hAnsi="Arial" w:cs="Arial"/>
          <w:sz w:val="20"/>
          <w:szCs w:val="20"/>
        </w:rPr>
        <w:t xml:space="preserve"> + 2e</w:t>
      </w:r>
      <w:r w:rsidRPr="00D91081">
        <w:rPr>
          <w:rFonts w:ascii="Cambria Math" w:hAnsi="Cambria Math" w:cs="Cambria Math"/>
          <w:sz w:val="20"/>
          <w:szCs w:val="20"/>
        </w:rPr>
        <w:t>⁻</w:t>
      </w:r>
      <w:r w:rsidRPr="00D91081">
        <w:rPr>
          <w:rFonts w:ascii="Arial" w:hAnsi="Arial" w:cs="Arial"/>
          <w:sz w:val="20"/>
          <w:szCs w:val="20"/>
        </w:rPr>
        <w:t>.</w:t>
      </w:r>
    </w:p>
    <w:p w14:paraId="5A3668E2" w14:textId="77777777" w:rsidR="00303D7A" w:rsidRPr="00D91081" w:rsidRDefault="00303D7A" w:rsidP="00D91081">
      <w:pPr>
        <w:spacing w:after="0" w:line="240" w:lineRule="auto"/>
        <w:jc w:val="both"/>
        <w:rPr>
          <w:rFonts w:ascii="Arial" w:hAnsi="Arial" w:cs="Arial"/>
          <w:sz w:val="20"/>
          <w:szCs w:val="20"/>
        </w:rPr>
      </w:pPr>
      <w:r w:rsidRPr="00D91081">
        <w:rPr>
          <w:rFonts w:ascii="Arial" w:hAnsi="Arial" w:cs="Arial"/>
          <w:sz w:val="20"/>
          <w:szCs w:val="20"/>
        </w:rPr>
        <w:t>The distinct and well-defined appearance of both peaks (reduction and oxidation) suggests good ionic conductivity of the medium (thanks to the aqua regia), fast electrochemical kinetics, and a sufficient concentration of dissolved copper to be detected. These two well-defined peaks confirm the presence of copper in the analyzed printed circuit board, which is consistent with results from previous chemical tests (blue color, blue precipitate, etc.).</w:t>
      </w:r>
    </w:p>
    <w:p w14:paraId="74628675" w14:textId="77777777" w:rsidR="00303D7A" w:rsidRPr="00D91081" w:rsidRDefault="00303D7A" w:rsidP="00D91081">
      <w:pPr>
        <w:spacing w:after="0" w:line="240" w:lineRule="auto"/>
        <w:jc w:val="both"/>
        <w:rPr>
          <w:rFonts w:ascii="Arial" w:hAnsi="Arial" w:cs="Arial"/>
          <w:sz w:val="20"/>
          <w:szCs w:val="20"/>
        </w:rPr>
      </w:pPr>
      <w:r w:rsidRPr="00D91081">
        <w:rPr>
          <w:rFonts w:ascii="Arial" w:hAnsi="Arial" w:cs="Arial"/>
          <w:sz w:val="20"/>
          <w:szCs w:val="20"/>
        </w:rPr>
        <w:t>Figure 4 finally presents the voltammogram corresponding to the analysis of the mixture composed of 0.1 M HCl and the other face of the diode support not containing any diodes. This voltammogram reveals a reduction peak C</w:t>
      </w:r>
      <w:r w:rsidRPr="00D91081">
        <w:rPr>
          <w:rFonts w:ascii="Cambria Math" w:hAnsi="Cambria Math" w:cs="Cambria Math"/>
          <w:sz w:val="20"/>
          <w:szCs w:val="20"/>
        </w:rPr>
        <w:t>₂</w:t>
      </w:r>
      <w:r w:rsidRPr="00D91081">
        <w:rPr>
          <w:rFonts w:ascii="Arial" w:hAnsi="Arial" w:cs="Arial"/>
          <w:sz w:val="20"/>
          <w:szCs w:val="20"/>
        </w:rPr>
        <w:t xml:space="preserve"> at –1.9 V, characteristic of the reduction of aluminum according to the reaction: Al³</w:t>
      </w:r>
      <w:r w:rsidRPr="00D91081">
        <w:rPr>
          <w:rFonts w:ascii="Cambria Math" w:hAnsi="Cambria Math" w:cs="Cambria Math"/>
          <w:sz w:val="20"/>
          <w:szCs w:val="20"/>
        </w:rPr>
        <w:t>⁺</w:t>
      </w:r>
      <w:r w:rsidRPr="00D91081">
        <w:rPr>
          <w:rFonts w:ascii="Arial" w:hAnsi="Arial" w:cs="Arial"/>
          <w:sz w:val="20"/>
          <w:szCs w:val="20"/>
        </w:rPr>
        <w:t xml:space="preserve"> + 3e</w:t>
      </w:r>
      <w:r w:rsidRPr="00D91081">
        <w:rPr>
          <w:rFonts w:ascii="Cambria Math" w:hAnsi="Cambria Math" w:cs="Cambria Math"/>
          <w:sz w:val="20"/>
          <w:szCs w:val="20"/>
        </w:rPr>
        <w:t>⁻</w:t>
      </w:r>
      <w:r w:rsidRPr="00D91081">
        <w:rPr>
          <w:rFonts w:ascii="Arial" w:hAnsi="Arial" w:cs="Arial"/>
          <w:sz w:val="20"/>
          <w:szCs w:val="20"/>
        </w:rPr>
        <w:t xml:space="preserve"> → Al.</w:t>
      </w:r>
    </w:p>
    <w:p w14:paraId="02CD26FA" w14:textId="77777777" w:rsidR="00303D7A" w:rsidRPr="00D91081" w:rsidRDefault="00303D7A" w:rsidP="00D91081">
      <w:pPr>
        <w:spacing w:after="0" w:line="240" w:lineRule="auto"/>
        <w:jc w:val="both"/>
        <w:rPr>
          <w:rFonts w:ascii="Arial" w:hAnsi="Arial" w:cs="Arial"/>
          <w:sz w:val="20"/>
          <w:szCs w:val="20"/>
        </w:rPr>
      </w:pPr>
      <w:r w:rsidRPr="00D91081">
        <w:rPr>
          <w:rFonts w:ascii="Arial" w:hAnsi="Arial" w:cs="Arial"/>
          <w:sz w:val="20"/>
          <w:szCs w:val="20"/>
        </w:rPr>
        <w:t>This result confirms the presence of Al³</w:t>
      </w:r>
      <w:r w:rsidRPr="00D91081">
        <w:rPr>
          <w:rFonts w:ascii="Cambria Math" w:hAnsi="Cambria Math" w:cs="Cambria Math"/>
          <w:sz w:val="20"/>
          <w:szCs w:val="20"/>
        </w:rPr>
        <w:t>⁺</w:t>
      </w:r>
      <w:r w:rsidRPr="00D91081">
        <w:rPr>
          <w:rFonts w:ascii="Arial" w:hAnsi="Arial" w:cs="Arial"/>
          <w:sz w:val="20"/>
          <w:szCs w:val="20"/>
        </w:rPr>
        <w:t xml:space="preserve"> ions in solution. In hydrochloric medium (0.1 M HCl), aluminum may be present as free Al³</w:t>
      </w:r>
      <w:r w:rsidRPr="00D91081">
        <w:rPr>
          <w:rFonts w:ascii="Cambria Math" w:hAnsi="Cambria Math" w:cs="Cambria Math"/>
          <w:sz w:val="20"/>
          <w:szCs w:val="20"/>
        </w:rPr>
        <w:t>⁺</w:t>
      </w:r>
      <w:r w:rsidRPr="00D91081">
        <w:rPr>
          <w:rFonts w:ascii="Arial" w:hAnsi="Arial" w:cs="Arial"/>
          <w:sz w:val="20"/>
          <w:szCs w:val="20"/>
        </w:rPr>
        <w:t xml:space="preserve"> ions or as chloro-complexes such as </w:t>
      </w:r>
      <w:proofErr w:type="spellStart"/>
      <w:r w:rsidRPr="00D91081">
        <w:rPr>
          <w:rFonts w:ascii="Arial" w:hAnsi="Arial" w:cs="Arial"/>
          <w:sz w:val="20"/>
          <w:szCs w:val="20"/>
        </w:rPr>
        <w:t>AlCl</w:t>
      </w:r>
      <w:proofErr w:type="spellEnd"/>
      <w:r w:rsidRPr="00D91081">
        <w:rPr>
          <w:rFonts w:ascii="Cambria Math" w:hAnsi="Cambria Math" w:cs="Cambria Math"/>
          <w:sz w:val="20"/>
          <w:szCs w:val="20"/>
        </w:rPr>
        <w:t>₄⁻</w:t>
      </w:r>
      <w:r w:rsidRPr="00D91081">
        <w:rPr>
          <w:rFonts w:ascii="Arial" w:hAnsi="Arial" w:cs="Arial"/>
          <w:sz w:val="20"/>
          <w:szCs w:val="20"/>
        </w:rPr>
        <w:t>, which are electrochemically reduced at the electrode. The highly acidic pH (~1) makes this reduction possible, but requires a very negative potential, since aluminum is a strongly reducing metal.</w:t>
      </w:r>
    </w:p>
    <w:p w14:paraId="135CEAAA" w14:textId="77777777" w:rsidR="00303D7A" w:rsidRPr="00D91081" w:rsidRDefault="00303D7A" w:rsidP="00D91081">
      <w:pPr>
        <w:spacing w:after="0" w:line="240" w:lineRule="auto"/>
        <w:jc w:val="both"/>
        <w:rPr>
          <w:rFonts w:ascii="Arial" w:hAnsi="Arial" w:cs="Arial"/>
          <w:sz w:val="20"/>
          <w:szCs w:val="20"/>
        </w:rPr>
      </w:pPr>
      <w:r w:rsidRPr="00D91081">
        <w:rPr>
          <w:rFonts w:ascii="Arial" w:hAnsi="Arial" w:cs="Arial"/>
          <w:sz w:val="20"/>
          <w:szCs w:val="20"/>
        </w:rPr>
        <w:t>However, no oxidation peak was observed during the reverse scan. This absence may be explained by several factors:</w:t>
      </w:r>
    </w:p>
    <w:p w14:paraId="6EA324D1" w14:textId="77777777" w:rsidR="00303D7A" w:rsidRPr="00D91081" w:rsidRDefault="00303D7A" w:rsidP="00D91081">
      <w:pPr>
        <w:spacing w:after="0" w:line="240" w:lineRule="auto"/>
        <w:jc w:val="both"/>
        <w:rPr>
          <w:rFonts w:ascii="Arial" w:hAnsi="Arial" w:cs="Arial"/>
          <w:sz w:val="20"/>
          <w:szCs w:val="20"/>
        </w:rPr>
      </w:pPr>
      <w:r w:rsidRPr="00D91081">
        <w:rPr>
          <w:rFonts w:ascii="Arial" w:hAnsi="Arial" w:cs="Arial"/>
          <w:sz w:val="20"/>
          <w:szCs w:val="20"/>
        </w:rPr>
        <w:t>Electrode passivation: in 0.1 M HCl, although the medium is acidic, it may not be aggressive enough to prevent the formation of an oxide or hydroxide layer on aluminum, which inhibits reoxidation;</w:t>
      </w:r>
    </w:p>
    <w:p w14:paraId="03C86B74" w14:textId="77777777" w:rsidR="00303D7A" w:rsidRPr="00D91081" w:rsidRDefault="00303D7A" w:rsidP="00D91081">
      <w:pPr>
        <w:spacing w:after="0" w:line="240" w:lineRule="auto"/>
        <w:jc w:val="both"/>
        <w:rPr>
          <w:rFonts w:ascii="Arial" w:hAnsi="Arial" w:cs="Arial"/>
          <w:sz w:val="20"/>
          <w:szCs w:val="20"/>
        </w:rPr>
      </w:pPr>
      <w:r w:rsidRPr="00D91081">
        <w:rPr>
          <w:rFonts w:ascii="Arial" w:hAnsi="Arial" w:cs="Arial"/>
          <w:sz w:val="20"/>
          <w:szCs w:val="20"/>
        </w:rPr>
        <w:t>Limited reversibility of the Al/Al³</w:t>
      </w:r>
      <w:r w:rsidRPr="00D91081">
        <w:rPr>
          <w:rFonts w:ascii="Cambria Math" w:hAnsi="Cambria Math" w:cs="Cambria Math"/>
          <w:sz w:val="20"/>
          <w:szCs w:val="20"/>
        </w:rPr>
        <w:t>⁺</w:t>
      </w:r>
      <w:r w:rsidRPr="00D91081">
        <w:rPr>
          <w:rFonts w:ascii="Arial" w:hAnsi="Arial" w:cs="Arial"/>
          <w:sz w:val="20"/>
          <w:szCs w:val="20"/>
        </w:rPr>
        <w:t xml:space="preserve"> redox couple: the metallic aluminum formed may not remain stable on the electrode surface or may become trapped in a passive layer, preventing clear oxidation.</w:t>
      </w:r>
    </w:p>
    <w:p w14:paraId="3ACEE8A1" w14:textId="77777777" w:rsidR="00303D7A" w:rsidRPr="00D91081" w:rsidRDefault="00303D7A" w:rsidP="00D91081">
      <w:pPr>
        <w:spacing w:after="0" w:line="240" w:lineRule="auto"/>
        <w:jc w:val="both"/>
        <w:rPr>
          <w:rFonts w:ascii="Arial" w:hAnsi="Arial" w:cs="Arial"/>
          <w:sz w:val="20"/>
          <w:szCs w:val="20"/>
        </w:rPr>
      </w:pPr>
      <w:r w:rsidRPr="00D91081">
        <w:rPr>
          <w:rFonts w:ascii="Arial" w:hAnsi="Arial" w:cs="Arial"/>
          <w:sz w:val="20"/>
          <w:szCs w:val="20"/>
        </w:rPr>
        <w:t>Nature of the working electrode: while glassy carbon is inert, it may be less favorable for the oxidation of passivating metals such as aluminum;</w:t>
      </w:r>
    </w:p>
    <w:p w14:paraId="2EBF37C4" w14:textId="77777777" w:rsidR="00303D7A" w:rsidRPr="00D91081" w:rsidRDefault="00303D7A" w:rsidP="00D91081">
      <w:pPr>
        <w:spacing w:after="0" w:line="240" w:lineRule="auto"/>
        <w:jc w:val="both"/>
        <w:rPr>
          <w:rFonts w:ascii="Arial" w:hAnsi="Arial" w:cs="Arial"/>
          <w:sz w:val="20"/>
          <w:szCs w:val="20"/>
        </w:rPr>
      </w:pPr>
      <w:r w:rsidRPr="00D91081">
        <w:rPr>
          <w:rFonts w:ascii="Arial" w:hAnsi="Arial" w:cs="Arial"/>
          <w:sz w:val="20"/>
          <w:szCs w:val="20"/>
        </w:rPr>
        <w:t>It can thus be concluded that aluminum is present on the face of the diode support without diodes.</w:t>
      </w:r>
    </w:p>
    <w:p w14:paraId="78CB146B" w14:textId="77777777" w:rsidR="00303D7A" w:rsidRPr="00D91081" w:rsidRDefault="00303D7A" w:rsidP="00D91081">
      <w:pPr>
        <w:spacing w:after="0" w:line="240" w:lineRule="auto"/>
        <w:jc w:val="both"/>
        <w:rPr>
          <w:rFonts w:ascii="Arial" w:hAnsi="Arial" w:cs="Arial"/>
          <w:sz w:val="20"/>
          <w:szCs w:val="20"/>
        </w:rPr>
      </w:pPr>
      <w:r w:rsidRPr="00D91081">
        <w:rPr>
          <w:rFonts w:ascii="Arial" w:hAnsi="Arial" w:cs="Arial"/>
          <w:sz w:val="20"/>
          <w:szCs w:val="20"/>
        </w:rPr>
        <w:t xml:space="preserve">In general, the analyses revealed the presence of copper, aluminum, iron, and tin in </w:t>
      </w:r>
      <m:oMath>
        <m:sSub>
          <m:sSubPr>
            <m:ctrlPr>
              <w:rPr>
                <w:rFonts w:ascii="Cambria Math" w:eastAsiaTheme="minorHAnsi" w:hAnsi="Cambria Math" w:cs="Arial"/>
                <w:iCs/>
                <w:sz w:val="20"/>
                <w:szCs w:val="20"/>
                <w:lang w:eastAsia="en-US"/>
              </w:rPr>
            </m:ctrlPr>
          </m:sSubPr>
          <m:e>
            <m:r>
              <m:rPr>
                <m:sty m:val="p"/>
              </m:rPr>
              <w:rPr>
                <w:rFonts w:ascii="Cambria Math" w:hAnsi="Cambria Math" w:cs="Arial"/>
                <w:sz w:val="20"/>
                <w:szCs w:val="20"/>
              </w:rPr>
              <m:t>B</m:t>
            </m:r>
          </m:e>
          <m:sub>
            <m:r>
              <m:rPr>
                <m:sty m:val="p"/>
              </m:rPr>
              <w:rPr>
                <w:rFonts w:ascii="Cambria Math" w:hAnsi="Cambria Math" w:cs="Arial"/>
                <w:sz w:val="20"/>
                <w:szCs w:val="20"/>
              </w:rPr>
              <m:t>22</m:t>
            </m:r>
          </m:sub>
        </m:sSub>
      </m:oMath>
      <w:r w:rsidRPr="00D91081">
        <w:rPr>
          <w:rFonts w:ascii="Arial" w:hAnsi="Arial" w:cs="Arial"/>
          <w:sz w:val="20"/>
          <w:szCs w:val="20"/>
        </w:rPr>
        <w:t>-type LED bulbs. Considering the progressive depletion of metal reserves, recovering them from waste bulbs is a necessity. Recycling these components therefore represents a sustainable and economically viable solution in the current context of resource scarcity.</w:t>
      </w:r>
    </w:p>
    <w:p w14:paraId="21DB523F" w14:textId="77777777" w:rsidR="00303D7A" w:rsidRPr="00D91081" w:rsidRDefault="00303D7A" w:rsidP="00D91081">
      <w:pPr>
        <w:spacing w:after="0" w:line="240" w:lineRule="auto"/>
        <w:jc w:val="center"/>
        <w:rPr>
          <w:rFonts w:ascii="Arial" w:hAnsi="Arial" w:cs="Arial"/>
          <w:sz w:val="20"/>
          <w:szCs w:val="20"/>
        </w:rPr>
      </w:pPr>
      <w:r w:rsidRPr="00D91081">
        <w:rPr>
          <w:rFonts w:ascii="Arial" w:hAnsi="Arial" w:cs="Arial"/>
          <w:noProof/>
          <w:sz w:val="20"/>
          <w:szCs w:val="20"/>
        </w:rPr>
        <w:lastRenderedPageBreak/>
        <w:drawing>
          <wp:inline distT="0" distB="0" distL="0" distR="0" wp14:anchorId="1E3C1EE5" wp14:editId="34F68CBD">
            <wp:extent cx="5619750" cy="2857500"/>
            <wp:effectExtent l="0" t="0" r="0" b="0"/>
            <wp:docPr id="166026047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9750" cy="2857500"/>
                    </a:xfrm>
                    <a:prstGeom prst="rect">
                      <a:avLst/>
                    </a:prstGeom>
                    <a:noFill/>
                    <a:ln>
                      <a:noFill/>
                    </a:ln>
                  </pic:spPr>
                </pic:pic>
              </a:graphicData>
            </a:graphic>
          </wp:inline>
        </w:drawing>
      </w:r>
    </w:p>
    <w:p w14:paraId="3DA0AC7D" w14:textId="44CC9E47" w:rsidR="00303D7A" w:rsidRPr="00A33CAD" w:rsidRDefault="00303D7A" w:rsidP="00D91081">
      <w:pPr>
        <w:spacing w:after="0" w:line="240" w:lineRule="auto"/>
        <w:jc w:val="center"/>
        <w:rPr>
          <w:rFonts w:ascii="Arial" w:hAnsi="Arial" w:cs="Arial"/>
          <w:b/>
          <w:bCs/>
          <w:sz w:val="20"/>
          <w:szCs w:val="20"/>
        </w:rPr>
      </w:pPr>
      <w:r w:rsidRPr="00D91081">
        <w:rPr>
          <w:rFonts w:ascii="Arial" w:hAnsi="Arial" w:cs="Arial"/>
          <w:noProof/>
          <w:sz w:val="20"/>
          <w:szCs w:val="20"/>
        </w:rPr>
        <mc:AlternateContent>
          <mc:Choice Requires="wps">
            <w:drawing>
              <wp:inline distT="0" distB="0" distL="0" distR="0" wp14:anchorId="78F57F3A" wp14:editId="709C637C">
                <wp:extent cx="5808345" cy="552450"/>
                <wp:effectExtent l="0" t="0" r="0" b="0"/>
                <wp:docPr id="771358890" name="Zone de texte 16"/>
                <wp:cNvGraphicFramePr/>
                <a:graphic xmlns:a="http://schemas.openxmlformats.org/drawingml/2006/main">
                  <a:graphicData uri="http://schemas.microsoft.com/office/word/2010/wordprocessingShape">
                    <wps:wsp>
                      <wps:cNvSpPr txBox="1"/>
                      <wps:spPr>
                        <a:xfrm>
                          <a:off x="0" y="0"/>
                          <a:ext cx="5808345" cy="552450"/>
                        </a:xfrm>
                        <a:prstGeom prst="rect">
                          <a:avLst/>
                        </a:prstGeom>
                        <a:noFill/>
                        <a:ln w="6350">
                          <a:noFill/>
                        </a:ln>
                      </wps:spPr>
                      <wps:txbx>
                        <w:txbxContent>
                          <w:p w14:paraId="1DE6A19B" w14:textId="77777777" w:rsidR="00303D7A" w:rsidRPr="00A33CAD" w:rsidRDefault="00303D7A" w:rsidP="00A33CAD">
                            <w:pPr>
                              <w:spacing w:after="0" w:line="240" w:lineRule="auto"/>
                              <w:contextualSpacing/>
                              <w:jc w:val="both"/>
                              <w:rPr>
                                <w:rFonts w:ascii="Arial" w:hAnsi="Arial" w:cs="Arial"/>
                                <w:sz w:val="20"/>
                                <w:szCs w:val="20"/>
                              </w:rPr>
                            </w:pPr>
                            <w:r w:rsidRPr="00A33CAD">
                              <w:rPr>
                                <w:rFonts w:ascii="Arial" w:hAnsi="Arial" w:cs="Arial"/>
                                <w:sz w:val="20"/>
                                <w:szCs w:val="20"/>
                              </w:rPr>
                              <w:t xml:space="preserve">H: Calibration curve of DAC and ADC; I: Cyclic voltammogram of regal water; J: Cyclic voltammogram solution of HCL; K: Cyclic </w:t>
                            </w:r>
                            <w:proofErr w:type="spellStart"/>
                            <w:r w:rsidRPr="00A33CAD">
                              <w:rPr>
                                <w:rFonts w:ascii="Arial" w:hAnsi="Arial" w:cs="Arial"/>
                                <w:sz w:val="20"/>
                                <w:szCs w:val="20"/>
                              </w:rPr>
                              <w:t>volatmmogram</w:t>
                            </w:r>
                            <w:proofErr w:type="spellEnd"/>
                            <w:r w:rsidRPr="00A33CAD">
                              <w:rPr>
                                <w:rFonts w:ascii="Arial" w:hAnsi="Arial" w:cs="Arial"/>
                                <w:sz w:val="20"/>
                                <w:szCs w:val="20"/>
                              </w:rPr>
                              <w:t xml:space="preserve"> of regal water system + CCI diode support; L: Cyclic voltammogram system solution of HCL at 0.1 face of diodes support without diodes.</w:t>
                            </w:r>
                          </w:p>
                          <w:p w14:paraId="33D282D6" w14:textId="77777777" w:rsidR="00303D7A" w:rsidRPr="00A33CAD" w:rsidRDefault="00303D7A" w:rsidP="00A33CAD">
                            <w:pPr>
                              <w:spacing w:after="0" w:line="240" w:lineRule="auto"/>
                              <w:contextualSpacing/>
                              <w:rPr>
                                <w:rFonts w:ascii="Arial" w:hAnsi="Arial" w:cs="Arial"/>
                                <w:sz w:val="20"/>
                                <w:szCs w:val="20"/>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8F57F3A" id="Zone de texte 16" o:spid="_x0000_s1030" type="#_x0000_t202" style="width:457.35pt;height: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" filled="f" stroked="f" strokeweight=".5pt">
                <v:textbox>
                  <w:txbxContent>
                    <w:p w14:paraId="1DE6A19B" w14:textId="77777777" w:rsidR="00303D7A" w:rsidRPr="00A33CAD" w:rsidRDefault="00303D7A" w:rsidP="00A33CAD">
                      <w:pPr>
                        <w:spacing w:after="0" w:line="240" w:lineRule="auto"/>
                        <w:contextualSpacing/>
                        <w:jc w:val="both"/>
                        <w:rPr>
                          <w:rFonts w:ascii="Arial" w:hAnsi="Arial" w:cs="Arial"/>
                          <w:sz w:val="20"/>
                          <w:szCs w:val="20"/>
                        </w:rPr>
                      </w:pPr>
                      <w:r w:rsidRPr="00A33CAD">
                        <w:rPr>
                          <w:rFonts w:ascii="Arial" w:hAnsi="Arial" w:cs="Arial"/>
                          <w:sz w:val="20"/>
                          <w:szCs w:val="20"/>
                        </w:rPr>
                        <w:t xml:space="preserve">H: Calibration curve of DAC and ADC; I: Cyclic voltammogram of regal water; J: Cyclic voltammogram solution of HCL; K: Cyclic </w:t>
                      </w:r>
                      <w:proofErr w:type="spellStart"/>
                      <w:r w:rsidRPr="00A33CAD">
                        <w:rPr>
                          <w:rFonts w:ascii="Arial" w:hAnsi="Arial" w:cs="Arial"/>
                          <w:sz w:val="20"/>
                          <w:szCs w:val="20"/>
                        </w:rPr>
                        <w:t>volatmmogram</w:t>
                      </w:r>
                      <w:proofErr w:type="spellEnd"/>
                      <w:r w:rsidRPr="00A33CAD">
                        <w:rPr>
                          <w:rFonts w:ascii="Arial" w:hAnsi="Arial" w:cs="Arial"/>
                          <w:sz w:val="20"/>
                          <w:szCs w:val="20"/>
                        </w:rPr>
                        <w:t xml:space="preserve"> of regal water system + CCI diode support; L: Cyclic voltammogram system solution of HCL at 0.1 face of diodes support without diodes.</w:t>
                      </w:r>
                    </w:p>
                    <w:p w14:paraId="33D282D6" w14:textId="77777777" w:rsidR="00303D7A" w:rsidRPr="00A33CAD" w:rsidRDefault="00303D7A" w:rsidP="00A33CAD">
                      <w:pPr>
                        <w:spacing w:after="0" w:line="240" w:lineRule="auto"/>
                        <w:contextualSpacing/>
                        <w:rPr>
                          <w:rFonts w:ascii="Arial" w:hAnsi="Arial" w:cs="Arial"/>
                          <w:sz w:val="20"/>
                          <w:szCs w:val="20"/>
                        </w:rPr>
                      </w:pPr>
                    </w:p>
                  </w:txbxContent>
                </v:textbox>
                <w10:anchorlock/>
              </v:shape>
            </w:pict>
          </mc:Fallback>
        </mc:AlternateContent>
      </w:r>
      <w:r w:rsidRPr="00A33CAD">
        <w:rPr>
          <w:rFonts w:ascii="Arial" w:hAnsi="Arial" w:cs="Arial"/>
          <w:b/>
          <w:bCs/>
          <w:sz w:val="20"/>
          <w:szCs w:val="20"/>
        </w:rPr>
        <w:t xml:space="preserve">Figure 4: Calibration curves of the </w:t>
      </w:r>
      <w:proofErr w:type="spellStart"/>
      <w:r w:rsidRPr="00A33CAD">
        <w:rPr>
          <w:rFonts w:ascii="Arial" w:hAnsi="Arial" w:cs="Arial"/>
          <w:b/>
          <w:bCs/>
          <w:sz w:val="20"/>
          <w:szCs w:val="20"/>
        </w:rPr>
        <w:t>potentiostat</w:t>
      </w:r>
      <w:proofErr w:type="spellEnd"/>
      <w:r w:rsidRPr="00A33CAD">
        <w:rPr>
          <w:rFonts w:ascii="Arial" w:hAnsi="Arial" w:cs="Arial"/>
          <w:b/>
          <w:bCs/>
          <w:sz w:val="20"/>
          <w:szCs w:val="20"/>
        </w:rPr>
        <w:t xml:space="preserve"> and the cyclic voltammograms of the solutions</w:t>
      </w:r>
    </w:p>
    <w:p w14:paraId="5805FFCA" w14:textId="77777777" w:rsidR="00303D7A" w:rsidRPr="00A33CAD" w:rsidRDefault="00303D7A" w:rsidP="00A33CAD">
      <w:pPr>
        <w:pStyle w:val="ListParagraph"/>
        <w:numPr>
          <w:ilvl w:val="1"/>
          <w:numId w:val="1"/>
        </w:numPr>
        <w:spacing w:before="240" w:after="0" w:line="240" w:lineRule="auto"/>
        <w:ind w:left="454" w:hanging="454"/>
        <w:contextualSpacing w:val="0"/>
        <w:jc w:val="both"/>
        <w:rPr>
          <w:rFonts w:ascii="Arial" w:hAnsi="Arial" w:cs="Arial"/>
          <w:b/>
          <w:sz w:val="22"/>
          <w:szCs w:val="22"/>
        </w:rPr>
      </w:pPr>
      <w:r w:rsidRPr="00A33CAD">
        <w:rPr>
          <w:rFonts w:ascii="Arial" w:hAnsi="Arial" w:cs="Arial"/>
          <w:b/>
          <w:sz w:val="22"/>
          <w:szCs w:val="22"/>
        </w:rPr>
        <w:t>Analysis of B12 LED lamps composition</w:t>
      </w:r>
    </w:p>
    <w:p w14:paraId="7932D40D" w14:textId="77777777" w:rsidR="00303D7A" w:rsidRPr="00D91081" w:rsidRDefault="00303D7A" w:rsidP="00D91081">
      <w:pPr>
        <w:spacing w:after="0" w:line="240" w:lineRule="auto"/>
        <w:jc w:val="both"/>
        <w:rPr>
          <w:rFonts w:ascii="Arial" w:hAnsi="Arial" w:cs="Arial"/>
          <w:sz w:val="20"/>
          <w:szCs w:val="20"/>
        </w:rPr>
      </w:pPr>
      <w:r w:rsidRPr="00D91081">
        <w:rPr>
          <w:rFonts w:ascii="Arial" w:hAnsi="Arial" w:cs="Arial"/>
          <w:sz w:val="20"/>
          <w:szCs w:val="20"/>
        </w:rPr>
        <w:t xml:space="preserve">Figure 5 shows that plastics account for a very high proportion—about 70%—compared to other components. Their recycling could be considered for the manufacturing of other plastic objects. Metals, which make up approximately 22%, could also be recycled for the production of new equipment. The electronic components, estimated at 5%, consist of capacitors, ohmic conductors, and other elements. Some capacitors and resistors were tested using a multimeter and were found to be functional. Therefore, they could be reused in the manufacturing of electronic equipment. The remaining components are mainly composed of resins. </w:t>
      </w:r>
    </w:p>
    <w:p w14:paraId="2DFDF79A" w14:textId="77777777" w:rsidR="00303D7A" w:rsidRPr="00D91081" w:rsidRDefault="00303D7A" w:rsidP="00D91081">
      <w:pPr>
        <w:spacing w:after="0" w:line="240" w:lineRule="auto"/>
        <w:jc w:val="both"/>
        <w:rPr>
          <w:rFonts w:ascii="Arial" w:hAnsi="Arial" w:cs="Arial"/>
          <w:sz w:val="20"/>
          <w:szCs w:val="20"/>
        </w:rPr>
      </w:pPr>
      <w:r w:rsidRPr="00D91081">
        <w:rPr>
          <w:rFonts w:ascii="Arial" w:hAnsi="Arial" w:cs="Arial"/>
          <w:sz w:val="20"/>
          <w:szCs w:val="20"/>
        </w:rPr>
        <w:t>Figure 5 also shows the composition of metals identified through various tests and analyses. It reveals that aluminum is the most used metal, representing about 81% of the total, while tin is present in a very small amount, at around 0.54%.</w:t>
      </w:r>
    </w:p>
    <w:p w14:paraId="0310929C" w14:textId="77777777" w:rsidR="00303D7A" w:rsidRPr="00D91081" w:rsidRDefault="00303D7A" w:rsidP="00D91081">
      <w:pPr>
        <w:spacing w:after="0" w:line="240" w:lineRule="auto"/>
        <w:ind w:right="113"/>
        <w:jc w:val="both"/>
        <w:rPr>
          <w:rFonts w:ascii="Arial" w:hAnsi="Arial" w:cs="Arial"/>
          <w:sz w:val="20"/>
          <w:szCs w:val="20"/>
        </w:rPr>
      </w:pPr>
      <w:r w:rsidRPr="00D91081">
        <w:rPr>
          <w:rFonts w:ascii="Arial" w:hAnsi="Arial" w:cs="Arial"/>
          <w:noProof/>
          <w:sz w:val="20"/>
          <w:szCs w:val="20"/>
        </w:rPr>
        <w:drawing>
          <wp:inline distT="0" distB="0" distL="0" distR="0" wp14:anchorId="223B392F" wp14:editId="065BCFFF">
            <wp:extent cx="5760720" cy="2714625"/>
            <wp:effectExtent l="0" t="0" r="0" b="9525"/>
            <wp:docPr id="1655568388"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2714625"/>
                    </a:xfrm>
                    <a:prstGeom prst="rect">
                      <a:avLst/>
                    </a:prstGeom>
                    <a:noFill/>
                    <a:ln>
                      <a:noFill/>
                    </a:ln>
                  </pic:spPr>
                </pic:pic>
              </a:graphicData>
            </a:graphic>
          </wp:inline>
        </w:drawing>
      </w:r>
    </w:p>
    <w:p w14:paraId="77D3670B" w14:textId="1BB5D300" w:rsidR="00CA2DEF" w:rsidRPr="00D91081" w:rsidRDefault="00CA2DEF" w:rsidP="00D91081">
      <w:pPr>
        <w:spacing w:after="0" w:line="240" w:lineRule="auto"/>
        <w:ind w:right="113"/>
        <w:jc w:val="center"/>
        <w:rPr>
          <w:rFonts w:ascii="Arial" w:hAnsi="Arial" w:cs="Arial"/>
          <w:sz w:val="20"/>
          <w:szCs w:val="20"/>
        </w:rPr>
      </w:pPr>
      <w:r w:rsidRPr="00D91081">
        <w:rPr>
          <w:rFonts w:ascii="Arial" w:hAnsi="Arial" w:cs="Arial"/>
          <w:noProof/>
          <w:sz w:val="20"/>
          <w:szCs w:val="20"/>
        </w:rPr>
        <mc:AlternateContent>
          <mc:Choice Requires="wps">
            <w:drawing>
              <wp:inline distT="0" distB="0" distL="0" distR="0" wp14:anchorId="296C67E4" wp14:editId="185FCD0C">
                <wp:extent cx="5760720" cy="263088"/>
                <wp:effectExtent l="0" t="0" r="0" b="3810"/>
                <wp:docPr id="1180178977" name="Zone de texte 20"/>
                <wp:cNvGraphicFramePr/>
                <a:graphic xmlns:a="http://schemas.openxmlformats.org/drawingml/2006/main">
                  <a:graphicData uri="http://schemas.microsoft.com/office/word/2010/wordprocessingShape">
                    <wps:wsp>
                      <wps:cNvSpPr txBox="1"/>
                      <wps:spPr>
                        <a:xfrm>
                          <a:off x="0" y="0"/>
                          <a:ext cx="5760720" cy="263088"/>
                        </a:xfrm>
                        <a:prstGeom prst="rect">
                          <a:avLst/>
                        </a:prstGeom>
                        <a:noFill/>
                        <a:ln w="6350">
                          <a:noFill/>
                        </a:ln>
                      </wps:spPr>
                      <wps:txbx>
                        <w:txbxContent>
                          <w:p w14:paraId="04250823" w14:textId="77777777" w:rsidR="00CA2DEF" w:rsidRPr="00A33CAD" w:rsidRDefault="00CA2DEF" w:rsidP="00CA2DEF">
                            <w:pPr>
                              <w:spacing w:after="0" w:line="240" w:lineRule="auto"/>
                              <w:jc w:val="both"/>
                              <w:rPr>
                                <w:rFonts w:ascii="Arial" w:hAnsi="Arial" w:cs="Arial"/>
                                <w:sz w:val="20"/>
                                <w:szCs w:val="20"/>
                              </w:rPr>
                            </w:pPr>
                            <w:r w:rsidRPr="00A33CAD">
                              <w:rPr>
                                <w:rFonts w:ascii="Arial" w:hAnsi="Arial" w:cs="Arial"/>
                                <w:sz w:val="20"/>
                                <w:szCs w:val="20"/>
                              </w:rPr>
                              <w:t xml:space="preserve">M: Average composition of a </w:t>
                            </w:r>
                            <m:oMath>
                              <m:sSub>
                                <m:sSubPr>
                                  <m:ctrlPr>
                                    <w:rPr>
                                      <w:rFonts w:ascii="Cambria Math" w:eastAsia="Times New Roman" w:hAnsi="Cambria Math" w:cs="Arial"/>
                                      <w:sz w:val="20"/>
                                      <w:szCs w:val="20"/>
                                    </w:rPr>
                                  </m:ctrlPr>
                                </m:sSubPr>
                                <m:e>
                                  <m:r>
                                    <m:rPr>
                                      <m:sty m:val="p"/>
                                    </m:rPr>
                                    <w:rPr>
                                      <w:rFonts w:ascii="Cambria Math" w:eastAsia="Times New Roman" w:hAnsi="Cambria Math" w:cs="Arial"/>
                                      <w:sz w:val="20"/>
                                      <w:szCs w:val="20"/>
                                    </w:rPr>
                                    <m:t>B</m:t>
                                  </m:r>
                                </m:e>
                                <m:sub>
                                  <m:r>
                                    <m:rPr>
                                      <m:sty m:val="p"/>
                                    </m:rPr>
                                    <w:rPr>
                                      <w:rFonts w:ascii="Cambria Math" w:eastAsia="Times New Roman" w:hAnsi="Cambria Math" w:cs="Arial"/>
                                      <w:sz w:val="20"/>
                                      <w:szCs w:val="20"/>
                                    </w:rPr>
                                    <m:t>22</m:t>
                                  </m:r>
                                </m:sub>
                              </m:sSub>
                            </m:oMath>
                            <w:r w:rsidRPr="00A33CAD">
                              <w:rPr>
                                <w:rFonts w:ascii="Arial" w:hAnsi="Arial" w:cs="Arial"/>
                                <w:sz w:val="20"/>
                                <w:szCs w:val="20"/>
                              </w:rPr>
                              <w:t xml:space="preserve"> lamp marketed in Togo; N: Components of metal </w:t>
                            </w:r>
                            <m:oMath>
                              <m:sSub>
                                <m:sSubPr>
                                  <m:ctrlPr>
                                    <w:rPr>
                                      <w:rFonts w:ascii="Cambria Math" w:eastAsia="Times New Roman" w:hAnsi="Cambria Math" w:cs="Arial"/>
                                      <w:sz w:val="20"/>
                                      <w:szCs w:val="20"/>
                                    </w:rPr>
                                  </m:ctrlPr>
                                </m:sSubPr>
                                <m:e>
                                  <m:r>
                                    <m:rPr>
                                      <m:sty m:val="p"/>
                                    </m:rPr>
                                    <w:rPr>
                                      <w:rFonts w:ascii="Cambria Math" w:eastAsia="Times New Roman" w:hAnsi="Cambria Math" w:cs="Arial"/>
                                      <w:sz w:val="20"/>
                                      <w:szCs w:val="20"/>
                                    </w:rPr>
                                    <m:t>B</m:t>
                                  </m:r>
                                </m:e>
                                <m:sub>
                                  <m:r>
                                    <m:rPr>
                                      <m:sty m:val="p"/>
                                    </m:rPr>
                                    <w:rPr>
                                      <w:rFonts w:ascii="Cambria Math" w:eastAsia="Times New Roman" w:hAnsi="Cambria Math" w:cs="Arial"/>
                                      <w:sz w:val="20"/>
                                      <w:szCs w:val="20"/>
                                    </w:rPr>
                                    <m:t>22</m:t>
                                  </m:r>
                                </m:sub>
                              </m:sSub>
                            </m:oMath>
                            <w:r w:rsidRPr="00A33CAD">
                              <w:rPr>
                                <w:rFonts w:ascii="Arial" w:hAnsi="Arial" w:cs="Arial"/>
                                <w:sz w:val="20"/>
                                <w:szCs w:val="20"/>
                              </w:rPr>
                              <w:t xml:space="preserve"> LED lamps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96C67E4" id="Zone de texte 20" o:spid="_x0000_s1031" type="#_x0000_t202" style="width:453.6pt;height:2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" filled="f" stroked="f" strokeweight=".5pt">
                <v:textbox>
                  <w:txbxContent>
                    <w:p w14:paraId="04250823" w14:textId="77777777" w:rsidR="00CA2DEF" w:rsidRPr="00A33CAD" w:rsidRDefault="00CA2DEF" w:rsidP="00CA2DEF">
                      <w:pPr>
                        <w:spacing w:after="0" w:line="240" w:lineRule="auto"/>
                        <w:jc w:val="both"/>
                        <w:rPr>
                          <w:rFonts w:ascii="Arial" w:hAnsi="Arial" w:cs="Arial"/>
                          <w:sz w:val="20"/>
                          <w:szCs w:val="20"/>
                        </w:rPr>
                      </w:pPr>
                      <w:r w:rsidRPr="00A33CAD">
                        <w:rPr>
                          <w:rFonts w:ascii="Arial" w:hAnsi="Arial" w:cs="Arial"/>
                          <w:sz w:val="20"/>
                          <w:szCs w:val="20"/>
                        </w:rPr>
                        <w:t xml:space="preserve">M: Average composition of a </w:t>
                      </w:r>
                      <m:oMath>
                        <m:sSub>
                          <m:sSubPr>
                            <m:ctrlPr>
                              <w:rPr>
                                <w:rFonts w:ascii="Cambria Math" w:eastAsia="Times New Roman" w:hAnsi="Cambria Math" w:cs="Arial"/>
                                <w:sz w:val="20"/>
                                <w:szCs w:val="20"/>
                              </w:rPr>
                            </m:ctrlPr>
                          </m:sSubPr>
                          <m:e>
                            <m:r>
                              <m:rPr>
                                <m:sty m:val="p"/>
                              </m:rPr>
                              <w:rPr>
                                <w:rFonts w:ascii="Cambria Math" w:eastAsia="Times New Roman" w:hAnsi="Cambria Math" w:cs="Arial"/>
                                <w:sz w:val="20"/>
                                <w:szCs w:val="20"/>
                              </w:rPr>
                              <m:t>B</m:t>
                            </m:r>
                          </m:e>
                          <m:sub>
                            <m:r>
                              <m:rPr>
                                <m:sty m:val="p"/>
                              </m:rPr>
                              <w:rPr>
                                <w:rFonts w:ascii="Cambria Math" w:eastAsia="Times New Roman" w:hAnsi="Cambria Math" w:cs="Arial"/>
                                <w:sz w:val="20"/>
                                <w:szCs w:val="20"/>
                              </w:rPr>
                              <m:t>22</m:t>
                            </m:r>
                          </m:sub>
                        </m:sSub>
                      </m:oMath>
                      <w:r w:rsidRPr="00A33CAD">
                        <w:rPr>
                          <w:rFonts w:ascii="Arial" w:hAnsi="Arial" w:cs="Arial"/>
                          <w:sz w:val="20"/>
                          <w:szCs w:val="20"/>
                        </w:rPr>
                        <w:t xml:space="preserve"> lamp marketed in Togo; N: Components of metal </w:t>
                      </w:r>
                      <m:oMath>
                        <m:sSub>
                          <m:sSubPr>
                            <m:ctrlPr>
                              <w:rPr>
                                <w:rFonts w:ascii="Cambria Math" w:eastAsia="Times New Roman" w:hAnsi="Cambria Math" w:cs="Arial"/>
                                <w:sz w:val="20"/>
                                <w:szCs w:val="20"/>
                              </w:rPr>
                            </m:ctrlPr>
                          </m:sSubPr>
                          <m:e>
                            <m:r>
                              <m:rPr>
                                <m:sty m:val="p"/>
                              </m:rPr>
                              <w:rPr>
                                <w:rFonts w:ascii="Cambria Math" w:eastAsia="Times New Roman" w:hAnsi="Cambria Math" w:cs="Arial"/>
                                <w:sz w:val="20"/>
                                <w:szCs w:val="20"/>
                              </w:rPr>
                              <m:t>B</m:t>
                            </m:r>
                          </m:e>
                          <m:sub>
                            <m:r>
                              <m:rPr>
                                <m:sty m:val="p"/>
                              </m:rPr>
                              <w:rPr>
                                <w:rFonts w:ascii="Cambria Math" w:eastAsia="Times New Roman" w:hAnsi="Cambria Math" w:cs="Arial"/>
                                <w:sz w:val="20"/>
                                <w:szCs w:val="20"/>
                              </w:rPr>
                              <m:t>22</m:t>
                            </m:r>
                          </m:sub>
                        </m:sSub>
                      </m:oMath>
                      <w:r w:rsidRPr="00A33CAD">
                        <w:rPr>
                          <w:rFonts w:ascii="Arial" w:hAnsi="Arial" w:cs="Arial"/>
                          <w:sz w:val="20"/>
                          <w:szCs w:val="20"/>
                        </w:rPr>
                        <w:t xml:space="preserve"> LED lamps</w:t>
                      </w:r>
                    </w:p>
                  </w:txbxContent>
                </v:textbox>
                <w10:anchorlock/>
              </v:shape>
            </w:pict>
          </mc:Fallback>
        </mc:AlternateContent>
      </w:r>
    </w:p>
    <w:p w14:paraId="6412080E" w14:textId="260000D7" w:rsidR="00303D7A" w:rsidRPr="00A33CAD" w:rsidRDefault="00303D7A" w:rsidP="00D91081">
      <w:pPr>
        <w:spacing w:after="0" w:line="240" w:lineRule="auto"/>
        <w:ind w:right="113"/>
        <w:jc w:val="center"/>
        <w:rPr>
          <w:rFonts w:ascii="Arial" w:hAnsi="Arial" w:cs="Arial"/>
          <w:b/>
          <w:bCs/>
          <w:sz w:val="20"/>
          <w:szCs w:val="20"/>
        </w:rPr>
      </w:pPr>
      <w:r w:rsidRPr="00A33CAD">
        <w:rPr>
          <w:rFonts w:ascii="Arial" w:hAnsi="Arial" w:cs="Arial"/>
          <w:b/>
          <w:bCs/>
          <w:sz w:val="20"/>
          <w:szCs w:val="20"/>
        </w:rPr>
        <w:lastRenderedPageBreak/>
        <w:t xml:space="preserve">Figure 5: Component of a </w:t>
      </w:r>
      <m:oMath>
        <m:sSub>
          <m:sSubPr>
            <m:ctrlPr>
              <w:rPr>
                <w:rFonts w:ascii="Cambria Math" w:hAnsi="Cambria Math" w:cs="Arial"/>
                <w:b/>
                <w:bCs/>
                <w:iCs/>
                <w:sz w:val="20"/>
                <w:szCs w:val="20"/>
              </w:rPr>
            </m:ctrlPr>
          </m:sSubPr>
          <m:e>
            <m:r>
              <m:rPr>
                <m:sty m:val="b"/>
              </m:rPr>
              <w:rPr>
                <w:rFonts w:ascii="Cambria Math" w:hAnsi="Cambria Math" w:cs="Arial"/>
                <w:sz w:val="20"/>
                <w:szCs w:val="20"/>
              </w:rPr>
              <m:t>B</m:t>
            </m:r>
          </m:e>
          <m:sub>
            <m:r>
              <m:rPr>
                <m:sty m:val="b"/>
              </m:rPr>
              <w:rPr>
                <w:rFonts w:ascii="Cambria Math" w:hAnsi="Cambria Math" w:cs="Arial"/>
                <w:sz w:val="20"/>
                <w:szCs w:val="20"/>
              </w:rPr>
              <m:t>22</m:t>
            </m:r>
          </m:sub>
        </m:sSub>
      </m:oMath>
      <w:r w:rsidRPr="00A33CAD">
        <w:rPr>
          <w:rFonts w:ascii="Arial" w:hAnsi="Arial" w:cs="Arial"/>
          <w:b/>
          <w:bCs/>
          <w:sz w:val="20"/>
          <w:szCs w:val="20"/>
        </w:rPr>
        <w:t xml:space="preserve"> LED lamp sold in Togo</w:t>
      </w:r>
    </w:p>
    <w:p w14:paraId="22CBEA83" w14:textId="77777777" w:rsidR="00303D7A" w:rsidRPr="00D91081" w:rsidRDefault="00303D7A" w:rsidP="00D91081">
      <w:pPr>
        <w:spacing w:before="240" w:after="0" w:line="240" w:lineRule="auto"/>
        <w:jc w:val="both"/>
        <w:rPr>
          <w:rFonts w:ascii="Arial" w:hAnsi="Arial" w:cs="Arial"/>
          <w:sz w:val="20"/>
          <w:szCs w:val="20"/>
        </w:rPr>
      </w:pPr>
      <w:r w:rsidRPr="00D91081">
        <w:rPr>
          <w:rFonts w:ascii="Arial" w:hAnsi="Arial" w:cs="Arial"/>
          <w:sz w:val="20"/>
          <w:szCs w:val="20"/>
        </w:rPr>
        <w:t xml:space="preserve">The identification of metals in the various components of </w:t>
      </w:r>
      <m:oMath>
        <m:sSub>
          <m:sSubPr>
            <m:ctrlPr>
              <w:rPr>
                <w:rFonts w:ascii="Cambria Math" w:eastAsia="Times New Roman" w:hAnsi="Cambria Math" w:cs="Arial"/>
                <w:sz w:val="20"/>
                <w:szCs w:val="20"/>
              </w:rPr>
            </m:ctrlPr>
          </m:sSubPr>
          <m:e>
            <m:r>
              <m:rPr>
                <m:sty m:val="p"/>
              </m:rPr>
              <w:rPr>
                <w:rFonts w:ascii="Cambria Math" w:eastAsia="Times New Roman" w:hAnsi="Cambria Math" w:cs="Arial"/>
                <w:sz w:val="20"/>
                <w:szCs w:val="20"/>
              </w:rPr>
              <m:t>B</m:t>
            </m:r>
          </m:e>
          <m:sub>
            <m:r>
              <m:rPr>
                <m:sty m:val="p"/>
              </m:rPr>
              <w:rPr>
                <w:rFonts w:ascii="Cambria Math" w:eastAsia="Times New Roman" w:hAnsi="Cambria Math" w:cs="Arial"/>
                <w:sz w:val="20"/>
                <w:szCs w:val="20"/>
              </w:rPr>
              <m:t>22</m:t>
            </m:r>
          </m:sub>
        </m:sSub>
      </m:oMath>
      <w:r w:rsidRPr="00D91081">
        <w:rPr>
          <w:rFonts w:ascii="Arial" w:hAnsi="Arial" w:cs="Arial"/>
          <w:sz w:val="20"/>
          <w:szCs w:val="20"/>
        </w:rPr>
        <w:t>-type LED lamps has enabled the initiation of their recycling.</w:t>
      </w:r>
    </w:p>
    <w:p w14:paraId="03F06CE0" w14:textId="77777777" w:rsidR="00303D7A" w:rsidRPr="00A33CAD" w:rsidRDefault="00303D7A" w:rsidP="00A33CAD">
      <w:pPr>
        <w:pStyle w:val="ListParagraph"/>
        <w:numPr>
          <w:ilvl w:val="1"/>
          <w:numId w:val="1"/>
        </w:numPr>
        <w:spacing w:before="240" w:after="0" w:line="240" w:lineRule="auto"/>
        <w:ind w:left="454" w:hanging="454"/>
        <w:contextualSpacing w:val="0"/>
        <w:jc w:val="both"/>
        <w:rPr>
          <w:rFonts w:ascii="Arial" w:hAnsi="Arial" w:cs="Arial"/>
          <w:b/>
          <w:sz w:val="22"/>
          <w:szCs w:val="22"/>
        </w:rPr>
      </w:pPr>
      <w:r w:rsidRPr="00A33CAD">
        <w:rPr>
          <w:rFonts w:ascii="Arial" w:hAnsi="Arial" w:cs="Arial"/>
          <w:b/>
          <w:sz w:val="22"/>
          <w:szCs w:val="22"/>
        </w:rPr>
        <w:t xml:space="preserve">Effectiveness of electrochemical method used to recover copper and </w:t>
      </w:r>
      <w:proofErr w:type="spellStart"/>
      <w:r w:rsidRPr="00A33CAD">
        <w:rPr>
          <w:rFonts w:ascii="Arial" w:hAnsi="Arial" w:cs="Arial"/>
          <w:b/>
          <w:sz w:val="22"/>
          <w:szCs w:val="22"/>
        </w:rPr>
        <w:t>aluminium</w:t>
      </w:r>
      <w:proofErr w:type="spellEnd"/>
    </w:p>
    <w:p w14:paraId="398D7337" w14:textId="77777777" w:rsidR="00303D7A" w:rsidRPr="00D91081" w:rsidRDefault="00303D7A" w:rsidP="00D91081">
      <w:pPr>
        <w:spacing w:after="0" w:line="240" w:lineRule="auto"/>
        <w:jc w:val="both"/>
        <w:rPr>
          <w:rFonts w:ascii="Arial" w:hAnsi="Arial" w:cs="Arial"/>
          <w:sz w:val="20"/>
          <w:szCs w:val="20"/>
        </w:rPr>
      </w:pPr>
      <w:r w:rsidRPr="00D91081">
        <w:rPr>
          <w:rFonts w:ascii="Arial" w:hAnsi="Arial" w:cs="Arial"/>
          <w:sz w:val="20"/>
          <w:szCs w:val="20"/>
        </w:rPr>
        <w:t>There are several methods for metal recovery, which generally share common steps ranging from grinding to mineralization. The final step, which involves isolating the metal, can be carried out using various techniques such as precipitation, electrodeposition, and others. In this study, electrodeposition was chosen due to the availability of equipment in the laboratories where the work was conducted.</w:t>
      </w:r>
    </w:p>
    <w:p w14:paraId="0289D469" w14:textId="21B3396C" w:rsidR="00303D7A" w:rsidRPr="00A33CAD" w:rsidRDefault="00D739FE" w:rsidP="00A33CAD">
      <w:pPr>
        <w:pStyle w:val="ListParagraph"/>
        <w:numPr>
          <w:ilvl w:val="2"/>
          <w:numId w:val="1"/>
        </w:numPr>
        <w:spacing w:before="240" w:after="0" w:line="240" w:lineRule="auto"/>
        <w:ind w:left="454" w:hanging="454"/>
        <w:contextualSpacing w:val="0"/>
        <w:rPr>
          <w:rFonts w:ascii="Arial" w:hAnsi="Arial" w:cs="Arial"/>
          <w:b/>
          <w:sz w:val="20"/>
          <w:szCs w:val="20"/>
          <w:u w:val="single"/>
        </w:rPr>
      </w:pPr>
      <w:r w:rsidRPr="00A33CAD">
        <w:rPr>
          <w:rFonts w:ascii="Arial" w:hAnsi="Arial" w:cs="Arial"/>
          <w:b/>
          <w:sz w:val="20"/>
          <w:szCs w:val="20"/>
          <w:u w:val="single"/>
        </w:rPr>
        <w:t xml:space="preserve">Analysis of the imposed </w:t>
      </w:r>
      <w:proofErr w:type="spellStart"/>
      <w:r w:rsidRPr="00A33CAD">
        <w:rPr>
          <w:rFonts w:ascii="Arial" w:hAnsi="Arial" w:cs="Arial"/>
          <w:b/>
          <w:sz w:val="20"/>
          <w:szCs w:val="20"/>
          <w:u w:val="single"/>
        </w:rPr>
        <w:t>physico</w:t>
      </w:r>
      <w:proofErr w:type="spellEnd"/>
      <w:r w:rsidRPr="00A33CAD">
        <w:rPr>
          <w:rFonts w:ascii="Arial" w:hAnsi="Arial" w:cs="Arial"/>
          <w:b/>
          <w:sz w:val="20"/>
          <w:szCs w:val="20"/>
          <w:u w:val="single"/>
        </w:rPr>
        <w:t>-chemical parameters and process yield</w:t>
      </w:r>
    </w:p>
    <w:p w14:paraId="30D59CAB" w14:textId="77777777" w:rsidR="008C06EB" w:rsidRPr="00D91081" w:rsidRDefault="008C06EB" w:rsidP="00D91081">
      <w:pPr>
        <w:spacing w:line="240" w:lineRule="auto"/>
        <w:jc w:val="both"/>
        <w:rPr>
          <w:rFonts w:ascii="Arial" w:eastAsiaTheme="minorHAnsi" w:hAnsi="Arial" w:cs="Arial"/>
          <w:sz w:val="20"/>
          <w:szCs w:val="20"/>
        </w:rPr>
      </w:pPr>
      <w:r w:rsidRPr="00D91081">
        <w:rPr>
          <w:rFonts w:ascii="Arial" w:hAnsi="Arial" w:cs="Arial"/>
          <w:sz w:val="20"/>
          <w:szCs w:val="20"/>
        </w:rPr>
        <w:t>The applied voltages, 1.89 V for copper and 2.89 V for aluminum, are all higher than or equal to the minimum voltages required to initiate the deposits, which shows that the potential conditions were adequate.</w:t>
      </w:r>
    </w:p>
    <w:p w14:paraId="16080AF6" w14:textId="77777777" w:rsidR="00303D7A" w:rsidRPr="00D91081" w:rsidRDefault="00303D7A" w:rsidP="00D91081">
      <w:pPr>
        <w:spacing w:after="0" w:line="240" w:lineRule="auto"/>
        <w:jc w:val="both"/>
        <w:rPr>
          <w:rFonts w:ascii="Arial" w:hAnsi="Arial" w:cs="Arial"/>
          <w:sz w:val="20"/>
          <w:szCs w:val="20"/>
        </w:rPr>
      </w:pPr>
      <w:r w:rsidRPr="00D91081">
        <w:rPr>
          <w:rFonts w:ascii="Arial" w:hAnsi="Arial" w:cs="Arial"/>
          <w:sz w:val="20"/>
          <w:szCs w:val="20"/>
        </w:rPr>
        <w:t>However, significant deviations are observed between the applied currents and the theoretically expected values:</w:t>
      </w:r>
    </w:p>
    <w:p w14:paraId="4D993098" w14:textId="77777777" w:rsidR="00303D7A" w:rsidRPr="00D91081" w:rsidRDefault="00303D7A" w:rsidP="00D91081">
      <w:pPr>
        <w:spacing w:after="0" w:line="240" w:lineRule="auto"/>
        <w:jc w:val="both"/>
        <w:rPr>
          <w:rFonts w:ascii="Arial" w:hAnsi="Arial" w:cs="Arial"/>
          <w:sz w:val="20"/>
          <w:szCs w:val="20"/>
        </w:rPr>
      </w:pPr>
      <w:r w:rsidRPr="00D91081">
        <w:rPr>
          <w:rFonts w:ascii="Arial" w:hAnsi="Arial" w:cs="Arial"/>
          <w:sz w:val="20"/>
          <w:szCs w:val="20"/>
        </w:rPr>
        <w:t>For copper, the measured current (0.008 A for 2 hours and 30 minutes) is much lower than the expected value (0.23 A for 1 hour). This low current may be due to a low concentration of Cu²</w:t>
      </w:r>
      <w:r w:rsidRPr="00D91081">
        <w:rPr>
          <w:rFonts w:ascii="Cambria Math" w:hAnsi="Cambria Math" w:cs="Cambria Math"/>
          <w:sz w:val="20"/>
          <w:szCs w:val="20"/>
        </w:rPr>
        <w:t>⁺</w:t>
      </w:r>
      <w:r w:rsidRPr="00D91081">
        <w:rPr>
          <w:rFonts w:ascii="Arial" w:hAnsi="Arial" w:cs="Arial"/>
          <w:sz w:val="20"/>
          <w:szCs w:val="20"/>
        </w:rPr>
        <w:t xml:space="preserve"> ions in the electrolyte, a reduced electrode surface area, significant polarization, or high ohmic resistance in the system.</w:t>
      </w:r>
    </w:p>
    <w:p w14:paraId="08EA1E06" w14:textId="77777777" w:rsidR="00303D7A" w:rsidRPr="00D91081" w:rsidRDefault="00303D7A" w:rsidP="00D91081">
      <w:pPr>
        <w:spacing w:after="0" w:line="240" w:lineRule="auto"/>
        <w:jc w:val="both"/>
        <w:rPr>
          <w:rFonts w:ascii="Arial" w:hAnsi="Arial" w:cs="Arial"/>
          <w:sz w:val="20"/>
          <w:szCs w:val="20"/>
        </w:rPr>
      </w:pPr>
      <w:r w:rsidRPr="00D91081">
        <w:rPr>
          <w:rFonts w:ascii="Arial" w:hAnsi="Arial" w:cs="Arial"/>
          <w:sz w:val="20"/>
          <w:szCs w:val="20"/>
        </w:rPr>
        <w:t>In contrast, for aluminum, the measured current (8.7 A for 6 hours) is much higher than the expected value (2.91 A for 1 hour). Such a high current could result from excess conductivity in the solution. Since the aluminum was dissolved in hydrochloric acid, the very high conductivity may have facilitated the flow of a large current.</w:t>
      </w:r>
    </w:p>
    <w:p w14:paraId="51DC34AC" w14:textId="0B5E09CB" w:rsidR="00303D7A" w:rsidRPr="00D91081" w:rsidRDefault="008C06EB" w:rsidP="00D91081">
      <w:pPr>
        <w:spacing w:after="0" w:line="240" w:lineRule="auto"/>
        <w:ind w:right="113"/>
        <w:jc w:val="both"/>
        <w:rPr>
          <w:rFonts w:ascii="Arial" w:hAnsi="Arial" w:cs="Arial"/>
          <w:sz w:val="20"/>
          <w:szCs w:val="20"/>
        </w:rPr>
      </w:pPr>
      <w:r w:rsidRPr="00D91081">
        <w:rPr>
          <w:rFonts w:ascii="Arial" w:hAnsi="Arial" w:cs="Arial"/>
          <w:sz w:val="20"/>
          <w:szCs w:val="20"/>
        </w:rPr>
        <w:t>The pH of the solutions containing the species to be reduced ranges from 0.29 to 0.30 for Cu</w:t>
      </w:r>
      <w:r w:rsidRPr="00D91081">
        <w:rPr>
          <w:rFonts w:ascii="Arial" w:hAnsi="Arial" w:cs="Arial"/>
          <w:sz w:val="20"/>
          <w:szCs w:val="20"/>
          <w:vertAlign w:val="superscript"/>
        </w:rPr>
        <w:t>2+</w:t>
      </w:r>
      <w:r w:rsidRPr="00D91081">
        <w:rPr>
          <w:rFonts w:ascii="Arial" w:hAnsi="Arial" w:cs="Arial"/>
          <w:sz w:val="20"/>
          <w:szCs w:val="20"/>
        </w:rPr>
        <w:t xml:space="preserve"> ions and from 1.26 to 1.27 for Al</w:t>
      </w:r>
      <w:r w:rsidRPr="00D91081">
        <w:rPr>
          <w:rFonts w:ascii="Arial" w:hAnsi="Arial" w:cs="Arial"/>
          <w:sz w:val="20"/>
          <w:szCs w:val="20"/>
          <w:vertAlign w:val="superscript"/>
        </w:rPr>
        <w:t>3+</w:t>
      </w:r>
      <w:r w:rsidRPr="00D91081">
        <w:rPr>
          <w:rFonts w:ascii="Arial" w:hAnsi="Arial" w:cs="Arial"/>
          <w:sz w:val="20"/>
          <w:szCs w:val="20"/>
        </w:rPr>
        <w:t xml:space="preserve"> ions. The observed temperatures range between 26.1 and 27.8 °C for Cu</w:t>
      </w:r>
      <w:r w:rsidRPr="00D91081">
        <w:rPr>
          <w:rFonts w:ascii="Arial" w:hAnsi="Arial" w:cs="Arial"/>
          <w:sz w:val="20"/>
          <w:szCs w:val="20"/>
          <w:vertAlign w:val="superscript"/>
        </w:rPr>
        <w:t>2+</w:t>
      </w:r>
      <w:r w:rsidRPr="00D91081">
        <w:rPr>
          <w:rFonts w:ascii="Arial" w:hAnsi="Arial" w:cs="Arial"/>
          <w:sz w:val="20"/>
          <w:szCs w:val="20"/>
        </w:rPr>
        <w:t xml:space="preserve"> solutions and between 25.8 and 26.8 °C for Al</w:t>
      </w:r>
      <w:r w:rsidRPr="00D91081">
        <w:rPr>
          <w:rFonts w:ascii="Arial" w:hAnsi="Arial" w:cs="Arial"/>
          <w:sz w:val="20"/>
          <w:szCs w:val="20"/>
          <w:vertAlign w:val="superscript"/>
        </w:rPr>
        <w:t>3+</w:t>
      </w:r>
      <w:r w:rsidRPr="00D91081">
        <w:rPr>
          <w:rFonts w:ascii="Arial" w:hAnsi="Arial" w:cs="Arial"/>
          <w:sz w:val="20"/>
          <w:szCs w:val="20"/>
        </w:rPr>
        <w:t xml:space="preserve"> solutions. An applied voltage of 1.89 V for copper and 2.89 V for aluminum was maintained throughout the recovery operation. Under these conditions, the species present in the </w:t>
      </w:r>
      <w:proofErr w:type="spellStart"/>
      <w:r w:rsidRPr="00D91081">
        <w:rPr>
          <w:rFonts w:ascii="Arial" w:hAnsi="Arial" w:cs="Arial"/>
          <w:sz w:val="20"/>
          <w:szCs w:val="20"/>
        </w:rPr>
        <w:t>electrolyzer</w:t>
      </w:r>
      <w:proofErr w:type="spellEnd"/>
      <w:r w:rsidRPr="00D91081">
        <w:rPr>
          <w:rFonts w:ascii="Arial" w:hAnsi="Arial" w:cs="Arial"/>
          <w:sz w:val="20"/>
          <w:szCs w:val="20"/>
        </w:rPr>
        <w:t xml:space="preserve"> remain respectively in the form of Cu</w:t>
      </w:r>
      <w:r w:rsidRPr="00D91081">
        <w:rPr>
          <w:rFonts w:ascii="Arial" w:hAnsi="Arial" w:cs="Arial"/>
          <w:sz w:val="20"/>
          <w:szCs w:val="20"/>
          <w:vertAlign w:val="superscript"/>
        </w:rPr>
        <w:t>2+</w:t>
      </w:r>
      <w:r w:rsidRPr="00D91081">
        <w:rPr>
          <w:rFonts w:ascii="Arial" w:hAnsi="Arial" w:cs="Arial"/>
          <w:sz w:val="20"/>
          <w:szCs w:val="20"/>
        </w:rPr>
        <w:t xml:space="preserve"> and Al</w:t>
      </w:r>
      <w:r w:rsidRPr="00D91081">
        <w:rPr>
          <w:rFonts w:ascii="Arial" w:hAnsi="Arial" w:cs="Arial"/>
          <w:sz w:val="20"/>
          <w:szCs w:val="20"/>
          <w:vertAlign w:val="superscript"/>
        </w:rPr>
        <w:t>3+</w:t>
      </w:r>
      <w:r w:rsidRPr="00D91081">
        <w:rPr>
          <w:rFonts w:ascii="Arial" w:hAnsi="Arial" w:cs="Arial"/>
          <w:sz w:val="20"/>
          <w:szCs w:val="20"/>
        </w:rPr>
        <w:t xml:space="preserve"> ions.</w:t>
      </w:r>
    </w:p>
    <w:p w14:paraId="07DD8D2B" w14:textId="10D1C0BF" w:rsidR="00303D7A" w:rsidRPr="00D91081" w:rsidRDefault="00303D7A" w:rsidP="00D91081">
      <w:pPr>
        <w:spacing w:after="0" w:line="240" w:lineRule="auto"/>
        <w:jc w:val="both"/>
        <w:rPr>
          <w:rFonts w:ascii="Arial" w:hAnsi="Arial" w:cs="Arial"/>
          <w:sz w:val="20"/>
          <w:szCs w:val="20"/>
        </w:rPr>
      </w:pPr>
      <w:r w:rsidRPr="00D91081">
        <w:rPr>
          <w:rFonts w:ascii="Arial" w:hAnsi="Arial" w:cs="Arial"/>
          <w:sz w:val="20"/>
          <w:szCs w:val="20"/>
        </w:rPr>
        <w:t xml:space="preserve">Thus, Figure </w:t>
      </w:r>
      <w:r w:rsidR="008C06EB" w:rsidRPr="00D91081">
        <w:rPr>
          <w:rFonts w:ascii="Arial" w:hAnsi="Arial" w:cs="Arial"/>
          <w:sz w:val="20"/>
          <w:szCs w:val="20"/>
        </w:rPr>
        <w:t>6</w:t>
      </w:r>
      <w:r w:rsidRPr="00D91081">
        <w:rPr>
          <w:rFonts w:ascii="Arial" w:hAnsi="Arial" w:cs="Arial"/>
          <w:sz w:val="20"/>
          <w:szCs w:val="20"/>
        </w:rPr>
        <w:t xml:space="preserve"> shows the metal recovery setup and the reduced forms of the metals on the cathode: copper, identifiable by its reddish color, and aluminum, recognizable by its silvery appearance.</w:t>
      </w:r>
    </w:p>
    <w:p w14:paraId="597D6690" w14:textId="77777777" w:rsidR="00303D7A" w:rsidRPr="00D91081" w:rsidRDefault="00303D7A" w:rsidP="00D91081">
      <w:pPr>
        <w:spacing w:after="0" w:line="240" w:lineRule="auto"/>
        <w:ind w:right="113"/>
        <w:jc w:val="center"/>
        <w:rPr>
          <w:rFonts w:ascii="Arial" w:hAnsi="Arial" w:cs="Arial"/>
          <w:i/>
          <w:sz w:val="20"/>
          <w:szCs w:val="20"/>
        </w:rPr>
      </w:pPr>
      <w:r w:rsidRPr="00D91081">
        <w:rPr>
          <w:rFonts w:ascii="Arial" w:hAnsi="Arial" w:cs="Arial"/>
          <w:noProof/>
          <w:sz w:val="20"/>
          <w:szCs w:val="20"/>
        </w:rPr>
        <w:drawing>
          <wp:inline distT="0" distB="0" distL="0" distR="0" wp14:anchorId="1CE3E96A" wp14:editId="7E840FA6">
            <wp:extent cx="5352415" cy="2514600"/>
            <wp:effectExtent l="0" t="0" r="635" b="0"/>
            <wp:docPr id="183972398"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8577" cy="2526891"/>
                    </a:xfrm>
                    <a:prstGeom prst="rect">
                      <a:avLst/>
                    </a:prstGeom>
                    <a:noFill/>
                    <a:ln>
                      <a:noFill/>
                    </a:ln>
                  </pic:spPr>
                </pic:pic>
              </a:graphicData>
            </a:graphic>
          </wp:inline>
        </w:drawing>
      </w:r>
    </w:p>
    <w:p w14:paraId="366E0100" w14:textId="2924EA4C" w:rsidR="00303D7A" w:rsidRPr="00D91081" w:rsidRDefault="00303D7A" w:rsidP="00D91081">
      <w:pPr>
        <w:spacing w:after="0" w:line="240" w:lineRule="auto"/>
        <w:ind w:right="113"/>
        <w:jc w:val="center"/>
        <w:rPr>
          <w:rFonts w:ascii="Arial" w:hAnsi="Arial" w:cs="Arial"/>
          <w:sz w:val="20"/>
          <w:szCs w:val="20"/>
        </w:rPr>
      </w:pPr>
      <w:r w:rsidRPr="00D91081">
        <w:rPr>
          <w:rFonts w:ascii="Arial" w:hAnsi="Arial" w:cs="Arial"/>
          <w:noProof/>
          <w:sz w:val="20"/>
          <w:szCs w:val="20"/>
        </w:rPr>
        <mc:AlternateContent>
          <mc:Choice Requires="wps">
            <w:drawing>
              <wp:inline distT="0" distB="0" distL="0" distR="0" wp14:anchorId="7CA69BD6" wp14:editId="6E0FEC3D">
                <wp:extent cx="5667375" cy="381000"/>
                <wp:effectExtent l="0" t="0" r="0" b="0"/>
                <wp:docPr id="1628318640" name="Zone de texte 24"/>
                <wp:cNvGraphicFramePr/>
                <a:graphic xmlns:a="http://schemas.openxmlformats.org/drawingml/2006/main">
                  <a:graphicData uri="http://schemas.microsoft.com/office/word/2010/wordprocessingShape">
                    <wps:wsp>
                      <wps:cNvSpPr txBox="1"/>
                      <wps:spPr>
                        <a:xfrm>
                          <a:off x="0" y="0"/>
                          <a:ext cx="5667375" cy="381000"/>
                        </a:xfrm>
                        <a:prstGeom prst="rect">
                          <a:avLst/>
                        </a:prstGeom>
                        <a:noFill/>
                        <a:ln w="6350">
                          <a:noFill/>
                        </a:ln>
                      </wps:spPr>
                      <wps:txbx>
                        <w:txbxContent>
                          <w:p w14:paraId="7D62693D" w14:textId="77777777" w:rsidR="00303D7A" w:rsidRPr="00A33CAD" w:rsidRDefault="00303D7A" w:rsidP="00A33CAD">
                            <w:pPr>
                              <w:spacing w:after="0" w:line="240" w:lineRule="auto"/>
                              <w:jc w:val="both"/>
                              <w:rPr>
                                <w:rFonts w:ascii="Arial" w:hAnsi="Arial" w:cs="Arial"/>
                                <w:sz w:val="20"/>
                                <w:szCs w:val="20"/>
                              </w:rPr>
                            </w:pPr>
                            <w:r w:rsidRPr="00A33CAD">
                              <w:rPr>
                                <w:rFonts w:ascii="Arial" w:hAnsi="Arial" w:cs="Arial"/>
                                <w:sz w:val="20"/>
                                <w:szCs w:val="20"/>
                              </w:rPr>
                              <w:t>O: Copper recovery assembly; P: Recovered copper metal from cathode; Q: Recovered aluminum metal from cathode</w:t>
                            </w:r>
                          </w:p>
                          <w:p w14:paraId="436C520E" w14:textId="77777777" w:rsidR="00303D7A" w:rsidRPr="00303D7A" w:rsidRDefault="00303D7A" w:rsidP="00303D7A">
                            <w:pPr>
                              <w:rPr>
                                <w:sz w:val="22"/>
                                <w:szCs w:val="2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CA69BD6" id="Zone de texte 24" o:spid="_x0000_s1032" type="#_x0000_t202" style="width:446.25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" filled="f" stroked="f" strokeweight=".5pt">
                <v:textbox>
                  <w:txbxContent>
                    <w:p w14:paraId="7D62693D" w14:textId="77777777" w:rsidR="00303D7A" w:rsidRPr="00A33CAD" w:rsidRDefault="00303D7A" w:rsidP="00A33CAD">
                      <w:pPr>
                        <w:spacing w:after="0" w:line="240" w:lineRule="auto"/>
                        <w:jc w:val="both"/>
                        <w:rPr>
                          <w:rFonts w:ascii="Arial" w:hAnsi="Arial" w:cs="Arial"/>
                          <w:sz w:val="20"/>
                          <w:szCs w:val="20"/>
                        </w:rPr>
                      </w:pPr>
                      <w:r w:rsidRPr="00A33CAD">
                        <w:rPr>
                          <w:rFonts w:ascii="Arial" w:hAnsi="Arial" w:cs="Arial"/>
                          <w:sz w:val="20"/>
                          <w:szCs w:val="20"/>
                        </w:rPr>
                        <w:t>O: Copper recovery assembly; P: Recovered copper metal from cathode; Q: Recovered aluminum metal from cathode</w:t>
                      </w:r>
                    </w:p>
                    <w:p w14:paraId="436C520E" w14:textId="77777777" w:rsidR="00303D7A" w:rsidRPr="00303D7A" w:rsidRDefault="00303D7A" w:rsidP="00303D7A">
                      <w:pPr>
                        <w:rPr>
                          <w:sz w:val="22"/>
                          <w:szCs w:val="22"/>
                        </w:rPr>
                      </w:pPr>
                    </w:p>
                  </w:txbxContent>
                </v:textbox>
                <w10:anchorlock/>
              </v:shape>
            </w:pict>
          </mc:Fallback>
        </mc:AlternateContent>
      </w:r>
      <w:r w:rsidRPr="00A33CAD">
        <w:rPr>
          <w:rFonts w:ascii="Arial" w:hAnsi="Arial" w:cs="Arial"/>
          <w:b/>
          <w:bCs/>
          <w:sz w:val="20"/>
          <w:szCs w:val="20"/>
        </w:rPr>
        <w:t>Figure 6: Recovery setup and metals recovered at the cathode</w:t>
      </w:r>
    </w:p>
    <w:p w14:paraId="352940CE" w14:textId="0B503B87" w:rsidR="00303D7A" w:rsidRPr="00D91081" w:rsidRDefault="00303D7A" w:rsidP="00D91081">
      <w:pPr>
        <w:spacing w:after="0" w:line="240" w:lineRule="auto"/>
        <w:jc w:val="both"/>
        <w:rPr>
          <w:rFonts w:ascii="Arial" w:hAnsi="Arial" w:cs="Arial"/>
          <w:sz w:val="20"/>
          <w:szCs w:val="20"/>
        </w:rPr>
      </w:pPr>
      <w:r w:rsidRPr="00D91081">
        <w:rPr>
          <w:rFonts w:ascii="Arial" w:hAnsi="Arial" w:cs="Arial"/>
          <w:sz w:val="20"/>
          <w:szCs w:val="20"/>
        </w:rPr>
        <w:lastRenderedPageBreak/>
        <w:t xml:space="preserve">The mass values and their variations at the electrodes were determined and recorded in Table </w:t>
      </w:r>
      <w:r w:rsidR="00D739FE" w:rsidRPr="00D91081">
        <w:rPr>
          <w:rFonts w:ascii="Arial" w:hAnsi="Arial" w:cs="Arial"/>
          <w:sz w:val="20"/>
          <w:szCs w:val="20"/>
        </w:rPr>
        <w:t>2</w:t>
      </w:r>
      <w:r w:rsidRPr="00D91081">
        <w:rPr>
          <w:rFonts w:ascii="Arial" w:hAnsi="Arial" w:cs="Arial"/>
          <w:sz w:val="20"/>
          <w:szCs w:val="20"/>
        </w:rPr>
        <w:t>. The change in the mass of the cathode between the beginning and the end of each recovery operation corresponds to the mass of the recovered metal.</w:t>
      </w:r>
    </w:p>
    <w:p w14:paraId="0AA7F695" w14:textId="2F603A6C" w:rsidR="00303D7A" w:rsidRPr="00E06C75" w:rsidRDefault="00303D7A" w:rsidP="00A33CAD">
      <w:pPr>
        <w:spacing w:before="240" w:after="0" w:line="240" w:lineRule="auto"/>
        <w:ind w:right="113" w:firstLine="709"/>
        <w:jc w:val="center"/>
        <w:rPr>
          <w:rFonts w:ascii="Arial" w:hAnsi="Arial" w:cs="Arial"/>
          <w:b/>
          <w:bCs/>
          <w:sz w:val="20"/>
          <w:szCs w:val="20"/>
        </w:rPr>
      </w:pPr>
      <w:r w:rsidRPr="00E06C75">
        <w:rPr>
          <w:rFonts w:ascii="Arial" w:hAnsi="Arial" w:cs="Arial"/>
          <w:b/>
          <w:bCs/>
          <w:sz w:val="20"/>
          <w:szCs w:val="20"/>
        </w:rPr>
        <w:t xml:space="preserve">Table </w:t>
      </w:r>
      <w:r w:rsidR="00D739FE" w:rsidRPr="00E06C75">
        <w:rPr>
          <w:rFonts w:ascii="Arial" w:hAnsi="Arial" w:cs="Arial"/>
          <w:b/>
          <w:bCs/>
          <w:sz w:val="20"/>
          <w:szCs w:val="20"/>
        </w:rPr>
        <w:t>2</w:t>
      </w:r>
      <w:r w:rsidRPr="00E06C75">
        <w:rPr>
          <w:rFonts w:ascii="Arial" w:hAnsi="Arial" w:cs="Arial"/>
          <w:b/>
          <w:bCs/>
          <w:sz w:val="20"/>
          <w:szCs w:val="20"/>
        </w:rPr>
        <w:t>: Electrode mass variation</w:t>
      </w:r>
    </w:p>
    <w:tbl>
      <w:tblPr>
        <w:tblStyle w:val="Tableausimple512"/>
        <w:tblW w:w="8845" w:type="dxa"/>
        <w:jc w:val="center"/>
        <w:tblInd w:w="0" w:type="dxa"/>
        <w:tblLook w:val="04A0" w:firstRow="1" w:lastRow="0" w:firstColumn="1" w:lastColumn="0" w:noHBand="0" w:noVBand="1"/>
      </w:tblPr>
      <w:tblGrid>
        <w:gridCol w:w="1229"/>
        <w:gridCol w:w="868"/>
        <w:gridCol w:w="1018"/>
        <w:gridCol w:w="857"/>
        <w:gridCol w:w="1016"/>
        <w:gridCol w:w="857"/>
        <w:gridCol w:w="1385"/>
        <w:gridCol w:w="1615"/>
      </w:tblGrid>
      <w:tr w:rsidR="00BE62E4" w:rsidRPr="00D91081" w14:paraId="75C28614" w14:textId="77777777" w:rsidTr="00A33CAD">
        <w:trPr>
          <w:cnfStyle w:val="100000000000" w:firstRow="1" w:lastRow="0" w:firstColumn="0" w:lastColumn="0" w:oddVBand="0" w:evenVBand="0" w:oddHBand="0" w:evenHBand="0" w:firstRowFirstColumn="0" w:firstRowLastColumn="0" w:lastRowFirstColumn="0" w:lastRowLastColumn="0"/>
          <w:trHeight w:val="663"/>
          <w:jc w:val="center"/>
        </w:trPr>
        <w:tc>
          <w:tcPr>
            <w:cnfStyle w:val="001000000100" w:firstRow="0" w:lastRow="0" w:firstColumn="1" w:lastColumn="0" w:oddVBand="0" w:evenVBand="0" w:oddHBand="0" w:evenHBand="0" w:firstRowFirstColumn="1" w:firstRowLastColumn="0" w:lastRowFirstColumn="0" w:lastRowLastColumn="0"/>
            <w:tcW w:w="1229" w:type="dxa"/>
            <w:tcBorders>
              <w:top w:val="single" w:sz="4" w:space="0" w:color="auto"/>
              <w:left w:val="nil"/>
              <w:bottom w:val="single" w:sz="4" w:space="0" w:color="auto"/>
              <w:right w:val="single" w:sz="4" w:space="0" w:color="auto"/>
            </w:tcBorders>
            <w:vAlign w:val="center"/>
          </w:tcPr>
          <w:p w14:paraId="4E07BDB8" w14:textId="77777777" w:rsidR="00BE62E4" w:rsidRPr="00D91081" w:rsidRDefault="00BE62E4" w:rsidP="00A33CAD">
            <w:pPr>
              <w:spacing w:line="240" w:lineRule="auto"/>
              <w:jc w:val="center"/>
              <w:rPr>
                <w:rFonts w:ascii="Arial" w:eastAsia="Times New Roman" w:hAnsi="Arial" w:cs="Arial"/>
                <w:i w:val="0"/>
                <w:sz w:val="20"/>
                <w:szCs w:val="20"/>
                <w:lang w:val="fr-FR"/>
              </w:rPr>
            </w:pPr>
            <w:bookmarkStart w:id="2" w:name="_Hlk206370498"/>
          </w:p>
        </w:tc>
        <w:tc>
          <w:tcPr>
            <w:tcW w:w="1886" w:type="dxa"/>
            <w:gridSpan w:val="2"/>
            <w:tcBorders>
              <w:top w:val="single" w:sz="4" w:space="0" w:color="auto"/>
              <w:left w:val="single" w:sz="4" w:space="0" w:color="auto"/>
              <w:right w:val="single" w:sz="4" w:space="0" w:color="auto"/>
            </w:tcBorders>
            <w:vAlign w:val="center"/>
            <w:hideMark/>
          </w:tcPr>
          <w:p w14:paraId="1A061D41" w14:textId="77777777" w:rsidR="00BE62E4" w:rsidRPr="00D91081" w:rsidRDefault="00BE62E4" w:rsidP="00A33CAD">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i w:val="0"/>
                <w:sz w:val="20"/>
                <w:szCs w:val="20"/>
              </w:rPr>
            </w:pPr>
            <w:r w:rsidRPr="00D91081">
              <w:rPr>
                <w:rFonts w:ascii="Arial" w:eastAsia="Times New Roman" w:hAnsi="Arial" w:cs="Arial"/>
                <w:i w:val="0"/>
                <w:sz w:val="20"/>
                <w:szCs w:val="20"/>
              </w:rPr>
              <w:t xml:space="preserve">Mass </w:t>
            </w:r>
            <w:r w:rsidRPr="00D91081">
              <w:rPr>
                <w:rFonts w:ascii="Arial" w:hAnsi="Arial" w:cs="Arial"/>
                <w:i w:val="0"/>
                <w:sz w:val="20"/>
                <w:szCs w:val="20"/>
              </w:rPr>
              <w:t>before deposition</w:t>
            </w:r>
            <w:r w:rsidRPr="00D91081">
              <w:rPr>
                <w:rFonts w:ascii="Arial" w:eastAsia="Times New Roman" w:hAnsi="Arial" w:cs="Arial"/>
                <w:i w:val="0"/>
                <w:sz w:val="20"/>
                <w:szCs w:val="20"/>
              </w:rPr>
              <w:t xml:space="preserve"> (g)</w:t>
            </w:r>
          </w:p>
        </w:tc>
        <w:tc>
          <w:tcPr>
            <w:tcW w:w="1873" w:type="dxa"/>
            <w:gridSpan w:val="2"/>
            <w:tcBorders>
              <w:top w:val="single" w:sz="4" w:space="0" w:color="auto"/>
              <w:left w:val="single" w:sz="4" w:space="0" w:color="auto"/>
              <w:right w:val="single" w:sz="4" w:space="0" w:color="auto"/>
            </w:tcBorders>
            <w:vAlign w:val="center"/>
            <w:hideMark/>
          </w:tcPr>
          <w:p w14:paraId="779CFF2E" w14:textId="77777777" w:rsidR="00BE62E4" w:rsidRPr="00D91081" w:rsidRDefault="00BE62E4" w:rsidP="00A33CAD">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i w:val="0"/>
                <w:sz w:val="20"/>
                <w:szCs w:val="20"/>
              </w:rPr>
            </w:pPr>
            <w:r w:rsidRPr="00D91081">
              <w:rPr>
                <w:rFonts w:ascii="Arial" w:eastAsia="Times New Roman" w:hAnsi="Arial" w:cs="Arial"/>
                <w:i w:val="0"/>
                <w:sz w:val="20"/>
                <w:szCs w:val="20"/>
              </w:rPr>
              <w:t xml:space="preserve">Masse </w:t>
            </w:r>
            <w:r w:rsidRPr="00D91081">
              <w:rPr>
                <w:rFonts w:ascii="Arial" w:hAnsi="Arial" w:cs="Arial"/>
                <w:i w:val="0"/>
                <w:sz w:val="20"/>
                <w:szCs w:val="20"/>
              </w:rPr>
              <w:t>after deposition</w:t>
            </w:r>
            <w:r w:rsidRPr="00D91081">
              <w:rPr>
                <w:rFonts w:ascii="Arial" w:eastAsia="Times New Roman" w:hAnsi="Arial" w:cs="Arial"/>
                <w:i w:val="0"/>
                <w:sz w:val="20"/>
                <w:szCs w:val="20"/>
              </w:rPr>
              <w:t xml:space="preserve"> (g)</w:t>
            </w:r>
          </w:p>
        </w:tc>
        <w:tc>
          <w:tcPr>
            <w:tcW w:w="2242" w:type="dxa"/>
            <w:gridSpan w:val="2"/>
            <w:tcBorders>
              <w:top w:val="single" w:sz="4" w:space="0" w:color="auto"/>
              <w:left w:val="single" w:sz="4" w:space="0" w:color="auto"/>
              <w:right w:val="single" w:sz="4" w:space="0" w:color="auto"/>
            </w:tcBorders>
            <w:vAlign w:val="center"/>
            <w:hideMark/>
          </w:tcPr>
          <w:p w14:paraId="5CF68D3B" w14:textId="77777777" w:rsidR="00BE62E4" w:rsidRPr="00D91081" w:rsidRDefault="00BE62E4" w:rsidP="00A33CAD">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i w:val="0"/>
                <w:sz w:val="20"/>
                <w:szCs w:val="20"/>
                <w:lang w:eastAsia="en-US"/>
              </w:rPr>
            </w:pPr>
            <w:r w:rsidRPr="00D91081">
              <w:rPr>
                <w:rFonts w:ascii="Arial" w:hAnsi="Arial" w:cs="Arial"/>
                <w:i w:val="0"/>
                <w:sz w:val="20"/>
                <w:szCs w:val="20"/>
              </w:rPr>
              <w:t>Mass variation</w:t>
            </w:r>
          </w:p>
          <w:p w14:paraId="799504A5" w14:textId="77777777" w:rsidR="00BE62E4" w:rsidRPr="00D91081" w:rsidRDefault="00BE62E4" w:rsidP="00A33CAD">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i w:val="0"/>
                <w:sz w:val="20"/>
                <w:szCs w:val="20"/>
                <w:lang w:val="fr-FR"/>
              </w:rPr>
            </w:pPr>
            <w:r w:rsidRPr="00D91081">
              <w:rPr>
                <w:rFonts w:ascii="Arial" w:eastAsia="Times New Roman" w:hAnsi="Arial" w:cs="Arial"/>
                <w:i w:val="0"/>
                <w:sz w:val="20"/>
                <w:szCs w:val="20"/>
              </w:rPr>
              <w:t xml:space="preserve"> </w:t>
            </w:r>
            <m:oMath>
              <m:r>
                <w:rPr>
                  <w:rFonts w:ascii="Cambria Math" w:eastAsia="Times New Roman" w:hAnsi="Cambria Math" w:cs="Arial"/>
                  <w:sz w:val="20"/>
                  <w:szCs w:val="20"/>
                </w:rPr>
                <m:t>∆m</m:t>
              </m:r>
            </m:oMath>
            <w:r w:rsidRPr="00D91081">
              <w:rPr>
                <w:rFonts w:ascii="Arial" w:eastAsia="Times New Roman" w:hAnsi="Arial" w:cs="Arial"/>
                <w:i w:val="0"/>
                <w:sz w:val="20"/>
                <w:szCs w:val="20"/>
              </w:rPr>
              <w:t xml:space="preserve"> (g)</w:t>
            </w:r>
          </w:p>
        </w:tc>
        <w:tc>
          <w:tcPr>
            <w:tcW w:w="1615" w:type="dxa"/>
            <w:tcBorders>
              <w:top w:val="single" w:sz="4" w:space="0" w:color="auto"/>
              <w:left w:val="single" w:sz="4" w:space="0" w:color="auto"/>
              <w:right w:val="nil"/>
            </w:tcBorders>
            <w:vAlign w:val="center"/>
            <w:hideMark/>
          </w:tcPr>
          <w:p w14:paraId="64E02394" w14:textId="77777777" w:rsidR="00BE62E4" w:rsidRPr="00D91081" w:rsidRDefault="00BE62E4" w:rsidP="00A33CAD">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i w:val="0"/>
                <w:sz w:val="20"/>
                <w:szCs w:val="20"/>
                <w:lang w:eastAsia="en-US"/>
              </w:rPr>
            </w:pPr>
            <w:r w:rsidRPr="00D91081">
              <w:rPr>
                <w:rFonts w:ascii="Arial" w:hAnsi="Arial" w:cs="Arial"/>
                <w:i w:val="0"/>
                <w:sz w:val="20"/>
                <w:szCs w:val="20"/>
              </w:rPr>
              <w:t xml:space="preserve">Yield </w:t>
            </w:r>
          </w:p>
          <w:p w14:paraId="05C1C580" w14:textId="77777777" w:rsidR="00BE62E4" w:rsidRPr="00D91081" w:rsidRDefault="00BE62E4" w:rsidP="00A33CAD">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i w:val="0"/>
                <w:sz w:val="20"/>
                <w:szCs w:val="20"/>
                <w:lang w:val="fr-FR"/>
              </w:rPr>
            </w:pPr>
            <w:r w:rsidRPr="00D91081">
              <w:rPr>
                <w:rFonts w:ascii="Arial" w:hAnsi="Arial" w:cs="Arial"/>
                <w:i w:val="0"/>
                <w:sz w:val="20"/>
                <w:szCs w:val="20"/>
              </w:rPr>
              <w:t>(%)</w:t>
            </w:r>
          </w:p>
        </w:tc>
      </w:tr>
      <w:tr w:rsidR="00BE62E4" w:rsidRPr="00D91081" w14:paraId="69D9ACCA" w14:textId="77777777" w:rsidTr="00BE62E4">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1229" w:type="dxa"/>
            <w:tcBorders>
              <w:top w:val="single" w:sz="4" w:space="0" w:color="auto"/>
              <w:left w:val="nil"/>
              <w:bottom w:val="single" w:sz="4" w:space="0" w:color="auto"/>
            </w:tcBorders>
            <w:vAlign w:val="center"/>
            <w:hideMark/>
          </w:tcPr>
          <w:p w14:paraId="429EB184" w14:textId="77777777" w:rsidR="00BE62E4" w:rsidRPr="00D91081" w:rsidRDefault="00BE62E4" w:rsidP="00A33CAD">
            <w:pPr>
              <w:spacing w:line="240" w:lineRule="auto"/>
              <w:jc w:val="center"/>
              <w:rPr>
                <w:rFonts w:ascii="Arial" w:eastAsia="Times New Roman" w:hAnsi="Arial" w:cs="Arial"/>
                <w:i w:val="0"/>
                <w:sz w:val="20"/>
                <w:szCs w:val="20"/>
              </w:rPr>
            </w:pPr>
            <w:r w:rsidRPr="00D91081">
              <w:rPr>
                <w:rFonts w:ascii="Arial" w:eastAsia="Times New Roman" w:hAnsi="Arial" w:cs="Arial"/>
                <w:i w:val="0"/>
                <w:sz w:val="20"/>
                <w:szCs w:val="20"/>
              </w:rPr>
              <w:t>Electrodes</w:t>
            </w:r>
          </w:p>
        </w:tc>
        <w:tc>
          <w:tcPr>
            <w:tcW w:w="868" w:type="dxa"/>
            <w:tcBorders>
              <w:top w:val="single" w:sz="4" w:space="0" w:color="auto"/>
              <w:left w:val="nil"/>
              <w:bottom w:val="single" w:sz="4" w:space="0" w:color="auto"/>
              <w:right w:val="nil"/>
            </w:tcBorders>
            <w:vAlign w:val="center"/>
            <w:hideMark/>
          </w:tcPr>
          <w:p w14:paraId="5D0CDF5B" w14:textId="77777777" w:rsidR="00BE62E4" w:rsidRPr="00D91081" w:rsidRDefault="00BE62E4" w:rsidP="00A33CA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20"/>
                <w:szCs w:val="20"/>
              </w:rPr>
            </w:pPr>
            <w:r w:rsidRPr="00D91081">
              <w:rPr>
                <w:rFonts w:ascii="Arial" w:eastAsia="Times New Roman" w:hAnsi="Arial" w:cs="Arial"/>
                <w:iCs/>
                <w:sz w:val="20"/>
                <w:szCs w:val="20"/>
              </w:rPr>
              <w:t>Anode</w:t>
            </w:r>
          </w:p>
        </w:tc>
        <w:tc>
          <w:tcPr>
            <w:tcW w:w="1018" w:type="dxa"/>
            <w:tcBorders>
              <w:top w:val="single" w:sz="4" w:space="0" w:color="auto"/>
              <w:left w:val="nil"/>
              <w:bottom w:val="single" w:sz="4" w:space="0" w:color="auto"/>
              <w:right w:val="single" w:sz="4" w:space="0" w:color="auto"/>
            </w:tcBorders>
            <w:vAlign w:val="center"/>
            <w:hideMark/>
          </w:tcPr>
          <w:p w14:paraId="51E18E0F" w14:textId="77777777" w:rsidR="00BE62E4" w:rsidRPr="00D91081" w:rsidRDefault="00BE62E4" w:rsidP="00A33CA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20"/>
                <w:szCs w:val="20"/>
              </w:rPr>
            </w:pPr>
            <w:r w:rsidRPr="00D91081">
              <w:rPr>
                <w:rFonts w:ascii="Arial" w:eastAsia="Times New Roman" w:hAnsi="Arial" w:cs="Arial"/>
                <w:iCs/>
                <w:sz w:val="20"/>
                <w:szCs w:val="20"/>
              </w:rPr>
              <w:t>Cathode</w:t>
            </w:r>
          </w:p>
        </w:tc>
        <w:tc>
          <w:tcPr>
            <w:tcW w:w="857" w:type="dxa"/>
            <w:tcBorders>
              <w:top w:val="single" w:sz="4" w:space="0" w:color="auto"/>
              <w:left w:val="single" w:sz="4" w:space="0" w:color="auto"/>
              <w:bottom w:val="single" w:sz="4" w:space="0" w:color="auto"/>
              <w:right w:val="nil"/>
            </w:tcBorders>
            <w:vAlign w:val="center"/>
            <w:hideMark/>
          </w:tcPr>
          <w:p w14:paraId="5513B3C8" w14:textId="77777777" w:rsidR="00BE62E4" w:rsidRPr="00D91081" w:rsidRDefault="00BE62E4" w:rsidP="00A33CA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20"/>
                <w:szCs w:val="20"/>
              </w:rPr>
            </w:pPr>
            <w:r w:rsidRPr="00D91081">
              <w:rPr>
                <w:rFonts w:ascii="Arial" w:eastAsia="Times New Roman" w:hAnsi="Arial" w:cs="Arial"/>
                <w:iCs/>
                <w:sz w:val="20"/>
                <w:szCs w:val="20"/>
              </w:rPr>
              <w:t>Anode</w:t>
            </w:r>
          </w:p>
        </w:tc>
        <w:tc>
          <w:tcPr>
            <w:tcW w:w="1016" w:type="dxa"/>
            <w:tcBorders>
              <w:top w:val="single" w:sz="4" w:space="0" w:color="auto"/>
              <w:left w:val="nil"/>
              <w:bottom w:val="single" w:sz="4" w:space="0" w:color="auto"/>
              <w:right w:val="single" w:sz="4" w:space="0" w:color="auto"/>
            </w:tcBorders>
            <w:vAlign w:val="center"/>
            <w:hideMark/>
          </w:tcPr>
          <w:p w14:paraId="6FE4F3CB" w14:textId="77777777" w:rsidR="00BE62E4" w:rsidRPr="00D91081" w:rsidRDefault="00BE62E4" w:rsidP="00A33CA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20"/>
                <w:szCs w:val="20"/>
              </w:rPr>
            </w:pPr>
            <w:r w:rsidRPr="00D91081">
              <w:rPr>
                <w:rFonts w:ascii="Arial" w:eastAsia="Times New Roman" w:hAnsi="Arial" w:cs="Arial"/>
                <w:iCs/>
                <w:sz w:val="20"/>
                <w:szCs w:val="20"/>
              </w:rPr>
              <w:t>Cathode</w:t>
            </w:r>
          </w:p>
        </w:tc>
        <w:tc>
          <w:tcPr>
            <w:tcW w:w="857" w:type="dxa"/>
            <w:tcBorders>
              <w:top w:val="single" w:sz="4" w:space="0" w:color="auto"/>
              <w:left w:val="single" w:sz="4" w:space="0" w:color="auto"/>
              <w:bottom w:val="single" w:sz="4" w:space="0" w:color="auto"/>
              <w:right w:val="nil"/>
            </w:tcBorders>
            <w:vAlign w:val="center"/>
            <w:hideMark/>
          </w:tcPr>
          <w:p w14:paraId="3D69A16A" w14:textId="77777777" w:rsidR="00BE62E4" w:rsidRPr="00D91081" w:rsidRDefault="00BE62E4" w:rsidP="00A33CA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20"/>
                <w:szCs w:val="20"/>
              </w:rPr>
            </w:pPr>
            <w:r w:rsidRPr="00D91081">
              <w:rPr>
                <w:rFonts w:ascii="Arial" w:eastAsia="Times New Roman" w:hAnsi="Arial" w:cs="Arial"/>
                <w:iCs/>
                <w:sz w:val="20"/>
                <w:szCs w:val="20"/>
              </w:rPr>
              <w:t>Anode</w:t>
            </w:r>
          </w:p>
        </w:tc>
        <w:tc>
          <w:tcPr>
            <w:tcW w:w="1385" w:type="dxa"/>
            <w:tcBorders>
              <w:top w:val="single" w:sz="4" w:space="0" w:color="auto"/>
              <w:left w:val="nil"/>
              <w:bottom w:val="single" w:sz="4" w:space="0" w:color="auto"/>
              <w:right w:val="single" w:sz="4" w:space="0" w:color="auto"/>
            </w:tcBorders>
            <w:vAlign w:val="center"/>
            <w:hideMark/>
          </w:tcPr>
          <w:p w14:paraId="1862444A" w14:textId="77777777" w:rsidR="00BE62E4" w:rsidRPr="00D91081" w:rsidRDefault="00BE62E4" w:rsidP="00A33CA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20"/>
                <w:szCs w:val="20"/>
              </w:rPr>
            </w:pPr>
            <w:r w:rsidRPr="00D91081">
              <w:rPr>
                <w:rFonts w:ascii="Arial" w:eastAsia="Times New Roman" w:hAnsi="Arial" w:cs="Arial"/>
                <w:iCs/>
                <w:sz w:val="20"/>
                <w:szCs w:val="20"/>
              </w:rPr>
              <w:t>Cathode</w:t>
            </w:r>
          </w:p>
        </w:tc>
        <w:tc>
          <w:tcPr>
            <w:tcW w:w="1615" w:type="dxa"/>
            <w:tcBorders>
              <w:top w:val="single" w:sz="4" w:space="0" w:color="auto"/>
              <w:left w:val="single" w:sz="4" w:space="0" w:color="auto"/>
              <w:bottom w:val="single" w:sz="4" w:space="0" w:color="auto"/>
              <w:right w:val="nil"/>
            </w:tcBorders>
            <w:vAlign w:val="center"/>
            <w:hideMark/>
          </w:tcPr>
          <w:p w14:paraId="0CE28A20" w14:textId="77777777" w:rsidR="00BE62E4" w:rsidRPr="00D91081" w:rsidRDefault="00BE62E4" w:rsidP="00A33CA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20"/>
                <w:szCs w:val="20"/>
              </w:rPr>
            </w:pPr>
            <w:r w:rsidRPr="00D91081">
              <w:rPr>
                <w:rFonts w:ascii="Arial" w:eastAsia="Times New Roman" w:hAnsi="Arial" w:cs="Arial"/>
                <w:iCs/>
                <w:sz w:val="20"/>
                <w:szCs w:val="20"/>
              </w:rPr>
              <w:t xml:space="preserve">Cathode </w:t>
            </w:r>
          </w:p>
        </w:tc>
      </w:tr>
      <w:tr w:rsidR="00BE62E4" w:rsidRPr="00D91081" w14:paraId="7F38DFE7" w14:textId="77777777" w:rsidTr="00BE62E4">
        <w:trPr>
          <w:jc w:val="center"/>
        </w:trPr>
        <w:tc>
          <w:tcPr>
            <w:cnfStyle w:val="001000000000" w:firstRow="0" w:lastRow="0" w:firstColumn="1" w:lastColumn="0" w:oddVBand="0" w:evenVBand="0" w:oddHBand="0" w:evenHBand="0" w:firstRowFirstColumn="0" w:firstRowLastColumn="0" w:lastRowFirstColumn="0" w:lastRowLastColumn="0"/>
            <w:tcW w:w="1229" w:type="dxa"/>
            <w:tcBorders>
              <w:top w:val="single" w:sz="4" w:space="0" w:color="auto"/>
              <w:left w:val="nil"/>
              <w:bottom w:val="single" w:sz="4" w:space="0" w:color="auto"/>
            </w:tcBorders>
            <w:vAlign w:val="center"/>
            <w:hideMark/>
          </w:tcPr>
          <w:p w14:paraId="5EC69FF1" w14:textId="77777777" w:rsidR="00BE62E4" w:rsidRPr="00D91081" w:rsidRDefault="00BE62E4" w:rsidP="00A33CAD">
            <w:pPr>
              <w:spacing w:line="240" w:lineRule="auto"/>
              <w:jc w:val="center"/>
              <w:rPr>
                <w:rFonts w:ascii="Arial" w:eastAsia="Times New Roman" w:hAnsi="Arial" w:cs="Arial"/>
                <w:i w:val="0"/>
                <w:sz w:val="20"/>
                <w:szCs w:val="20"/>
              </w:rPr>
            </w:pPr>
            <w:r w:rsidRPr="00D91081">
              <w:rPr>
                <w:rFonts w:ascii="Arial" w:eastAsia="Times New Roman" w:hAnsi="Arial" w:cs="Arial"/>
                <w:i w:val="0"/>
                <w:sz w:val="20"/>
                <w:szCs w:val="20"/>
              </w:rPr>
              <w:t>Cu</w:t>
            </w:r>
          </w:p>
        </w:tc>
        <w:tc>
          <w:tcPr>
            <w:tcW w:w="868" w:type="dxa"/>
            <w:tcBorders>
              <w:top w:val="single" w:sz="4" w:space="0" w:color="auto"/>
              <w:left w:val="nil"/>
              <w:bottom w:val="single" w:sz="4" w:space="0" w:color="auto"/>
              <w:right w:val="nil"/>
            </w:tcBorders>
            <w:vAlign w:val="center"/>
            <w:hideMark/>
          </w:tcPr>
          <w:p w14:paraId="04F2C33C" w14:textId="77777777" w:rsidR="00BE62E4" w:rsidRPr="00D91081" w:rsidRDefault="00BE62E4" w:rsidP="00A33CA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20"/>
                <w:szCs w:val="20"/>
              </w:rPr>
            </w:pPr>
            <w:r w:rsidRPr="00D91081">
              <w:rPr>
                <w:rFonts w:ascii="Arial" w:eastAsia="Times New Roman" w:hAnsi="Arial" w:cs="Arial"/>
                <w:iCs/>
                <w:sz w:val="20"/>
                <w:szCs w:val="20"/>
              </w:rPr>
              <w:t>0,980</w:t>
            </w:r>
          </w:p>
        </w:tc>
        <w:tc>
          <w:tcPr>
            <w:tcW w:w="1018" w:type="dxa"/>
            <w:tcBorders>
              <w:top w:val="single" w:sz="4" w:space="0" w:color="auto"/>
              <w:left w:val="nil"/>
              <w:bottom w:val="single" w:sz="4" w:space="0" w:color="auto"/>
              <w:right w:val="single" w:sz="4" w:space="0" w:color="auto"/>
            </w:tcBorders>
            <w:vAlign w:val="center"/>
            <w:hideMark/>
          </w:tcPr>
          <w:p w14:paraId="703890BD" w14:textId="77777777" w:rsidR="00BE62E4" w:rsidRPr="00D91081" w:rsidRDefault="00BE62E4" w:rsidP="00A33CA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20"/>
                <w:szCs w:val="20"/>
              </w:rPr>
            </w:pPr>
            <w:r w:rsidRPr="00D91081">
              <w:rPr>
                <w:rFonts w:ascii="Arial" w:eastAsia="Times New Roman" w:hAnsi="Arial" w:cs="Arial"/>
                <w:iCs/>
                <w:sz w:val="20"/>
                <w:szCs w:val="20"/>
              </w:rPr>
              <w:t>0,968</w:t>
            </w:r>
          </w:p>
        </w:tc>
        <w:tc>
          <w:tcPr>
            <w:tcW w:w="857" w:type="dxa"/>
            <w:tcBorders>
              <w:top w:val="single" w:sz="4" w:space="0" w:color="auto"/>
              <w:left w:val="single" w:sz="4" w:space="0" w:color="auto"/>
              <w:bottom w:val="single" w:sz="4" w:space="0" w:color="auto"/>
              <w:right w:val="nil"/>
            </w:tcBorders>
            <w:vAlign w:val="center"/>
            <w:hideMark/>
          </w:tcPr>
          <w:p w14:paraId="4515887D" w14:textId="77777777" w:rsidR="00BE62E4" w:rsidRPr="00D91081" w:rsidRDefault="00BE62E4" w:rsidP="00A33CA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20"/>
                <w:szCs w:val="20"/>
              </w:rPr>
            </w:pPr>
            <w:r w:rsidRPr="00D91081">
              <w:rPr>
                <w:rFonts w:ascii="Arial" w:eastAsia="Times New Roman" w:hAnsi="Arial" w:cs="Arial"/>
                <w:iCs/>
                <w:sz w:val="20"/>
                <w:szCs w:val="20"/>
              </w:rPr>
              <w:t>0,980</w:t>
            </w:r>
          </w:p>
        </w:tc>
        <w:tc>
          <w:tcPr>
            <w:tcW w:w="1016" w:type="dxa"/>
            <w:tcBorders>
              <w:top w:val="single" w:sz="4" w:space="0" w:color="auto"/>
              <w:left w:val="nil"/>
              <w:bottom w:val="single" w:sz="4" w:space="0" w:color="auto"/>
              <w:right w:val="single" w:sz="4" w:space="0" w:color="auto"/>
            </w:tcBorders>
            <w:vAlign w:val="center"/>
            <w:hideMark/>
          </w:tcPr>
          <w:p w14:paraId="6621F78D" w14:textId="77777777" w:rsidR="00BE62E4" w:rsidRPr="00D91081" w:rsidRDefault="00BE62E4" w:rsidP="00A33CA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20"/>
                <w:szCs w:val="20"/>
              </w:rPr>
            </w:pPr>
            <w:r w:rsidRPr="00D91081">
              <w:rPr>
                <w:rFonts w:ascii="Arial" w:eastAsia="Times New Roman" w:hAnsi="Arial" w:cs="Arial"/>
                <w:iCs/>
                <w:sz w:val="20"/>
                <w:szCs w:val="20"/>
              </w:rPr>
              <w:t>0,992</w:t>
            </w:r>
          </w:p>
        </w:tc>
        <w:tc>
          <w:tcPr>
            <w:tcW w:w="857" w:type="dxa"/>
            <w:tcBorders>
              <w:top w:val="single" w:sz="4" w:space="0" w:color="auto"/>
              <w:left w:val="single" w:sz="4" w:space="0" w:color="auto"/>
              <w:bottom w:val="nil"/>
              <w:right w:val="nil"/>
            </w:tcBorders>
            <w:vAlign w:val="center"/>
            <w:hideMark/>
          </w:tcPr>
          <w:p w14:paraId="4022DBC0" w14:textId="77777777" w:rsidR="00BE62E4" w:rsidRPr="00D91081" w:rsidRDefault="00BE62E4" w:rsidP="00A33CA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20"/>
                <w:szCs w:val="20"/>
              </w:rPr>
            </w:pPr>
            <w:r w:rsidRPr="00D91081">
              <w:rPr>
                <w:rFonts w:ascii="Arial" w:eastAsia="Times New Roman" w:hAnsi="Arial" w:cs="Arial"/>
                <w:iCs/>
                <w:sz w:val="20"/>
                <w:szCs w:val="20"/>
              </w:rPr>
              <w:t>0</w:t>
            </w:r>
          </w:p>
        </w:tc>
        <w:tc>
          <w:tcPr>
            <w:tcW w:w="1385" w:type="dxa"/>
            <w:tcBorders>
              <w:top w:val="single" w:sz="4" w:space="0" w:color="auto"/>
              <w:left w:val="nil"/>
              <w:bottom w:val="single" w:sz="4" w:space="0" w:color="auto"/>
              <w:right w:val="single" w:sz="4" w:space="0" w:color="auto"/>
            </w:tcBorders>
            <w:vAlign w:val="center"/>
            <w:hideMark/>
          </w:tcPr>
          <w:p w14:paraId="14553470" w14:textId="77777777" w:rsidR="00BE62E4" w:rsidRPr="00D91081" w:rsidRDefault="00BE62E4" w:rsidP="00A33CA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20"/>
                <w:szCs w:val="20"/>
              </w:rPr>
            </w:pPr>
            <w:r w:rsidRPr="00D91081">
              <w:rPr>
                <w:rFonts w:ascii="Arial" w:eastAsia="Times New Roman" w:hAnsi="Arial" w:cs="Arial"/>
                <w:iCs/>
                <w:sz w:val="20"/>
                <w:szCs w:val="20"/>
              </w:rPr>
              <w:t>0,024</w:t>
            </w:r>
          </w:p>
        </w:tc>
        <w:tc>
          <w:tcPr>
            <w:tcW w:w="1615" w:type="dxa"/>
            <w:tcBorders>
              <w:top w:val="single" w:sz="4" w:space="0" w:color="auto"/>
              <w:left w:val="single" w:sz="4" w:space="0" w:color="auto"/>
              <w:bottom w:val="single" w:sz="4" w:space="0" w:color="auto"/>
              <w:right w:val="nil"/>
            </w:tcBorders>
            <w:vAlign w:val="center"/>
            <w:hideMark/>
          </w:tcPr>
          <w:p w14:paraId="23C95E71" w14:textId="77777777" w:rsidR="00BE62E4" w:rsidRPr="00D91081" w:rsidRDefault="00BE62E4" w:rsidP="00A33CA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20"/>
                <w:szCs w:val="20"/>
              </w:rPr>
            </w:pPr>
            <w:r w:rsidRPr="00D91081">
              <w:rPr>
                <w:rFonts w:ascii="Arial" w:hAnsi="Arial" w:cs="Arial"/>
                <w:iCs/>
                <w:sz w:val="20"/>
                <w:szCs w:val="20"/>
              </w:rPr>
              <w:t>8,8</w:t>
            </w:r>
          </w:p>
        </w:tc>
      </w:tr>
      <w:tr w:rsidR="00BE62E4" w:rsidRPr="00D91081" w14:paraId="5FF5F4C4" w14:textId="77777777" w:rsidTr="00BE62E4">
        <w:trPr>
          <w:cnfStyle w:val="000000100000" w:firstRow="0" w:lastRow="0" w:firstColumn="0" w:lastColumn="0" w:oddVBand="0" w:evenVBand="0" w:oddHBand="1" w:evenHBand="0" w:firstRowFirstColumn="0" w:firstRowLastColumn="0" w:lastRowFirstColumn="0" w:lastRowLastColumn="0"/>
          <w:trHeight w:val="162"/>
          <w:jc w:val="center"/>
        </w:trPr>
        <w:tc>
          <w:tcPr>
            <w:cnfStyle w:val="001000000000" w:firstRow="0" w:lastRow="0" w:firstColumn="1" w:lastColumn="0" w:oddVBand="0" w:evenVBand="0" w:oddHBand="0" w:evenHBand="0" w:firstRowFirstColumn="0" w:firstRowLastColumn="0" w:lastRowFirstColumn="0" w:lastRowLastColumn="0"/>
            <w:tcW w:w="1229" w:type="dxa"/>
            <w:tcBorders>
              <w:top w:val="single" w:sz="4" w:space="0" w:color="auto"/>
              <w:left w:val="nil"/>
              <w:bottom w:val="single" w:sz="4" w:space="0" w:color="auto"/>
            </w:tcBorders>
            <w:vAlign w:val="center"/>
            <w:hideMark/>
          </w:tcPr>
          <w:p w14:paraId="43F28C5E" w14:textId="77777777" w:rsidR="00BE62E4" w:rsidRPr="00D91081" w:rsidRDefault="00BE62E4" w:rsidP="00A33CAD">
            <w:pPr>
              <w:spacing w:line="240" w:lineRule="auto"/>
              <w:jc w:val="center"/>
              <w:rPr>
                <w:rFonts w:ascii="Arial" w:eastAsia="Times New Roman" w:hAnsi="Arial" w:cs="Arial"/>
                <w:i w:val="0"/>
                <w:sz w:val="20"/>
                <w:szCs w:val="20"/>
              </w:rPr>
            </w:pPr>
            <w:r w:rsidRPr="00D91081">
              <w:rPr>
                <w:rFonts w:ascii="Arial" w:eastAsia="Times New Roman" w:hAnsi="Arial" w:cs="Arial"/>
                <w:i w:val="0"/>
                <w:sz w:val="20"/>
                <w:szCs w:val="20"/>
              </w:rPr>
              <w:t>Al</w:t>
            </w:r>
          </w:p>
        </w:tc>
        <w:tc>
          <w:tcPr>
            <w:tcW w:w="868" w:type="dxa"/>
            <w:tcBorders>
              <w:top w:val="single" w:sz="4" w:space="0" w:color="auto"/>
              <w:left w:val="nil"/>
              <w:bottom w:val="single" w:sz="4" w:space="0" w:color="auto"/>
              <w:right w:val="nil"/>
            </w:tcBorders>
            <w:vAlign w:val="center"/>
            <w:hideMark/>
          </w:tcPr>
          <w:p w14:paraId="4AFFB7E8" w14:textId="77777777" w:rsidR="00BE62E4" w:rsidRPr="00D91081" w:rsidRDefault="00BE62E4" w:rsidP="00A33CA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20"/>
                <w:szCs w:val="20"/>
              </w:rPr>
            </w:pPr>
            <w:r w:rsidRPr="00D91081">
              <w:rPr>
                <w:rFonts w:ascii="Arial" w:eastAsia="Times New Roman" w:hAnsi="Arial" w:cs="Arial"/>
                <w:iCs/>
                <w:sz w:val="20"/>
                <w:szCs w:val="20"/>
              </w:rPr>
              <w:t>0,980</w:t>
            </w:r>
          </w:p>
        </w:tc>
        <w:tc>
          <w:tcPr>
            <w:tcW w:w="1018" w:type="dxa"/>
            <w:tcBorders>
              <w:top w:val="single" w:sz="4" w:space="0" w:color="auto"/>
              <w:left w:val="nil"/>
              <w:bottom w:val="single" w:sz="4" w:space="0" w:color="auto"/>
              <w:right w:val="single" w:sz="4" w:space="0" w:color="auto"/>
            </w:tcBorders>
            <w:vAlign w:val="center"/>
            <w:hideMark/>
          </w:tcPr>
          <w:p w14:paraId="4F3F1D3E" w14:textId="77777777" w:rsidR="00BE62E4" w:rsidRPr="00D91081" w:rsidRDefault="00BE62E4" w:rsidP="00A33CA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20"/>
                <w:szCs w:val="20"/>
              </w:rPr>
            </w:pPr>
            <w:r w:rsidRPr="00D91081">
              <w:rPr>
                <w:rFonts w:ascii="Arial" w:eastAsia="Times New Roman" w:hAnsi="Arial" w:cs="Arial"/>
                <w:iCs/>
                <w:sz w:val="20"/>
                <w:szCs w:val="20"/>
              </w:rPr>
              <w:t>0,968</w:t>
            </w:r>
          </w:p>
        </w:tc>
        <w:tc>
          <w:tcPr>
            <w:tcW w:w="857" w:type="dxa"/>
            <w:tcBorders>
              <w:top w:val="single" w:sz="4" w:space="0" w:color="auto"/>
              <w:left w:val="single" w:sz="4" w:space="0" w:color="auto"/>
              <w:bottom w:val="single" w:sz="4" w:space="0" w:color="auto"/>
              <w:right w:val="nil"/>
            </w:tcBorders>
            <w:vAlign w:val="center"/>
            <w:hideMark/>
          </w:tcPr>
          <w:p w14:paraId="4351A4D2" w14:textId="77777777" w:rsidR="00BE62E4" w:rsidRPr="00D91081" w:rsidRDefault="00BE62E4" w:rsidP="00A33CA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20"/>
                <w:szCs w:val="20"/>
              </w:rPr>
            </w:pPr>
            <w:r w:rsidRPr="00D91081">
              <w:rPr>
                <w:rFonts w:ascii="Arial" w:eastAsia="Times New Roman" w:hAnsi="Arial" w:cs="Arial"/>
                <w:iCs/>
                <w:sz w:val="20"/>
                <w:szCs w:val="20"/>
              </w:rPr>
              <w:t>0,980</w:t>
            </w:r>
          </w:p>
        </w:tc>
        <w:tc>
          <w:tcPr>
            <w:tcW w:w="1016" w:type="dxa"/>
            <w:tcBorders>
              <w:top w:val="single" w:sz="4" w:space="0" w:color="auto"/>
              <w:left w:val="nil"/>
              <w:bottom w:val="single" w:sz="4" w:space="0" w:color="auto"/>
              <w:right w:val="single" w:sz="4" w:space="0" w:color="auto"/>
            </w:tcBorders>
            <w:vAlign w:val="center"/>
            <w:hideMark/>
          </w:tcPr>
          <w:p w14:paraId="2E2CE934" w14:textId="77777777" w:rsidR="00BE62E4" w:rsidRPr="00D91081" w:rsidRDefault="00BE62E4" w:rsidP="00A33CA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20"/>
                <w:szCs w:val="20"/>
              </w:rPr>
            </w:pPr>
            <w:r w:rsidRPr="00D91081">
              <w:rPr>
                <w:rFonts w:ascii="Arial" w:eastAsia="Times New Roman" w:hAnsi="Arial" w:cs="Arial"/>
                <w:iCs/>
                <w:sz w:val="20"/>
                <w:szCs w:val="20"/>
              </w:rPr>
              <w:t>0,975</w:t>
            </w:r>
          </w:p>
        </w:tc>
        <w:tc>
          <w:tcPr>
            <w:tcW w:w="857" w:type="dxa"/>
            <w:tcBorders>
              <w:top w:val="single" w:sz="4" w:space="0" w:color="auto"/>
              <w:left w:val="single" w:sz="4" w:space="0" w:color="auto"/>
              <w:bottom w:val="single" w:sz="4" w:space="0" w:color="auto"/>
              <w:right w:val="nil"/>
            </w:tcBorders>
            <w:vAlign w:val="center"/>
            <w:hideMark/>
          </w:tcPr>
          <w:p w14:paraId="0BFB2C5C" w14:textId="77777777" w:rsidR="00BE62E4" w:rsidRPr="00D91081" w:rsidRDefault="00BE62E4" w:rsidP="00A33CA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20"/>
                <w:szCs w:val="20"/>
              </w:rPr>
            </w:pPr>
            <w:r w:rsidRPr="00D91081">
              <w:rPr>
                <w:rFonts w:ascii="Arial" w:eastAsia="Times New Roman" w:hAnsi="Arial" w:cs="Arial"/>
                <w:iCs/>
                <w:sz w:val="20"/>
                <w:szCs w:val="20"/>
              </w:rPr>
              <w:t>0</w:t>
            </w:r>
          </w:p>
        </w:tc>
        <w:tc>
          <w:tcPr>
            <w:tcW w:w="1385" w:type="dxa"/>
            <w:tcBorders>
              <w:top w:val="nil"/>
              <w:left w:val="nil"/>
              <w:bottom w:val="single" w:sz="4" w:space="0" w:color="auto"/>
              <w:right w:val="single" w:sz="4" w:space="0" w:color="auto"/>
            </w:tcBorders>
            <w:vAlign w:val="center"/>
            <w:hideMark/>
          </w:tcPr>
          <w:p w14:paraId="3DE18F4D" w14:textId="77777777" w:rsidR="00BE62E4" w:rsidRPr="00D91081" w:rsidRDefault="00BE62E4" w:rsidP="00A33CA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20"/>
                <w:szCs w:val="20"/>
              </w:rPr>
            </w:pPr>
            <w:r w:rsidRPr="00D91081">
              <w:rPr>
                <w:rFonts w:ascii="Arial" w:eastAsia="Times New Roman" w:hAnsi="Arial" w:cs="Arial"/>
                <w:iCs/>
                <w:sz w:val="20"/>
                <w:szCs w:val="20"/>
              </w:rPr>
              <w:t>0,007</w:t>
            </w:r>
          </w:p>
        </w:tc>
        <w:tc>
          <w:tcPr>
            <w:tcW w:w="1615" w:type="dxa"/>
            <w:tcBorders>
              <w:top w:val="nil"/>
              <w:left w:val="single" w:sz="4" w:space="0" w:color="auto"/>
              <w:bottom w:val="single" w:sz="4" w:space="0" w:color="auto"/>
              <w:right w:val="nil"/>
            </w:tcBorders>
            <w:vAlign w:val="center"/>
            <w:hideMark/>
          </w:tcPr>
          <w:p w14:paraId="11435A90" w14:textId="77777777" w:rsidR="00BE62E4" w:rsidRPr="00D91081" w:rsidRDefault="00BE62E4" w:rsidP="00A33CA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20"/>
                <w:szCs w:val="20"/>
              </w:rPr>
            </w:pPr>
            <w:r w:rsidRPr="00D91081">
              <w:rPr>
                <w:rFonts w:ascii="Arial" w:hAnsi="Arial" w:cs="Arial"/>
                <w:iCs/>
                <w:sz w:val="20"/>
                <w:szCs w:val="20"/>
              </w:rPr>
              <w:t>15,9</w:t>
            </w:r>
          </w:p>
        </w:tc>
        <w:bookmarkEnd w:id="2"/>
      </w:tr>
    </w:tbl>
    <w:p w14:paraId="70064397" w14:textId="4AC3B127" w:rsidR="00303D7A" w:rsidRPr="00D91081" w:rsidRDefault="00303D7A" w:rsidP="00D91081">
      <w:pPr>
        <w:spacing w:before="240" w:after="0" w:line="240" w:lineRule="auto"/>
        <w:jc w:val="both"/>
        <w:rPr>
          <w:rFonts w:ascii="Arial" w:hAnsi="Arial" w:cs="Arial"/>
          <w:sz w:val="20"/>
          <w:szCs w:val="20"/>
        </w:rPr>
      </w:pPr>
      <w:r w:rsidRPr="00D91081">
        <w:rPr>
          <w:rFonts w:ascii="Arial" w:hAnsi="Arial" w:cs="Arial"/>
          <w:sz w:val="20"/>
          <w:szCs w:val="20"/>
        </w:rPr>
        <w:t>The metal recovery yields obtained in this study are generally low, suggesting that the operating conditions are not yet optimized. The presence of competing chemical species in the electrolyte may interfere with or limit the effective deposition of copper and aluminum onto the cathode.</w:t>
      </w:r>
    </w:p>
    <w:p w14:paraId="3B5BF3CA" w14:textId="3F09A664" w:rsidR="00303D7A" w:rsidRPr="00D91081" w:rsidRDefault="00303D7A" w:rsidP="00D91081">
      <w:pPr>
        <w:spacing w:after="0" w:line="240" w:lineRule="auto"/>
        <w:jc w:val="both"/>
        <w:rPr>
          <w:rFonts w:ascii="Arial" w:hAnsi="Arial" w:cs="Arial"/>
          <w:sz w:val="20"/>
          <w:szCs w:val="20"/>
        </w:rPr>
      </w:pPr>
      <w:r w:rsidRPr="00D91081">
        <w:rPr>
          <w:rFonts w:ascii="Arial" w:hAnsi="Arial" w:cs="Arial"/>
          <w:sz w:val="20"/>
          <w:szCs w:val="20"/>
        </w:rPr>
        <w:t xml:space="preserve">However, the copper recovery yield (approximately 9%) (Table </w:t>
      </w:r>
      <w:r w:rsidR="003F2D62">
        <w:rPr>
          <w:rFonts w:ascii="Arial" w:hAnsi="Arial" w:cs="Arial"/>
          <w:sz w:val="20"/>
          <w:szCs w:val="20"/>
        </w:rPr>
        <w:t>3</w:t>
      </w:r>
      <w:r w:rsidRPr="00D91081">
        <w:rPr>
          <w:rFonts w:ascii="Arial" w:hAnsi="Arial" w:cs="Arial"/>
          <w:sz w:val="20"/>
          <w:szCs w:val="20"/>
        </w:rPr>
        <w:t xml:space="preserve">) is significantly higher than that obtained by </w:t>
      </w:r>
      <w:proofErr w:type="spellStart"/>
      <w:r w:rsidRPr="00D91081">
        <w:rPr>
          <w:rFonts w:ascii="Arial" w:hAnsi="Arial" w:cs="Arial"/>
          <w:sz w:val="20"/>
          <w:szCs w:val="20"/>
        </w:rPr>
        <w:t>Ratsimba</w:t>
      </w:r>
      <w:proofErr w:type="spellEnd"/>
      <w:r w:rsidRPr="00D91081">
        <w:rPr>
          <w:rFonts w:ascii="Arial" w:hAnsi="Arial" w:cs="Arial"/>
          <w:sz w:val="20"/>
          <w:szCs w:val="20"/>
        </w:rPr>
        <w:t xml:space="preserve"> et al., which was only 0.624% (</w:t>
      </w:r>
      <w:proofErr w:type="spellStart"/>
      <w:r w:rsidRPr="00D91081">
        <w:rPr>
          <w:rFonts w:ascii="Arial" w:hAnsi="Arial" w:cs="Arial"/>
          <w:sz w:val="20"/>
          <w:szCs w:val="20"/>
        </w:rPr>
        <w:t>Ratsimba</w:t>
      </w:r>
      <w:proofErr w:type="spellEnd"/>
      <w:r w:rsidRPr="00D91081">
        <w:rPr>
          <w:rFonts w:ascii="Arial" w:hAnsi="Arial" w:cs="Arial"/>
          <w:sz w:val="20"/>
          <w:szCs w:val="20"/>
        </w:rPr>
        <w:t xml:space="preserve"> et al., 2022). This represents a notable improvement, although still insufficient compared to the expected theoretical yield. This performance suggests that some process conditions (pH, voltage, duration, and nature of the electrolyte) have been partially optimized but could still be improved.</w:t>
      </w:r>
    </w:p>
    <w:p w14:paraId="51A450A4" w14:textId="5C597E9C" w:rsidR="00303D7A" w:rsidRPr="00D91081" w:rsidRDefault="00303D7A" w:rsidP="00D91081">
      <w:pPr>
        <w:spacing w:after="0" w:line="240" w:lineRule="auto"/>
        <w:jc w:val="both"/>
        <w:rPr>
          <w:rFonts w:ascii="Arial" w:hAnsi="Arial" w:cs="Arial"/>
          <w:sz w:val="20"/>
          <w:szCs w:val="20"/>
        </w:rPr>
      </w:pPr>
      <w:r w:rsidRPr="00D91081">
        <w:rPr>
          <w:rFonts w:ascii="Arial" w:hAnsi="Arial" w:cs="Arial"/>
          <w:sz w:val="20"/>
          <w:szCs w:val="20"/>
        </w:rPr>
        <w:t xml:space="preserve">Aluminum shows a higher recovery yield (around 16%) (Table </w:t>
      </w:r>
      <w:r w:rsidR="00D739FE" w:rsidRPr="00D91081">
        <w:rPr>
          <w:rFonts w:ascii="Arial" w:hAnsi="Arial" w:cs="Arial"/>
          <w:sz w:val="20"/>
          <w:szCs w:val="20"/>
        </w:rPr>
        <w:t>2</w:t>
      </w:r>
      <w:r w:rsidRPr="00D91081">
        <w:rPr>
          <w:rFonts w:ascii="Arial" w:hAnsi="Arial" w:cs="Arial"/>
          <w:sz w:val="20"/>
          <w:szCs w:val="20"/>
        </w:rPr>
        <w:t>), which may seem surprising given its chemical reactivity and the stricter conditions normally required for its electrodeposition. This better performance appears to be linked to a longer recovery time compared to copper, highlighting the importance of electrolysis duration in the final yield. However, effective recovery of aluminum remains difficult in conventional aqueous media due to its highly negative standard potential, which suggests that other mechanisms or interfering phenomena may have influenced the result.</w:t>
      </w:r>
    </w:p>
    <w:p w14:paraId="27B68FA0" w14:textId="77777777" w:rsidR="00303D7A" w:rsidRPr="00D91081" w:rsidRDefault="00303D7A" w:rsidP="00D91081">
      <w:pPr>
        <w:spacing w:after="0" w:line="240" w:lineRule="auto"/>
        <w:jc w:val="both"/>
        <w:rPr>
          <w:rFonts w:ascii="Arial" w:hAnsi="Arial" w:cs="Arial"/>
          <w:sz w:val="20"/>
          <w:szCs w:val="20"/>
        </w:rPr>
      </w:pPr>
      <w:r w:rsidRPr="00D91081">
        <w:rPr>
          <w:rFonts w:ascii="Arial" w:hAnsi="Arial" w:cs="Arial"/>
          <w:sz w:val="20"/>
          <w:szCs w:val="20"/>
        </w:rPr>
        <w:t>These findings demonstrate that partial recovery of copper and aluminum from electrolytic solutions derived from WEEE treatment is feasible. However, to achieve significant and economically viable yields at an industrial or semi-industrial scale, precise optimization of electrochemical parameters is essential. Further research is also needed to reduce the effects of competing chemical species and to better understand the deposition mechanisms involved.</w:t>
      </w:r>
    </w:p>
    <w:p w14:paraId="3E395F10" w14:textId="216DE6D2" w:rsidR="008A68F4" w:rsidRPr="00A33CAD" w:rsidRDefault="00303D7A" w:rsidP="00A33CAD">
      <w:pPr>
        <w:pStyle w:val="ListParagraph"/>
        <w:numPr>
          <w:ilvl w:val="2"/>
          <w:numId w:val="1"/>
        </w:numPr>
        <w:spacing w:before="240" w:after="0" w:line="240" w:lineRule="auto"/>
        <w:ind w:left="454" w:hanging="454"/>
        <w:contextualSpacing w:val="0"/>
        <w:jc w:val="both"/>
        <w:rPr>
          <w:rFonts w:ascii="Arial" w:hAnsi="Arial" w:cs="Arial"/>
          <w:b/>
          <w:sz w:val="20"/>
          <w:szCs w:val="20"/>
          <w:u w:val="single"/>
        </w:rPr>
      </w:pPr>
      <w:r w:rsidRPr="00A33CAD">
        <w:rPr>
          <w:rFonts w:ascii="Arial" w:hAnsi="Arial" w:cs="Arial"/>
          <w:b/>
          <w:sz w:val="20"/>
          <w:szCs w:val="20"/>
          <w:u w:val="single"/>
        </w:rPr>
        <w:t>Analysis of the process cost</w:t>
      </w:r>
    </w:p>
    <w:p w14:paraId="3B0D1478" w14:textId="77777777" w:rsidR="008A68F4" w:rsidRPr="00D91081" w:rsidRDefault="008A68F4" w:rsidP="00D91081">
      <w:pPr>
        <w:spacing w:after="0" w:line="240" w:lineRule="auto"/>
        <w:jc w:val="both"/>
        <w:rPr>
          <w:rFonts w:ascii="Arial" w:hAnsi="Arial" w:cs="Arial"/>
          <w:sz w:val="20"/>
          <w:szCs w:val="20"/>
        </w:rPr>
      </w:pPr>
      <w:r w:rsidRPr="00D91081">
        <w:rPr>
          <w:rFonts w:ascii="Arial" w:hAnsi="Arial" w:cs="Arial"/>
          <w:sz w:val="20"/>
          <w:szCs w:val="20"/>
        </w:rPr>
        <w:t>The cost of the process depends on the consumables. In this study, the chemicals used and their respective quantities are: 500 mL of HNO</w:t>
      </w:r>
      <w:r w:rsidRPr="00D91081">
        <w:rPr>
          <w:rFonts w:ascii="Cambria Math" w:hAnsi="Cambria Math" w:cs="Cambria Math"/>
          <w:sz w:val="20"/>
          <w:szCs w:val="20"/>
        </w:rPr>
        <w:t>₃</w:t>
      </w:r>
      <w:r w:rsidRPr="00D91081">
        <w:rPr>
          <w:rFonts w:ascii="Arial" w:hAnsi="Arial" w:cs="Arial"/>
          <w:sz w:val="20"/>
          <w:szCs w:val="20"/>
        </w:rPr>
        <w:t xml:space="preserve"> at 68%, 500 mL of HCl at 38%, 100 g of NaOH, and 5 liters of distilled water. These products are consumed throughout the different stages of the process, from mineralization to the recovery of copper and aluminum.</w:t>
      </w:r>
    </w:p>
    <w:p w14:paraId="7FD71A41" w14:textId="77777777" w:rsidR="008A68F4" w:rsidRPr="00D91081" w:rsidRDefault="008A68F4" w:rsidP="00D91081">
      <w:pPr>
        <w:spacing w:after="0" w:line="240" w:lineRule="auto"/>
        <w:jc w:val="both"/>
        <w:rPr>
          <w:rFonts w:ascii="Arial" w:hAnsi="Arial" w:cs="Arial"/>
          <w:sz w:val="20"/>
          <w:szCs w:val="20"/>
        </w:rPr>
      </w:pPr>
      <w:r w:rsidRPr="00D91081">
        <w:rPr>
          <w:rFonts w:ascii="Arial" w:hAnsi="Arial" w:cs="Arial"/>
          <w:sz w:val="20"/>
          <w:szCs w:val="20"/>
        </w:rPr>
        <w:t xml:space="preserve">With a recovery duration of 9000 seconds for copper and 21600 seconds for aluminum, the energy consumed for copper recovery (0.038 </w:t>
      </w:r>
      <w:proofErr w:type="spellStart"/>
      <w:r w:rsidRPr="00D91081">
        <w:rPr>
          <w:rFonts w:ascii="Arial" w:hAnsi="Arial" w:cs="Arial"/>
          <w:sz w:val="20"/>
          <w:szCs w:val="20"/>
        </w:rPr>
        <w:t>Wh</w:t>
      </w:r>
      <w:proofErr w:type="spellEnd"/>
      <w:r w:rsidRPr="00D91081">
        <w:rPr>
          <w:rFonts w:ascii="Arial" w:hAnsi="Arial" w:cs="Arial"/>
          <w:sz w:val="20"/>
          <w:szCs w:val="20"/>
        </w:rPr>
        <w:t xml:space="preserve">) is lower than that required for aluminum (151 </w:t>
      </w:r>
      <w:proofErr w:type="spellStart"/>
      <w:r w:rsidRPr="00D91081">
        <w:rPr>
          <w:rFonts w:ascii="Arial" w:hAnsi="Arial" w:cs="Arial"/>
          <w:sz w:val="20"/>
          <w:szCs w:val="20"/>
        </w:rPr>
        <w:t>Wh</w:t>
      </w:r>
      <w:proofErr w:type="spellEnd"/>
      <w:r w:rsidRPr="00D91081">
        <w:rPr>
          <w:rFonts w:ascii="Arial" w:hAnsi="Arial" w:cs="Arial"/>
          <w:sz w:val="20"/>
          <w:szCs w:val="20"/>
        </w:rPr>
        <w:t>). This difference can be explained by several factors, notably the difference in electrochemical potential between the two metals, the nature of their complexes in solution, as well as the operating conditions (voltage, duration, pH, etc.). Indeed, copper electrodeposition generally occurs at lower voltages and with faster kinetics compared to aluminum, which often requires more stringent conditions for its reduction.</w:t>
      </w:r>
    </w:p>
    <w:p w14:paraId="6F0C74C0" w14:textId="0F2EB4AE" w:rsidR="008A68F4" w:rsidRPr="00D91081" w:rsidRDefault="008A68F4" w:rsidP="00D91081">
      <w:pPr>
        <w:spacing w:after="0" w:line="240" w:lineRule="auto"/>
        <w:jc w:val="both"/>
        <w:rPr>
          <w:rFonts w:ascii="Arial" w:hAnsi="Arial" w:cs="Arial"/>
          <w:sz w:val="20"/>
          <w:szCs w:val="20"/>
        </w:rPr>
      </w:pPr>
      <w:r w:rsidRPr="00D91081">
        <w:rPr>
          <w:rFonts w:ascii="Arial" w:hAnsi="Arial" w:cs="Arial"/>
          <w:sz w:val="20"/>
          <w:szCs w:val="20"/>
        </w:rPr>
        <w:t>The energy cost and the cost of the chemical products can be evaluated based on the unit costs of each consumable.</w:t>
      </w:r>
    </w:p>
    <w:p w14:paraId="2BB1D676" w14:textId="77777777" w:rsidR="00303D7A" w:rsidRPr="00A33CAD" w:rsidRDefault="00303D7A" w:rsidP="00A33CAD">
      <w:pPr>
        <w:pStyle w:val="ListParagraph"/>
        <w:numPr>
          <w:ilvl w:val="2"/>
          <w:numId w:val="1"/>
        </w:numPr>
        <w:spacing w:before="240" w:after="0" w:line="240" w:lineRule="auto"/>
        <w:ind w:left="454" w:hanging="454"/>
        <w:contextualSpacing w:val="0"/>
        <w:jc w:val="both"/>
        <w:rPr>
          <w:rFonts w:ascii="Arial" w:hAnsi="Arial" w:cs="Arial"/>
          <w:b/>
          <w:sz w:val="20"/>
          <w:szCs w:val="20"/>
          <w:u w:val="single"/>
        </w:rPr>
      </w:pPr>
      <w:r w:rsidRPr="00A33CAD">
        <w:rPr>
          <w:rFonts w:ascii="Arial" w:hAnsi="Arial" w:cs="Arial"/>
          <w:b/>
          <w:sz w:val="20"/>
          <w:szCs w:val="20"/>
          <w:u w:val="single"/>
        </w:rPr>
        <w:t>Environmental impacts analysis</w:t>
      </w:r>
    </w:p>
    <w:p w14:paraId="607D36BF" w14:textId="77777777" w:rsidR="00303D7A" w:rsidRPr="00D91081" w:rsidRDefault="00303D7A" w:rsidP="00D91081">
      <w:pPr>
        <w:spacing w:after="0" w:line="240" w:lineRule="auto"/>
        <w:jc w:val="both"/>
        <w:rPr>
          <w:rFonts w:ascii="Arial" w:hAnsi="Arial" w:cs="Arial"/>
          <w:sz w:val="20"/>
          <w:szCs w:val="20"/>
        </w:rPr>
      </w:pPr>
      <w:r w:rsidRPr="00D91081">
        <w:rPr>
          <w:rFonts w:ascii="Arial" w:hAnsi="Arial" w:cs="Arial"/>
          <w:sz w:val="20"/>
          <w:szCs w:val="20"/>
        </w:rPr>
        <w:t>During the copper and aluminum recovery process, the chemicals were handled with care. Mineralization was carried out under a fume hood, and wastewater was disposed of through the laboratory’s drainage system.</w:t>
      </w:r>
    </w:p>
    <w:p w14:paraId="3EAA1AF9" w14:textId="77777777" w:rsidR="00303D7A" w:rsidRPr="00D91081" w:rsidRDefault="00303D7A" w:rsidP="00D91081">
      <w:pPr>
        <w:spacing w:after="0" w:line="240" w:lineRule="auto"/>
        <w:jc w:val="both"/>
        <w:rPr>
          <w:rFonts w:ascii="Arial" w:hAnsi="Arial" w:cs="Arial"/>
          <w:sz w:val="20"/>
          <w:szCs w:val="20"/>
        </w:rPr>
      </w:pPr>
      <w:r w:rsidRPr="00D91081">
        <w:rPr>
          <w:rFonts w:ascii="Arial" w:hAnsi="Arial" w:cs="Arial"/>
          <w:sz w:val="20"/>
          <w:szCs w:val="20"/>
        </w:rPr>
        <w:t xml:space="preserve">Regarding environmental impact, although the chemicals used can be harmful, their low quantities limit negative effects. Moreover, electricity consumption remains moderate and depends on the national grid, primarily supplied by Togo’s electrical network. Compared to primary metal extraction, which is typically energy-intensive and polluting, this recovery process has a </w:t>
      </w:r>
      <w:r w:rsidRPr="00D91081">
        <w:rPr>
          <w:rFonts w:ascii="Arial" w:hAnsi="Arial" w:cs="Arial"/>
          <w:sz w:val="20"/>
          <w:szCs w:val="20"/>
        </w:rPr>
        <w:lastRenderedPageBreak/>
        <w:t>significantly lower environmental impact. Thus, recycling through this method contributes positively to the sustainable management of metallic resources.</w:t>
      </w:r>
    </w:p>
    <w:p w14:paraId="1ED99747" w14:textId="77777777" w:rsidR="00303D7A" w:rsidRPr="00D91081" w:rsidRDefault="00303D7A" w:rsidP="00D91081">
      <w:pPr>
        <w:spacing w:after="0" w:line="240" w:lineRule="auto"/>
        <w:jc w:val="both"/>
        <w:rPr>
          <w:rFonts w:ascii="Arial" w:hAnsi="Arial" w:cs="Arial"/>
          <w:sz w:val="20"/>
          <w:szCs w:val="20"/>
        </w:rPr>
      </w:pPr>
      <w:r w:rsidRPr="00D91081">
        <w:rPr>
          <w:rFonts w:ascii="Arial" w:hAnsi="Arial" w:cs="Arial"/>
          <w:sz w:val="20"/>
          <w:szCs w:val="20"/>
        </w:rPr>
        <w:t>These results confirm that, despite some limitations, notably the low recovery yield, the process offers a good balance between efficiency, energy cost, and environmental impact, justifying its potential for sustainable valorization of metal waste.</w:t>
      </w:r>
    </w:p>
    <w:p w14:paraId="1C8D49F3" w14:textId="77777777" w:rsidR="00303D7A" w:rsidRPr="00E06C75" w:rsidRDefault="00303D7A" w:rsidP="00E06C75">
      <w:pPr>
        <w:pStyle w:val="ListParagraph"/>
        <w:numPr>
          <w:ilvl w:val="0"/>
          <w:numId w:val="1"/>
        </w:numPr>
        <w:spacing w:before="240" w:after="0" w:line="240" w:lineRule="auto"/>
        <w:ind w:left="283" w:right="113" w:hanging="357"/>
        <w:jc w:val="both"/>
        <w:rPr>
          <w:rFonts w:ascii="Arial" w:hAnsi="Arial" w:cs="Arial"/>
          <w:b/>
          <w:sz w:val="22"/>
          <w:szCs w:val="22"/>
        </w:rPr>
      </w:pPr>
      <w:r w:rsidRPr="00E06C75">
        <w:rPr>
          <w:rFonts w:ascii="Arial" w:hAnsi="Arial" w:cs="Arial"/>
          <w:b/>
          <w:sz w:val="22"/>
          <w:szCs w:val="22"/>
        </w:rPr>
        <w:t xml:space="preserve">CONCLUSION </w:t>
      </w:r>
    </w:p>
    <w:p w14:paraId="735AA9DE" w14:textId="77777777" w:rsidR="00303D7A" w:rsidRPr="00E06C75" w:rsidRDefault="00303D7A" w:rsidP="00E06C75">
      <w:pPr>
        <w:spacing w:after="0" w:line="240" w:lineRule="auto"/>
        <w:contextualSpacing/>
        <w:jc w:val="both"/>
        <w:rPr>
          <w:rFonts w:ascii="Arial" w:hAnsi="Arial" w:cs="Arial"/>
          <w:sz w:val="20"/>
          <w:szCs w:val="20"/>
        </w:rPr>
      </w:pPr>
      <w:r w:rsidRPr="00E06C75">
        <w:rPr>
          <w:rFonts w:ascii="Arial" w:hAnsi="Arial" w:cs="Arial"/>
          <w:sz w:val="20"/>
          <w:szCs w:val="20"/>
        </w:rPr>
        <w:t xml:space="preserve">This study dedicated to the recycling of waste from bulbs enabled the characterization of the metals present in  </w:t>
      </w:r>
      <m:oMath>
        <m:sSub>
          <m:sSubPr>
            <m:ctrlPr>
              <w:rPr>
                <w:rFonts w:ascii="Cambria Math" w:hAnsi="Cambria Math" w:cs="Arial"/>
                <w:iCs/>
                <w:sz w:val="20"/>
                <w:szCs w:val="20"/>
              </w:rPr>
            </m:ctrlPr>
          </m:sSubPr>
          <m:e>
            <m:r>
              <m:rPr>
                <m:sty m:val="p"/>
              </m:rPr>
              <w:rPr>
                <w:rFonts w:ascii="Cambria Math" w:hAnsi="Cambria Math" w:cs="Arial"/>
                <w:sz w:val="20"/>
                <w:szCs w:val="20"/>
              </w:rPr>
              <m:t>B</m:t>
            </m:r>
          </m:e>
          <m:sub>
            <m:r>
              <m:rPr>
                <m:sty m:val="p"/>
              </m:rPr>
              <w:rPr>
                <w:rFonts w:ascii="Cambria Math" w:hAnsi="Cambria Math" w:cs="Arial"/>
                <w:sz w:val="20"/>
                <w:szCs w:val="20"/>
              </w:rPr>
              <m:t>22</m:t>
            </m:r>
          </m:sub>
        </m:sSub>
      </m:oMath>
      <w:r w:rsidRPr="00E06C75">
        <w:rPr>
          <w:rFonts w:ascii="Arial" w:hAnsi="Arial" w:cs="Arial"/>
          <w:sz w:val="20"/>
          <w:szCs w:val="20"/>
        </w:rPr>
        <w:t>-type LED bulbs. It was found that these metals represent approximately 23% of the total mass of these devices, fully justifying the need for their recovery. The study also made it possible to recover copper and aluminum, with respective yields of 9% and 16%. Although these results can be improved, they demonstrate the potential for recovering valuable materials from this waste. To optimize the management of used bulbs, as well as all WEEE, it is essential to establish a structured national plan for the management and recovery of these wastes.</w:t>
      </w:r>
    </w:p>
    <w:p w14:paraId="7833AB7F" w14:textId="44BA725B" w:rsidR="00303D7A" w:rsidRPr="003055AD" w:rsidRDefault="00303D7A" w:rsidP="003055AD">
      <w:pPr>
        <w:spacing w:before="240" w:after="0" w:line="240" w:lineRule="auto"/>
        <w:ind w:right="113"/>
        <w:jc w:val="both"/>
        <w:rPr>
          <w:rFonts w:ascii="Arial" w:hAnsi="Arial" w:cs="Arial"/>
          <w:b/>
          <w:sz w:val="22"/>
          <w:szCs w:val="22"/>
        </w:rPr>
      </w:pPr>
      <w:r w:rsidRPr="003055AD">
        <w:rPr>
          <w:rFonts w:ascii="Arial" w:hAnsi="Arial" w:cs="Arial"/>
          <w:b/>
          <w:sz w:val="22"/>
          <w:szCs w:val="22"/>
        </w:rPr>
        <w:t xml:space="preserve">REFERENCES </w:t>
      </w:r>
    </w:p>
    <w:p w14:paraId="71471F18" w14:textId="77777777" w:rsidR="00303D7A" w:rsidRPr="003055AD" w:rsidRDefault="00303D7A" w:rsidP="003055AD">
      <w:pPr>
        <w:spacing w:after="0" w:line="240" w:lineRule="auto"/>
        <w:ind w:left="720" w:hanging="720"/>
        <w:contextualSpacing/>
        <w:jc w:val="both"/>
        <w:rPr>
          <w:rFonts w:ascii="Arial" w:hAnsi="Arial" w:cs="Arial"/>
          <w:sz w:val="20"/>
          <w:szCs w:val="20"/>
        </w:rPr>
      </w:pPr>
      <w:proofErr w:type="spellStart"/>
      <w:r w:rsidRPr="003055AD">
        <w:rPr>
          <w:rFonts w:ascii="Arial" w:hAnsi="Arial" w:cs="Arial"/>
          <w:sz w:val="20"/>
          <w:szCs w:val="20"/>
        </w:rPr>
        <w:t>Aloueimine</w:t>
      </w:r>
      <w:proofErr w:type="spellEnd"/>
      <w:r w:rsidRPr="003055AD">
        <w:rPr>
          <w:rFonts w:ascii="Arial" w:hAnsi="Arial" w:cs="Arial"/>
          <w:sz w:val="20"/>
          <w:szCs w:val="20"/>
        </w:rPr>
        <w:t>, S. O. (2006, April 13). Methodology for Characterizing Household Waste in Nouakchott (Mauritania): Contribution to Waste Management and Management Support Tools. Limoges.</w:t>
      </w:r>
    </w:p>
    <w:p w14:paraId="5080D494" w14:textId="77777777" w:rsidR="00303D7A" w:rsidRPr="003055AD" w:rsidRDefault="00303D7A" w:rsidP="003055AD">
      <w:pPr>
        <w:spacing w:after="0" w:line="240" w:lineRule="auto"/>
        <w:ind w:left="720" w:hanging="720"/>
        <w:contextualSpacing/>
        <w:jc w:val="both"/>
        <w:rPr>
          <w:rFonts w:ascii="Arial" w:hAnsi="Arial" w:cs="Arial"/>
          <w:sz w:val="20"/>
          <w:szCs w:val="20"/>
        </w:rPr>
      </w:pPr>
      <w:r w:rsidRPr="003055AD">
        <w:rPr>
          <w:rFonts w:ascii="Arial" w:hAnsi="Arial" w:cs="Arial"/>
          <w:sz w:val="20"/>
          <w:szCs w:val="20"/>
        </w:rPr>
        <w:t>Anastas, P. T. &amp; Warner, J. C. (2000). Green Chemistry: Theory and Practice. Oxford University Press.</w:t>
      </w:r>
    </w:p>
    <w:p w14:paraId="79680B27" w14:textId="77777777" w:rsidR="00303D7A" w:rsidRPr="003055AD" w:rsidRDefault="00303D7A" w:rsidP="003055AD">
      <w:pPr>
        <w:spacing w:after="0" w:line="240" w:lineRule="auto"/>
        <w:ind w:left="720" w:hanging="720"/>
        <w:contextualSpacing/>
        <w:jc w:val="both"/>
        <w:rPr>
          <w:rFonts w:ascii="Arial" w:hAnsi="Arial" w:cs="Arial"/>
          <w:sz w:val="20"/>
          <w:szCs w:val="20"/>
          <w:lang w:val="fr-FR"/>
        </w:rPr>
      </w:pPr>
      <w:r w:rsidRPr="003055AD">
        <w:rPr>
          <w:rFonts w:ascii="Arial" w:hAnsi="Arial" w:cs="Arial"/>
          <w:sz w:val="20"/>
          <w:szCs w:val="20"/>
        </w:rPr>
        <w:t xml:space="preserve">Arduin, R. H. (2019). From Waste Management to Secondary Material Supply: Development of Indicators for WEEE Management—Focus on the French Sector (PhD Thesis). </w:t>
      </w:r>
      <w:r w:rsidRPr="003055AD">
        <w:rPr>
          <w:rFonts w:ascii="Arial" w:hAnsi="Arial" w:cs="Arial"/>
          <w:sz w:val="20"/>
          <w:szCs w:val="20"/>
          <w:lang w:val="fr-FR"/>
        </w:rPr>
        <w:t>École Nationale Supérieure d’Arts et Métiers (ENSAM).</w:t>
      </w:r>
    </w:p>
    <w:p w14:paraId="2780CBC2" w14:textId="77777777" w:rsidR="00303D7A" w:rsidRPr="003055AD" w:rsidRDefault="00303D7A" w:rsidP="003055AD">
      <w:pPr>
        <w:spacing w:after="0" w:line="240" w:lineRule="auto"/>
        <w:ind w:left="720" w:hanging="720"/>
        <w:contextualSpacing/>
        <w:jc w:val="both"/>
        <w:rPr>
          <w:rFonts w:ascii="Arial" w:hAnsi="Arial" w:cs="Arial"/>
          <w:sz w:val="20"/>
          <w:szCs w:val="20"/>
        </w:rPr>
      </w:pPr>
      <w:r w:rsidRPr="003055AD">
        <w:rPr>
          <w:rFonts w:ascii="Arial" w:hAnsi="Arial" w:cs="Arial"/>
          <w:sz w:val="20"/>
          <w:szCs w:val="20"/>
          <w:lang w:val="fr-FR"/>
        </w:rPr>
        <w:t xml:space="preserve">Baldé, C. P., </w:t>
      </w:r>
      <w:proofErr w:type="spellStart"/>
      <w:r w:rsidRPr="003055AD">
        <w:rPr>
          <w:rFonts w:ascii="Arial" w:hAnsi="Arial" w:cs="Arial"/>
          <w:sz w:val="20"/>
          <w:szCs w:val="20"/>
          <w:lang w:val="fr-FR"/>
        </w:rPr>
        <w:t>Forti</w:t>
      </w:r>
      <w:proofErr w:type="spellEnd"/>
      <w:r w:rsidRPr="003055AD">
        <w:rPr>
          <w:rFonts w:ascii="Arial" w:hAnsi="Arial" w:cs="Arial"/>
          <w:sz w:val="20"/>
          <w:szCs w:val="20"/>
          <w:lang w:val="fr-FR"/>
        </w:rPr>
        <w:t xml:space="preserve">, V., Gray, V., </w:t>
      </w:r>
      <w:proofErr w:type="spellStart"/>
      <w:r w:rsidRPr="003055AD">
        <w:rPr>
          <w:rFonts w:ascii="Arial" w:hAnsi="Arial" w:cs="Arial"/>
          <w:sz w:val="20"/>
          <w:szCs w:val="20"/>
          <w:lang w:val="fr-FR"/>
        </w:rPr>
        <w:t>Kuehr</w:t>
      </w:r>
      <w:proofErr w:type="spellEnd"/>
      <w:r w:rsidRPr="003055AD">
        <w:rPr>
          <w:rFonts w:ascii="Arial" w:hAnsi="Arial" w:cs="Arial"/>
          <w:sz w:val="20"/>
          <w:szCs w:val="20"/>
          <w:lang w:val="fr-FR"/>
        </w:rPr>
        <w:t xml:space="preserve">, R. &amp; </w:t>
      </w:r>
      <w:proofErr w:type="spellStart"/>
      <w:r w:rsidRPr="003055AD">
        <w:rPr>
          <w:rFonts w:ascii="Arial" w:hAnsi="Arial" w:cs="Arial"/>
          <w:sz w:val="20"/>
          <w:szCs w:val="20"/>
          <w:lang w:val="fr-FR"/>
        </w:rPr>
        <w:t>Stegmann</w:t>
      </w:r>
      <w:proofErr w:type="spellEnd"/>
      <w:r w:rsidRPr="003055AD">
        <w:rPr>
          <w:rFonts w:ascii="Arial" w:hAnsi="Arial" w:cs="Arial"/>
          <w:sz w:val="20"/>
          <w:szCs w:val="20"/>
          <w:lang w:val="fr-FR"/>
        </w:rPr>
        <w:t xml:space="preserve">, P. (2017). </w:t>
      </w:r>
      <w:r w:rsidRPr="003055AD">
        <w:rPr>
          <w:rFonts w:ascii="Arial" w:hAnsi="Arial" w:cs="Arial"/>
          <w:sz w:val="20"/>
          <w:szCs w:val="20"/>
        </w:rPr>
        <w:t>The Global E-Waste Monitor 2017: Quantities, Flows and Resources. United Nations University, International Telecommunication Union.</w:t>
      </w:r>
    </w:p>
    <w:p w14:paraId="13159D3B" w14:textId="77777777" w:rsidR="00303D7A" w:rsidRPr="003055AD" w:rsidRDefault="00303D7A" w:rsidP="003055AD">
      <w:pPr>
        <w:spacing w:after="0" w:line="240" w:lineRule="auto"/>
        <w:ind w:left="720" w:hanging="720"/>
        <w:contextualSpacing/>
        <w:jc w:val="both"/>
        <w:rPr>
          <w:rFonts w:ascii="Arial" w:hAnsi="Arial" w:cs="Arial"/>
          <w:sz w:val="20"/>
          <w:szCs w:val="20"/>
        </w:rPr>
      </w:pPr>
      <w:r w:rsidRPr="003055AD">
        <w:rPr>
          <w:rFonts w:ascii="Arial" w:hAnsi="Arial" w:cs="Arial"/>
          <w:sz w:val="20"/>
          <w:szCs w:val="20"/>
        </w:rPr>
        <w:t>Billy, E. (2012). Application of Ionic Liquids for the Recovery of Precious Metals via Green Chemistry Routes (PhD Thesis). University of Grenoble.</w:t>
      </w:r>
    </w:p>
    <w:p w14:paraId="3F3DAC69" w14:textId="77777777" w:rsidR="00303D7A" w:rsidRPr="003055AD" w:rsidRDefault="00303D7A" w:rsidP="003055AD">
      <w:pPr>
        <w:spacing w:after="0" w:line="240" w:lineRule="auto"/>
        <w:ind w:left="720" w:hanging="720"/>
        <w:contextualSpacing/>
        <w:jc w:val="both"/>
        <w:rPr>
          <w:rFonts w:ascii="Arial" w:hAnsi="Arial" w:cs="Arial"/>
          <w:sz w:val="20"/>
          <w:szCs w:val="20"/>
        </w:rPr>
      </w:pPr>
      <w:proofErr w:type="spellStart"/>
      <w:r w:rsidRPr="003055AD">
        <w:rPr>
          <w:rFonts w:ascii="Arial" w:hAnsi="Arial" w:cs="Arial"/>
          <w:sz w:val="20"/>
          <w:szCs w:val="20"/>
        </w:rPr>
        <w:t>Bonnah</w:t>
      </w:r>
      <w:proofErr w:type="spellEnd"/>
      <w:r w:rsidRPr="003055AD">
        <w:rPr>
          <w:rFonts w:ascii="Arial" w:hAnsi="Arial" w:cs="Arial"/>
          <w:sz w:val="20"/>
          <w:szCs w:val="20"/>
        </w:rPr>
        <w:t>, M. (2018). Physicochemical Characterization of Household Solid Waste in Kara: Evaluation of Per Capita Ratio and Optimization of Technical Management System. Lomé, Togo.</w:t>
      </w:r>
    </w:p>
    <w:p w14:paraId="3C0C1907" w14:textId="77777777" w:rsidR="00303D7A" w:rsidRPr="003055AD" w:rsidRDefault="00303D7A" w:rsidP="003055AD">
      <w:pPr>
        <w:spacing w:after="0" w:line="240" w:lineRule="auto"/>
        <w:ind w:left="720" w:hanging="720"/>
        <w:contextualSpacing/>
        <w:jc w:val="both"/>
        <w:rPr>
          <w:rFonts w:ascii="Arial" w:hAnsi="Arial" w:cs="Arial"/>
          <w:sz w:val="20"/>
          <w:szCs w:val="20"/>
        </w:rPr>
      </w:pPr>
      <w:proofErr w:type="spellStart"/>
      <w:r w:rsidRPr="003055AD">
        <w:rPr>
          <w:rFonts w:ascii="Arial" w:hAnsi="Arial" w:cs="Arial"/>
          <w:sz w:val="20"/>
          <w:szCs w:val="20"/>
        </w:rPr>
        <w:t>Boulmerka</w:t>
      </w:r>
      <w:proofErr w:type="spellEnd"/>
      <w:r w:rsidRPr="003055AD">
        <w:rPr>
          <w:rFonts w:ascii="Arial" w:hAnsi="Arial" w:cs="Arial"/>
          <w:sz w:val="20"/>
          <w:szCs w:val="20"/>
        </w:rPr>
        <w:t>, I. &amp; Kati, N. E. (2020). Feasibility Study for Creating a Waste Treatment Enterprise: Used Lamps (PhD Thesis).</w:t>
      </w:r>
    </w:p>
    <w:p w14:paraId="3728F610" w14:textId="77777777" w:rsidR="00303D7A" w:rsidRPr="003055AD" w:rsidRDefault="00303D7A" w:rsidP="003055AD">
      <w:pPr>
        <w:spacing w:after="0" w:line="240" w:lineRule="auto"/>
        <w:ind w:left="720" w:hanging="720"/>
        <w:contextualSpacing/>
        <w:jc w:val="both"/>
        <w:rPr>
          <w:rFonts w:ascii="Arial" w:hAnsi="Arial" w:cs="Arial"/>
          <w:sz w:val="20"/>
          <w:szCs w:val="20"/>
          <w:lang w:val="fr-FR"/>
        </w:rPr>
      </w:pPr>
      <w:r w:rsidRPr="003055AD">
        <w:rPr>
          <w:rFonts w:ascii="Arial" w:hAnsi="Arial" w:cs="Arial"/>
          <w:sz w:val="20"/>
          <w:szCs w:val="20"/>
        </w:rPr>
        <w:t xml:space="preserve">Charpentier, N. (2024). Electronic Waste Recycling: Sorting and Reuse (PhD Thesis). </w:t>
      </w:r>
      <w:r w:rsidRPr="003055AD">
        <w:rPr>
          <w:rFonts w:ascii="Arial" w:hAnsi="Arial" w:cs="Arial"/>
          <w:sz w:val="20"/>
          <w:szCs w:val="20"/>
          <w:lang w:val="fr-FR"/>
        </w:rPr>
        <w:t>Université Paris-Saclay.</w:t>
      </w:r>
    </w:p>
    <w:p w14:paraId="39749975" w14:textId="77777777" w:rsidR="00303D7A" w:rsidRPr="003055AD" w:rsidRDefault="00303D7A" w:rsidP="003055AD">
      <w:pPr>
        <w:spacing w:after="0" w:line="240" w:lineRule="auto"/>
        <w:ind w:left="720" w:hanging="720"/>
        <w:contextualSpacing/>
        <w:jc w:val="both"/>
        <w:rPr>
          <w:rFonts w:ascii="Arial" w:hAnsi="Arial" w:cs="Arial"/>
          <w:sz w:val="20"/>
          <w:szCs w:val="20"/>
        </w:rPr>
      </w:pPr>
      <w:r w:rsidRPr="003055AD">
        <w:rPr>
          <w:rFonts w:ascii="Arial" w:hAnsi="Arial" w:cs="Arial"/>
          <w:sz w:val="20"/>
          <w:szCs w:val="20"/>
          <w:lang w:val="fr-FR"/>
        </w:rPr>
        <w:t xml:space="preserve">Cortes, M. A. &amp; </w:t>
      </w:r>
      <w:proofErr w:type="spellStart"/>
      <w:r w:rsidRPr="003055AD">
        <w:rPr>
          <w:rFonts w:ascii="Arial" w:hAnsi="Arial" w:cs="Arial"/>
          <w:sz w:val="20"/>
          <w:szCs w:val="20"/>
          <w:lang w:val="fr-FR"/>
        </w:rPr>
        <w:t>Patiño</w:t>
      </w:r>
      <w:proofErr w:type="spellEnd"/>
      <w:r w:rsidRPr="003055AD">
        <w:rPr>
          <w:rFonts w:ascii="Arial" w:hAnsi="Arial" w:cs="Arial"/>
          <w:sz w:val="20"/>
          <w:szCs w:val="20"/>
          <w:lang w:val="fr-FR"/>
        </w:rPr>
        <w:t xml:space="preserve">, M. L. D. (2016). </w:t>
      </w:r>
      <w:r w:rsidRPr="003055AD">
        <w:rPr>
          <w:rFonts w:ascii="Arial" w:hAnsi="Arial" w:cs="Arial"/>
          <w:sz w:val="20"/>
          <w:szCs w:val="20"/>
        </w:rPr>
        <w:t>Recycling of Electronic Waste Using Basic and Acid Leaching. Open Journal of Applied Sciences, 6(03), 169–176. Scientific Research Publishing.</w:t>
      </w:r>
    </w:p>
    <w:p w14:paraId="492FE895" w14:textId="77777777" w:rsidR="00303D7A" w:rsidRPr="003055AD" w:rsidRDefault="00303D7A" w:rsidP="003055AD">
      <w:pPr>
        <w:spacing w:after="0" w:line="240" w:lineRule="auto"/>
        <w:ind w:left="720" w:hanging="720"/>
        <w:contextualSpacing/>
        <w:jc w:val="both"/>
        <w:rPr>
          <w:rFonts w:ascii="Arial" w:hAnsi="Arial" w:cs="Arial"/>
          <w:sz w:val="20"/>
          <w:szCs w:val="20"/>
          <w:lang w:val="fr-FR"/>
        </w:rPr>
      </w:pPr>
      <w:r w:rsidRPr="003055AD">
        <w:rPr>
          <w:rFonts w:ascii="Arial" w:hAnsi="Arial" w:cs="Arial"/>
          <w:sz w:val="20"/>
          <w:szCs w:val="20"/>
        </w:rPr>
        <w:t xml:space="preserve">Cramer, J. (2018, November 21). Study of a Thermal Plasma Process for Extraction, Recovery, and Valorization of Strategic Elements Contained in Waste Electrical and Electronic Equipment-Type Materials (Thesis). </w:t>
      </w:r>
      <w:hyperlink r:id="rId13" w:history="1">
        <w:r w:rsidRPr="003055AD">
          <w:rPr>
            <w:rStyle w:val="Hyperlink"/>
            <w:rFonts w:ascii="Arial" w:hAnsi="Arial" w:cs="Arial"/>
            <w:sz w:val="20"/>
            <w:szCs w:val="20"/>
            <w:lang w:val="fr-FR"/>
          </w:rPr>
          <w:t>http://www.theses.fr</w:t>
        </w:r>
      </w:hyperlink>
      <w:r w:rsidRPr="003055AD">
        <w:rPr>
          <w:rFonts w:ascii="Arial" w:hAnsi="Arial" w:cs="Arial"/>
          <w:sz w:val="20"/>
          <w:szCs w:val="20"/>
          <w:lang w:val="fr-FR"/>
        </w:rPr>
        <w:t>. Paris Sciences et Lettres (</w:t>
      </w:r>
      <w:proofErr w:type="spellStart"/>
      <w:r w:rsidRPr="003055AD">
        <w:rPr>
          <w:rFonts w:ascii="Arial" w:hAnsi="Arial" w:cs="Arial"/>
          <w:sz w:val="20"/>
          <w:szCs w:val="20"/>
          <w:lang w:val="fr-FR"/>
        </w:rPr>
        <w:t>ComUE</w:t>
      </w:r>
      <w:proofErr w:type="spellEnd"/>
      <w:r w:rsidRPr="003055AD">
        <w:rPr>
          <w:rFonts w:ascii="Arial" w:hAnsi="Arial" w:cs="Arial"/>
          <w:sz w:val="20"/>
          <w:szCs w:val="20"/>
          <w:lang w:val="fr-FR"/>
        </w:rPr>
        <w:t>).</w:t>
      </w:r>
    </w:p>
    <w:p w14:paraId="4DFA761E" w14:textId="77777777" w:rsidR="00303D7A" w:rsidRPr="003055AD" w:rsidRDefault="00303D7A" w:rsidP="003055AD">
      <w:pPr>
        <w:spacing w:after="0" w:line="240" w:lineRule="auto"/>
        <w:ind w:left="720" w:hanging="720"/>
        <w:contextualSpacing/>
        <w:jc w:val="both"/>
        <w:rPr>
          <w:rFonts w:ascii="Arial" w:hAnsi="Arial" w:cs="Arial"/>
          <w:sz w:val="20"/>
          <w:szCs w:val="20"/>
        </w:rPr>
      </w:pPr>
      <w:proofErr w:type="spellStart"/>
      <w:r w:rsidRPr="003055AD">
        <w:rPr>
          <w:rFonts w:ascii="Arial" w:hAnsi="Arial" w:cs="Arial"/>
          <w:sz w:val="20"/>
          <w:szCs w:val="20"/>
          <w:lang w:val="fr-FR"/>
        </w:rPr>
        <w:t>Dedryver</w:t>
      </w:r>
      <w:proofErr w:type="spellEnd"/>
      <w:r w:rsidRPr="003055AD">
        <w:rPr>
          <w:rFonts w:ascii="Arial" w:hAnsi="Arial" w:cs="Arial"/>
          <w:sz w:val="20"/>
          <w:szCs w:val="20"/>
          <w:lang w:val="fr-FR"/>
        </w:rPr>
        <w:t xml:space="preserve">, L. &amp; </w:t>
      </w:r>
      <w:proofErr w:type="spellStart"/>
      <w:r w:rsidRPr="003055AD">
        <w:rPr>
          <w:rFonts w:ascii="Arial" w:hAnsi="Arial" w:cs="Arial"/>
          <w:sz w:val="20"/>
          <w:szCs w:val="20"/>
          <w:lang w:val="fr-FR"/>
        </w:rPr>
        <w:t>Couric</w:t>
      </w:r>
      <w:proofErr w:type="spellEnd"/>
      <w:r w:rsidRPr="003055AD">
        <w:rPr>
          <w:rFonts w:ascii="Arial" w:hAnsi="Arial" w:cs="Arial"/>
          <w:sz w:val="20"/>
          <w:szCs w:val="20"/>
          <w:lang w:val="fr-FR"/>
        </w:rPr>
        <w:t xml:space="preserve">, V. (2020). </w:t>
      </w:r>
      <w:r w:rsidRPr="003055AD">
        <w:rPr>
          <w:rFonts w:ascii="Arial" w:hAnsi="Arial" w:cs="Arial"/>
          <w:sz w:val="20"/>
          <w:szCs w:val="20"/>
        </w:rPr>
        <w:t xml:space="preserve">Metal Consumption in the Digital Sector: A Far from Dematerialized Industry. France </w:t>
      </w:r>
      <w:proofErr w:type="spellStart"/>
      <w:r w:rsidRPr="003055AD">
        <w:rPr>
          <w:rFonts w:ascii="Arial" w:hAnsi="Arial" w:cs="Arial"/>
          <w:sz w:val="20"/>
          <w:szCs w:val="20"/>
        </w:rPr>
        <w:t>Stratégie</w:t>
      </w:r>
      <w:proofErr w:type="spellEnd"/>
      <w:r w:rsidRPr="003055AD">
        <w:rPr>
          <w:rFonts w:ascii="Arial" w:hAnsi="Arial" w:cs="Arial"/>
          <w:sz w:val="20"/>
          <w:szCs w:val="20"/>
        </w:rPr>
        <w:t xml:space="preserve">. Retrieved from </w:t>
      </w:r>
      <w:hyperlink r:id="rId14" w:history="1">
        <w:r w:rsidRPr="003055AD">
          <w:rPr>
            <w:rStyle w:val="Hyperlink"/>
            <w:rFonts w:ascii="Arial" w:hAnsi="Arial" w:cs="Arial"/>
            <w:sz w:val="20"/>
            <w:szCs w:val="20"/>
          </w:rPr>
          <w:t>https://www.strategie.gouv.fr/files/files/Publications/2020/DT%20num%C3%A9rique%20m%C3%A9taux/fs-2020-dt-consommation-metaux-du-numerique-juin.pdf</w:t>
        </w:r>
      </w:hyperlink>
    </w:p>
    <w:p w14:paraId="1C923C82" w14:textId="77777777" w:rsidR="00303D7A" w:rsidRPr="003055AD" w:rsidRDefault="00303D7A" w:rsidP="003055AD">
      <w:pPr>
        <w:spacing w:after="0" w:line="240" w:lineRule="auto"/>
        <w:ind w:left="720" w:hanging="720"/>
        <w:contextualSpacing/>
        <w:jc w:val="both"/>
        <w:rPr>
          <w:rFonts w:ascii="Arial" w:hAnsi="Arial" w:cs="Arial"/>
          <w:sz w:val="20"/>
          <w:szCs w:val="20"/>
          <w:lang w:val="fr-FR"/>
        </w:rPr>
      </w:pPr>
      <w:r w:rsidRPr="003055AD">
        <w:rPr>
          <w:rFonts w:ascii="Arial" w:hAnsi="Arial" w:cs="Arial"/>
          <w:sz w:val="20"/>
          <w:szCs w:val="20"/>
          <w:lang w:val="fr-FR"/>
        </w:rPr>
        <w:t xml:space="preserve">Dias, J., Silva, A. G. P., </w:t>
      </w:r>
      <w:proofErr w:type="spellStart"/>
      <w:r w:rsidRPr="003055AD">
        <w:rPr>
          <w:rFonts w:ascii="Arial" w:hAnsi="Arial" w:cs="Arial"/>
          <w:sz w:val="20"/>
          <w:szCs w:val="20"/>
          <w:lang w:val="fr-FR"/>
        </w:rPr>
        <w:t>Holanda</w:t>
      </w:r>
      <w:proofErr w:type="spellEnd"/>
      <w:r w:rsidRPr="003055AD">
        <w:rPr>
          <w:rFonts w:ascii="Arial" w:hAnsi="Arial" w:cs="Arial"/>
          <w:sz w:val="20"/>
          <w:szCs w:val="20"/>
          <w:lang w:val="fr-FR"/>
        </w:rPr>
        <w:t xml:space="preserve">, J. N. F. de, </w:t>
      </w:r>
      <w:proofErr w:type="spellStart"/>
      <w:r w:rsidRPr="003055AD">
        <w:rPr>
          <w:rFonts w:ascii="Arial" w:hAnsi="Arial" w:cs="Arial"/>
          <w:sz w:val="20"/>
          <w:szCs w:val="20"/>
          <w:lang w:val="fr-FR"/>
        </w:rPr>
        <w:t>Delatorre</w:t>
      </w:r>
      <w:proofErr w:type="spellEnd"/>
      <w:r w:rsidRPr="003055AD">
        <w:rPr>
          <w:rFonts w:ascii="Arial" w:hAnsi="Arial" w:cs="Arial"/>
          <w:sz w:val="20"/>
          <w:szCs w:val="20"/>
          <w:lang w:val="fr-FR"/>
        </w:rPr>
        <w:t xml:space="preserve">, F. M., </w:t>
      </w:r>
      <w:proofErr w:type="spellStart"/>
      <w:r w:rsidRPr="003055AD">
        <w:rPr>
          <w:rFonts w:ascii="Arial" w:hAnsi="Arial" w:cs="Arial"/>
          <w:sz w:val="20"/>
          <w:szCs w:val="20"/>
          <w:lang w:val="fr-FR"/>
        </w:rPr>
        <w:t>Conceição</w:t>
      </w:r>
      <w:proofErr w:type="spellEnd"/>
      <w:r w:rsidRPr="003055AD">
        <w:rPr>
          <w:rFonts w:ascii="Arial" w:hAnsi="Arial" w:cs="Arial"/>
          <w:sz w:val="20"/>
          <w:szCs w:val="20"/>
          <w:lang w:val="fr-FR"/>
        </w:rPr>
        <w:t>, A. O. da, Miranda</w:t>
      </w:r>
    </w:p>
    <w:p w14:paraId="31281860" w14:textId="77777777" w:rsidR="00303D7A" w:rsidRPr="003055AD" w:rsidRDefault="00303D7A" w:rsidP="003055AD">
      <w:pPr>
        <w:spacing w:after="0" w:line="240" w:lineRule="auto"/>
        <w:ind w:left="720" w:hanging="720"/>
        <w:contextualSpacing/>
        <w:jc w:val="both"/>
        <w:rPr>
          <w:rFonts w:ascii="Arial" w:hAnsi="Arial" w:cs="Arial"/>
          <w:sz w:val="20"/>
          <w:szCs w:val="20"/>
        </w:rPr>
      </w:pPr>
      <w:proofErr w:type="spellStart"/>
      <w:r w:rsidRPr="003055AD">
        <w:rPr>
          <w:rFonts w:ascii="Arial" w:hAnsi="Arial" w:cs="Arial"/>
          <w:sz w:val="20"/>
          <w:szCs w:val="20"/>
          <w:lang w:val="fr-FR"/>
        </w:rPr>
        <w:t>Júnior</w:t>
      </w:r>
      <w:proofErr w:type="spellEnd"/>
      <w:r w:rsidRPr="003055AD">
        <w:rPr>
          <w:rFonts w:ascii="Arial" w:hAnsi="Arial" w:cs="Arial"/>
          <w:sz w:val="20"/>
          <w:szCs w:val="20"/>
          <w:lang w:val="fr-FR"/>
        </w:rPr>
        <w:t xml:space="preserve">, G. M. de, </w:t>
      </w:r>
      <w:proofErr w:type="spellStart"/>
      <w:r w:rsidRPr="003055AD">
        <w:rPr>
          <w:rFonts w:ascii="Arial" w:hAnsi="Arial" w:cs="Arial"/>
          <w:sz w:val="20"/>
          <w:szCs w:val="20"/>
          <w:lang w:val="fr-FR"/>
        </w:rPr>
        <w:t>Futuro</w:t>
      </w:r>
      <w:proofErr w:type="spellEnd"/>
      <w:r w:rsidRPr="003055AD">
        <w:rPr>
          <w:rFonts w:ascii="Arial" w:hAnsi="Arial" w:cs="Arial"/>
          <w:sz w:val="20"/>
          <w:szCs w:val="20"/>
          <w:lang w:val="fr-FR"/>
        </w:rPr>
        <w:t xml:space="preserve">, A., et al. </w:t>
      </w:r>
      <w:r w:rsidRPr="003055AD">
        <w:rPr>
          <w:rFonts w:ascii="Arial" w:hAnsi="Arial" w:cs="Arial"/>
          <w:sz w:val="20"/>
          <w:szCs w:val="20"/>
        </w:rPr>
        <w:t>(2023). Environmental and Technological Assessment of Operations for Extraction and Concentration of Metals in Electronic Waste. Sustainability, 15(17), 13175. MDPI.</w:t>
      </w:r>
    </w:p>
    <w:p w14:paraId="6A3BE9D9" w14:textId="77777777" w:rsidR="00303D7A" w:rsidRPr="003055AD" w:rsidRDefault="00303D7A" w:rsidP="003055AD">
      <w:pPr>
        <w:spacing w:after="0" w:line="240" w:lineRule="auto"/>
        <w:ind w:left="720" w:hanging="720"/>
        <w:contextualSpacing/>
        <w:jc w:val="both"/>
        <w:rPr>
          <w:rFonts w:ascii="Arial" w:hAnsi="Arial" w:cs="Arial"/>
          <w:sz w:val="20"/>
          <w:szCs w:val="20"/>
        </w:rPr>
      </w:pPr>
      <w:r w:rsidRPr="003055AD">
        <w:rPr>
          <w:rFonts w:ascii="Arial" w:hAnsi="Arial" w:cs="Arial"/>
          <w:sz w:val="20"/>
          <w:szCs w:val="20"/>
        </w:rPr>
        <w:t>Dieng, D., Diop, C., Sonko, E. hadji M., Gning, J. B., Djitte, M. &amp; Gassama, C. I. D. (2018). Management of Electrical and Electronic Equipment Waste in Senegal: Stakeholders and Organizational Strategy of the Sector. Int. J. Bio. Chem. Sci, 11(5), 2393. doi:10.4314/</w:t>
      </w:r>
      <w:proofErr w:type="gramStart"/>
      <w:r w:rsidRPr="003055AD">
        <w:rPr>
          <w:rFonts w:ascii="Arial" w:hAnsi="Arial" w:cs="Arial"/>
          <w:sz w:val="20"/>
          <w:szCs w:val="20"/>
        </w:rPr>
        <w:t>ijbcs.v</w:t>
      </w:r>
      <w:proofErr w:type="gramEnd"/>
      <w:r w:rsidRPr="003055AD">
        <w:rPr>
          <w:rFonts w:ascii="Arial" w:hAnsi="Arial" w:cs="Arial"/>
          <w:sz w:val="20"/>
          <w:szCs w:val="20"/>
        </w:rPr>
        <w:t>11i5.35</w:t>
      </w:r>
    </w:p>
    <w:p w14:paraId="178714E8" w14:textId="77777777" w:rsidR="00303D7A" w:rsidRPr="003055AD" w:rsidRDefault="00303D7A" w:rsidP="003055AD">
      <w:pPr>
        <w:spacing w:after="0" w:line="240" w:lineRule="auto"/>
        <w:ind w:left="720" w:hanging="720"/>
        <w:contextualSpacing/>
        <w:jc w:val="both"/>
        <w:rPr>
          <w:rFonts w:ascii="Arial" w:hAnsi="Arial" w:cs="Arial"/>
          <w:sz w:val="20"/>
          <w:szCs w:val="20"/>
        </w:rPr>
      </w:pPr>
      <w:r w:rsidRPr="003055AD">
        <w:rPr>
          <w:rFonts w:ascii="Arial" w:hAnsi="Arial" w:cs="Arial"/>
          <w:sz w:val="20"/>
          <w:szCs w:val="20"/>
        </w:rPr>
        <w:t>Duan, C. L., Diao, Z. J., Zhao, Y. M. &amp; Huang, W. (2015). Liberation of Valuable Materials in Waste Printed Circuit Boards by High-Voltage Electrical Pulses. Minerals Engineering, 70, 170–177. Elsevier.</w:t>
      </w:r>
    </w:p>
    <w:p w14:paraId="3439D16A" w14:textId="77777777" w:rsidR="00303D7A" w:rsidRPr="003055AD" w:rsidRDefault="00303D7A" w:rsidP="003055AD">
      <w:pPr>
        <w:spacing w:after="0" w:line="240" w:lineRule="auto"/>
        <w:ind w:left="720" w:hanging="720"/>
        <w:contextualSpacing/>
        <w:jc w:val="both"/>
        <w:rPr>
          <w:rFonts w:ascii="Arial" w:hAnsi="Arial" w:cs="Arial"/>
          <w:sz w:val="20"/>
          <w:szCs w:val="20"/>
        </w:rPr>
      </w:pPr>
      <w:r w:rsidRPr="003055AD">
        <w:rPr>
          <w:rFonts w:ascii="Arial" w:hAnsi="Arial" w:cs="Arial"/>
          <w:sz w:val="20"/>
          <w:szCs w:val="20"/>
        </w:rPr>
        <w:lastRenderedPageBreak/>
        <w:t>Duan, H., Hou, K., Li, J. &amp; Zhu, X. (2011). Examining the Technology Acceptance for Dismantling of Waste Printed Circuit Boards in Light of Recycling and Environmental Concerns. Journal of Environmental Management, 92(3), 392–399. Elsevier.</w:t>
      </w:r>
    </w:p>
    <w:p w14:paraId="29238DC6" w14:textId="77777777" w:rsidR="00303D7A" w:rsidRPr="003055AD" w:rsidRDefault="00303D7A" w:rsidP="003055AD">
      <w:pPr>
        <w:spacing w:after="0" w:line="240" w:lineRule="auto"/>
        <w:ind w:left="720" w:hanging="720"/>
        <w:contextualSpacing/>
        <w:jc w:val="both"/>
        <w:rPr>
          <w:rFonts w:ascii="Arial" w:hAnsi="Arial" w:cs="Arial"/>
          <w:sz w:val="20"/>
          <w:szCs w:val="20"/>
        </w:rPr>
      </w:pPr>
      <w:r w:rsidRPr="003055AD">
        <w:rPr>
          <w:rFonts w:ascii="Arial" w:hAnsi="Arial" w:cs="Arial"/>
          <w:sz w:val="20"/>
          <w:szCs w:val="20"/>
        </w:rPr>
        <w:t>El Bouchtioui, L. (2017). Is Recycling the Only Solution for Sustainable Management of Electrical and Electronic Equipment Waste? Study of the Impact of Regulatory Context and Public Policies on the Sectors Developed in France. Environment, Engineering &amp; Development. Episciences.org.</w:t>
      </w:r>
    </w:p>
    <w:p w14:paraId="5402BC98" w14:textId="77777777" w:rsidR="00303D7A" w:rsidRPr="003055AD" w:rsidRDefault="00303D7A" w:rsidP="003055AD">
      <w:pPr>
        <w:spacing w:after="0" w:line="240" w:lineRule="auto"/>
        <w:ind w:left="720" w:hanging="720"/>
        <w:contextualSpacing/>
        <w:jc w:val="both"/>
        <w:rPr>
          <w:rFonts w:ascii="Arial" w:hAnsi="Arial" w:cs="Arial"/>
          <w:sz w:val="20"/>
          <w:szCs w:val="20"/>
        </w:rPr>
      </w:pPr>
      <w:r w:rsidRPr="003055AD">
        <w:rPr>
          <w:rFonts w:ascii="Arial" w:hAnsi="Arial" w:cs="Arial"/>
          <w:sz w:val="20"/>
          <w:szCs w:val="20"/>
        </w:rPr>
        <w:t xml:space="preserve">Forti, V., Baldé, C. P., </w:t>
      </w:r>
      <w:proofErr w:type="spellStart"/>
      <w:r w:rsidRPr="003055AD">
        <w:rPr>
          <w:rFonts w:ascii="Arial" w:hAnsi="Arial" w:cs="Arial"/>
          <w:sz w:val="20"/>
          <w:szCs w:val="20"/>
        </w:rPr>
        <w:t>Kuehr</w:t>
      </w:r>
      <w:proofErr w:type="spellEnd"/>
      <w:r w:rsidRPr="003055AD">
        <w:rPr>
          <w:rFonts w:ascii="Arial" w:hAnsi="Arial" w:cs="Arial"/>
          <w:sz w:val="20"/>
          <w:szCs w:val="20"/>
        </w:rPr>
        <w:t>, R. &amp; Bel, G. (2020). Global Monitoring of Electrical and Electronic Equipment Waste for 2020: Quantities, Flows and Opportunities Offered by the Circular Economy. United Nations University / United Nations Institute for Training and Research – SCYCLE Program Co-administered by the International Telecommunication Union and the International Solid Waste Association, Bonn/Geneva/Rotterdam. 123 p.</w:t>
      </w:r>
    </w:p>
    <w:p w14:paraId="080A00FE" w14:textId="77777777" w:rsidR="00303D7A" w:rsidRPr="003055AD" w:rsidRDefault="00303D7A" w:rsidP="003055AD">
      <w:pPr>
        <w:spacing w:after="0" w:line="240" w:lineRule="auto"/>
        <w:ind w:left="720" w:hanging="720"/>
        <w:contextualSpacing/>
        <w:jc w:val="both"/>
        <w:rPr>
          <w:rFonts w:ascii="Arial" w:hAnsi="Arial" w:cs="Arial"/>
          <w:sz w:val="20"/>
          <w:szCs w:val="20"/>
        </w:rPr>
      </w:pPr>
      <w:proofErr w:type="spellStart"/>
      <w:r w:rsidRPr="003055AD">
        <w:rPr>
          <w:rFonts w:ascii="Arial" w:hAnsi="Arial" w:cs="Arial"/>
          <w:sz w:val="20"/>
          <w:szCs w:val="20"/>
        </w:rPr>
        <w:t>Gnane</w:t>
      </w:r>
      <w:proofErr w:type="spellEnd"/>
      <w:r w:rsidRPr="003055AD">
        <w:rPr>
          <w:rFonts w:ascii="Arial" w:hAnsi="Arial" w:cs="Arial"/>
          <w:sz w:val="20"/>
          <w:szCs w:val="20"/>
        </w:rPr>
        <w:t>, N. M. (2017). Electronic Waste Management and Environmental Challenges in Togo. ResearchGate, 2(009 December 2017), 24.</w:t>
      </w:r>
    </w:p>
    <w:p w14:paraId="02D4C7B9" w14:textId="77777777" w:rsidR="00303D7A" w:rsidRPr="003055AD" w:rsidRDefault="00303D7A" w:rsidP="003055AD">
      <w:pPr>
        <w:spacing w:after="0" w:line="240" w:lineRule="auto"/>
        <w:ind w:left="720" w:hanging="720"/>
        <w:contextualSpacing/>
        <w:jc w:val="both"/>
        <w:rPr>
          <w:rFonts w:ascii="Arial" w:hAnsi="Arial" w:cs="Arial"/>
          <w:sz w:val="20"/>
          <w:szCs w:val="20"/>
        </w:rPr>
      </w:pPr>
      <w:r w:rsidRPr="003055AD">
        <w:rPr>
          <w:rFonts w:ascii="Arial" w:hAnsi="Arial" w:cs="Arial"/>
          <w:sz w:val="20"/>
          <w:szCs w:val="20"/>
        </w:rPr>
        <w:t>Guilhem, B. (2006). Development and Characterization of a Hydrophobic Solid for the Study of Hydrodynamic Slip Conditions at the Solid-Liquid Interface. Final Year Physics Thesis, Université Claude Bernard Lyon 1.</w:t>
      </w:r>
    </w:p>
    <w:p w14:paraId="37FEC792" w14:textId="77777777" w:rsidR="00303D7A" w:rsidRPr="003055AD" w:rsidRDefault="00303D7A" w:rsidP="003055AD">
      <w:pPr>
        <w:spacing w:after="0" w:line="240" w:lineRule="auto"/>
        <w:ind w:left="720" w:hanging="720"/>
        <w:contextualSpacing/>
        <w:jc w:val="both"/>
        <w:rPr>
          <w:rFonts w:ascii="Arial" w:hAnsi="Arial" w:cs="Arial"/>
          <w:sz w:val="20"/>
          <w:szCs w:val="20"/>
        </w:rPr>
      </w:pPr>
      <w:proofErr w:type="spellStart"/>
      <w:r w:rsidRPr="003055AD">
        <w:rPr>
          <w:rFonts w:ascii="Arial" w:hAnsi="Arial" w:cs="Arial"/>
          <w:sz w:val="20"/>
          <w:szCs w:val="20"/>
        </w:rPr>
        <w:t>Harrou</w:t>
      </w:r>
      <w:proofErr w:type="spellEnd"/>
      <w:r w:rsidRPr="003055AD">
        <w:rPr>
          <w:rFonts w:ascii="Arial" w:hAnsi="Arial" w:cs="Arial"/>
          <w:sz w:val="20"/>
          <w:szCs w:val="20"/>
        </w:rPr>
        <w:t xml:space="preserve">, A., Gharibi, E. K., Taha, Y., Fagel, N. &amp; El Ouahabi, M. (2020). </w:t>
      </w:r>
      <w:proofErr w:type="spellStart"/>
      <w:r w:rsidRPr="003055AD">
        <w:rPr>
          <w:rFonts w:ascii="Arial" w:hAnsi="Arial" w:cs="Arial"/>
          <w:sz w:val="20"/>
          <w:szCs w:val="20"/>
        </w:rPr>
        <w:t>Phosphogypsum</w:t>
      </w:r>
      <w:proofErr w:type="spellEnd"/>
      <w:r w:rsidRPr="003055AD">
        <w:rPr>
          <w:rFonts w:ascii="Arial" w:hAnsi="Arial" w:cs="Arial"/>
          <w:sz w:val="20"/>
          <w:szCs w:val="20"/>
        </w:rPr>
        <w:t xml:space="preserve"> and Black Steel Slag as Additives for Ecological Bentonite-Based Materials: Microstructure and Characterization. Minerals, 10(12), 1067. doi:10.3390/min10121067</w:t>
      </w:r>
    </w:p>
    <w:p w14:paraId="443AEAD5" w14:textId="77777777" w:rsidR="00303D7A" w:rsidRPr="003055AD" w:rsidRDefault="00303D7A" w:rsidP="003055AD">
      <w:pPr>
        <w:spacing w:after="0" w:line="240" w:lineRule="auto"/>
        <w:ind w:left="720" w:hanging="720"/>
        <w:contextualSpacing/>
        <w:jc w:val="both"/>
        <w:rPr>
          <w:rFonts w:ascii="Arial" w:hAnsi="Arial" w:cs="Arial"/>
          <w:sz w:val="20"/>
          <w:szCs w:val="20"/>
        </w:rPr>
      </w:pPr>
      <w:r w:rsidRPr="003055AD">
        <w:rPr>
          <w:rFonts w:ascii="Arial" w:hAnsi="Arial" w:cs="Arial"/>
          <w:sz w:val="20"/>
          <w:szCs w:val="20"/>
        </w:rPr>
        <w:t xml:space="preserve">Hu, J., Xiao, Z., Zhou, R., Deng, W., Wang, M. &amp; Ma, S. (2011). Ecological Utilization of Leather Tannery Waste with Circular Economy Model. Journal of Cleaner Production, 19(2–3), 221–228. </w:t>
      </w:r>
      <w:proofErr w:type="gramStart"/>
      <w:r w:rsidRPr="003055AD">
        <w:rPr>
          <w:rFonts w:ascii="Arial" w:hAnsi="Arial" w:cs="Arial"/>
          <w:sz w:val="20"/>
          <w:szCs w:val="20"/>
        </w:rPr>
        <w:t>doi:10.1016/j.jclepro</w:t>
      </w:r>
      <w:proofErr w:type="gramEnd"/>
      <w:r w:rsidRPr="003055AD">
        <w:rPr>
          <w:rFonts w:ascii="Arial" w:hAnsi="Arial" w:cs="Arial"/>
          <w:sz w:val="20"/>
          <w:szCs w:val="20"/>
        </w:rPr>
        <w:t>.2010.09.018</w:t>
      </w:r>
    </w:p>
    <w:p w14:paraId="234FC01A" w14:textId="77777777" w:rsidR="00303D7A" w:rsidRPr="003055AD" w:rsidRDefault="00303D7A" w:rsidP="003055AD">
      <w:pPr>
        <w:spacing w:after="0" w:line="240" w:lineRule="auto"/>
        <w:ind w:left="720" w:hanging="720"/>
        <w:contextualSpacing/>
        <w:jc w:val="both"/>
        <w:rPr>
          <w:rFonts w:ascii="Arial" w:hAnsi="Arial" w:cs="Arial"/>
          <w:sz w:val="20"/>
          <w:szCs w:val="20"/>
        </w:rPr>
      </w:pPr>
      <w:r w:rsidRPr="003055AD">
        <w:rPr>
          <w:rFonts w:ascii="Arial" w:hAnsi="Arial" w:cs="Arial"/>
          <w:sz w:val="20"/>
          <w:szCs w:val="20"/>
        </w:rPr>
        <w:t xml:space="preserve">INRS. (2021). </w:t>
      </w:r>
      <w:proofErr w:type="spellStart"/>
      <w:r w:rsidRPr="003055AD">
        <w:rPr>
          <w:rFonts w:ascii="Arial" w:hAnsi="Arial" w:cs="Arial"/>
          <w:sz w:val="20"/>
          <w:szCs w:val="20"/>
        </w:rPr>
        <w:t>Aluminium</w:t>
      </w:r>
      <w:proofErr w:type="spellEnd"/>
      <w:r w:rsidRPr="003055AD">
        <w:rPr>
          <w:rFonts w:ascii="Arial" w:hAnsi="Arial" w:cs="Arial"/>
          <w:sz w:val="20"/>
          <w:szCs w:val="20"/>
        </w:rPr>
        <w:t xml:space="preserve"> and its Mineral Compounds. </w:t>
      </w:r>
    </w:p>
    <w:p w14:paraId="45896D4D" w14:textId="77777777" w:rsidR="00303D7A" w:rsidRPr="003055AD" w:rsidRDefault="00303D7A" w:rsidP="003055AD">
      <w:pPr>
        <w:spacing w:after="0" w:line="240" w:lineRule="auto"/>
        <w:ind w:left="720" w:hanging="720"/>
        <w:contextualSpacing/>
        <w:jc w:val="both"/>
        <w:rPr>
          <w:rFonts w:ascii="Arial" w:hAnsi="Arial" w:cs="Arial"/>
          <w:sz w:val="20"/>
          <w:szCs w:val="20"/>
        </w:rPr>
      </w:pPr>
      <w:r w:rsidRPr="003055AD">
        <w:rPr>
          <w:rFonts w:ascii="Arial" w:hAnsi="Arial" w:cs="Arial"/>
          <w:sz w:val="20"/>
          <w:szCs w:val="20"/>
        </w:rPr>
        <w:t>International Copper Study Group. (2020). The World Copper Factbook 2020.</w:t>
      </w:r>
    </w:p>
    <w:p w14:paraId="4433043B" w14:textId="77777777" w:rsidR="00303D7A" w:rsidRPr="003055AD" w:rsidRDefault="00303D7A" w:rsidP="003055AD">
      <w:pPr>
        <w:spacing w:after="0" w:line="240" w:lineRule="auto"/>
        <w:ind w:left="720" w:hanging="720"/>
        <w:contextualSpacing/>
        <w:jc w:val="both"/>
        <w:rPr>
          <w:rFonts w:ascii="Arial" w:hAnsi="Arial" w:cs="Arial"/>
          <w:sz w:val="20"/>
          <w:szCs w:val="20"/>
        </w:rPr>
      </w:pPr>
      <w:r w:rsidRPr="003055AD">
        <w:rPr>
          <w:rFonts w:ascii="Arial" w:hAnsi="Arial" w:cs="Arial"/>
          <w:sz w:val="20"/>
          <w:szCs w:val="20"/>
        </w:rPr>
        <w:t>Khouloud, K. &amp; Zouari, A. (2018). Management of Electrical and Electronic Equipment Waste in a Circular Economy Framework: Comparative Analysis Between Europe, China, and Tunisia. ResearchGate.</w:t>
      </w:r>
    </w:p>
    <w:p w14:paraId="74361C6E" w14:textId="77777777" w:rsidR="00303D7A" w:rsidRPr="003055AD" w:rsidRDefault="00303D7A" w:rsidP="003055AD">
      <w:pPr>
        <w:spacing w:after="0" w:line="240" w:lineRule="auto"/>
        <w:ind w:left="720" w:hanging="720"/>
        <w:contextualSpacing/>
        <w:jc w:val="both"/>
        <w:rPr>
          <w:rFonts w:ascii="Arial" w:hAnsi="Arial" w:cs="Arial"/>
          <w:sz w:val="20"/>
          <w:szCs w:val="20"/>
        </w:rPr>
      </w:pPr>
      <w:proofErr w:type="spellStart"/>
      <w:r w:rsidRPr="003055AD">
        <w:rPr>
          <w:rFonts w:ascii="Arial" w:hAnsi="Arial" w:cs="Arial"/>
          <w:sz w:val="20"/>
          <w:szCs w:val="20"/>
        </w:rPr>
        <w:t>Laliberté</w:t>
      </w:r>
      <w:proofErr w:type="spellEnd"/>
      <w:r w:rsidRPr="003055AD">
        <w:rPr>
          <w:rFonts w:ascii="Arial" w:hAnsi="Arial" w:cs="Arial"/>
          <w:sz w:val="20"/>
          <w:szCs w:val="20"/>
        </w:rPr>
        <w:t xml:space="preserve">, F. (2020). Smartphones and the Circular Economy in Quebec. Retrieved from </w:t>
      </w:r>
      <w:hyperlink r:id="rId15" w:history="1">
        <w:r w:rsidRPr="003055AD">
          <w:rPr>
            <w:rStyle w:val="Hyperlink"/>
            <w:rFonts w:ascii="Arial" w:hAnsi="Arial" w:cs="Arial"/>
            <w:sz w:val="20"/>
            <w:szCs w:val="20"/>
          </w:rPr>
          <w:t>https://savoirs.usherbrooke.ca/bitstream/handle/11143/16803</w:t>
        </w:r>
      </w:hyperlink>
      <w:r w:rsidRPr="003055AD">
        <w:rPr>
          <w:rFonts w:ascii="Arial" w:hAnsi="Arial" w:cs="Arial"/>
          <w:sz w:val="20"/>
          <w:szCs w:val="20"/>
        </w:rPr>
        <w:t xml:space="preserve"> …</w:t>
      </w:r>
    </w:p>
    <w:p w14:paraId="5AED8F5C" w14:textId="77777777" w:rsidR="00303D7A" w:rsidRPr="003055AD" w:rsidRDefault="00303D7A" w:rsidP="003055AD">
      <w:pPr>
        <w:spacing w:after="0" w:line="240" w:lineRule="auto"/>
        <w:ind w:left="720" w:hanging="720"/>
        <w:contextualSpacing/>
        <w:jc w:val="both"/>
        <w:rPr>
          <w:rFonts w:ascii="Arial" w:hAnsi="Arial" w:cs="Arial"/>
          <w:sz w:val="20"/>
          <w:szCs w:val="20"/>
        </w:rPr>
      </w:pPr>
      <w:r w:rsidRPr="003055AD">
        <w:rPr>
          <w:rFonts w:ascii="Arial" w:hAnsi="Arial" w:cs="Arial"/>
          <w:sz w:val="20"/>
          <w:szCs w:val="20"/>
        </w:rPr>
        <w:t xml:space="preserve">Martino, R., Iseli, C., Gaydardzhiev, S., Streicher-Porte, M. &amp; Weh, A. (2017). Characteristics of End-of-Life Printed Wiring Boards Processed by Electrodynamic Fragmentation. </w:t>
      </w:r>
      <w:proofErr w:type="spellStart"/>
      <w:r w:rsidRPr="003055AD">
        <w:rPr>
          <w:rFonts w:ascii="Arial" w:hAnsi="Arial" w:cs="Arial"/>
          <w:sz w:val="20"/>
          <w:szCs w:val="20"/>
        </w:rPr>
        <w:t>Chemie</w:t>
      </w:r>
      <w:proofErr w:type="spellEnd"/>
      <w:r w:rsidRPr="003055AD">
        <w:rPr>
          <w:rFonts w:ascii="Arial" w:hAnsi="Arial" w:cs="Arial"/>
          <w:sz w:val="20"/>
          <w:szCs w:val="20"/>
        </w:rPr>
        <w:t xml:space="preserve"> </w:t>
      </w:r>
      <w:proofErr w:type="spellStart"/>
      <w:r w:rsidRPr="003055AD">
        <w:rPr>
          <w:rFonts w:ascii="Arial" w:hAnsi="Arial" w:cs="Arial"/>
          <w:sz w:val="20"/>
          <w:szCs w:val="20"/>
        </w:rPr>
        <w:t>Ingenieur</w:t>
      </w:r>
      <w:proofErr w:type="spellEnd"/>
      <w:r w:rsidRPr="003055AD">
        <w:rPr>
          <w:rFonts w:ascii="Arial" w:hAnsi="Arial" w:cs="Arial"/>
          <w:sz w:val="20"/>
          <w:szCs w:val="20"/>
        </w:rPr>
        <w:t xml:space="preserve"> Technik, 89(1–2), 152–160. doi:10.1002/cite.201600091</w:t>
      </w:r>
    </w:p>
    <w:p w14:paraId="66A1AFBC" w14:textId="77777777" w:rsidR="00303D7A" w:rsidRPr="003055AD" w:rsidRDefault="00303D7A" w:rsidP="003055AD">
      <w:pPr>
        <w:spacing w:after="0" w:line="240" w:lineRule="auto"/>
        <w:ind w:left="720" w:hanging="720"/>
        <w:contextualSpacing/>
        <w:jc w:val="both"/>
        <w:rPr>
          <w:rFonts w:ascii="Arial" w:hAnsi="Arial" w:cs="Arial"/>
          <w:sz w:val="20"/>
          <w:szCs w:val="20"/>
        </w:rPr>
      </w:pPr>
      <w:r w:rsidRPr="003055AD">
        <w:rPr>
          <w:rFonts w:ascii="Arial" w:hAnsi="Arial" w:cs="Arial"/>
          <w:sz w:val="20"/>
          <w:szCs w:val="20"/>
        </w:rPr>
        <w:t>Meng, L., Zhong, Y., Guo, L., Wang, Z., Chen, K. &amp; Guo, Z. (2018). High-Temperature Centrifugal Separation of Cu from Waste Printed Circuit Boards. Journal of Cleaner Production, 199, 831–839. Elsevier.</w:t>
      </w:r>
    </w:p>
    <w:p w14:paraId="63DFAE0A" w14:textId="77777777" w:rsidR="00303D7A" w:rsidRPr="003055AD" w:rsidRDefault="00303D7A" w:rsidP="003055AD">
      <w:pPr>
        <w:spacing w:after="0" w:line="240" w:lineRule="auto"/>
        <w:ind w:left="720" w:hanging="720"/>
        <w:contextualSpacing/>
        <w:jc w:val="both"/>
        <w:rPr>
          <w:rFonts w:ascii="Arial" w:hAnsi="Arial" w:cs="Arial"/>
          <w:sz w:val="20"/>
          <w:szCs w:val="20"/>
        </w:rPr>
      </w:pPr>
      <w:r w:rsidRPr="003055AD">
        <w:rPr>
          <w:rFonts w:ascii="Arial" w:hAnsi="Arial" w:cs="Arial"/>
          <w:sz w:val="20"/>
          <w:szCs w:val="20"/>
        </w:rPr>
        <w:t>European Parliament. (2023, May 24). Circular Economy: Definition, Importance, and Benefits. Themes | European Parliament.</w:t>
      </w:r>
    </w:p>
    <w:p w14:paraId="1724A14F" w14:textId="77777777" w:rsidR="00303D7A" w:rsidRPr="003055AD" w:rsidRDefault="00303D7A" w:rsidP="003055AD">
      <w:pPr>
        <w:spacing w:after="0" w:line="240" w:lineRule="auto"/>
        <w:ind w:left="720" w:hanging="720"/>
        <w:contextualSpacing/>
        <w:jc w:val="both"/>
        <w:rPr>
          <w:rFonts w:ascii="Arial" w:hAnsi="Arial" w:cs="Arial"/>
          <w:sz w:val="20"/>
          <w:szCs w:val="20"/>
        </w:rPr>
      </w:pPr>
      <w:r w:rsidRPr="003055AD">
        <w:rPr>
          <w:rFonts w:ascii="Arial" w:hAnsi="Arial" w:cs="Arial"/>
          <w:sz w:val="20"/>
          <w:szCs w:val="20"/>
        </w:rPr>
        <w:t xml:space="preserve">Peeters, J. R., </w:t>
      </w:r>
      <w:proofErr w:type="spellStart"/>
      <w:r w:rsidRPr="003055AD">
        <w:rPr>
          <w:rFonts w:ascii="Arial" w:hAnsi="Arial" w:cs="Arial"/>
          <w:sz w:val="20"/>
          <w:szCs w:val="20"/>
        </w:rPr>
        <w:t>Bracqguene</w:t>
      </w:r>
      <w:proofErr w:type="spellEnd"/>
      <w:r w:rsidRPr="003055AD">
        <w:rPr>
          <w:rFonts w:ascii="Arial" w:hAnsi="Arial" w:cs="Arial"/>
          <w:sz w:val="20"/>
          <w:szCs w:val="20"/>
        </w:rPr>
        <w:t xml:space="preserve">, E., Nelen, D., </w:t>
      </w:r>
      <w:proofErr w:type="spellStart"/>
      <w:r w:rsidRPr="003055AD">
        <w:rPr>
          <w:rFonts w:ascii="Arial" w:hAnsi="Arial" w:cs="Arial"/>
          <w:sz w:val="20"/>
          <w:szCs w:val="20"/>
        </w:rPr>
        <w:t>Ueberschaar</w:t>
      </w:r>
      <w:proofErr w:type="spellEnd"/>
      <w:r w:rsidRPr="003055AD">
        <w:rPr>
          <w:rFonts w:ascii="Arial" w:hAnsi="Arial" w:cs="Arial"/>
          <w:sz w:val="20"/>
          <w:szCs w:val="20"/>
        </w:rPr>
        <w:t>, M., Van Acker, K. &amp; Duflou, J. R. (2018). Forecasting the Recycling Potential Based on Waste Analysis: A Case Study for Recycling Nd-Fe-B Magnets from Hard Disk Drives. Journal of Cleaner Production, 175, 96–108. Elsevier.</w:t>
      </w:r>
    </w:p>
    <w:p w14:paraId="734D07D9" w14:textId="77777777" w:rsidR="00303D7A" w:rsidRPr="003055AD" w:rsidRDefault="00303D7A" w:rsidP="003055AD">
      <w:pPr>
        <w:spacing w:after="0" w:line="240" w:lineRule="auto"/>
        <w:ind w:left="720" w:hanging="720"/>
        <w:contextualSpacing/>
        <w:jc w:val="both"/>
        <w:rPr>
          <w:rFonts w:ascii="Arial" w:hAnsi="Arial" w:cs="Arial"/>
          <w:sz w:val="20"/>
          <w:szCs w:val="20"/>
        </w:rPr>
      </w:pPr>
      <w:r w:rsidRPr="003055AD">
        <w:rPr>
          <w:rFonts w:ascii="Arial" w:hAnsi="Arial" w:cs="Arial"/>
          <w:sz w:val="20"/>
          <w:szCs w:val="20"/>
        </w:rPr>
        <w:t>Pourbaix, M. (1974). Atlas of Electrochemical Equilibria in Aqueous Solutions. National Association of Corrosion Engineers.</w:t>
      </w:r>
    </w:p>
    <w:p w14:paraId="6D32F9DA" w14:textId="77777777" w:rsidR="00303D7A" w:rsidRPr="003055AD" w:rsidRDefault="00303D7A" w:rsidP="003055AD">
      <w:pPr>
        <w:spacing w:after="0" w:line="240" w:lineRule="auto"/>
        <w:ind w:left="720" w:hanging="720"/>
        <w:contextualSpacing/>
        <w:jc w:val="both"/>
        <w:rPr>
          <w:rFonts w:ascii="Arial" w:hAnsi="Arial" w:cs="Arial"/>
          <w:sz w:val="20"/>
          <w:szCs w:val="20"/>
        </w:rPr>
      </w:pPr>
      <w:proofErr w:type="spellStart"/>
      <w:r w:rsidRPr="003055AD">
        <w:rPr>
          <w:rFonts w:ascii="Arial" w:hAnsi="Arial" w:cs="Arial"/>
          <w:sz w:val="20"/>
          <w:szCs w:val="20"/>
        </w:rPr>
        <w:t>Ratsimba</w:t>
      </w:r>
      <w:proofErr w:type="spellEnd"/>
      <w:r w:rsidRPr="003055AD">
        <w:rPr>
          <w:rFonts w:ascii="Arial" w:hAnsi="Arial" w:cs="Arial"/>
          <w:sz w:val="20"/>
          <w:szCs w:val="20"/>
        </w:rPr>
        <w:t xml:space="preserve">, M. H., </w:t>
      </w:r>
      <w:proofErr w:type="spellStart"/>
      <w:r w:rsidRPr="003055AD">
        <w:rPr>
          <w:rFonts w:ascii="Arial" w:hAnsi="Arial" w:cs="Arial"/>
          <w:sz w:val="20"/>
          <w:szCs w:val="20"/>
        </w:rPr>
        <w:t>Rakotondranaly</w:t>
      </w:r>
      <w:proofErr w:type="spellEnd"/>
      <w:r w:rsidRPr="003055AD">
        <w:rPr>
          <w:rFonts w:ascii="Arial" w:hAnsi="Arial" w:cs="Arial"/>
          <w:sz w:val="20"/>
          <w:szCs w:val="20"/>
        </w:rPr>
        <w:t xml:space="preserve">, H. S. &amp; </w:t>
      </w:r>
      <w:proofErr w:type="spellStart"/>
      <w:r w:rsidRPr="003055AD">
        <w:rPr>
          <w:rFonts w:ascii="Arial" w:hAnsi="Arial" w:cs="Arial"/>
          <w:sz w:val="20"/>
          <w:szCs w:val="20"/>
        </w:rPr>
        <w:t>Rakotosaona</w:t>
      </w:r>
      <w:proofErr w:type="spellEnd"/>
      <w:r w:rsidRPr="003055AD">
        <w:rPr>
          <w:rFonts w:ascii="Arial" w:hAnsi="Arial" w:cs="Arial"/>
          <w:sz w:val="20"/>
          <w:szCs w:val="20"/>
        </w:rPr>
        <w:t>, R. (2022). Valorization of Electrical and Electronic Equipment Waste from Madagascar: Recovery of Copper from Printed Circuit Board Waste by Hydrometallurgical Process. IJPSAT, 34(1), 496. doi:10.52155/</w:t>
      </w:r>
      <w:proofErr w:type="gramStart"/>
      <w:r w:rsidRPr="003055AD">
        <w:rPr>
          <w:rFonts w:ascii="Arial" w:hAnsi="Arial" w:cs="Arial"/>
          <w:sz w:val="20"/>
          <w:szCs w:val="20"/>
        </w:rPr>
        <w:t>ijpsat.v</w:t>
      </w:r>
      <w:proofErr w:type="gramEnd"/>
      <w:r w:rsidRPr="003055AD">
        <w:rPr>
          <w:rFonts w:ascii="Arial" w:hAnsi="Arial" w:cs="Arial"/>
          <w:sz w:val="20"/>
          <w:szCs w:val="20"/>
        </w:rPr>
        <w:t>34.1.4562</w:t>
      </w:r>
    </w:p>
    <w:p w14:paraId="57A8214C" w14:textId="77777777" w:rsidR="00303D7A" w:rsidRPr="003055AD" w:rsidRDefault="00303D7A" w:rsidP="003055AD">
      <w:pPr>
        <w:spacing w:after="0" w:line="240" w:lineRule="auto"/>
        <w:ind w:left="720" w:hanging="720"/>
        <w:contextualSpacing/>
        <w:jc w:val="both"/>
        <w:rPr>
          <w:rFonts w:ascii="Arial" w:hAnsi="Arial" w:cs="Arial"/>
          <w:sz w:val="20"/>
          <w:szCs w:val="20"/>
        </w:rPr>
      </w:pPr>
      <w:proofErr w:type="spellStart"/>
      <w:r w:rsidRPr="003055AD">
        <w:rPr>
          <w:rFonts w:ascii="Arial" w:hAnsi="Arial" w:cs="Arial"/>
          <w:sz w:val="20"/>
          <w:szCs w:val="20"/>
        </w:rPr>
        <w:t>Récylum</w:t>
      </w:r>
      <w:proofErr w:type="spellEnd"/>
      <w:r w:rsidRPr="003055AD">
        <w:rPr>
          <w:rFonts w:ascii="Arial" w:hAnsi="Arial" w:cs="Arial"/>
          <w:sz w:val="20"/>
          <w:szCs w:val="20"/>
        </w:rPr>
        <w:t>. (2011, October). Glass, Metals...: Insights on Lamp Recycling. Recycling Recovery.</w:t>
      </w:r>
    </w:p>
    <w:p w14:paraId="6812393F" w14:textId="77777777" w:rsidR="00303D7A" w:rsidRPr="003055AD" w:rsidRDefault="00303D7A" w:rsidP="003055AD">
      <w:pPr>
        <w:spacing w:after="0" w:line="240" w:lineRule="auto"/>
        <w:ind w:left="720" w:hanging="720"/>
        <w:contextualSpacing/>
        <w:jc w:val="both"/>
        <w:rPr>
          <w:rFonts w:ascii="Arial" w:hAnsi="Arial" w:cs="Arial"/>
          <w:sz w:val="20"/>
          <w:szCs w:val="20"/>
        </w:rPr>
      </w:pPr>
      <w:r w:rsidRPr="003055AD">
        <w:rPr>
          <w:rFonts w:ascii="Arial" w:hAnsi="Arial" w:cs="Arial"/>
          <w:sz w:val="20"/>
          <w:szCs w:val="20"/>
        </w:rPr>
        <w:t>Ropafadzo, J., Tinevimbo, H., Tavonga, G., Kudakwashe, K., Jonathan, M., Effort, B. M. &amp; Tinotenda, K. (2014). Recovery of Precious Metals from E-Waste, 59.</w:t>
      </w:r>
    </w:p>
    <w:p w14:paraId="1E2B2185" w14:textId="77777777" w:rsidR="00303D7A" w:rsidRPr="003055AD" w:rsidRDefault="00303D7A" w:rsidP="003055AD">
      <w:pPr>
        <w:spacing w:after="0" w:line="240" w:lineRule="auto"/>
        <w:ind w:left="720" w:hanging="720"/>
        <w:contextualSpacing/>
        <w:jc w:val="both"/>
        <w:rPr>
          <w:rFonts w:ascii="Arial" w:hAnsi="Arial" w:cs="Arial"/>
          <w:sz w:val="20"/>
          <w:szCs w:val="20"/>
        </w:rPr>
      </w:pPr>
      <w:r w:rsidRPr="003055AD">
        <w:rPr>
          <w:rFonts w:ascii="Arial" w:hAnsi="Arial" w:cs="Arial"/>
          <w:sz w:val="20"/>
          <w:szCs w:val="20"/>
        </w:rPr>
        <w:t>Van Eygen, E., De Meester, S., Tran, H. P. &amp; Dewulf, J. (2016). Resource Savings by Urban Mining: The Case of Desktop and Laptop Computers in Belgium. Resources, Conservation and Recycling, 107, 53–64. Elsevier.</w:t>
      </w:r>
    </w:p>
    <w:p w14:paraId="77B1B9EA" w14:textId="5C94A541" w:rsidR="00303D7A" w:rsidRPr="003055AD" w:rsidRDefault="00303D7A" w:rsidP="003055AD">
      <w:pPr>
        <w:spacing w:after="0" w:line="240" w:lineRule="auto"/>
        <w:ind w:left="720" w:hanging="720"/>
        <w:contextualSpacing/>
        <w:jc w:val="both"/>
        <w:rPr>
          <w:rFonts w:ascii="Arial" w:hAnsi="Arial" w:cs="Arial"/>
          <w:sz w:val="20"/>
          <w:szCs w:val="20"/>
        </w:rPr>
      </w:pPr>
      <w:r w:rsidRPr="003055AD">
        <w:rPr>
          <w:rFonts w:ascii="Arial" w:hAnsi="Arial" w:cs="Arial"/>
          <w:sz w:val="20"/>
          <w:szCs w:val="20"/>
        </w:rPr>
        <w:t>Vidal, O. (2018). Raw Materials and Energy: Challenges of Tomorrow. ISTE Group. Retrieved from</w:t>
      </w:r>
      <w:r w:rsidR="00033AA7" w:rsidRPr="003055AD">
        <w:rPr>
          <w:rFonts w:ascii="Arial" w:hAnsi="Arial" w:cs="Arial"/>
          <w:sz w:val="20"/>
          <w:szCs w:val="20"/>
        </w:rPr>
        <w:t xml:space="preserve"> </w:t>
      </w:r>
      <w:hyperlink r:id="rId16" w:history="1">
        <w:r w:rsidR="00033AA7" w:rsidRPr="003055AD">
          <w:rPr>
            <w:rStyle w:val="Hyperlink"/>
            <w:rFonts w:ascii="Arial" w:hAnsi="Arial" w:cs="Arial"/>
            <w:sz w:val="20"/>
            <w:szCs w:val="20"/>
          </w:rPr>
          <w:t>https://books.google.com/books?hl=fr&amp;lr=&amp;id=1QpjDwAAQBAJ&amp;oi=fnd&amp;pg=PP1&amp;dq=Raw+materials+and+energy&amp;ots=hzcCjoyL90&amp;sig=awt27Zg4ahmDsJusF5nlDiz5uM0</w:t>
        </w:r>
      </w:hyperlink>
    </w:p>
    <w:p w14:paraId="78363499" w14:textId="77777777" w:rsidR="00303D7A" w:rsidRPr="003055AD" w:rsidRDefault="00303D7A" w:rsidP="003055AD">
      <w:pPr>
        <w:spacing w:after="0" w:line="240" w:lineRule="auto"/>
        <w:ind w:left="720" w:hanging="720"/>
        <w:contextualSpacing/>
        <w:jc w:val="both"/>
        <w:rPr>
          <w:rFonts w:ascii="Arial" w:hAnsi="Arial" w:cs="Arial"/>
          <w:sz w:val="20"/>
          <w:szCs w:val="20"/>
          <w:lang w:val="fr-FR"/>
        </w:rPr>
      </w:pPr>
      <w:r w:rsidRPr="003055AD">
        <w:rPr>
          <w:rFonts w:ascii="Arial" w:hAnsi="Arial" w:cs="Arial"/>
          <w:sz w:val="20"/>
          <w:szCs w:val="20"/>
        </w:rPr>
        <w:lastRenderedPageBreak/>
        <w:t xml:space="preserve">Wang, J. &amp; Xu, Z. (2015). Disposing and Recycling Waste Printed Circuit Boards: Disconnecting, Resource Recovery, and Pollution Control. </w:t>
      </w:r>
      <w:proofErr w:type="spellStart"/>
      <w:r w:rsidRPr="003055AD">
        <w:rPr>
          <w:rFonts w:ascii="Arial" w:hAnsi="Arial" w:cs="Arial"/>
          <w:sz w:val="20"/>
          <w:szCs w:val="20"/>
          <w:lang w:val="fr-FR"/>
        </w:rPr>
        <w:t>Environmental</w:t>
      </w:r>
      <w:proofErr w:type="spellEnd"/>
      <w:r w:rsidRPr="003055AD">
        <w:rPr>
          <w:rFonts w:ascii="Arial" w:hAnsi="Arial" w:cs="Arial"/>
          <w:sz w:val="20"/>
          <w:szCs w:val="20"/>
          <w:lang w:val="fr-FR"/>
        </w:rPr>
        <w:t xml:space="preserve"> Science &amp; </w:t>
      </w:r>
      <w:proofErr w:type="spellStart"/>
      <w:r w:rsidRPr="003055AD">
        <w:rPr>
          <w:rFonts w:ascii="Arial" w:hAnsi="Arial" w:cs="Arial"/>
          <w:sz w:val="20"/>
          <w:szCs w:val="20"/>
          <w:lang w:val="fr-FR"/>
        </w:rPr>
        <w:t>Technology</w:t>
      </w:r>
      <w:proofErr w:type="spellEnd"/>
      <w:r w:rsidRPr="003055AD">
        <w:rPr>
          <w:rFonts w:ascii="Arial" w:hAnsi="Arial" w:cs="Arial"/>
          <w:sz w:val="20"/>
          <w:szCs w:val="20"/>
          <w:lang w:val="fr-FR"/>
        </w:rPr>
        <w:t xml:space="preserve">, 49(2), 721–733. </w:t>
      </w:r>
      <w:proofErr w:type="gramStart"/>
      <w:r w:rsidRPr="003055AD">
        <w:rPr>
          <w:rFonts w:ascii="Arial" w:hAnsi="Arial" w:cs="Arial"/>
          <w:sz w:val="20"/>
          <w:szCs w:val="20"/>
          <w:lang w:val="fr-FR"/>
        </w:rPr>
        <w:t>doi:</w:t>
      </w:r>
      <w:proofErr w:type="gramEnd"/>
      <w:r w:rsidRPr="003055AD">
        <w:rPr>
          <w:rFonts w:ascii="Arial" w:hAnsi="Arial" w:cs="Arial"/>
          <w:sz w:val="20"/>
          <w:szCs w:val="20"/>
          <w:lang w:val="fr-FR"/>
        </w:rPr>
        <w:t>10.1021/es504833y</w:t>
      </w:r>
    </w:p>
    <w:p w14:paraId="528CD5AE" w14:textId="77777777" w:rsidR="00303D7A" w:rsidRPr="003055AD" w:rsidRDefault="00303D7A" w:rsidP="003055AD">
      <w:pPr>
        <w:spacing w:after="0" w:line="240" w:lineRule="auto"/>
        <w:ind w:left="720" w:hanging="720"/>
        <w:contextualSpacing/>
        <w:jc w:val="both"/>
        <w:rPr>
          <w:rFonts w:ascii="Arial" w:hAnsi="Arial" w:cs="Arial"/>
          <w:sz w:val="20"/>
          <w:szCs w:val="20"/>
        </w:rPr>
      </w:pPr>
      <w:r w:rsidRPr="003055AD">
        <w:rPr>
          <w:rFonts w:ascii="Arial" w:hAnsi="Arial" w:cs="Arial"/>
          <w:sz w:val="20"/>
          <w:szCs w:val="20"/>
          <w:lang w:val="fr-FR"/>
        </w:rPr>
        <w:t xml:space="preserve">Xing, M., Li, Y., Zhao, L., Song, X., Fu, Z., Du, Y. &amp; Huang, X. (2020). </w:t>
      </w:r>
      <w:r w:rsidRPr="003055AD">
        <w:rPr>
          <w:rFonts w:ascii="Arial" w:hAnsi="Arial" w:cs="Arial"/>
          <w:sz w:val="20"/>
          <w:szCs w:val="20"/>
        </w:rPr>
        <w:t>Swelling-Enhanced Catalytic Degradation of Brominated Epoxy Resin in Waste Printed Circuit Boards by Subcritical Acetic Acid under Mild Conditions. Waste Management, 102, 464–473. Elsevier.</w:t>
      </w:r>
    </w:p>
    <w:p w14:paraId="7FEE570A" w14:textId="77777777" w:rsidR="00303D7A" w:rsidRPr="003055AD" w:rsidRDefault="00303D7A" w:rsidP="003055AD">
      <w:pPr>
        <w:spacing w:after="0" w:line="240" w:lineRule="auto"/>
        <w:ind w:left="720" w:hanging="720"/>
        <w:contextualSpacing/>
        <w:jc w:val="both"/>
        <w:rPr>
          <w:rFonts w:ascii="Arial" w:hAnsi="Arial" w:cs="Arial"/>
          <w:sz w:val="20"/>
          <w:szCs w:val="20"/>
        </w:rPr>
      </w:pPr>
      <w:r w:rsidRPr="003055AD">
        <w:rPr>
          <w:rFonts w:ascii="Arial" w:hAnsi="Arial" w:cs="Arial"/>
          <w:sz w:val="20"/>
          <w:szCs w:val="20"/>
        </w:rPr>
        <w:t>Yi, S., Zhang, B. &amp; Yuan, Y. (2019). A Kind of Recovery Method of Waste Printed Circuit Board Metals Resources. Chinese Patent CN10 6834.</w:t>
      </w:r>
    </w:p>
    <w:p w14:paraId="758E0ADF" w14:textId="77777777" w:rsidR="00303D7A" w:rsidRPr="003055AD" w:rsidRDefault="00303D7A" w:rsidP="003055AD">
      <w:pPr>
        <w:spacing w:after="0" w:line="240" w:lineRule="auto"/>
        <w:ind w:left="720" w:hanging="720"/>
        <w:contextualSpacing/>
        <w:jc w:val="both"/>
        <w:rPr>
          <w:rFonts w:ascii="Arial" w:hAnsi="Arial" w:cs="Arial"/>
          <w:sz w:val="20"/>
          <w:szCs w:val="20"/>
        </w:rPr>
      </w:pPr>
      <w:r w:rsidRPr="003055AD">
        <w:rPr>
          <w:rFonts w:ascii="Arial" w:hAnsi="Arial" w:cs="Arial"/>
          <w:sz w:val="20"/>
          <w:szCs w:val="20"/>
        </w:rPr>
        <w:t xml:space="preserve">Zeller, V., Towa, E., </w:t>
      </w:r>
      <w:proofErr w:type="spellStart"/>
      <w:r w:rsidRPr="003055AD">
        <w:rPr>
          <w:rFonts w:ascii="Arial" w:hAnsi="Arial" w:cs="Arial"/>
          <w:sz w:val="20"/>
          <w:szCs w:val="20"/>
        </w:rPr>
        <w:t>Degrez</w:t>
      </w:r>
      <w:proofErr w:type="spellEnd"/>
      <w:r w:rsidRPr="003055AD">
        <w:rPr>
          <w:rFonts w:ascii="Arial" w:hAnsi="Arial" w:cs="Arial"/>
          <w:sz w:val="20"/>
          <w:szCs w:val="20"/>
        </w:rPr>
        <w:t xml:space="preserve">, M. &amp; Achten, W. M. J. (2019). Urban Waste Flows and Their Potential for a Circular Economy Model at City-Region Level. Waste Management, 83, 83–94. </w:t>
      </w:r>
      <w:proofErr w:type="gramStart"/>
      <w:r w:rsidRPr="003055AD">
        <w:rPr>
          <w:rFonts w:ascii="Arial" w:hAnsi="Arial" w:cs="Arial"/>
          <w:sz w:val="20"/>
          <w:szCs w:val="20"/>
        </w:rPr>
        <w:t>doi:10.1016/j.wasman</w:t>
      </w:r>
      <w:proofErr w:type="gramEnd"/>
      <w:r w:rsidRPr="003055AD">
        <w:rPr>
          <w:rFonts w:ascii="Arial" w:hAnsi="Arial" w:cs="Arial"/>
          <w:sz w:val="20"/>
          <w:szCs w:val="20"/>
        </w:rPr>
        <w:t>.2018.10.034</w:t>
      </w:r>
    </w:p>
    <w:p w14:paraId="4C417530" w14:textId="778ED1FA" w:rsidR="00FC5B9F" w:rsidRPr="003055AD" w:rsidRDefault="00303D7A" w:rsidP="003055AD">
      <w:pPr>
        <w:spacing w:after="0" w:line="240" w:lineRule="auto"/>
        <w:ind w:left="720" w:hanging="720"/>
        <w:contextualSpacing/>
        <w:jc w:val="both"/>
        <w:rPr>
          <w:rFonts w:ascii="Arial" w:hAnsi="Arial" w:cs="Arial"/>
          <w:sz w:val="20"/>
          <w:szCs w:val="20"/>
        </w:rPr>
      </w:pPr>
      <w:r w:rsidRPr="003055AD">
        <w:rPr>
          <w:rFonts w:ascii="Arial" w:hAnsi="Arial" w:cs="Arial"/>
          <w:sz w:val="20"/>
          <w:szCs w:val="20"/>
        </w:rPr>
        <w:t>Zhu, P., Chen, Y., Wang, L. Y. &amp; Zhou, M. (2012). Treatment of Waste Printed Circuit Board by Green Solvent Using Ionic Liquid. Waste Management, 32(10), 1914–1918. Elsevier.</w:t>
      </w:r>
    </w:p>
    <w:sectPr w:rsidR="00FC5B9F" w:rsidRPr="003055AD" w:rsidSect="00E2041D">
      <w:headerReference w:type="even" r:id="rId17"/>
      <w:headerReference w:type="default" r:id="rId18"/>
      <w:footerReference w:type="even" r:id="rId19"/>
      <w:footerReference w:type="default" r:id="rId20"/>
      <w:headerReference w:type="first" r:id="rId21"/>
      <w:footerReference w:type="first" r:id="rId22"/>
      <w:pgSz w:w="11906" w:h="16838"/>
      <w:pgMar w:top="1701" w:right="1701" w:bottom="170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E10AFC" w14:textId="77777777" w:rsidR="006C1BB0" w:rsidRDefault="006C1BB0" w:rsidP="00330827">
      <w:pPr>
        <w:spacing w:after="0" w:line="240" w:lineRule="auto"/>
      </w:pPr>
      <w:r>
        <w:separator/>
      </w:r>
    </w:p>
  </w:endnote>
  <w:endnote w:type="continuationSeparator" w:id="0">
    <w:p w14:paraId="3CAB7605" w14:textId="77777777" w:rsidR="006C1BB0" w:rsidRDefault="006C1BB0" w:rsidP="003308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0258B" w14:textId="77777777" w:rsidR="00C944F5" w:rsidRDefault="00C944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447713" w14:textId="0DA7915E" w:rsidR="00367F0F" w:rsidRDefault="00367F0F">
    <w:pPr>
      <w:pStyle w:val="Footer"/>
    </w:pPr>
  </w:p>
  <w:p w14:paraId="007173E0" w14:textId="77777777" w:rsidR="00330827" w:rsidRDefault="003308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EA48A" w14:textId="77777777" w:rsidR="00C944F5" w:rsidRDefault="00C944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FF60C8" w14:textId="77777777" w:rsidR="006C1BB0" w:rsidRDefault="006C1BB0" w:rsidP="00330827">
      <w:pPr>
        <w:spacing w:after="0" w:line="240" w:lineRule="auto"/>
      </w:pPr>
      <w:r>
        <w:separator/>
      </w:r>
    </w:p>
  </w:footnote>
  <w:footnote w:type="continuationSeparator" w:id="0">
    <w:p w14:paraId="62807BB8" w14:textId="77777777" w:rsidR="006C1BB0" w:rsidRDefault="006C1BB0" w:rsidP="003308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2FD30" w14:textId="7AE52225" w:rsidR="00C944F5" w:rsidRDefault="00C944F5">
    <w:pPr>
      <w:pStyle w:val="Header"/>
    </w:pPr>
    <w:r>
      <w:rPr>
        <w:noProof/>
      </w:rPr>
      <w:pict w14:anchorId="382191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395829" o:spid="_x0000_s2050" type="#_x0000_t136" style="position:absolute;margin-left:0;margin-top:0;width:504.8pt;height:9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B23BA9" w14:textId="5FC30741" w:rsidR="00C944F5" w:rsidRDefault="00C944F5">
    <w:pPr>
      <w:pStyle w:val="Header"/>
    </w:pPr>
    <w:r>
      <w:rPr>
        <w:noProof/>
      </w:rPr>
      <w:pict w14:anchorId="067F61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395830" o:spid="_x0000_s2051" type="#_x0000_t136" style="position:absolute;margin-left:0;margin-top:0;width:504.8pt;height:9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44CD54" w14:textId="1109CC9F" w:rsidR="00C944F5" w:rsidRDefault="00C944F5">
    <w:pPr>
      <w:pStyle w:val="Header"/>
    </w:pPr>
    <w:r>
      <w:rPr>
        <w:noProof/>
      </w:rPr>
      <w:pict w14:anchorId="6AAD2F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395828" o:spid="_x0000_s2049" type="#_x0000_t136" style="position:absolute;margin-left:0;margin-top:0;width:504.8pt;height:9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1544E8F"/>
    <w:multiLevelType w:val="hybridMultilevel"/>
    <w:tmpl w:val="47501E70"/>
    <w:lvl w:ilvl="0" w:tplc="AFC0D7A4">
      <w:start w:val="15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6D97002D"/>
    <w:multiLevelType w:val="multilevel"/>
    <w:tmpl w:val="9FC6049E"/>
    <w:lvl w:ilvl="0">
      <w:start w:val="1"/>
      <w:numFmt w:val="decimal"/>
      <w:lvlText w:val="%1."/>
      <w:lvlJc w:val="left"/>
      <w:pPr>
        <w:ind w:left="1776" w:hanging="360"/>
      </w:pPr>
      <w:rPr>
        <w:rFonts w:hint="default"/>
      </w:rPr>
    </w:lvl>
    <w:lvl w:ilvl="1">
      <w:start w:val="1"/>
      <w:numFmt w:val="decimal"/>
      <w:isLgl/>
      <w:lvlText w:val="%1.%2."/>
      <w:lvlJc w:val="left"/>
      <w:pPr>
        <w:ind w:left="1776" w:hanging="360"/>
      </w:pPr>
      <w:rPr>
        <w:rFonts w:hint="default"/>
      </w:rPr>
    </w:lvl>
    <w:lvl w:ilvl="2">
      <w:start w:val="1"/>
      <w:numFmt w:val="decimal"/>
      <w:isLgl/>
      <w:lvlText w:val="%1.%2.%3."/>
      <w:lvlJc w:val="left"/>
      <w:pPr>
        <w:ind w:left="2136" w:hanging="720"/>
      </w:pPr>
      <w:rPr>
        <w:rFonts w:hint="default"/>
      </w:rPr>
    </w:lvl>
    <w:lvl w:ilvl="3">
      <w:start w:val="1"/>
      <w:numFmt w:val="decimal"/>
      <w:isLgl/>
      <w:lvlText w:val="%1.%2.%3.%4."/>
      <w:lvlJc w:val="left"/>
      <w:pPr>
        <w:ind w:left="2136"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496" w:hanging="1080"/>
      </w:pPr>
      <w:rPr>
        <w:rFonts w:hint="default"/>
      </w:rPr>
    </w:lvl>
    <w:lvl w:ilvl="6">
      <w:start w:val="1"/>
      <w:numFmt w:val="decimal"/>
      <w:isLgl/>
      <w:lvlText w:val="%1.%2.%3.%4.%5.%6.%7."/>
      <w:lvlJc w:val="left"/>
      <w:pPr>
        <w:ind w:left="2856" w:hanging="1440"/>
      </w:pPr>
      <w:rPr>
        <w:rFonts w:hint="default"/>
      </w:rPr>
    </w:lvl>
    <w:lvl w:ilvl="7">
      <w:start w:val="1"/>
      <w:numFmt w:val="decimal"/>
      <w:isLgl/>
      <w:lvlText w:val="%1.%2.%3.%4.%5.%6.%7.%8."/>
      <w:lvlJc w:val="left"/>
      <w:pPr>
        <w:ind w:left="2856" w:hanging="1440"/>
      </w:pPr>
      <w:rPr>
        <w:rFonts w:hint="default"/>
      </w:rPr>
    </w:lvl>
    <w:lvl w:ilvl="8">
      <w:start w:val="1"/>
      <w:numFmt w:val="decimal"/>
      <w:isLgl/>
      <w:lvlText w:val="%1.%2.%3.%4.%5.%6.%7.%8.%9."/>
      <w:lvlJc w:val="left"/>
      <w:pPr>
        <w:ind w:left="3216"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3D7A"/>
    <w:rsid w:val="000246DA"/>
    <w:rsid w:val="00033AA7"/>
    <w:rsid w:val="000C4B65"/>
    <w:rsid w:val="000D4722"/>
    <w:rsid w:val="00136105"/>
    <w:rsid w:val="00166CF7"/>
    <w:rsid w:val="0018670D"/>
    <w:rsid w:val="001A33A7"/>
    <w:rsid w:val="001C5BC9"/>
    <w:rsid w:val="001F7C4B"/>
    <w:rsid w:val="0020272E"/>
    <w:rsid w:val="002922C4"/>
    <w:rsid w:val="00294400"/>
    <w:rsid w:val="00303D7A"/>
    <w:rsid w:val="003055AD"/>
    <w:rsid w:val="00330827"/>
    <w:rsid w:val="00367F0F"/>
    <w:rsid w:val="0037197B"/>
    <w:rsid w:val="003977D1"/>
    <w:rsid w:val="003C1A59"/>
    <w:rsid w:val="003F2D62"/>
    <w:rsid w:val="00412FA2"/>
    <w:rsid w:val="00425677"/>
    <w:rsid w:val="004734EF"/>
    <w:rsid w:val="004C2C10"/>
    <w:rsid w:val="00535E00"/>
    <w:rsid w:val="005B168C"/>
    <w:rsid w:val="005C5E7F"/>
    <w:rsid w:val="00670993"/>
    <w:rsid w:val="006C1BB0"/>
    <w:rsid w:val="006E343F"/>
    <w:rsid w:val="007317B0"/>
    <w:rsid w:val="007E400A"/>
    <w:rsid w:val="008637B9"/>
    <w:rsid w:val="008A68F4"/>
    <w:rsid w:val="008C06EB"/>
    <w:rsid w:val="009009C7"/>
    <w:rsid w:val="009A06F9"/>
    <w:rsid w:val="009C54A9"/>
    <w:rsid w:val="009E61E7"/>
    <w:rsid w:val="00A10135"/>
    <w:rsid w:val="00A33CAD"/>
    <w:rsid w:val="00A50530"/>
    <w:rsid w:val="00A775F3"/>
    <w:rsid w:val="00B36C5C"/>
    <w:rsid w:val="00BE62E4"/>
    <w:rsid w:val="00BE7EC6"/>
    <w:rsid w:val="00C91F2D"/>
    <w:rsid w:val="00C944F5"/>
    <w:rsid w:val="00C9775E"/>
    <w:rsid w:val="00CA2DEF"/>
    <w:rsid w:val="00CC65C1"/>
    <w:rsid w:val="00D5490A"/>
    <w:rsid w:val="00D739FE"/>
    <w:rsid w:val="00D91081"/>
    <w:rsid w:val="00E06C75"/>
    <w:rsid w:val="00E2041D"/>
    <w:rsid w:val="00E77D80"/>
    <w:rsid w:val="00E903E7"/>
    <w:rsid w:val="00F33874"/>
    <w:rsid w:val="00F61868"/>
    <w:rsid w:val="00FB1E86"/>
    <w:rsid w:val="00FC5B9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DF6A7F"/>
  <w15:chartTrackingRefBased/>
  <w15:docId w15:val="{B49E8B82-BE6B-4586-AEC6-1922BCABE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03D7A"/>
    <w:pPr>
      <w:spacing w:line="278" w:lineRule="auto"/>
    </w:pPr>
    <w:rPr>
      <w:rFonts w:eastAsiaTheme="minorEastAsia"/>
      <w:sz w:val="24"/>
      <w:szCs w:val="24"/>
      <w:lang w:val="en-US" w:eastAsia="fr-FR"/>
    </w:rPr>
  </w:style>
  <w:style w:type="paragraph" w:styleId="Heading1">
    <w:name w:val="heading 1"/>
    <w:basedOn w:val="Normal"/>
    <w:next w:val="Normal"/>
    <w:link w:val="Heading1Char"/>
    <w:uiPriority w:val="9"/>
    <w:qFormat/>
    <w:rsid w:val="00303D7A"/>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303D7A"/>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303D7A"/>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303D7A"/>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303D7A"/>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303D7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03D7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03D7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03D7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3D7A"/>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303D7A"/>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303D7A"/>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303D7A"/>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303D7A"/>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303D7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03D7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03D7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03D7A"/>
    <w:rPr>
      <w:rFonts w:eastAsiaTheme="majorEastAsia" w:cstheme="majorBidi"/>
      <w:color w:val="272727" w:themeColor="text1" w:themeTint="D8"/>
    </w:rPr>
  </w:style>
  <w:style w:type="paragraph" w:styleId="Title">
    <w:name w:val="Title"/>
    <w:basedOn w:val="Normal"/>
    <w:next w:val="Normal"/>
    <w:link w:val="TitleChar"/>
    <w:uiPriority w:val="10"/>
    <w:qFormat/>
    <w:rsid w:val="00303D7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03D7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03D7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03D7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03D7A"/>
    <w:pPr>
      <w:spacing w:before="160"/>
      <w:jc w:val="center"/>
    </w:pPr>
    <w:rPr>
      <w:i/>
      <w:iCs/>
      <w:color w:val="404040" w:themeColor="text1" w:themeTint="BF"/>
    </w:rPr>
  </w:style>
  <w:style w:type="character" w:customStyle="1" w:styleId="QuoteChar">
    <w:name w:val="Quote Char"/>
    <w:basedOn w:val="DefaultParagraphFont"/>
    <w:link w:val="Quote"/>
    <w:uiPriority w:val="29"/>
    <w:rsid w:val="00303D7A"/>
    <w:rPr>
      <w:i/>
      <w:iCs/>
      <w:color w:val="404040" w:themeColor="text1" w:themeTint="BF"/>
    </w:rPr>
  </w:style>
  <w:style w:type="paragraph" w:styleId="ListParagraph">
    <w:name w:val="List Paragraph"/>
    <w:basedOn w:val="Normal"/>
    <w:uiPriority w:val="34"/>
    <w:qFormat/>
    <w:rsid w:val="00303D7A"/>
    <w:pPr>
      <w:ind w:left="720"/>
      <w:contextualSpacing/>
    </w:pPr>
  </w:style>
  <w:style w:type="character" w:styleId="IntenseEmphasis">
    <w:name w:val="Intense Emphasis"/>
    <w:basedOn w:val="DefaultParagraphFont"/>
    <w:uiPriority w:val="21"/>
    <w:qFormat/>
    <w:rsid w:val="00303D7A"/>
    <w:rPr>
      <w:i/>
      <w:iCs/>
      <w:color w:val="2E74B5" w:themeColor="accent1" w:themeShade="BF"/>
    </w:rPr>
  </w:style>
  <w:style w:type="paragraph" w:styleId="IntenseQuote">
    <w:name w:val="Intense Quote"/>
    <w:basedOn w:val="Normal"/>
    <w:next w:val="Normal"/>
    <w:link w:val="IntenseQuoteChar"/>
    <w:uiPriority w:val="30"/>
    <w:qFormat/>
    <w:rsid w:val="00303D7A"/>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303D7A"/>
    <w:rPr>
      <w:i/>
      <w:iCs/>
      <w:color w:val="2E74B5" w:themeColor="accent1" w:themeShade="BF"/>
    </w:rPr>
  </w:style>
  <w:style w:type="character" w:styleId="IntenseReference">
    <w:name w:val="Intense Reference"/>
    <w:basedOn w:val="DefaultParagraphFont"/>
    <w:uiPriority w:val="32"/>
    <w:qFormat/>
    <w:rsid w:val="00303D7A"/>
    <w:rPr>
      <w:b/>
      <w:bCs/>
      <w:smallCaps/>
      <w:color w:val="2E74B5" w:themeColor="accent1" w:themeShade="BF"/>
      <w:spacing w:val="5"/>
    </w:rPr>
  </w:style>
  <w:style w:type="character" w:styleId="Hyperlink">
    <w:name w:val="Hyperlink"/>
    <w:basedOn w:val="DefaultParagraphFont"/>
    <w:uiPriority w:val="99"/>
    <w:unhideWhenUsed/>
    <w:rsid w:val="00303D7A"/>
    <w:rPr>
      <w:color w:val="0563C1" w:themeColor="hyperlink"/>
      <w:u w:val="single"/>
    </w:rPr>
  </w:style>
  <w:style w:type="table" w:customStyle="1" w:styleId="Tableausimple51">
    <w:name w:val="Tableau simple 51"/>
    <w:basedOn w:val="TableNormal"/>
    <w:next w:val="PlainTable5"/>
    <w:uiPriority w:val="45"/>
    <w:rsid w:val="00303D7A"/>
    <w:pPr>
      <w:spacing w:after="0" w:line="240" w:lineRule="auto"/>
    </w:pPr>
    <w:rPr>
      <w:kern w:val="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simple511">
    <w:name w:val="Tableau simple 511"/>
    <w:basedOn w:val="TableNormal"/>
    <w:next w:val="PlainTable5"/>
    <w:uiPriority w:val="45"/>
    <w:rsid w:val="00303D7A"/>
    <w:pPr>
      <w:spacing w:after="0" w:line="240" w:lineRule="auto"/>
    </w:pPr>
    <w:rPr>
      <w:kern w:val="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
    <w:name w:val="Grid Table 2"/>
    <w:basedOn w:val="TableNormal"/>
    <w:uiPriority w:val="47"/>
    <w:rsid w:val="00303D7A"/>
    <w:pPr>
      <w:spacing w:after="0" w:line="240" w:lineRule="auto"/>
    </w:pPr>
    <w:rPr>
      <w:kern w:val="0"/>
      <w14:ligatures w14:val="non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5">
    <w:name w:val="Plain Table 5"/>
    <w:basedOn w:val="TableNormal"/>
    <w:uiPriority w:val="45"/>
    <w:rsid w:val="00303D7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LineNumber">
    <w:name w:val="line number"/>
    <w:basedOn w:val="DefaultParagraphFont"/>
    <w:uiPriority w:val="99"/>
    <w:semiHidden/>
    <w:unhideWhenUsed/>
    <w:rsid w:val="00330827"/>
  </w:style>
  <w:style w:type="paragraph" w:styleId="Header">
    <w:name w:val="header"/>
    <w:basedOn w:val="Normal"/>
    <w:link w:val="HeaderChar"/>
    <w:uiPriority w:val="99"/>
    <w:unhideWhenUsed/>
    <w:rsid w:val="00330827"/>
    <w:pPr>
      <w:tabs>
        <w:tab w:val="center" w:pos="4536"/>
        <w:tab w:val="right" w:pos="9072"/>
      </w:tabs>
      <w:spacing w:after="0" w:line="240" w:lineRule="auto"/>
    </w:pPr>
  </w:style>
  <w:style w:type="character" w:customStyle="1" w:styleId="HeaderChar">
    <w:name w:val="Header Char"/>
    <w:basedOn w:val="DefaultParagraphFont"/>
    <w:link w:val="Header"/>
    <w:uiPriority w:val="99"/>
    <w:rsid w:val="00330827"/>
    <w:rPr>
      <w:rFonts w:eastAsiaTheme="minorEastAsia"/>
      <w:sz w:val="24"/>
      <w:szCs w:val="24"/>
      <w:lang w:val="en-US" w:eastAsia="fr-FR"/>
    </w:rPr>
  </w:style>
  <w:style w:type="paragraph" w:styleId="Footer">
    <w:name w:val="footer"/>
    <w:basedOn w:val="Normal"/>
    <w:link w:val="FooterChar"/>
    <w:uiPriority w:val="99"/>
    <w:unhideWhenUsed/>
    <w:rsid w:val="00330827"/>
    <w:pPr>
      <w:tabs>
        <w:tab w:val="center" w:pos="4536"/>
        <w:tab w:val="right" w:pos="9072"/>
      </w:tabs>
      <w:spacing w:after="0" w:line="240" w:lineRule="auto"/>
    </w:pPr>
  </w:style>
  <w:style w:type="character" w:customStyle="1" w:styleId="FooterChar">
    <w:name w:val="Footer Char"/>
    <w:basedOn w:val="DefaultParagraphFont"/>
    <w:link w:val="Footer"/>
    <w:uiPriority w:val="99"/>
    <w:rsid w:val="00330827"/>
    <w:rPr>
      <w:rFonts w:eastAsiaTheme="minorEastAsia"/>
      <w:sz w:val="24"/>
      <w:szCs w:val="24"/>
      <w:lang w:val="en-US" w:eastAsia="fr-FR"/>
    </w:rPr>
  </w:style>
  <w:style w:type="character" w:styleId="UnresolvedMention">
    <w:name w:val="Unresolved Mention"/>
    <w:basedOn w:val="DefaultParagraphFont"/>
    <w:uiPriority w:val="99"/>
    <w:semiHidden/>
    <w:unhideWhenUsed/>
    <w:rsid w:val="00033AA7"/>
    <w:rPr>
      <w:color w:val="605E5C"/>
      <w:shd w:val="clear" w:color="auto" w:fill="E1DFDD"/>
    </w:rPr>
  </w:style>
  <w:style w:type="table" w:customStyle="1" w:styleId="Tableausimple512">
    <w:name w:val="Tableau simple 512"/>
    <w:basedOn w:val="TableNormal"/>
    <w:uiPriority w:val="45"/>
    <w:rsid w:val="00BE62E4"/>
    <w:pPr>
      <w:spacing w:after="0" w:line="240" w:lineRule="auto"/>
    </w:pPr>
    <w:rPr>
      <w:kern w:val="0"/>
      <w14:ligatures w14:val="none"/>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ReferHead">
    <w:name w:val="Refer Head"/>
    <w:basedOn w:val="Normal"/>
    <w:rsid w:val="007317B0"/>
    <w:pPr>
      <w:keepNext/>
      <w:spacing w:after="240" w:line="240" w:lineRule="auto"/>
    </w:pPr>
    <w:rPr>
      <w:rFonts w:ascii="Helvetica" w:eastAsia="Times New Roman" w:hAnsi="Helvetica" w:cs="Times New Roman"/>
      <w:b/>
      <w:caps/>
      <w:kern w:val="0"/>
      <w:sz w:val="22"/>
      <w:szCs w:val="20"/>
      <w:lang w:eastAsia="en-US"/>
      <w14:ligatures w14:val="none"/>
    </w:rPr>
  </w:style>
  <w:style w:type="table" w:styleId="TableGrid">
    <w:name w:val="Table Grid"/>
    <w:basedOn w:val="TableNormal"/>
    <w:uiPriority w:val="39"/>
    <w:rsid w:val="006709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
    <w:name w:val="Author"/>
    <w:basedOn w:val="Normal"/>
    <w:rsid w:val="005C5E7F"/>
    <w:pPr>
      <w:spacing w:after="0" w:line="280" w:lineRule="exact"/>
      <w:jc w:val="right"/>
    </w:pPr>
    <w:rPr>
      <w:rFonts w:ascii="Helvetica" w:eastAsia="Times New Roman" w:hAnsi="Helvetica" w:cs="Times New Roman"/>
      <w:b/>
      <w:kern w:val="0"/>
      <w:szCs w:val="20"/>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theses.fr/"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books.google.com/books?hl=fr&amp;lr=&amp;id=1QpjDwAAQBAJ&amp;oi=fnd&amp;pg=PP1&amp;dq=Raw+materials+and+energy&amp;ots=hzcCjoyL90&amp;sig=awt27Zg4ahmDsJusF5nlDiz5uM0"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savoirs.usherbrooke.ca/bitstream/handle/11143/16803"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strategie.gouv.fr/files/files/Publications/2020/DT%20num%C3%A9rique%20m%C3%A9taux/fs-2020-dt-consommation-metaux-du-numerique-juin.pdf" TargetMode="External"/><Relationship Id="rId22"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245</TotalTime>
  <Pages>13</Pages>
  <Words>5998</Words>
  <Characters>34190</Characters>
  <Application>Microsoft Office Word</Application>
  <DocSecurity>0</DocSecurity>
  <Lines>284</Lines>
  <Paragraphs>80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YAKAOU Kodzovi</dc:creator>
  <cp:keywords/>
  <dc:description/>
  <cp:lastModifiedBy>SDI 1180</cp:lastModifiedBy>
  <cp:revision>31</cp:revision>
  <dcterms:created xsi:type="dcterms:W3CDTF">2025-08-09T09:17:00Z</dcterms:created>
  <dcterms:modified xsi:type="dcterms:W3CDTF">2025-09-02T11:12:00Z</dcterms:modified>
</cp:coreProperties>
</file>