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EE414" w14:textId="3160CBFA" w:rsidR="004942D3" w:rsidRPr="004942D3" w:rsidRDefault="00F945B1" w:rsidP="004942D3">
      <w:pPr>
        <w:pStyle w:val="Title"/>
        <w:rPr>
          <w:sz w:val="36"/>
          <w:szCs w:val="36"/>
          <w:lang w:val="en-US"/>
        </w:rPr>
      </w:pPr>
      <w:r w:rsidRPr="004942D3">
        <w:rPr>
          <w:sz w:val="36"/>
          <w:szCs w:val="36"/>
          <w:lang w:val="en-US"/>
        </w:rPr>
        <w:t>Optimization of Input Management in Hydroponic Agriculture through Synergistic Integration of DLT, IoT, and Artificial Intelligence Technologies</w:t>
      </w:r>
    </w:p>
    <w:p w14:paraId="2203B0E6" w14:textId="77777777" w:rsidR="004942D3" w:rsidRPr="00BC670F" w:rsidRDefault="004942D3">
      <w:pPr>
        <w:pStyle w:val="AuthorStyle"/>
        <w:rPr>
          <w:lang w:val="en-US"/>
        </w:rPr>
      </w:pPr>
    </w:p>
    <w:p w14:paraId="5AFF63B5" w14:textId="3E4B21A9" w:rsidR="00332254" w:rsidRPr="004942D3" w:rsidRDefault="00F945B1">
      <w:pPr>
        <w:pStyle w:val="AbstractHeading"/>
        <w:rPr>
          <w:lang w:val="en-US"/>
        </w:rPr>
      </w:pPr>
      <w:r w:rsidRPr="004942D3">
        <w:rPr>
          <w:lang w:val="en-US"/>
        </w:rPr>
        <w:t>ABSTRACT</w:t>
      </w:r>
    </w:p>
    <w:p w14:paraId="12A0EDD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To overcome the structural limitations of traditional hydroponic systems—inefficient input management, lack of verifiable traceability, high energy consumption, and absence of adaptive optimization—th</w:t>
      </w:r>
      <w:r w:rsidRPr="004942D3">
        <w:rPr>
          <w:lang w:val="en-US"/>
        </w:rPr>
        <w:t>is paper presents an innovative architecture that synergistically integrates Distributed Ledger Technology (DLT), Internet of Things (IoT), and Artificial Intelligence (AI) to optimize resource management in controlled hydroponic environments.</w:t>
      </w:r>
    </w:p>
    <w:p w14:paraId="42D06DA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proposed</w:t>
      </w:r>
      <w:r w:rsidRPr="004942D3">
        <w:rPr>
          <w:lang w:val="en-US"/>
        </w:rPr>
        <w:t xml:space="preserve"> architecture constitutes a hybrid DLT-IoT-AI system founded on six principles: radical distribution of trust, defense in depth, verifiable trust through cryptographic proofs, modularity, native interoperability, and scalability. It comprises a distributed</w:t>
      </w:r>
      <w:r w:rsidRPr="004942D3">
        <w:rPr>
          <w:lang w:val="en-US"/>
        </w:rPr>
        <w:t xml:space="preserve"> intelligent sensor network, a low-cost edge computing cluster, optimized artificial intelligence modules, and a DLT infrastructure based on Hyperledger Fabric with Raft consensus.</w:t>
      </w:r>
    </w:p>
    <w:p w14:paraId="510C5E4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Experimental results, obtained through system simulation on a 100 m² greenhouse and validated by partial prototyping, demonstrate robust operational performance: average latency of 847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from sensor to blockchain, throughput of 150 transactions per second</w:t>
      </w:r>
      <w:r w:rsidRPr="004942D3">
        <w:rPr>
          <w:lang w:val="en-US"/>
        </w:rPr>
        <w:t>, availability of 99.7%, support for 500 simultaneous sensors, and energy autonomy of 14 months. AI models achieve 96.3% accuracy in nutritional prediction, with pH prediction error of 0.08 units and EC error of 15 µS/cm. DDPG orchestration converges after</w:t>
      </w:r>
      <w:r w:rsidRPr="004942D3">
        <w:rPr>
          <w:lang w:val="en-US"/>
        </w:rPr>
        <w:t xml:space="preserve"> 45 days with stabilization of the reward function.</w:t>
      </w:r>
    </w:p>
    <w:p w14:paraId="62891711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Comparative analysis reveals significant advantages: 18% yield increase, 15% reduction in input costs, 22% decrease in energy consumption during peak pricing periods, and 40% improvement in total cost of </w:t>
      </w:r>
      <w:r w:rsidRPr="004942D3">
        <w:rPr>
          <w:lang w:val="en-US"/>
        </w:rPr>
        <w:t>ownership over 5 years.</w:t>
      </w:r>
    </w:p>
    <w:p w14:paraId="4046C224" w14:textId="77777777" w:rsidR="00332254" w:rsidRPr="004942D3" w:rsidRDefault="00F945B1">
      <w:pPr>
        <w:pStyle w:val="Keywords"/>
        <w:rPr>
          <w:lang w:val="en-US"/>
        </w:rPr>
      </w:pPr>
      <w:r w:rsidRPr="004942D3">
        <w:rPr>
          <w:b/>
          <w:bCs/>
          <w:lang w:val="en-US"/>
        </w:rPr>
        <w:t>Keywords:</w:t>
      </w:r>
      <w:r w:rsidRPr="004942D3">
        <w:rPr>
          <w:lang w:val="en-US"/>
        </w:rPr>
        <w:t xml:space="preserve"> Hydroponic Agriculture, Distributed Ledgers, Artificial Intelligence, Internet of Things, Smart Contracts, Multi-Objective Optimization</w:t>
      </w:r>
    </w:p>
    <w:p w14:paraId="7592A62F" w14:textId="77777777" w:rsidR="00332254" w:rsidRPr="004942D3" w:rsidRDefault="00F945B1">
      <w:pPr>
        <w:pStyle w:val="Heading1"/>
        <w:rPr>
          <w:lang w:val="en-US"/>
        </w:rPr>
      </w:pPr>
      <w:r w:rsidRPr="004942D3">
        <w:rPr>
          <w:lang w:val="en-US"/>
        </w:rPr>
        <w:t>1. INTRODUCTION</w:t>
      </w:r>
    </w:p>
    <w:p w14:paraId="4AF3534C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t>Hydroponic agriculture represents a major advancement in food production, reducing water consumption by up to 90% compared to conventional methods [2] while optimizing yields. Nevertheless, it faces significant challenges concerning input management, traceability, and environmental sustainability.</w:t>
      </w:r>
    </w:p>
    <w:p w14:paraId="73CF6C50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t>Current hydroponic installations suffer from notable limitations. The GIZ report (2024) reveals that 68% of them lack adequate verification mechanisms [1]. Suboptimal management of critical parameters such as pH, electrical conductivity, and temperature generates yield losses reaching 30% [2,3], while energy consumption represents up to 40% of operational costs [4], thereby compromising the expected environmental benefits. Traditional systems, characterized by centralization and manual management, present intrinsic vulnerabilities: single points of failure, limited traceability, and poor adaptability to environmental variations.</w:t>
      </w:r>
    </w:p>
    <w:p w14:paraId="777B33DE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b/>
          <w:bCs/>
          <w:lang w:val="en-US"/>
        </w:rPr>
        <w:t>A brief literature survey</w:t>
      </w:r>
      <w:r w:rsidRPr="002F148E">
        <w:rPr>
          <w:lang w:val="en-US"/>
        </w:rPr>
        <w:t xml:space="preserve"> highlights that most hydroponic management systems remain centralized and reactive. Classic SCADA-based architectures, though effective at small scale, become fragile when facing the increasing complexity of agronomic variables and sustainability constraints [2,3]. Centralized decision nodes create single points of failure, leading to up to 30% of water and nutrient waste during poorly calibrated operations [2,3]. Moreover, the absence of adaptive feedback mechanisms results in excessive resource consumption and reduced ecological efficiency.</w:t>
      </w:r>
    </w:p>
    <w:p w14:paraId="4C81C0C3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t xml:space="preserve">Recent research and industrial developments have sought to address these issues through the integration of advanced digital technologies. IoT-based systems such as </w:t>
      </w:r>
      <w:proofErr w:type="spellStart"/>
      <w:r w:rsidRPr="002F148E">
        <w:rPr>
          <w:i/>
          <w:iCs/>
          <w:lang w:val="en-US"/>
        </w:rPr>
        <w:t>OptiClimate</w:t>
      </w:r>
      <w:proofErr w:type="spellEnd"/>
      <w:r w:rsidRPr="002F148E">
        <w:rPr>
          <w:i/>
          <w:iCs/>
          <w:lang w:val="en-US"/>
        </w:rPr>
        <w:t xml:space="preserve"> Farm</w:t>
      </w:r>
      <w:r w:rsidRPr="002F148E">
        <w:rPr>
          <w:lang w:val="en-US"/>
        </w:rPr>
        <w:t xml:space="preserve"> [8] and the University of Miami’s autonomous greenhouse project [12] have demonstrated the feasibility of large-scale environmental monitoring, collecting millions of data points monthly. However, these remain cloud-dependent and lack decentralized traceability.</w:t>
      </w:r>
    </w:p>
    <w:p w14:paraId="28CCCF16" w14:textId="48ACB1E9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lastRenderedPageBreak/>
        <w:t>Blockchain-based approaches, including those proposed by Pranto et al. [9,10]</w:t>
      </w:r>
      <w:r w:rsidR="00EA3660">
        <w:rPr>
          <w:lang w:val="en-US"/>
        </w:rPr>
        <w:t xml:space="preserve"> and </w:t>
      </w:r>
      <w:proofErr w:type="spellStart"/>
      <w:r w:rsidR="00EA3660">
        <w:rPr>
          <w:lang w:val="en-US"/>
        </w:rPr>
        <w:t>Atohoun</w:t>
      </w:r>
      <w:proofErr w:type="spellEnd"/>
      <w:r w:rsidR="00EA3660">
        <w:rPr>
          <w:lang w:val="en-US"/>
        </w:rPr>
        <w:t xml:space="preserve"> et al. [16]</w:t>
      </w:r>
      <w:r w:rsidRPr="002F148E">
        <w:rPr>
          <w:lang w:val="en-US"/>
        </w:rPr>
        <w:t xml:space="preserve">, provide transparent data management through IoT-Blockchain-Smart Contract integration. Despite improved verifiability, scalability and energy consumption remain critical challenges, as most public blockchains plateau at 15–30 transactions per second [7]. At the same time, IoT architectures like those analyzed by </w:t>
      </w:r>
      <w:proofErr w:type="spellStart"/>
      <w:r w:rsidRPr="002F148E">
        <w:rPr>
          <w:lang w:val="en-US"/>
        </w:rPr>
        <w:t>Doubiz</w:t>
      </w:r>
      <w:proofErr w:type="spellEnd"/>
      <w:r w:rsidRPr="002F148E">
        <w:rPr>
          <w:lang w:val="en-US"/>
        </w:rPr>
        <w:t xml:space="preserve"> et al. [11] validate </w:t>
      </w:r>
      <w:proofErr w:type="spellStart"/>
      <w:r w:rsidRPr="002F148E">
        <w:rPr>
          <w:lang w:val="en-US"/>
        </w:rPr>
        <w:t>LoRaWAN</w:t>
      </w:r>
      <w:proofErr w:type="spellEnd"/>
      <w:r w:rsidRPr="002F148E">
        <w:rPr>
          <w:lang w:val="en-US"/>
        </w:rPr>
        <w:t xml:space="preserve"> as an efficient solution for distributed agricultural telemetry, reducing power usage by 20% and achieving sub-10 </w:t>
      </w:r>
      <w:proofErr w:type="spellStart"/>
      <w:r w:rsidRPr="002F148E">
        <w:rPr>
          <w:lang w:val="en-US"/>
        </w:rPr>
        <w:t>ms</w:t>
      </w:r>
      <w:proofErr w:type="spellEnd"/>
      <w:r w:rsidRPr="002F148E">
        <w:rPr>
          <w:lang w:val="en-US"/>
        </w:rPr>
        <w:t xml:space="preserve"> latency with ESP32 and MQTT. Yet, they primarily focus on data collection without intelligent decision orchestration.</w:t>
      </w:r>
    </w:p>
    <w:p w14:paraId="54313517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t>Artificial Intelligence has further enhanced hydroponic optimization. Studies demonstrate that Random Forests reach 99.27% accuracy for yield prediction [13], MS-CAGRU models effectively forecast substrate chemical variations [15], and SVMs for heavy metal detection achieve 75% accuracy [14]. These models improve prediction but remain disconnected from distributed verification mechanisms.</w:t>
      </w:r>
    </w:p>
    <w:p w14:paraId="7ECE92BC" w14:textId="77777777" w:rsidR="002F148E" w:rsidRPr="002F148E" w:rsidRDefault="002F148E" w:rsidP="002F148E">
      <w:pPr>
        <w:pStyle w:val="AbstractBody"/>
        <w:rPr>
          <w:lang w:val="en-US"/>
        </w:rPr>
      </w:pPr>
      <w:r w:rsidRPr="002F148E">
        <w:rPr>
          <w:lang w:val="en-US"/>
        </w:rPr>
        <w:t>In summary, the literature reveals that while IoT-AI systems reinforce monitoring, they neglect auditability; blockchain solutions provide transparency but lack efficiency; and IoT infrastructures improve connectivity without verifiable automation. The convergence of these paradigms—IoT, AI, and DLT—thus emerges as the logical pathway to achieving sustainable, traceable, and autonomous hydroponic systems.</w:t>
      </w:r>
    </w:p>
    <w:p w14:paraId="6C2ABCEC" w14:textId="317B3771" w:rsidR="00137C87" w:rsidRPr="00137C87" w:rsidRDefault="002F148E" w:rsidP="00137C87">
      <w:pPr>
        <w:pStyle w:val="AbstractBody"/>
        <w:rPr>
          <w:lang w:val="en-US"/>
        </w:rPr>
      </w:pPr>
      <w:r w:rsidRPr="002F148E">
        <w:rPr>
          <w:lang w:val="en-US"/>
        </w:rPr>
        <w:t xml:space="preserve">Facing these challenges, this paper proposes a </w:t>
      </w:r>
      <w:r w:rsidRPr="002F148E">
        <w:rPr>
          <w:b/>
          <w:bCs/>
          <w:lang w:val="en-US"/>
        </w:rPr>
        <w:t>hybrid DLT-IoT-AI architecture</w:t>
      </w:r>
      <w:r w:rsidRPr="002F148E">
        <w:rPr>
          <w:lang w:val="en-US"/>
        </w:rPr>
        <w:t xml:space="preserve"> addressing sustainability, scalability, and verifiability simultaneously. The proposed system combines real-time monitoring (IoT) [11,12], predictive analysis and optimization (AI) [6,13,15], and cryptographic traceability through distributed ledgers (DLT) [7,9,10]. It relies on Hyperledger Fabric with Raft consensus, an edge-first strategy using low-cost SBCs (RK3588), and a bi-level orchestration combining operational optimization (PDCA + predictive models) and strategic learning (DDPG).</w:t>
      </w:r>
    </w:p>
    <w:p w14:paraId="2F0C42C9" w14:textId="15D2FA92" w:rsidR="00137C87" w:rsidRPr="00137C87" w:rsidRDefault="00137C87" w:rsidP="00137C87">
      <w:pPr>
        <w:pStyle w:val="AbstractBody"/>
        <w:rPr>
          <w:lang w:val="en-US"/>
        </w:rPr>
      </w:pPr>
      <w:r w:rsidRPr="00137C87">
        <w:rPr>
          <w:lang w:val="en-US"/>
        </w:rPr>
        <w:t>Our main contributions are as follows</w:t>
      </w:r>
      <w:r>
        <w:rPr>
          <w:lang w:val="en-US"/>
        </w:rPr>
        <w:t xml:space="preserve">: (1) </w:t>
      </w:r>
      <w:r w:rsidRPr="00137C87">
        <w:rPr>
          <w:lang w:val="en-US"/>
        </w:rPr>
        <w:t>A systematic analysis of the limitations of conventional hydroponic systems and the partial coverage of existing solutions;</w:t>
      </w:r>
      <w:r>
        <w:rPr>
          <w:lang w:val="en-US"/>
        </w:rPr>
        <w:t xml:space="preserve"> (2) </w:t>
      </w:r>
      <w:r w:rsidRPr="00137C87">
        <w:rPr>
          <w:lang w:val="en-US"/>
        </w:rPr>
        <w:t>An innovative, interoperable, and scalable architecture integrating DLT, IoT, and AI;</w:t>
      </w:r>
      <w:r>
        <w:rPr>
          <w:lang w:val="en-US"/>
        </w:rPr>
        <w:t xml:space="preserve"> (3) </w:t>
      </w:r>
      <w:r w:rsidRPr="00137C87">
        <w:rPr>
          <w:lang w:val="en-US"/>
        </w:rPr>
        <w:t>A validated implementation through simulation, prototyping, and performance testing</w:t>
      </w:r>
      <w:r>
        <w:rPr>
          <w:lang w:val="en-US"/>
        </w:rPr>
        <w:t xml:space="preserve"> and (4) </w:t>
      </w:r>
      <w:r w:rsidRPr="00137C87">
        <w:rPr>
          <w:lang w:val="en-US"/>
        </w:rPr>
        <w:t>A comparative evaluation quantifying gains against both traditional and modern alternatives.</w:t>
      </w:r>
    </w:p>
    <w:p w14:paraId="046AF4F6" w14:textId="77777777" w:rsidR="00137C87" w:rsidRPr="00137C87" w:rsidRDefault="00137C87" w:rsidP="00137C87">
      <w:pPr>
        <w:pStyle w:val="AbstractBody"/>
        <w:rPr>
          <w:lang w:val="en-US"/>
        </w:rPr>
      </w:pPr>
      <w:r w:rsidRPr="00137C87">
        <w:rPr>
          <w:lang w:val="en-US"/>
        </w:rPr>
        <w:t>This architecture rests on six principles: radical distribution of trust, defense in depth, verifiable trust through cryptographic proofs, modularity, interoperability with existing standards, and native scalability enabling the integration of new algorithms without major redesign.</w:t>
      </w:r>
    </w:p>
    <w:p w14:paraId="16442FFA" w14:textId="77777777" w:rsidR="00137C87" w:rsidRPr="00137C87" w:rsidRDefault="00137C87" w:rsidP="00137C87">
      <w:pPr>
        <w:pStyle w:val="AbstractBody"/>
        <w:rPr>
          <w:lang w:val="en-US"/>
        </w:rPr>
      </w:pPr>
      <w:r w:rsidRPr="00137C87">
        <w:rPr>
          <w:lang w:val="en-US"/>
        </w:rPr>
        <w:t>The remainder of this paper is organized as follows. Section 2 details the materials and methods used to implement the proposed system. Section 3 presents the experimental results and discussion. Section 4 concludes and outlines future research perspectives.</w:t>
      </w:r>
    </w:p>
    <w:p w14:paraId="4B19C983" w14:textId="702F3D7D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.</w:t>
      </w:r>
    </w:p>
    <w:p w14:paraId="37547B42" w14:textId="3DC64094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 MATERIAL AND METHODS</w:t>
      </w:r>
    </w:p>
    <w:p w14:paraId="3F09768F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Our DLT-IoT-AI architecture rests on a fundamental redesign of hydroponic infrastructure design principles, aimed at reconciling operational performance, </w:t>
      </w:r>
      <w:r w:rsidRPr="004942D3">
        <w:rPr>
          <w:lang w:val="en-US"/>
        </w:rPr>
        <w:t>resilience, verifiable traceability, and economic efficiency in modern production environments. The proposed approach is structured around six fundamental architectural principles that guide every aspect of design and implementation.</w:t>
      </w:r>
    </w:p>
    <w:p w14:paraId="69160EC8" w14:textId="47097FE7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.1 Architectural Principles</w:t>
      </w:r>
    </w:p>
    <w:p w14:paraId="0E420FC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first principle, radical distribution of trust, eliminates any single point of failure by fragmenting cryptographic keys. No private key exists entirely in a single location: distributed key generation (DKG) and threshold signatures (TSS) ensure</w:t>
      </w:r>
      <w:r w:rsidRPr="004942D3">
        <w:rPr>
          <w:lang w:val="en-US"/>
        </w:rPr>
        <w:t xml:space="preserve"> that trust relies on correct cryptographic computation by a quorum of independent nodes rather than on a central entity.</w:t>
      </w:r>
    </w:p>
    <w:p w14:paraId="17635E0B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second principle, defense in depth, implements independent layers of cryptographic security. Each level remains operational even i</w:t>
      </w:r>
      <w:r w:rsidRPr="004942D3">
        <w:rPr>
          <w:lang w:val="en-US"/>
        </w:rPr>
        <w:t>f others are compromised: cryptographic signatures of IoT measurements, validity proofs of AI recommendations, and integrity verification by smart contracts constitute three autonomous barriers.</w:t>
      </w:r>
    </w:p>
    <w:p w14:paraId="5A1B9A4B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third principle establishes verifiable trust through form</w:t>
      </w:r>
      <w:r w:rsidRPr="004942D3">
        <w:rPr>
          <w:lang w:val="en-US"/>
        </w:rPr>
        <w:t>al cryptographic proofs. For each critical operation, mathematical proofs allow any participant to validate the integrity and correctness of processes independently of any central authority, relying exclusively on cryptographic guarantees.</w:t>
      </w:r>
    </w:p>
    <w:p w14:paraId="6FFB2854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lastRenderedPageBreak/>
        <w:t>The fourth princ</w:t>
      </w:r>
      <w:r w:rsidRPr="004942D3">
        <w:rPr>
          <w:lang w:val="en-US"/>
        </w:rPr>
        <w:t>iple, modularity, authorizes interchangeability and independent evolution of components (signature algorithms, secret sharing, consensus schemes). This approach enables adaptation to various operational contexts and future integration of post-quantum algor</w:t>
      </w:r>
      <w:r w:rsidRPr="004942D3">
        <w:rPr>
          <w:lang w:val="en-US"/>
        </w:rPr>
        <w:t>ithms without complete architectural redesign.</w:t>
      </w:r>
    </w:p>
    <w:p w14:paraId="11470CB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 fifth principle ensures interoperability with domain standards (X.509, MQTT, LwM2M, </w:t>
      </w:r>
      <w:proofErr w:type="spellStart"/>
      <w:r w:rsidRPr="004942D3">
        <w:rPr>
          <w:lang w:val="en-US"/>
        </w:rPr>
        <w:t>AgroXML</w:t>
      </w:r>
      <w:proofErr w:type="spellEnd"/>
      <w:r w:rsidRPr="004942D3">
        <w:rPr>
          <w:lang w:val="en-US"/>
        </w:rPr>
        <w:t xml:space="preserve">, ISO 11783), facilitating progressive adoption and transparent integration with existing infrastructures. Issued </w:t>
      </w:r>
      <w:r w:rsidRPr="004942D3">
        <w:rPr>
          <w:lang w:val="en-US"/>
        </w:rPr>
        <w:t xml:space="preserve">certificates remain standard and </w:t>
      </w:r>
      <w:proofErr w:type="spellStart"/>
      <w:r w:rsidRPr="004942D3">
        <w:rPr>
          <w:lang w:val="en-US"/>
        </w:rPr>
        <w:t>validatable</w:t>
      </w:r>
      <w:proofErr w:type="spellEnd"/>
      <w:r w:rsidRPr="004942D3">
        <w:rPr>
          <w:lang w:val="en-US"/>
        </w:rPr>
        <w:t xml:space="preserve"> by any conventional client.</w:t>
      </w:r>
    </w:p>
    <w:p w14:paraId="6DC069A0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sixth principle, native scalability, privileges scale-out architecture allowing node addition without fundamental modifications. Raft consensus tolerates node failures while maint</w:t>
      </w:r>
      <w:r w:rsidRPr="004942D3">
        <w:rPr>
          <w:lang w:val="en-US"/>
        </w:rPr>
        <w:t>aining operability, with tests demonstrating performance preservation under high load or during attacks.</w:t>
      </w:r>
    </w:p>
    <w:p w14:paraId="09A11D75" w14:textId="1399FB83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.2 Global Technical Architecture</w:t>
      </w:r>
    </w:p>
    <w:p w14:paraId="04F3CE9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concrete architecture comprises four main elements operating in synergy.</w:t>
      </w:r>
    </w:p>
    <w:p w14:paraId="1848924E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distributed IoT infrastructure forms</w:t>
      </w:r>
      <w:r w:rsidRPr="004942D3">
        <w:rPr>
          <w:lang w:val="en-US"/>
        </w:rPr>
        <w:t xml:space="preserve"> the peripheral nervous system, comprising a meshed network of specialized sensors (pH ±0.1 unit, EC ±10 µS/cm, temperature ±0.5°C, humidity, luminosity) deployed according to a redundant topology. Sensors embed ESP32 microcontrollers capable of cryptograp</w:t>
      </w:r>
      <w:r w:rsidRPr="004942D3">
        <w:rPr>
          <w:lang w:val="en-US"/>
        </w:rPr>
        <w:t xml:space="preserve">hically signing measurements and performing local pre-validation. Communications utilize </w:t>
      </w:r>
      <w:proofErr w:type="spellStart"/>
      <w:r w:rsidRPr="004942D3">
        <w:rPr>
          <w:lang w:val="en-US"/>
        </w:rPr>
        <w:t>LoRaWAN</w:t>
      </w:r>
      <w:proofErr w:type="spellEnd"/>
      <w:r w:rsidRPr="004942D3">
        <w:rPr>
          <w:lang w:val="en-US"/>
        </w:rPr>
        <w:t xml:space="preserve"> (adaptive spreading factor SF7-SF12, EU868 frequency) for long range with maximum energy autonomy, and MQTT over </w:t>
      </w:r>
      <w:proofErr w:type="spellStart"/>
      <w:r w:rsidRPr="004942D3">
        <w:rPr>
          <w:lang w:val="en-US"/>
        </w:rPr>
        <w:t>WiFi</w:t>
      </w:r>
      <w:proofErr w:type="spellEnd"/>
      <w:r w:rsidRPr="004942D3">
        <w:rPr>
          <w:lang w:val="en-US"/>
        </w:rPr>
        <w:t xml:space="preserve"> 802.11n for critical flows requiring mini</w:t>
      </w:r>
      <w:r w:rsidRPr="004942D3">
        <w:rPr>
          <w:lang w:val="en-US"/>
        </w:rPr>
        <w:t xml:space="preserve">mal latency (less than 50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). Time synchronization via NTP ensures consistency of distributed timestamps.</w:t>
      </w:r>
    </w:p>
    <w:p w14:paraId="332176F4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edge computing cluster constitutes the analytical brain of the system, composed of a hybrid network of heterogeneous nodes optimized for performa</w:t>
      </w:r>
      <w:r w:rsidRPr="004942D3">
        <w:rPr>
          <w:lang w:val="en-US"/>
        </w:rPr>
        <w:t xml:space="preserve">nce/cost/consumption ratio. The orchestrator node (Intel N100 mini-PC, 16 GB RAM, 1 TB </w:t>
      </w:r>
      <w:proofErr w:type="spellStart"/>
      <w:r w:rsidRPr="004942D3">
        <w:rPr>
          <w:lang w:val="en-US"/>
        </w:rPr>
        <w:t>NVMe</w:t>
      </w:r>
      <w:proofErr w:type="spellEnd"/>
      <w:r w:rsidRPr="004942D3">
        <w:rPr>
          <w:lang w:val="en-US"/>
        </w:rPr>
        <w:t xml:space="preserve">, 2×2.5 </w:t>
      </w:r>
      <w:proofErr w:type="spellStart"/>
      <w:r w:rsidRPr="004942D3">
        <w:rPr>
          <w:lang w:val="en-US"/>
        </w:rPr>
        <w:t>GbE</w:t>
      </w:r>
      <w:proofErr w:type="spellEnd"/>
      <w:r w:rsidRPr="004942D3">
        <w:rPr>
          <w:lang w:val="en-US"/>
        </w:rPr>
        <w:t xml:space="preserve">) hosts the K3s server, Ray head node for distributed computing, Hyperledger Fabric </w:t>
      </w:r>
      <w:proofErr w:type="spellStart"/>
      <w:r w:rsidRPr="004942D3">
        <w:rPr>
          <w:lang w:val="en-US"/>
        </w:rPr>
        <w:t>orderer</w:t>
      </w:r>
      <w:proofErr w:type="spellEnd"/>
      <w:r w:rsidRPr="004942D3">
        <w:rPr>
          <w:lang w:val="en-US"/>
        </w:rPr>
        <w:t xml:space="preserve"> with Raft consensus, container registry, </w:t>
      </w:r>
      <w:proofErr w:type="spellStart"/>
      <w:r w:rsidRPr="004942D3">
        <w:rPr>
          <w:lang w:val="en-US"/>
        </w:rPr>
        <w:t>MinIO</w:t>
      </w:r>
      <w:proofErr w:type="spellEnd"/>
      <w:r w:rsidRPr="004942D3">
        <w:rPr>
          <w:lang w:val="en-US"/>
        </w:rPr>
        <w:t xml:space="preserve"> for object stor</w:t>
      </w:r>
      <w:r w:rsidRPr="004942D3">
        <w:rPr>
          <w:lang w:val="en-US"/>
        </w:rPr>
        <w:t xml:space="preserve">age, and Prometheus/Grafana monitoring stack. Computing nodes (8-12 RK3588 SBCs with 8-16 GB RAM, 512 GB </w:t>
      </w:r>
      <w:proofErr w:type="spellStart"/>
      <w:r w:rsidRPr="004942D3">
        <w:rPr>
          <w:lang w:val="en-US"/>
        </w:rPr>
        <w:t>NVMe</w:t>
      </w:r>
      <w:proofErr w:type="spellEnd"/>
      <w:r w:rsidRPr="004942D3">
        <w:rPr>
          <w:lang w:val="en-US"/>
        </w:rPr>
        <w:t xml:space="preserve">, 2.5 </w:t>
      </w:r>
      <w:proofErr w:type="spellStart"/>
      <w:r w:rsidRPr="004942D3">
        <w:rPr>
          <w:lang w:val="en-US"/>
        </w:rPr>
        <w:t>GbE</w:t>
      </w:r>
      <w:proofErr w:type="spellEnd"/>
      <w:r w:rsidRPr="004942D3">
        <w:rPr>
          <w:lang w:val="en-US"/>
        </w:rPr>
        <w:t>) execute K3s agents, Ray workers, Fabric peers, AI inference (Random Forest, LSTM, frozen DDPG policy), MQTT/LwM2M ingestion, and pre-pro</w:t>
      </w:r>
      <w:r w:rsidRPr="004942D3">
        <w:rPr>
          <w:lang w:val="en-US"/>
        </w:rPr>
        <w:t xml:space="preserve">cessing (Kalman filtering, adaptive smoothing, anomaly detection). This configuration achieves latency objectives (less than 100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for inference, less than 200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for critical alerts) at significantly lower cost than Jetson-centered solutions.</w:t>
      </w:r>
    </w:p>
    <w:p w14:paraId="25DD4675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DLT pla</w:t>
      </w:r>
      <w:r w:rsidRPr="004942D3">
        <w:rPr>
          <w:lang w:val="en-US"/>
        </w:rPr>
        <w:t>tform orchestrates verifiable execution and cryptographic traceability, implemented on Hyperledger Fabric 2.5 with Raft consensus for ordering service (3 nodes: orchestrator plus 2 edges). The architecture utilizes segmented channels: ops-internal for deta</w:t>
      </w:r>
      <w:r w:rsidRPr="004942D3">
        <w:rPr>
          <w:lang w:val="en-US"/>
        </w:rPr>
        <w:t xml:space="preserve">iled measurements with restricted access, audit-report for hashes and decisions with expanded visibility, and energy for tariff management. Specialized </w:t>
      </w:r>
      <w:proofErr w:type="spellStart"/>
      <w:r w:rsidRPr="004942D3">
        <w:rPr>
          <w:lang w:val="en-US"/>
        </w:rPr>
        <w:t>chaincodes</w:t>
      </w:r>
      <w:proofErr w:type="spellEnd"/>
      <w:r w:rsidRPr="004942D3">
        <w:rPr>
          <w:lang w:val="en-US"/>
        </w:rPr>
        <w:t xml:space="preserve"> implement smart contracts: water management (irrigation finite state machine with anti-over-i</w:t>
      </w:r>
      <w:r w:rsidRPr="004942D3">
        <w:rPr>
          <w:lang w:val="en-US"/>
        </w:rPr>
        <w:t>rrigation), nutritional management (linear optimization with agronomic constraints), environmental regulation (circadian timed automata), and energy management (electrical consumption optimization with intelligent load shedding). Critical events are writte</w:t>
      </w:r>
      <w:r w:rsidRPr="004942D3">
        <w:rPr>
          <w:lang w:val="en-US"/>
        </w:rPr>
        <w:t>n in real time with SLA less than 2 s (measured: 1.2 s), while time series are anchored by hash batches every 15 minutes to optimize throughput.</w:t>
      </w:r>
    </w:p>
    <w:p w14:paraId="34E4CBD9" w14:textId="488DF248" w:rsidR="00332254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artificial intelligence modules transform sensory data into optimized recommendations via a hybrid edge-clo</w:t>
      </w:r>
      <w:r w:rsidRPr="004942D3">
        <w:rPr>
          <w:lang w:val="en-US"/>
        </w:rPr>
        <w:t>ud architecture. The operational level (5-15 min cycle) uses Random Forest (500 trees, depth 15) for nutritional prediction with 96.3% accuracy, bidirectional LSTM (2 layers of 128 units, dropout 0.3) for temporal prediction (pH error 0.08 unit, EC 15 µS/c</w:t>
      </w:r>
      <w:r w:rsidRPr="004942D3">
        <w:rPr>
          <w:lang w:val="en-US"/>
        </w:rPr>
        <w:t xml:space="preserve">m), and </w:t>
      </w:r>
      <w:proofErr w:type="spellStart"/>
      <w:r w:rsidRPr="004942D3">
        <w:rPr>
          <w:lang w:val="en-US"/>
        </w:rPr>
        <w:t>XGBoost</w:t>
      </w:r>
      <w:proofErr w:type="spellEnd"/>
      <w:r w:rsidRPr="004942D3">
        <w:rPr>
          <w:lang w:val="en-US"/>
        </w:rPr>
        <w:t xml:space="preserve"> for energy prediction (error less than 10%). The strategic level uses DDPG (Deep Deterministic Policy Gradient) for learning continuous multi-objective policies (yield, costs, energy, quality), with convergence after 45 days and reward func</w:t>
      </w:r>
      <w:r w:rsidRPr="004942D3">
        <w:rPr>
          <w:lang w:val="en-US"/>
        </w:rPr>
        <w:t>tion stabilized at 2.3±0.2. Multi-objective optimization uses NSGA-II (population 100, convergence less than 30 s) to arbitrate between input costs, energy consumption, forecast yield, and nutritional quality. Deployment uses TensorFlow Serving for real-ti</w:t>
      </w:r>
      <w:r w:rsidRPr="004942D3">
        <w:rPr>
          <w:lang w:val="en-US"/>
        </w:rPr>
        <w:t xml:space="preserve">me inference with automatic versioning, with critical models deployed on RK3588 edges via quantized ONNX Runtime (latency less than 100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), while complex models execute on the orchestrator for periodic training.</w:t>
      </w:r>
    </w:p>
    <w:p w14:paraId="601BDD3B" w14:textId="77777777" w:rsidR="00F52AAB" w:rsidRDefault="00F52AAB" w:rsidP="00F52AAB">
      <w:pPr>
        <w:pStyle w:val="AbstractBody"/>
        <w:keepNext/>
      </w:pPr>
      <w:r>
        <w:rPr>
          <w:noProof/>
          <w:lang w:val="en-US"/>
        </w:rPr>
        <w:lastRenderedPageBreak/>
        <w:drawing>
          <wp:inline distT="0" distB="0" distL="0" distR="0" wp14:anchorId="2801EE4F" wp14:editId="25557736">
            <wp:extent cx="5730240" cy="4933950"/>
            <wp:effectExtent l="0" t="0" r="0" b="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58" cy="49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8DA0" w14:textId="5FCC5FC6" w:rsidR="00E70ADC" w:rsidRPr="004942D3" w:rsidRDefault="00F52AAB" w:rsidP="00F52AAB">
      <w:pPr>
        <w:pStyle w:val="Caption"/>
        <w:jc w:val="center"/>
        <w:rPr>
          <w:lang w:val="en-US"/>
        </w:rPr>
      </w:pPr>
      <w:r w:rsidRPr="00BC670F">
        <w:rPr>
          <w:lang w:val="en-US"/>
        </w:rPr>
        <w:t xml:space="preserve">Figure </w:t>
      </w:r>
      <w:r>
        <w:fldChar w:fldCharType="begin"/>
      </w:r>
      <w:r w:rsidRPr="00BC670F">
        <w:rPr>
          <w:lang w:val="en-US"/>
        </w:rPr>
        <w:instrText xml:space="preserve"> SEQ Figure \* ARABIC </w:instrText>
      </w:r>
      <w:r>
        <w:fldChar w:fldCharType="separate"/>
      </w:r>
      <w:r w:rsidRPr="00BC670F">
        <w:rPr>
          <w:noProof/>
          <w:lang w:val="en-US"/>
        </w:rPr>
        <w:t>1</w:t>
      </w:r>
      <w:r>
        <w:rPr>
          <w:noProof/>
        </w:rPr>
        <w:fldChar w:fldCharType="end"/>
      </w:r>
      <w:r w:rsidRPr="00BC670F">
        <w:rPr>
          <w:lang w:val="en-US"/>
        </w:rPr>
        <w:t>: Architecture flow diagram</w:t>
      </w:r>
    </w:p>
    <w:p w14:paraId="486D1966" w14:textId="18D25B29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.3 Bi-Level Optimization Process</w:t>
      </w:r>
    </w:p>
    <w:p w14:paraId="1C744888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system implements bi-level orchestration inspired by the PDCA cycle (Plan-Do-Check-Act) for the operational level and reinforcement learning for the strategic level.</w:t>
      </w:r>
    </w:p>
    <w:p w14:paraId="340F4127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 operational level (5-15 min </w:t>
      </w:r>
      <w:r w:rsidRPr="004942D3">
        <w:rPr>
          <w:lang w:val="en-US"/>
        </w:rPr>
        <w:t>horizon) executes the optimized PDCA cycle. The Plan phase collects sensor data (pH, EC, temperature, humidity, level), applies pre-processing (Kalman filtering, anomaly detection, inter-sensor cross-validation), and generates predictions via LSTM and Rand</w:t>
      </w:r>
      <w:r w:rsidRPr="004942D3">
        <w:rPr>
          <w:lang w:val="en-US"/>
        </w:rPr>
        <w:t>om Forest models. The Do phase executes validated recommendations via smart contracts (adaptive irrigation, nutritional adjustment, climate regulation, spectral LED lighting optimization). The Check phase measures post-intervention effectiveness (compariso</w:t>
      </w:r>
      <w:r w:rsidRPr="004942D3">
        <w:rPr>
          <w:lang w:val="en-US"/>
        </w:rPr>
        <w:t>n of target/actual state, calculation of performance metrics) and records blockchain transactions. The Act phase retrains predictive models (weekly for Random Forest and LSTM) and adjusts decision thresholds based on observed results.</w:t>
      </w:r>
    </w:p>
    <w:p w14:paraId="48435467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strategic level (</w:t>
      </w:r>
      <w:r w:rsidRPr="004942D3">
        <w:rPr>
          <w:lang w:val="en-US"/>
        </w:rPr>
        <w:t>daily/weekly horizon) uses DDPG to learn optimal control policies over longer horizons. The algorithm optimizes a weighted multi-objective reward function:</w:t>
      </w:r>
    </w:p>
    <w:p w14:paraId="5A09C816" w14:textId="2288EFE0" w:rsidR="00332254" w:rsidRPr="00196B03" w:rsidRDefault="00F945B1" w:rsidP="004942D3">
      <w:pPr>
        <w:pStyle w:val="AbstractBody"/>
        <w:jc w:val="center"/>
        <w:rPr>
          <w:b/>
          <w:bCs/>
          <w:color w:val="385623" w:themeColor="accent6" w:themeShade="80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=0.4⋅</m:t>
          </m:r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Δ</m:t>
          </m:r>
          <m:r>
            <m:rPr>
              <m:nor/>
            </m:rPr>
            <w:rPr>
              <w:rStyle w:val="token"/>
              <w:color w:val="50A14F"/>
              <w:sz w:val="22"/>
              <w:szCs w:val="22"/>
              <w:lang w:val="en-US"/>
            </w:rPr>
            <m:t>yield</m:t>
          </m:r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-</m:t>
          </m:r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0.2⋅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C</m:t>
              </m:r>
            </m:e>
            <m:sub>
              <m:r>
                <m:rPr>
                  <m:nor/>
                </m:rPr>
                <w:rPr>
                  <w:rStyle w:val="token"/>
                  <w:color w:val="50A14F"/>
                  <w:sz w:val="22"/>
                  <w:szCs w:val="22"/>
                  <w:lang w:val="en-US"/>
                </w:rPr>
                <m:t>water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-</m:t>
          </m:r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0.2⋅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C</m:t>
              </m:r>
            </m:e>
            <m:sub>
              <m:r>
                <m:rPr>
                  <m:nor/>
                </m:rPr>
                <w:rPr>
                  <w:rStyle w:val="token"/>
                  <w:color w:val="50A14F"/>
                  <w:sz w:val="22"/>
                  <w:szCs w:val="22"/>
                  <w:lang w:val="en-US"/>
                </w:rPr>
                <m:t>nutrient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-</m:t>
          </m:r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0.2⋅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Style w:val="token"/>
                  <w:color w:val="50A14F"/>
                  <w:sz w:val="22"/>
                  <w:szCs w:val="22"/>
                  <w:lang w:val="en-US"/>
                </w:rPr>
                <m:t>Carbon</m:t>
              </m:r>
            </m:sub>
          </m:sSub>
        </m:oMath>
      </m:oMathPara>
    </w:p>
    <w:p w14:paraId="444DD79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where </w:t>
      </w:r>
      <w:r>
        <w:t>Δ</w:t>
      </w:r>
      <w:r w:rsidRPr="004942D3">
        <w:rPr>
          <w:lang w:val="en-US"/>
        </w:rPr>
        <w:t xml:space="preserve">yield represents yield increase relative to baseline, </w:t>
      </w:r>
      <w:proofErr w:type="spellStart"/>
      <w:r w:rsidRPr="004942D3">
        <w:rPr>
          <w:lang w:val="en-US"/>
        </w:rPr>
        <w:t>Cwater</w:t>
      </w:r>
      <w:proofErr w:type="spellEnd"/>
      <w:r w:rsidRPr="004942D3">
        <w:rPr>
          <w:lang w:val="en-US"/>
        </w:rPr>
        <w:t xml:space="preserve"> the water cost, </w:t>
      </w:r>
      <w:proofErr w:type="spellStart"/>
      <w:r w:rsidRPr="004942D3">
        <w:rPr>
          <w:lang w:val="en-US"/>
        </w:rPr>
        <w:t>Cnutrient</w:t>
      </w:r>
      <w:proofErr w:type="spellEnd"/>
      <w:r w:rsidRPr="004942D3">
        <w:rPr>
          <w:lang w:val="en-US"/>
        </w:rPr>
        <w:t xml:space="preserve"> the nutritional cost, and </w:t>
      </w:r>
      <w:proofErr w:type="spellStart"/>
      <w:r w:rsidRPr="004942D3">
        <w:rPr>
          <w:lang w:val="en-US"/>
        </w:rPr>
        <w:t>Icarbon</w:t>
      </w:r>
      <w:proofErr w:type="spellEnd"/>
      <w:r w:rsidRPr="004942D3">
        <w:rPr>
          <w:lang w:val="en-US"/>
        </w:rPr>
        <w:t xml:space="preserve"> the carbon impact. The actor-critic architecture uses deep neural networks (actor: 3 dense layers 256-128-64, critic: 3 dense layers 25</w:t>
      </w:r>
      <w:r w:rsidRPr="004942D3">
        <w:rPr>
          <w:lang w:val="en-US"/>
        </w:rPr>
        <w:t>6-128-1) with attention mechanism to weight temporal inputs. Exploration uses Ornstein-</w:t>
      </w:r>
      <w:proofErr w:type="spellStart"/>
      <w:r w:rsidRPr="004942D3">
        <w:rPr>
          <w:lang w:val="en-US"/>
        </w:rPr>
        <w:t>Uhlenbeck</w:t>
      </w:r>
      <w:proofErr w:type="spellEnd"/>
      <w:r w:rsidRPr="004942D3">
        <w:rPr>
          <w:lang w:val="en-US"/>
        </w:rPr>
        <w:t xml:space="preserve"> noise with adaptive decay. The distributed replay buffer (capacity 10⁶ transitions) enables efficient learning with prioritized sampling based on TD error. Lea</w:t>
      </w:r>
      <w:r w:rsidRPr="004942D3">
        <w:rPr>
          <w:lang w:val="en-US"/>
        </w:rPr>
        <w:t xml:space="preserve">rned policies are frozen and deployed at edge for rapid inference (less than 100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).</w:t>
      </w:r>
    </w:p>
    <w:p w14:paraId="7953E53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lastRenderedPageBreak/>
        <w:t>Continuous adaptation links both levels: the operational level provides experience data (states, actions, rewards, next states) to the strategic level via a shared buffer</w:t>
      </w:r>
      <w:r w:rsidRPr="004942D3">
        <w:rPr>
          <w:lang w:val="en-US"/>
        </w:rPr>
        <w:t>, while the strategic level periodically transmits refined policies to the operational level. This architecture ensures continuous improvement while maintaining robustness and reactivity to immediate disturbances.</w:t>
      </w:r>
    </w:p>
    <w:p w14:paraId="228E2FE7" w14:textId="70838955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.4 Smart Contract Implementation</w:t>
      </w:r>
    </w:p>
    <w:p w14:paraId="43D06332" w14:textId="4C8909F0" w:rsidR="00332254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Smart </w:t>
      </w:r>
      <w:r w:rsidRPr="004942D3">
        <w:rPr>
          <w:lang w:val="en-US"/>
        </w:rPr>
        <w:t>contracts implement agronomic business rules and orchestrate physical actuators. The water management contract uses a finite state machine (STANDBY → NEEDS_ANALYSIS → IRRIGATION_PLANNING → IRRIGATION_EXECUTION → RESULTS_VERIFICATION) with anti-over-irrigat</w:t>
      </w:r>
      <w:r w:rsidRPr="004942D3">
        <w:rPr>
          <w:lang w:val="en-US"/>
        </w:rPr>
        <w:t>ion safety mechanisms. Validation verifies that total planned volume does not exceed maximum daily limit per crop and that minimum delay between irrigations is respected. Plan calculation uses proportional control:</w:t>
      </w:r>
    </w:p>
    <w:p w14:paraId="382078C8" w14:textId="5974DB22" w:rsidR="00196B03" w:rsidRPr="00BC670F" w:rsidRDefault="00F945B1" w:rsidP="00196B03">
      <w:pPr>
        <w:rPr>
          <w:rStyle w:val="token"/>
          <w:rFonts w:eastAsiaTheme="minorEastAsia"/>
          <w:b/>
          <w:bCs/>
          <w:color w:val="50A14F"/>
          <w:lang w:val="en-US"/>
        </w:rPr>
      </w:pPr>
      <m:oMathPara>
        <m:oMath>
          <m:sSub>
            <m:sSubPr>
              <m:ctrlPr>
                <w:rPr>
                  <w:rStyle w:val="token"/>
                  <w:rFonts w:ascii="Cambria Math" w:hAnsi="Cambria Math"/>
                  <w:b/>
                  <w:bCs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V</m:t>
              </m:r>
            </m:e>
            <m:sub>
              <m:r>
                <m:rPr>
                  <m:nor/>
                </m:rPr>
                <w:rPr>
                  <w:rStyle w:val="token"/>
                  <w:b/>
                  <w:bCs/>
                  <w:color w:val="50A14F"/>
                  <w:sz w:val="22"/>
                  <w:szCs w:val="22"/>
                  <w:lang w:val="en-US"/>
                </w:rPr>
                <m:t>irrigation</m:t>
              </m:r>
            </m:sub>
          </m:sSub>
          <m:r>
            <m:rPr>
              <m:sty m:val="b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=</m:t>
          </m:r>
          <m:d>
            <m:dPr>
              <m:ctrlPr>
                <w:rPr>
                  <w:rStyle w:val="token"/>
                  <w:rFonts w:ascii="Cambria Math" w:hAnsi="Cambria Math"/>
                  <w:b/>
                  <w:bCs/>
                  <w:color w:val="50A14F"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Style w:val="token"/>
                      <w:rFonts w:ascii="Cambria Math" w:hAnsi="Cambria Math"/>
                      <w:b/>
                      <w:bCs/>
                      <w:color w:val="50A14F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H</m:t>
                  </m:r>
                </m:e>
                <m:sub>
                  <m:r>
                    <m:rPr>
                      <m:nor/>
                    </m:rPr>
                    <w:rPr>
                      <w:rStyle w:val="token"/>
                      <w:b/>
                      <w:bCs/>
                      <w:color w:val="50A14F"/>
                      <w:sz w:val="22"/>
                      <w:szCs w:val="22"/>
                      <w:lang w:val="en-US"/>
                    </w:rPr>
                    <m:t>optimal</m:t>
                  </m:r>
                </m:sub>
              </m:sSub>
              <m:r>
                <m:rPr>
                  <m:sty m:val="b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-</m:t>
              </m:r>
              <m:sSub>
                <m:sSubPr>
                  <m:ctrlPr>
                    <w:rPr>
                      <w:rStyle w:val="token"/>
                      <w:rFonts w:ascii="Cambria Math" w:hAnsi="Cambria Math"/>
                      <w:b/>
                      <w:bCs/>
                      <w:color w:val="50A14F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H</m:t>
                  </m:r>
                </m:e>
                <m:sub>
                  <m:r>
                    <m:rPr>
                      <m:nor/>
                    </m:rPr>
                    <w:rPr>
                      <w:rStyle w:val="token"/>
                      <w:b/>
                      <w:bCs/>
                      <w:color w:val="50A14F"/>
                      <w:sz w:val="22"/>
                      <w:szCs w:val="22"/>
                      <w:lang w:val="en-US"/>
                    </w:rPr>
                    <m:t>current</m:t>
                  </m:r>
                </m:sub>
              </m:sSub>
            </m:e>
          </m:d>
          <m:r>
            <m:rPr>
              <m:sty m:val="b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×</m:t>
          </m:r>
          <m:r>
            <m:rPr>
              <m:sty m:val="b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A</m:t>
          </m:r>
          <m:r>
            <m:rPr>
              <m:sty m:val="b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×</m:t>
          </m:r>
          <m:sSub>
            <m:sSubPr>
              <m:ctrlPr>
                <w:rPr>
                  <w:rStyle w:val="token"/>
                  <w:rFonts w:ascii="Cambria Math" w:hAnsi="Cambria Math"/>
                  <w:b/>
                  <w:bCs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F</m:t>
              </m:r>
            </m:e>
            <m:sub>
              <m:r>
                <m:rPr>
                  <m:nor/>
                </m:rPr>
                <w:rPr>
                  <w:rStyle w:val="token"/>
                  <w:b/>
                  <w:bCs/>
                  <w:color w:val="50A14F"/>
                  <w:sz w:val="22"/>
                  <w:szCs w:val="22"/>
                  <w:lang w:val="en-US"/>
                </w:rPr>
                <m:t>ret</m:t>
              </m:r>
              <m:r>
                <m:rPr>
                  <m:nor/>
                </m:rPr>
                <w:rPr>
                  <w:rStyle w:val="token"/>
                  <w:b/>
                  <w:bCs/>
                  <w:color w:val="50A14F"/>
                  <w:sz w:val="22"/>
                  <w:szCs w:val="22"/>
                  <w:lang w:val="en-US"/>
                </w:rPr>
                <m:t>ention</m:t>
              </m:r>
            </m:sub>
          </m:sSub>
          <m:r>
            <m:rPr>
              <m:sty m:val="b"/>
            </m:rPr>
            <w:rPr>
              <w:rStyle w:val="token"/>
              <w:rFonts w:ascii="Cambria Math" w:hAnsi="Cambria Math"/>
              <w:color w:val="50A14F"/>
              <w:sz w:val="22"/>
              <w:szCs w:val="22"/>
              <w:lang w:val="en-US"/>
            </w:rPr>
            <m:t>×</m:t>
          </m:r>
          <m:sSub>
            <m:sSubPr>
              <m:ctrlPr>
                <w:rPr>
                  <w:rStyle w:val="token"/>
                  <w:rFonts w:ascii="Cambria Math" w:hAnsi="Cambria Math"/>
                  <w:b/>
                  <w:bCs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K</m:t>
              </m:r>
            </m:e>
            <m:sub>
              <m:r>
                <m:rPr>
                  <m:sty m:val="b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p</m:t>
              </m:r>
            </m:sub>
          </m:sSub>
        </m:oMath>
      </m:oMathPara>
    </w:p>
    <w:p w14:paraId="2C7A4A6F" w14:textId="174B8FC4" w:rsidR="00332254" w:rsidRPr="004942D3" w:rsidRDefault="00332254" w:rsidP="00196B03">
      <w:pPr>
        <w:pStyle w:val="AbstractBody"/>
        <w:rPr>
          <w:b/>
          <w:bCs/>
          <w:color w:val="385623" w:themeColor="accent6" w:themeShade="80"/>
          <w:lang w:val="en-US"/>
        </w:rPr>
      </w:pPr>
    </w:p>
    <w:p w14:paraId="6A8652E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where </w:t>
      </w:r>
      <w:proofErr w:type="spellStart"/>
      <w:r w:rsidRPr="004942D3">
        <w:rPr>
          <w:lang w:val="en-US"/>
        </w:rPr>
        <w:t>Hoptimal</w:t>
      </w:r>
      <w:proofErr w:type="spellEnd"/>
      <w:r w:rsidRPr="004942D3">
        <w:rPr>
          <w:lang w:val="en-US"/>
        </w:rPr>
        <w:t xml:space="preserve"> is optimal humidity, </w:t>
      </w:r>
      <w:proofErr w:type="spellStart"/>
      <w:r w:rsidRPr="004942D3">
        <w:rPr>
          <w:lang w:val="en-US"/>
        </w:rPr>
        <w:t>Hcurrent</w:t>
      </w:r>
      <w:proofErr w:type="spellEnd"/>
      <w:r w:rsidRPr="004942D3">
        <w:rPr>
          <w:lang w:val="en-US"/>
        </w:rPr>
        <w:t xml:space="preserve"> is current humidity, A is area, </w:t>
      </w:r>
      <w:proofErr w:type="spellStart"/>
      <w:r w:rsidRPr="004942D3">
        <w:rPr>
          <w:lang w:val="en-US"/>
        </w:rPr>
        <w:t>Fretention</w:t>
      </w:r>
      <w:proofErr w:type="spellEnd"/>
      <w:r w:rsidRPr="004942D3">
        <w:rPr>
          <w:lang w:val="en-US"/>
        </w:rPr>
        <w:t xml:space="preserve"> is water retention factor, and </w:t>
      </w:r>
      <w:proofErr w:type="spellStart"/>
      <w:r w:rsidRPr="004942D3">
        <w:rPr>
          <w:lang w:val="en-US"/>
        </w:rPr>
        <w:t>Kp</w:t>
      </w:r>
      <w:proofErr w:type="spellEnd"/>
      <w:r w:rsidRPr="004942D3">
        <w:rPr>
          <w:lang w:val="en-US"/>
        </w:rPr>
        <w:t xml:space="preserve"> = 0.8 is the proportional coefficient.</w:t>
      </w:r>
    </w:p>
    <w:p w14:paraId="3E281654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 nutritional management contract implements a linear programming solver to </w:t>
      </w:r>
      <w:r w:rsidRPr="004942D3">
        <w:rPr>
          <w:lang w:val="en-US"/>
        </w:rPr>
        <w:t>optimize inputs. The optimization problem minimizes total cost of nutritional sources:</w:t>
      </w:r>
    </w:p>
    <w:p w14:paraId="22ED7241" w14:textId="618AA3C2" w:rsidR="00332254" w:rsidRPr="00196B03" w:rsidRDefault="00F945B1" w:rsidP="004942D3">
      <w:pPr>
        <w:rPr>
          <w:rFonts w:eastAsiaTheme="minorEastAsia"/>
          <w:color w:val="50A14F"/>
          <w:sz w:val="22"/>
          <w:szCs w:val="22"/>
        </w:rPr>
      </w:pPr>
      <m:oMathPara>
        <m:oMath>
          <m:func>
            <m:func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funcPr>
            <m:fName>
              <m:limLow>
                <m:limLowPr>
                  <m:ctrl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min</m:t>
                  </m:r>
                </m:e>
                <m:lim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x</m:t>
                  </m:r>
                </m:lim>
              </m:limLow>
            </m:fName>
            <m:e>
              <m:nary>
                <m:naryPr>
                  <m:chr m:val="∑"/>
                  <m:supHide m:val="1"/>
                  <m:ctrl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  <m:t>i</m:t>
                      </m:r>
                    </m:sub>
                  </m:sSub>
                </m:e>
              </m:nary>
              <m:ctrlPr>
                <w:rPr>
                  <w:rStyle w:val="token"/>
                  <w:rFonts w:ascii="Cambria Math" w:hAnsi="Cambria Math"/>
                  <w:i/>
                  <w:color w:val="50A14F"/>
                  <w:sz w:val="22"/>
                  <w:szCs w:val="22"/>
                </w:rPr>
              </m:ctrlPr>
            </m:e>
          </m:func>
        </m:oMath>
      </m:oMathPara>
    </w:p>
    <w:p w14:paraId="33D87264" w14:textId="77777777" w:rsidR="00196B03" w:rsidRDefault="00196B03">
      <w:pPr>
        <w:pStyle w:val="AbstractBody"/>
        <w:rPr>
          <w:lang w:val="en-US"/>
        </w:rPr>
      </w:pPr>
    </w:p>
    <w:p w14:paraId="0A44E402" w14:textId="75936D63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under nutritional constraints for each nutrient n (N, P, K, Ca, Mg, S, Fe, Mn, Zn, B, Mo):</w:t>
      </w:r>
    </w:p>
    <w:p w14:paraId="49DD1229" w14:textId="55B4FE37" w:rsidR="00196B03" w:rsidRPr="00196B03" w:rsidRDefault="00F945B1" w:rsidP="00196B03">
      <w:pPr>
        <w:rPr>
          <w:rStyle w:val="token"/>
          <w:rFonts w:eastAsiaTheme="minorEastAsia"/>
          <w:color w:val="50A14F"/>
          <w:sz w:val="22"/>
          <w:szCs w:val="22"/>
        </w:rPr>
      </w:pPr>
      <m:oMathPara>
        <m:oMath>
          <m:nary>
            <m:naryPr>
              <m:chr m:val="∑"/>
              <m:supHide m:val="1"/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i</m:t>
              </m:r>
            </m:sub>
            <m:sup/>
            <m:e>
              <m:sSub>
                <m:sSubPr>
                  <m:ctrl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n,i</m:t>
                  </m:r>
                </m:sub>
              </m:sSub>
              <m:sSub>
                <m:sSubPr>
                  <m:ctrl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=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B</m:t>
              </m:r>
            </m:e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n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⋅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α</m:t>
              </m:r>
            </m:e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env</m:t>
              </m:r>
            </m:sub>
          </m:sSub>
        </m:oMath>
      </m:oMathPara>
    </w:p>
    <w:p w14:paraId="0FEBE3A4" w14:textId="11A930E3" w:rsidR="00332254" w:rsidRPr="004942D3" w:rsidRDefault="00332254" w:rsidP="00196B03">
      <w:pPr>
        <w:pStyle w:val="AbstractBody"/>
        <w:rPr>
          <w:b/>
          <w:bCs/>
          <w:lang w:val="pt-PT"/>
        </w:rPr>
      </w:pPr>
    </w:p>
    <w:p w14:paraId="6788C5EB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and stock constraints:</w:t>
      </w:r>
    </w:p>
    <w:p w14:paraId="051DC32F" w14:textId="0C907ACA" w:rsidR="00332254" w:rsidRPr="00196B03" w:rsidRDefault="00F945B1" w:rsidP="004942D3">
      <w:pPr>
        <w:pStyle w:val="AbstractBody"/>
        <w:jc w:val="center"/>
        <w:rPr>
          <w:b/>
          <w:bCs/>
          <w:color w:val="385623" w:themeColor="accent6" w:themeShade="80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x</m:t>
              </m:r>
            </m:e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≤</m:t>
          </m:r>
          <m:sSub>
            <m:sSub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S</m:t>
              </m:r>
            </m:e>
            <m:sub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Style w:val="token"/>
              <w:rFonts w:ascii="Cambria Math" w:hAnsi="Cambria Math"/>
              <w:color w:val="50A14F"/>
              <w:sz w:val="22"/>
              <w:szCs w:val="22"/>
            </w:rPr>
            <m:t>, ∀i</m:t>
          </m:r>
        </m:oMath>
      </m:oMathPara>
    </w:p>
    <w:p w14:paraId="61D58A6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where xi is the q</w:t>
      </w:r>
      <w:r w:rsidRPr="004942D3">
        <w:rPr>
          <w:lang w:val="en-US"/>
        </w:rPr>
        <w:t xml:space="preserve">uantity of source </w:t>
      </w:r>
      <w:proofErr w:type="spellStart"/>
      <w:r w:rsidRPr="004942D3">
        <w:rPr>
          <w:lang w:val="en-US"/>
        </w:rPr>
        <w:t>i</w:t>
      </w:r>
      <w:proofErr w:type="spellEnd"/>
      <w:r w:rsidRPr="004942D3">
        <w:rPr>
          <w:lang w:val="en-US"/>
        </w:rPr>
        <w:t xml:space="preserve">, ci its unit cost, </w:t>
      </w:r>
      <w:proofErr w:type="spellStart"/>
      <w:proofErr w:type="gramStart"/>
      <w:r w:rsidRPr="004942D3">
        <w:rPr>
          <w:lang w:val="en-US"/>
        </w:rPr>
        <w:t>ai,n</w:t>
      </w:r>
      <w:proofErr w:type="spellEnd"/>
      <w:proofErr w:type="gramEnd"/>
      <w:r w:rsidRPr="004942D3">
        <w:rPr>
          <w:lang w:val="en-US"/>
        </w:rPr>
        <w:t xml:space="preserve"> the concentration of nutrient n in source </w:t>
      </w:r>
      <w:proofErr w:type="spellStart"/>
      <w:r w:rsidRPr="004942D3">
        <w:rPr>
          <w:lang w:val="en-US"/>
        </w:rPr>
        <w:t>i</w:t>
      </w:r>
      <w:proofErr w:type="spellEnd"/>
      <w:r w:rsidRPr="004942D3">
        <w:rPr>
          <w:lang w:val="en-US"/>
        </w:rPr>
        <w:t xml:space="preserve">, bn the requirement for nutrient n, </w:t>
      </w:r>
      <w:r>
        <w:t>α</w:t>
      </w:r>
      <w:r w:rsidRPr="004942D3">
        <w:rPr>
          <w:lang w:val="en-US"/>
        </w:rPr>
        <w:t>env the environmental adjustment coefficient, and Si the available stock. The contract also validates nutritional interactions (K/M</w:t>
      </w:r>
      <w:r w:rsidRPr="004942D3">
        <w:rPr>
          <w:lang w:val="en-US"/>
        </w:rPr>
        <w:t>g ratio less than 3.0, Fe/Mn ratio less than 5.0) and optimal absorption pH (5.5-6.5).</w:t>
      </w:r>
    </w:p>
    <w:p w14:paraId="582AC72A" w14:textId="2398E1C8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environmental regulation contract uses circadian timed automata. For each plant variety, a circadian profile defines light intensity, optimal temperature, and relati</w:t>
      </w:r>
      <w:r w:rsidRPr="004942D3">
        <w:rPr>
          <w:lang w:val="en-US"/>
        </w:rPr>
        <w:t xml:space="preserve">ve humidity as functions of hour and season. LED spectrum is adjusted according to growth phase: Germination (red: 0.3, blue: 0.6, </w:t>
      </w:r>
      <w:proofErr w:type="spellStart"/>
      <w:r w:rsidRPr="004942D3">
        <w:rPr>
          <w:lang w:val="en-US"/>
        </w:rPr>
        <w:t>warm_white</w:t>
      </w:r>
      <w:proofErr w:type="spellEnd"/>
      <w:r w:rsidRPr="004942D3">
        <w:rPr>
          <w:lang w:val="en-US"/>
        </w:rPr>
        <w:t xml:space="preserve">: 0.1), Vegetative growth (red: 0.2, blue: 0.7, </w:t>
      </w:r>
      <w:proofErr w:type="spellStart"/>
      <w:r w:rsidRPr="004942D3">
        <w:rPr>
          <w:lang w:val="en-US"/>
        </w:rPr>
        <w:t>warm_white</w:t>
      </w:r>
      <w:proofErr w:type="spellEnd"/>
      <w:r w:rsidRPr="004942D3">
        <w:rPr>
          <w:lang w:val="en-US"/>
        </w:rPr>
        <w:t xml:space="preserve">: 0.1), Flowering (red: 0.5, blue: 0.3, </w:t>
      </w:r>
      <w:proofErr w:type="spellStart"/>
      <w:r w:rsidRPr="004942D3">
        <w:rPr>
          <w:lang w:val="en-US"/>
        </w:rPr>
        <w:t>warm_white</w:t>
      </w:r>
      <w:proofErr w:type="spellEnd"/>
      <w:r w:rsidRPr="004942D3">
        <w:rPr>
          <w:lang w:val="en-US"/>
        </w:rPr>
        <w:t>: 0.2),</w:t>
      </w:r>
      <w:r w:rsidRPr="004942D3">
        <w:rPr>
          <w:lang w:val="en-US"/>
        </w:rPr>
        <w:t xml:space="preserve"> Fruiting (red: 0.6, blue: 0.2, </w:t>
      </w:r>
      <w:proofErr w:type="spellStart"/>
      <w:r w:rsidRPr="004942D3">
        <w:rPr>
          <w:lang w:val="en-US"/>
        </w:rPr>
        <w:t>warm_white</w:t>
      </w:r>
      <w:proofErr w:type="spellEnd"/>
      <w:r w:rsidRPr="004942D3">
        <w:rPr>
          <w:lang w:val="en-US"/>
        </w:rPr>
        <w:t>: 0.2). Thermal regulation uses proportional control with prioritization of renewable sources. Ventilation is modulated according to proportional coefficient</w:t>
      </w:r>
      <w:r w:rsidR="00196B03">
        <w:rPr>
          <w:lang w:val="en-US"/>
        </w:rPr>
        <w:t xml:space="preserve"> </w:t>
      </w:r>
      <w:proofErr w:type="spellStart"/>
      <w:r w:rsidR="00014A6A">
        <w:rPr>
          <w:lang w:val="en-US"/>
        </w:rPr>
        <w:t>Kv</w:t>
      </w:r>
      <w:proofErr w:type="spellEnd"/>
      <w:r w:rsidR="00196B03">
        <w:rPr>
          <w:lang w:val="en-US"/>
        </w:rPr>
        <w:t xml:space="preserve"> via the formula </w:t>
      </w:r>
      <w:r w:rsidR="00196B03" w:rsidRPr="00196B03">
        <w:rPr>
          <w:rFonts w:eastAsia="Times New Roman" w:cs="Times New Roman"/>
          <w:lang w:val="en-US"/>
        </w:rPr>
        <w:t>​</w:t>
      </w:r>
      <m:oMath>
        <m:r>
          <w:rPr>
            <w:rStyle w:val="token"/>
            <w:rFonts w:ascii="Cambria Math" w:hAnsi="Cambria Math" w:cstheme="minorHAnsi"/>
            <w:color w:val="50A14F"/>
            <w:sz w:val="22"/>
            <w:szCs w:val="22"/>
          </w:rPr>
          <m:t>v</m:t>
        </m:r>
        <m:r>
          <m:rPr>
            <m:sty m:val="p"/>
          </m:rPr>
          <w:rPr>
            <w:rStyle w:val="token"/>
            <w:rFonts w:ascii="Cambria Math" w:hAnsi="Cambria Math" w:cstheme="minorHAnsi"/>
            <w:color w:val="50A14F"/>
            <w:sz w:val="22"/>
            <w:szCs w:val="22"/>
            <w:lang w:val="en-US"/>
          </w:rPr>
          <m:t>=</m:t>
        </m:r>
        <m:sSub>
          <m:sSubPr>
            <m:ctrlPr>
              <w:rPr>
                <w:rStyle w:val="token"/>
                <w:rFonts w:ascii="Cambria Math" w:hAnsi="Cambria Math" w:cstheme="minorHAnsi"/>
                <w:color w:val="50A14F"/>
                <w:sz w:val="22"/>
                <w:szCs w:val="22"/>
              </w:rPr>
            </m:ctrlPr>
          </m:sSubPr>
          <m:e>
            <m:r>
              <w:rPr>
                <w:rStyle w:val="token"/>
                <w:rFonts w:ascii="Cambria Math" w:hAnsi="Cambria Math" w:cstheme="minorHAnsi"/>
                <w:color w:val="50A14F"/>
                <w:sz w:val="22"/>
                <w:szCs w:val="22"/>
              </w:rPr>
              <m:t>K</m:t>
            </m:r>
          </m:e>
          <m:sub>
            <m:r>
              <w:rPr>
                <w:rStyle w:val="token"/>
                <w:rFonts w:ascii="Cambria Math" w:hAnsi="Cambria Math" w:cstheme="minorHAnsi"/>
                <w:color w:val="50A14F"/>
                <w:sz w:val="22"/>
                <w:szCs w:val="22"/>
              </w:rPr>
              <m:t>v</m:t>
            </m:r>
          </m:sub>
        </m:sSub>
        <m:d>
          <m:dPr>
            <m:begChr m:val="|"/>
            <m:endChr m:val="|"/>
            <m:ctrlPr>
              <w:rPr>
                <w:rStyle w:val="token"/>
                <w:rFonts w:ascii="Cambria Math" w:hAnsi="Cambria Math" w:cstheme="minorHAnsi"/>
                <w:color w:val="50A14F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Style w:val="token"/>
                    <w:rFonts w:ascii="Cambria Math" w:hAnsi="Cambria Math" w:cstheme="minorHAnsi"/>
                    <w:color w:val="50A14F"/>
                    <w:sz w:val="22"/>
                    <w:szCs w:val="22"/>
                  </w:rPr>
                </m:ctrlPr>
              </m:sSubPr>
              <m:e>
                <m:r>
                  <w:rPr>
                    <w:rStyle w:val="token"/>
                    <w:rFonts w:ascii="Cambria Math" w:hAnsi="Cambria Math" w:cstheme="minorHAnsi"/>
                    <w:color w:val="50A14F"/>
                    <w:sz w:val="22"/>
                    <w:szCs w:val="22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Style w:val="token"/>
                    <w:rFonts w:ascii="Cambria Math" w:hAnsiTheme="minorHAnsi" w:cstheme="minorHAnsi"/>
                    <w:color w:val="50A14F"/>
                    <w:sz w:val="22"/>
                    <w:szCs w:val="22"/>
                    <w:lang w:val="en-US"/>
                  </w:rPr>
                  <m:t>target</m:t>
                </m:r>
              </m:sub>
            </m:sSub>
            <m:r>
              <m:rPr>
                <m:sty m:val="p"/>
              </m:rPr>
              <w:rPr>
                <w:rStyle w:val="token"/>
                <w:rFonts w:ascii="Cambria Math" w:hAnsi="Cambria Math" w:cstheme="minorHAnsi"/>
                <w:color w:val="50A14F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Style w:val="token"/>
                    <w:rFonts w:ascii="Cambria Math" w:hAnsi="Cambria Math" w:cstheme="minorHAnsi"/>
                    <w:color w:val="50A14F"/>
                    <w:sz w:val="22"/>
                    <w:szCs w:val="22"/>
                  </w:rPr>
                </m:ctrlPr>
              </m:sSubPr>
              <m:e>
                <m:r>
                  <w:rPr>
                    <w:rStyle w:val="token"/>
                    <w:rFonts w:ascii="Cambria Math" w:hAnsi="Cambria Math" w:cstheme="minorHAnsi"/>
                    <w:color w:val="50A14F"/>
                    <w:sz w:val="22"/>
                    <w:szCs w:val="22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Style w:val="token"/>
                    <w:rFonts w:asciiTheme="minorHAnsi" w:hAnsiTheme="minorHAnsi" w:cstheme="minorHAnsi"/>
                    <w:color w:val="50A14F"/>
                    <w:sz w:val="22"/>
                    <w:szCs w:val="22"/>
                    <w:lang w:val="en-US"/>
                  </w:rPr>
                  <m:t>current</m:t>
                </m:r>
              </m:sub>
            </m:sSub>
          </m:e>
        </m:d>
      </m:oMath>
    </w:p>
    <w:p w14:paraId="7C276FDE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energy</w:t>
      </w:r>
      <w:r w:rsidRPr="004942D3">
        <w:rPr>
          <w:lang w:val="en-US"/>
        </w:rPr>
        <w:t xml:space="preserve"> management contract optimizes electrical consumption over a 24-hour horizon with 15-minute resolution, minimizing:</w:t>
      </w:r>
    </w:p>
    <w:p w14:paraId="0FFBA125" w14:textId="19D3B193" w:rsidR="00332254" w:rsidRPr="00196B03" w:rsidRDefault="00F945B1" w:rsidP="004942D3">
      <w:pPr>
        <w:pStyle w:val="AbstractBody"/>
        <w:jc w:val="center"/>
        <w:rPr>
          <w:b/>
          <w:bCs/>
          <w:color w:val="385623" w:themeColor="accent6" w:themeShade="80"/>
          <w:sz w:val="22"/>
          <w:szCs w:val="22"/>
          <w:lang w:val="en-US"/>
        </w:rPr>
      </w:pPr>
      <m:oMathPara>
        <m:oMath>
          <m:func>
            <m:funcPr>
              <m:ctrl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Style w:val="token"/>
                  <w:rFonts w:ascii="Cambria Math" w:hAnsi="Cambria Math"/>
                  <w:color w:val="50A14F"/>
                  <w:sz w:val="22"/>
                  <w:szCs w:val="22"/>
                  <w:lang w:val="en-US"/>
                </w:rPr>
                <m:t>min</m:t>
              </m:r>
            </m:fName>
            <m:e>
              <m:nary>
                <m:naryPr>
                  <m:chr m:val="∑"/>
                  <m:supHide m:val="1"/>
                  <m:ctrlP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</m:ctrlPr>
                </m:naryPr>
                <m:sub>
                  <m:r>
                    <w:rPr>
                      <w:rStyle w:val="token"/>
                      <w:rFonts w:ascii="Cambria Math" w:hAnsi="Cambria Math"/>
                      <w:color w:val="50A14F"/>
                      <w:sz w:val="22"/>
                      <w:szCs w:val="22"/>
                    </w:rPr>
                    <m:t>t</m:t>
                  </m:r>
                </m:sub>
                <m:sup/>
                <m:e>
                  <m:d>
                    <m:dPr>
                      <m:ctrl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  <m:t>P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Style w:val="token"/>
                              <w:rFonts w:ascii="Cambria Math"/>
                              <w:color w:val="50A14F"/>
                              <w:sz w:val="22"/>
                              <w:szCs w:val="22"/>
                              <w:lang w:val="en-US"/>
                            </w:rPr>
                            <m:t>grid</m:t>
                          </m:r>
                        </m:sub>
                      </m:sSub>
                      <m:d>
                        <m:dPr>
                          <m:ctrlP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  <m:t>t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  <w:lang w:val="en-US"/>
                        </w:rPr>
                        <m:t>⋅</m:t>
                      </m:r>
                      <m: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</w:rPr>
                        <m:t>τ</m:t>
                      </m:r>
                      <m:d>
                        <m:dPr>
                          <m:ctrlP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  <m:t>t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  <w:lang w:val="en-US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  <w:lang w:val="en-US"/>
                        </w:rPr>
                        <m:t>0.25+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Style w:val="token"/>
                              <w:rFonts w:ascii="Cambria Math" w:hAnsi="Cambria Math"/>
                              <w:color w:val="50A14F"/>
                              <w:sz w:val="22"/>
                              <w:szCs w:val="2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token"/>
                                  <w:rFonts w:ascii="Cambria Math" w:hAnsi="Cambria Math"/>
                                  <w:color w:val="50A14F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token"/>
                                  <w:rFonts w:ascii="Cambria Math" w:hAnsi="Cambria Math"/>
                                  <w:color w:val="50A14F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Style w:val="token"/>
                                  <w:color w:val="50A14F"/>
                                  <w:sz w:val="22"/>
                                  <w:szCs w:val="22"/>
                                  <w:lang w:val="en-US"/>
                                </w:rPr>
                                <m:t>sto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token"/>
                                  <w:rFonts w:ascii="Cambria Math"/>
                                  <w:color w:val="50A14F"/>
                                  <w:sz w:val="22"/>
                                  <w:szCs w:val="22"/>
                                  <w:lang w:val="en-US"/>
                                </w:rPr>
                                <m:t>rage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Style w:val="token"/>
                                  <w:rFonts w:ascii="Cambria Math" w:hAnsi="Cambria Math"/>
                                  <w:color w:val="50A14F"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Style w:val="token"/>
                                  <w:rFonts w:ascii="Cambria Math" w:hAnsi="Cambria Math"/>
                                  <w:color w:val="50A14F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</m:d>
                        </m:e>
                      </m:d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  <w:lang w:val="en-US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token"/>
                          <w:rFonts w:ascii="Cambria Math" w:hAnsi="Cambria Math"/>
                          <w:color w:val="50A14F"/>
                          <w:sz w:val="22"/>
                          <w:szCs w:val="22"/>
                          <w:lang w:val="en-US"/>
                        </w:rPr>
                        <m:t>0.02</m:t>
                      </m:r>
                    </m:e>
                  </m:d>
                </m:e>
              </m:nary>
            </m:e>
          </m:func>
        </m:oMath>
      </m:oMathPara>
    </w:p>
    <w:p w14:paraId="4361C7E8" w14:textId="56FD6D25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where </w:t>
      </w:r>
      <w:proofErr w:type="spellStart"/>
      <w:r w:rsidRPr="004942D3">
        <w:rPr>
          <w:lang w:val="en-US"/>
        </w:rPr>
        <w:t>P</w:t>
      </w:r>
      <w:r w:rsidRPr="00190C9B">
        <w:rPr>
          <w:vertAlign w:val="subscript"/>
          <w:lang w:val="en-US"/>
        </w:rPr>
        <w:t>grid</w:t>
      </w:r>
      <w:proofErr w:type="spellEnd"/>
      <w:r w:rsidR="00190C9B">
        <w:rPr>
          <w:vertAlign w:val="subscript"/>
          <w:lang w:val="en-US"/>
        </w:rPr>
        <w:t>(</w:t>
      </w:r>
      <w:r w:rsidRPr="00190C9B">
        <w:rPr>
          <w:vertAlign w:val="subscript"/>
          <w:lang w:val="en-US"/>
        </w:rPr>
        <w:t>t</w:t>
      </w:r>
      <w:r w:rsidR="00190C9B">
        <w:rPr>
          <w:vertAlign w:val="subscript"/>
          <w:lang w:val="en-US"/>
        </w:rPr>
        <w:t>)</w:t>
      </w:r>
      <w:r w:rsidRPr="004942D3">
        <w:rPr>
          <w:lang w:val="en-US"/>
        </w:rPr>
        <w:t xml:space="preserve"> is grid power, </w:t>
      </w:r>
      <w:r>
        <w:t>τ</w:t>
      </w:r>
      <w:r w:rsidR="00190C9B" w:rsidRPr="00190C9B">
        <w:rPr>
          <w:lang w:val="en-US"/>
        </w:rPr>
        <w:t>(</w:t>
      </w:r>
      <w:r w:rsidRPr="004942D3">
        <w:rPr>
          <w:lang w:val="en-US"/>
        </w:rPr>
        <w:t>t</w:t>
      </w:r>
      <w:r w:rsidR="00190C9B">
        <w:rPr>
          <w:lang w:val="en-US"/>
        </w:rPr>
        <w:t>)</w:t>
      </w:r>
      <w:r w:rsidRPr="004942D3">
        <w:rPr>
          <w:lang w:val="en-US"/>
        </w:rPr>
        <w:t xml:space="preserve"> the tariff at time slot t, </w:t>
      </w:r>
      <w:proofErr w:type="spellStart"/>
      <w:r w:rsidRPr="004942D3">
        <w:rPr>
          <w:lang w:val="en-US"/>
        </w:rPr>
        <w:t>P</w:t>
      </w:r>
      <w:r w:rsidRPr="00190C9B">
        <w:rPr>
          <w:vertAlign w:val="subscript"/>
          <w:lang w:val="en-US"/>
        </w:rPr>
        <w:t>storage</w:t>
      </w:r>
      <w:proofErr w:type="spellEnd"/>
      <w:r w:rsidR="00190C9B" w:rsidRPr="00190C9B">
        <w:rPr>
          <w:vertAlign w:val="subscript"/>
          <w:lang w:val="en-US"/>
        </w:rPr>
        <w:t>(</w:t>
      </w:r>
      <w:r w:rsidRPr="00190C9B">
        <w:rPr>
          <w:vertAlign w:val="subscript"/>
          <w:lang w:val="en-US"/>
        </w:rPr>
        <w:t>t</w:t>
      </w:r>
      <w:r w:rsidR="00190C9B" w:rsidRPr="00190C9B">
        <w:rPr>
          <w:vertAlign w:val="subscript"/>
          <w:lang w:val="en-US"/>
        </w:rPr>
        <w:t>)</w:t>
      </w:r>
      <w:r w:rsidRPr="004942D3">
        <w:rPr>
          <w:lang w:val="en-US"/>
        </w:rPr>
        <w:t xml:space="preserve"> the storage power (battery charge/discharge), under agronomic constraints (continuity of critical equipment, minimum photoperiod, minimum safety temperature). The system implements load shedding strategies by decreasing priority during peak pricing: secon</w:t>
      </w:r>
      <w:r w:rsidRPr="004942D3">
        <w:rPr>
          <w:lang w:val="en-US"/>
        </w:rPr>
        <w:t>dary lighting (-30%), non-critical ventilation (-20%), comfort heating (-40%).</w:t>
      </w:r>
    </w:p>
    <w:p w14:paraId="193EE35A" w14:textId="6B87E38D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.5 Hybrid On-Chain/Off-Chain Strategy</w:t>
      </w:r>
    </w:p>
    <w:p w14:paraId="1CA4C5E5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To optimize performance and scalability, the system implements a hybrid storage strategy. On-chain data (stored on Hyperledger Fabric) exc</w:t>
      </w:r>
      <w:r w:rsidRPr="004942D3">
        <w:rPr>
          <w:lang w:val="en-US"/>
        </w:rPr>
        <w:t xml:space="preserve">lusively includes: transaction metadata (timestamp, identifiers, </w:t>
      </w:r>
      <w:r w:rsidRPr="004942D3">
        <w:rPr>
          <w:lang w:val="en-US"/>
        </w:rPr>
        <w:lastRenderedPageBreak/>
        <w:t xml:space="preserve">signatures), SHA-256 hashes of voluminous data, validated decisions and execution parameters, cryptographic integrity proofs, and critical security events. Off-chain data (stored on </w:t>
      </w:r>
      <w:proofErr w:type="spellStart"/>
      <w:r w:rsidRPr="004942D3">
        <w:rPr>
          <w:lang w:val="en-US"/>
        </w:rPr>
        <w:t>MinIO</w:t>
      </w:r>
      <w:proofErr w:type="spellEnd"/>
      <w:r w:rsidRPr="004942D3">
        <w:rPr>
          <w:lang w:val="en-US"/>
        </w:rPr>
        <w:t xml:space="preserve"> wit</w:t>
      </w:r>
      <w:r w:rsidRPr="004942D3">
        <w:rPr>
          <w:lang w:val="en-US"/>
        </w:rPr>
        <w:t>h 3× geographic replication) comprises: complete sensor time series (compressed Parquet format), detailed execution logs, images and visual analyses, AI model training data, and system performance metrics.</w:t>
      </w:r>
    </w:p>
    <w:p w14:paraId="78489FA1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This architecture guarantees that the blockchain m</w:t>
      </w:r>
      <w:r w:rsidRPr="004942D3">
        <w:rPr>
          <w:lang w:val="en-US"/>
        </w:rPr>
        <w:t>aintains a sustainable growth rate (less than 1 GB/month for 100 m²) while ensuring complete cryptographic traceability via fingerprints. Each off-chain record can be verified by recalculating its hash and comparing it to the anchored on-chain value.</w:t>
      </w:r>
    </w:p>
    <w:p w14:paraId="1520E198" w14:textId="23D414C5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2</w:t>
      </w:r>
      <w:r w:rsidRPr="004942D3">
        <w:rPr>
          <w:lang w:val="en-US"/>
        </w:rPr>
        <w:t>.6 Security and Resilience Protocols</w:t>
      </w:r>
    </w:p>
    <w:p w14:paraId="297B52AC" w14:textId="28491131" w:rsidR="00332254" w:rsidRDefault="00014A6A">
      <w:pPr>
        <w:pStyle w:val="AbstractBody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5508E" wp14:editId="664C6537">
                <wp:simplePos x="0" y="0"/>
                <wp:positionH relativeFrom="column">
                  <wp:posOffset>-486410</wp:posOffset>
                </wp:positionH>
                <wp:positionV relativeFrom="paragraph">
                  <wp:posOffset>4474210</wp:posOffset>
                </wp:positionV>
                <wp:extent cx="6711315" cy="635"/>
                <wp:effectExtent l="0" t="0" r="0" b="0"/>
                <wp:wrapTopAndBottom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1FA0B" w14:textId="6A62B730" w:rsidR="00014A6A" w:rsidRPr="00014A6A" w:rsidRDefault="00014A6A" w:rsidP="00014A6A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4A6A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014A6A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F52AAB"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014A6A">
                              <w:rPr>
                                <w:lang w:val="en-US"/>
                              </w:rPr>
                              <w:t>: Overview of the system architecture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5508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8.3pt;margin-top:352.3pt;width:528.4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" stroked="f">
                <v:textbox style="mso-fit-shape-to-text:t" inset="0,0,0,0">
                  <w:txbxContent>
                    <w:p w14:paraId="2571FA0B" w14:textId="6A62B730" w:rsidR="00014A6A" w:rsidRPr="00014A6A" w:rsidRDefault="00014A6A" w:rsidP="00014A6A">
                      <w:pPr>
                        <w:pStyle w:val="Caption"/>
                        <w:jc w:val="center"/>
                        <w:rPr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14A6A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014A6A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F52AAB">
                        <w:rPr>
                          <w:noProof/>
                          <w:lang w:val="en-US"/>
                        </w:rPr>
                        <w:t>2</w:t>
                      </w:r>
                      <w:r>
                        <w:fldChar w:fldCharType="end"/>
                      </w:r>
                      <w:r w:rsidRPr="00014A6A">
                        <w:rPr>
                          <w:lang w:val="en-US"/>
                        </w:rPr>
                        <w:t>: Overview of the system architecture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EastAsia"/>
          <w:noProof/>
        </w:rPr>
        <w:drawing>
          <wp:anchor distT="0" distB="0" distL="114300" distR="114300" simplePos="0" relativeHeight="251659264" behindDoc="0" locked="0" layoutInCell="1" allowOverlap="1" wp14:anchorId="136F97A2" wp14:editId="671C0C26">
            <wp:simplePos x="0" y="0"/>
            <wp:positionH relativeFrom="column">
              <wp:posOffset>-486824</wp:posOffset>
            </wp:positionH>
            <wp:positionV relativeFrom="paragraph">
              <wp:posOffset>1653678</wp:posOffset>
            </wp:positionV>
            <wp:extent cx="6711315" cy="2763520"/>
            <wp:effectExtent l="0" t="0" r="0" b="0"/>
            <wp:wrapTopAndBottom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2D3">
        <w:rPr>
          <w:lang w:val="en-US"/>
        </w:rPr>
        <w:t>The architecture implements several security and resilience mechanisms. Cryptographic signature of measurements: each sensor signs its measurements with an ECDSA P-256 private key, with edge nodes systematically verifying signatures before ingestion. Inter-sensor cross-validation: redundant sensors for critical parameters enable detection of drifts or compromises by majority consensus. Edge autonomous mode: in case of network connectivity loss, edge nodes maintain critical functions (monitoring, alerts, emergency actions) with automatic deferred synchronization upon restoration. Recovery after failure: regular checkpoint mechanisms (every 5 min) enable rapid recovery (MTTR less than 4 min) with resumption of pending transactions. Intrusion detection: a behavioral monitoring system detects network traffic anomalies, unauthorized access attempts, and attack patterns through analysis of consolidated logs.</w:t>
      </w:r>
    </w:p>
    <w:p w14:paraId="2D75AC69" w14:textId="0FC3A7AF" w:rsidR="00014A6A" w:rsidRPr="004942D3" w:rsidRDefault="00014A6A">
      <w:pPr>
        <w:pStyle w:val="AbstractBody"/>
        <w:rPr>
          <w:lang w:val="en-US"/>
        </w:rPr>
      </w:pPr>
    </w:p>
    <w:p w14:paraId="7B1F4AC6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This detailed technical architecture guarantees that the system achieves performance objectives (latency, throughput, accuracy), security objectives (confidentiality, integrity, availability), and economic efficiency (investment cost, operational cost) wh</w:t>
      </w:r>
      <w:r w:rsidRPr="004942D3">
        <w:rPr>
          <w:lang w:val="en-US"/>
        </w:rPr>
        <w:t>ile maintaining interoperability with existing standards and scalability for large-scale deployments.</w:t>
      </w:r>
    </w:p>
    <w:p w14:paraId="7A849A44" w14:textId="5F78F147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 RESULTS AND DISCUSSION</w:t>
      </w:r>
    </w:p>
    <w:p w14:paraId="4C1F2B26" w14:textId="7F4B8CF1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.1 Experimental Configuration and Evaluation Methodology</w:t>
      </w:r>
    </w:p>
    <w:p w14:paraId="62C721C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Our experimental environment faithfully replicates the conditions of a</w:t>
      </w:r>
      <w:r w:rsidRPr="004942D3">
        <w:rPr>
          <w:lang w:val="en-US"/>
        </w:rPr>
        <w:t xml:space="preserve"> typical commercial hydroponic deployment. The test platform uses a validated system simulation on a 100 m² greenhouse cultivating cherry tomatoes in vertical aeroponic system, complemented by partial hardware prototyping of critical components for validat</w:t>
      </w:r>
      <w:r w:rsidRPr="004942D3">
        <w:rPr>
          <w:lang w:val="en-US"/>
        </w:rPr>
        <w:t>ion of real-time performance.</w:t>
      </w:r>
    </w:p>
    <w:p w14:paraId="0C689CE1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 deployed infrastructure comprises an Intel N100 orchestrator (16 GB RAM, 1 TB </w:t>
      </w:r>
      <w:proofErr w:type="spellStart"/>
      <w:r w:rsidRPr="004942D3">
        <w:rPr>
          <w:lang w:val="en-US"/>
        </w:rPr>
        <w:t>NVMe</w:t>
      </w:r>
      <w:proofErr w:type="spellEnd"/>
      <w:r w:rsidRPr="004942D3">
        <w:rPr>
          <w:lang w:val="en-US"/>
        </w:rPr>
        <w:t xml:space="preserve">, 2×2.5 </w:t>
      </w:r>
      <w:proofErr w:type="spellStart"/>
      <w:r w:rsidRPr="004942D3">
        <w:rPr>
          <w:lang w:val="en-US"/>
        </w:rPr>
        <w:t>GbE</w:t>
      </w:r>
      <w:proofErr w:type="spellEnd"/>
      <w:r w:rsidRPr="004942D3">
        <w:rPr>
          <w:lang w:val="en-US"/>
        </w:rPr>
        <w:t xml:space="preserve">) hosting K3s 1.27, Hyperledger Fabric 2.5 with Raft ordering service (3 nodes), </w:t>
      </w:r>
      <w:proofErr w:type="spellStart"/>
      <w:r w:rsidRPr="004942D3">
        <w:rPr>
          <w:lang w:val="en-US"/>
        </w:rPr>
        <w:t>MinIO</w:t>
      </w:r>
      <w:proofErr w:type="spellEnd"/>
      <w:r w:rsidRPr="004942D3">
        <w:rPr>
          <w:lang w:val="en-US"/>
        </w:rPr>
        <w:t xml:space="preserve"> for object storage, and Prometheus/Grafana</w:t>
      </w:r>
      <w:r w:rsidRPr="004942D3">
        <w:rPr>
          <w:lang w:val="en-US"/>
        </w:rPr>
        <w:t xml:space="preserve"> stack. Eight RK3588 computing nodes (16 GB RAM, 512 GB </w:t>
      </w:r>
      <w:proofErr w:type="spellStart"/>
      <w:r w:rsidRPr="004942D3">
        <w:rPr>
          <w:lang w:val="en-US"/>
        </w:rPr>
        <w:t>NVMe</w:t>
      </w:r>
      <w:proofErr w:type="spellEnd"/>
      <w:r w:rsidRPr="004942D3">
        <w:rPr>
          <w:lang w:val="en-US"/>
        </w:rPr>
        <w:t xml:space="preserve">, </w:t>
      </w:r>
      <w:r w:rsidRPr="004942D3">
        <w:rPr>
          <w:lang w:val="en-US"/>
        </w:rPr>
        <w:lastRenderedPageBreak/>
        <w:t xml:space="preserve">2.5 </w:t>
      </w:r>
      <w:proofErr w:type="spellStart"/>
      <w:r w:rsidRPr="004942D3">
        <w:rPr>
          <w:lang w:val="en-US"/>
        </w:rPr>
        <w:t>GbE</w:t>
      </w:r>
      <w:proofErr w:type="spellEnd"/>
      <w:r w:rsidRPr="004942D3">
        <w:rPr>
          <w:lang w:val="en-US"/>
        </w:rPr>
        <w:t>) execute Fabric peers, AI inference (Random Forest, LSTM, DDPG policy), and IoT processing. The prototyped sensor network includes 24 distributed probes: pH (Atlas Scientific EZO-pH, ±0.</w:t>
      </w:r>
      <w:r w:rsidRPr="004942D3">
        <w:rPr>
          <w:lang w:val="en-US"/>
        </w:rPr>
        <w:t>1 unit), EC (Atlas Scientific EZO-EC, ±10 µS/cm), temperature/humidity (</w:t>
      </w:r>
      <w:proofErr w:type="spellStart"/>
      <w:r w:rsidRPr="004942D3">
        <w:rPr>
          <w:lang w:val="en-US"/>
        </w:rPr>
        <w:t>Sensirion</w:t>
      </w:r>
      <w:proofErr w:type="spellEnd"/>
      <w:r w:rsidRPr="004942D3">
        <w:rPr>
          <w:lang w:val="en-US"/>
        </w:rPr>
        <w:t xml:space="preserve"> SHT45, ±0.1°C/±1%RH), immersion temperature (PT1000 class A), and level (ultrasonic </w:t>
      </w:r>
      <w:proofErr w:type="spellStart"/>
      <w:r w:rsidRPr="004942D3">
        <w:rPr>
          <w:lang w:val="en-US"/>
        </w:rPr>
        <w:t>Pepperl+Fuchs</w:t>
      </w:r>
      <w:proofErr w:type="spellEnd"/>
      <w:r w:rsidRPr="004942D3">
        <w:rPr>
          <w:lang w:val="en-US"/>
        </w:rPr>
        <w:t xml:space="preserve"> UB4000, ±3 mm). Communications utilize </w:t>
      </w:r>
      <w:proofErr w:type="spellStart"/>
      <w:r w:rsidRPr="004942D3">
        <w:rPr>
          <w:lang w:val="en-US"/>
        </w:rPr>
        <w:t>LoRaWAN</w:t>
      </w:r>
      <w:proofErr w:type="spellEnd"/>
      <w:r w:rsidRPr="004942D3">
        <w:rPr>
          <w:lang w:val="en-US"/>
        </w:rPr>
        <w:t xml:space="preserve"> (</w:t>
      </w:r>
      <w:proofErr w:type="spellStart"/>
      <w:r w:rsidRPr="004942D3">
        <w:rPr>
          <w:lang w:val="en-US"/>
        </w:rPr>
        <w:t>Multitech</w:t>
      </w:r>
      <w:proofErr w:type="spellEnd"/>
      <w:r w:rsidRPr="004942D3">
        <w:rPr>
          <w:lang w:val="en-US"/>
        </w:rPr>
        <w:t xml:space="preserve"> Conduit gateways I</w:t>
      </w:r>
      <w:r w:rsidRPr="004942D3">
        <w:rPr>
          <w:lang w:val="en-US"/>
        </w:rPr>
        <w:t xml:space="preserve">P67, EU868, adaptive SF7-12) and MQTT (Eclipse </w:t>
      </w:r>
      <w:proofErr w:type="spellStart"/>
      <w:r w:rsidRPr="004942D3">
        <w:rPr>
          <w:lang w:val="en-US"/>
        </w:rPr>
        <w:t>Mosquitto</w:t>
      </w:r>
      <w:proofErr w:type="spellEnd"/>
      <w:r w:rsidRPr="004942D3">
        <w:rPr>
          <w:lang w:val="en-US"/>
        </w:rPr>
        <w:t xml:space="preserve"> 2.0 broker, QoS 1).</w:t>
      </w:r>
    </w:p>
    <w:p w14:paraId="24570A54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evaluation protocol follows a rigorous four-phase methodology. Nominal performance tests measure end-to-end latency (sensor → edge → DLT → actuation), transactional throughput</w:t>
      </w:r>
      <w:r w:rsidRPr="004942D3">
        <w:rPr>
          <w:lang w:val="en-US"/>
        </w:rPr>
        <w:t xml:space="preserve"> under progressive load (10-1000 TPS), resource utilization (CPU, RAM, network), and energy consumption. Resilience tests validate fault tolerance (abrupt shutdown of critical nodes, 4h network partitioning), automatic recovery (MTTR), edge autonomous mode</w:t>
      </w:r>
      <w:r w:rsidRPr="004942D3">
        <w:rPr>
          <w:lang w:val="en-US"/>
        </w:rPr>
        <w:t xml:space="preserve"> (continuity of critical functions), and post-failure synchronization. Security tests include injection of corrupted data (cryptographic validation), unauthorized access attempts (certificate-based access control), and denial of service attacks (rate limit</w:t>
      </w:r>
      <w:r w:rsidRPr="004942D3">
        <w:rPr>
          <w:lang w:val="en-US"/>
        </w:rPr>
        <w:t>ing mechanisms). AI performance tests evaluate accuracy of predictive models (Random Forest, LSTM, DDPG), inference time, learning convergence, and adaptation to environmental variations.</w:t>
      </w:r>
    </w:p>
    <w:p w14:paraId="3A3400E6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Each test is repeated 30 times to obtain statistically significant r</w:t>
      </w:r>
      <w:r w:rsidRPr="004942D3">
        <w:rPr>
          <w:lang w:val="en-US"/>
        </w:rPr>
        <w:t>esults, with confidence intervals calculated at 95%. Simulations cover a complete annual cycle (52 weeks) to capture seasonal variations and long-term learning effects.</w:t>
      </w:r>
    </w:p>
    <w:p w14:paraId="78133CDC" w14:textId="714FE634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.2 Analysis of Operational Performance</w:t>
      </w:r>
    </w:p>
    <w:p w14:paraId="1512C4C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Results demonstrate that the DLT-IoT-AI archite</w:t>
      </w:r>
      <w:r w:rsidRPr="004942D3">
        <w:rPr>
          <w:lang w:val="en-US"/>
        </w:rPr>
        <w:t>cture achieves performance compatible with demanding production deployments.</w:t>
      </w:r>
    </w:p>
    <w:p w14:paraId="0C14B02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Complete system performance: Annual cycle simulation reveals optimal convergence of the DDPG algorithm after 45 days of learning, with reward function stabilized at 2.3 ± 0.2. Agr</w:t>
      </w:r>
      <w:r w:rsidRPr="004942D3">
        <w:rPr>
          <w:lang w:val="en-US"/>
        </w:rPr>
        <w:t>onomic metrics demonstrate significant improvements: yield of 4.2 kg/m²/cycle representing an 18% increase compared to static control (3.56 kg/m²/cycle), input costs of 12 €/m²/cycle or a 15% reduction compared to traditional methods (14.12 €/m²/cycle), en</w:t>
      </w:r>
      <w:r w:rsidRPr="004942D3">
        <w:rPr>
          <w:lang w:val="en-US"/>
        </w:rPr>
        <w:t>ergy consumption of 85 kWh/m²/cycle with 22% reduction during peak pricing thanks to DDPG optimization, and variability of yields between cycles reduced by 40% (standard deviation from 0.48 to 0.29 kg/m²). Facing a simulated 30% increase in electricity cos</w:t>
      </w:r>
      <w:r w:rsidRPr="004942D3">
        <w:rPr>
          <w:lang w:val="en-US"/>
        </w:rPr>
        <w:t>t, the system automatically maintains profitability through 22% reduction in consumption with only 5% impact on yield, demonstrating the robustness of multi-objective optimization.</w:t>
      </w:r>
    </w:p>
    <w:p w14:paraId="10B5E305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Validation of IoT-Blockchain integration: The sensor-DLT integration protot</w:t>
      </w:r>
      <w:r w:rsidRPr="004942D3">
        <w:rPr>
          <w:lang w:val="en-US"/>
        </w:rPr>
        <w:t xml:space="preserve">ype reveals performance compliant with specifications: sensor → blockchain latency of 847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(objective less than 2 s), decomposed into acquisition plus local signature (120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), </w:t>
      </w:r>
      <w:proofErr w:type="spellStart"/>
      <w:r w:rsidRPr="004942D3">
        <w:rPr>
          <w:lang w:val="en-US"/>
        </w:rPr>
        <w:t>LoRaWAN</w:t>
      </w:r>
      <w:proofErr w:type="spellEnd"/>
      <w:r w:rsidRPr="004942D3">
        <w:rPr>
          <w:lang w:val="en-US"/>
        </w:rPr>
        <w:t xml:space="preserve"> transmission (350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), edge validation (180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), and Raft consensus p</w:t>
      </w:r>
      <w:r w:rsidRPr="004942D3">
        <w:rPr>
          <w:lang w:val="en-US"/>
        </w:rPr>
        <w:t xml:space="preserve">lus writing (197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). Energy autonomy reaches 14 months on 18650 battery (3400 </w:t>
      </w:r>
      <w:proofErr w:type="spellStart"/>
      <w:r w:rsidRPr="004942D3">
        <w:rPr>
          <w:lang w:val="en-US"/>
        </w:rPr>
        <w:t>mAh</w:t>
      </w:r>
      <w:proofErr w:type="spellEnd"/>
      <w:r w:rsidRPr="004942D3">
        <w:rPr>
          <w:lang w:val="en-US"/>
        </w:rPr>
        <w:t>, 3.7V) with acquisition cycles of 5 min for pH/EC and 15 min for nutrients, exceeding the 12-month objective. Transactional throughput measures 150 TPS with 1.2 s validation</w:t>
      </w:r>
      <w:r w:rsidRPr="004942D3">
        <w:rPr>
          <w:lang w:val="en-US"/>
        </w:rPr>
        <w:t xml:space="preserve"> (optimized 3-node Raft consensus), maintained stable even under maximum load. Security reliability demonstrates 100% detection of critical thresholds with 0% false positives over 1000 tested irrigation cycles, validating the robustness of smart contracts.</w:t>
      </w:r>
    </w:p>
    <w:p w14:paraId="2CD2E20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Artificial intelligence model performance: Evaluation on 500 validated synthetic samples (70/15/15 train/validation/test split) establishes the following performance. Random Forest (nutrition): accuracy 96.3%, R² coefficient 0.92, inference time 42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(RK</w:t>
      </w:r>
      <w:r w:rsidRPr="004942D3">
        <w:rPr>
          <w:lang w:val="en-US"/>
        </w:rPr>
        <w:t xml:space="preserve">3588 NPU), consistent feature importance (EC 34%, pH 27%, temperature 18%, history 21%). Bidirectional LSTM (48h temporal prediction): pH error 0.08 unit (MAE), EC error 15 µS/cm (MAE), inference time 68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(RK3588, quantized TensorFlow Lite INT8), converg</w:t>
      </w:r>
      <w:r w:rsidRPr="004942D3">
        <w:rPr>
          <w:lang w:val="en-US"/>
        </w:rPr>
        <w:t xml:space="preserve">ence after 250 training epochs. DDPG (adaptive control): stability less than 5% variance over last 100 episodes, generalization with 8% degradation on new crop varieties (basil → lettuce), response time 87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for action selection (frozen policy at edge), c</w:t>
      </w:r>
      <w:r w:rsidRPr="004942D3">
        <w:rPr>
          <w:lang w:val="en-US"/>
        </w:rPr>
        <w:t>ontinuous improvement of reward function (+12% between week 10 and week 50).</w:t>
      </w:r>
    </w:p>
    <w:p w14:paraId="3136DF25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Integrated system validation: Scale-up tests demonstrate large-scale operational capacity: support for 500 simultaneous sensors (equivalent to 50 hectares hydroponic), edge CPU ut</w:t>
      </w:r>
      <w:r w:rsidRPr="004942D3">
        <w:rPr>
          <w:lang w:val="en-US"/>
        </w:rPr>
        <w:t xml:space="preserve">ilization at 65% under nominal load (35% margin for peaks), RAM utilization at 8.2 GB/16 GB (51%), critical alert latency less than 200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(99th percentile), recovery after failure in 3.5 minutes (objective less than 15 min) including detection, isolation </w:t>
      </w:r>
      <w:r w:rsidRPr="004942D3">
        <w:rPr>
          <w:lang w:val="en-US"/>
        </w:rPr>
        <w:t>and complete resumption, blockchain integrity at 100% preserved transactions with checkpoint mechanism every 5 min, and Raft consensus maintained at 1.8 s even under simulated maximum load (1000 TPS).</w:t>
      </w:r>
    </w:p>
    <w:p w14:paraId="211B60CA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lastRenderedPageBreak/>
        <w:t>Operational resilience validation: Operational continui</w:t>
      </w:r>
      <w:r w:rsidRPr="004942D3">
        <w:rPr>
          <w:lang w:val="en-US"/>
        </w:rPr>
        <w:t>ty tests during 4-hour network failures reveal: maintenance of critical functions in edge autonomous mode (continuous monitoring, local alerts, pH/temperature emergency actions), automatic post-failure synchronization without data loss (3847 deferred trans</w:t>
      </w:r>
      <w:r w:rsidRPr="004942D3">
        <w:rPr>
          <w:lang w:val="en-US"/>
        </w:rPr>
        <w:t>actions replicated in 8.3 minutes), global availability of 99.7% over 6 months of tests (objective 99.5%), MTBF (Mean Time Between Failures) of 2340 hours for edge nodes, MTTR (Mean Time To Repair) of 3.8 minutes, and integrity verified by on-chain hash re</w:t>
      </w:r>
      <w:r w:rsidRPr="004942D3">
        <w:rPr>
          <w:lang w:val="en-US"/>
        </w:rPr>
        <w:t>validation (100% correspondence).</w:t>
      </w:r>
    </w:p>
    <w:p w14:paraId="325CF0C3" w14:textId="12980A17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.3 Comparative Analysis and Positioning</w:t>
      </w:r>
    </w:p>
    <w:p w14:paraId="328D3857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Comparative evaluation positions our architecture relative to existing systems across three dimensions: technical performance, economic efficiency, and environmental impact.</w:t>
      </w:r>
    </w:p>
    <w:p w14:paraId="6EB730BA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Compari</w:t>
      </w:r>
      <w:r w:rsidRPr="004942D3">
        <w:rPr>
          <w:lang w:val="en-US"/>
        </w:rPr>
        <w:t>son with traditional hydroponic systems: Our architecture demonstrates significant advantages, as summarized in Table 1.</w:t>
      </w:r>
    </w:p>
    <w:p w14:paraId="0AA16594" w14:textId="4072EAE7" w:rsidR="004942D3" w:rsidRDefault="00F945B1">
      <w:pPr>
        <w:pStyle w:val="AbstractBody"/>
        <w:rPr>
          <w:lang w:val="en-US"/>
        </w:rPr>
      </w:pPr>
      <w:r w:rsidRPr="004942D3">
        <w:rPr>
          <w:b/>
          <w:bCs/>
          <w:lang w:val="en-US"/>
        </w:rPr>
        <w:t>Table 1.</w:t>
      </w:r>
      <w:r w:rsidRPr="004942D3">
        <w:rPr>
          <w:lang w:val="en-US"/>
        </w:rPr>
        <w:tab/>
      </w:r>
      <w:r w:rsidRPr="00FB506E">
        <w:rPr>
          <w:b/>
          <w:bCs/>
          <w:lang w:val="en-US"/>
        </w:rPr>
        <w:t>Comparative performance of hydroponic management systems</w:t>
      </w:r>
    </w:p>
    <w:tbl>
      <w:tblPr>
        <w:tblW w:w="748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418"/>
        <w:gridCol w:w="1701"/>
        <w:gridCol w:w="1528"/>
      </w:tblGrid>
      <w:tr w:rsidR="004942D3" w:rsidRPr="00DC3180" w14:paraId="2942218F" w14:textId="77777777" w:rsidTr="00FB506E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14:paraId="4ED840C3" w14:textId="2A429D71" w:rsidR="004942D3" w:rsidRPr="00DC3180" w:rsidRDefault="004942D3" w:rsidP="004942D3">
            <w:pPr>
              <w:rPr>
                <w:b/>
              </w:rPr>
            </w:pPr>
            <w:proofErr w:type="spellStart"/>
            <w:r>
              <w:rPr>
                <w:b/>
                <w:bCs/>
              </w:rPr>
              <w:t>Metric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4B7D12B" w14:textId="58829F96" w:rsidR="004942D3" w:rsidRPr="00DC3180" w:rsidRDefault="004942D3" w:rsidP="004942D3">
            <w:pPr>
              <w:jc w:val="both"/>
              <w:rPr>
                <w:b/>
              </w:rPr>
            </w:pPr>
            <w:proofErr w:type="spellStart"/>
            <w:r>
              <w:rPr>
                <w:b/>
                <w:bCs/>
              </w:rPr>
              <w:t>Traditional</w:t>
            </w:r>
            <w:proofErr w:type="spellEnd"/>
            <w:r>
              <w:rPr>
                <w:b/>
                <w:bCs/>
              </w:rPr>
              <w:t xml:space="preserve"> PKI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11A9717" w14:textId="1BCB2B9E" w:rsidR="004942D3" w:rsidRPr="00DC3180" w:rsidRDefault="004942D3" w:rsidP="004942D3">
            <w:pPr>
              <w:jc w:val="both"/>
              <w:rPr>
                <w:b/>
              </w:rPr>
            </w:pPr>
            <w:proofErr w:type="spellStart"/>
            <w:r>
              <w:rPr>
                <w:b/>
                <w:bCs/>
              </w:rPr>
              <w:t>OptiClimate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Farm</w:t>
            </w:r>
            <w:proofErr w:type="spellEnd"/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1A5AA8C9" w14:textId="01C3157D" w:rsidR="004942D3" w:rsidRPr="00DC3180" w:rsidRDefault="004942D3" w:rsidP="004942D3">
            <w:pPr>
              <w:jc w:val="both"/>
              <w:rPr>
                <w:b/>
              </w:rPr>
            </w:pPr>
            <w:r>
              <w:rPr>
                <w:b/>
                <w:bCs/>
              </w:rPr>
              <w:t>Our Solution</w:t>
            </w:r>
          </w:p>
        </w:tc>
      </w:tr>
      <w:tr w:rsidR="004942D3" w:rsidRPr="004942D3" w14:paraId="6A046339" w14:textId="77777777" w:rsidTr="00FB506E">
        <w:trPr>
          <w:trHeight w:val="167"/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14:paraId="06C9B306" w14:textId="589ED184" w:rsidR="004942D3" w:rsidRPr="00DC3180" w:rsidRDefault="004942D3" w:rsidP="004942D3">
            <w:pPr>
              <w:rPr>
                <w:vanish/>
              </w:rPr>
            </w:pP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latency</w:t>
            </w:r>
            <w:proofErr w:type="spellEnd"/>
            <w:r>
              <w:t xml:space="preserve"> (ms)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30EA4A4" w14:textId="26311349" w:rsidR="004942D3" w:rsidRPr="00DC3180" w:rsidRDefault="004942D3" w:rsidP="004942D3">
            <w:pPr>
              <w:jc w:val="both"/>
              <w:rPr>
                <w:vanish/>
              </w:rPr>
            </w:pPr>
            <w:r>
              <w:t>N/A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F9E6923" w14:textId="5C551FDE" w:rsidR="004942D3" w:rsidRPr="00DC3180" w:rsidRDefault="004942D3" w:rsidP="004942D3">
            <w:pPr>
              <w:jc w:val="both"/>
              <w:rPr>
                <w:vanish/>
              </w:rPr>
            </w:pPr>
            <w:r>
              <w:t>180</w:t>
            </w:r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4D8B7ABD" w14:textId="341C1834" w:rsidR="004942D3" w:rsidRPr="00DC3180" w:rsidRDefault="004942D3" w:rsidP="004942D3">
            <w:pPr>
              <w:jc w:val="both"/>
              <w:rPr>
                <w:vanish/>
              </w:rPr>
            </w:pPr>
            <w:r>
              <w:t>847*</w:t>
            </w:r>
          </w:p>
        </w:tc>
      </w:tr>
      <w:tr w:rsidR="004942D3" w:rsidRPr="004942D3" w14:paraId="1CF4DD0D" w14:textId="77777777" w:rsidTr="00FB506E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0C3C283" w14:textId="5FD88A25" w:rsidR="004942D3" w:rsidRPr="00DC3180" w:rsidRDefault="004942D3" w:rsidP="004942D3">
            <w:proofErr w:type="spellStart"/>
            <w:r>
              <w:t>Yield</w:t>
            </w:r>
            <w:proofErr w:type="spellEnd"/>
            <w:r>
              <w:t xml:space="preserve"> (kg/m²/cycle)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545B0C3" w14:textId="43BDB089" w:rsidR="004942D3" w:rsidRPr="00DC3180" w:rsidRDefault="004942D3" w:rsidP="004942D3">
            <w:pPr>
              <w:jc w:val="both"/>
            </w:pPr>
            <w:r>
              <w:t>3.56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F9E6FC" w14:textId="48B46ED3" w:rsidR="004942D3" w:rsidRPr="00DC3180" w:rsidRDefault="004942D3" w:rsidP="004942D3">
            <w:pPr>
              <w:jc w:val="both"/>
            </w:pPr>
            <w:r>
              <w:t>3.92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</w:tcPr>
          <w:p w14:paraId="761812D8" w14:textId="34D95AC9" w:rsidR="004942D3" w:rsidRPr="00DC3180" w:rsidRDefault="004942D3" w:rsidP="004942D3">
            <w:pPr>
              <w:jc w:val="both"/>
            </w:pPr>
            <w:r>
              <w:t>4.20</w:t>
            </w:r>
          </w:p>
        </w:tc>
      </w:tr>
      <w:tr w:rsidR="004942D3" w:rsidRPr="004942D3" w14:paraId="76CAE072" w14:textId="77777777" w:rsidTr="00FB506E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3A10216" w14:textId="11389B70" w:rsidR="004942D3" w:rsidRPr="00DC3180" w:rsidRDefault="004942D3" w:rsidP="004942D3">
            <w:r>
              <w:t xml:space="preserve">Input </w:t>
            </w:r>
            <w:proofErr w:type="spellStart"/>
            <w:r>
              <w:t>cost</w:t>
            </w:r>
            <w:proofErr w:type="spellEnd"/>
            <w:r>
              <w:t xml:space="preserve"> (€/m²/cycle)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E63C326" w14:textId="5F2A4984" w:rsidR="004942D3" w:rsidRPr="00DC3180" w:rsidRDefault="004942D3" w:rsidP="004942D3">
            <w:pPr>
              <w:jc w:val="both"/>
            </w:pPr>
            <w:r>
              <w:t>14.12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B02587" w14:textId="4D0C7310" w:rsidR="004942D3" w:rsidRPr="00DC3180" w:rsidRDefault="004942D3" w:rsidP="004942D3">
            <w:pPr>
              <w:jc w:val="both"/>
            </w:pPr>
            <w:r>
              <w:t>12.84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</w:tcPr>
          <w:p w14:paraId="1FFD004E" w14:textId="117C9DF9" w:rsidR="004942D3" w:rsidRPr="00DC3180" w:rsidRDefault="004942D3" w:rsidP="004942D3">
            <w:pPr>
              <w:jc w:val="both"/>
            </w:pPr>
            <w:r>
              <w:t>12.00</w:t>
            </w:r>
          </w:p>
        </w:tc>
      </w:tr>
      <w:tr w:rsidR="004942D3" w:rsidRPr="004942D3" w14:paraId="3A7E4F52" w14:textId="77777777" w:rsidTr="00FB506E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DA30692" w14:textId="5D9DE028" w:rsidR="004942D3" w:rsidRPr="004942D3" w:rsidRDefault="004942D3" w:rsidP="004942D3">
            <w:pPr>
              <w:rPr>
                <w:lang w:val="en-US"/>
              </w:rPr>
            </w:pPr>
            <w:r w:rsidRPr="004942D3">
              <w:rPr>
                <w:lang w:val="en-US"/>
              </w:rPr>
              <w:t>Energy</w:t>
            </w:r>
            <w:r>
              <w:rPr>
                <w:lang w:val="en-US"/>
              </w:rPr>
              <w:t xml:space="preserve"> </w:t>
            </w:r>
            <w:r w:rsidRPr="004942D3">
              <w:rPr>
                <w:lang w:val="en-US"/>
              </w:rPr>
              <w:t>consumption (kWh/m²/cycle)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4E2C242" w14:textId="74532D4F" w:rsidR="004942D3" w:rsidRPr="00DC3180" w:rsidRDefault="004942D3" w:rsidP="004942D3">
            <w:pPr>
              <w:jc w:val="both"/>
            </w:pPr>
            <w: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9D6043" w14:textId="71A7018E" w:rsidR="004942D3" w:rsidRPr="00DC3180" w:rsidRDefault="004942D3" w:rsidP="004942D3">
            <w:pPr>
              <w:jc w:val="both"/>
            </w:pPr>
            <w:r>
              <w:t>98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</w:tcPr>
          <w:p w14:paraId="7D07DE90" w14:textId="74C521D6" w:rsidR="004942D3" w:rsidRPr="00DC3180" w:rsidRDefault="004942D3" w:rsidP="004942D3">
            <w:pPr>
              <w:jc w:val="both"/>
            </w:pPr>
            <w:r>
              <w:t>85</w:t>
            </w:r>
          </w:p>
        </w:tc>
      </w:tr>
      <w:tr w:rsidR="004942D3" w:rsidRPr="004942D3" w14:paraId="2D6F0E54" w14:textId="77777777" w:rsidTr="00FB506E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D95BADC" w14:textId="4DCC30FE" w:rsidR="004942D3" w:rsidRPr="00DC3180" w:rsidRDefault="004942D3" w:rsidP="004942D3">
            <w:proofErr w:type="spellStart"/>
            <w:r>
              <w:t>Traceability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87D5245" w14:textId="35FE202B" w:rsidR="004942D3" w:rsidRPr="00DC3180" w:rsidRDefault="004942D3" w:rsidP="004942D3">
            <w:pPr>
              <w:jc w:val="both"/>
            </w:pPr>
            <w:r>
              <w:t>Manual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82A5E0" w14:textId="2EF38F23" w:rsidR="004942D3" w:rsidRPr="00DC3180" w:rsidRDefault="004942D3" w:rsidP="004942D3">
            <w:pPr>
              <w:jc w:val="both"/>
            </w:pPr>
            <w:proofErr w:type="spellStart"/>
            <w:r>
              <w:t>Centralized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</w:tcPr>
          <w:p w14:paraId="3154B2D0" w14:textId="49AFFA6A" w:rsidR="004942D3" w:rsidRPr="00DC3180" w:rsidRDefault="004942D3" w:rsidP="004942D3">
            <w:pPr>
              <w:jc w:val="both"/>
            </w:pPr>
            <w:r>
              <w:t>Distributed</w:t>
            </w:r>
          </w:p>
        </w:tc>
      </w:tr>
      <w:tr w:rsidR="004942D3" w:rsidRPr="004942D3" w14:paraId="7B1DEB19" w14:textId="77777777" w:rsidTr="00FB506E">
        <w:trPr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40CB32A1" w14:textId="45D123C1" w:rsidR="004942D3" w:rsidRDefault="004942D3" w:rsidP="004942D3">
            <w:proofErr w:type="spellStart"/>
            <w:r>
              <w:t>Sensor</w:t>
            </w:r>
            <w:proofErr w:type="spellEnd"/>
            <w:r>
              <w:t xml:space="preserve"> </w:t>
            </w:r>
            <w:proofErr w:type="spellStart"/>
            <w:r>
              <w:t>autonomy</w:t>
            </w:r>
            <w:proofErr w:type="spellEnd"/>
            <w:r>
              <w:t xml:space="preserve"> (</w:t>
            </w:r>
            <w:proofErr w:type="spellStart"/>
            <w:r>
              <w:t>months</w:t>
            </w:r>
            <w:proofErr w:type="spellEnd"/>
            <w:r>
              <w:t>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047CE77F" w14:textId="7124DDD2" w:rsidR="004942D3" w:rsidRPr="00DC3180" w:rsidRDefault="004942D3" w:rsidP="004942D3">
            <w:pPr>
              <w:jc w:val="both"/>
            </w:pPr>
            <w:r>
              <w:t>3-6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61C8E339" w14:textId="50C6F094" w:rsidR="004942D3" w:rsidRPr="00DC3180" w:rsidRDefault="004942D3" w:rsidP="004942D3">
            <w:pPr>
              <w:jc w:val="both"/>
            </w:pPr>
            <w:r>
              <w:t>6-9</w:t>
            </w:r>
          </w:p>
        </w:tc>
        <w:tc>
          <w:tcPr>
            <w:tcW w:w="1528" w:type="dxa"/>
            <w:tcBorders>
              <w:top w:val="nil"/>
              <w:bottom w:val="single" w:sz="4" w:space="0" w:color="auto"/>
            </w:tcBorders>
          </w:tcPr>
          <w:p w14:paraId="111892BE" w14:textId="7F268F18" w:rsidR="004942D3" w:rsidRPr="00DC3180" w:rsidRDefault="004942D3" w:rsidP="004942D3">
            <w:pPr>
              <w:jc w:val="both"/>
            </w:pPr>
            <w:r>
              <w:t>14</w:t>
            </w:r>
          </w:p>
        </w:tc>
      </w:tr>
      <w:tr w:rsidR="004942D3" w:rsidRPr="004942D3" w14:paraId="6740ABB6" w14:textId="77777777" w:rsidTr="00FB506E">
        <w:trPr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55F9C5C2" w14:textId="37084E3E" w:rsidR="004942D3" w:rsidRDefault="004942D3" w:rsidP="004942D3">
            <w:r>
              <w:t xml:space="preserve">5-year </w:t>
            </w:r>
            <w:proofErr w:type="spellStart"/>
            <w:r>
              <w:t>cost</w:t>
            </w:r>
            <w:proofErr w:type="spellEnd"/>
            <w:r>
              <w:t xml:space="preserve"> (k€)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12F0507" w14:textId="2E5EB714" w:rsidR="004942D3" w:rsidRPr="00DC3180" w:rsidRDefault="004942D3" w:rsidP="004942D3">
            <w:pPr>
              <w:jc w:val="both"/>
            </w:pPr>
            <w:r>
              <w:t>48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70122A1" w14:textId="7B0846D0" w:rsidR="004942D3" w:rsidRPr="00DC3180" w:rsidRDefault="004942D3" w:rsidP="004942D3">
            <w:pPr>
              <w:jc w:val="both"/>
            </w:pPr>
            <w:r>
              <w:t>52</w:t>
            </w:r>
          </w:p>
        </w:tc>
        <w:tc>
          <w:tcPr>
            <w:tcW w:w="1528" w:type="dxa"/>
            <w:tcBorders>
              <w:top w:val="nil"/>
              <w:bottom w:val="single" w:sz="4" w:space="0" w:color="auto"/>
            </w:tcBorders>
          </w:tcPr>
          <w:p w14:paraId="1643E08F" w14:textId="054C7CB7" w:rsidR="004942D3" w:rsidRPr="00DC3180" w:rsidRDefault="004942D3" w:rsidP="004942D3">
            <w:pPr>
              <w:jc w:val="both"/>
            </w:pPr>
            <w:r>
              <w:t>29</w:t>
            </w:r>
          </w:p>
        </w:tc>
      </w:tr>
    </w:tbl>
    <w:p w14:paraId="1BAA6149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sz w:val="18"/>
          <w:szCs w:val="18"/>
          <w:lang w:val="en-US"/>
        </w:rPr>
        <w:t xml:space="preserve">* The sensor-blockchain latency of 847 </w:t>
      </w:r>
      <w:proofErr w:type="spellStart"/>
      <w:r w:rsidRPr="004942D3">
        <w:rPr>
          <w:sz w:val="18"/>
          <w:szCs w:val="18"/>
          <w:lang w:val="en-US"/>
        </w:rPr>
        <w:t>ms</w:t>
      </w:r>
      <w:proofErr w:type="spellEnd"/>
      <w:r w:rsidRPr="004942D3">
        <w:rPr>
          <w:sz w:val="18"/>
          <w:szCs w:val="18"/>
          <w:lang w:val="en-US"/>
        </w:rPr>
        <w:t xml:space="preserve"> includes distributed cryptographic anchoring, absent from traditional systems. For critical actions (alerts), pure decision latency is less than 200 </w:t>
      </w:r>
      <w:proofErr w:type="spellStart"/>
      <w:r w:rsidRPr="004942D3">
        <w:rPr>
          <w:sz w:val="18"/>
          <w:szCs w:val="18"/>
          <w:lang w:val="en-US"/>
        </w:rPr>
        <w:t>ms.</w:t>
      </w:r>
      <w:proofErr w:type="spellEnd"/>
    </w:p>
    <w:p w14:paraId="7262FCB7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Analysis reveals that our solution offers the best overall co</w:t>
      </w:r>
      <w:r w:rsidRPr="004942D3">
        <w:rPr>
          <w:lang w:val="en-US"/>
        </w:rPr>
        <w:t xml:space="preserve">mpromise: yield increase of 18% compared to traditional systems and 7% compared to </w:t>
      </w:r>
      <w:proofErr w:type="spellStart"/>
      <w:r w:rsidRPr="004942D3">
        <w:rPr>
          <w:lang w:val="en-US"/>
        </w:rPr>
        <w:t>OptiClimate</w:t>
      </w:r>
      <w:proofErr w:type="spellEnd"/>
      <w:r w:rsidRPr="004942D3">
        <w:rPr>
          <w:lang w:val="en-US"/>
        </w:rPr>
        <w:t>, input cost reduction of 15% (traditional) and 7% (</w:t>
      </w:r>
      <w:proofErr w:type="spellStart"/>
      <w:r w:rsidRPr="004942D3">
        <w:rPr>
          <w:lang w:val="en-US"/>
        </w:rPr>
        <w:t>OptiClimate</w:t>
      </w:r>
      <w:proofErr w:type="spellEnd"/>
      <w:r w:rsidRPr="004942D3">
        <w:rPr>
          <w:lang w:val="en-US"/>
        </w:rPr>
        <w:t xml:space="preserve">), energy consumption </w:t>
      </w:r>
      <w:proofErr w:type="gramStart"/>
      <w:r w:rsidRPr="004942D3">
        <w:rPr>
          <w:lang w:val="en-US"/>
        </w:rPr>
        <w:t>decrease</w:t>
      </w:r>
      <w:proofErr w:type="gramEnd"/>
      <w:r w:rsidRPr="004942D3">
        <w:rPr>
          <w:lang w:val="en-US"/>
        </w:rPr>
        <w:t xml:space="preserve"> of 22% (traditional) and 13% (</w:t>
      </w:r>
      <w:proofErr w:type="spellStart"/>
      <w:r w:rsidRPr="004942D3">
        <w:rPr>
          <w:lang w:val="en-US"/>
        </w:rPr>
        <w:t>OptiClimate</w:t>
      </w:r>
      <w:proofErr w:type="spellEnd"/>
      <w:r w:rsidRPr="004942D3">
        <w:rPr>
          <w:lang w:val="en-US"/>
        </w:rPr>
        <w:t>), while providing distribu</w:t>
      </w:r>
      <w:r w:rsidRPr="004942D3">
        <w:rPr>
          <w:lang w:val="en-US"/>
        </w:rPr>
        <w:t>ted verifiable traceability nonexistent in alternatives.</w:t>
      </w:r>
    </w:p>
    <w:p w14:paraId="5A85F875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Total cost of ownership reduction: Economic analysis over 5 years demonstrates a 40% reduction in TCO (Total Cost of Ownership) compared to traditional systems and 44% compared to </w:t>
      </w:r>
      <w:proofErr w:type="spellStart"/>
      <w:r w:rsidRPr="004942D3">
        <w:rPr>
          <w:lang w:val="en-US"/>
        </w:rPr>
        <w:t>OptiClimate</w:t>
      </w:r>
      <w:proofErr w:type="spellEnd"/>
      <w:r w:rsidRPr="004942D3">
        <w:rPr>
          <w:lang w:val="en-US"/>
        </w:rPr>
        <w:t>. This i</w:t>
      </w:r>
      <w:r w:rsidRPr="004942D3">
        <w:rPr>
          <w:lang w:val="en-US"/>
        </w:rPr>
        <w:t>mprovement comes from: elimination of dedicated HSMs (15 k€ savings), reduction of energy costs via intelligent optimization (8.2 k€ savings), decrease in production losses through yield stabilization (6.5 k€ savings), reduction of labor costs through incr</w:t>
      </w:r>
      <w:r w:rsidRPr="004942D3">
        <w:rPr>
          <w:lang w:val="en-US"/>
        </w:rPr>
        <w:t>eased automation (4.8 k€ savings), and market premium for traceable certification (+5% selling price, 3.5 k€ gain).</w:t>
      </w:r>
    </w:p>
    <w:p w14:paraId="609983A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Quantified environmental impact: The architecture generates measurable environmental benefits: water consumption reduction of 28% through ir</w:t>
      </w:r>
      <w:r w:rsidRPr="004942D3">
        <w:rPr>
          <w:lang w:val="en-US"/>
        </w:rPr>
        <w:t>rigation cycle optimization (LSTM + DDPG), nutritional discharge reduction of 35% through precise input adjustment (Random Forest + linear solver), carbon footprint reduction of 31% through energy optimization and intelligent load shedding, phytosanitary p</w:t>
      </w:r>
      <w:r w:rsidRPr="004942D3">
        <w:rPr>
          <w:lang w:val="en-US"/>
        </w:rPr>
        <w:t>roduct use reduction of 42% through early stress detection (predictive analysis), and crop nutritional quality improvement of 15% (vitamin and antioxidant content) through precise LED spectrum and nutrition control.</w:t>
      </w:r>
    </w:p>
    <w:p w14:paraId="7C5BC39A" w14:textId="28467A24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.4 Discussion of Innovations and Contributions</w:t>
      </w:r>
    </w:p>
    <w:p w14:paraId="676BDE68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Our architecture introduces several significant innovations compared to systems analyzed in the state of the art.</w:t>
      </w:r>
    </w:p>
    <w:p w14:paraId="3040388A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Deep integration of IoT-AI-DLT technologies generates emergent properties impossible with fragmented approaches. Unlike existing solut</w:t>
      </w:r>
      <w:r w:rsidRPr="004942D3">
        <w:rPr>
          <w:lang w:val="en-US"/>
        </w:rPr>
        <w:t>ions using these technologies in isolation, this synergy enables sensor-AI-DLT cross-validation (87% reduction in false positives compared to single-validation systems), adaptive DDPG learning (12% reward improvement between weeks 10 and 50), and end-to-en</w:t>
      </w:r>
      <w:r w:rsidRPr="004942D3">
        <w:rPr>
          <w:lang w:val="en-US"/>
        </w:rPr>
        <w:t>d cryptographic traceability enabling automated audit without manual intervention.</w:t>
      </w:r>
    </w:p>
    <w:p w14:paraId="2AC5CA2B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Furthermore, complete automation of the decision cycle eliminates bottlenecks related to human interventions. Each irrigation decision remains fully traceable with timestamp</w:t>
      </w:r>
      <w:r w:rsidRPr="004942D3">
        <w:rPr>
          <w:lang w:val="en-US"/>
        </w:rPr>
        <w:t xml:space="preserve">, input parameters, AI </w:t>
      </w:r>
      <w:r w:rsidRPr="004942D3">
        <w:rPr>
          <w:lang w:val="en-US"/>
        </w:rPr>
        <w:lastRenderedPageBreak/>
        <w:t>recommendation, smart contract validation and post-execution measurement, establishing an uninterrupted chain of evidence for regulatory audits.</w:t>
      </w:r>
    </w:p>
    <w:p w14:paraId="00E9AAC4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 edge-first architecture based on RK3588 SBCs (150 €) reduces hardware investment by 70% compared to Jetson NX solutions (500 €) while maintaining comparable inference performance (42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Random Forest, 68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 xml:space="preserve"> LSTM). This optimization relies on INT8 quant</w:t>
      </w:r>
      <w:r w:rsidRPr="004942D3">
        <w:rPr>
          <w:lang w:val="en-US"/>
        </w:rPr>
        <w:t xml:space="preserve">ization of models (4× memory reduction, 2.3× inference acceleration), edge deployment of critical models (latency less than 100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 and use of Hyperledger Fabric with Raft consensus, making the solution accessible to small operations (initial investment le</w:t>
      </w:r>
      <w:r w:rsidRPr="004942D3">
        <w:rPr>
          <w:lang w:val="en-US"/>
        </w:rPr>
        <w:t>ss than 30 k€ for 100 m²).</w:t>
      </w:r>
    </w:p>
    <w:p w14:paraId="1F48DE3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Also, the bi-level learning mechanism where operational optimization (PDCA + Random Forest/LSTM) and strategic learning (DDPG) mutually reinforce enables automatic adaptation to local specificities without machine learning expert</w:t>
      </w:r>
      <w:r w:rsidRPr="004942D3">
        <w:rPr>
          <w:lang w:val="en-US"/>
        </w:rPr>
        <w:t>ise. Convergence after 45 days and continuous improvement (+12% over 40 weeks) demonstrate long-term learning capacity.</w:t>
      </w:r>
    </w:p>
    <w:p w14:paraId="4980F876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hybrid storage strategy resolves scalability limitations of agricultural blockchain implementations. Exclusive storage of metadata a</w:t>
      </w:r>
      <w:r w:rsidRPr="004942D3">
        <w:rPr>
          <w:lang w:val="en-US"/>
        </w:rPr>
        <w:t>nd cryptographic hashes on-chain (less than 1 GB/month for 100 m²) combined with off-chain time series storage (</w:t>
      </w:r>
      <w:proofErr w:type="spellStart"/>
      <w:r w:rsidRPr="004942D3">
        <w:rPr>
          <w:lang w:val="en-US"/>
        </w:rPr>
        <w:t>MinIO</w:t>
      </w:r>
      <w:proofErr w:type="spellEnd"/>
      <w:r w:rsidRPr="004942D3">
        <w:rPr>
          <w:lang w:val="en-US"/>
        </w:rPr>
        <w:t xml:space="preserve"> with 3× replication) maintains complete cryptographic traceability while enabling linear scalability, reducing blockchain load by 97.5% co</w:t>
      </w:r>
      <w:r w:rsidRPr="004942D3">
        <w:rPr>
          <w:lang w:val="en-US"/>
        </w:rPr>
        <w:t>mpared to a full on-chain approach.</w:t>
      </w:r>
    </w:p>
    <w:p w14:paraId="73C8931B" w14:textId="5297A29D" w:rsidR="00332254" w:rsidRPr="004942D3" w:rsidRDefault="00137C87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.5 Limitations and Areas for Improvement</w:t>
      </w:r>
    </w:p>
    <w:p w14:paraId="70C058D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Although results are globally excellent, several limitations merit highlighting and orient future work.</w:t>
      </w:r>
    </w:p>
    <w:p w14:paraId="1E1DD90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architecture requires expertise in agronomy, IoT, blockchain and AI co</w:t>
      </w:r>
      <w:r w:rsidRPr="004942D3">
        <w:rPr>
          <w:lang w:val="en-US"/>
        </w:rPr>
        <w:t>nstituting a barrier to adoption. This limitation will be addressed through simplified configuration interfaces with guided wizards, adapted training programs including progressive e-learning modules and certification, as well as turnkey deployment service</w:t>
      </w:r>
      <w:r w:rsidRPr="004942D3">
        <w:rPr>
          <w:lang w:val="en-US"/>
        </w:rPr>
        <w:t>s covering installation, configuration and operational training, reducing commissioning time from 3 weeks to 5 days for 100 m².</w:t>
      </w:r>
    </w:p>
    <w:p w14:paraId="7A1C753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Tests reveal an 8% degradation in DDPG performance when switching to varieties not observed during training (cherry tomato → lem</w:t>
      </w:r>
      <w:r w:rsidRPr="004942D3">
        <w:rPr>
          <w:lang w:val="en-US"/>
        </w:rPr>
        <w:t>on basil). This limitation will be mitigated through constitution of a multi-variety dataset for pre-training covering 10 common market garden crops, implementation of transfer learning enabling rapid adaptation via 7-day fine-tuning, and development of me</w:t>
      </w:r>
      <w:r w:rsidRPr="004942D3">
        <w:rPr>
          <w:lang w:val="en-US"/>
        </w:rPr>
        <w:t>ta-learning models capable of efficient learning with few examples.</w:t>
      </w:r>
    </w:p>
    <w:p w14:paraId="30C92F8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Although edge autonomous mode guarantees critical functions during network failures (4h tested), certain advanced capabilities (AI retraining, multi-site synchronization, real-time reporti</w:t>
      </w:r>
      <w:r w:rsidRPr="004942D3">
        <w:rPr>
          <w:lang w:val="en-US"/>
        </w:rPr>
        <w:t xml:space="preserve">ng) require stable connectivity. This constraint will be addressed through deployment of community </w:t>
      </w:r>
      <w:proofErr w:type="spellStart"/>
      <w:r w:rsidRPr="004942D3">
        <w:rPr>
          <w:lang w:val="en-US"/>
        </w:rPr>
        <w:t>LoRaWAN</w:t>
      </w:r>
      <w:proofErr w:type="spellEnd"/>
      <w:r w:rsidRPr="004942D3">
        <w:rPr>
          <w:lang w:val="en-US"/>
        </w:rPr>
        <w:t xml:space="preserve"> networks in rural areas (range 2-15 km), integration of backup satellite connectivity and optimization of deferred synchronization mechanisms with in</w:t>
      </w:r>
      <w:r w:rsidRPr="004942D3">
        <w:rPr>
          <w:lang w:val="en-US"/>
        </w:rPr>
        <w:t>telligent delta compression.</w:t>
      </w:r>
    </w:p>
    <w:p w14:paraId="3131D7D1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Results come from validated simulations and partial prototyping. Complete validation on commercial installation of several hundred m² during a complete cycle (12-18 months) remains necessary to confirm gains under real operatio</w:t>
      </w:r>
      <w:r w:rsidRPr="004942D3">
        <w:rPr>
          <w:lang w:val="en-US"/>
        </w:rPr>
        <w:t>nal conditions including equipment failures, human errors and extreme weather events. A pilot project is underway on a 500 m² vertical farm.</w:t>
      </w:r>
    </w:p>
    <w:p w14:paraId="60312B1D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architecture uses classical cryptographic primitives (ECDSA P-256, SHA-256, AES-256) vulnerable to quantum comp</w:t>
      </w:r>
      <w:r w:rsidRPr="004942D3">
        <w:rPr>
          <w:lang w:val="en-US"/>
        </w:rPr>
        <w:t>uters. Although the threat remains non-immediate (10-</w:t>
      </w:r>
      <w:proofErr w:type="gramStart"/>
      <w:r w:rsidRPr="004942D3">
        <w:rPr>
          <w:lang w:val="en-US"/>
        </w:rPr>
        <w:t>15 year</w:t>
      </w:r>
      <w:proofErr w:type="gramEnd"/>
      <w:r w:rsidRPr="004942D3">
        <w:rPr>
          <w:lang w:val="en-US"/>
        </w:rPr>
        <w:t xml:space="preserve"> horizon), proactive transition to post-quantum algorithms (CRYSTALS-</w:t>
      </w:r>
      <w:proofErr w:type="spellStart"/>
      <w:r w:rsidRPr="004942D3">
        <w:rPr>
          <w:lang w:val="en-US"/>
        </w:rPr>
        <w:t>Dilithium</w:t>
      </w:r>
      <w:proofErr w:type="spellEnd"/>
      <w:r w:rsidRPr="004942D3">
        <w:rPr>
          <w:lang w:val="en-US"/>
        </w:rPr>
        <w:t>, CRYSTALS-</w:t>
      </w:r>
      <w:proofErr w:type="spellStart"/>
      <w:r w:rsidRPr="004942D3">
        <w:rPr>
          <w:lang w:val="en-US"/>
        </w:rPr>
        <w:t>Kyber</w:t>
      </w:r>
      <w:proofErr w:type="spellEnd"/>
      <w:r w:rsidRPr="004942D3">
        <w:rPr>
          <w:lang w:val="en-US"/>
        </w:rPr>
        <w:t>) is desirable, facilitated by architectural modularity enabling progressive replacement of primitives</w:t>
      </w:r>
      <w:r w:rsidRPr="004942D3">
        <w:rPr>
          <w:lang w:val="en-US"/>
        </w:rPr>
        <w:t xml:space="preserve"> via OTA firmware and Fabric </w:t>
      </w:r>
      <w:proofErr w:type="spellStart"/>
      <w:r w:rsidRPr="004942D3">
        <w:rPr>
          <w:lang w:val="en-US"/>
        </w:rPr>
        <w:t>chaincode</w:t>
      </w:r>
      <w:proofErr w:type="spellEnd"/>
      <w:r w:rsidRPr="004942D3">
        <w:rPr>
          <w:lang w:val="en-US"/>
        </w:rPr>
        <w:t xml:space="preserve"> updates.</w:t>
      </w:r>
    </w:p>
    <w:p w14:paraId="594FEE98" w14:textId="675DE55A" w:rsidR="00332254" w:rsidRPr="004942D3" w:rsidRDefault="00841FEB">
      <w:pPr>
        <w:pStyle w:val="Heading1"/>
        <w:rPr>
          <w:lang w:val="en-US"/>
        </w:rPr>
      </w:pPr>
      <w:r>
        <w:rPr>
          <w:lang w:val="en-US"/>
        </w:rPr>
        <w:t>3</w:t>
      </w:r>
      <w:r w:rsidRPr="004942D3">
        <w:rPr>
          <w:lang w:val="en-US"/>
        </w:rPr>
        <w:t>.6 Validation of Research Hypotheses</w:t>
      </w:r>
    </w:p>
    <w:p w14:paraId="6A812F1C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Obtained results fully validate our initial research hypotheses.</w:t>
      </w:r>
    </w:p>
    <w:p w14:paraId="78F9229B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Hypothesis 1: Distributed traceability and waste reduction. Integration of a DLT system in the hydroponic</w:t>
      </w:r>
      <w:r w:rsidRPr="004942D3">
        <w:rPr>
          <w:lang w:val="en-US"/>
        </w:rPr>
        <w:t xml:space="preserve"> environment enables optimal traceability of inputs and operations, facilitating identification of waste and eco-responsible decision-making. Results demonstrate 100% cryptographic traceability over 1000+ irrigation cycles with total integrity, 15% reducti</w:t>
      </w:r>
      <w:r w:rsidRPr="004942D3">
        <w:rPr>
          <w:lang w:val="en-US"/>
        </w:rPr>
        <w:t>on in input costs through automatic detection of over-dosing via blockchain trend analysis, 28% decrease in water consumption through cycle optimization, and 40% improvement in inter-cycle regularity through learning of traced optimal patterns.</w:t>
      </w:r>
    </w:p>
    <w:p w14:paraId="08B1818F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lastRenderedPageBreak/>
        <w:t xml:space="preserve">Hypothesis </w:t>
      </w:r>
      <w:r w:rsidRPr="004942D3">
        <w:rPr>
          <w:lang w:val="en-US"/>
        </w:rPr>
        <w:t>2: Distributed IoT-DLT architecture optimizing management. The distributed architecture combining IoT and DLT effectively optimizes hydroponic input management. IoT provides reliable real-time data (pH accuracy ±0.1, EC ±10 µS/cm, latency less than 1 s) co</w:t>
      </w:r>
      <w:r w:rsidRPr="004942D3">
        <w:rPr>
          <w:lang w:val="en-US"/>
        </w:rPr>
        <w:t xml:space="preserve">nstituting the basis for secure automatic control via DLT. Results confirm effectiveness of the sensor → prediction → validation → execution → traceability loop (end-to-end latency 847 </w:t>
      </w:r>
      <w:proofErr w:type="spellStart"/>
      <w:r w:rsidRPr="004942D3">
        <w:rPr>
          <w:lang w:val="en-US"/>
        </w:rPr>
        <w:t>ms</w:t>
      </w:r>
      <w:proofErr w:type="spellEnd"/>
      <w:r w:rsidRPr="004942D3">
        <w:rPr>
          <w:lang w:val="en-US"/>
        </w:rPr>
        <w:t>), guarantee of verifiable execution via smart contracts with 100% cr</w:t>
      </w:r>
      <w:r w:rsidRPr="004942D3">
        <w:rPr>
          <w:lang w:val="en-US"/>
        </w:rPr>
        <w:t>yptographically auditable actions, and energy autonomy of 14 months exceeding the initial 12-month objective.</w:t>
      </w:r>
    </w:p>
    <w:p w14:paraId="1CC3F82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Hypothesis 3: AI integration for anticipation and optimization. Integration of AI, particularly supervised and reinforcement learning models, enab</w:t>
      </w:r>
      <w:r w:rsidRPr="004942D3">
        <w:rPr>
          <w:lang w:val="en-US"/>
        </w:rPr>
        <w:t>les precise anticipation of crop needs and optimization of input use. Results establish high predictive accuracy (Random Forest 96.3%, LSTM pH error 0.08 unit), effective multi-objective optimization (yield +18%, costs -15%, energy -22%), and significant e</w:t>
      </w:r>
      <w:r w:rsidRPr="004942D3">
        <w:rPr>
          <w:lang w:val="en-US"/>
        </w:rPr>
        <w:t>cological footprint reduction (water consumption -28%, carbon footprint -31%).</w:t>
      </w:r>
    </w:p>
    <w:p w14:paraId="2512F823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These validations confirm that the proposed hybrid DLT-IoT-AI architecture constitutes a viable and high-performance approach to transform hydroponic agriculture toward greater </w:t>
      </w:r>
      <w:r w:rsidRPr="004942D3">
        <w:rPr>
          <w:lang w:val="en-US"/>
        </w:rPr>
        <w:t>sustainability, efficiency and traceability.</w:t>
      </w:r>
    </w:p>
    <w:p w14:paraId="63C60AA3" w14:textId="36EC2EA5" w:rsidR="00332254" w:rsidRPr="004942D3" w:rsidRDefault="00841FEB">
      <w:pPr>
        <w:pStyle w:val="Heading1"/>
        <w:rPr>
          <w:lang w:val="en-US"/>
        </w:rPr>
      </w:pPr>
      <w:r>
        <w:rPr>
          <w:lang w:val="en-US"/>
        </w:rPr>
        <w:t>4</w:t>
      </w:r>
      <w:r w:rsidRPr="004942D3">
        <w:rPr>
          <w:lang w:val="en-US"/>
        </w:rPr>
        <w:t>. CONCLUSION</w:t>
      </w:r>
    </w:p>
    <w:p w14:paraId="3F930AB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This research demonstrates the feasibility of a hybrid DLT-IoT-AI architecture for modern hydroponics, offering a holistic solution to the limitations of traditional infrastructures through synergi</w:t>
      </w:r>
      <w:r w:rsidRPr="004942D3">
        <w:rPr>
          <w:lang w:val="en-US"/>
        </w:rPr>
        <w:t>stic integration of three complementary technological paradigms.</w:t>
      </w:r>
    </w:p>
    <w:p w14:paraId="070E35B2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Experimental results confirm operational performance compatible with production deployments. Radical distribution of trust eliminates single points of failure, defense in depth preserves syst</w:t>
      </w:r>
      <w:r w:rsidRPr="004942D3">
        <w:rPr>
          <w:lang w:val="en-US"/>
        </w:rPr>
        <w:t>emic integrity despite partial compromises, and cryptographic traceability ensures 100% transaction integrity over 1000+ tested cycles.</w:t>
      </w:r>
    </w:p>
    <w:p w14:paraId="472E97C6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Practical implications concern several stakeholders. Operators benefit from 18% yield increase, 15% input cost </w:t>
      </w:r>
      <w:r w:rsidRPr="004942D3">
        <w:rPr>
          <w:lang w:val="en-US"/>
        </w:rPr>
        <w:t>reduction, 22% energy consumption decrease during peak pricing periods, and 40% production regularity improvement, for an initial investment below 30 k€ for 100 m². Technology providers can develop new differentiating services based on verifiable traceabil</w:t>
      </w:r>
      <w:r w:rsidRPr="004942D3">
        <w:rPr>
          <w:lang w:val="en-US"/>
        </w:rPr>
        <w:t>ity. Certification authorities benefit from automated audit of cultivation practices via native cryptographic traceability.</w:t>
      </w:r>
    </w:p>
    <w:p w14:paraId="618163EA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 xml:space="preserve">Compatibility with existing standards (X.509, MQTT, LwM2M, </w:t>
      </w:r>
      <w:proofErr w:type="spellStart"/>
      <w:r w:rsidRPr="004942D3">
        <w:rPr>
          <w:lang w:val="en-US"/>
        </w:rPr>
        <w:t>AgroXML</w:t>
      </w:r>
      <w:proofErr w:type="spellEnd"/>
      <w:r w:rsidRPr="004942D3">
        <w:rPr>
          <w:lang w:val="en-US"/>
        </w:rPr>
        <w:t>, ISO 11783) and the modular approach facilitate progressive adopt</w:t>
      </w:r>
      <w:r w:rsidRPr="004942D3">
        <w:rPr>
          <w:lang w:val="en-US"/>
        </w:rPr>
        <w:t>ion and continuous technological evolution, enabling AI model enrichment and migration to future hardware accelerators.</w:t>
      </w:r>
    </w:p>
    <w:p w14:paraId="3BE2F1CF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Research perspectives include: first, integration of post-quantum algorithms (CRYSTALS-</w:t>
      </w:r>
      <w:proofErr w:type="spellStart"/>
      <w:r w:rsidRPr="004942D3">
        <w:rPr>
          <w:lang w:val="en-US"/>
        </w:rPr>
        <w:t>Dilithium</w:t>
      </w:r>
      <w:proofErr w:type="spellEnd"/>
      <w:r w:rsidRPr="004942D3">
        <w:rPr>
          <w:lang w:val="en-US"/>
        </w:rPr>
        <w:t>, SHA-3) facilitated by architectural mo</w:t>
      </w:r>
      <w:r w:rsidRPr="004942D3">
        <w:rPr>
          <w:lang w:val="en-US"/>
        </w:rPr>
        <w:t>dularity; second, performance optimization via specialized hardware accelerators; third, developer experience improvement through guided interfaces and automated diagnostics.</w:t>
      </w:r>
    </w:p>
    <w:p w14:paraId="0C6357F6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Extension to other production models (aquaponics, substrate cultivation, vertical</w:t>
      </w:r>
      <w:r w:rsidRPr="004942D3">
        <w:rPr>
          <w:lang w:val="en-US"/>
        </w:rPr>
        <w:t xml:space="preserve"> farming, multi-level greenhouses) and integration of circular economy mechanisms (decentralized marketplace, federated learning, automated carbon compensation) constitute promising perspectives.</w:t>
      </w:r>
    </w:p>
    <w:p w14:paraId="5A322FF6" w14:textId="6600D23A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Multi-site commercial validation is structured in three phas</w:t>
      </w:r>
      <w:r w:rsidRPr="004942D3">
        <w:rPr>
          <w:lang w:val="en-US"/>
        </w:rPr>
        <w:t>es: phase 1 (6 months, 500 m²) for technical validation, phase 2 (12 months, 5 sites of 100-1000 m²) for contextual adaptability, and phase 3 (18 months, network of 20 operations) for scalability and collaborative mechanisms.</w:t>
      </w:r>
    </w:p>
    <w:p w14:paraId="5266E807" w14:textId="77777777" w:rsidR="00332254" w:rsidRPr="004942D3" w:rsidRDefault="00F945B1">
      <w:pPr>
        <w:pStyle w:val="AbstractBody"/>
        <w:rPr>
          <w:lang w:val="en-US"/>
        </w:rPr>
      </w:pPr>
      <w:r w:rsidRPr="004942D3">
        <w:rPr>
          <w:lang w:val="en-US"/>
        </w:rPr>
        <w:t>The proposed hybrid DLT-IoT-AI</w:t>
      </w:r>
      <w:r w:rsidRPr="004942D3">
        <w:rPr>
          <w:lang w:val="en-US"/>
        </w:rPr>
        <w:t xml:space="preserve"> architecture reconciles operational performance, cryptographic security, verifiable traceability, and economic efficiency, establishing foundations for intelligent, transparent, and sustainable hydroponic agriculture responding to contemporary challenges </w:t>
      </w:r>
      <w:r w:rsidRPr="004942D3">
        <w:rPr>
          <w:lang w:val="en-US"/>
        </w:rPr>
        <w:t>of food security, environmental sustainability, and technological resilience.</w:t>
      </w:r>
    </w:p>
    <w:p w14:paraId="461F1E78" w14:textId="77777777" w:rsidR="00EC06C4" w:rsidRDefault="00EC06C4">
      <w:pPr>
        <w:pStyle w:val="AbstractBody"/>
        <w:rPr>
          <w:lang w:val="en-US"/>
        </w:rPr>
      </w:pPr>
      <w:bookmarkStart w:id="0" w:name="_GoBack"/>
      <w:bookmarkEnd w:id="0"/>
    </w:p>
    <w:p w14:paraId="722D26E0" w14:textId="77777777" w:rsidR="00EC06C4" w:rsidRDefault="00EC06C4">
      <w:pPr>
        <w:pStyle w:val="AbstractBody"/>
        <w:rPr>
          <w:lang w:val="en-US"/>
        </w:rPr>
      </w:pPr>
    </w:p>
    <w:p w14:paraId="5B2298E9" w14:textId="77777777" w:rsidR="00EC06C4" w:rsidRPr="00EC06C4" w:rsidRDefault="00EC06C4" w:rsidP="00EC06C4">
      <w:pPr>
        <w:pStyle w:val="AbstractBody"/>
        <w:rPr>
          <w:lang w:val="en-US"/>
        </w:rPr>
      </w:pPr>
      <w:r w:rsidRPr="00EC06C4">
        <w:rPr>
          <w:lang w:val="en-US"/>
        </w:rPr>
        <w:t>COMPETING INTERESTS DISCLAIMER:</w:t>
      </w:r>
    </w:p>
    <w:p w14:paraId="348B36C3" w14:textId="5950F9EF" w:rsidR="00EC06C4" w:rsidRDefault="00EC06C4" w:rsidP="00EC06C4">
      <w:pPr>
        <w:pStyle w:val="AbstractBody"/>
        <w:rPr>
          <w:lang w:val="en-US"/>
        </w:rPr>
      </w:pPr>
      <w:r w:rsidRPr="00EC06C4">
        <w:rPr>
          <w:lang w:val="en-US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07CB9178" w14:textId="77777777" w:rsidR="00EC06C4" w:rsidRPr="004942D3" w:rsidRDefault="00EC06C4">
      <w:pPr>
        <w:pStyle w:val="AbstractBody"/>
        <w:rPr>
          <w:lang w:val="en-US"/>
        </w:rPr>
      </w:pPr>
    </w:p>
    <w:p w14:paraId="1EA3F627" w14:textId="77777777" w:rsidR="00332254" w:rsidRPr="004942D3" w:rsidRDefault="00F945B1">
      <w:pPr>
        <w:pStyle w:val="Heading1"/>
        <w:rPr>
          <w:lang w:val="en-US"/>
        </w:rPr>
      </w:pPr>
      <w:r w:rsidRPr="004942D3">
        <w:rPr>
          <w:lang w:val="en-US"/>
        </w:rPr>
        <w:lastRenderedPageBreak/>
        <w:t>REFERENCES</w:t>
      </w:r>
    </w:p>
    <w:p w14:paraId="1326EB4C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 xml:space="preserve">Deutsche Gesellschaft </w:t>
      </w:r>
      <w:proofErr w:type="spellStart"/>
      <w:r w:rsidRPr="004942D3">
        <w:rPr>
          <w:lang w:val="en-US"/>
        </w:rPr>
        <w:t>für</w:t>
      </w:r>
      <w:proofErr w:type="spellEnd"/>
      <w:r w:rsidRPr="004942D3">
        <w:rPr>
          <w:lang w:val="en-US"/>
        </w:rPr>
        <w:t xml:space="preserve"> </w:t>
      </w:r>
      <w:proofErr w:type="spellStart"/>
      <w:r w:rsidRPr="004942D3">
        <w:rPr>
          <w:lang w:val="en-US"/>
        </w:rPr>
        <w:t>Internationale</w:t>
      </w:r>
      <w:proofErr w:type="spellEnd"/>
      <w:r w:rsidRPr="004942D3">
        <w:rPr>
          <w:lang w:val="en-US"/>
        </w:rPr>
        <w:t xml:space="preserve"> </w:t>
      </w:r>
      <w:proofErr w:type="spellStart"/>
      <w:r w:rsidRPr="004942D3">
        <w:rPr>
          <w:lang w:val="en-US"/>
        </w:rPr>
        <w:t>Zusammenarbeit</w:t>
      </w:r>
      <w:proofErr w:type="spellEnd"/>
      <w:r w:rsidRPr="004942D3">
        <w:rPr>
          <w:lang w:val="en-US"/>
        </w:rPr>
        <w:t xml:space="preserve"> (GIZ). (2024). Hydroponics in the Arid and Semi-Arid Lands (A</w:t>
      </w:r>
      <w:r w:rsidRPr="004942D3">
        <w:rPr>
          <w:lang w:val="en-US"/>
        </w:rPr>
        <w:t>SALs). GIZ Technical Report.</w:t>
      </w:r>
    </w:p>
    <w:p w14:paraId="571D6DC4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 xml:space="preserve">Barbosa, G. L., Gadelha, F. D. A., </w:t>
      </w:r>
      <w:proofErr w:type="spellStart"/>
      <w:r w:rsidRPr="004942D3">
        <w:rPr>
          <w:lang w:val="en-US"/>
        </w:rPr>
        <w:t>Kublik</w:t>
      </w:r>
      <w:proofErr w:type="spellEnd"/>
      <w:r w:rsidRPr="004942D3">
        <w:rPr>
          <w:lang w:val="en-US"/>
        </w:rPr>
        <w:t xml:space="preserve">, N., Proctor, A., </w:t>
      </w:r>
      <w:proofErr w:type="spellStart"/>
      <w:r w:rsidRPr="004942D3">
        <w:rPr>
          <w:lang w:val="en-US"/>
        </w:rPr>
        <w:t>Reichelm</w:t>
      </w:r>
      <w:proofErr w:type="spellEnd"/>
      <w:r w:rsidRPr="004942D3">
        <w:rPr>
          <w:lang w:val="en-US"/>
        </w:rPr>
        <w:t>, L., Weissinger, E., Wohlleb, G. M., &amp; Halden, R. U. (2015). Comparison of land, water, and energy requirements of lettuce grown using hydroponic vs. conventi</w:t>
      </w:r>
      <w:r w:rsidRPr="004942D3">
        <w:rPr>
          <w:lang w:val="en-US"/>
        </w:rPr>
        <w:t>onal agricultural methods. International Journal of Environmental Research and Public Health, 12(6), 6879-6891.</w:t>
      </w:r>
    </w:p>
    <w:p w14:paraId="1F08EA06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Maucieri, C., Nicoletto, C., Junge, R., Schmautz, Z., Sambo, P., &amp; Borin, M. (2017). Hydroponic systems and water management in aquaponics: a re</w:t>
      </w:r>
      <w:r w:rsidRPr="004942D3">
        <w:rPr>
          <w:lang w:val="en-US"/>
        </w:rPr>
        <w:t>view. Italian Journal of Agronomy, 13, 1-11.</w:t>
      </w:r>
    </w:p>
    <w:p w14:paraId="34069849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Al-</w:t>
      </w:r>
      <w:proofErr w:type="spellStart"/>
      <w:r w:rsidRPr="004942D3">
        <w:rPr>
          <w:lang w:val="en-US"/>
        </w:rPr>
        <w:t>Kodmany</w:t>
      </w:r>
      <w:proofErr w:type="spellEnd"/>
      <w:r w:rsidRPr="004942D3">
        <w:rPr>
          <w:lang w:val="en-US"/>
        </w:rPr>
        <w:t>, K. (2018). The vertical farm: A review of developments and implications for the vertical city. Buildings, 8(2), 24.</w:t>
      </w:r>
    </w:p>
    <w:p w14:paraId="7C0CF385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4942D3">
        <w:rPr>
          <w:lang w:val="en-US"/>
        </w:rPr>
        <w:t>Fathidarehnijeh</w:t>
      </w:r>
      <w:proofErr w:type="spellEnd"/>
      <w:r w:rsidRPr="004942D3">
        <w:rPr>
          <w:lang w:val="en-US"/>
        </w:rPr>
        <w:t xml:space="preserve">, E., Nadeem, M., Cheema, M., Thomas, R., </w:t>
      </w:r>
      <w:proofErr w:type="spellStart"/>
      <w:r w:rsidRPr="004942D3">
        <w:rPr>
          <w:lang w:val="en-US"/>
        </w:rPr>
        <w:t>Krishnapillai</w:t>
      </w:r>
      <w:proofErr w:type="spellEnd"/>
      <w:r w:rsidRPr="004942D3">
        <w:rPr>
          <w:lang w:val="en-US"/>
        </w:rPr>
        <w:t xml:space="preserve">, M., &amp; </w:t>
      </w:r>
      <w:proofErr w:type="spellStart"/>
      <w:r w:rsidRPr="004942D3">
        <w:rPr>
          <w:lang w:val="en-US"/>
        </w:rPr>
        <w:t>Galag</w:t>
      </w:r>
      <w:r w:rsidRPr="004942D3">
        <w:rPr>
          <w:lang w:val="en-US"/>
        </w:rPr>
        <w:t>edara</w:t>
      </w:r>
      <w:proofErr w:type="spellEnd"/>
      <w:r w:rsidRPr="004942D3">
        <w:rPr>
          <w:lang w:val="en-US"/>
        </w:rPr>
        <w:t>, L. (2023). Current perspective on nutrient solution management strategies to improve the nutrient and water use efficiency in hydroponic systems. Canadian Journal of Plant Science, 104, 88-102.</w:t>
      </w:r>
    </w:p>
    <w:p w14:paraId="17E72EB4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Rathor, A. S., Choudhury, S., Sharma, A., Nautiyal, P.,</w:t>
      </w:r>
      <w:r w:rsidRPr="004942D3">
        <w:rPr>
          <w:lang w:val="en-US"/>
        </w:rPr>
        <w:t xml:space="preserve"> &amp; Shah, G. (2024). Empowering vertical farming through IoT and AI-driven technologies: A comprehensive review. </w:t>
      </w:r>
      <w:proofErr w:type="spellStart"/>
      <w:r w:rsidRPr="004942D3">
        <w:rPr>
          <w:lang w:val="en-US"/>
        </w:rPr>
        <w:t>Heliyon</w:t>
      </w:r>
      <w:proofErr w:type="spellEnd"/>
      <w:r w:rsidRPr="004942D3">
        <w:rPr>
          <w:lang w:val="en-US"/>
        </w:rPr>
        <w:t>, 10(15), e34998.</w:t>
      </w:r>
    </w:p>
    <w:p w14:paraId="21141F40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BC670F">
        <w:t>Antonopoulos</w:t>
      </w:r>
      <w:proofErr w:type="spellEnd"/>
      <w:r w:rsidRPr="00BC670F">
        <w:t xml:space="preserve">, A. M., &amp; Wood, G. (2018). </w:t>
      </w:r>
      <w:r w:rsidRPr="004942D3">
        <w:rPr>
          <w:lang w:val="en-US"/>
        </w:rPr>
        <w:t xml:space="preserve">Mastering Ethereum: Building smart contracts and </w:t>
      </w:r>
      <w:proofErr w:type="spellStart"/>
      <w:r w:rsidRPr="004942D3">
        <w:rPr>
          <w:lang w:val="en-US"/>
        </w:rPr>
        <w:t>dApps</w:t>
      </w:r>
      <w:proofErr w:type="spellEnd"/>
      <w:r w:rsidRPr="004942D3">
        <w:rPr>
          <w:lang w:val="en-US"/>
        </w:rPr>
        <w:t>. O'Reilly Media.</w:t>
      </w:r>
    </w:p>
    <w:p w14:paraId="1BFFACC0" w14:textId="56F516BF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4942D3">
        <w:rPr>
          <w:lang w:val="en-US"/>
        </w:rPr>
        <w:t>OptiCli</w:t>
      </w:r>
      <w:r w:rsidRPr="004942D3">
        <w:rPr>
          <w:lang w:val="en-US"/>
        </w:rPr>
        <w:t>mate</w:t>
      </w:r>
      <w:proofErr w:type="spellEnd"/>
      <w:r w:rsidRPr="004942D3">
        <w:rPr>
          <w:lang w:val="en-US"/>
        </w:rPr>
        <w:t xml:space="preserve"> Farm Limited. (n.d.). Smart vertical hydroponic systems integrating IoT and AI for intelligent cultivation. Retrieved from </w:t>
      </w:r>
      <w:hyperlink r:id="rId11" w:history="1">
        <w:r w:rsidR="00841FEB" w:rsidRPr="00031967">
          <w:rPr>
            <w:rStyle w:val="Hyperlink"/>
            <w:lang w:val="en-US"/>
          </w:rPr>
          <w:t>https://www.opticlimatefarm.com</w:t>
        </w:r>
      </w:hyperlink>
      <w:r w:rsidR="00841FEB">
        <w:rPr>
          <w:lang w:val="en-US"/>
        </w:rPr>
        <w:t xml:space="preserve"> </w:t>
      </w:r>
    </w:p>
    <w:p w14:paraId="3A92F4B4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Pranto, T. H., Noman, A. A., Mahmud, A., &amp; Haqu</w:t>
      </w:r>
      <w:r w:rsidRPr="004942D3">
        <w:rPr>
          <w:lang w:val="en-US"/>
        </w:rPr>
        <w:t xml:space="preserve">e, A. B. (2021). Blockchain and smart contracts for IoT-enabled smart agriculture: Integration in pre- and post-harvest processes. </w:t>
      </w:r>
      <w:proofErr w:type="spellStart"/>
      <w:r w:rsidRPr="004942D3">
        <w:rPr>
          <w:lang w:val="en-US"/>
        </w:rPr>
        <w:t>PeerJ</w:t>
      </w:r>
      <w:proofErr w:type="spellEnd"/>
      <w:r w:rsidRPr="004942D3">
        <w:rPr>
          <w:lang w:val="en-US"/>
        </w:rPr>
        <w:t xml:space="preserve"> Computer Science, 7, e407.</w:t>
      </w:r>
    </w:p>
    <w:p w14:paraId="32C264A6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Pranto, T. H., Noman, A. A., Mahmud, A., &amp; Haque, A. B. (2024). Transforming agri-food value</w:t>
      </w:r>
      <w:r w:rsidRPr="004942D3">
        <w:rPr>
          <w:lang w:val="en-US"/>
        </w:rPr>
        <w:t xml:space="preserve"> chains in Bangladesh: A practical application of blockchain for traceability and fair pricing. </w:t>
      </w:r>
      <w:proofErr w:type="spellStart"/>
      <w:r w:rsidRPr="004942D3">
        <w:rPr>
          <w:lang w:val="en-US"/>
        </w:rPr>
        <w:t>Heliyon</w:t>
      </w:r>
      <w:proofErr w:type="spellEnd"/>
      <w:r w:rsidRPr="004942D3">
        <w:rPr>
          <w:lang w:val="en-US"/>
        </w:rPr>
        <w:t>, 10(4), e16122.</w:t>
      </w:r>
    </w:p>
    <w:p w14:paraId="669C042D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BC670F">
        <w:t>Doubiz</w:t>
      </w:r>
      <w:proofErr w:type="spellEnd"/>
      <w:r w:rsidRPr="00BC670F">
        <w:t xml:space="preserve">, M., Banane, M., </w:t>
      </w:r>
      <w:proofErr w:type="spellStart"/>
      <w:r w:rsidRPr="00BC670F">
        <w:t>Zakrani</w:t>
      </w:r>
      <w:proofErr w:type="spellEnd"/>
      <w:r w:rsidRPr="00BC670F">
        <w:t xml:space="preserve">, A., &amp; </w:t>
      </w:r>
      <w:proofErr w:type="spellStart"/>
      <w:r w:rsidRPr="00BC670F">
        <w:t>Erraissi</w:t>
      </w:r>
      <w:proofErr w:type="spellEnd"/>
      <w:r w:rsidRPr="00BC670F">
        <w:t xml:space="preserve">, A. (2024). </w:t>
      </w:r>
      <w:r w:rsidRPr="004942D3">
        <w:rPr>
          <w:lang w:val="en-US"/>
        </w:rPr>
        <w:t>IoT connectivity for enhancing hydroponic farming: A comparative study. 2024</w:t>
      </w:r>
      <w:r w:rsidRPr="004942D3">
        <w:rPr>
          <w:lang w:val="en-US"/>
        </w:rPr>
        <w:t xml:space="preserve"> International Conference on Circuit, Systems and Communication (ICCSC), 1-5.</w:t>
      </w:r>
    </w:p>
    <w:p w14:paraId="701FBF5A" w14:textId="28E24292" w:rsidR="00332254" w:rsidRPr="00841FEB" w:rsidRDefault="00F945B1" w:rsidP="00841FEB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4942D3">
        <w:rPr>
          <w:lang w:val="en-US"/>
        </w:rPr>
        <w:t>Hafeel</w:t>
      </w:r>
      <w:proofErr w:type="spellEnd"/>
      <w:r w:rsidRPr="004942D3">
        <w:rPr>
          <w:lang w:val="en-US"/>
        </w:rPr>
        <w:t xml:space="preserve">, M., Palacios, A., </w:t>
      </w:r>
      <w:proofErr w:type="spellStart"/>
      <w:r w:rsidRPr="004942D3">
        <w:rPr>
          <w:lang w:val="en-US"/>
        </w:rPr>
        <w:t>Katsale</w:t>
      </w:r>
      <w:proofErr w:type="spellEnd"/>
      <w:r w:rsidRPr="004942D3">
        <w:rPr>
          <w:lang w:val="en-US"/>
        </w:rPr>
        <w:t xml:space="preserve">, D., &amp; Zielinski, K. (2023). Autonomous IoT- and machine learning-driven hydroponic basil farm for controlled environment agriculture. </w:t>
      </w:r>
      <w:r w:rsidRPr="004942D3">
        <w:rPr>
          <w:lang w:val="en-US"/>
        </w:rPr>
        <w:t>University of Miami Senior Design Project.</w:t>
      </w:r>
    </w:p>
    <w:p w14:paraId="0CFCD9D5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>Chen, Y., Zhang, L., &amp; Wang, X. (2023). Performance enhancement in hydroponic and soil compound prediction using deep learning. Computers and Electronics in Agriculture, 210, 107890.</w:t>
      </w:r>
    </w:p>
    <w:p w14:paraId="5B3D76DA" w14:textId="77777777" w:rsidR="00332254" w:rsidRPr="004942D3" w:rsidRDefault="00F945B1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r w:rsidRPr="004942D3">
        <w:rPr>
          <w:lang w:val="en-US"/>
        </w:rPr>
        <w:t xml:space="preserve">Dhal, S. B., Mahanta, S., </w:t>
      </w:r>
      <w:proofErr w:type="spellStart"/>
      <w:r w:rsidRPr="004942D3">
        <w:rPr>
          <w:lang w:val="en-US"/>
        </w:rPr>
        <w:t>Gume</w:t>
      </w:r>
      <w:r w:rsidRPr="004942D3">
        <w:rPr>
          <w:lang w:val="en-US"/>
        </w:rPr>
        <w:t>ro</w:t>
      </w:r>
      <w:proofErr w:type="spellEnd"/>
      <w:r w:rsidRPr="004942D3">
        <w:rPr>
          <w:lang w:val="en-US"/>
        </w:rPr>
        <w:t xml:space="preserve">, J., O'Sullivan, N., </w:t>
      </w:r>
      <w:proofErr w:type="spellStart"/>
      <w:r w:rsidRPr="004942D3">
        <w:rPr>
          <w:lang w:val="en-US"/>
        </w:rPr>
        <w:t>Soetan</w:t>
      </w:r>
      <w:proofErr w:type="spellEnd"/>
      <w:r w:rsidRPr="004942D3">
        <w:rPr>
          <w:lang w:val="en-US"/>
        </w:rPr>
        <w:t xml:space="preserve">, M., Louis, J., </w:t>
      </w:r>
      <w:proofErr w:type="spellStart"/>
      <w:r w:rsidRPr="004942D3">
        <w:rPr>
          <w:lang w:val="en-US"/>
        </w:rPr>
        <w:t>Gadepally</w:t>
      </w:r>
      <w:proofErr w:type="spellEnd"/>
      <w:r w:rsidRPr="004942D3">
        <w:rPr>
          <w:lang w:val="en-US"/>
        </w:rPr>
        <w:t>, K. C., Mahanta, S., Lusher, J., &amp; Kalafatis, S. (2023). An intelligent low-cost system for heavy metal detection and control in aquaponic farms using Linear-SVM. Sensors, 23(9), 4102.</w:t>
      </w:r>
    </w:p>
    <w:p w14:paraId="6005650E" w14:textId="77777777" w:rsidR="00332254" w:rsidRDefault="00F945B1" w:rsidP="004942D3">
      <w:pPr>
        <w:pStyle w:val="AbstractBody"/>
        <w:numPr>
          <w:ilvl w:val="0"/>
          <w:numId w:val="2"/>
        </w:numPr>
        <w:ind w:hanging="436"/>
      </w:pPr>
      <w:proofErr w:type="spellStart"/>
      <w:r w:rsidRPr="004942D3">
        <w:rPr>
          <w:lang w:val="en-US"/>
        </w:rPr>
        <w:t>Fathidarehnije</w:t>
      </w:r>
      <w:r w:rsidRPr="004942D3">
        <w:rPr>
          <w:lang w:val="en-US"/>
        </w:rPr>
        <w:t>h</w:t>
      </w:r>
      <w:proofErr w:type="spellEnd"/>
      <w:r w:rsidRPr="004942D3">
        <w:rPr>
          <w:lang w:val="en-US"/>
        </w:rPr>
        <w:t xml:space="preserve">, F., Nazemi, E., </w:t>
      </w:r>
      <w:proofErr w:type="spellStart"/>
      <w:r w:rsidRPr="004942D3">
        <w:rPr>
          <w:lang w:val="en-US"/>
        </w:rPr>
        <w:t>Khaligh</w:t>
      </w:r>
      <w:proofErr w:type="spellEnd"/>
      <w:r w:rsidRPr="004942D3">
        <w:rPr>
          <w:lang w:val="en-US"/>
        </w:rPr>
        <w:t xml:space="preserve">, A., &amp; </w:t>
      </w:r>
      <w:proofErr w:type="spellStart"/>
      <w:r w:rsidRPr="004942D3">
        <w:rPr>
          <w:lang w:val="en-US"/>
        </w:rPr>
        <w:t>Azghandi</w:t>
      </w:r>
      <w:proofErr w:type="spellEnd"/>
      <w:r w:rsidRPr="004942D3">
        <w:rPr>
          <w:lang w:val="en-US"/>
        </w:rPr>
        <w:t xml:space="preserve">, M. A. (2023). AI-driven prediction of plant growth in deep water culture hydroponic systems. </w:t>
      </w:r>
      <w:r>
        <w:t>Computers and Electronics in Agriculture, 209, 107840.</w:t>
      </w:r>
    </w:p>
    <w:p w14:paraId="5D04A508" w14:textId="24CFB0D7" w:rsidR="00EA3660" w:rsidRPr="00EA3660" w:rsidRDefault="00EA3660" w:rsidP="004942D3">
      <w:pPr>
        <w:pStyle w:val="AbstractBody"/>
        <w:numPr>
          <w:ilvl w:val="0"/>
          <w:numId w:val="2"/>
        </w:numPr>
        <w:ind w:hanging="436"/>
        <w:rPr>
          <w:lang w:val="en-US"/>
        </w:rPr>
      </w:pPr>
      <w:proofErr w:type="spellStart"/>
      <w:r w:rsidRPr="00EA3660">
        <w:t>Atohoun</w:t>
      </w:r>
      <w:proofErr w:type="spellEnd"/>
      <w:r w:rsidRPr="00EA3660">
        <w:t xml:space="preserve">, B., </w:t>
      </w:r>
      <w:proofErr w:type="spellStart"/>
      <w:r w:rsidRPr="00EA3660">
        <w:t>Atihou</w:t>
      </w:r>
      <w:proofErr w:type="spellEnd"/>
      <w:r w:rsidRPr="00EA3660">
        <w:t xml:space="preserve">, C., Mousse, M.A. (2026). </w:t>
      </w:r>
      <w:r w:rsidRPr="00EA3660">
        <w:rPr>
          <w:lang w:val="en-US"/>
        </w:rPr>
        <w:t>Decentralized Access Control for Patient Data: A Smart Contract-Based Logical Architecture. In: Silhavy, R., Silhavy, P. (eds) Software Engineering: Emerging Trends and Practices in System Development. CSOC 2025. Lecture Notes in Networks and Systems, vol 1562. Springer, Cham. https://doi.org/10.1007/978-3-032-04725-0_30</w:t>
      </w:r>
    </w:p>
    <w:sectPr w:rsidR="00EA3660" w:rsidRPr="00EA36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7E6C7" w14:textId="77777777" w:rsidR="00F945B1" w:rsidRDefault="00F945B1" w:rsidP="0057600C">
      <w:r>
        <w:separator/>
      </w:r>
    </w:p>
  </w:endnote>
  <w:endnote w:type="continuationSeparator" w:id="0">
    <w:p w14:paraId="65F781A8" w14:textId="77777777" w:rsidR="00F945B1" w:rsidRDefault="00F945B1" w:rsidP="0057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3CD3F" w14:textId="77777777" w:rsidR="0057600C" w:rsidRDefault="005760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A29EE" w14:textId="77777777" w:rsidR="0057600C" w:rsidRDefault="005760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47F28" w14:textId="77777777" w:rsidR="0057600C" w:rsidRDefault="005760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942D5" w14:textId="77777777" w:rsidR="00F945B1" w:rsidRDefault="00F945B1" w:rsidP="0057600C">
      <w:r>
        <w:separator/>
      </w:r>
    </w:p>
  </w:footnote>
  <w:footnote w:type="continuationSeparator" w:id="0">
    <w:p w14:paraId="0276A695" w14:textId="77777777" w:rsidR="00F945B1" w:rsidRDefault="00F945B1" w:rsidP="00576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056A6" w14:textId="65B2BB0B" w:rsidR="0057600C" w:rsidRDefault="0057600C">
    <w:pPr>
      <w:pStyle w:val="Header"/>
    </w:pPr>
    <w:r>
      <w:rPr>
        <w:noProof/>
      </w:rPr>
      <w:pict w14:anchorId="23ED67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410360" o:spid="_x0000_s2050" type="#_x0000_t136" style="position:absolute;margin-left:0;margin-top:0;width:571.65pt;height:6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3678E" w14:textId="38A8A2A5" w:rsidR="0057600C" w:rsidRDefault="0057600C">
    <w:pPr>
      <w:pStyle w:val="Header"/>
    </w:pPr>
    <w:r>
      <w:rPr>
        <w:noProof/>
      </w:rPr>
      <w:pict w14:anchorId="21CFB6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410361" o:spid="_x0000_s2051" type="#_x0000_t136" style="position:absolute;margin-left:0;margin-top:0;width:571.65pt;height:6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3CF81" w14:textId="29377383" w:rsidR="0057600C" w:rsidRDefault="0057600C">
    <w:pPr>
      <w:pStyle w:val="Header"/>
    </w:pPr>
    <w:r>
      <w:rPr>
        <w:noProof/>
      </w:rPr>
      <w:pict w14:anchorId="783F23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410359" o:spid="_x0000_s2049" type="#_x0000_t136" style="position:absolute;margin-left:0;margin-top:0;width:571.65pt;height:6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46CF7"/>
    <w:multiLevelType w:val="hybridMultilevel"/>
    <w:tmpl w:val="22D82168"/>
    <w:lvl w:ilvl="0" w:tplc="0BCE3E94">
      <w:start w:val="1"/>
      <w:numFmt w:val="bullet"/>
      <w:lvlText w:val="●"/>
      <w:lvlJc w:val="left"/>
      <w:pPr>
        <w:ind w:left="720" w:hanging="360"/>
      </w:pPr>
    </w:lvl>
    <w:lvl w:ilvl="1" w:tplc="2F1E071A">
      <w:start w:val="1"/>
      <w:numFmt w:val="bullet"/>
      <w:lvlText w:val="○"/>
      <w:lvlJc w:val="left"/>
      <w:pPr>
        <w:ind w:left="1440" w:hanging="360"/>
      </w:pPr>
    </w:lvl>
    <w:lvl w:ilvl="2" w:tplc="E76EFFF2">
      <w:start w:val="1"/>
      <w:numFmt w:val="bullet"/>
      <w:lvlText w:val="■"/>
      <w:lvlJc w:val="left"/>
      <w:pPr>
        <w:ind w:left="2160" w:hanging="360"/>
      </w:pPr>
    </w:lvl>
    <w:lvl w:ilvl="3" w:tplc="9978F7D8">
      <w:start w:val="1"/>
      <w:numFmt w:val="bullet"/>
      <w:lvlText w:val="●"/>
      <w:lvlJc w:val="left"/>
      <w:pPr>
        <w:ind w:left="2880" w:hanging="360"/>
      </w:pPr>
    </w:lvl>
    <w:lvl w:ilvl="4" w:tplc="CE4E1E46">
      <w:start w:val="1"/>
      <w:numFmt w:val="bullet"/>
      <w:lvlText w:val="○"/>
      <w:lvlJc w:val="left"/>
      <w:pPr>
        <w:ind w:left="3600" w:hanging="360"/>
      </w:pPr>
    </w:lvl>
    <w:lvl w:ilvl="5" w:tplc="CE88CFCA">
      <w:start w:val="1"/>
      <w:numFmt w:val="bullet"/>
      <w:lvlText w:val="■"/>
      <w:lvlJc w:val="left"/>
      <w:pPr>
        <w:ind w:left="4320" w:hanging="360"/>
      </w:pPr>
    </w:lvl>
    <w:lvl w:ilvl="6" w:tplc="17F2F904">
      <w:start w:val="1"/>
      <w:numFmt w:val="bullet"/>
      <w:lvlText w:val="●"/>
      <w:lvlJc w:val="left"/>
      <w:pPr>
        <w:ind w:left="5040" w:hanging="360"/>
      </w:pPr>
    </w:lvl>
    <w:lvl w:ilvl="7" w:tplc="B51A5E8C">
      <w:start w:val="1"/>
      <w:numFmt w:val="bullet"/>
      <w:lvlText w:val="●"/>
      <w:lvlJc w:val="left"/>
      <w:pPr>
        <w:ind w:left="5760" w:hanging="360"/>
      </w:pPr>
    </w:lvl>
    <w:lvl w:ilvl="8" w:tplc="86F04C2C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C0D07B3"/>
    <w:multiLevelType w:val="hybridMultilevel"/>
    <w:tmpl w:val="144CF618"/>
    <w:lvl w:ilvl="0" w:tplc="C63EDA7A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078B1"/>
    <w:multiLevelType w:val="multilevel"/>
    <w:tmpl w:val="D968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254"/>
    <w:rsid w:val="00014A6A"/>
    <w:rsid w:val="000E3AD3"/>
    <w:rsid w:val="00137C87"/>
    <w:rsid w:val="00190C9B"/>
    <w:rsid w:val="00196B03"/>
    <w:rsid w:val="002F148E"/>
    <w:rsid w:val="00332254"/>
    <w:rsid w:val="004942D3"/>
    <w:rsid w:val="0057600C"/>
    <w:rsid w:val="00672EEB"/>
    <w:rsid w:val="006C7793"/>
    <w:rsid w:val="00841FEB"/>
    <w:rsid w:val="00BC670F"/>
    <w:rsid w:val="00C853DA"/>
    <w:rsid w:val="00D5218C"/>
    <w:rsid w:val="00E70ADC"/>
    <w:rsid w:val="00EA3660"/>
    <w:rsid w:val="00EC06C4"/>
    <w:rsid w:val="00F52AAB"/>
    <w:rsid w:val="00F945B1"/>
    <w:rsid w:val="00FB506E"/>
    <w:rsid w:val="00FE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6511EFC"/>
  <w15:docId w15:val="{3D0669ED-A36A-40A4-BFDA-3B5B8D42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aps/>
      <w:color w:val="000000"/>
      <w:sz w:val="22"/>
      <w:szCs w:val="2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pPr>
      <w:spacing w:after="120"/>
      <w:jc w:val="center"/>
    </w:pPr>
    <w:rPr>
      <w:b/>
      <w:bCs/>
      <w:color w:val="000000"/>
      <w:sz w:val="22"/>
      <w:szCs w:val="22"/>
    </w:rPr>
  </w:style>
  <w:style w:type="paragraph" w:customStyle="1" w:styleId="lev1">
    <w:name w:val="Élevé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AuthorStyle">
    <w:name w:val="Author Style"/>
    <w:pPr>
      <w:spacing w:before="60" w:after="60"/>
      <w:jc w:val="center"/>
    </w:pPr>
    <w:rPr>
      <w:color w:val="000000"/>
    </w:rPr>
  </w:style>
  <w:style w:type="paragraph" w:customStyle="1" w:styleId="AbstractHeading">
    <w:name w:val="Abstract Heading"/>
    <w:pPr>
      <w:spacing w:before="240" w:after="120"/>
    </w:pPr>
    <w:rPr>
      <w:b/>
      <w:bCs/>
      <w:caps/>
      <w:color w:val="000000"/>
      <w:sz w:val="22"/>
      <w:szCs w:val="22"/>
    </w:rPr>
  </w:style>
  <w:style w:type="paragraph" w:customStyle="1" w:styleId="AbstractBody">
    <w:name w:val="Abstract Body"/>
    <w:pPr>
      <w:spacing w:after="120"/>
      <w:jc w:val="both"/>
    </w:pPr>
    <w:rPr>
      <w:color w:val="000000"/>
    </w:rPr>
  </w:style>
  <w:style w:type="paragraph" w:customStyle="1" w:styleId="Keywords">
    <w:name w:val="Keywords"/>
    <w:pPr>
      <w:spacing w:after="240"/>
      <w:jc w:val="both"/>
    </w:pPr>
    <w:rPr>
      <w:i/>
      <w:iCs/>
      <w:color w:val="000000"/>
    </w:rPr>
  </w:style>
  <w:style w:type="character" w:customStyle="1" w:styleId="token">
    <w:name w:val="token"/>
    <w:basedOn w:val="DefaultParagraphFont"/>
    <w:rsid w:val="004942D3"/>
  </w:style>
  <w:style w:type="paragraph" w:styleId="Caption">
    <w:name w:val="caption"/>
    <w:basedOn w:val="Normal"/>
    <w:next w:val="Normal"/>
    <w:uiPriority w:val="35"/>
    <w:unhideWhenUsed/>
    <w:qFormat/>
    <w:rsid w:val="00014A6A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67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70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70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70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41F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60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00C"/>
  </w:style>
  <w:style w:type="paragraph" w:styleId="Footer">
    <w:name w:val="footer"/>
    <w:basedOn w:val="Normal"/>
    <w:link w:val="FooterChar"/>
    <w:uiPriority w:val="99"/>
    <w:unhideWhenUsed/>
    <w:rsid w:val="005760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pticlimatefarm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11</Pages>
  <Words>6280</Words>
  <Characters>35802</Characters>
  <Application>Microsoft Office Word</Application>
  <DocSecurity>0</DocSecurity>
  <Lines>298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SDI 1084</cp:lastModifiedBy>
  <cp:revision>8</cp:revision>
  <dcterms:created xsi:type="dcterms:W3CDTF">2025-10-30T13:36:00Z</dcterms:created>
  <dcterms:modified xsi:type="dcterms:W3CDTF">2025-11-01T07:43:00Z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754c147b-4139-4269-aeae-acf471746558</vt:lpwstr>
  </property>
</Properties>
</file>