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71F6B" w14:textId="530A5539" w:rsidR="0071375E" w:rsidRPr="0071375E" w:rsidRDefault="0071375E" w:rsidP="0071375E">
      <w:pPr>
        <w:rPr>
          <w:rFonts w:ascii="Arial" w:hAnsi="Arial" w:cs="Arial"/>
          <w:b/>
          <w:bCs/>
          <w:iCs/>
          <w:kern w:val="28"/>
          <w:sz w:val="36"/>
        </w:rPr>
      </w:pPr>
      <w:r w:rsidRPr="0071375E">
        <w:rPr>
          <w:rFonts w:ascii="Arial" w:hAnsi="Arial" w:cs="Arial"/>
          <w:b/>
          <w:bCs/>
          <w:iCs/>
          <w:kern w:val="28"/>
          <w:sz w:val="36"/>
        </w:rPr>
        <w:t xml:space="preserve">Assessment of Phytosanitary Risks in Cocoa Rubber and Rice Production via the Quebec Pesticide Risk Indicator in </w:t>
      </w:r>
      <w:r w:rsidR="00811873">
        <w:rPr>
          <w:rFonts w:ascii="Arial" w:hAnsi="Arial" w:cs="Arial"/>
          <w:b/>
          <w:bCs/>
          <w:iCs/>
          <w:kern w:val="28"/>
          <w:sz w:val="36"/>
        </w:rPr>
        <w:t>c</w:t>
      </w:r>
      <w:r w:rsidRPr="0071375E">
        <w:rPr>
          <w:rFonts w:ascii="Arial" w:hAnsi="Arial" w:cs="Arial"/>
          <w:b/>
          <w:bCs/>
          <w:iCs/>
          <w:kern w:val="28"/>
          <w:sz w:val="36"/>
        </w:rPr>
        <w:t xml:space="preserve">entral </w:t>
      </w:r>
      <w:r w:rsidR="00811873">
        <w:rPr>
          <w:rFonts w:ascii="Arial" w:hAnsi="Arial" w:cs="Arial"/>
          <w:b/>
          <w:bCs/>
          <w:iCs/>
          <w:kern w:val="28"/>
          <w:sz w:val="36"/>
        </w:rPr>
        <w:t>w</w:t>
      </w:r>
      <w:r w:rsidRPr="0071375E">
        <w:rPr>
          <w:rFonts w:ascii="Arial" w:hAnsi="Arial" w:cs="Arial"/>
          <w:b/>
          <w:bCs/>
          <w:iCs/>
          <w:kern w:val="28"/>
          <w:sz w:val="36"/>
        </w:rPr>
        <w:t>est Ivory Coast</w:t>
      </w:r>
    </w:p>
    <w:p w14:paraId="73C75DEF" w14:textId="77777777" w:rsidR="00A258C3" w:rsidRPr="00790ADA" w:rsidRDefault="00A258C3" w:rsidP="00441B6F">
      <w:pPr>
        <w:pStyle w:val="Author"/>
        <w:spacing w:line="240" w:lineRule="auto"/>
        <w:jc w:val="both"/>
        <w:rPr>
          <w:rFonts w:ascii="Arial" w:hAnsi="Arial" w:cs="Arial"/>
          <w:sz w:val="36"/>
        </w:rPr>
      </w:pPr>
    </w:p>
    <w:p w14:paraId="4815BD09" w14:textId="1B960157" w:rsidR="00633614" w:rsidRDefault="00633614" w:rsidP="00441B6F">
      <w:pPr>
        <w:pStyle w:val="Affiliation"/>
        <w:spacing w:after="0" w:line="240" w:lineRule="auto"/>
        <w:rPr>
          <w:rFonts w:ascii="Arial" w:hAnsi="Arial" w:cs="Arial"/>
          <w:i/>
        </w:rPr>
      </w:pPr>
    </w:p>
    <w:p w14:paraId="4757E1D6" w14:textId="77777777" w:rsidR="00D526F9" w:rsidRDefault="00D526F9" w:rsidP="00D526F9">
      <w:pPr>
        <w:pStyle w:val="AbstHead"/>
        <w:spacing w:after="0"/>
        <w:jc w:val="both"/>
        <w:rPr>
          <w:rFonts w:ascii="Arial" w:hAnsi="Arial" w:cs="Arial"/>
        </w:rPr>
      </w:pPr>
      <w:r w:rsidRPr="00FB3A86">
        <w:rPr>
          <w:rFonts w:ascii="Arial" w:hAnsi="Arial" w:cs="Arial"/>
        </w:rPr>
        <w:t>ABSTRACT</w:t>
      </w:r>
    </w:p>
    <w:p w14:paraId="117FA61D" w14:textId="77777777" w:rsidR="00D526F9" w:rsidRPr="00FB3A86" w:rsidRDefault="00D526F9" w:rsidP="00D526F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D526F9" w:rsidRPr="001E44FE" w14:paraId="6B5897D1" w14:textId="77777777" w:rsidTr="00BB793C">
        <w:tc>
          <w:tcPr>
            <w:tcW w:w="9576" w:type="dxa"/>
            <w:shd w:val="clear" w:color="auto" w:fill="F2F2F2"/>
          </w:tcPr>
          <w:p w14:paraId="69145211" w14:textId="77777777" w:rsidR="00D526F9" w:rsidRDefault="00D526F9" w:rsidP="00BB793C">
            <w:pPr>
              <w:pStyle w:val="Body"/>
              <w:spacing w:after="0"/>
              <w:rPr>
                <w:rFonts w:ascii="Arial" w:eastAsia="Calibri" w:hAnsi="Arial" w:cs="Arial"/>
                <w:szCs w:val="22"/>
              </w:rPr>
            </w:pPr>
            <w:r w:rsidRPr="00A11BC5">
              <w:rPr>
                <w:rFonts w:ascii="Arial" w:eastAsia="Calibri" w:hAnsi="Arial" w:cs="Arial"/>
                <w:szCs w:val="22"/>
              </w:rPr>
              <w:t xml:space="preserve">Agricultural chemicalization poses critical threats to sustainable resource management in tropical regions. In Ivory Coast, a global agricultural leader, intensive production of cocoa, rubber, and rice depends heavily on pesticides, endangering biodiversity, water resources, and human health. This study addresses the crucial gap in standardized risk assessment tools by pioneering the adaptation and application of the Quebec Pesticide Risk Indicator (QPRI) to West African tropical </w:t>
            </w:r>
            <w:proofErr w:type="spellStart"/>
            <w:r w:rsidRPr="00A11BC5">
              <w:rPr>
                <w:rFonts w:ascii="Arial" w:eastAsia="Calibri" w:hAnsi="Arial" w:cs="Arial"/>
                <w:szCs w:val="22"/>
              </w:rPr>
              <w:t>agro</w:t>
            </w:r>
            <w:proofErr w:type="spellEnd"/>
            <w:r w:rsidRPr="00A11BC5">
              <w:rPr>
                <w:rFonts w:ascii="Arial" w:eastAsia="Calibri" w:hAnsi="Arial" w:cs="Arial"/>
                <w:szCs w:val="22"/>
              </w:rPr>
              <w:t xml:space="preserve">-ecosystems. We employed the QPRI to evaluate health (HRI) and environmental (ERI) risks associated with 37 pesticides used by 160 farmers in the Lakota department. Our findings demonstrate extreme risk levels from insecticide mixtures, particularly neonicotinoid-pyrethroid combinations (e.g., CABOS PLUS 50 SC, HRI=2109). Triazole fungicides (e.g., cyproconazole, ERI=495) and herbicides containing triclopyr emerged as significant threats to aquatic ecosystems, especially the Gazolilié dam, due to their high persistence and mobility. The research uncovered alarming disparities between regulatory frameworks and field practices, including improper waste disposal and inadequate protective measures. We establish that the adapted QPRI serves as an essential tool for evidence-based policy and sustainable agricultural transition. Our study provides a scientifically-grounded framework for prioritizing pesticide regulation, promoting eco-friendly alternatives such as biopesticides, and implementing targeted awareness campaigns. This work offers a replicable model for achieving sustainable agriculture and effective natural resource management in Ivory Coast and comparable tropical </w:t>
            </w:r>
            <w:proofErr w:type="spellStart"/>
            <w:r w:rsidRPr="00A11BC5">
              <w:rPr>
                <w:rFonts w:ascii="Arial" w:eastAsia="Calibri" w:hAnsi="Arial" w:cs="Arial"/>
                <w:szCs w:val="22"/>
              </w:rPr>
              <w:t>agro</w:t>
            </w:r>
            <w:proofErr w:type="spellEnd"/>
            <w:r w:rsidRPr="00A11BC5">
              <w:rPr>
                <w:rFonts w:ascii="Arial" w:eastAsia="Calibri" w:hAnsi="Arial" w:cs="Arial"/>
                <w:szCs w:val="22"/>
              </w:rPr>
              <w:t>-ecosystems, directly contributing to conservation objectives, agricultural sustainability, and the UN Sustainable Development Goals through improved pesticide risk assessment and management strategies.</w:t>
            </w:r>
          </w:p>
          <w:p w14:paraId="4B9D4478" w14:textId="77777777" w:rsidR="00D526F9" w:rsidRPr="00BA1B01" w:rsidRDefault="00D526F9" w:rsidP="00BB793C">
            <w:pPr>
              <w:pStyle w:val="Body"/>
              <w:spacing w:after="0"/>
              <w:rPr>
                <w:rFonts w:ascii="Arial" w:eastAsia="Calibri" w:hAnsi="Arial" w:cs="Arial"/>
                <w:szCs w:val="22"/>
              </w:rPr>
            </w:pPr>
          </w:p>
        </w:tc>
      </w:tr>
    </w:tbl>
    <w:p w14:paraId="40C5202A" w14:textId="77777777" w:rsidR="00D526F9" w:rsidRDefault="00D526F9" w:rsidP="00D526F9">
      <w:pPr>
        <w:pStyle w:val="Body"/>
        <w:spacing w:after="0"/>
        <w:rPr>
          <w:rFonts w:ascii="Arial" w:hAnsi="Arial" w:cs="Arial"/>
          <w:i/>
        </w:rPr>
      </w:pPr>
    </w:p>
    <w:p w14:paraId="656FD32E" w14:textId="77777777" w:rsidR="00D526F9" w:rsidRDefault="00D526F9" w:rsidP="00D526F9">
      <w:pPr>
        <w:pStyle w:val="Body"/>
        <w:spacing w:after="0"/>
        <w:rPr>
          <w:rFonts w:ascii="Arial" w:hAnsi="Arial" w:cs="Arial"/>
          <w:i/>
        </w:rPr>
      </w:pPr>
      <w:r>
        <w:rPr>
          <w:rFonts w:ascii="Arial" w:hAnsi="Arial" w:cs="Arial"/>
          <w:i/>
        </w:rPr>
        <w:t xml:space="preserve">Keywords: </w:t>
      </w:r>
      <w:r w:rsidRPr="00A11BC5">
        <w:rPr>
          <w:rFonts w:ascii="Arial" w:hAnsi="Arial" w:cs="Arial"/>
          <w:i/>
        </w:rPr>
        <w:t>Pesticides, Health-Environmental Risks, Sustainable Agriculture, Quebec Pesticides Risk Indicator (QPRI), Ivory Coast</w:t>
      </w:r>
    </w:p>
    <w:p w14:paraId="0E058972" w14:textId="77777777" w:rsidR="00D526F9" w:rsidRDefault="00D526F9" w:rsidP="00D526F9">
      <w:pPr>
        <w:pStyle w:val="Body"/>
        <w:spacing w:after="0"/>
        <w:rPr>
          <w:rFonts w:ascii="Arial" w:hAnsi="Arial" w:cs="Arial"/>
          <w:i/>
        </w:rPr>
      </w:pPr>
    </w:p>
    <w:p w14:paraId="33A24D21" w14:textId="77777777" w:rsidR="002C57D2" w:rsidRPr="00FB3A86" w:rsidRDefault="002C57D2" w:rsidP="00441B6F">
      <w:pPr>
        <w:pStyle w:val="Affiliation"/>
        <w:spacing w:after="0" w:line="240" w:lineRule="auto"/>
        <w:jc w:val="both"/>
        <w:rPr>
          <w:rFonts w:ascii="Arial" w:hAnsi="Arial" w:cs="Arial"/>
        </w:rPr>
      </w:pPr>
    </w:p>
    <w:p w14:paraId="73FD9469" w14:textId="77777777" w:rsidR="00B01FCD" w:rsidRPr="00FB3A86" w:rsidRDefault="00B83C47" w:rsidP="00441B6F">
      <w:pPr>
        <w:pStyle w:val="Copyright"/>
        <w:spacing w:after="0" w:line="240" w:lineRule="auto"/>
        <w:jc w:val="both"/>
        <w:rPr>
          <w:rFonts w:ascii="Arial" w:hAnsi="Arial" w:cs="Arial"/>
        </w:rPr>
        <w:sectPr w:rsidR="00B01FCD" w:rsidRPr="00FB3A86" w:rsidSect="009B7B9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23367B2">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BE45CC6" w14:textId="4B90872E" w:rsidR="00505F06" w:rsidRDefault="00902823" w:rsidP="00C53F00">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35C385B0" w14:textId="77777777" w:rsidR="00D526F9" w:rsidRDefault="00D526F9" w:rsidP="00C53F00">
      <w:pPr>
        <w:pStyle w:val="Body"/>
        <w:spacing w:after="0"/>
        <w:rPr>
          <w:rFonts w:ascii="Arial" w:hAnsi="Arial" w:cs="Arial"/>
        </w:rPr>
      </w:pPr>
    </w:p>
    <w:p w14:paraId="6C7FE37E" w14:textId="19FA6363" w:rsidR="00C53F00" w:rsidRPr="00C53F00" w:rsidRDefault="00C53F00" w:rsidP="00C53F00">
      <w:pPr>
        <w:pStyle w:val="Body"/>
        <w:spacing w:after="0"/>
        <w:rPr>
          <w:rFonts w:ascii="Arial" w:hAnsi="Arial" w:cs="Arial"/>
        </w:rPr>
      </w:pPr>
      <w:r w:rsidRPr="00C53F00">
        <w:rPr>
          <w:rFonts w:ascii="Arial" w:hAnsi="Arial" w:cs="Arial"/>
        </w:rPr>
        <w:t>Cocoa, rubber, and rice are cornerstone crops in Ivory Coast, contributing significantly to national revenues and the livelihoods of local populations (Bene et al., 2024). However, maintaining their yields relies heavily on pesticide use, a practice with multifaceted consequences including acute and chronic toxicity for farmers and consumers, bioaccumulation in the food chain, and soil and water pollution, as evidenced by the contamination of aquatic systems like Lake Labo (Tudi et al., 2021). Despite the ban on certain highly toxic products like atrazine and chlorpyrifos-ethyl, their use persists, revealing a concerning gap between regulations and on-field practices (</w:t>
      </w:r>
      <w:proofErr w:type="spellStart"/>
      <w:r w:rsidRPr="00C53F00">
        <w:rPr>
          <w:rFonts w:ascii="Arial" w:hAnsi="Arial" w:cs="Arial"/>
        </w:rPr>
        <w:t>Traoré</w:t>
      </w:r>
      <w:proofErr w:type="spellEnd"/>
      <w:r w:rsidRPr="00C53F00">
        <w:rPr>
          <w:rFonts w:ascii="Arial" w:hAnsi="Arial" w:cs="Arial"/>
        </w:rPr>
        <w:t xml:space="preserve"> and </w:t>
      </w:r>
      <w:proofErr w:type="spellStart"/>
      <w:r w:rsidRPr="00C53F00">
        <w:rPr>
          <w:rFonts w:ascii="Arial" w:hAnsi="Arial" w:cs="Arial"/>
        </w:rPr>
        <w:t>Haggblade</w:t>
      </w:r>
      <w:proofErr w:type="spellEnd"/>
      <w:r w:rsidRPr="00C53F00">
        <w:rPr>
          <w:rFonts w:ascii="Arial" w:hAnsi="Arial" w:cs="Arial"/>
        </w:rPr>
        <w:t xml:space="preserve">, 2017). This situation is exacerbated by a lack of </w:t>
      </w:r>
      <w:proofErr w:type="spellStart"/>
      <w:r w:rsidRPr="00C53F00">
        <w:rPr>
          <w:rFonts w:ascii="Arial" w:hAnsi="Arial" w:cs="Arial"/>
        </w:rPr>
        <w:t>standardised</w:t>
      </w:r>
      <w:proofErr w:type="spellEnd"/>
      <w:r w:rsidRPr="00C53F00">
        <w:rPr>
          <w:rFonts w:ascii="Arial" w:hAnsi="Arial" w:cs="Arial"/>
        </w:rPr>
        <w:t xml:space="preserve"> tools for assessing the health and environmental risks of pesticides in a local context (</w:t>
      </w:r>
      <w:proofErr w:type="spellStart"/>
      <w:r w:rsidRPr="00C53F00">
        <w:rPr>
          <w:rFonts w:ascii="Arial" w:hAnsi="Arial" w:cs="Arial"/>
        </w:rPr>
        <w:t>Milhorance</w:t>
      </w:r>
      <w:proofErr w:type="spellEnd"/>
      <w:r w:rsidRPr="00C53F00">
        <w:rPr>
          <w:rFonts w:ascii="Arial" w:hAnsi="Arial" w:cs="Arial"/>
        </w:rPr>
        <w:t xml:space="preserve"> et al., 2024), necessitating the adoption of rigorous methodologies to quantify these risks and guide policy towards sustainable agriculture. This study aims to address this gap by applying the Quebec Pesticide Risk Indicator (QPRI), a proven model for pesticide risk assessment (Samuel, 2007), adapted here for the first time to the specific socio-economic and environmental conditions of central-western Ivory Coast, representing a novel approach for tropical risk assessment. The primary objective is to quantify the health (HRI) and environmental (ERI) risks of pesticides used on cocoa, rubber, and rice crops to identify the most hazardous substances. The results will help </w:t>
      </w:r>
      <w:proofErr w:type="spellStart"/>
      <w:r w:rsidRPr="00C53F00">
        <w:rPr>
          <w:rFonts w:ascii="Arial" w:hAnsi="Arial" w:cs="Arial"/>
        </w:rPr>
        <w:t>prioritise</w:t>
      </w:r>
      <w:proofErr w:type="spellEnd"/>
      <w:r w:rsidRPr="00C53F00">
        <w:rPr>
          <w:rFonts w:ascii="Arial" w:hAnsi="Arial" w:cs="Arial"/>
        </w:rPr>
        <w:t xml:space="preserve"> corrective actions, such as promoting </w:t>
      </w:r>
      <w:proofErr w:type="gramStart"/>
      <w:r w:rsidRPr="00C53F00">
        <w:rPr>
          <w:rFonts w:ascii="Arial" w:hAnsi="Arial" w:cs="Arial"/>
        </w:rPr>
        <w:t>less</w:t>
      </w:r>
      <w:proofErr w:type="gramEnd"/>
      <w:r w:rsidRPr="00C53F00">
        <w:rPr>
          <w:rFonts w:ascii="Arial" w:hAnsi="Arial" w:cs="Arial"/>
        </w:rPr>
        <w:t xml:space="preserve"> toxic alternatives (e.g., </w:t>
      </w:r>
      <w:r w:rsidRPr="00C53F00">
        <w:rPr>
          <w:rFonts w:ascii="Arial" w:hAnsi="Arial" w:cs="Arial"/>
          <w:i/>
          <w:iCs/>
        </w:rPr>
        <w:t>Bacillus subtilis</w:t>
      </w:r>
      <w:r w:rsidRPr="00C53F00">
        <w:rPr>
          <w:rFonts w:ascii="Arial" w:hAnsi="Arial" w:cs="Arial"/>
        </w:rPr>
        <w:t>, HRI=1.6) and strengthening local regulations (</w:t>
      </w:r>
      <w:proofErr w:type="spellStart"/>
      <w:r w:rsidRPr="00C53F00">
        <w:rPr>
          <w:rFonts w:ascii="Arial" w:hAnsi="Arial" w:cs="Arial"/>
        </w:rPr>
        <w:t>Bouagga</w:t>
      </w:r>
      <w:proofErr w:type="spellEnd"/>
      <w:r w:rsidRPr="00C53F00">
        <w:rPr>
          <w:rFonts w:ascii="Arial" w:hAnsi="Arial" w:cs="Arial"/>
        </w:rPr>
        <w:t xml:space="preserve"> et al., 2016), thereby supporting the transition to a more sustainable and resilient agricultural model that balances productivity with environmental conservation and public health.</w:t>
      </w:r>
    </w:p>
    <w:p w14:paraId="41DF92C4" w14:textId="77777777" w:rsidR="00790ADA" w:rsidRPr="00FB3A86" w:rsidRDefault="00790ADA" w:rsidP="00441B6F">
      <w:pPr>
        <w:pStyle w:val="Body"/>
        <w:spacing w:after="0"/>
        <w:rPr>
          <w:rFonts w:ascii="Arial" w:hAnsi="Arial" w:cs="Arial"/>
        </w:rPr>
      </w:pPr>
    </w:p>
    <w:p w14:paraId="390E3661" w14:textId="431AA33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1490485" w14:textId="77777777" w:rsidR="00790ADA" w:rsidRPr="00FB3A86" w:rsidRDefault="00790ADA" w:rsidP="00441B6F">
      <w:pPr>
        <w:pStyle w:val="AbstHead"/>
        <w:spacing w:after="0"/>
        <w:jc w:val="both"/>
        <w:rPr>
          <w:rFonts w:ascii="Arial" w:hAnsi="Arial" w:cs="Arial"/>
        </w:rPr>
      </w:pPr>
    </w:p>
    <w:p w14:paraId="51EAFF93" w14:textId="0AA91288" w:rsidR="00C53F00" w:rsidRPr="00C53F00" w:rsidRDefault="00C53F00" w:rsidP="00C53F00">
      <w:pPr>
        <w:pStyle w:val="Body"/>
        <w:spacing w:after="0"/>
        <w:rPr>
          <w:rFonts w:ascii="Arial" w:hAnsi="Arial" w:cs="Arial"/>
          <w:b/>
          <w:bCs/>
        </w:rPr>
      </w:pPr>
      <w:r>
        <w:rPr>
          <w:rFonts w:ascii="Arial" w:hAnsi="Arial" w:cs="Arial"/>
          <w:b/>
          <w:bCs/>
        </w:rPr>
        <w:t xml:space="preserve">2.1 </w:t>
      </w:r>
      <w:r w:rsidRPr="00C53F00">
        <w:rPr>
          <w:rFonts w:ascii="Arial" w:hAnsi="Arial" w:cs="Arial"/>
          <w:b/>
          <w:bCs/>
        </w:rPr>
        <w:t>Study Area</w:t>
      </w:r>
    </w:p>
    <w:p w14:paraId="13901821" w14:textId="77777777" w:rsidR="00D526F9" w:rsidRDefault="00D526F9" w:rsidP="00C53F00">
      <w:pPr>
        <w:pStyle w:val="Body"/>
        <w:spacing w:after="0"/>
        <w:rPr>
          <w:rFonts w:ascii="Arial" w:hAnsi="Arial" w:cs="Arial"/>
        </w:rPr>
      </w:pPr>
    </w:p>
    <w:p w14:paraId="3F5B7E19" w14:textId="5E55905D" w:rsidR="00C53F00" w:rsidRPr="00C53F00" w:rsidRDefault="00C53F00" w:rsidP="00C53F00">
      <w:pPr>
        <w:pStyle w:val="Body"/>
        <w:spacing w:after="0"/>
        <w:rPr>
          <w:rFonts w:ascii="Arial" w:hAnsi="Arial" w:cs="Arial"/>
        </w:rPr>
      </w:pPr>
      <w:r w:rsidRPr="00C53F00">
        <w:rPr>
          <w:rFonts w:ascii="Arial" w:hAnsi="Arial" w:cs="Arial"/>
        </w:rPr>
        <w:t>The study was conducted in the department of Lakota (Lôh-Djiboua region, Ivory Coast), an area characterized by a humid tropical climate with average temperatures of 25–30°C and abundant rainfall from April to October (</w:t>
      </w:r>
      <w:proofErr w:type="spellStart"/>
      <w:r w:rsidRPr="00C53F00">
        <w:rPr>
          <w:rFonts w:ascii="Arial" w:hAnsi="Arial" w:cs="Arial"/>
        </w:rPr>
        <w:t>Ahipo</w:t>
      </w:r>
      <w:proofErr w:type="spellEnd"/>
      <w:r w:rsidRPr="00C53F00">
        <w:rPr>
          <w:rFonts w:ascii="Arial" w:hAnsi="Arial" w:cs="Arial"/>
        </w:rPr>
        <w:t xml:space="preserve">, 2024). Seven localities were targeted for their agricultural diversity: Lakota, </w:t>
      </w:r>
      <w:proofErr w:type="spellStart"/>
      <w:r w:rsidRPr="00C53F00">
        <w:rPr>
          <w:rFonts w:ascii="Arial" w:hAnsi="Arial" w:cs="Arial"/>
        </w:rPr>
        <w:t>Akabréboua</w:t>
      </w:r>
      <w:proofErr w:type="spellEnd"/>
      <w:r w:rsidRPr="00C53F00">
        <w:rPr>
          <w:rFonts w:ascii="Arial" w:hAnsi="Arial" w:cs="Arial"/>
        </w:rPr>
        <w:t xml:space="preserve">, </w:t>
      </w:r>
      <w:proofErr w:type="spellStart"/>
      <w:r w:rsidRPr="00C53F00">
        <w:rPr>
          <w:rFonts w:ascii="Arial" w:hAnsi="Arial" w:cs="Arial"/>
        </w:rPr>
        <w:t>Nassalilié</w:t>
      </w:r>
      <w:proofErr w:type="spellEnd"/>
      <w:r w:rsidRPr="00C53F00">
        <w:rPr>
          <w:rFonts w:ascii="Arial" w:hAnsi="Arial" w:cs="Arial"/>
        </w:rPr>
        <w:t>, Grand-</w:t>
      </w:r>
      <w:proofErr w:type="spellStart"/>
      <w:r w:rsidRPr="00C53F00">
        <w:rPr>
          <w:rFonts w:ascii="Arial" w:hAnsi="Arial" w:cs="Arial"/>
        </w:rPr>
        <w:t>Déboua</w:t>
      </w:r>
      <w:proofErr w:type="spellEnd"/>
      <w:r w:rsidRPr="00C53F00">
        <w:rPr>
          <w:rFonts w:ascii="Arial" w:hAnsi="Arial" w:cs="Arial"/>
        </w:rPr>
        <w:t xml:space="preserve">, </w:t>
      </w:r>
      <w:proofErr w:type="spellStart"/>
      <w:r w:rsidRPr="00C53F00">
        <w:rPr>
          <w:rFonts w:ascii="Arial" w:hAnsi="Arial" w:cs="Arial"/>
        </w:rPr>
        <w:t>Gazolilié</w:t>
      </w:r>
      <w:proofErr w:type="spellEnd"/>
      <w:r w:rsidRPr="00C53F00">
        <w:rPr>
          <w:rFonts w:ascii="Arial" w:hAnsi="Arial" w:cs="Arial"/>
        </w:rPr>
        <w:t xml:space="preserve">, Niakpalilié, and Dahiri. Dominant crops include cocoa (725.25 ha), rubber (193 ha), and rice (14.25 ha), with production systems ranging from intensive plantations to </w:t>
      </w:r>
      <w:proofErr w:type="spellStart"/>
      <w:r w:rsidRPr="00C53F00">
        <w:rPr>
          <w:rFonts w:ascii="Arial" w:hAnsi="Arial" w:cs="Arial"/>
        </w:rPr>
        <w:t>polycultural</w:t>
      </w:r>
      <w:proofErr w:type="spellEnd"/>
      <w:r w:rsidRPr="00C53F00">
        <w:rPr>
          <w:rFonts w:ascii="Arial" w:hAnsi="Arial" w:cs="Arial"/>
        </w:rPr>
        <w:t xml:space="preserve"> systems (Bene et al., 2024). The presence of the Gazolilié hydro-agricultural dam and Lake Labo underscores the critical challenges of water contamination by pesticides (Figure 1). </w:t>
      </w:r>
    </w:p>
    <w:p w14:paraId="62596D7B" w14:textId="047E89F2" w:rsidR="00C53F00" w:rsidRDefault="00C53F00" w:rsidP="00441B6F">
      <w:pPr>
        <w:pStyle w:val="Body"/>
        <w:spacing w:after="0"/>
        <w:rPr>
          <w:rFonts w:ascii="Arial" w:hAnsi="Arial" w:cs="Arial"/>
        </w:rPr>
      </w:pPr>
      <w:r w:rsidRPr="004B27D2">
        <w:rPr>
          <w:rFonts w:ascii="Arial" w:hAnsi="Arial" w:cs="Arial"/>
          <w:noProof/>
          <w:sz w:val="24"/>
          <w:szCs w:val="24"/>
        </w:rPr>
        <w:drawing>
          <wp:anchor distT="0" distB="0" distL="114300" distR="114300" simplePos="0" relativeHeight="251657728" behindDoc="0" locked="0" layoutInCell="1" allowOverlap="1" wp14:anchorId="36DBC7EA" wp14:editId="7FD0382E">
            <wp:simplePos x="0" y="0"/>
            <wp:positionH relativeFrom="column">
              <wp:posOffset>52705</wp:posOffset>
            </wp:positionH>
            <wp:positionV relativeFrom="paragraph">
              <wp:posOffset>65405</wp:posOffset>
            </wp:positionV>
            <wp:extent cx="5543550" cy="2965450"/>
            <wp:effectExtent l="0" t="0" r="0" b="0"/>
            <wp:wrapNone/>
            <wp:docPr id="53857798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3550" cy="296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34A0CA" w14:textId="1617581B" w:rsidR="00C53F00" w:rsidRDefault="00C53F00" w:rsidP="00441B6F">
      <w:pPr>
        <w:pStyle w:val="Body"/>
        <w:spacing w:after="0"/>
        <w:rPr>
          <w:rFonts w:ascii="Arial" w:hAnsi="Arial" w:cs="Arial"/>
        </w:rPr>
      </w:pPr>
    </w:p>
    <w:p w14:paraId="57518DC5" w14:textId="30619E64" w:rsidR="00C53F00" w:rsidRDefault="00C53F00" w:rsidP="00441B6F">
      <w:pPr>
        <w:pStyle w:val="Body"/>
        <w:spacing w:after="0"/>
        <w:rPr>
          <w:rFonts w:ascii="Arial" w:hAnsi="Arial" w:cs="Arial"/>
        </w:rPr>
      </w:pPr>
    </w:p>
    <w:p w14:paraId="6BDCF0CC" w14:textId="4D637E5D" w:rsidR="00C53F00" w:rsidRDefault="00C53F00" w:rsidP="00441B6F">
      <w:pPr>
        <w:pStyle w:val="Body"/>
        <w:spacing w:after="0"/>
        <w:rPr>
          <w:rFonts w:ascii="Arial" w:hAnsi="Arial" w:cs="Arial"/>
        </w:rPr>
      </w:pPr>
    </w:p>
    <w:p w14:paraId="35E71702" w14:textId="3AAE6370" w:rsidR="00C53F00" w:rsidRDefault="00C53F00" w:rsidP="00441B6F">
      <w:pPr>
        <w:pStyle w:val="Body"/>
        <w:spacing w:after="0"/>
        <w:rPr>
          <w:rFonts w:ascii="Arial" w:hAnsi="Arial" w:cs="Arial"/>
        </w:rPr>
      </w:pPr>
    </w:p>
    <w:p w14:paraId="1A625660" w14:textId="77777777" w:rsidR="00C53F00" w:rsidRDefault="00C53F00" w:rsidP="00441B6F">
      <w:pPr>
        <w:pStyle w:val="Body"/>
        <w:spacing w:after="0"/>
        <w:rPr>
          <w:rFonts w:ascii="Arial" w:hAnsi="Arial" w:cs="Arial"/>
        </w:rPr>
      </w:pPr>
    </w:p>
    <w:p w14:paraId="043CAD85" w14:textId="77777777" w:rsidR="00C53F00" w:rsidRDefault="00C53F00" w:rsidP="00441B6F">
      <w:pPr>
        <w:pStyle w:val="Body"/>
        <w:spacing w:after="0"/>
        <w:rPr>
          <w:rFonts w:ascii="Arial" w:hAnsi="Arial" w:cs="Arial"/>
        </w:rPr>
      </w:pPr>
    </w:p>
    <w:p w14:paraId="6F688596" w14:textId="77777777" w:rsidR="00C53F00" w:rsidRDefault="00C53F00" w:rsidP="00441B6F">
      <w:pPr>
        <w:pStyle w:val="Body"/>
        <w:spacing w:after="0"/>
        <w:rPr>
          <w:rFonts w:ascii="Arial" w:hAnsi="Arial" w:cs="Arial"/>
        </w:rPr>
      </w:pPr>
    </w:p>
    <w:p w14:paraId="1D36E05C" w14:textId="77777777" w:rsidR="00C53F00" w:rsidRDefault="00C53F00" w:rsidP="00441B6F">
      <w:pPr>
        <w:pStyle w:val="Body"/>
        <w:spacing w:after="0"/>
        <w:rPr>
          <w:rFonts w:ascii="Arial" w:hAnsi="Arial" w:cs="Arial"/>
        </w:rPr>
      </w:pPr>
    </w:p>
    <w:p w14:paraId="793CA083" w14:textId="77777777" w:rsidR="00C53F00" w:rsidRDefault="00C53F00" w:rsidP="00441B6F">
      <w:pPr>
        <w:pStyle w:val="Body"/>
        <w:spacing w:after="0"/>
        <w:rPr>
          <w:rFonts w:ascii="Arial" w:hAnsi="Arial" w:cs="Arial"/>
        </w:rPr>
      </w:pPr>
    </w:p>
    <w:p w14:paraId="5A99DCED" w14:textId="77777777" w:rsidR="00C53F00" w:rsidRDefault="00C53F00" w:rsidP="00441B6F">
      <w:pPr>
        <w:pStyle w:val="Body"/>
        <w:spacing w:after="0"/>
        <w:rPr>
          <w:rFonts w:ascii="Arial" w:hAnsi="Arial" w:cs="Arial"/>
        </w:rPr>
      </w:pPr>
    </w:p>
    <w:p w14:paraId="768F29BE" w14:textId="77777777" w:rsidR="00C53F00" w:rsidRDefault="00C53F00" w:rsidP="00441B6F">
      <w:pPr>
        <w:pStyle w:val="Body"/>
        <w:spacing w:after="0"/>
        <w:rPr>
          <w:rFonts w:ascii="Arial" w:hAnsi="Arial" w:cs="Arial"/>
        </w:rPr>
      </w:pPr>
    </w:p>
    <w:p w14:paraId="07EC1353" w14:textId="77777777" w:rsidR="00C53F00" w:rsidRDefault="00C53F00" w:rsidP="00441B6F">
      <w:pPr>
        <w:pStyle w:val="Body"/>
        <w:spacing w:after="0"/>
        <w:rPr>
          <w:rFonts w:ascii="Arial" w:hAnsi="Arial" w:cs="Arial"/>
        </w:rPr>
      </w:pPr>
    </w:p>
    <w:p w14:paraId="19DCAF0B" w14:textId="77777777" w:rsidR="00C53F00" w:rsidRDefault="00C53F00" w:rsidP="00441B6F">
      <w:pPr>
        <w:pStyle w:val="Body"/>
        <w:spacing w:after="0"/>
        <w:rPr>
          <w:rFonts w:ascii="Arial" w:hAnsi="Arial" w:cs="Arial"/>
        </w:rPr>
      </w:pPr>
    </w:p>
    <w:p w14:paraId="56C992B5" w14:textId="77777777" w:rsidR="00C53F00" w:rsidRDefault="00C53F00" w:rsidP="00441B6F">
      <w:pPr>
        <w:pStyle w:val="Body"/>
        <w:spacing w:after="0"/>
        <w:rPr>
          <w:rFonts w:ascii="Arial" w:hAnsi="Arial" w:cs="Arial"/>
        </w:rPr>
      </w:pPr>
    </w:p>
    <w:p w14:paraId="29370C07" w14:textId="77777777" w:rsidR="00C53F00" w:rsidRDefault="00C53F00" w:rsidP="00441B6F">
      <w:pPr>
        <w:pStyle w:val="Body"/>
        <w:spacing w:after="0"/>
        <w:rPr>
          <w:rFonts w:ascii="Arial" w:hAnsi="Arial" w:cs="Arial"/>
        </w:rPr>
      </w:pPr>
    </w:p>
    <w:p w14:paraId="083FDB03" w14:textId="77777777" w:rsidR="00D526F9" w:rsidRDefault="00D526F9" w:rsidP="00441B6F">
      <w:pPr>
        <w:pStyle w:val="Body"/>
        <w:spacing w:after="0"/>
        <w:rPr>
          <w:rFonts w:ascii="Arial" w:hAnsi="Arial" w:cs="Arial"/>
        </w:rPr>
      </w:pPr>
    </w:p>
    <w:p w14:paraId="65B2D51B" w14:textId="77777777" w:rsidR="00D526F9" w:rsidRDefault="00D526F9" w:rsidP="00441B6F">
      <w:pPr>
        <w:pStyle w:val="Body"/>
        <w:spacing w:after="0"/>
        <w:rPr>
          <w:rFonts w:ascii="Arial" w:hAnsi="Arial" w:cs="Arial"/>
        </w:rPr>
      </w:pPr>
    </w:p>
    <w:p w14:paraId="406F4344" w14:textId="77777777" w:rsidR="00D526F9" w:rsidRDefault="00D526F9" w:rsidP="00441B6F">
      <w:pPr>
        <w:pStyle w:val="Body"/>
        <w:spacing w:after="0"/>
        <w:rPr>
          <w:rFonts w:ascii="Arial" w:hAnsi="Arial" w:cs="Arial"/>
        </w:rPr>
      </w:pPr>
    </w:p>
    <w:p w14:paraId="179DD9DC" w14:textId="77777777" w:rsidR="00D526F9" w:rsidRDefault="00D526F9" w:rsidP="00441B6F">
      <w:pPr>
        <w:pStyle w:val="Body"/>
        <w:spacing w:after="0"/>
        <w:rPr>
          <w:rFonts w:ascii="Arial" w:hAnsi="Arial" w:cs="Arial"/>
        </w:rPr>
      </w:pPr>
    </w:p>
    <w:p w14:paraId="3EAF49EA" w14:textId="77777777" w:rsidR="00D526F9" w:rsidRDefault="00D526F9" w:rsidP="00441B6F">
      <w:pPr>
        <w:pStyle w:val="Body"/>
        <w:spacing w:after="0"/>
        <w:rPr>
          <w:rFonts w:ascii="Arial" w:hAnsi="Arial" w:cs="Arial"/>
        </w:rPr>
      </w:pPr>
    </w:p>
    <w:p w14:paraId="13FCF958" w14:textId="057EB547" w:rsidR="00C53F00" w:rsidRDefault="00B83C47" w:rsidP="00441B6F">
      <w:pPr>
        <w:pStyle w:val="Body"/>
        <w:spacing w:after="0"/>
        <w:rPr>
          <w:rFonts w:ascii="Arial" w:hAnsi="Arial" w:cs="Arial"/>
        </w:rPr>
      </w:pPr>
      <w:r>
        <w:rPr>
          <w:noProof/>
        </w:rPr>
        <w:pict w14:anchorId="4ACF407B">
          <v:shapetype id="_x0000_t202" coordsize="21600,21600" o:spt="202" path="m,l,21600r21600,l21600,xe">
            <v:stroke joinstyle="miter"/>
            <v:path gradientshapeok="t" o:connecttype="rect"/>
          </v:shapetype>
          <v:shape id="_x0000_s1027" type="#_x0000_t202" style="position:absolute;left:0;text-align:left;margin-left:12.7pt;margin-top:3.15pt;width:411.45pt;height:21.5pt;z-index:251661312;mso-position-horizontal-relative:text;mso-position-vertical-relative:text" stroked="f">
            <v:textbox style="mso-fit-shape-to-text:t" inset="0,0,0,0">
              <w:txbxContent>
                <w:p w14:paraId="0BE9865A" w14:textId="35D51575" w:rsidR="00C53F00" w:rsidRPr="0020615D" w:rsidRDefault="00C53F00" w:rsidP="00C53F00">
                  <w:pPr>
                    <w:pStyle w:val="Caption"/>
                    <w:jc w:val="center"/>
                    <w:rPr>
                      <w:rFonts w:ascii="Arial" w:hAnsi="Arial" w:cs="Arial"/>
                      <w:b/>
                      <w:bCs/>
                      <w:i w:val="0"/>
                      <w:iCs w:val="0"/>
                      <w:noProof/>
                      <w:color w:val="000000" w:themeColor="text1"/>
                      <w:sz w:val="20"/>
                      <w:szCs w:val="20"/>
                    </w:rPr>
                  </w:pPr>
                  <w:r w:rsidRPr="0020615D">
                    <w:rPr>
                      <w:rFonts w:ascii="Arial" w:hAnsi="Arial" w:cs="Arial"/>
                      <w:b/>
                      <w:bCs/>
                      <w:i w:val="0"/>
                      <w:iCs w:val="0"/>
                      <w:color w:val="000000" w:themeColor="text1"/>
                      <w:sz w:val="20"/>
                      <w:szCs w:val="20"/>
                    </w:rPr>
                    <w:t>Fig</w:t>
                  </w:r>
                  <w:r w:rsidR="0020615D">
                    <w:rPr>
                      <w:rFonts w:ascii="Arial" w:hAnsi="Arial" w:cs="Arial"/>
                      <w:b/>
                      <w:bCs/>
                      <w:i w:val="0"/>
                      <w:iCs w:val="0"/>
                      <w:color w:val="000000" w:themeColor="text1"/>
                      <w:sz w:val="20"/>
                      <w:szCs w:val="20"/>
                    </w:rPr>
                    <w:t xml:space="preserve">. </w:t>
                  </w:r>
                  <w:r w:rsidRPr="0020615D">
                    <w:rPr>
                      <w:rFonts w:ascii="Arial" w:hAnsi="Arial" w:cs="Arial"/>
                      <w:b/>
                      <w:bCs/>
                      <w:i w:val="0"/>
                      <w:iCs w:val="0"/>
                      <w:color w:val="000000" w:themeColor="text1"/>
                      <w:sz w:val="20"/>
                      <w:szCs w:val="20"/>
                    </w:rPr>
                    <w:fldChar w:fldCharType="begin"/>
                  </w:r>
                  <w:r w:rsidRPr="0020615D">
                    <w:rPr>
                      <w:rFonts w:ascii="Arial" w:hAnsi="Arial" w:cs="Arial"/>
                      <w:b/>
                      <w:bCs/>
                      <w:i w:val="0"/>
                      <w:iCs w:val="0"/>
                      <w:color w:val="000000" w:themeColor="text1"/>
                      <w:sz w:val="20"/>
                      <w:szCs w:val="20"/>
                    </w:rPr>
                    <w:instrText xml:space="preserve"> SEQ Figure \* ARABIC </w:instrText>
                  </w:r>
                  <w:r w:rsidRPr="0020615D">
                    <w:rPr>
                      <w:rFonts w:ascii="Arial" w:hAnsi="Arial" w:cs="Arial"/>
                      <w:b/>
                      <w:bCs/>
                      <w:i w:val="0"/>
                      <w:iCs w:val="0"/>
                      <w:color w:val="000000" w:themeColor="text1"/>
                      <w:sz w:val="20"/>
                      <w:szCs w:val="20"/>
                    </w:rPr>
                    <w:fldChar w:fldCharType="separate"/>
                  </w:r>
                  <w:r w:rsidRPr="0020615D">
                    <w:rPr>
                      <w:rFonts w:ascii="Arial" w:hAnsi="Arial" w:cs="Arial"/>
                      <w:b/>
                      <w:bCs/>
                      <w:i w:val="0"/>
                      <w:iCs w:val="0"/>
                      <w:noProof/>
                      <w:color w:val="000000" w:themeColor="text1"/>
                      <w:sz w:val="20"/>
                      <w:szCs w:val="20"/>
                    </w:rPr>
                    <w:t>1</w:t>
                  </w:r>
                  <w:r w:rsidRPr="0020615D">
                    <w:rPr>
                      <w:rFonts w:ascii="Arial" w:hAnsi="Arial" w:cs="Arial"/>
                      <w:b/>
                      <w:bCs/>
                      <w:i w:val="0"/>
                      <w:iCs w:val="0"/>
                      <w:color w:val="000000" w:themeColor="text1"/>
                      <w:sz w:val="20"/>
                      <w:szCs w:val="20"/>
                    </w:rPr>
                    <w:fldChar w:fldCharType="end"/>
                  </w:r>
                  <w:r w:rsidRPr="0020615D">
                    <w:rPr>
                      <w:rFonts w:ascii="Arial" w:hAnsi="Arial" w:cs="Arial"/>
                      <w:b/>
                      <w:bCs/>
                      <w:i w:val="0"/>
                      <w:iCs w:val="0"/>
                      <w:color w:val="000000" w:themeColor="text1"/>
                      <w:sz w:val="20"/>
                      <w:szCs w:val="20"/>
                    </w:rPr>
                    <w:t>: Study Area.</w:t>
                  </w:r>
                </w:p>
              </w:txbxContent>
            </v:textbox>
          </v:shape>
        </w:pict>
      </w:r>
    </w:p>
    <w:p w14:paraId="0856DFD1" w14:textId="77777777" w:rsidR="00C53F00" w:rsidRDefault="00C53F00" w:rsidP="00441B6F">
      <w:pPr>
        <w:pStyle w:val="Body"/>
        <w:spacing w:after="0"/>
        <w:rPr>
          <w:rFonts w:ascii="Arial" w:hAnsi="Arial" w:cs="Arial"/>
        </w:rPr>
      </w:pPr>
    </w:p>
    <w:p w14:paraId="31F484F8" w14:textId="242BF2C4" w:rsidR="00D526F9" w:rsidRDefault="00D526F9" w:rsidP="00441B6F">
      <w:pPr>
        <w:pStyle w:val="Body"/>
        <w:spacing w:after="0"/>
        <w:rPr>
          <w:rFonts w:ascii="Arial" w:hAnsi="Arial" w:cs="Arial"/>
        </w:rPr>
      </w:pPr>
      <w:r>
        <w:rPr>
          <w:rFonts w:ascii="Arial" w:hAnsi="Arial" w:cs="Arial"/>
        </w:rPr>
        <w:br w:type="page"/>
      </w:r>
    </w:p>
    <w:p w14:paraId="21154C3C" w14:textId="626516ED" w:rsidR="007B1B69" w:rsidRPr="007B1B69" w:rsidRDefault="007B1B69" w:rsidP="007B1B69">
      <w:pPr>
        <w:pStyle w:val="Body"/>
        <w:spacing w:after="0"/>
        <w:rPr>
          <w:rFonts w:ascii="Arial" w:hAnsi="Arial" w:cs="Arial"/>
          <w:b/>
          <w:bCs/>
        </w:rPr>
      </w:pPr>
      <w:r>
        <w:rPr>
          <w:rFonts w:ascii="Arial" w:hAnsi="Arial" w:cs="Arial"/>
          <w:b/>
          <w:bCs/>
        </w:rPr>
        <w:lastRenderedPageBreak/>
        <w:t xml:space="preserve">2.2 </w:t>
      </w:r>
      <w:r w:rsidRPr="007B1B69">
        <w:rPr>
          <w:rFonts w:ascii="Arial" w:hAnsi="Arial" w:cs="Arial"/>
          <w:b/>
          <w:bCs/>
        </w:rPr>
        <w:t>Sampling</w:t>
      </w:r>
    </w:p>
    <w:p w14:paraId="41831F53" w14:textId="77777777" w:rsidR="00D526F9" w:rsidRDefault="00D526F9" w:rsidP="007B1B69">
      <w:pPr>
        <w:pStyle w:val="Body"/>
        <w:spacing w:after="0"/>
        <w:rPr>
          <w:rFonts w:ascii="Arial" w:hAnsi="Arial" w:cs="Arial"/>
        </w:rPr>
      </w:pPr>
    </w:p>
    <w:p w14:paraId="491A5763" w14:textId="78567203" w:rsidR="007B1B69" w:rsidRDefault="007B1B69" w:rsidP="007B1B69">
      <w:pPr>
        <w:pStyle w:val="Body"/>
        <w:spacing w:after="0"/>
        <w:rPr>
          <w:rFonts w:ascii="Arial" w:hAnsi="Arial" w:cs="Arial"/>
        </w:rPr>
      </w:pPr>
      <w:r w:rsidRPr="007B1B69">
        <w:rPr>
          <w:rFonts w:ascii="Arial" w:hAnsi="Arial" w:cs="Arial"/>
        </w:rPr>
        <w:t>A stratified sample of 160 farmers was interviewed to reflect the regional crop distribution (Table 1). The sample was dominated by cocoa growers (117 farmers, 73.1%), followed by rubber growers (32 farmers, 20%) and rice growers (11 farmers, 6.9%), accurately mirroring the main agricultural activities</w:t>
      </w:r>
      <w:r w:rsidR="00CA4857">
        <w:rPr>
          <w:rFonts w:ascii="Arial" w:hAnsi="Arial" w:cs="Arial"/>
        </w:rPr>
        <w:br/>
      </w:r>
      <w:r w:rsidRPr="007B1B69">
        <w:rPr>
          <w:rFonts w:ascii="Arial" w:hAnsi="Arial" w:cs="Arial"/>
        </w:rPr>
        <w:t xml:space="preserve"> of the Lakota department. The localities of Gazolilié and Dahiri accounted for 37.5% of the surveyed farms, highlighting their significance in local agricultural production.</w:t>
      </w:r>
    </w:p>
    <w:p w14:paraId="30B18EDB" w14:textId="77777777" w:rsidR="0020615D" w:rsidRPr="007B1B69" w:rsidRDefault="0020615D" w:rsidP="007B1B69">
      <w:pPr>
        <w:pStyle w:val="Body"/>
        <w:spacing w:after="0"/>
        <w:rPr>
          <w:rFonts w:ascii="Arial" w:hAnsi="Arial" w:cs="Arial"/>
        </w:rPr>
      </w:pPr>
    </w:p>
    <w:p w14:paraId="129756A5" w14:textId="77777777" w:rsidR="007B1B69" w:rsidRPr="0020615D" w:rsidRDefault="007B1B69" w:rsidP="0020615D">
      <w:pPr>
        <w:pStyle w:val="Body"/>
        <w:spacing w:after="0"/>
        <w:jc w:val="center"/>
        <w:rPr>
          <w:rFonts w:ascii="Arial" w:hAnsi="Arial" w:cs="Arial"/>
          <w:b/>
          <w:bCs/>
        </w:rPr>
      </w:pPr>
      <w:r w:rsidRPr="0020615D">
        <w:rPr>
          <w:rFonts w:ascii="Arial" w:hAnsi="Arial" w:cs="Arial"/>
          <w:b/>
          <w:bCs/>
        </w:rPr>
        <w:t>Table 1: Distribution of farms by crop and locality in Lakota department (</w:t>
      </w:r>
      <w:bookmarkStart w:id="1" w:name="_Hlk207647408"/>
      <w:r w:rsidRPr="0020615D">
        <w:rPr>
          <w:rFonts w:ascii="Arial" w:hAnsi="Arial" w:cs="Arial"/>
          <w:b/>
          <w:bCs/>
        </w:rPr>
        <w:t>Ivory Coast</w:t>
      </w:r>
      <w:bookmarkEnd w:id="1"/>
      <w:r w:rsidRPr="0020615D">
        <w:rPr>
          <w:rFonts w:ascii="Arial" w:hAnsi="Arial" w:cs="Arial"/>
          <w:b/>
          <w:bCs/>
        </w:rPr>
        <w:t>).</w:t>
      </w:r>
    </w:p>
    <w:tbl>
      <w:tblPr>
        <w:tblStyle w:val="PlainTable2"/>
        <w:tblW w:w="0" w:type="auto"/>
        <w:jc w:val="center"/>
        <w:tblLook w:val="04A0" w:firstRow="1" w:lastRow="0" w:firstColumn="1" w:lastColumn="0" w:noHBand="0" w:noVBand="1"/>
      </w:tblPr>
      <w:tblGrid>
        <w:gridCol w:w="2034"/>
        <w:gridCol w:w="1200"/>
        <w:gridCol w:w="1200"/>
        <w:gridCol w:w="1200"/>
        <w:gridCol w:w="1200"/>
      </w:tblGrid>
      <w:tr w:rsidR="007B1B69" w:rsidRPr="007B1B69" w14:paraId="65354EC4" w14:textId="77777777" w:rsidTr="00BB793C">
        <w:trPr>
          <w:cnfStyle w:val="100000000000" w:firstRow="1" w:lastRow="0" w:firstColumn="0" w:lastColumn="0" w:oddVBand="0" w:evenVBand="0" w:oddHBand="0"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034" w:type="dxa"/>
            <w:noWrap/>
            <w:hideMark/>
          </w:tcPr>
          <w:p w14:paraId="52E3BE13" w14:textId="77777777" w:rsidR="007B1B69" w:rsidRPr="007B1B69" w:rsidRDefault="007B1B69" w:rsidP="0020615D">
            <w:pPr>
              <w:pStyle w:val="Body"/>
              <w:spacing w:after="0"/>
              <w:jc w:val="left"/>
              <w:rPr>
                <w:rFonts w:ascii="Arial" w:hAnsi="Arial" w:cs="Arial"/>
                <w:b w:val="0"/>
                <w:lang w:val="fr-CI"/>
              </w:rPr>
            </w:pPr>
            <w:r w:rsidRPr="007B1B69">
              <w:rPr>
                <w:rFonts w:ascii="Arial" w:hAnsi="Arial" w:cs="Arial"/>
              </w:rPr>
              <w:t>LOCALITIES</w:t>
            </w:r>
          </w:p>
        </w:tc>
        <w:tc>
          <w:tcPr>
            <w:tcW w:w="1200" w:type="dxa"/>
            <w:noWrap/>
            <w:hideMark/>
          </w:tcPr>
          <w:p w14:paraId="05FFB958" w14:textId="77777777" w:rsidR="007B1B69" w:rsidRPr="007B1B69" w:rsidRDefault="007B1B69" w:rsidP="0020615D">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B1B69">
              <w:rPr>
                <w:rFonts w:ascii="Arial" w:hAnsi="Arial" w:cs="Arial"/>
              </w:rPr>
              <w:t>COCOA</w:t>
            </w:r>
          </w:p>
        </w:tc>
        <w:tc>
          <w:tcPr>
            <w:tcW w:w="1200" w:type="dxa"/>
            <w:noWrap/>
            <w:hideMark/>
          </w:tcPr>
          <w:p w14:paraId="3E7621A9" w14:textId="77777777" w:rsidR="007B1B69" w:rsidRPr="007B1B69" w:rsidRDefault="007B1B69" w:rsidP="0020615D">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B1B69">
              <w:rPr>
                <w:rFonts w:ascii="Arial" w:hAnsi="Arial" w:cs="Arial"/>
              </w:rPr>
              <w:t>RUBBER</w:t>
            </w:r>
          </w:p>
        </w:tc>
        <w:tc>
          <w:tcPr>
            <w:tcW w:w="1200" w:type="dxa"/>
            <w:noWrap/>
            <w:hideMark/>
          </w:tcPr>
          <w:p w14:paraId="54F62F2E" w14:textId="77777777" w:rsidR="007B1B69" w:rsidRPr="007B1B69" w:rsidRDefault="007B1B69" w:rsidP="0020615D">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B1B69">
              <w:rPr>
                <w:rFonts w:ascii="Arial" w:hAnsi="Arial" w:cs="Arial"/>
              </w:rPr>
              <w:t>RICE</w:t>
            </w:r>
          </w:p>
        </w:tc>
        <w:tc>
          <w:tcPr>
            <w:tcW w:w="1200" w:type="dxa"/>
            <w:noWrap/>
            <w:hideMark/>
          </w:tcPr>
          <w:p w14:paraId="037CC8F0" w14:textId="77777777" w:rsidR="007B1B69" w:rsidRPr="007B1B69" w:rsidRDefault="007B1B69" w:rsidP="0020615D">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B1B69">
              <w:rPr>
                <w:rFonts w:ascii="Arial" w:hAnsi="Arial" w:cs="Arial"/>
              </w:rPr>
              <w:t>TOTAL</w:t>
            </w:r>
          </w:p>
        </w:tc>
      </w:tr>
      <w:tr w:rsidR="007B1B69" w:rsidRPr="007B1B69" w14:paraId="4B4D32F7" w14:textId="77777777" w:rsidTr="00BB793C">
        <w:trPr>
          <w:cnfStyle w:val="000000100000" w:firstRow="0" w:lastRow="0" w:firstColumn="0" w:lastColumn="0" w:oddVBand="0" w:evenVBand="0" w:oddHBand="1" w:evenHBand="0" w:firstRowFirstColumn="0" w:firstRowLastColumn="0" w:lastRowFirstColumn="0" w:lastRowLastColumn="0"/>
          <w:trHeight w:val="151"/>
          <w:jc w:val="center"/>
        </w:trPr>
        <w:tc>
          <w:tcPr>
            <w:cnfStyle w:val="001000000000" w:firstRow="0" w:lastRow="0" w:firstColumn="1" w:lastColumn="0" w:oddVBand="0" w:evenVBand="0" w:oddHBand="0" w:evenHBand="0" w:firstRowFirstColumn="0" w:firstRowLastColumn="0" w:lastRowFirstColumn="0" w:lastRowLastColumn="0"/>
            <w:tcW w:w="2034" w:type="dxa"/>
            <w:noWrap/>
            <w:hideMark/>
          </w:tcPr>
          <w:p w14:paraId="491B9C28" w14:textId="77777777" w:rsidR="007B1B69" w:rsidRPr="007B1B69" w:rsidRDefault="007B1B69" w:rsidP="0020615D">
            <w:pPr>
              <w:pStyle w:val="Body"/>
              <w:spacing w:after="0"/>
              <w:jc w:val="left"/>
              <w:rPr>
                <w:rFonts w:ascii="Arial" w:hAnsi="Arial" w:cs="Arial"/>
                <w:b w:val="0"/>
              </w:rPr>
            </w:pPr>
            <w:r w:rsidRPr="007B1B69">
              <w:rPr>
                <w:rFonts w:ascii="Arial" w:hAnsi="Arial" w:cs="Arial"/>
              </w:rPr>
              <w:t>Lakota</w:t>
            </w:r>
          </w:p>
        </w:tc>
        <w:tc>
          <w:tcPr>
            <w:tcW w:w="1200" w:type="dxa"/>
            <w:noWrap/>
            <w:hideMark/>
          </w:tcPr>
          <w:p w14:paraId="43427409"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14</w:t>
            </w:r>
          </w:p>
        </w:tc>
        <w:tc>
          <w:tcPr>
            <w:tcW w:w="1200" w:type="dxa"/>
            <w:noWrap/>
            <w:hideMark/>
          </w:tcPr>
          <w:p w14:paraId="676A5E60"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5</w:t>
            </w:r>
          </w:p>
        </w:tc>
        <w:tc>
          <w:tcPr>
            <w:tcW w:w="1200" w:type="dxa"/>
            <w:noWrap/>
            <w:hideMark/>
          </w:tcPr>
          <w:p w14:paraId="76B3724C"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w:t>
            </w:r>
          </w:p>
        </w:tc>
        <w:tc>
          <w:tcPr>
            <w:tcW w:w="1200" w:type="dxa"/>
            <w:noWrap/>
            <w:hideMark/>
          </w:tcPr>
          <w:p w14:paraId="5D34BD40"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20</w:t>
            </w:r>
          </w:p>
        </w:tc>
      </w:tr>
      <w:tr w:rsidR="007B1B69" w:rsidRPr="007B1B69" w14:paraId="2FB5C7FA" w14:textId="77777777" w:rsidTr="00BB793C">
        <w:trPr>
          <w:trHeight w:val="345"/>
          <w:jc w:val="center"/>
        </w:trPr>
        <w:tc>
          <w:tcPr>
            <w:cnfStyle w:val="001000000000" w:firstRow="0" w:lastRow="0" w:firstColumn="1" w:lastColumn="0" w:oddVBand="0" w:evenVBand="0" w:oddHBand="0" w:evenHBand="0" w:firstRowFirstColumn="0" w:firstRowLastColumn="0" w:lastRowFirstColumn="0" w:lastRowLastColumn="0"/>
            <w:tcW w:w="2034" w:type="dxa"/>
            <w:noWrap/>
            <w:hideMark/>
          </w:tcPr>
          <w:p w14:paraId="6BA90B17" w14:textId="77777777" w:rsidR="007B1B69" w:rsidRPr="007B1B69" w:rsidRDefault="007B1B69" w:rsidP="0020615D">
            <w:pPr>
              <w:pStyle w:val="Body"/>
              <w:spacing w:after="0"/>
              <w:jc w:val="left"/>
              <w:rPr>
                <w:rFonts w:ascii="Arial" w:hAnsi="Arial" w:cs="Arial"/>
                <w:b w:val="0"/>
              </w:rPr>
            </w:pPr>
            <w:proofErr w:type="spellStart"/>
            <w:r w:rsidRPr="007B1B69">
              <w:rPr>
                <w:rFonts w:ascii="Arial" w:hAnsi="Arial" w:cs="Arial"/>
              </w:rPr>
              <w:t>Akabréboua</w:t>
            </w:r>
            <w:proofErr w:type="spellEnd"/>
          </w:p>
        </w:tc>
        <w:tc>
          <w:tcPr>
            <w:tcW w:w="1200" w:type="dxa"/>
            <w:noWrap/>
            <w:hideMark/>
          </w:tcPr>
          <w:p w14:paraId="4F1B57A2"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17</w:t>
            </w:r>
          </w:p>
        </w:tc>
        <w:tc>
          <w:tcPr>
            <w:tcW w:w="1200" w:type="dxa"/>
            <w:noWrap/>
            <w:hideMark/>
          </w:tcPr>
          <w:p w14:paraId="66FDB971"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3</w:t>
            </w:r>
          </w:p>
        </w:tc>
        <w:tc>
          <w:tcPr>
            <w:tcW w:w="1200" w:type="dxa"/>
            <w:noWrap/>
            <w:hideMark/>
          </w:tcPr>
          <w:p w14:paraId="2EC00ADB"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0</w:t>
            </w:r>
          </w:p>
        </w:tc>
        <w:tc>
          <w:tcPr>
            <w:tcW w:w="1200" w:type="dxa"/>
            <w:noWrap/>
            <w:hideMark/>
          </w:tcPr>
          <w:p w14:paraId="186D2F21"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20</w:t>
            </w:r>
          </w:p>
        </w:tc>
      </w:tr>
      <w:tr w:rsidR="007B1B69" w:rsidRPr="007B1B69" w14:paraId="2A0D1BEA" w14:textId="77777777" w:rsidTr="00BB793C">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034" w:type="dxa"/>
            <w:noWrap/>
            <w:hideMark/>
          </w:tcPr>
          <w:p w14:paraId="6BC58421" w14:textId="77777777" w:rsidR="007B1B69" w:rsidRPr="007B1B69" w:rsidRDefault="007B1B69" w:rsidP="0020615D">
            <w:pPr>
              <w:pStyle w:val="Body"/>
              <w:spacing w:after="0"/>
              <w:jc w:val="left"/>
              <w:rPr>
                <w:rFonts w:ascii="Arial" w:hAnsi="Arial" w:cs="Arial"/>
                <w:b w:val="0"/>
              </w:rPr>
            </w:pPr>
            <w:r w:rsidRPr="007B1B69">
              <w:rPr>
                <w:rFonts w:ascii="Arial" w:hAnsi="Arial" w:cs="Arial"/>
              </w:rPr>
              <w:t>Nassalilié</w:t>
            </w:r>
          </w:p>
        </w:tc>
        <w:tc>
          <w:tcPr>
            <w:tcW w:w="1200" w:type="dxa"/>
            <w:noWrap/>
            <w:hideMark/>
          </w:tcPr>
          <w:p w14:paraId="136ADCAE"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16</w:t>
            </w:r>
          </w:p>
        </w:tc>
        <w:tc>
          <w:tcPr>
            <w:tcW w:w="1200" w:type="dxa"/>
            <w:noWrap/>
            <w:hideMark/>
          </w:tcPr>
          <w:p w14:paraId="05A0A7E7"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4</w:t>
            </w:r>
          </w:p>
        </w:tc>
        <w:tc>
          <w:tcPr>
            <w:tcW w:w="1200" w:type="dxa"/>
            <w:noWrap/>
            <w:hideMark/>
          </w:tcPr>
          <w:p w14:paraId="7F55EE3B"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w:t>
            </w:r>
          </w:p>
        </w:tc>
        <w:tc>
          <w:tcPr>
            <w:tcW w:w="1200" w:type="dxa"/>
            <w:noWrap/>
            <w:hideMark/>
          </w:tcPr>
          <w:p w14:paraId="1EA138CF"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20</w:t>
            </w:r>
          </w:p>
        </w:tc>
      </w:tr>
      <w:tr w:rsidR="007B1B69" w:rsidRPr="007B1B69" w14:paraId="653CA417" w14:textId="77777777" w:rsidTr="00BB793C">
        <w:trPr>
          <w:trHeight w:val="345"/>
          <w:jc w:val="center"/>
        </w:trPr>
        <w:tc>
          <w:tcPr>
            <w:cnfStyle w:val="001000000000" w:firstRow="0" w:lastRow="0" w:firstColumn="1" w:lastColumn="0" w:oddVBand="0" w:evenVBand="0" w:oddHBand="0" w:evenHBand="0" w:firstRowFirstColumn="0" w:firstRowLastColumn="0" w:lastRowFirstColumn="0" w:lastRowLastColumn="0"/>
            <w:tcW w:w="2034" w:type="dxa"/>
            <w:noWrap/>
            <w:hideMark/>
          </w:tcPr>
          <w:p w14:paraId="53F4BB1F" w14:textId="77777777" w:rsidR="007B1B69" w:rsidRPr="007B1B69" w:rsidRDefault="007B1B69" w:rsidP="0020615D">
            <w:pPr>
              <w:pStyle w:val="Body"/>
              <w:spacing w:after="0"/>
              <w:jc w:val="left"/>
              <w:rPr>
                <w:rFonts w:ascii="Arial" w:hAnsi="Arial" w:cs="Arial"/>
                <w:b w:val="0"/>
              </w:rPr>
            </w:pPr>
            <w:r w:rsidRPr="007B1B69">
              <w:rPr>
                <w:rFonts w:ascii="Arial" w:hAnsi="Arial" w:cs="Arial"/>
              </w:rPr>
              <w:t>Grand Deboua</w:t>
            </w:r>
          </w:p>
        </w:tc>
        <w:tc>
          <w:tcPr>
            <w:tcW w:w="1200" w:type="dxa"/>
            <w:noWrap/>
            <w:hideMark/>
          </w:tcPr>
          <w:p w14:paraId="6EBB694E"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13</w:t>
            </w:r>
          </w:p>
        </w:tc>
        <w:tc>
          <w:tcPr>
            <w:tcW w:w="1200" w:type="dxa"/>
            <w:noWrap/>
            <w:hideMark/>
          </w:tcPr>
          <w:p w14:paraId="26C3B565"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6</w:t>
            </w:r>
          </w:p>
        </w:tc>
        <w:tc>
          <w:tcPr>
            <w:tcW w:w="1200" w:type="dxa"/>
            <w:noWrap/>
            <w:hideMark/>
          </w:tcPr>
          <w:p w14:paraId="3D12B870"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2</w:t>
            </w:r>
          </w:p>
        </w:tc>
        <w:tc>
          <w:tcPr>
            <w:tcW w:w="1200" w:type="dxa"/>
            <w:noWrap/>
            <w:hideMark/>
          </w:tcPr>
          <w:p w14:paraId="123A64E0"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20</w:t>
            </w:r>
          </w:p>
        </w:tc>
      </w:tr>
      <w:tr w:rsidR="007B1B69" w:rsidRPr="007B1B69" w14:paraId="66E6807C" w14:textId="77777777" w:rsidTr="00BB793C">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034" w:type="dxa"/>
            <w:noWrap/>
            <w:hideMark/>
          </w:tcPr>
          <w:p w14:paraId="626FE177" w14:textId="77777777" w:rsidR="007B1B69" w:rsidRPr="007B1B69" w:rsidRDefault="007B1B69" w:rsidP="0020615D">
            <w:pPr>
              <w:pStyle w:val="Body"/>
              <w:spacing w:after="0"/>
              <w:jc w:val="left"/>
              <w:rPr>
                <w:rFonts w:ascii="Arial" w:hAnsi="Arial" w:cs="Arial"/>
                <w:b w:val="0"/>
              </w:rPr>
            </w:pPr>
            <w:r w:rsidRPr="007B1B69">
              <w:rPr>
                <w:rFonts w:ascii="Arial" w:hAnsi="Arial" w:cs="Arial"/>
              </w:rPr>
              <w:t>Gazolilié</w:t>
            </w:r>
          </w:p>
        </w:tc>
        <w:tc>
          <w:tcPr>
            <w:tcW w:w="1200" w:type="dxa"/>
            <w:noWrap/>
            <w:hideMark/>
          </w:tcPr>
          <w:p w14:paraId="79298DA2"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25</w:t>
            </w:r>
          </w:p>
        </w:tc>
        <w:tc>
          <w:tcPr>
            <w:tcW w:w="1200" w:type="dxa"/>
            <w:noWrap/>
            <w:hideMark/>
          </w:tcPr>
          <w:p w14:paraId="4A2B8646"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4</w:t>
            </w:r>
          </w:p>
        </w:tc>
        <w:tc>
          <w:tcPr>
            <w:tcW w:w="1200" w:type="dxa"/>
            <w:noWrap/>
            <w:hideMark/>
          </w:tcPr>
          <w:p w14:paraId="02CB002D"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2</w:t>
            </w:r>
          </w:p>
        </w:tc>
        <w:tc>
          <w:tcPr>
            <w:tcW w:w="1200" w:type="dxa"/>
            <w:noWrap/>
            <w:hideMark/>
          </w:tcPr>
          <w:p w14:paraId="40D28288"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30</w:t>
            </w:r>
          </w:p>
        </w:tc>
      </w:tr>
      <w:tr w:rsidR="007B1B69" w:rsidRPr="007B1B69" w14:paraId="061D7ED9" w14:textId="77777777" w:rsidTr="00BB793C">
        <w:trPr>
          <w:trHeight w:val="345"/>
          <w:jc w:val="center"/>
        </w:trPr>
        <w:tc>
          <w:tcPr>
            <w:cnfStyle w:val="001000000000" w:firstRow="0" w:lastRow="0" w:firstColumn="1" w:lastColumn="0" w:oddVBand="0" w:evenVBand="0" w:oddHBand="0" w:evenHBand="0" w:firstRowFirstColumn="0" w:firstRowLastColumn="0" w:lastRowFirstColumn="0" w:lastRowLastColumn="0"/>
            <w:tcW w:w="2034" w:type="dxa"/>
            <w:noWrap/>
            <w:hideMark/>
          </w:tcPr>
          <w:p w14:paraId="33DC072A" w14:textId="77777777" w:rsidR="007B1B69" w:rsidRPr="007B1B69" w:rsidRDefault="007B1B69" w:rsidP="0020615D">
            <w:pPr>
              <w:pStyle w:val="Body"/>
              <w:spacing w:after="0"/>
              <w:jc w:val="left"/>
              <w:rPr>
                <w:rFonts w:ascii="Arial" w:hAnsi="Arial" w:cs="Arial"/>
                <w:b w:val="0"/>
              </w:rPr>
            </w:pPr>
            <w:r w:rsidRPr="007B1B69">
              <w:rPr>
                <w:rFonts w:ascii="Arial" w:hAnsi="Arial" w:cs="Arial"/>
              </w:rPr>
              <w:t>Niakpalilié</w:t>
            </w:r>
          </w:p>
        </w:tc>
        <w:tc>
          <w:tcPr>
            <w:tcW w:w="1200" w:type="dxa"/>
            <w:noWrap/>
            <w:hideMark/>
          </w:tcPr>
          <w:p w14:paraId="1B0BA23D"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20</w:t>
            </w:r>
          </w:p>
        </w:tc>
        <w:tc>
          <w:tcPr>
            <w:tcW w:w="1200" w:type="dxa"/>
            <w:noWrap/>
            <w:hideMark/>
          </w:tcPr>
          <w:p w14:paraId="285BB8AE"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0</w:t>
            </w:r>
          </w:p>
        </w:tc>
        <w:tc>
          <w:tcPr>
            <w:tcW w:w="1200" w:type="dxa"/>
            <w:noWrap/>
            <w:hideMark/>
          </w:tcPr>
          <w:p w14:paraId="61C8BFBA"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0</w:t>
            </w:r>
          </w:p>
        </w:tc>
        <w:tc>
          <w:tcPr>
            <w:tcW w:w="1200" w:type="dxa"/>
            <w:noWrap/>
            <w:hideMark/>
          </w:tcPr>
          <w:p w14:paraId="6D703E93"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20</w:t>
            </w:r>
          </w:p>
        </w:tc>
      </w:tr>
      <w:tr w:rsidR="007B1B69" w:rsidRPr="007B1B69" w14:paraId="371F73D8" w14:textId="77777777" w:rsidTr="00BB793C">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034" w:type="dxa"/>
            <w:noWrap/>
            <w:hideMark/>
          </w:tcPr>
          <w:p w14:paraId="3497FE9C" w14:textId="77777777" w:rsidR="007B1B69" w:rsidRPr="007B1B69" w:rsidRDefault="007B1B69" w:rsidP="0020615D">
            <w:pPr>
              <w:pStyle w:val="Body"/>
              <w:spacing w:after="0"/>
              <w:jc w:val="left"/>
              <w:rPr>
                <w:rFonts w:ascii="Arial" w:hAnsi="Arial" w:cs="Arial"/>
                <w:b w:val="0"/>
              </w:rPr>
            </w:pPr>
            <w:r w:rsidRPr="007B1B69">
              <w:rPr>
                <w:rFonts w:ascii="Arial" w:hAnsi="Arial" w:cs="Arial"/>
              </w:rPr>
              <w:t>Dahiri</w:t>
            </w:r>
          </w:p>
        </w:tc>
        <w:tc>
          <w:tcPr>
            <w:tcW w:w="1200" w:type="dxa"/>
            <w:noWrap/>
            <w:hideMark/>
          </w:tcPr>
          <w:p w14:paraId="460F6DDB"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12</w:t>
            </w:r>
          </w:p>
        </w:tc>
        <w:tc>
          <w:tcPr>
            <w:tcW w:w="1200" w:type="dxa"/>
            <w:noWrap/>
            <w:hideMark/>
          </w:tcPr>
          <w:p w14:paraId="58F63376"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12</w:t>
            </w:r>
          </w:p>
        </w:tc>
        <w:tc>
          <w:tcPr>
            <w:tcW w:w="1200" w:type="dxa"/>
            <w:noWrap/>
            <w:hideMark/>
          </w:tcPr>
          <w:p w14:paraId="78212BF3"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5</w:t>
            </w:r>
          </w:p>
        </w:tc>
        <w:tc>
          <w:tcPr>
            <w:tcW w:w="1200" w:type="dxa"/>
            <w:noWrap/>
            <w:hideMark/>
          </w:tcPr>
          <w:p w14:paraId="2BA013AC"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30</w:t>
            </w:r>
          </w:p>
        </w:tc>
      </w:tr>
      <w:tr w:rsidR="007B1B69" w:rsidRPr="007B1B69" w14:paraId="1CE68758"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34" w:type="dxa"/>
            <w:noWrap/>
            <w:hideMark/>
          </w:tcPr>
          <w:p w14:paraId="4CABEE73" w14:textId="77777777" w:rsidR="007B1B69" w:rsidRPr="007B1B69" w:rsidRDefault="007B1B69" w:rsidP="0020615D">
            <w:pPr>
              <w:pStyle w:val="Body"/>
              <w:spacing w:after="0"/>
              <w:jc w:val="left"/>
              <w:rPr>
                <w:rFonts w:ascii="Arial" w:hAnsi="Arial" w:cs="Arial"/>
                <w:b w:val="0"/>
              </w:rPr>
            </w:pPr>
            <w:r w:rsidRPr="007B1B69">
              <w:rPr>
                <w:rFonts w:ascii="Arial" w:hAnsi="Arial" w:cs="Arial"/>
              </w:rPr>
              <w:t>TOTAL</w:t>
            </w:r>
          </w:p>
        </w:tc>
        <w:tc>
          <w:tcPr>
            <w:tcW w:w="1200" w:type="dxa"/>
            <w:noWrap/>
            <w:hideMark/>
          </w:tcPr>
          <w:p w14:paraId="7AE78877"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117</w:t>
            </w:r>
          </w:p>
        </w:tc>
        <w:tc>
          <w:tcPr>
            <w:tcW w:w="1200" w:type="dxa"/>
            <w:noWrap/>
            <w:hideMark/>
          </w:tcPr>
          <w:p w14:paraId="1F6B4381"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32</w:t>
            </w:r>
          </w:p>
        </w:tc>
        <w:tc>
          <w:tcPr>
            <w:tcW w:w="1200" w:type="dxa"/>
            <w:noWrap/>
            <w:hideMark/>
          </w:tcPr>
          <w:p w14:paraId="71097285"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11</w:t>
            </w:r>
          </w:p>
        </w:tc>
        <w:tc>
          <w:tcPr>
            <w:tcW w:w="1200" w:type="dxa"/>
            <w:noWrap/>
            <w:hideMark/>
          </w:tcPr>
          <w:p w14:paraId="127B3D2C"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160</w:t>
            </w:r>
          </w:p>
        </w:tc>
      </w:tr>
    </w:tbl>
    <w:p w14:paraId="52E303F3" w14:textId="77777777" w:rsidR="007B1B69" w:rsidRPr="007B1B69" w:rsidRDefault="007B1B69" w:rsidP="007B1B69">
      <w:pPr>
        <w:pStyle w:val="Body"/>
        <w:spacing w:after="0"/>
        <w:rPr>
          <w:rFonts w:ascii="Arial" w:hAnsi="Arial" w:cs="Arial"/>
          <w:lang w:val="fr-CI"/>
        </w:rPr>
      </w:pPr>
    </w:p>
    <w:p w14:paraId="6A1B57F8" w14:textId="03C0D3C0" w:rsidR="007B1B69" w:rsidRPr="007B1B69" w:rsidRDefault="007B1B69" w:rsidP="007B1B69">
      <w:pPr>
        <w:pStyle w:val="Body"/>
        <w:spacing w:after="0"/>
        <w:rPr>
          <w:rFonts w:ascii="Arial" w:hAnsi="Arial" w:cs="Arial"/>
          <w:b/>
          <w:bCs/>
          <w:lang w:val="fr-CI"/>
        </w:rPr>
      </w:pPr>
      <w:r>
        <w:rPr>
          <w:rFonts w:ascii="Arial" w:hAnsi="Arial" w:cs="Arial"/>
          <w:b/>
          <w:bCs/>
          <w:lang w:val="fr-CI"/>
        </w:rPr>
        <w:t xml:space="preserve">2.3 </w:t>
      </w:r>
      <w:r w:rsidRPr="007B1B69">
        <w:rPr>
          <w:rFonts w:ascii="Arial" w:hAnsi="Arial" w:cs="Arial"/>
          <w:b/>
          <w:bCs/>
          <w:lang w:val="fr-CI"/>
        </w:rPr>
        <w:t>Data Collection</w:t>
      </w:r>
    </w:p>
    <w:p w14:paraId="40A1AEC1" w14:textId="77777777" w:rsidR="0020615D" w:rsidRDefault="0020615D" w:rsidP="007B1B69">
      <w:pPr>
        <w:pStyle w:val="Body"/>
        <w:spacing w:after="0"/>
        <w:rPr>
          <w:rFonts w:ascii="Arial" w:hAnsi="Arial" w:cs="Arial"/>
        </w:rPr>
      </w:pPr>
    </w:p>
    <w:p w14:paraId="360AA501" w14:textId="11D201F4" w:rsidR="007B1B69" w:rsidRDefault="007B1B69" w:rsidP="007B1B69">
      <w:pPr>
        <w:pStyle w:val="Body"/>
        <w:spacing w:after="0"/>
        <w:rPr>
          <w:rFonts w:ascii="Arial" w:hAnsi="Arial" w:cs="Arial"/>
        </w:rPr>
      </w:pPr>
      <w:r w:rsidRPr="007B1B69">
        <w:rPr>
          <w:rFonts w:ascii="Arial" w:hAnsi="Arial" w:cs="Arial"/>
        </w:rPr>
        <w:t>Data were collected using a detailed questionnaire covering five key aspects: (1) crop-specific phytosanitary problems, (2) an inventory of used products (trade names, active substances, dosages), (3) application methods (protective equipment, spreading techniques), (4) residue management (packaging and surplus treatment), and (5) knowledge of local pesticide regulations. Systematic farm visits were conducted to verify the concordance between declarations and actual practices, and working sessions with professional applicators enabled data triangulation to ensure reliability. Data were compiled in an Excel database and checked for consistency.</w:t>
      </w:r>
    </w:p>
    <w:p w14:paraId="2B24C4F3" w14:textId="77777777" w:rsidR="00D526F9" w:rsidRPr="007B1B69" w:rsidRDefault="00D526F9" w:rsidP="007B1B69">
      <w:pPr>
        <w:pStyle w:val="Body"/>
        <w:spacing w:after="0"/>
        <w:rPr>
          <w:rFonts w:ascii="Arial" w:hAnsi="Arial" w:cs="Arial"/>
        </w:rPr>
      </w:pPr>
    </w:p>
    <w:p w14:paraId="5168DE05" w14:textId="2212BFCD" w:rsidR="007B1B69" w:rsidRPr="007B1B69" w:rsidRDefault="007B1B69" w:rsidP="007B1B69">
      <w:pPr>
        <w:pStyle w:val="Body"/>
        <w:spacing w:after="0"/>
        <w:rPr>
          <w:rFonts w:ascii="Arial" w:hAnsi="Arial" w:cs="Arial"/>
          <w:b/>
          <w:bCs/>
        </w:rPr>
      </w:pPr>
      <w:r>
        <w:rPr>
          <w:rFonts w:ascii="Arial" w:hAnsi="Arial" w:cs="Arial"/>
          <w:b/>
          <w:bCs/>
        </w:rPr>
        <w:t xml:space="preserve">2.4 </w:t>
      </w:r>
      <w:r w:rsidRPr="007B1B69">
        <w:rPr>
          <w:rFonts w:ascii="Arial" w:hAnsi="Arial" w:cs="Arial"/>
          <w:b/>
          <w:bCs/>
        </w:rPr>
        <w:t>Quebec Pesticide Risk Indicator (QPRI)</w:t>
      </w:r>
    </w:p>
    <w:p w14:paraId="5FCFBB56" w14:textId="77777777" w:rsidR="0020615D" w:rsidRDefault="0020615D" w:rsidP="007B1B69">
      <w:pPr>
        <w:pStyle w:val="Body"/>
        <w:spacing w:after="0"/>
        <w:rPr>
          <w:rFonts w:ascii="Arial" w:hAnsi="Arial" w:cs="Arial"/>
        </w:rPr>
      </w:pPr>
    </w:p>
    <w:p w14:paraId="3F1A4AAC" w14:textId="2ED94242" w:rsidR="007B1B69" w:rsidRPr="007B1B69" w:rsidRDefault="007B1B69" w:rsidP="007B1B69">
      <w:pPr>
        <w:pStyle w:val="Body"/>
        <w:spacing w:after="0"/>
        <w:rPr>
          <w:rFonts w:ascii="Arial" w:hAnsi="Arial" w:cs="Arial"/>
        </w:rPr>
      </w:pPr>
      <w:r w:rsidRPr="007B1B69">
        <w:rPr>
          <w:rFonts w:ascii="Arial" w:hAnsi="Arial" w:cs="Arial"/>
        </w:rPr>
        <w:t>The Quebec Pesticide Risk Indicator (QPRI) is a tool developed by Quebec ministries for a dual assessment of pesticide-related risks (Samuel, 2007; Samuel et al., 2012):</w:t>
      </w:r>
    </w:p>
    <w:p w14:paraId="6EAF6EB1" w14:textId="77777777" w:rsidR="007B1B69" w:rsidRPr="007B1B69" w:rsidRDefault="007B1B69" w:rsidP="007B1B69">
      <w:pPr>
        <w:pStyle w:val="Body"/>
        <w:numPr>
          <w:ilvl w:val="0"/>
          <w:numId w:val="31"/>
        </w:numPr>
        <w:spacing w:after="0"/>
        <w:rPr>
          <w:rFonts w:ascii="Arial" w:hAnsi="Arial" w:cs="Arial"/>
        </w:rPr>
      </w:pPr>
      <w:r w:rsidRPr="007B1B69">
        <w:rPr>
          <w:rFonts w:ascii="Arial" w:hAnsi="Arial" w:cs="Arial"/>
        </w:rPr>
        <w:t>QPRI-Health: Evaluates health risk (acute and chronic toxicity).</w:t>
      </w:r>
    </w:p>
    <w:p w14:paraId="5B365DB5" w14:textId="77777777" w:rsidR="007B1B69" w:rsidRDefault="007B1B69" w:rsidP="007B1B69">
      <w:pPr>
        <w:pStyle w:val="Body"/>
        <w:numPr>
          <w:ilvl w:val="0"/>
          <w:numId w:val="31"/>
        </w:numPr>
        <w:spacing w:after="0"/>
        <w:rPr>
          <w:rFonts w:ascii="Arial" w:hAnsi="Arial" w:cs="Arial"/>
          <w:lang w:val="fr-CI"/>
        </w:rPr>
      </w:pPr>
      <w:r w:rsidRPr="007B1B69">
        <w:rPr>
          <w:rFonts w:ascii="Arial" w:hAnsi="Arial" w:cs="Arial"/>
          <w:lang w:val="fr-CI"/>
        </w:rPr>
        <w:t>QPRI-</w:t>
      </w:r>
      <w:proofErr w:type="spellStart"/>
      <w:proofErr w:type="gramStart"/>
      <w:r w:rsidRPr="007B1B69">
        <w:rPr>
          <w:rFonts w:ascii="Arial" w:hAnsi="Arial" w:cs="Arial"/>
          <w:lang w:val="fr-CI"/>
        </w:rPr>
        <w:t>Environment</w:t>
      </w:r>
      <w:proofErr w:type="spellEnd"/>
      <w:r w:rsidRPr="007B1B69">
        <w:rPr>
          <w:rFonts w:ascii="Arial" w:hAnsi="Arial" w:cs="Arial"/>
          <w:lang w:val="fr-CI"/>
        </w:rPr>
        <w:t>:</w:t>
      </w:r>
      <w:proofErr w:type="gramEnd"/>
      <w:r w:rsidRPr="007B1B69">
        <w:rPr>
          <w:rFonts w:ascii="Arial" w:hAnsi="Arial" w:cs="Arial"/>
          <w:lang w:val="fr-CI"/>
        </w:rPr>
        <w:t> </w:t>
      </w:r>
      <w:proofErr w:type="spellStart"/>
      <w:r w:rsidRPr="007B1B69">
        <w:rPr>
          <w:rFonts w:ascii="Arial" w:hAnsi="Arial" w:cs="Arial"/>
          <w:lang w:val="fr-CI"/>
        </w:rPr>
        <w:t>Measures</w:t>
      </w:r>
      <w:proofErr w:type="spellEnd"/>
      <w:r w:rsidRPr="007B1B69">
        <w:rPr>
          <w:rFonts w:ascii="Arial" w:hAnsi="Arial" w:cs="Arial"/>
          <w:lang w:val="fr-CI"/>
        </w:rPr>
        <w:t xml:space="preserve"> </w:t>
      </w:r>
      <w:proofErr w:type="spellStart"/>
      <w:r w:rsidRPr="007B1B69">
        <w:rPr>
          <w:rFonts w:ascii="Arial" w:hAnsi="Arial" w:cs="Arial"/>
          <w:lang w:val="fr-CI"/>
        </w:rPr>
        <w:t>ecological</w:t>
      </w:r>
      <w:proofErr w:type="spellEnd"/>
      <w:r w:rsidRPr="007B1B69">
        <w:rPr>
          <w:rFonts w:ascii="Arial" w:hAnsi="Arial" w:cs="Arial"/>
          <w:lang w:val="fr-CI"/>
        </w:rPr>
        <w:t xml:space="preserve"> impact (</w:t>
      </w:r>
      <w:proofErr w:type="spellStart"/>
      <w:r w:rsidRPr="007B1B69">
        <w:rPr>
          <w:rFonts w:ascii="Arial" w:hAnsi="Arial" w:cs="Arial"/>
          <w:lang w:val="fr-CI"/>
        </w:rPr>
        <w:t>persistence</w:t>
      </w:r>
      <w:proofErr w:type="spellEnd"/>
      <w:r w:rsidRPr="007B1B69">
        <w:rPr>
          <w:rFonts w:ascii="Arial" w:hAnsi="Arial" w:cs="Arial"/>
          <w:lang w:val="fr-CI"/>
        </w:rPr>
        <w:t xml:space="preserve">, bioaccumulation, </w:t>
      </w:r>
      <w:proofErr w:type="spellStart"/>
      <w:r w:rsidRPr="007B1B69">
        <w:rPr>
          <w:rFonts w:ascii="Arial" w:hAnsi="Arial" w:cs="Arial"/>
          <w:lang w:val="fr-CI"/>
        </w:rPr>
        <w:t>effects</w:t>
      </w:r>
      <w:proofErr w:type="spellEnd"/>
      <w:r w:rsidRPr="007B1B69">
        <w:rPr>
          <w:rFonts w:ascii="Arial" w:hAnsi="Arial" w:cs="Arial"/>
          <w:lang w:val="fr-CI"/>
        </w:rPr>
        <w:t xml:space="preserve"> on </w:t>
      </w:r>
      <w:proofErr w:type="spellStart"/>
      <w:r w:rsidRPr="007B1B69">
        <w:rPr>
          <w:rFonts w:ascii="Arial" w:hAnsi="Arial" w:cs="Arial"/>
          <w:lang w:val="fr-CI"/>
        </w:rPr>
        <w:t>biodiversity</w:t>
      </w:r>
      <w:proofErr w:type="spellEnd"/>
      <w:r w:rsidRPr="007B1B69">
        <w:rPr>
          <w:rFonts w:ascii="Arial" w:hAnsi="Arial" w:cs="Arial"/>
          <w:lang w:val="fr-CI"/>
        </w:rPr>
        <w:t>).</w:t>
      </w:r>
    </w:p>
    <w:p w14:paraId="7EE776B4" w14:textId="77777777" w:rsidR="00CA4857" w:rsidRDefault="00CA4857" w:rsidP="00CA4857">
      <w:pPr>
        <w:pStyle w:val="Body"/>
        <w:spacing w:after="0"/>
        <w:rPr>
          <w:rFonts w:ascii="Arial" w:hAnsi="Arial" w:cs="Arial"/>
          <w:lang w:val="fr-CI"/>
        </w:rPr>
      </w:pPr>
    </w:p>
    <w:p w14:paraId="74343986" w14:textId="77777777" w:rsidR="00CA4857" w:rsidRDefault="00CA4857" w:rsidP="00CA4857">
      <w:pPr>
        <w:pStyle w:val="Body"/>
        <w:spacing w:after="0"/>
        <w:rPr>
          <w:rFonts w:ascii="Arial" w:hAnsi="Arial" w:cs="Arial"/>
          <w:lang w:val="fr-CI"/>
        </w:rPr>
      </w:pPr>
    </w:p>
    <w:p w14:paraId="0D31BA13" w14:textId="10C1C1CB" w:rsidR="00CA4857" w:rsidRDefault="00CA4857" w:rsidP="00CA4857">
      <w:pPr>
        <w:pStyle w:val="Body"/>
        <w:spacing w:after="0"/>
        <w:rPr>
          <w:rFonts w:ascii="Arial" w:hAnsi="Arial" w:cs="Arial"/>
          <w:lang w:val="fr-CI"/>
        </w:rPr>
      </w:pPr>
      <w:r>
        <w:rPr>
          <w:rFonts w:ascii="Arial" w:hAnsi="Arial" w:cs="Arial"/>
          <w:lang w:val="fr-CI"/>
        </w:rPr>
        <w:br w:type="page"/>
      </w:r>
    </w:p>
    <w:p w14:paraId="4FB5C7B0" w14:textId="1FAAC9BD" w:rsidR="007B1B69" w:rsidRPr="0020615D" w:rsidRDefault="007B1B69" w:rsidP="007B1B69">
      <w:pPr>
        <w:pStyle w:val="Body"/>
        <w:spacing w:after="0"/>
        <w:rPr>
          <w:rFonts w:ascii="Arial" w:hAnsi="Arial" w:cs="Arial"/>
          <w:b/>
          <w:bCs/>
          <w:u w:val="single"/>
          <w:lang w:val="fr-CI"/>
        </w:rPr>
      </w:pPr>
      <w:r w:rsidRPr="0020615D">
        <w:rPr>
          <w:rFonts w:ascii="Arial" w:hAnsi="Arial" w:cs="Arial"/>
          <w:b/>
          <w:bCs/>
          <w:u w:val="single"/>
          <w:lang w:val="fr-CI"/>
        </w:rPr>
        <w:lastRenderedPageBreak/>
        <w:t>2.4.1 QPRI-</w:t>
      </w:r>
      <w:proofErr w:type="spellStart"/>
      <w:r w:rsidRPr="0020615D">
        <w:rPr>
          <w:rFonts w:ascii="Arial" w:hAnsi="Arial" w:cs="Arial"/>
          <w:b/>
          <w:bCs/>
          <w:u w:val="single"/>
          <w:lang w:val="fr-CI"/>
        </w:rPr>
        <w:t>Health</w:t>
      </w:r>
      <w:proofErr w:type="spellEnd"/>
    </w:p>
    <w:p w14:paraId="4D5E1F08" w14:textId="77777777" w:rsidR="0020615D" w:rsidRDefault="0020615D" w:rsidP="007B1B69">
      <w:pPr>
        <w:pStyle w:val="Body"/>
        <w:spacing w:after="0"/>
        <w:rPr>
          <w:rFonts w:ascii="Arial" w:hAnsi="Arial" w:cs="Arial"/>
        </w:rPr>
      </w:pPr>
    </w:p>
    <w:p w14:paraId="0BBA8A1A" w14:textId="77F1E1C0" w:rsidR="007B1B69" w:rsidRPr="007B1B69" w:rsidRDefault="007B1B69" w:rsidP="007B1B69">
      <w:pPr>
        <w:pStyle w:val="Body"/>
        <w:spacing w:after="0"/>
        <w:rPr>
          <w:rFonts w:ascii="Arial" w:hAnsi="Arial" w:cs="Arial"/>
        </w:rPr>
      </w:pPr>
      <w:r w:rsidRPr="007B1B69">
        <w:rPr>
          <w:rFonts w:ascii="Arial" w:hAnsi="Arial" w:cs="Arial"/>
        </w:rPr>
        <w:t>The Health Risk Index (HRI) quantifies human health danger by integrating acute toxicity (LD</w:t>
      </w:r>
      <w:r w:rsidRPr="007B1B69">
        <w:rPr>
          <w:rFonts w:ascii="Cambria Math" w:hAnsi="Cambria Math" w:cs="Cambria Math"/>
        </w:rPr>
        <w:t>₅₀</w:t>
      </w:r>
      <w:r w:rsidRPr="007B1B69">
        <w:rPr>
          <w:rFonts w:ascii="Arial" w:hAnsi="Arial" w:cs="Arial"/>
        </w:rPr>
        <w:t>, irritation), chronic toxicity (carcinogenicity, neurotoxicity), environmental persistence (</w:t>
      </w:r>
      <w:proofErr w:type="spellStart"/>
      <w:r w:rsidRPr="007B1B69">
        <w:rPr>
          <w:rFonts w:ascii="Arial" w:hAnsi="Arial" w:cs="Arial"/>
        </w:rPr>
        <w:t>Fper</w:t>
      </w:r>
      <w:proofErr w:type="spellEnd"/>
      <w:r w:rsidRPr="007B1B69">
        <w:rPr>
          <w:rFonts w:ascii="Arial" w:hAnsi="Arial" w:cs="Arial"/>
        </w:rPr>
        <w:t>), and bioaccumulation potential. The HRI for an active substance is calculated as shown in Equation 1 (</w:t>
      </w:r>
      <w:proofErr w:type="spellStart"/>
      <w:r w:rsidRPr="007B1B69">
        <w:rPr>
          <w:rFonts w:ascii="Arial" w:hAnsi="Arial" w:cs="Arial"/>
        </w:rPr>
        <w:t>Bouagga</w:t>
      </w:r>
      <w:proofErr w:type="spellEnd"/>
      <w:r w:rsidRPr="007B1B69">
        <w:rPr>
          <w:rFonts w:ascii="Arial" w:hAnsi="Arial" w:cs="Arial"/>
        </w:rPr>
        <w:t xml:space="preserve"> et al., 2016; Boudraa, 2025; Soudani et al., 2020):</w:t>
      </w:r>
    </w:p>
    <w:p w14:paraId="0D82A240" w14:textId="77777777" w:rsidR="0020615D" w:rsidRDefault="0020615D" w:rsidP="007B1B69">
      <w:pPr>
        <w:pStyle w:val="Body"/>
        <w:spacing w:after="0"/>
        <w:jc w:val="center"/>
        <w:rPr>
          <w:rFonts w:ascii="Arial" w:hAnsi="Arial" w:cs="Arial"/>
        </w:rPr>
      </w:pPr>
    </w:p>
    <w:p w14:paraId="0E50AEC9" w14:textId="48054707" w:rsidR="007B1B69" w:rsidRPr="007B1B69" w:rsidRDefault="007B1B69" w:rsidP="007B1B69">
      <w:pPr>
        <w:pStyle w:val="Body"/>
        <w:spacing w:after="0"/>
        <w:jc w:val="center"/>
        <w:rPr>
          <w:rFonts w:ascii="Arial" w:hAnsi="Arial" w:cs="Arial"/>
        </w:rPr>
      </w:pPr>
      <w:proofErr w:type="spellStart"/>
      <w:r w:rsidRPr="007B1B69">
        <w:rPr>
          <w:rFonts w:ascii="Arial" w:hAnsi="Arial" w:cs="Arial"/>
        </w:rPr>
        <w:t>HRIactive</w:t>
      </w:r>
      <w:proofErr w:type="spellEnd"/>
      <w:r w:rsidRPr="007B1B69">
        <w:rPr>
          <w:rFonts w:ascii="Arial" w:hAnsi="Arial" w:cs="Arial"/>
        </w:rPr>
        <w:t xml:space="preserve"> substance = TRI × </w:t>
      </w:r>
      <w:proofErr w:type="spellStart"/>
      <w:r w:rsidRPr="007B1B69">
        <w:rPr>
          <w:rFonts w:ascii="Arial" w:hAnsi="Arial" w:cs="Arial"/>
        </w:rPr>
        <w:t>FPf</w:t>
      </w:r>
      <w:proofErr w:type="spellEnd"/>
      <w:r w:rsidRPr="007B1B69">
        <w:rPr>
          <w:rFonts w:ascii="Arial" w:hAnsi="Arial" w:cs="Arial"/>
        </w:rPr>
        <w:t xml:space="preserve"> × FCP) / 10 </w:t>
      </w:r>
      <w:r>
        <w:rPr>
          <w:rFonts w:ascii="Arial" w:hAnsi="Arial" w:cs="Arial"/>
        </w:rPr>
        <w:tab/>
      </w:r>
      <w:r>
        <w:rPr>
          <w:rFonts w:ascii="Arial" w:hAnsi="Arial" w:cs="Arial"/>
        </w:rPr>
        <w:tab/>
      </w:r>
      <w:r w:rsidRPr="007B1B69">
        <w:rPr>
          <w:rFonts w:ascii="Arial" w:hAnsi="Arial" w:cs="Arial"/>
        </w:rPr>
        <w:t>(1)</w:t>
      </w:r>
    </w:p>
    <w:p w14:paraId="02ABAFE6" w14:textId="77777777" w:rsidR="0020615D" w:rsidRDefault="0020615D" w:rsidP="007B1B69">
      <w:pPr>
        <w:pStyle w:val="Body"/>
        <w:spacing w:after="0"/>
        <w:rPr>
          <w:rFonts w:ascii="Arial" w:hAnsi="Arial" w:cs="Arial"/>
        </w:rPr>
      </w:pPr>
    </w:p>
    <w:p w14:paraId="484E165B" w14:textId="730785FA" w:rsidR="007B1B69" w:rsidRPr="007B1B69" w:rsidRDefault="007B1B69" w:rsidP="007B1B69">
      <w:pPr>
        <w:pStyle w:val="Body"/>
        <w:spacing w:after="0"/>
        <w:rPr>
          <w:rFonts w:ascii="Arial" w:hAnsi="Arial" w:cs="Arial"/>
        </w:rPr>
      </w:pPr>
      <w:r w:rsidRPr="007B1B69">
        <w:rPr>
          <w:rFonts w:ascii="Arial" w:hAnsi="Arial" w:cs="Arial"/>
        </w:rPr>
        <w:t>where:</w:t>
      </w:r>
    </w:p>
    <w:p w14:paraId="76BC89E1" w14:textId="77777777" w:rsidR="007B1B69" w:rsidRPr="007B1B69" w:rsidRDefault="007B1B69" w:rsidP="007B1B69">
      <w:pPr>
        <w:pStyle w:val="Body"/>
        <w:numPr>
          <w:ilvl w:val="0"/>
          <w:numId w:val="32"/>
        </w:numPr>
        <w:spacing w:after="0"/>
        <w:rPr>
          <w:rFonts w:ascii="Arial" w:hAnsi="Arial" w:cs="Arial"/>
          <w:lang w:val="fr-CI"/>
        </w:rPr>
      </w:pPr>
      <w:proofErr w:type="gramStart"/>
      <w:r w:rsidRPr="007B1B69">
        <w:rPr>
          <w:rFonts w:ascii="Arial" w:hAnsi="Arial" w:cs="Arial"/>
          <w:lang w:val="fr-CI"/>
        </w:rPr>
        <w:t>TRI:</w:t>
      </w:r>
      <w:proofErr w:type="gramEnd"/>
      <w:r w:rsidRPr="007B1B69">
        <w:rPr>
          <w:rFonts w:ascii="Arial" w:hAnsi="Arial" w:cs="Arial"/>
          <w:lang w:val="fr-CI"/>
        </w:rPr>
        <w:t xml:space="preserve"> </w:t>
      </w:r>
      <w:proofErr w:type="spellStart"/>
      <w:r w:rsidRPr="007B1B69">
        <w:rPr>
          <w:rFonts w:ascii="Arial" w:hAnsi="Arial" w:cs="Arial"/>
          <w:lang w:val="fr-CI"/>
        </w:rPr>
        <w:t>Toxicological</w:t>
      </w:r>
      <w:proofErr w:type="spellEnd"/>
      <w:r w:rsidRPr="007B1B69">
        <w:rPr>
          <w:rFonts w:ascii="Arial" w:hAnsi="Arial" w:cs="Arial"/>
          <w:lang w:val="fr-CI"/>
        </w:rPr>
        <w:t xml:space="preserve"> Risk Index.</w:t>
      </w:r>
    </w:p>
    <w:p w14:paraId="3A02815D" w14:textId="77777777" w:rsidR="007B1B69" w:rsidRPr="007B1B69" w:rsidRDefault="007B1B69" w:rsidP="007B1B69">
      <w:pPr>
        <w:pStyle w:val="Body"/>
        <w:numPr>
          <w:ilvl w:val="0"/>
          <w:numId w:val="32"/>
        </w:numPr>
        <w:spacing w:after="0"/>
        <w:rPr>
          <w:rFonts w:ascii="Arial" w:hAnsi="Arial" w:cs="Arial"/>
          <w:lang w:val="fr-CI"/>
        </w:rPr>
      </w:pPr>
      <w:proofErr w:type="spellStart"/>
      <w:proofErr w:type="gramStart"/>
      <w:r w:rsidRPr="007B1B69">
        <w:rPr>
          <w:rFonts w:ascii="Arial" w:hAnsi="Arial" w:cs="Arial"/>
          <w:lang w:val="fr-CI"/>
        </w:rPr>
        <w:t>FPf</w:t>
      </w:r>
      <w:proofErr w:type="spellEnd"/>
      <w:r w:rsidRPr="007B1B69">
        <w:rPr>
          <w:rFonts w:ascii="Arial" w:hAnsi="Arial" w:cs="Arial"/>
          <w:lang w:val="fr-CI"/>
        </w:rPr>
        <w:t>:</w:t>
      </w:r>
      <w:proofErr w:type="gramEnd"/>
      <w:r w:rsidRPr="007B1B69">
        <w:rPr>
          <w:rFonts w:ascii="Arial" w:hAnsi="Arial" w:cs="Arial"/>
          <w:lang w:val="fr-CI"/>
        </w:rPr>
        <w:t xml:space="preserve"> Formulation </w:t>
      </w:r>
      <w:proofErr w:type="spellStart"/>
      <w:r w:rsidRPr="007B1B69">
        <w:rPr>
          <w:rFonts w:ascii="Arial" w:hAnsi="Arial" w:cs="Arial"/>
          <w:lang w:val="fr-CI"/>
        </w:rPr>
        <w:t>weighting</w:t>
      </w:r>
      <w:proofErr w:type="spellEnd"/>
      <w:r w:rsidRPr="007B1B69">
        <w:rPr>
          <w:rFonts w:ascii="Arial" w:hAnsi="Arial" w:cs="Arial"/>
          <w:lang w:val="fr-CI"/>
        </w:rPr>
        <w:t xml:space="preserve"> factor.</w:t>
      </w:r>
    </w:p>
    <w:p w14:paraId="0D2993BF" w14:textId="77777777" w:rsidR="007B1B69" w:rsidRPr="007B1B69" w:rsidRDefault="007B1B69" w:rsidP="007B1B69">
      <w:pPr>
        <w:pStyle w:val="Body"/>
        <w:numPr>
          <w:ilvl w:val="0"/>
          <w:numId w:val="32"/>
        </w:numPr>
        <w:spacing w:after="0"/>
        <w:rPr>
          <w:rFonts w:ascii="Arial" w:hAnsi="Arial" w:cs="Arial"/>
        </w:rPr>
      </w:pPr>
      <w:r w:rsidRPr="007B1B69">
        <w:rPr>
          <w:rFonts w:ascii="Arial" w:hAnsi="Arial" w:cs="Arial"/>
        </w:rPr>
        <w:t>FCP: Factor related to the applied dose.</w:t>
      </w:r>
    </w:p>
    <w:p w14:paraId="0F15BA64" w14:textId="77777777" w:rsidR="007B1B69" w:rsidRDefault="007B1B69" w:rsidP="007B1B69">
      <w:pPr>
        <w:pStyle w:val="Body"/>
        <w:spacing w:after="0"/>
        <w:rPr>
          <w:rFonts w:ascii="Arial" w:hAnsi="Arial" w:cs="Arial"/>
        </w:rPr>
      </w:pPr>
      <w:r w:rsidRPr="007B1B69">
        <w:rPr>
          <w:rFonts w:ascii="Arial" w:hAnsi="Arial" w:cs="Arial"/>
        </w:rPr>
        <w:t>Alternatively, it can be calculated as per Equation 2 (</w:t>
      </w:r>
      <w:proofErr w:type="spellStart"/>
      <w:r w:rsidRPr="007B1B69">
        <w:rPr>
          <w:rFonts w:ascii="Arial" w:hAnsi="Arial" w:cs="Arial"/>
        </w:rPr>
        <w:t>Bouagga</w:t>
      </w:r>
      <w:proofErr w:type="spellEnd"/>
      <w:r w:rsidRPr="007B1B69">
        <w:rPr>
          <w:rFonts w:ascii="Arial" w:hAnsi="Arial" w:cs="Arial"/>
        </w:rPr>
        <w:t xml:space="preserve"> et al., 2016; Boudraa, 2025; Soudani et al., 2020):</w:t>
      </w:r>
    </w:p>
    <w:p w14:paraId="4F405B9D" w14:textId="77777777" w:rsidR="0020615D" w:rsidRPr="007B1B69" w:rsidRDefault="0020615D" w:rsidP="007B1B69">
      <w:pPr>
        <w:pStyle w:val="Body"/>
        <w:spacing w:after="0"/>
        <w:rPr>
          <w:rFonts w:ascii="Arial" w:hAnsi="Arial" w:cs="Arial"/>
        </w:rPr>
      </w:pPr>
    </w:p>
    <w:p w14:paraId="4F9C440D" w14:textId="2934B6FC" w:rsidR="007B1B69" w:rsidRPr="007B1B69" w:rsidRDefault="007B1B69" w:rsidP="007B1B69">
      <w:pPr>
        <w:pStyle w:val="Body"/>
        <w:spacing w:after="0"/>
        <w:jc w:val="center"/>
        <w:rPr>
          <w:rFonts w:ascii="Arial" w:hAnsi="Arial" w:cs="Arial"/>
        </w:rPr>
      </w:pPr>
      <w:proofErr w:type="spellStart"/>
      <w:r w:rsidRPr="007B1B69">
        <w:rPr>
          <w:rFonts w:ascii="Arial" w:hAnsi="Arial" w:cs="Arial"/>
        </w:rPr>
        <w:t>HRIactive</w:t>
      </w:r>
      <w:proofErr w:type="spellEnd"/>
      <w:r w:rsidRPr="007B1B69">
        <w:rPr>
          <w:rFonts w:ascii="Arial" w:hAnsi="Arial" w:cs="Arial"/>
        </w:rPr>
        <w:t xml:space="preserve"> substance = [</w:t>
      </w:r>
      <w:r w:rsidRPr="007B1B69">
        <w:rPr>
          <w:rFonts w:ascii="Arial" w:hAnsi="Arial" w:cs="Arial"/>
          <w:lang w:val="fr-CI"/>
        </w:rPr>
        <w:t>Σ</w:t>
      </w:r>
      <w:r w:rsidRPr="007B1B69">
        <w:rPr>
          <w:rFonts w:ascii="Arial" w:hAnsi="Arial" w:cs="Arial"/>
        </w:rPr>
        <w:t xml:space="preserve"> (Acute effects) + (Chronic effects × </w:t>
      </w:r>
      <w:proofErr w:type="spellStart"/>
      <w:r w:rsidRPr="007B1B69">
        <w:rPr>
          <w:rFonts w:ascii="Arial" w:hAnsi="Arial" w:cs="Arial"/>
        </w:rPr>
        <w:t>Fper</w:t>
      </w:r>
      <w:proofErr w:type="spellEnd"/>
      <w:proofErr w:type="gramStart"/>
      <w:r w:rsidRPr="007B1B69">
        <w:rPr>
          <w:rFonts w:ascii="Arial" w:hAnsi="Arial" w:cs="Arial"/>
        </w:rPr>
        <w:t>)]²</w:t>
      </w:r>
      <w:proofErr w:type="gramEnd"/>
      <w:r>
        <w:rPr>
          <w:rFonts w:ascii="Arial" w:hAnsi="Arial" w:cs="Arial"/>
        </w:rPr>
        <w:tab/>
      </w:r>
      <w:r>
        <w:rPr>
          <w:rFonts w:ascii="Arial" w:hAnsi="Arial" w:cs="Arial"/>
        </w:rPr>
        <w:tab/>
      </w:r>
      <w:r w:rsidRPr="007B1B69">
        <w:rPr>
          <w:rFonts w:ascii="Arial" w:hAnsi="Arial" w:cs="Arial"/>
        </w:rPr>
        <w:t> (2)</w:t>
      </w:r>
    </w:p>
    <w:p w14:paraId="674CB6AA" w14:textId="77777777" w:rsidR="0020615D" w:rsidRPr="005D2C40" w:rsidRDefault="0020615D" w:rsidP="007B1B69">
      <w:pPr>
        <w:pStyle w:val="Body"/>
        <w:spacing w:after="0"/>
        <w:rPr>
          <w:rFonts w:ascii="Arial" w:hAnsi="Arial" w:cs="Arial"/>
        </w:rPr>
      </w:pPr>
    </w:p>
    <w:p w14:paraId="4642242B" w14:textId="77777777" w:rsidR="00CA4857" w:rsidRPr="005D2C40" w:rsidRDefault="00CA4857" w:rsidP="007B1B69">
      <w:pPr>
        <w:pStyle w:val="Body"/>
        <w:spacing w:after="0"/>
        <w:rPr>
          <w:rFonts w:ascii="Arial" w:hAnsi="Arial" w:cs="Arial"/>
        </w:rPr>
      </w:pPr>
    </w:p>
    <w:p w14:paraId="38EB89A1" w14:textId="2760C3BE" w:rsidR="007B1B69" w:rsidRPr="007B1B69" w:rsidRDefault="007B1B69" w:rsidP="007B1B69">
      <w:pPr>
        <w:pStyle w:val="Body"/>
        <w:spacing w:after="0"/>
        <w:rPr>
          <w:rFonts w:ascii="Arial" w:hAnsi="Arial" w:cs="Arial"/>
          <w:lang w:val="fr-CI"/>
        </w:rPr>
      </w:pPr>
      <w:proofErr w:type="spellStart"/>
      <w:proofErr w:type="gramStart"/>
      <w:r w:rsidRPr="007B1B69">
        <w:rPr>
          <w:rFonts w:ascii="Arial" w:hAnsi="Arial" w:cs="Arial"/>
          <w:lang w:val="fr-CI"/>
        </w:rPr>
        <w:t>where</w:t>
      </w:r>
      <w:proofErr w:type="spellEnd"/>
      <w:r w:rsidRPr="007B1B69">
        <w:rPr>
          <w:rFonts w:ascii="Arial" w:hAnsi="Arial" w:cs="Arial"/>
          <w:lang w:val="fr-CI"/>
        </w:rPr>
        <w:t>:</w:t>
      </w:r>
      <w:proofErr w:type="gramEnd"/>
    </w:p>
    <w:p w14:paraId="3F0BB656" w14:textId="77777777" w:rsidR="007B1B69" w:rsidRPr="007B1B69" w:rsidRDefault="007B1B69" w:rsidP="007B1B69">
      <w:pPr>
        <w:pStyle w:val="Body"/>
        <w:numPr>
          <w:ilvl w:val="0"/>
          <w:numId w:val="33"/>
        </w:numPr>
        <w:spacing w:after="0"/>
        <w:rPr>
          <w:rFonts w:ascii="Arial" w:hAnsi="Arial" w:cs="Arial"/>
          <w:lang w:val="fr-CI"/>
        </w:rPr>
      </w:pPr>
      <w:r w:rsidRPr="007B1B69">
        <w:rPr>
          <w:rFonts w:ascii="Arial" w:hAnsi="Arial" w:cs="Arial"/>
          <w:lang w:val="fr-CI"/>
        </w:rPr>
        <w:t xml:space="preserve">Acute </w:t>
      </w:r>
      <w:proofErr w:type="spellStart"/>
      <w:proofErr w:type="gramStart"/>
      <w:r w:rsidRPr="007B1B69">
        <w:rPr>
          <w:rFonts w:ascii="Arial" w:hAnsi="Arial" w:cs="Arial"/>
          <w:lang w:val="fr-CI"/>
        </w:rPr>
        <w:t>effects</w:t>
      </w:r>
      <w:proofErr w:type="spellEnd"/>
      <w:r w:rsidRPr="007B1B69">
        <w:rPr>
          <w:rFonts w:ascii="Arial" w:hAnsi="Arial" w:cs="Arial"/>
          <w:lang w:val="fr-CI"/>
        </w:rPr>
        <w:t>:</w:t>
      </w:r>
      <w:proofErr w:type="gramEnd"/>
      <w:r w:rsidRPr="007B1B69">
        <w:rPr>
          <w:rFonts w:ascii="Arial" w:hAnsi="Arial" w:cs="Arial"/>
          <w:lang w:val="fr-CI"/>
        </w:rPr>
        <w:t xml:space="preserve"> LD</w:t>
      </w:r>
      <w:r w:rsidRPr="007B1B69">
        <w:rPr>
          <w:rFonts w:ascii="Cambria Math" w:hAnsi="Cambria Math" w:cs="Cambria Math"/>
          <w:lang w:val="fr-CI"/>
        </w:rPr>
        <w:t>₅₀</w:t>
      </w:r>
      <w:r w:rsidRPr="007B1B69">
        <w:rPr>
          <w:rFonts w:ascii="Arial" w:hAnsi="Arial" w:cs="Arial"/>
          <w:lang w:val="fr-CI"/>
        </w:rPr>
        <w:t>, skin/</w:t>
      </w:r>
      <w:proofErr w:type="spellStart"/>
      <w:r w:rsidRPr="007B1B69">
        <w:rPr>
          <w:rFonts w:ascii="Arial" w:hAnsi="Arial" w:cs="Arial"/>
          <w:lang w:val="fr-CI"/>
        </w:rPr>
        <w:t>eye</w:t>
      </w:r>
      <w:proofErr w:type="spellEnd"/>
      <w:r w:rsidRPr="007B1B69">
        <w:rPr>
          <w:rFonts w:ascii="Arial" w:hAnsi="Arial" w:cs="Arial"/>
          <w:lang w:val="fr-CI"/>
        </w:rPr>
        <w:t xml:space="preserve"> irritation.</w:t>
      </w:r>
    </w:p>
    <w:p w14:paraId="3F5EDAB5" w14:textId="77777777" w:rsidR="007B1B69" w:rsidRPr="007B1B69" w:rsidRDefault="007B1B69" w:rsidP="007B1B69">
      <w:pPr>
        <w:pStyle w:val="Body"/>
        <w:numPr>
          <w:ilvl w:val="0"/>
          <w:numId w:val="33"/>
        </w:numPr>
        <w:spacing w:after="0"/>
        <w:rPr>
          <w:rFonts w:ascii="Arial" w:hAnsi="Arial" w:cs="Arial"/>
          <w:lang w:val="fr-CI"/>
        </w:rPr>
      </w:pPr>
      <w:proofErr w:type="spellStart"/>
      <w:r w:rsidRPr="007B1B69">
        <w:rPr>
          <w:rFonts w:ascii="Arial" w:hAnsi="Arial" w:cs="Arial"/>
          <w:lang w:val="fr-CI"/>
        </w:rPr>
        <w:t>Chronic</w:t>
      </w:r>
      <w:proofErr w:type="spellEnd"/>
      <w:r w:rsidRPr="007B1B69">
        <w:rPr>
          <w:rFonts w:ascii="Arial" w:hAnsi="Arial" w:cs="Arial"/>
          <w:lang w:val="fr-CI"/>
        </w:rPr>
        <w:t xml:space="preserve"> </w:t>
      </w:r>
      <w:proofErr w:type="spellStart"/>
      <w:proofErr w:type="gramStart"/>
      <w:r w:rsidRPr="007B1B69">
        <w:rPr>
          <w:rFonts w:ascii="Arial" w:hAnsi="Arial" w:cs="Arial"/>
          <w:lang w:val="fr-CI"/>
        </w:rPr>
        <w:t>effects</w:t>
      </w:r>
      <w:proofErr w:type="spellEnd"/>
      <w:r w:rsidRPr="007B1B69">
        <w:rPr>
          <w:rFonts w:ascii="Arial" w:hAnsi="Arial" w:cs="Arial"/>
          <w:lang w:val="fr-CI"/>
        </w:rPr>
        <w:t>:</w:t>
      </w:r>
      <w:proofErr w:type="gramEnd"/>
      <w:r w:rsidRPr="007B1B69">
        <w:rPr>
          <w:rFonts w:ascii="Arial" w:hAnsi="Arial" w:cs="Arial"/>
          <w:lang w:val="fr-CI"/>
        </w:rPr>
        <w:t xml:space="preserve"> </w:t>
      </w:r>
      <w:proofErr w:type="spellStart"/>
      <w:r w:rsidRPr="007B1B69">
        <w:rPr>
          <w:rFonts w:ascii="Arial" w:hAnsi="Arial" w:cs="Arial"/>
          <w:lang w:val="fr-CI"/>
        </w:rPr>
        <w:t>Carcinogenicity</w:t>
      </w:r>
      <w:proofErr w:type="spellEnd"/>
      <w:r w:rsidRPr="007B1B69">
        <w:rPr>
          <w:rFonts w:ascii="Arial" w:hAnsi="Arial" w:cs="Arial"/>
          <w:lang w:val="fr-CI"/>
        </w:rPr>
        <w:t>, endocrine disruption.</w:t>
      </w:r>
    </w:p>
    <w:p w14:paraId="34F926F3" w14:textId="77777777" w:rsidR="007B1B69" w:rsidRPr="007B1B69" w:rsidRDefault="007B1B69" w:rsidP="007B1B69">
      <w:pPr>
        <w:pStyle w:val="Body"/>
        <w:spacing w:after="0"/>
        <w:rPr>
          <w:rFonts w:ascii="Arial" w:hAnsi="Arial" w:cs="Arial"/>
        </w:rPr>
      </w:pPr>
      <w:r w:rsidRPr="007B1B69">
        <w:rPr>
          <w:rFonts w:ascii="Arial" w:hAnsi="Arial" w:cs="Arial"/>
        </w:rPr>
        <w:t>For a commercial product, the total HRI is the sum of the HRIs of its active substances.</w:t>
      </w:r>
    </w:p>
    <w:p w14:paraId="303CE948" w14:textId="77777777" w:rsidR="0020615D" w:rsidRDefault="0020615D" w:rsidP="007B1B69">
      <w:pPr>
        <w:pStyle w:val="Body"/>
        <w:spacing w:after="0"/>
        <w:rPr>
          <w:rFonts w:ascii="Arial" w:hAnsi="Arial" w:cs="Arial"/>
          <w:b/>
          <w:bCs/>
          <w:u w:val="single"/>
        </w:rPr>
      </w:pPr>
    </w:p>
    <w:p w14:paraId="5557FFE8" w14:textId="05087353" w:rsidR="007B1B69" w:rsidRPr="0020615D" w:rsidRDefault="007B1B69" w:rsidP="007B1B69">
      <w:pPr>
        <w:pStyle w:val="Body"/>
        <w:spacing w:after="0"/>
        <w:rPr>
          <w:rFonts w:ascii="Arial" w:hAnsi="Arial" w:cs="Arial"/>
          <w:b/>
          <w:bCs/>
          <w:u w:val="single"/>
        </w:rPr>
      </w:pPr>
      <w:r w:rsidRPr="0020615D">
        <w:rPr>
          <w:rFonts w:ascii="Arial" w:hAnsi="Arial" w:cs="Arial"/>
          <w:b/>
          <w:bCs/>
          <w:u w:val="single"/>
        </w:rPr>
        <w:t>2.4.2 QPRI-Environment</w:t>
      </w:r>
    </w:p>
    <w:p w14:paraId="30530970" w14:textId="77777777" w:rsidR="0020615D" w:rsidRDefault="0020615D" w:rsidP="007B1B69">
      <w:pPr>
        <w:pStyle w:val="Body"/>
        <w:spacing w:after="0"/>
        <w:rPr>
          <w:rFonts w:ascii="Arial" w:hAnsi="Arial" w:cs="Arial"/>
        </w:rPr>
      </w:pPr>
    </w:p>
    <w:p w14:paraId="2C0159FF" w14:textId="1AC91C65" w:rsidR="007B1B69" w:rsidRDefault="007B1B69" w:rsidP="007B1B69">
      <w:pPr>
        <w:pStyle w:val="Body"/>
        <w:spacing w:after="0"/>
        <w:rPr>
          <w:rFonts w:ascii="Arial" w:hAnsi="Arial" w:cs="Arial"/>
        </w:rPr>
      </w:pPr>
      <w:r w:rsidRPr="007B1B69">
        <w:rPr>
          <w:rFonts w:ascii="Arial" w:hAnsi="Arial" w:cs="Arial"/>
        </w:rPr>
        <w:t>The Environmental Risk Index (ERI) assesses ecological impacts by considering toxicity to species (invertebrates (T), birds (O), aquatic organisms (A)), mobility (M), persistence in soil (P), and bioaccumulation (B). The ERI for an active substance is calculated using Equation 3 (</w:t>
      </w:r>
      <w:proofErr w:type="spellStart"/>
      <w:r w:rsidRPr="007B1B69">
        <w:rPr>
          <w:rFonts w:ascii="Arial" w:hAnsi="Arial" w:cs="Arial"/>
        </w:rPr>
        <w:t>Bouagga</w:t>
      </w:r>
      <w:proofErr w:type="spellEnd"/>
      <w:r w:rsidRPr="007B1B69">
        <w:rPr>
          <w:rFonts w:ascii="Arial" w:hAnsi="Arial" w:cs="Arial"/>
        </w:rPr>
        <w:t xml:space="preserve"> et al., 2016; Boudraa, 2025; Soudani et al., 2020):</w:t>
      </w:r>
    </w:p>
    <w:p w14:paraId="210D3041" w14:textId="77777777" w:rsidR="0020615D" w:rsidRPr="007B1B69" w:rsidRDefault="0020615D" w:rsidP="007B1B69">
      <w:pPr>
        <w:pStyle w:val="Body"/>
        <w:spacing w:after="0"/>
        <w:rPr>
          <w:rFonts w:ascii="Arial" w:hAnsi="Arial" w:cs="Arial"/>
        </w:rPr>
      </w:pPr>
    </w:p>
    <w:p w14:paraId="4AE668FF" w14:textId="34FDF788" w:rsidR="007B1B69" w:rsidRPr="007B1B69" w:rsidRDefault="007B1B69" w:rsidP="007B1B69">
      <w:pPr>
        <w:pStyle w:val="Body"/>
        <w:spacing w:after="0"/>
        <w:jc w:val="center"/>
        <w:rPr>
          <w:rFonts w:ascii="Arial" w:hAnsi="Arial" w:cs="Arial"/>
        </w:rPr>
      </w:pPr>
      <w:proofErr w:type="spellStart"/>
      <w:r w:rsidRPr="007B1B69">
        <w:rPr>
          <w:rFonts w:ascii="Arial" w:hAnsi="Arial" w:cs="Arial"/>
        </w:rPr>
        <w:t>ERIactive</w:t>
      </w:r>
      <w:proofErr w:type="spellEnd"/>
      <w:r w:rsidRPr="007B1B69">
        <w:rPr>
          <w:rFonts w:ascii="Arial" w:hAnsi="Arial" w:cs="Arial"/>
        </w:rPr>
        <w:t xml:space="preserve"> substance = [1.75 × (T + O) + A + M + P + B + </w:t>
      </w:r>
      <w:proofErr w:type="gramStart"/>
      <w:r w:rsidRPr="007B1B69">
        <w:rPr>
          <w:rFonts w:ascii="Arial" w:hAnsi="Arial" w:cs="Arial"/>
        </w:rPr>
        <w:t>1]²</w:t>
      </w:r>
      <w:proofErr w:type="gramEnd"/>
      <w:r w:rsidRPr="007B1B69">
        <w:rPr>
          <w:rFonts w:ascii="Arial" w:hAnsi="Arial" w:cs="Arial"/>
        </w:rPr>
        <w:t> </w:t>
      </w:r>
      <w:r>
        <w:rPr>
          <w:rFonts w:ascii="Arial" w:hAnsi="Arial" w:cs="Arial"/>
        </w:rPr>
        <w:tab/>
      </w:r>
      <w:r>
        <w:rPr>
          <w:rFonts w:ascii="Arial" w:hAnsi="Arial" w:cs="Arial"/>
        </w:rPr>
        <w:tab/>
      </w:r>
      <w:r w:rsidRPr="007B1B69">
        <w:rPr>
          <w:rFonts w:ascii="Arial" w:hAnsi="Arial" w:cs="Arial"/>
        </w:rPr>
        <w:t>(3)</w:t>
      </w:r>
    </w:p>
    <w:p w14:paraId="49C77E7F" w14:textId="77777777" w:rsidR="0020615D" w:rsidRDefault="0020615D" w:rsidP="007B1B69">
      <w:pPr>
        <w:pStyle w:val="Body"/>
        <w:spacing w:after="0"/>
        <w:rPr>
          <w:rFonts w:ascii="Arial" w:hAnsi="Arial" w:cs="Arial"/>
        </w:rPr>
      </w:pPr>
    </w:p>
    <w:p w14:paraId="0456E4EB" w14:textId="430F75CD" w:rsidR="007B1B69" w:rsidRPr="007B1B69" w:rsidRDefault="007B1B69" w:rsidP="007B1B69">
      <w:pPr>
        <w:pStyle w:val="Body"/>
        <w:spacing w:after="0"/>
        <w:rPr>
          <w:rFonts w:ascii="Arial" w:hAnsi="Arial" w:cs="Arial"/>
        </w:rPr>
      </w:pPr>
      <w:r w:rsidRPr="007B1B69">
        <w:rPr>
          <w:rFonts w:ascii="Arial" w:hAnsi="Arial" w:cs="Arial"/>
        </w:rPr>
        <w:t xml:space="preserve">This tool, validated against international databases (PPDB, 2024; </w:t>
      </w:r>
      <w:proofErr w:type="spellStart"/>
      <w:r w:rsidRPr="007B1B69">
        <w:rPr>
          <w:rFonts w:ascii="Arial" w:hAnsi="Arial" w:cs="Arial"/>
        </w:rPr>
        <w:t>SAgE</w:t>
      </w:r>
      <w:proofErr w:type="spellEnd"/>
      <w:r w:rsidRPr="007B1B69">
        <w:rPr>
          <w:rFonts w:ascii="Arial" w:hAnsi="Arial" w:cs="Arial"/>
        </w:rPr>
        <w:t xml:space="preserve"> Pesticides, 2024), enables informed management of phytosanitary risks. Calculations were automated using Excel 2019 and R 4.3.0 for statistical analyses (ANOVA, correlations).</w:t>
      </w:r>
    </w:p>
    <w:p w14:paraId="6A983F30" w14:textId="77777777" w:rsidR="0020615D" w:rsidRDefault="0020615D" w:rsidP="007B1B69">
      <w:pPr>
        <w:pStyle w:val="Body"/>
        <w:spacing w:after="0"/>
        <w:rPr>
          <w:rFonts w:ascii="Arial" w:hAnsi="Arial" w:cs="Arial"/>
          <w:b/>
          <w:bCs/>
        </w:rPr>
      </w:pPr>
    </w:p>
    <w:p w14:paraId="1498BC87" w14:textId="1E1144D9" w:rsidR="007B1B69" w:rsidRPr="007B1B69" w:rsidRDefault="00D526F9" w:rsidP="007B1B69">
      <w:pPr>
        <w:pStyle w:val="Body"/>
        <w:spacing w:after="0"/>
        <w:rPr>
          <w:rFonts w:ascii="Arial" w:hAnsi="Arial" w:cs="Arial"/>
          <w:b/>
          <w:bCs/>
        </w:rPr>
      </w:pPr>
      <w:r>
        <w:rPr>
          <w:rFonts w:ascii="Arial" w:hAnsi="Arial" w:cs="Arial"/>
          <w:b/>
          <w:bCs/>
        </w:rPr>
        <w:t xml:space="preserve">2.5 </w:t>
      </w:r>
      <w:r w:rsidR="007B1B69" w:rsidRPr="007B1B69">
        <w:rPr>
          <w:rFonts w:ascii="Arial" w:hAnsi="Arial" w:cs="Arial"/>
          <w:b/>
          <w:bCs/>
        </w:rPr>
        <w:t>Data Processing and Statistical Analyses</w:t>
      </w:r>
    </w:p>
    <w:p w14:paraId="454C4A3F" w14:textId="77777777" w:rsidR="0020615D" w:rsidRDefault="0020615D" w:rsidP="007B1B69">
      <w:pPr>
        <w:pStyle w:val="Body"/>
        <w:spacing w:after="0"/>
        <w:rPr>
          <w:rFonts w:ascii="Arial" w:hAnsi="Arial" w:cs="Arial"/>
        </w:rPr>
      </w:pPr>
    </w:p>
    <w:p w14:paraId="42854083" w14:textId="3D4CC5C7" w:rsidR="007B1B69" w:rsidRDefault="007B1B69" w:rsidP="007B1B69">
      <w:pPr>
        <w:pStyle w:val="Body"/>
        <w:spacing w:after="0"/>
        <w:rPr>
          <w:rFonts w:ascii="Arial" w:hAnsi="Arial" w:cs="Arial"/>
        </w:rPr>
      </w:pPr>
      <w:r w:rsidRPr="007B1B69">
        <w:rPr>
          <w:rFonts w:ascii="Arial" w:hAnsi="Arial" w:cs="Arial"/>
        </w:rPr>
        <w:t xml:space="preserve">The calculated indices were cross-referenced with the PPDB (University of Hertfordshire) and </w:t>
      </w:r>
      <w:proofErr w:type="spellStart"/>
      <w:r w:rsidRPr="007B1B69">
        <w:rPr>
          <w:rFonts w:ascii="Arial" w:hAnsi="Arial" w:cs="Arial"/>
        </w:rPr>
        <w:t>SAgE</w:t>
      </w:r>
      <w:proofErr w:type="spellEnd"/>
      <w:r w:rsidRPr="007B1B69">
        <w:rPr>
          <w:rFonts w:ascii="Arial" w:hAnsi="Arial" w:cs="Arial"/>
        </w:rPr>
        <w:t xml:space="preserve"> Pesticides (INRAE) databases, EU and WHO regulatory thresholds, and reviewed by agronomic experts to validate the adaptation of QPRI to the Ivorian context. This rigorous methodology ensured a reliable risk assessment, combining a quantitative approach with external validation. </w:t>
      </w:r>
    </w:p>
    <w:p w14:paraId="7F0EEF9A" w14:textId="77777777" w:rsidR="00CA4857" w:rsidRPr="007B1B69" w:rsidRDefault="00CA4857" w:rsidP="007B1B69">
      <w:pPr>
        <w:pStyle w:val="Body"/>
        <w:spacing w:after="0"/>
        <w:rPr>
          <w:rFonts w:ascii="Arial" w:hAnsi="Arial" w:cs="Arial"/>
        </w:rPr>
      </w:pPr>
    </w:p>
    <w:p w14:paraId="02DB471C" w14:textId="6AF97E11" w:rsidR="00CA4857" w:rsidRDefault="00CA4857" w:rsidP="00441B6F">
      <w:pPr>
        <w:pStyle w:val="Body"/>
        <w:spacing w:after="0"/>
        <w:rPr>
          <w:rFonts w:ascii="Arial" w:hAnsi="Arial" w:cs="Arial"/>
        </w:rPr>
      </w:pPr>
      <w:r>
        <w:rPr>
          <w:rFonts w:ascii="Arial" w:hAnsi="Arial" w:cs="Arial"/>
        </w:rPr>
        <w:br w:type="page"/>
      </w:r>
    </w:p>
    <w:p w14:paraId="4F029103"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308204B8" w14:textId="77777777" w:rsidR="00790ADA" w:rsidRPr="00FB3A86" w:rsidRDefault="00790ADA" w:rsidP="00441B6F">
      <w:pPr>
        <w:pStyle w:val="Head1"/>
        <w:spacing w:after="0"/>
        <w:jc w:val="both"/>
        <w:rPr>
          <w:rFonts w:ascii="Arial" w:hAnsi="Arial" w:cs="Arial"/>
        </w:rPr>
      </w:pPr>
    </w:p>
    <w:p w14:paraId="2154E1CE" w14:textId="6197211E" w:rsidR="007B1B69" w:rsidRPr="007B1B69" w:rsidRDefault="007B1B69" w:rsidP="007B1B69">
      <w:pPr>
        <w:pStyle w:val="Body"/>
        <w:spacing w:after="0"/>
        <w:rPr>
          <w:rFonts w:ascii="Arial" w:hAnsi="Arial" w:cs="Arial"/>
          <w:b/>
          <w:bCs/>
        </w:rPr>
      </w:pPr>
      <w:r>
        <w:rPr>
          <w:rFonts w:ascii="Arial" w:hAnsi="Arial" w:cs="Arial"/>
          <w:b/>
          <w:bCs/>
        </w:rPr>
        <w:t xml:space="preserve">3.1 </w:t>
      </w:r>
      <w:r w:rsidRPr="007B1B69">
        <w:rPr>
          <w:rFonts w:ascii="Arial" w:hAnsi="Arial" w:cs="Arial"/>
          <w:b/>
          <w:bCs/>
        </w:rPr>
        <w:t>Farmers' Phytosanitary Practices</w:t>
      </w:r>
    </w:p>
    <w:p w14:paraId="265245CE" w14:textId="77777777" w:rsidR="0020615D" w:rsidRDefault="0020615D" w:rsidP="007B1B69">
      <w:pPr>
        <w:pStyle w:val="Body"/>
        <w:spacing w:after="0"/>
        <w:rPr>
          <w:rFonts w:ascii="Arial" w:hAnsi="Arial" w:cs="Arial"/>
        </w:rPr>
      </w:pPr>
    </w:p>
    <w:p w14:paraId="50674E0A" w14:textId="0512339A" w:rsidR="007B1B69" w:rsidRDefault="007B1B69" w:rsidP="007B1B69">
      <w:pPr>
        <w:pStyle w:val="Body"/>
        <w:spacing w:after="0"/>
        <w:rPr>
          <w:rFonts w:ascii="Arial" w:hAnsi="Arial" w:cs="Arial"/>
        </w:rPr>
      </w:pPr>
      <w:r w:rsidRPr="007B1B69">
        <w:rPr>
          <w:rFonts w:ascii="Arial" w:hAnsi="Arial" w:cs="Arial"/>
        </w:rPr>
        <w:t xml:space="preserve">Farmers' profiles and practices are </w:t>
      </w:r>
      <w:proofErr w:type="spellStart"/>
      <w:r w:rsidRPr="007B1B69">
        <w:rPr>
          <w:rFonts w:ascii="Arial" w:hAnsi="Arial" w:cs="Arial"/>
        </w:rPr>
        <w:t>summarised</w:t>
      </w:r>
      <w:proofErr w:type="spellEnd"/>
      <w:r w:rsidRPr="007B1B69">
        <w:rPr>
          <w:rFonts w:ascii="Arial" w:hAnsi="Arial" w:cs="Arial"/>
        </w:rPr>
        <w:t xml:space="preserve"> in Table 2. Most growers were men (81.9%), with a predominant age of 41-50 years. A significant proportion (50.6%) had no formal education, and advice from </w:t>
      </w:r>
      <w:proofErr w:type="spellStart"/>
      <w:r w:rsidRPr="007B1B69">
        <w:rPr>
          <w:rFonts w:ascii="Arial" w:hAnsi="Arial" w:cs="Arial"/>
        </w:rPr>
        <w:t>neighbours</w:t>
      </w:r>
      <w:proofErr w:type="spellEnd"/>
      <w:r w:rsidRPr="007B1B69">
        <w:rPr>
          <w:rFonts w:ascii="Arial" w:hAnsi="Arial" w:cs="Arial"/>
        </w:rPr>
        <w:t xml:space="preserve"> was the primary source of information for product selection (58.1%). While 80.6% considered pesticides dangerous, only 11.9% were well-informed about the risks. Critical gaps were observed in practices: 73.3% lacked dedicated storage, minimal personal protective equipment (PPE) was used (e.g., only 6.5% wore full equipment), and 56.9% did not respect recommended doses. Waste management was also inadequate, with 47.5% burying empty packaging and 16.3% discharging product residues into the environment.</w:t>
      </w:r>
    </w:p>
    <w:p w14:paraId="494A593C" w14:textId="77777777" w:rsidR="0020615D" w:rsidRPr="007B1B69" w:rsidRDefault="0020615D" w:rsidP="007B1B69">
      <w:pPr>
        <w:pStyle w:val="Body"/>
        <w:spacing w:after="0"/>
        <w:rPr>
          <w:rFonts w:ascii="Arial" w:hAnsi="Arial" w:cs="Arial"/>
        </w:rPr>
      </w:pPr>
    </w:p>
    <w:p w14:paraId="2629A3EF" w14:textId="77777777" w:rsidR="007B1B69" w:rsidRPr="00D526F9" w:rsidRDefault="007B1B69" w:rsidP="0020615D">
      <w:pPr>
        <w:pStyle w:val="Body"/>
        <w:spacing w:after="0"/>
        <w:jc w:val="center"/>
        <w:rPr>
          <w:rFonts w:ascii="Arial" w:hAnsi="Arial" w:cs="Arial"/>
          <w:b/>
          <w:bCs/>
        </w:rPr>
      </w:pPr>
      <w:r w:rsidRPr="00D526F9">
        <w:rPr>
          <w:rFonts w:ascii="Arial" w:hAnsi="Arial" w:cs="Arial"/>
          <w:b/>
          <w:bCs/>
        </w:rPr>
        <w:t>Table 2: Phytosanitary practices in the department of Lakota (Ivory Coast).</w:t>
      </w:r>
    </w:p>
    <w:tbl>
      <w:tblPr>
        <w:tblStyle w:val="PlainTable2"/>
        <w:tblW w:w="10632" w:type="dxa"/>
        <w:jc w:val="center"/>
        <w:tblLook w:val="04A0" w:firstRow="1" w:lastRow="0" w:firstColumn="1" w:lastColumn="0" w:noHBand="0" w:noVBand="1"/>
      </w:tblPr>
      <w:tblGrid>
        <w:gridCol w:w="2263"/>
        <w:gridCol w:w="2165"/>
        <w:gridCol w:w="3936"/>
        <w:gridCol w:w="2268"/>
      </w:tblGrid>
      <w:tr w:rsidR="007B1B69" w:rsidRPr="007B1B69" w14:paraId="3E8A0482" w14:textId="77777777" w:rsidTr="00BB793C">
        <w:trPr>
          <w:cnfStyle w:val="100000000000" w:firstRow="1" w:lastRow="0" w:firstColumn="0" w:lastColumn="0" w:oddVBand="0" w:evenVBand="0" w:oddHBand="0"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2682DA8C" w14:textId="77777777" w:rsidR="007B1B69" w:rsidRPr="007B1B69" w:rsidRDefault="007B1B69" w:rsidP="0020615D">
            <w:pPr>
              <w:pStyle w:val="Body"/>
              <w:spacing w:after="0"/>
              <w:jc w:val="left"/>
              <w:rPr>
                <w:rFonts w:ascii="Arial" w:hAnsi="Arial" w:cs="Arial"/>
                <w:b w:val="0"/>
                <w:lang w:val="fr-CI"/>
              </w:rPr>
            </w:pPr>
            <w:r w:rsidRPr="007B1B69">
              <w:rPr>
                <w:rFonts w:ascii="Arial" w:hAnsi="Arial" w:cs="Arial"/>
                <w:lang w:val="fr-CI"/>
              </w:rPr>
              <w:t>CATEGORY</w:t>
            </w:r>
          </w:p>
        </w:tc>
        <w:tc>
          <w:tcPr>
            <w:tcW w:w="2165" w:type="dxa"/>
            <w:noWrap/>
            <w:hideMark/>
          </w:tcPr>
          <w:p w14:paraId="0506F4B8" w14:textId="77777777" w:rsidR="007B1B69" w:rsidRPr="007B1B69" w:rsidRDefault="007B1B69" w:rsidP="0020615D">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fr-CI"/>
              </w:rPr>
            </w:pPr>
            <w:r w:rsidRPr="007B1B69">
              <w:rPr>
                <w:rFonts w:ascii="Arial" w:hAnsi="Arial" w:cs="Arial"/>
                <w:lang w:val="fr-CI"/>
              </w:rPr>
              <w:t>SUBCATEGORY</w:t>
            </w:r>
          </w:p>
        </w:tc>
        <w:tc>
          <w:tcPr>
            <w:tcW w:w="3936" w:type="dxa"/>
            <w:noWrap/>
            <w:hideMark/>
          </w:tcPr>
          <w:p w14:paraId="76E6F1BC" w14:textId="77777777" w:rsidR="007B1B69" w:rsidRPr="007B1B69" w:rsidRDefault="007B1B69" w:rsidP="0020615D">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fr-CI"/>
              </w:rPr>
            </w:pPr>
            <w:r w:rsidRPr="007B1B69">
              <w:rPr>
                <w:rFonts w:ascii="Arial" w:hAnsi="Arial" w:cs="Arial"/>
                <w:lang w:val="fr-CI"/>
              </w:rPr>
              <w:t>MAIN RESULTS</w:t>
            </w:r>
          </w:p>
        </w:tc>
        <w:tc>
          <w:tcPr>
            <w:tcW w:w="2268" w:type="dxa"/>
            <w:noWrap/>
            <w:hideMark/>
          </w:tcPr>
          <w:p w14:paraId="14D4B0A9" w14:textId="77777777" w:rsidR="007B1B69" w:rsidRPr="007B1B69" w:rsidRDefault="007B1B69" w:rsidP="0020615D">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fr-CI"/>
              </w:rPr>
            </w:pPr>
            <w:r w:rsidRPr="007B1B69">
              <w:rPr>
                <w:rFonts w:ascii="Arial" w:hAnsi="Arial" w:cs="Arial"/>
                <w:lang w:val="fr-CI"/>
              </w:rPr>
              <w:t>KEY DATA</w:t>
            </w:r>
          </w:p>
        </w:tc>
      </w:tr>
      <w:tr w:rsidR="007B1B69" w:rsidRPr="007B1B69" w14:paraId="12152EC8" w14:textId="77777777" w:rsidTr="00BB793C">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263" w:type="dxa"/>
            <w:vMerge w:val="restart"/>
            <w:noWrap/>
            <w:hideMark/>
          </w:tcPr>
          <w:p w14:paraId="4FDBC325" w14:textId="77777777" w:rsidR="007B1B69" w:rsidRPr="007B1B69" w:rsidRDefault="007B1B69" w:rsidP="0020615D">
            <w:pPr>
              <w:pStyle w:val="Body"/>
              <w:spacing w:after="0"/>
              <w:jc w:val="left"/>
              <w:rPr>
                <w:rFonts w:ascii="Arial" w:hAnsi="Arial" w:cs="Arial"/>
                <w:b w:val="0"/>
                <w:lang w:val="fr-CI"/>
              </w:rPr>
            </w:pPr>
          </w:p>
          <w:p w14:paraId="3CDA4D11" w14:textId="77777777" w:rsidR="007B1B69" w:rsidRPr="007B1B69" w:rsidRDefault="007B1B69" w:rsidP="0020615D">
            <w:pPr>
              <w:pStyle w:val="Body"/>
              <w:spacing w:after="0"/>
              <w:jc w:val="left"/>
              <w:rPr>
                <w:rFonts w:ascii="Arial" w:hAnsi="Arial" w:cs="Arial"/>
                <w:b w:val="0"/>
                <w:lang w:val="fr-CI"/>
              </w:rPr>
            </w:pPr>
          </w:p>
          <w:p w14:paraId="1DCB4ADD" w14:textId="77777777" w:rsidR="007B1B69" w:rsidRPr="007B1B69" w:rsidRDefault="007B1B69" w:rsidP="0020615D">
            <w:pPr>
              <w:pStyle w:val="Body"/>
              <w:spacing w:after="0"/>
              <w:jc w:val="left"/>
              <w:rPr>
                <w:rFonts w:ascii="Arial" w:hAnsi="Arial" w:cs="Arial"/>
                <w:b w:val="0"/>
                <w:lang w:val="fr-CI"/>
              </w:rPr>
            </w:pPr>
            <w:r w:rsidRPr="007B1B69">
              <w:rPr>
                <w:rFonts w:ascii="Arial" w:hAnsi="Arial" w:cs="Arial"/>
                <w:lang w:val="fr-CI"/>
              </w:rPr>
              <w:t>STAKEHOLDER PROFILE</w:t>
            </w:r>
          </w:p>
        </w:tc>
        <w:tc>
          <w:tcPr>
            <w:tcW w:w="2165" w:type="dxa"/>
            <w:vMerge w:val="restart"/>
            <w:noWrap/>
            <w:hideMark/>
          </w:tcPr>
          <w:p w14:paraId="1B03B0EB"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fr-CI"/>
              </w:rPr>
            </w:pPr>
            <w:proofErr w:type="spellStart"/>
            <w:r w:rsidRPr="007B1B69">
              <w:rPr>
                <w:rFonts w:ascii="Arial" w:hAnsi="Arial" w:cs="Arial"/>
                <w:lang w:val="fr-CI"/>
              </w:rPr>
              <w:t>Demographics</w:t>
            </w:r>
            <w:proofErr w:type="spellEnd"/>
          </w:p>
        </w:tc>
        <w:tc>
          <w:tcPr>
            <w:tcW w:w="3936" w:type="dxa"/>
            <w:noWrap/>
            <w:hideMark/>
          </w:tcPr>
          <w:p w14:paraId="77A6D66C"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sidRPr="007B1B69">
              <w:rPr>
                <w:rFonts w:ascii="Arial" w:hAnsi="Arial" w:cs="Arial"/>
                <w:lang w:val="fr-CI"/>
              </w:rPr>
              <w:t xml:space="preserve">81.9% of </w:t>
            </w:r>
            <w:proofErr w:type="spellStart"/>
            <w:r w:rsidRPr="007B1B69">
              <w:rPr>
                <w:rFonts w:ascii="Arial" w:hAnsi="Arial" w:cs="Arial"/>
                <w:lang w:val="fr-CI"/>
              </w:rPr>
              <w:t>growers</w:t>
            </w:r>
            <w:proofErr w:type="spellEnd"/>
            <w:r w:rsidRPr="007B1B69">
              <w:rPr>
                <w:rFonts w:ascii="Arial" w:hAnsi="Arial" w:cs="Arial"/>
                <w:lang w:val="fr-CI"/>
              </w:rPr>
              <w:t xml:space="preserve"> are men</w:t>
            </w:r>
          </w:p>
        </w:tc>
        <w:tc>
          <w:tcPr>
            <w:tcW w:w="2268" w:type="dxa"/>
            <w:vMerge w:val="restart"/>
            <w:noWrap/>
            <w:hideMark/>
          </w:tcPr>
          <w:p w14:paraId="567CF022"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Predominant age: 41-50 years (25.6%) for producers; 31-40 years (38.7%) for applicators</w:t>
            </w:r>
          </w:p>
        </w:tc>
      </w:tr>
      <w:tr w:rsidR="007B1B69" w:rsidRPr="007B1B69" w14:paraId="517280A6" w14:textId="77777777" w:rsidTr="00BB793C">
        <w:trPr>
          <w:trHeight w:val="345"/>
          <w:jc w:val="center"/>
        </w:trPr>
        <w:tc>
          <w:tcPr>
            <w:cnfStyle w:val="001000000000" w:firstRow="0" w:lastRow="0" w:firstColumn="1" w:lastColumn="0" w:oddVBand="0" w:evenVBand="0" w:oddHBand="0" w:evenHBand="0" w:firstRowFirstColumn="0" w:firstRowLastColumn="0" w:lastRowFirstColumn="0" w:lastRowLastColumn="0"/>
            <w:tcW w:w="2263" w:type="dxa"/>
            <w:vMerge/>
            <w:hideMark/>
          </w:tcPr>
          <w:p w14:paraId="51B06DBF" w14:textId="77777777" w:rsidR="007B1B69" w:rsidRPr="007B1B69" w:rsidRDefault="007B1B69" w:rsidP="0020615D">
            <w:pPr>
              <w:pStyle w:val="Body"/>
              <w:spacing w:after="0"/>
              <w:jc w:val="left"/>
              <w:rPr>
                <w:rFonts w:ascii="Arial" w:hAnsi="Arial" w:cs="Arial"/>
                <w:b w:val="0"/>
              </w:rPr>
            </w:pPr>
          </w:p>
        </w:tc>
        <w:tc>
          <w:tcPr>
            <w:tcW w:w="2165" w:type="dxa"/>
            <w:vMerge/>
            <w:hideMark/>
          </w:tcPr>
          <w:p w14:paraId="786F0FFA"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36" w:type="dxa"/>
            <w:noWrap/>
            <w:hideMark/>
          </w:tcPr>
          <w:p w14:paraId="57C4D09F"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CI"/>
              </w:rPr>
            </w:pPr>
            <w:r w:rsidRPr="007B1B69">
              <w:rPr>
                <w:rFonts w:ascii="Arial" w:hAnsi="Arial" w:cs="Arial"/>
                <w:lang w:val="fr-CI"/>
              </w:rPr>
              <w:t xml:space="preserve">100% of male </w:t>
            </w:r>
            <w:proofErr w:type="spellStart"/>
            <w:r w:rsidRPr="007B1B69">
              <w:rPr>
                <w:rFonts w:ascii="Arial" w:hAnsi="Arial" w:cs="Arial"/>
                <w:lang w:val="fr-CI"/>
              </w:rPr>
              <w:t>applicators</w:t>
            </w:r>
            <w:proofErr w:type="spellEnd"/>
          </w:p>
        </w:tc>
        <w:tc>
          <w:tcPr>
            <w:tcW w:w="2268" w:type="dxa"/>
            <w:vMerge/>
            <w:hideMark/>
          </w:tcPr>
          <w:p w14:paraId="348445B2"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CI"/>
              </w:rPr>
            </w:pPr>
          </w:p>
        </w:tc>
      </w:tr>
      <w:tr w:rsidR="007B1B69" w:rsidRPr="007B1B69" w14:paraId="648D3D1D" w14:textId="77777777" w:rsidTr="00BB793C">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263" w:type="dxa"/>
            <w:vMerge/>
            <w:hideMark/>
          </w:tcPr>
          <w:p w14:paraId="30BE48FB" w14:textId="77777777" w:rsidR="007B1B69" w:rsidRPr="007B1B69" w:rsidRDefault="007B1B69" w:rsidP="0020615D">
            <w:pPr>
              <w:pStyle w:val="Body"/>
              <w:spacing w:after="0"/>
              <w:jc w:val="left"/>
              <w:rPr>
                <w:rFonts w:ascii="Arial" w:hAnsi="Arial" w:cs="Arial"/>
                <w:b w:val="0"/>
                <w:lang w:val="fr-CI"/>
              </w:rPr>
            </w:pPr>
          </w:p>
        </w:tc>
        <w:tc>
          <w:tcPr>
            <w:tcW w:w="2165" w:type="dxa"/>
            <w:vMerge w:val="restart"/>
            <w:noWrap/>
            <w:hideMark/>
          </w:tcPr>
          <w:p w14:paraId="0F029583"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sidRPr="007B1B69">
              <w:rPr>
                <w:rFonts w:ascii="Arial" w:hAnsi="Arial" w:cs="Arial"/>
                <w:lang w:val="fr-CI"/>
              </w:rPr>
              <w:t>Education and Training</w:t>
            </w:r>
          </w:p>
        </w:tc>
        <w:tc>
          <w:tcPr>
            <w:tcW w:w="3936" w:type="dxa"/>
            <w:noWrap/>
            <w:hideMark/>
          </w:tcPr>
          <w:p w14:paraId="712E6B46"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50.6% of growers without formal education</w:t>
            </w:r>
          </w:p>
        </w:tc>
        <w:tc>
          <w:tcPr>
            <w:tcW w:w="2268" w:type="dxa"/>
            <w:vMerge w:val="restart"/>
            <w:noWrap/>
            <w:hideMark/>
          </w:tcPr>
          <w:p w14:paraId="1CD64E79"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sidRPr="007B1B69">
              <w:rPr>
                <w:rFonts w:ascii="Arial" w:hAnsi="Arial" w:cs="Arial"/>
                <w:lang w:val="fr-CI"/>
              </w:rPr>
              <w:t xml:space="preserve">Main </w:t>
            </w:r>
            <w:proofErr w:type="spellStart"/>
            <w:r w:rsidRPr="007B1B69">
              <w:rPr>
                <w:rFonts w:ascii="Arial" w:hAnsi="Arial" w:cs="Arial"/>
                <w:lang w:val="fr-CI"/>
              </w:rPr>
              <w:t>supervisory</w:t>
            </w:r>
            <w:proofErr w:type="spellEnd"/>
            <w:r w:rsidRPr="007B1B69">
              <w:rPr>
                <w:rFonts w:ascii="Arial" w:hAnsi="Arial" w:cs="Arial"/>
                <w:lang w:val="fr-CI"/>
              </w:rPr>
              <w:t xml:space="preserve"> </w:t>
            </w:r>
            <w:proofErr w:type="gramStart"/>
            <w:r w:rsidRPr="007B1B69">
              <w:rPr>
                <w:rFonts w:ascii="Arial" w:hAnsi="Arial" w:cs="Arial"/>
                <w:lang w:val="fr-CI"/>
              </w:rPr>
              <w:t>structure:</w:t>
            </w:r>
            <w:proofErr w:type="gramEnd"/>
            <w:r w:rsidRPr="007B1B69">
              <w:rPr>
                <w:rFonts w:ascii="Arial" w:hAnsi="Arial" w:cs="Arial"/>
                <w:lang w:val="fr-CI"/>
              </w:rPr>
              <w:t xml:space="preserve"> ANADER (31.9%)</w:t>
            </w:r>
          </w:p>
        </w:tc>
      </w:tr>
      <w:tr w:rsidR="007B1B69" w:rsidRPr="007B1B69" w14:paraId="12AA5CB1" w14:textId="77777777" w:rsidTr="00BB793C">
        <w:trPr>
          <w:trHeight w:val="345"/>
          <w:jc w:val="center"/>
        </w:trPr>
        <w:tc>
          <w:tcPr>
            <w:cnfStyle w:val="001000000000" w:firstRow="0" w:lastRow="0" w:firstColumn="1" w:lastColumn="0" w:oddVBand="0" w:evenVBand="0" w:oddHBand="0" w:evenHBand="0" w:firstRowFirstColumn="0" w:firstRowLastColumn="0" w:lastRowFirstColumn="0" w:lastRowLastColumn="0"/>
            <w:tcW w:w="2263" w:type="dxa"/>
            <w:vMerge/>
            <w:hideMark/>
          </w:tcPr>
          <w:p w14:paraId="196E747A" w14:textId="77777777" w:rsidR="007B1B69" w:rsidRPr="007B1B69" w:rsidRDefault="007B1B69" w:rsidP="0020615D">
            <w:pPr>
              <w:pStyle w:val="Body"/>
              <w:spacing w:after="0"/>
              <w:jc w:val="left"/>
              <w:rPr>
                <w:rFonts w:ascii="Arial" w:hAnsi="Arial" w:cs="Arial"/>
                <w:b w:val="0"/>
                <w:lang w:val="fr-CI"/>
              </w:rPr>
            </w:pPr>
          </w:p>
        </w:tc>
        <w:tc>
          <w:tcPr>
            <w:tcW w:w="2165" w:type="dxa"/>
            <w:vMerge/>
            <w:hideMark/>
          </w:tcPr>
          <w:p w14:paraId="3D773839"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CI"/>
              </w:rPr>
            </w:pPr>
          </w:p>
        </w:tc>
        <w:tc>
          <w:tcPr>
            <w:tcW w:w="3936" w:type="dxa"/>
            <w:noWrap/>
            <w:hideMark/>
          </w:tcPr>
          <w:p w14:paraId="21B4BCA0"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CI"/>
              </w:rPr>
            </w:pPr>
            <w:r w:rsidRPr="007B1B69">
              <w:rPr>
                <w:rFonts w:ascii="Arial" w:hAnsi="Arial" w:cs="Arial"/>
                <w:lang w:val="fr-CI"/>
              </w:rPr>
              <w:t xml:space="preserve">61.3% of </w:t>
            </w:r>
            <w:proofErr w:type="spellStart"/>
            <w:r w:rsidRPr="007B1B69">
              <w:rPr>
                <w:rFonts w:ascii="Arial" w:hAnsi="Arial" w:cs="Arial"/>
                <w:lang w:val="fr-CI"/>
              </w:rPr>
              <w:t>trained</w:t>
            </w:r>
            <w:proofErr w:type="spellEnd"/>
            <w:r w:rsidRPr="007B1B69">
              <w:rPr>
                <w:rFonts w:ascii="Arial" w:hAnsi="Arial" w:cs="Arial"/>
                <w:lang w:val="fr-CI"/>
              </w:rPr>
              <w:t xml:space="preserve"> </w:t>
            </w:r>
            <w:proofErr w:type="spellStart"/>
            <w:r w:rsidRPr="007B1B69">
              <w:rPr>
                <w:rFonts w:ascii="Arial" w:hAnsi="Arial" w:cs="Arial"/>
                <w:lang w:val="fr-CI"/>
              </w:rPr>
              <w:t>applicators</w:t>
            </w:r>
            <w:proofErr w:type="spellEnd"/>
          </w:p>
        </w:tc>
        <w:tc>
          <w:tcPr>
            <w:tcW w:w="2268" w:type="dxa"/>
            <w:vMerge/>
            <w:hideMark/>
          </w:tcPr>
          <w:p w14:paraId="2DB4F867"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CI"/>
              </w:rPr>
            </w:pPr>
          </w:p>
        </w:tc>
      </w:tr>
      <w:tr w:rsidR="007B1B69" w:rsidRPr="007B1B69" w14:paraId="610285D0" w14:textId="77777777" w:rsidTr="00BB793C">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263" w:type="dxa"/>
            <w:vMerge w:val="restart"/>
            <w:noWrap/>
            <w:hideMark/>
          </w:tcPr>
          <w:p w14:paraId="2CB29A8A" w14:textId="77777777" w:rsidR="007B1B69" w:rsidRPr="007B1B69" w:rsidRDefault="007B1B69" w:rsidP="0020615D">
            <w:pPr>
              <w:pStyle w:val="Body"/>
              <w:spacing w:after="0"/>
              <w:jc w:val="left"/>
              <w:rPr>
                <w:rFonts w:ascii="Arial" w:hAnsi="Arial" w:cs="Arial"/>
                <w:b w:val="0"/>
                <w:lang w:val="fr-CI"/>
              </w:rPr>
            </w:pPr>
            <w:r w:rsidRPr="007B1B69">
              <w:rPr>
                <w:rFonts w:ascii="Arial" w:hAnsi="Arial" w:cs="Arial"/>
                <w:lang w:val="fr-CI"/>
              </w:rPr>
              <w:t>SOURCING</w:t>
            </w:r>
          </w:p>
        </w:tc>
        <w:tc>
          <w:tcPr>
            <w:tcW w:w="2165" w:type="dxa"/>
            <w:vMerge w:val="restart"/>
            <w:noWrap/>
            <w:hideMark/>
          </w:tcPr>
          <w:p w14:paraId="5ADF685D"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fr-CI"/>
              </w:rPr>
            </w:pPr>
            <w:proofErr w:type="spellStart"/>
            <w:r w:rsidRPr="007B1B69">
              <w:rPr>
                <w:rFonts w:ascii="Arial" w:hAnsi="Arial" w:cs="Arial"/>
                <w:lang w:val="fr-CI"/>
              </w:rPr>
              <w:t>Selection</w:t>
            </w:r>
            <w:proofErr w:type="spellEnd"/>
            <w:r w:rsidRPr="007B1B69">
              <w:rPr>
                <w:rFonts w:ascii="Arial" w:hAnsi="Arial" w:cs="Arial"/>
                <w:lang w:val="fr-CI"/>
              </w:rPr>
              <w:t xml:space="preserve"> </w:t>
            </w:r>
            <w:proofErr w:type="spellStart"/>
            <w:r w:rsidRPr="007B1B69">
              <w:rPr>
                <w:rFonts w:ascii="Arial" w:hAnsi="Arial" w:cs="Arial"/>
                <w:lang w:val="fr-CI"/>
              </w:rPr>
              <w:t>Criteria</w:t>
            </w:r>
            <w:proofErr w:type="spellEnd"/>
          </w:p>
        </w:tc>
        <w:tc>
          <w:tcPr>
            <w:tcW w:w="3936" w:type="dxa"/>
            <w:noWrap/>
            <w:hideMark/>
          </w:tcPr>
          <w:p w14:paraId="47B39585"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sidRPr="007B1B69">
              <w:rPr>
                <w:rFonts w:ascii="Arial" w:hAnsi="Arial" w:cs="Arial"/>
                <w:lang w:val="fr-CI"/>
              </w:rPr>
              <w:t xml:space="preserve">58.1% follow </w:t>
            </w:r>
            <w:proofErr w:type="spellStart"/>
            <w:r w:rsidRPr="007B1B69">
              <w:rPr>
                <w:rFonts w:ascii="Arial" w:hAnsi="Arial" w:cs="Arial"/>
                <w:lang w:val="fr-CI"/>
              </w:rPr>
              <w:t>neighbors</w:t>
            </w:r>
            <w:proofErr w:type="spellEnd"/>
            <w:r w:rsidRPr="007B1B69">
              <w:rPr>
                <w:rFonts w:ascii="Arial" w:hAnsi="Arial" w:cs="Arial"/>
                <w:lang w:val="fr-CI"/>
              </w:rPr>
              <w:t xml:space="preserve"> </w:t>
            </w:r>
            <w:proofErr w:type="spellStart"/>
            <w:r w:rsidRPr="007B1B69">
              <w:rPr>
                <w:rFonts w:ascii="Arial" w:hAnsi="Arial" w:cs="Arial"/>
                <w:lang w:val="fr-CI"/>
              </w:rPr>
              <w:t>advice</w:t>
            </w:r>
            <w:proofErr w:type="spellEnd"/>
          </w:p>
        </w:tc>
        <w:tc>
          <w:tcPr>
            <w:tcW w:w="2268" w:type="dxa"/>
            <w:vMerge w:val="restart"/>
            <w:noWrap/>
            <w:hideMark/>
          </w:tcPr>
          <w:p w14:paraId="4F7BF212"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46.3% obtain their supplies through cooperatives</w:t>
            </w:r>
          </w:p>
        </w:tc>
      </w:tr>
      <w:tr w:rsidR="007B1B69" w:rsidRPr="007B1B69" w14:paraId="54CA9F9B" w14:textId="77777777" w:rsidTr="00BB793C">
        <w:trPr>
          <w:trHeight w:val="345"/>
          <w:jc w:val="center"/>
        </w:trPr>
        <w:tc>
          <w:tcPr>
            <w:cnfStyle w:val="001000000000" w:firstRow="0" w:lastRow="0" w:firstColumn="1" w:lastColumn="0" w:oddVBand="0" w:evenVBand="0" w:oddHBand="0" w:evenHBand="0" w:firstRowFirstColumn="0" w:firstRowLastColumn="0" w:lastRowFirstColumn="0" w:lastRowLastColumn="0"/>
            <w:tcW w:w="2263" w:type="dxa"/>
            <w:vMerge/>
            <w:hideMark/>
          </w:tcPr>
          <w:p w14:paraId="38D45E45" w14:textId="77777777" w:rsidR="007B1B69" w:rsidRPr="007B1B69" w:rsidRDefault="007B1B69" w:rsidP="0020615D">
            <w:pPr>
              <w:pStyle w:val="Body"/>
              <w:spacing w:after="0"/>
              <w:jc w:val="left"/>
              <w:rPr>
                <w:rFonts w:ascii="Arial" w:hAnsi="Arial" w:cs="Arial"/>
                <w:b w:val="0"/>
              </w:rPr>
            </w:pPr>
          </w:p>
        </w:tc>
        <w:tc>
          <w:tcPr>
            <w:tcW w:w="2165" w:type="dxa"/>
            <w:vMerge/>
            <w:hideMark/>
          </w:tcPr>
          <w:p w14:paraId="46315183"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36" w:type="dxa"/>
            <w:noWrap/>
            <w:hideMark/>
          </w:tcPr>
          <w:p w14:paraId="6D10DD43"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CI"/>
              </w:rPr>
            </w:pPr>
            <w:r w:rsidRPr="007B1B69">
              <w:rPr>
                <w:rFonts w:ascii="Arial" w:hAnsi="Arial" w:cs="Arial"/>
                <w:lang w:val="fr-CI"/>
              </w:rPr>
              <w:t xml:space="preserve">30% </w:t>
            </w:r>
            <w:proofErr w:type="spellStart"/>
            <w:r w:rsidRPr="007B1B69">
              <w:rPr>
                <w:rFonts w:ascii="Arial" w:hAnsi="Arial" w:cs="Arial"/>
                <w:lang w:val="fr-CI"/>
              </w:rPr>
              <w:t>listen</w:t>
            </w:r>
            <w:proofErr w:type="spellEnd"/>
            <w:r w:rsidRPr="007B1B69">
              <w:rPr>
                <w:rFonts w:ascii="Arial" w:hAnsi="Arial" w:cs="Arial"/>
                <w:lang w:val="fr-CI"/>
              </w:rPr>
              <w:t xml:space="preserve"> to </w:t>
            </w:r>
            <w:proofErr w:type="spellStart"/>
            <w:r w:rsidRPr="007B1B69">
              <w:rPr>
                <w:rFonts w:ascii="Arial" w:hAnsi="Arial" w:cs="Arial"/>
                <w:lang w:val="fr-CI"/>
              </w:rPr>
              <w:t>retailers</w:t>
            </w:r>
            <w:proofErr w:type="spellEnd"/>
          </w:p>
        </w:tc>
        <w:tc>
          <w:tcPr>
            <w:tcW w:w="2268" w:type="dxa"/>
            <w:vMerge/>
            <w:hideMark/>
          </w:tcPr>
          <w:p w14:paraId="3B0548E7"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CI"/>
              </w:rPr>
            </w:pPr>
          </w:p>
        </w:tc>
      </w:tr>
      <w:tr w:rsidR="007B1B69" w:rsidRPr="007B1B69" w14:paraId="395DA3D8" w14:textId="77777777" w:rsidTr="00BB793C">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263" w:type="dxa"/>
            <w:vMerge w:val="restart"/>
            <w:noWrap/>
            <w:hideMark/>
          </w:tcPr>
          <w:p w14:paraId="7C59E767" w14:textId="77777777" w:rsidR="007B1B69" w:rsidRPr="007B1B69" w:rsidRDefault="007B1B69" w:rsidP="0020615D">
            <w:pPr>
              <w:pStyle w:val="Body"/>
              <w:spacing w:after="0"/>
              <w:jc w:val="left"/>
              <w:rPr>
                <w:rFonts w:ascii="Arial" w:hAnsi="Arial" w:cs="Arial"/>
                <w:b w:val="0"/>
                <w:lang w:val="fr-CI"/>
              </w:rPr>
            </w:pPr>
          </w:p>
          <w:p w14:paraId="200F626A" w14:textId="77777777" w:rsidR="007B1B69" w:rsidRPr="007B1B69" w:rsidRDefault="007B1B69" w:rsidP="0020615D">
            <w:pPr>
              <w:pStyle w:val="Body"/>
              <w:spacing w:after="0"/>
              <w:jc w:val="left"/>
              <w:rPr>
                <w:rFonts w:ascii="Arial" w:hAnsi="Arial" w:cs="Arial"/>
                <w:b w:val="0"/>
                <w:lang w:val="fr-CI"/>
              </w:rPr>
            </w:pPr>
          </w:p>
          <w:p w14:paraId="093F4A10" w14:textId="77777777" w:rsidR="007B1B69" w:rsidRPr="007B1B69" w:rsidRDefault="007B1B69" w:rsidP="0020615D">
            <w:pPr>
              <w:pStyle w:val="Body"/>
              <w:spacing w:after="0"/>
              <w:jc w:val="left"/>
              <w:rPr>
                <w:rFonts w:ascii="Arial" w:hAnsi="Arial" w:cs="Arial"/>
                <w:b w:val="0"/>
                <w:lang w:val="fr-CI"/>
              </w:rPr>
            </w:pPr>
            <w:r w:rsidRPr="007B1B69">
              <w:rPr>
                <w:rFonts w:ascii="Arial" w:hAnsi="Arial" w:cs="Arial"/>
                <w:lang w:val="fr-CI"/>
              </w:rPr>
              <w:t>KNOWLEDGE</w:t>
            </w:r>
          </w:p>
        </w:tc>
        <w:tc>
          <w:tcPr>
            <w:tcW w:w="2165" w:type="dxa"/>
            <w:vMerge w:val="restart"/>
            <w:noWrap/>
            <w:hideMark/>
          </w:tcPr>
          <w:p w14:paraId="5C08FB36"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fr-CI"/>
              </w:rPr>
            </w:pPr>
            <w:proofErr w:type="spellStart"/>
            <w:r w:rsidRPr="007B1B69">
              <w:rPr>
                <w:rFonts w:ascii="Arial" w:hAnsi="Arial" w:cs="Arial"/>
                <w:lang w:val="fr-CI"/>
              </w:rPr>
              <w:t>Perceived</w:t>
            </w:r>
            <w:proofErr w:type="spellEnd"/>
            <w:r w:rsidRPr="007B1B69">
              <w:rPr>
                <w:rFonts w:ascii="Arial" w:hAnsi="Arial" w:cs="Arial"/>
                <w:lang w:val="fr-CI"/>
              </w:rPr>
              <w:t xml:space="preserve"> Risks</w:t>
            </w:r>
          </w:p>
        </w:tc>
        <w:tc>
          <w:tcPr>
            <w:tcW w:w="3936" w:type="dxa"/>
            <w:noWrap/>
            <w:hideMark/>
          </w:tcPr>
          <w:p w14:paraId="5F9A37AF"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sidRPr="007B1B69">
              <w:rPr>
                <w:rFonts w:ascii="Arial" w:hAnsi="Arial" w:cs="Arial"/>
                <w:lang w:val="fr-CI"/>
              </w:rPr>
              <w:t xml:space="preserve">80.6% </w:t>
            </w:r>
            <w:proofErr w:type="spellStart"/>
            <w:r w:rsidRPr="007B1B69">
              <w:rPr>
                <w:rFonts w:ascii="Arial" w:hAnsi="Arial" w:cs="Arial"/>
                <w:lang w:val="fr-CI"/>
              </w:rPr>
              <w:t>consider</w:t>
            </w:r>
            <w:proofErr w:type="spellEnd"/>
            <w:r w:rsidRPr="007B1B69">
              <w:rPr>
                <w:rFonts w:ascii="Arial" w:hAnsi="Arial" w:cs="Arial"/>
                <w:lang w:val="fr-CI"/>
              </w:rPr>
              <w:t xml:space="preserve"> pesticides </w:t>
            </w:r>
            <w:proofErr w:type="spellStart"/>
            <w:r w:rsidRPr="007B1B69">
              <w:rPr>
                <w:rFonts w:ascii="Arial" w:hAnsi="Arial" w:cs="Arial"/>
                <w:lang w:val="fr-CI"/>
              </w:rPr>
              <w:t>dangerous</w:t>
            </w:r>
            <w:proofErr w:type="spellEnd"/>
          </w:p>
        </w:tc>
        <w:tc>
          <w:tcPr>
            <w:tcW w:w="2268" w:type="dxa"/>
            <w:vMerge w:val="restart"/>
            <w:noWrap/>
            <w:hideMark/>
          </w:tcPr>
          <w:p w14:paraId="3A571216"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sidRPr="007B1B69">
              <w:rPr>
                <w:rFonts w:ascii="Arial" w:hAnsi="Arial" w:cs="Arial"/>
                <w:lang w:val="fr-CI"/>
              </w:rPr>
              <w:t xml:space="preserve">Main </w:t>
            </w:r>
            <w:proofErr w:type="spellStart"/>
            <w:proofErr w:type="gramStart"/>
            <w:r w:rsidRPr="007B1B69">
              <w:rPr>
                <w:rFonts w:ascii="Arial" w:hAnsi="Arial" w:cs="Arial"/>
                <w:lang w:val="fr-CI"/>
              </w:rPr>
              <w:t>concern</w:t>
            </w:r>
            <w:proofErr w:type="spellEnd"/>
            <w:r w:rsidRPr="007B1B69">
              <w:rPr>
                <w:rFonts w:ascii="Arial" w:hAnsi="Arial" w:cs="Arial"/>
                <w:lang w:val="fr-CI"/>
              </w:rPr>
              <w:t>:</w:t>
            </w:r>
            <w:proofErr w:type="gramEnd"/>
            <w:r w:rsidRPr="007B1B69">
              <w:rPr>
                <w:rFonts w:ascii="Arial" w:hAnsi="Arial" w:cs="Arial"/>
                <w:lang w:val="fr-CI"/>
              </w:rPr>
              <w:t xml:space="preserve"> </w:t>
            </w:r>
            <w:proofErr w:type="spellStart"/>
            <w:r w:rsidRPr="007B1B69">
              <w:rPr>
                <w:rFonts w:ascii="Arial" w:hAnsi="Arial" w:cs="Arial"/>
                <w:lang w:val="fr-CI"/>
              </w:rPr>
              <w:t>human</w:t>
            </w:r>
            <w:proofErr w:type="spellEnd"/>
            <w:r w:rsidRPr="007B1B69">
              <w:rPr>
                <w:rFonts w:ascii="Arial" w:hAnsi="Arial" w:cs="Arial"/>
                <w:lang w:val="fr-CI"/>
              </w:rPr>
              <w:t xml:space="preserve"> </w:t>
            </w:r>
            <w:proofErr w:type="spellStart"/>
            <w:r w:rsidRPr="007B1B69">
              <w:rPr>
                <w:rFonts w:ascii="Arial" w:hAnsi="Arial" w:cs="Arial"/>
                <w:lang w:val="fr-CI"/>
              </w:rPr>
              <w:t>health</w:t>
            </w:r>
            <w:proofErr w:type="spellEnd"/>
            <w:r w:rsidRPr="007B1B69">
              <w:rPr>
                <w:rFonts w:ascii="Arial" w:hAnsi="Arial" w:cs="Arial"/>
                <w:lang w:val="fr-CI"/>
              </w:rPr>
              <w:t xml:space="preserve"> (46.3%)</w:t>
            </w:r>
          </w:p>
        </w:tc>
      </w:tr>
      <w:tr w:rsidR="007B1B69" w:rsidRPr="007B1B69" w14:paraId="1E14583E" w14:textId="77777777" w:rsidTr="00BB793C">
        <w:trPr>
          <w:trHeight w:val="345"/>
          <w:jc w:val="center"/>
        </w:trPr>
        <w:tc>
          <w:tcPr>
            <w:cnfStyle w:val="001000000000" w:firstRow="0" w:lastRow="0" w:firstColumn="1" w:lastColumn="0" w:oddVBand="0" w:evenVBand="0" w:oddHBand="0" w:evenHBand="0" w:firstRowFirstColumn="0" w:firstRowLastColumn="0" w:lastRowFirstColumn="0" w:lastRowLastColumn="0"/>
            <w:tcW w:w="2263" w:type="dxa"/>
            <w:vMerge/>
            <w:hideMark/>
          </w:tcPr>
          <w:p w14:paraId="586364BE" w14:textId="77777777" w:rsidR="007B1B69" w:rsidRPr="007B1B69" w:rsidRDefault="007B1B69" w:rsidP="0020615D">
            <w:pPr>
              <w:pStyle w:val="Body"/>
              <w:spacing w:after="0"/>
              <w:jc w:val="left"/>
              <w:rPr>
                <w:rFonts w:ascii="Arial" w:hAnsi="Arial" w:cs="Arial"/>
                <w:b w:val="0"/>
                <w:lang w:val="fr-CI"/>
              </w:rPr>
            </w:pPr>
          </w:p>
        </w:tc>
        <w:tc>
          <w:tcPr>
            <w:tcW w:w="2165" w:type="dxa"/>
            <w:vMerge/>
            <w:hideMark/>
          </w:tcPr>
          <w:p w14:paraId="781CAD9A"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CI"/>
              </w:rPr>
            </w:pPr>
          </w:p>
        </w:tc>
        <w:tc>
          <w:tcPr>
            <w:tcW w:w="3936" w:type="dxa"/>
            <w:noWrap/>
            <w:hideMark/>
          </w:tcPr>
          <w:p w14:paraId="7F3CF250"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Only 11.9% are well informed about the risks</w:t>
            </w:r>
          </w:p>
        </w:tc>
        <w:tc>
          <w:tcPr>
            <w:tcW w:w="2268" w:type="dxa"/>
            <w:vMerge/>
            <w:hideMark/>
          </w:tcPr>
          <w:p w14:paraId="6028F38D"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B1B69" w:rsidRPr="007B1B69" w14:paraId="43BE3A20" w14:textId="77777777" w:rsidTr="00BB793C">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263" w:type="dxa"/>
            <w:vMerge/>
            <w:hideMark/>
          </w:tcPr>
          <w:p w14:paraId="0D8A0B35" w14:textId="77777777" w:rsidR="007B1B69" w:rsidRPr="007B1B69" w:rsidRDefault="007B1B69" w:rsidP="0020615D">
            <w:pPr>
              <w:pStyle w:val="Body"/>
              <w:spacing w:after="0"/>
              <w:jc w:val="left"/>
              <w:rPr>
                <w:rFonts w:ascii="Arial" w:hAnsi="Arial" w:cs="Arial"/>
                <w:b w:val="0"/>
              </w:rPr>
            </w:pPr>
          </w:p>
        </w:tc>
        <w:tc>
          <w:tcPr>
            <w:tcW w:w="2165" w:type="dxa"/>
            <w:vMerge w:val="restart"/>
            <w:noWrap/>
            <w:hideMark/>
          </w:tcPr>
          <w:p w14:paraId="03DCAB14"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sidRPr="007B1B69">
              <w:rPr>
                <w:rFonts w:ascii="Arial" w:hAnsi="Arial" w:cs="Arial"/>
                <w:lang w:val="fr-CI"/>
              </w:rPr>
              <w:t>Motivations for Use</w:t>
            </w:r>
          </w:p>
        </w:tc>
        <w:tc>
          <w:tcPr>
            <w:tcW w:w="3936" w:type="dxa"/>
            <w:noWrap/>
            <w:hideMark/>
          </w:tcPr>
          <w:p w14:paraId="439BC1EE"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70% use them out of production necessity</w:t>
            </w:r>
          </w:p>
        </w:tc>
        <w:tc>
          <w:tcPr>
            <w:tcW w:w="2268" w:type="dxa"/>
            <w:vMerge/>
            <w:hideMark/>
          </w:tcPr>
          <w:p w14:paraId="496BB2FC"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B1B69" w:rsidRPr="007B1B69" w14:paraId="6A895D16"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263" w:type="dxa"/>
            <w:vMerge/>
            <w:hideMark/>
          </w:tcPr>
          <w:p w14:paraId="73C8A986" w14:textId="77777777" w:rsidR="007B1B69" w:rsidRPr="007B1B69" w:rsidRDefault="007B1B69" w:rsidP="0020615D">
            <w:pPr>
              <w:pStyle w:val="Body"/>
              <w:spacing w:after="0"/>
              <w:jc w:val="left"/>
              <w:rPr>
                <w:rFonts w:ascii="Arial" w:hAnsi="Arial" w:cs="Arial"/>
                <w:b w:val="0"/>
              </w:rPr>
            </w:pPr>
          </w:p>
        </w:tc>
        <w:tc>
          <w:tcPr>
            <w:tcW w:w="2165" w:type="dxa"/>
            <w:vMerge/>
            <w:hideMark/>
          </w:tcPr>
          <w:p w14:paraId="741C79F4"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36" w:type="dxa"/>
            <w:noWrap/>
            <w:hideMark/>
          </w:tcPr>
          <w:p w14:paraId="037F84A6"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17.5% due to a lack of alternatives</w:t>
            </w:r>
          </w:p>
        </w:tc>
        <w:tc>
          <w:tcPr>
            <w:tcW w:w="2268" w:type="dxa"/>
            <w:vMerge/>
            <w:hideMark/>
          </w:tcPr>
          <w:p w14:paraId="4E108349"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B1B69" w:rsidRPr="007B1B69" w14:paraId="2FC30D56"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263" w:type="dxa"/>
            <w:vMerge w:val="restart"/>
            <w:noWrap/>
            <w:hideMark/>
          </w:tcPr>
          <w:p w14:paraId="32C4FF77" w14:textId="77777777" w:rsidR="007B1B69" w:rsidRPr="007B1B69" w:rsidRDefault="007B1B69" w:rsidP="0020615D">
            <w:pPr>
              <w:pStyle w:val="Body"/>
              <w:spacing w:after="0"/>
              <w:jc w:val="left"/>
              <w:rPr>
                <w:rFonts w:ascii="Arial" w:hAnsi="Arial" w:cs="Arial"/>
                <w:b w:val="0"/>
              </w:rPr>
            </w:pPr>
          </w:p>
          <w:p w14:paraId="4A895657" w14:textId="77777777" w:rsidR="007B1B69" w:rsidRPr="007B1B69" w:rsidRDefault="007B1B69" w:rsidP="0020615D">
            <w:pPr>
              <w:pStyle w:val="Body"/>
              <w:spacing w:after="0"/>
              <w:jc w:val="left"/>
              <w:rPr>
                <w:rFonts w:ascii="Arial" w:hAnsi="Arial" w:cs="Arial"/>
                <w:b w:val="0"/>
              </w:rPr>
            </w:pPr>
          </w:p>
          <w:p w14:paraId="11C226D8" w14:textId="77777777" w:rsidR="007B1B69" w:rsidRPr="007B1B69" w:rsidRDefault="007B1B69" w:rsidP="0020615D">
            <w:pPr>
              <w:pStyle w:val="Body"/>
              <w:spacing w:after="0"/>
              <w:jc w:val="left"/>
              <w:rPr>
                <w:rFonts w:ascii="Arial" w:hAnsi="Arial" w:cs="Arial"/>
                <w:b w:val="0"/>
                <w:lang w:val="fr-CI"/>
              </w:rPr>
            </w:pPr>
            <w:r w:rsidRPr="007B1B69">
              <w:rPr>
                <w:rFonts w:ascii="Arial" w:hAnsi="Arial" w:cs="Arial"/>
                <w:lang w:val="fr-CI"/>
              </w:rPr>
              <w:t>PRACTICES</w:t>
            </w:r>
          </w:p>
        </w:tc>
        <w:tc>
          <w:tcPr>
            <w:tcW w:w="2165" w:type="dxa"/>
            <w:noWrap/>
            <w:hideMark/>
          </w:tcPr>
          <w:p w14:paraId="6058DAC6"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sidRPr="007B1B69">
              <w:rPr>
                <w:rFonts w:ascii="Arial" w:hAnsi="Arial" w:cs="Arial"/>
                <w:lang w:val="fr-CI"/>
              </w:rPr>
              <w:t>Storage</w:t>
            </w:r>
          </w:p>
        </w:tc>
        <w:tc>
          <w:tcPr>
            <w:tcW w:w="3936" w:type="dxa"/>
            <w:noWrap/>
            <w:hideMark/>
          </w:tcPr>
          <w:p w14:paraId="4BCDC182"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73.3% do not have dedicated storage</w:t>
            </w:r>
          </w:p>
        </w:tc>
        <w:tc>
          <w:tcPr>
            <w:tcW w:w="2268" w:type="dxa"/>
            <w:noWrap/>
            <w:hideMark/>
          </w:tcPr>
          <w:p w14:paraId="2F85816D"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sidRPr="007B1B69">
              <w:rPr>
                <w:rFonts w:ascii="Arial" w:hAnsi="Arial" w:cs="Arial"/>
                <w:lang w:val="fr-CI"/>
              </w:rPr>
              <w:t xml:space="preserve">15% use </w:t>
            </w:r>
            <w:proofErr w:type="spellStart"/>
            <w:r w:rsidRPr="007B1B69">
              <w:rPr>
                <w:rFonts w:ascii="Arial" w:hAnsi="Arial" w:cs="Arial"/>
                <w:lang w:val="fr-CI"/>
              </w:rPr>
              <w:t>unequipped</w:t>
            </w:r>
            <w:proofErr w:type="spellEnd"/>
            <w:r w:rsidRPr="007B1B69">
              <w:rPr>
                <w:rFonts w:ascii="Arial" w:hAnsi="Arial" w:cs="Arial"/>
                <w:lang w:val="fr-CI"/>
              </w:rPr>
              <w:t xml:space="preserve"> buildings</w:t>
            </w:r>
          </w:p>
        </w:tc>
      </w:tr>
      <w:tr w:rsidR="007B1B69" w:rsidRPr="007B1B69" w14:paraId="4B234109"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263" w:type="dxa"/>
            <w:vMerge/>
            <w:hideMark/>
          </w:tcPr>
          <w:p w14:paraId="68E374CE" w14:textId="77777777" w:rsidR="007B1B69" w:rsidRPr="007B1B69" w:rsidRDefault="007B1B69" w:rsidP="0020615D">
            <w:pPr>
              <w:pStyle w:val="Body"/>
              <w:spacing w:after="0"/>
              <w:jc w:val="left"/>
              <w:rPr>
                <w:rFonts w:ascii="Arial" w:hAnsi="Arial" w:cs="Arial"/>
                <w:b w:val="0"/>
                <w:lang w:val="fr-CI"/>
              </w:rPr>
            </w:pPr>
          </w:p>
        </w:tc>
        <w:tc>
          <w:tcPr>
            <w:tcW w:w="2165" w:type="dxa"/>
            <w:noWrap/>
            <w:hideMark/>
          </w:tcPr>
          <w:p w14:paraId="7904F77F"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CI"/>
              </w:rPr>
            </w:pPr>
            <w:r w:rsidRPr="007B1B69">
              <w:rPr>
                <w:rFonts w:ascii="Arial" w:hAnsi="Arial" w:cs="Arial"/>
                <w:lang w:val="fr-CI"/>
              </w:rPr>
              <w:t>Application Equipment</w:t>
            </w:r>
          </w:p>
        </w:tc>
        <w:tc>
          <w:tcPr>
            <w:tcW w:w="3936" w:type="dxa"/>
            <w:noWrap/>
            <w:hideMark/>
          </w:tcPr>
          <w:p w14:paraId="4E97BC38"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CI"/>
              </w:rPr>
            </w:pPr>
            <w:proofErr w:type="spellStart"/>
            <w:r w:rsidRPr="007B1B69">
              <w:rPr>
                <w:rFonts w:ascii="Arial" w:hAnsi="Arial" w:cs="Arial"/>
                <w:lang w:val="fr-CI"/>
              </w:rPr>
              <w:t>Atomizers</w:t>
            </w:r>
            <w:proofErr w:type="spellEnd"/>
            <w:r w:rsidRPr="007B1B69">
              <w:rPr>
                <w:rFonts w:ascii="Arial" w:hAnsi="Arial" w:cs="Arial"/>
                <w:lang w:val="fr-CI"/>
              </w:rPr>
              <w:t xml:space="preserve"> (45.2%) &gt;</w:t>
            </w:r>
          </w:p>
          <w:p w14:paraId="2E1C9E91"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CI"/>
              </w:rPr>
            </w:pPr>
            <w:proofErr w:type="spellStart"/>
            <w:r w:rsidRPr="007B1B69">
              <w:rPr>
                <w:rFonts w:ascii="Arial" w:hAnsi="Arial" w:cs="Arial"/>
                <w:lang w:val="fr-CI"/>
              </w:rPr>
              <w:t>Sprayers</w:t>
            </w:r>
            <w:proofErr w:type="spellEnd"/>
            <w:r w:rsidRPr="007B1B69">
              <w:rPr>
                <w:rFonts w:ascii="Arial" w:hAnsi="Arial" w:cs="Arial"/>
                <w:lang w:val="fr-CI"/>
              </w:rPr>
              <w:t xml:space="preserve"> (38.7%)</w:t>
            </w:r>
          </w:p>
        </w:tc>
        <w:tc>
          <w:tcPr>
            <w:tcW w:w="2268" w:type="dxa"/>
            <w:noWrap/>
            <w:hideMark/>
          </w:tcPr>
          <w:p w14:paraId="1AFBDB92"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CI"/>
              </w:rPr>
            </w:pPr>
            <w:r w:rsidRPr="007B1B69">
              <w:rPr>
                <w:rFonts w:ascii="Arial" w:hAnsi="Arial" w:cs="Arial"/>
                <w:lang w:val="fr-CI"/>
              </w:rPr>
              <w:t xml:space="preserve">52.5% use </w:t>
            </w:r>
            <w:proofErr w:type="spellStart"/>
            <w:r w:rsidRPr="007B1B69">
              <w:rPr>
                <w:rFonts w:ascii="Arial" w:hAnsi="Arial" w:cs="Arial"/>
                <w:lang w:val="fr-CI"/>
              </w:rPr>
              <w:t>certified</w:t>
            </w:r>
            <w:proofErr w:type="spellEnd"/>
            <w:r w:rsidRPr="007B1B69">
              <w:rPr>
                <w:rFonts w:ascii="Arial" w:hAnsi="Arial" w:cs="Arial"/>
                <w:lang w:val="fr-CI"/>
              </w:rPr>
              <w:t xml:space="preserve"> </w:t>
            </w:r>
            <w:proofErr w:type="spellStart"/>
            <w:r w:rsidRPr="007B1B69">
              <w:rPr>
                <w:rFonts w:ascii="Arial" w:hAnsi="Arial" w:cs="Arial"/>
                <w:lang w:val="fr-CI"/>
              </w:rPr>
              <w:t>applicators</w:t>
            </w:r>
            <w:proofErr w:type="spellEnd"/>
          </w:p>
        </w:tc>
      </w:tr>
      <w:tr w:rsidR="007B1B69" w:rsidRPr="007B1B69" w14:paraId="5013BF58"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263" w:type="dxa"/>
            <w:vMerge/>
            <w:hideMark/>
          </w:tcPr>
          <w:p w14:paraId="2282DDAC" w14:textId="77777777" w:rsidR="007B1B69" w:rsidRPr="007B1B69" w:rsidRDefault="007B1B69" w:rsidP="0020615D">
            <w:pPr>
              <w:pStyle w:val="Body"/>
              <w:spacing w:after="0"/>
              <w:jc w:val="left"/>
              <w:rPr>
                <w:rFonts w:ascii="Arial" w:hAnsi="Arial" w:cs="Arial"/>
                <w:b w:val="0"/>
                <w:lang w:val="fr-CI"/>
              </w:rPr>
            </w:pPr>
          </w:p>
        </w:tc>
        <w:tc>
          <w:tcPr>
            <w:tcW w:w="2165" w:type="dxa"/>
            <w:noWrap/>
            <w:hideMark/>
          </w:tcPr>
          <w:p w14:paraId="117EDC70"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fr-CI"/>
              </w:rPr>
            </w:pPr>
            <w:proofErr w:type="spellStart"/>
            <w:r w:rsidRPr="007B1B69">
              <w:rPr>
                <w:rFonts w:ascii="Arial" w:hAnsi="Arial" w:cs="Arial"/>
                <w:lang w:val="fr-CI"/>
              </w:rPr>
              <w:t>Personal</w:t>
            </w:r>
            <w:proofErr w:type="spellEnd"/>
            <w:r w:rsidRPr="007B1B69">
              <w:rPr>
                <w:rFonts w:ascii="Arial" w:hAnsi="Arial" w:cs="Arial"/>
                <w:lang w:val="fr-CI"/>
              </w:rPr>
              <w:t xml:space="preserve"> Protection</w:t>
            </w:r>
          </w:p>
        </w:tc>
        <w:tc>
          <w:tcPr>
            <w:tcW w:w="3936" w:type="dxa"/>
            <w:noWrap/>
            <w:hideMark/>
          </w:tcPr>
          <w:p w14:paraId="4ADB7D11"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32.3% use masks + boots (minimal PPE)</w:t>
            </w:r>
          </w:p>
        </w:tc>
        <w:tc>
          <w:tcPr>
            <w:tcW w:w="2268" w:type="dxa"/>
            <w:noWrap/>
            <w:hideMark/>
          </w:tcPr>
          <w:p w14:paraId="6159E0D9"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fr-CI"/>
              </w:rPr>
            </w:pPr>
            <w:proofErr w:type="spellStart"/>
            <w:r w:rsidRPr="007B1B69">
              <w:rPr>
                <w:rFonts w:ascii="Arial" w:hAnsi="Arial" w:cs="Arial"/>
                <w:lang w:val="fr-CI"/>
              </w:rPr>
              <w:t>Only</w:t>
            </w:r>
            <w:proofErr w:type="spellEnd"/>
            <w:r w:rsidRPr="007B1B69">
              <w:rPr>
                <w:rFonts w:ascii="Arial" w:hAnsi="Arial" w:cs="Arial"/>
                <w:lang w:val="fr-CI"/>
              </w:rPr>
              <w:t xml:space="preserve"> 6.5% wear full </w:t>
            </w:r>
            <w:proofErr w:type="spellStart"/>
            <w:r w:rsidRPr="007B1B69">
              <w:rPr>
                <w:rFonts w:ascii="Arial" w:hAnsi="Arial" w:cs="Arial"/>
                <w:lang w:val="fr-CI"/>
              </w:rPr>
              <w:t>equipment</w:t>
            </w:r>
            <w:proofErr w:type="spellEnd"/>
          </w:p>
        </w:tc>
      </w:tr>
      <w:tr w:rsidR="007B1B69" w:rsidRPr="007B1B69" w14:paraId="502A2465"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263" w:type="dxa"/>
            <w:vMerge/>
            <w:hideMark/>
          </w:tcPr>
          <w:p w14:paraId="20A07CFF" w14:textId="77777777" w:rsidR="007B1B69" w:rsidRPr="007B1B69" w:rsidRDefault="007B1B69" w:rsidP="0020615D">
            <w:pPr>
              <w:pStyle w:val="Body"/>
              <w:spacing w:after="0"/>
              <w:jc w:val="left"/>
              <w:rPr>
                <w:rFonts w:ascii="Arial" w:hAnsi="Arial" w:cs="Arial"/>
                <w:b w:val="0"/>
                <w:lang w:val="fr-CI"/>
              </w:rPr>
            </w:pPr>
          </w:p>
        </w:tc>
        <w:tc>
          <w:tcPr>
            <w:tcW w:w="2165" w:type="dxa"/>
            <w:noWrap/>
            <w:hideMark/>
          </w:tcPr>
          <w:p w14:paraId="47E7F6F0"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CI"/>
              </w:rPr>
            </w:pPr>
            <w:r w:rsidRPr="007B1B69">
              <w:rPr>
                <w:rFonts w:ascii="Arial" w:hAnsi="Arial" w:cs="Arial"/>
                <w:lang w:val="fr-CI"/>
              </w:rPr>
              <w:t>Application Schedule</w:t>
            </w:r>
          </w:p>
        </w:tc>
        <w:tc>
          <w:tcPr>
            <w:tcW w:w="3936" w:type="dxa"/>
            <w:noWrap/>
            <w:hideMark/>
          </w:tcPr>
          <w:p w14:paraId="28F926C9"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46.3% apply in the morning (6 a.m.-11 a.m.)</w:t>
            </w:r>
          </w:p>
        </w:tc>
        <w:tc>
          <w:tcPr>
            <w:tcW w:w="2268" w:type="dxa"/>
            <w:noWrap/>
            <w:hideMark/>
          </w:tcPr>
          <w:p w14:paraId="7951BF70"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26.9% do not have a specific time</w:t>
            </w:r>
          </w:p>
        </w:tc>
      </w:tr>
      <w:tr w:rsidR="007B1B69" w:rsidRPr="007B1B69" w14:paraId="7BF26560"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263" w:type="dxa"/>
            <w:vMerge w:val="restart"/>
            <w:noWrap/>
            <w:hideMark/>
          </w:tcPr>
          <w:p w14:paraId="7BC32881" w14:textId="77777777" w:rsidR="007B1B69" w:rsidRPr="007B1B69" w:rsidRDefault="007B1B69" w:rsidP="0020615D">
            <w:pPr>
              <w:pStyle w:val="Body"/>
              <w:spacing w:after="0"/>
              <w:jc w:val="left"/>
              <w:rPr>
                <w:rFonts w:ascii="Arial" w:hAnsi="Arial" w:cs="Arial"/>
                <w:b w:val="0"/>
              </w:rPr>
            </w:pPr>
          </w:p>
          <w:p w14:paraId="08F5D9B3" w14:textId="77777777" w:rsidR="007B1B69" w:rsidRPr="007B1B69" w:rsidRDefault="007B1B69" w:rsidP="0020615D">
            <w:pPr>
              <w:pStyle w:val="Body"/>
              <w:spacing w:after="0"/>
              <w:jc w:val="left"/>
              <w:rPr>
                <w:rFonts w:ascii="Arial" w:hAnsi="Arial" w:cs="Arial"/>
                <w:b w:val="0"/>
                <w:lang w:val="fr-CI"/>
              </w:rPr>
            </w:pPr>
            <w:r w:rsidRPr="007B1B69">
              <w:rPr>
                <w:rFonts w:ascii="Arial" w:hAnsi="Arial" w:cs="Arial"/>
                <w:lang w:val="fr-CI"/>
              </w:rPr>
              <w:t>USAGE</w:t>
            </w:r>
          </w:p>
        </w:tc>
        <w:tc>
          <w:tcPr>
            <w:tcW w:w="2165" w:type="dxa"/>
            <w:vMerge w:val="restart"/>
            <w:noWrap/>
            <w:hideMark/>
          </w:tcPr>
          <w:p w14:paraId="5AAD4CD1"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sidRPr="007B1B69">
              <w:rPr>
                <w:rFonts w:ascii="Arial" w:hAnsi="Arial" w:cs="Arial"/>
                <w:lang w:val="fr-CI"/>
              </w:rPr>
              <w:t>Frequency and Dosage</w:t>
            </w:r>
          </w:p>
        </w:tc>
        <w:tc>
          <w:tcPr>
            <w:tcW w:w="3936" w:type="dxa"/>
            <w:noWrap/>
            <w:hideMark/>
          </w:tcPr>
          <w:p w14:paraId="4568CEE2"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45.6% apply 1-2 treatments/year</w:t>
            </w:r>
          </w:p>
        </w:tc>
        <w:tc>
          <w:tcPr>
            <w:tcW w:w="2268" w:type="dxa"/>
            <w:vMerge w:val="restart"/>
            <w:noWrap/>
            <w:hideMark/>
          </w:tcPr>
          <w:p w14:paraId="60D58F96"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sidRPr="007B1B69">
              <w:rPr>
                <w:rFonts w:ascii="Arial" w:hAnsi="Arial" w:cs="Arial"/>
                <w:lang w:val="fr-CI"/>
              </w:rPr>
              <w:t xml:space="preserve">8.8% </w:t>
            </w:r>
            <w:proofErr w:type="spellStart"/>
            <w:r w:rsidRPr="007B1B69">
              <w:rPr>
                <w:rFonts w:ascii="Arial" w:hAnsi="Arial" w:cs="Arial"/>
                <w:lang w:val="fr-CI"/>
              </w:rPr>
              <w:t>perform</w:t>
            </w:r>
            <w:proofErr w:type="spellEnd"/>
            <w:r w:rsidRPr="007B1B69">
              <w:rPr>
                <w:rFonts w:ascii="Arial" w:hAnsi="Arial" w:cs="Arial"/>
                <w:lang w:val="fr-CI"/>
              </w:rPr>
              <w:t xml:space="preserve"> 5-6 </w:t>
            </w:r>
            <w:proofErr w:type="spellStart"/>
            <w:r w:rsidRPr="007B1B69">
              <w:rPr>
                <w:rFonts w:ascii="Arial" w:hAnsi="Arial" w:cs="Arial"/>
                <w:lang w:val="fr-CI"/>
              </w:rPr>
              <w:t>treatments</w:t>
            </w:r>
            <w:proofErr w:type="spellEnd"/>
            <w:r w:rsidRPr="007B1B69">
              <w:rPr>
                <w:rFonts w:ascii="Arial" w:hAnsi="Arial" w:cs="Arial"/>
                <w:lang w:val="fr-CI"/>
              </w:rPr>
              <w:t xml:space="preserve"> </w:t>
            </w:r>
            <w:proofErr w:type="spellStart"/>
            <w:r w:rsidRPr="007B1B69">
              <w:rPr>
                <w:rFonts w:ascii="Arial" w:hAnsi="Arial" w:cs="Arial"/>
                <w:lang w:val="fr-CI"/>
              </w:rPr>
              <w:t>annually</w:t>
            </w:r>
            <w:proofErr w:type="spellEnd"/>
          </w:p>
        </w:tc>
      </w:tr>
      <w:tr w:rsidR="007B1B69" w:rsidRPr="007B1B69" w14:paraId="054B8876"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263" w:type="dxa"/>
            <w:vMerge/>
            <w:hideMark/>
          </w:tcPr>
          <w:p w14:paraId="1D2805B2" w14:textId="77777777" w:rsidR="007B1B69" w:rsidRPr="007B1B69" w:rsidRDefault="007B1B69" w:rsidP="0020615D">
            <w:pPr>
              <w:pStyle w:val="Body"/>
              <w:spacing w:after="0"/>
              <w:jc w:val="left"/>
              <w:rPr>
                <w:rFonts w:ascii="Arial" w:hAnsi="Arial" w:cs="Arial"/>
                <w:b w:val="0"/>
                <w:lang w:val="fr-CI"/>
              </w:rPr>
            </w:pPr>
          </w:p>
        </w:tc>
        <w:tc>
          <w:tcPr>
            <w:tcW w:w="2165" w:type="dxa"/>
            <w:vMerge/>
            <w:hideMark/>
          </w:tcPr>
          <w:p w14:paraId="236F2DD8"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CI"/>
              </w:rPr>
            </w:pPr>
          </w:p>
        </w:tc>
        <w:tc>
          <w:tcPr>
            <w:tcW w:w="3936" w:type="dxa"/>
            <w:noWrap/>
            <w:hideMark/>
          </w:tcPr>
          <w:p w14:paraId="7B3E8970"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56.9% do not respect the doses</w:t>
            </w:r>
          </w:p>
        </w:tc>
        <w:tc>
          <w:tcPr>
            <w:tcW w:w="2268" w:type="dxa"/>
            <w:vMerge/>
            <w:hideMark/>
          </w:tcPr>
          <w:p w14:paraId="292B82F4"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B1B69" w:rsidRPr="007B1B69" w14:paraId="687FFF41"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263" w:type="dxa"/>
            <w:vMerge w:val="restart"/>
            <w:noWrap/>
            <w:hideMark/>
          </w:tcPr>
          <w:p w14:paraId="3DBEC4B9" w14:textId="77777777" w:rsidR="007B1B69" w:rsidRPr="007B1B69" w:rsidRDefault="007B1B69" w:rsidP="0020615D">
            <w:pPr>
              <w:pStyle w:val="Body"/>
              <w:spacing w:after="0"/>
              <w:jc w:val="left"/>
              <w:rPr>
                <w:rFonts w:ascii="Arial" w:hAnsi="Arial" w:cs="Arial"/>
                <w:b w:val="0"/>
              </w:rPr>
            </w:pPr>
          </w:p>
          <w:p w14:paraId="5A8DCD57" w14:textId="77777777" w:rsidR="007B1B69" w:rsidRPr="007B1B69" w:rsidRDefault="007B1B69" w:rsidP="0020615D">
            <w:pPr>
              <w:pStyle w:val="Body"/>
              <w:spacing w:after="0"/>
              <w:jc w:val="left"/>
              <w:rPr>
                <w:rFonts w:ascii="Arial" w:hAnsi="Arial" w:cs="Arial"/>
                <w:b w:val="0"/>
              </w:rPr>
            </w:pPr>
          </w:p>
          <w:p w14:paraId="0D0B5E2C" w14:textId="77777777" w:rsidR="007B1B69" w:rsidRPr="007B1B69" w:rsidRDefault="007B1B69" w:rsidP="0020615D">
            <w:pPr>
              <w:pStyle w:val="Body"/>
              <w:spacing w:after="0"/>
              <w:jc w:val="left"/>
              <w:rPr>
                <w:rFonts w:ascii="Arial" w:hAnsi="Arial" w:cs="Arial"/>
                <w:b w:val="0"/>
                <w:lang w:val="fr-CI"/>
              </w:rPr>
            </w:pPr>
            <w:r w:rsidRPr="007B1B69">
              <w:rPr>
                <w:rFonts w:ascii="Arial" w:hAnsi="Arial" w:cs="Arial"/>
                <w:lang w:val="fr-CI"/>
              </w:rPr>
              <w:t>WASTE MANAGEMENT</w:t>
            </w:r>
          </w:p>
        </w:tc>
        <w:tc>
          <w:tcPr>
            <w:tcW w:w="2165" w:type="dxa"/>
            <w:vMerge w:val="restart"/>
            <w:noWrap/>
            <w:hideMark/>
          </w:tcPr>
          <w:p w14:paraId="0828701D"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sidRPr="007B1B69">
              <w:rPr>
                <w:rFonts w:ascii="Arial" w:hAnsi="Arial" w:cs="Arial"/>
                <w:lang w:val="fr-CI"/>
              </w:rPr>
              <w:t xml:space="preserve">Product </w:t>
            </w:r>
            <w:proofErr w:type="spellStart"/>
            <w:r w:rsidRPr="007B1B69">
              <w:rPr>
                <w:rFonts w:ascii="Arial" w:hAnsi="Arial" w:cs="Arial"/>
                <w:lang w:val="fr-CI"/>
              </w:rPr>
              <w:t>Residues</w:t>
            </w:r>
            <w:proofErr w:type="spellEnd"/>
          </w:p>
        </w:tc>
        <w:tc>
          <w:tcPr>
            <w:tcW w:w="3936" w:type="dxa"/>
            <w:noWrap/>
            <w:hideMark/>
          </w:tcPr>
          <w:p w14:paraId="1261CFDF"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56.9% do not respect the doses</w:t>
            </w:r>
          </w:p>
        </w:tc>
        <w:tc>
          <w:tcPr>
            <w:tcW w:w="2268" w:type="dxa"/>
            <w:vMerge w:val="restart"/>
            <w:noWrap/>
            <w:hideMark/>
          </w:tcPr>
          <w:p w14:paraId="4D704E7D"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sidRPr="007B1B69">
              <w:rPr>
                <w:rFonts w:ascii="Arial" w:hAnsi="Arial" w:cs="Arial"/>
                <w:lang w:val="fr-CI"/>
              </w:rPr>
              <w:t xml:space="preserve">16.3% </w:t>
            </w:r>
            <w:proofErr w:type="spellStart"/>
            <w:r w:rsidRPr="007B1B69">
              <w:rPr>
                <w:rFonts w:ascii="Arial" w:hAnsi="Arial" w:cs="Arial"/>
                <w:lang w:val="fr-CI"/>
              </w:rPr>
              <w:t>discharge</w:t>
            </w:r>
            <w:proofErr w:type="spellEnd"/>
            <w:r w:rsidRPr="007B1B69">
              <w:rPr>
                <w:rFonts w:ascii="Arial" w:hAnsi="Arial" w:cs="Arial"/>
                <w:lang w:val="fr-CI"/>
              </w:rPr>
              <w:t xml:space="preserve"> </w:t>
            </w:r>
            <w:proofErr w:type="spellStart"/>
            <w:r w:rsidRPr="007B1B69">
              <w:rPr>
                <w:rFonts w:ascii="Arial" w:hAnsi="Arial" w:cs="Arial"/>
                <w:lang w:val="fr-CI"/>
              </w:rPr>
              <w:t>into</w:t>
            </w:r>
            <w:proofErr w:type="spellEnd"/>
            <w:r w:rsidRPr="007B1B69">
              <w:rPr>
                <w:rFonts w:ascii="Arial" w:hAnsi="Arial" w:cs="Arial"/>
                <w:lang w:val="fr-CI"/>
              </w:rPr>
              <w:t xml:space="preserve"> the </w:t>
            </w:r>
            <w:proofErr w:type="spellStart"/>
            <w:r w:rsidRPr="007B1B69">
              <w:rPr>
                <w:rFonts w:ascii="Arial" w:hAnsi="Arial" w:cs="Arial"/>
                <w:lang w:val="fr-CI"/>
              </w:rPr>
              <w:t>environment</w:t>
            </w:r>
            <w:proofErr w:type="spellEnd"/>
          </w:p>
        </w:tc>
      </w:tr>
      <w:tr w:rsidR="007B1B69" w:rsidRPr="007B1B69" w14:paraId="34B38746"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263" w:type="dxa"/>
            <w:vMerge/>
            <w:hideMark/>
          </w:tcPr>
          <w:p w14:paraId="11704565" w14:textId="77777777" w:rsidR="007B1B69" w:rsidRPr="007B1B69" w:rsidRDefault="007B1B69" w:rsidP="0020615D">
            <w:pPr>
              <w:pStyle w:val="Body"/>
              <w:spacing w:after="0"/>
              <w:jc w:val="center"/>
              <w:rPr>
                <w:rFonts w:ascii="Arial" w:hAnsi="Arial" w:cs="Arial"/>
                <w:b w:val="0"/>
                <w:lang w:val="fr-CI"/>
              </w:rPr>
            </w:pPr>
          </w:p>
        </w:tc>
        <w:tc>
          <w:tcPr>
            <w:tcW w:w="2165" w:type="dxa"/>
            <w:vMerge/>
            <w:hideMark/>
          </w:tcPr>
          <w:p w14:paraId="1B22F2EF"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CI"/>
              </w:rPr>
            </w:pPr>
          </w:p>
        </w:tc>
        <w:tc>
          <w:tcPr>
            <w:tcW w:w="3936" w:type="dxa"/>
            <w:noWrap/>
            <w:hideMark/>
          </w:tcPr>
          <w:p w14:paraId="26CE79FE"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CI"/>
              </w:rPr>
            </w:pPr>
            <w:r w:rsidRPr="007B1B69">
              <w:rPr>
                <w:rFonts w:ascii="Arial" w:hAnsi="Arial" w:cs="Arial"/>
                <w:lang w:val="fr-CI"/>
              </w:rPr>
              <w:t xml:space="preserve">34.4% </w:t>
            </w:r>
            <w:proofErr w:type="spellStart"/>
            <w:r w:rsidRPr="007B1B69">
              <w:rPr>
                <w:rFonts w:ascii="Arial" w:hAnsi="Arial" w:cs="Arial"/>
                <w:lang w:val="fr-CI"/>
              </w:rPr>
              <w:t>bury</w:t>
            </w:r>
            <w:proofErr w:type="spellEnd"/>
          </w:p>
        </w:tc>
        <w:tc>
          <w:tcPr>
            <w:tcW w:w="2268" w:type="dxa"/>
            <w:vMerge/>
            <w:hideMark/>
          </w:tcPr>
          <w:p w14:paraId="5A2ABD78"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CI"/>
              </w:rPr>
            </w:pPr>
          </w:p>
        </w:tc>
      </w:tr>
      <w:tr w:rsidR="007B1B69" w:rsidRPr="007B1B69" w14:paraId="75F65CB9"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263" w:type="dxa"/>
            <w:vMerge/>
            <w:hideMark/>
          </w:tcPr>
          <w:p w14:paraId="66596ABC" w14:textId="77777777" w:rsidR="007B1B69" w:rsidRPr="007B1B69" w:rsidRDefault="007B1B69" w:rsidP="0020615D">
            <w:pPr>
              <w:pStyle w:val="Body"/>
              <w:spacing w:after="0"/>
              <w:jc w:val="center"/>
              <w:rPr>
                <w:rFonts w:ascii="Arial" w:hAnsi="Arial" w:cs="Arial"/>
                <w:b w:val="0"/>
                <w:lang w:val="fr-CI"/>
              </w:rPr>
            </w:pPr>
          </w:p>
        </w:tc>
        <w:tc>
          <w:tcPr>
            <w:tcW w:w="2165" w:type="dxa"/>
            <w:vMerge w:val="restart"/>
            <w:noWrap/>
            <w:hideMark/>
          </w:tcPr>
          <w:p w14:paraId="0F609421"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fr-CI"/>
              </w:rPr>
            </w:pPr>
            <w:proofErr w:type="spellStart"/>
            <w:r w:rsidRPr="007B1B69">
              <w:rPr>
                <w:rFonts w:ascii="Arial" w:hAnsi="Arial" w:cs="Arial"/>
                <w:lang w:val="fr-CI"/>
              </w:rPr>
              <w:t>Empty</w:t>
            </w:r>
            <w:proofErr w:type="spellEnd"/>
            <w:r w:rsidRPr="007B1B69">
              <w:rPr>
                <w:rFonts w:ascii="Arial" w:hAnsi="Arial" w:cs="Arial"/>
                <w:lang w:val="fr-CI"/>
              </w:rPr>
              <w:t xml:space="preserve"> Packaging</w:t>
            </w:r>
          </w:p>
        </w:tc>
        <w:tc>
          <w:tcPr>
            <w:tcW w:w="3936" w:type="dxa"/>
            <w:noWrap/>
            <w:hideMark/>
          </w:tcPr>
          <w:p w14:paraId="071F63B3"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sidRPr="007B1B69">
              <w:rPr>
                <w:rFonts w:ascii="Arial" w:hAnsi="Arial" w:cs="Arial"/>
                <w:lang w:val="fr-CI"/>
              </w:rPr>
              <w:t xml:space="preserve">47.5% </w:t>
            </w:r>
            <w:proofErr w:type="spellStart"/>
            <w:r w:rsidRPr="007B1B69">
              <w:rPr>
                <w:rFonts w:ascii="Arial" w:hAnsi="Arial" w:cs="Arial"/>
                <w:lang w:val="fr-CI"/>
              </w:rPr>
              <w:t>bury</w:t>
            </w:r>
            <w:proofErr w:type="spellEnd"/>
            <w:r w:rsidRPr="007B1B69">
              <w:rPr>
                <w:rFonts w:ascii="Arial" w:hAnsi="Arial" w:cs="Arial"/>
                <w:lang w:val="fr-CI"/>
              </w:rPr>
              <w:t xml:space="preserve"> the packaging</w:t>
            </w:r>
          </w:p>
        </w:tc>
        <w:tc>
          <w:tcPr>
            <w:tcW w:w="2268" w:type="dxa"/>
            <w:vMerge w:val="restart"/>
            <w:noWrap/>
            <w:hideMark/>
          </w:tcPr>
          <w:p w14:paraId="5A4075DC" w14:textId="77777777" w:rsidR="007B1B69" w:rsidRPr="007B1B69" w:rsidRDefault="007B1B69" w:rsidP="002061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Only 1.9% return them to retailers</w:t>
            </w:r>
          </w:p>
        </w:tc>
      </w:tr>
      <w:tr w:rsidR="007B1B69" w:rsidRPr="007B1B69" w14:paraId="5B24DA4A"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263" w:type="dxa"/>
            <w:vMerge/>
            <w:hideMark/>
          </w:tcPr>
          <w:p w14:paraId="07502351" w14:textId="77777777" w:rsidR="007B1B69" w:rsidRPr="007B1B69" w:rsidRDefault="007B1B69" w:rsidP="0020615D">
            <w:pPr>
              <w:pStyle w:val="Body"/>
              <w:spacing w:after="0"/>
              <w:jc w:val="center"/>
              <w:rPr>
                <w:rFonts w:ascii="Arial" w:hAnsi="Arial" w:cs="Arial"/>
                <w:b w:val="0"/>
              </w:rPr>
            </w:pPr>
          </w:p>
        </w:tc>
        <w:tc>
          <w:tcPr>
            <w:tcW w:w="2165" w:type="dxa"/>
            <w:vMerge/>
            <w:hideMark/>
          </w:tcPr>
          <w:p w14:paraId="28678284"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36" w:type="dxa"/>
            <w:noWrap/>
            <w:hideMark/>
          </w:tcPr>
          <w:p w14:paraId="2606BC40"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CI"/>
              </w:rPr>
            </w:pPr>
            <w:r w:rsidRPr="007B1B69">
              <w:rPr>
                <w:rFonts w:ascii="Arial" w:hAnsi="Arial" w:cs="Arial"/>
                <w:lang w:val="fr-CI"/>
              </w:rPr>
              <w:t xml:space="preserve">21.3% abandon </w:t>
            </w:r>
            <w:proofErr w:type="spellStart"/>
            <w:r w:rsidRPr="007B1B69">
              <w:rPr>
                <w:rFonts w:ascii="Arial" w:hAnsi="Arial" w:cs="Arial"/>
                <w:lang w:val="fr-CI"/>
              </w:rPr>
              <w:t>them</w:t>
            </w:r>
            <w:proofErr w:type="spellEnd"/>
          </w:p>
        </w:tc>
        <w:tc>
          <w:tcPr>
            <w:tcW w:w="2268" w:type="dxa"/>
            <w:vMerge/>
            <w:hideMark/>
          </w:tcPr>
          <w:p w14:paraId="6B70A2DD" w14:textId="77777777" w:rsidR="007B1B69" w:rsidRPr="007B1B69" w:rsidRDefault="007B1B69" w:rsidP="002061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fr-CI"/>
              </w:rPr>
            </w:pPr>
          </w:p>
        </w:tc>
      </w:tr>
    </w:tbl>
    <w:p w14:paraId="3B96F742" w14:textId="77777777" w:rsidR="0020615D" w:rsidRDefault="0020615D" w:rsidP="007B1B69">
      <w:pPr>
        <w:pStyle w:val="Body"/>
        <w:spacing w:after="0"/>
        <w:rPr>
          <w:rFonts w:ascii="Arial" w:hAnsi="Arial" w:cs="Arial"/>
          <w:b/>
          <w:bCs/>
          <w:lang w:val="fr-CI"/>
        </w:rPr>
      </w:pPr>
    </w:p>
    <w:p w14:paraId="763E53D4" w14:textId="673D0D1F" w:rsidR="00CA4857" w:rsidRDefault="00CA4857" w:rsidP="007B1B69">
      <w:pPr>
        <w:pStyle w:val="Body"/>
        <w:spacing w:after="0"/>
        <w:rPr>
          <w:rFonts w:ascii="Arial" w:hAnsi="Arial" w:cs="Arial"/>
          <w:b/>
          <w:bCs/>
          <w:lang w:val="fr-CI"/>
        </w:rPr>
      </w:pPr>
      <w:r>
        <w:rPr>
          <w:rFonts w:ascii="Arial" w:hAnsi="Arial" w:cs="Arial"/>
          <w:b/>
          <w:bCs/>
          <w:lang w:val="fr-CI"/>
        </w:rPr>
        <w:br w:type="page"/>
      </w:r>
    </w:p>
    <w:p w14:paraId="2FD73934" w14:textId="31AC571E" w:rsidR="007B1B69" w:rsidRPr="007B1B69" w:rsidRDefault="007B1B69" w:rsidP="007B1B69">
      <w:pPr>
        <w:pStyle w:val="Body"/>
        <w:spacing w:after="0"/>
        <w:rPr>
          <w:rFonts w:ascii="Arial" w:hAnsi="Arial" w:cs="Arial"/>
          <w:b/>
          <w:bCs/>
          <w:lang w:val="fr-CI"/>
        </w:rPr>
      </w:pPr>
      <w:r>
        <w:rPr>
          <w:rFonts w:ascii="Arial" w:hAnsi="Arial" w:cs="Arial"/>
          <w:b/>
          <w:bCs/>
          <w:lang w:val="fr-CI"/>
        </w:rPr>
        <w:lastRenderedPageBreak/>
        <w:t xml:space="preserve">3.2 </w:t>
      </w:r>
      <w:proofErr w:type="spellStart"/>
      <w:r w:rsidRPr="007B1B69">
        <w:rPr>
          <w:rFonts w:ascii="Arial" w:hAnsi="Arial" w:cs="Arial"/>
          <w:b/>
          <w:bCs/>
          <w:lang w:val="fr-CI"/>
        </w:rPr>
        <w:t>Health</w:t>
      </w:r>
      <w:proofErr w:type="spellEnd"/>
      <w:r w:rsidRPr="007B1B69">
        <w:rPr>
          <w:rFonts w:ascii="Arial" w:hAnsi="Arial" w:cs="Arial"/>
          <w:b/>
          <w:bCs/>
          <w:lang w:val="fr-CI"/>
        </w:rPr>
        <w:t xml:space="preserve"> Risks (HRI)</w:t>
      </w:r>
    </w:p>
    <w:p w14:paraId="0C21BB11" w14:textId="77777777" w:rsidR="0020615D" w:rsidRDefault="0020615D" w:rsidP="007B1B69">
      <w:pPr>
        <w:pStyle w:val="Body"/>
        <w:spacing w:after="0"/>
        <w:rPr>
          <w:rFonts w:ascii="Arial" w:hAnsi="Arial" w:cs="Arial"/>
        </w:rPr>
      </w:pPr>
    </w:p>
    <w:p w14:paraId="6EBA3E14" w14:textId="372E73EA" w:rsidR="007B1B69" w:rsidRDefault="007B1B69" w:rsidP="007B1B69">
      <w:pPr>
        <w:pStyle w:val="Body"/>
        <w:spacing w:after="0"/>
        <w:rPr>
          <w:rFonts w:ascii="Arial" w:hAnsi="Arial" w:cs="Arial"/>
        </w:rPr>
      </w:pPr>
      <w:r w:rsidRPr="007B1B69">
        <w:rPr>
          <w:rFonts w:ascii="Arial" w:hAnsi="Arial" w:cs="Arial"/>
        </w:rPr>
        <w:t>The assessment of Health Risk Indices revealed significant variations, with insecticides posing the most concern. HRIs frequently exceeded 2000, particularly for neonicotinoid-pyrethroid mixtures like CABOS PLUS 50 SC (imidacloprid/bifenthrin, HRI=2109) and CACAO GOLD 45 EC (acetamiprid/bifenthrin/imidacloprid, HRI=1983), due to their neurotoxicity and persistence. Fungicides presented moderate to high risks, notably triazoles such as cyproconazole (ALTO 100 SL, HRI=1296) and difenoconazole (DIFEZOLE 250 EC, HRI=773), warranting increased monitoring for their endocrine-disrupting effects. Although generally less toxic, some herbicide mixtures showed alarming HRIs, such as CALRIZ 432 EC (propanil/triclopyr, HRI=2528). Glyphosate-based herbicides showed moderate HRIs (≤78) but remain controversial regarding long-term impacts (Table 3).</w:t>
      </w:r>
    </w:p>
    <w:p w14:paraId="63BF0193" w14:textId="77777777" w:rsidR="0020615D" w:rsidRPr="007B1B69" w:rsidRDefault="0020615D" w:rsidP="007B1B69">
      <w:pPr>
        <w:pStyle w:val="Body"/>
        <w:spacing w:after="0"/>
        <w:rPr>
          <w:rFonts w:ascii="Arial" w:hAnsi="Arial" w:cs="Arial"/>
        </w:rPr>
      </w:pPr>
    </w:p>
    <w:p w14:paraId="79EC7C53" w14:textId="7AAB8EBA" w:rsidR="007B1B69" w:rsidRPr="007B1B69" w:rsidRDefault="007B1B69" w:rsidP="007B1B69">
      <w:pPr>
        <w:pStyle w:val="Body"/>
        <w:spacing w:after="0"/>
        <w:rPr>
          <w:rFonts w:ascii="Arial" w:hAnsi="Arial" w:cs="Arial"/>
          <w:b/>
          <w:bCs/>
        </w:rPr>
      </w:pPr>
      <w:r>
        <w:rPr>
          <w:rFonts w:ascii="Arial" w:hAnsi="Arial" w:cs="Arial"/>
          <w:b/>
          <w:bCs/>
        </w:rPr>
        <w:t xml:space="preserve">3.3 </w:t>
      </w:r>
      <w:r w:rsidRPr="007B1B69">
        <w:rPr>
          <w:rFonts w:ascii="Arial" w:hAnsi="Arial" w:cs="Arial"/>
          <w:b/>
          <w:bCs/>
        </w:rPr>
        <w:t>Environmental Risks (ERI)</w:t>
      </w:r>
    </w:p>
    <w:p w14:paraId="5FE033C2" w14:textId="77777777" w:rsidR="0020615D" w:rsidRDefault="0020615D" w:rsidP="007B1B69">
      <w:pPr>
        <w:pStyle w:val="Body"/>
        <w:spacing w:after="0"/>
        <w:rPr>
          <w:rFonts w:ascii="Arial" w:hAnsi="Arial" w:cs="Arial"/>
        </w:rPr>
      </w:pPr>
    </w:p>
    <w:p w14:paraId="006A6E1F" w14:textId="7A711930" w:rsidR="007B1B69" w:rsidRDefault="007B1B69" w:rsidP="007B1B69">
      <w:pPr>
        <w:pStyle w:val="Body"/>
        <w:spacing w:after="0"/>
        <w:rPr>
          <w:rFonts w:ascii="Arial" w:hAnsi="Arial" w:cs="Arial"/>
        </w:rPr>
      </w:pPr>
      <w:r w:rsidRPr="007B1B69">
        <w:rPr>
          <w:rFonts w:ascii="Arial" w:hAnsi="Arial" w:cs="Arial"/>
        </w:rPr>
        <w:t>The analysis of Environmental Risk Indices revealed distinct threats. The persistence of neonicotinoids like imidacloprid (CAO-NET 30 SC, ERI=319) and thiamethoxam (ACTARA 240 SC, ERI=148) poses a lasting impact on non-target organisms due to their bioaccumulation potential. Water resources were significantly threatened by herbicides containing triclopyr (GARIL 432 EC, ERI=237) and particularly by the insecticide fipronil (REGENT 3 GR, ERI=625), compromising ecosystems like the Gazolilié dam. Pyrethroids such as bifenthrin (ERI=361) exerted acute toxicity on terrestrial invertebrates and birds. Glyphosate, with a low ERI (≤1), raises questions about its intensive use, including weed resistance and delayed ecological effects (Table 3).</w:t>
      </w:r>
    </w:p>
    <w:p w14:paraId="46F48BBE" w14:textId="77777777" w:rsidR="00D526F9" w:rsidRDefault="00D526F9" w:rsidP="007B1B69">
      <w:pPr>
        <w:pStyle w:val="Body"/>
        <w:spacing w:after="0"/>
        <w:rPr>
          <w:rFonts w:ascii="Arial" w:hAnsi="Arial" w:cs="Arial"/>
        </w:rPr>
      </w:pPr>
    </w:p>
    <w:p w14:paraId="11A0B597" w14:textId="77777777" w:rsidR="00D526F9" w:rsidRPr="007B1B69" w:rsidRDefault="00D526F9" w:rsidP="007B1B69">
      <w:pPr>
        <w:pStyle w:val="Body"/>
        <w:spacing w:after="0"/>
        <w:rPr>
          <w:rFonts w:ascii="Arial" w:hAnsi="Arial" w:cs="Arial"/>
        </w:rPr>
      </w:pPr>
    </w:p>
    <w:p w14:paraId="0E0F5961" w14:textId="5A272971" w:rsidR="007B1B69" w:rsidRPr="007B1B69" w:rsidRDefault="007B1B69" w:rsidP="007B1B69">
      <w:pPr>
        <w:pStyle w:val="Body"/>
        <w:spacing w:after="0"/>
        <w:rPr>
          <w:rFonts w:ascii="Arial" w:hAnsi="Arial" w:cs="Arial"/>
        </w:rPr>
        <w:sectPr w:rsidR="007B1B69" w:rsidRPr="007B1B69" w:rsidSect="009B7B9E">
          <w:headerReference w:type="even" r:id="rId15"/>
          <w:headerReference w:type="default" r:id="rId16"/>
          <w:footerReference w:type="default" r:id="rId17"/>
          <w:headerReference w:type="first" r:id="rId18"/>
          <w:type w:val="continuous"/>
          <w:pgSz w:w="11906" w:h="16838"/>
          <w:pgMar w:top="1417" w:right="1417" w:bottom="1417" w:left="1417" w:header="708" w:footer="708" w:gutter="0"/>
          <w:cols w:space="708"/>
          <w:docGrid w:linePitch="360"/>
        </w:sectPr>
      </w:pPr>
    </w:p>
    <w:p w14:paraId="7DE4A7F7" w14:textId="77777777" w:rsidR="007B1B69" w:rsidRPr="007B1B69" w:rsidRDefault="007B1B69" w:rsidP="007B1B69">
      <w:pPr>
        <w:pStyle w:val="Body"/>
        <w:spacing w:after="0"/>
        <w:rPr>
          <w:rFonts w:ascii="Arial" w:hAnsi="Arial" w:cs="Arial"/>
        </w:rPr>
      </w:pPr>
    </w:p>
    <w:p w14:paraId="480CB03E" w14:textId="77777777" w:rsidR="007B1B69" w:rsidRPr="00D526F9" w:rsidRDefault="007B1B69" w:rsidP="0020615D">
      <w:pPr>
        <w:pStyle w:val="Body"/>
        <w:spacing w:after="0"/>
        <w:jc w:val="center"/>
        <w:rPr>
          <w:rFonts w:ascii="Arial" w:hAnsi="Arial" w:cs="Arial"/>
          <w:b/>
          <w:bCs/>
        </w:rPr>
      </w:pPr>
      <w:r w:rsidRPr="00D526F9">
        <w:rPr>
          <w:rFonts w:ascii="Arial" w:hAnsi="Arial" w:cs="Arial"/>
          <w:b/>
          <w:bCs/>
        </w:rPr>
        <w:t>Table 3: Health and environmental risk assessment of pesticides (QPRI) by type, crop and commercial product.</w:t>
      </w:r>
    </w:p>
    <w:tbl>
      <w:tblPr>
        <w:tblStyle w:val="PlainTable2"/>
        <w:tblW w:w="14713" w:type="dxa"/>
        <w:jc w:val="center"/>
        <w:tblLook w:val="04A0" w:firstRow="1" w:lastRow="0" w:firstColumn="1" w:lastColumn="0" w:noHBand="0" w:noVBand="1"/>
      </w:tblPr>
      <w:tblGrid>
        <w:gridCol w:w="2048"/>
        <w:gridCol w:w="929"/>
        <w:gridCol w:w="2079"/>
        <w:gridCol w:w="2365"/>
        <w:gridCol w:w="1665"/>
        <w:gridCol w:w="1545"/>
        <w:gridCol w:w="1395"/>
        <w:gridCol w:w="1304"/>
        <w:gridCol w:w="1383"/>
      </w:tblGrid>
      <w:tr w:rsidR="007B1B69" w:rsidRPr="007B1B69" w14:paraId="154A60D2" w14:textId="77777777" w:rsidTr="00BB793C">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vMerge w:val="restart"/>
            <w:noWrap/>
            <w:hideMark/>
          </w:tcPr>
          <w:p w14:paraId="29D22659" w14:textId="77777777" w:rsidR="007B1B69" w:rsidRPr="007B1B69" w:rsidRDefault="007B1B69" w:rsidP="007B1B69">
            <w:pPr>
              <w:pStyle w:val="Body"/>
              <w:spacing w:after="0"/>
              <w:rPr>
                <w:rFonts w:ascii="Arial" w:hAnsi="Arial" w:cs="Arial"/>
                <w:lang w:val="fr-CI"/>
              </w:rPr>
            </w:pPr>
            <w:r w:rsidRPr="007B1B69">
              <w:rPr>
                <w:rFonts w:ascii="Arial" w:hAnsi="Arial" w:cs="Arial"/>
              </w:rPr>
              <w:t>Pesticide Types</w:t>
            </w:r>
          </w:p>
        </w:tc>
        <w:tc>
          <w:tcPr>
            <w:tcW w:w="929" w:type="dxa"/>
            <w:vMerge w:val="restart"/>
            <w:noWrap/>
            <w:hideMark/>
          </w:tcPr>
          <w:p w14:paraId="7E15E66A" w14:textId="77777777" w:rsidR="007B1B69" w:rsidRPr="007B1B69" w:rsidRDefault="007B1B69" w:rsidP="007B1B69">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Crops</w:t>
            </w:r>
          </w:p>
        </w:tc>
        <w:tc>
          <w:tcPr>
            <w:tcW w:w="2079" w:type="dxa"/>
            <w:vMerge w:val="restart"/>
            <w:noWrap/>
            <w:hideMark/>
          </w:tcPr>
          <w:p w14:paraId="293578A7" w14:textId="77777777" w:rsidR="007B1B69" w:rsidRPr="007B1B69" w:rsidRDefault="007B1B69" w:rsidP="007B1B69">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Commercial Product Name</w:t>
            </w:r>
          </w:p>
        </w:tc>
        <w:tc>
          <w:tcPr>
            <w:tcW w:w="2365" w:type="dxa"/>
            <w:noWrap/>
            <w:hideMark/>
          </w:tcPr>
          <w:p w14:paraId="03627A29" w14:textId="77777777" w:rsidR="007B1B69" w:rsidRPr="007B1B69" w:rsidRDefault="007B1B69" w:rsidP="007B1B69">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Active Ingredients</w:t>
            </w:r>
          </w:p>
        </w:tc>
        <w:tc>
          <w:tcPr>
            <w:tcW w:w="1665" w:type="dxa"/>
            <w:noWrap/>
            <w:hideMark/>
          </w:tcPr>
          <w:p w14:paraId="73F5220D" w14:textId="77777777" w:rsidR="007B1B69" w:rsidRPr="007B1B69" w:rsidRDefault="007B1B69" w:rsidP="007B1B69">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940" w:type="dxa"/>
            <w:gridSpan w:val="2"/>
            <w:noWrap/>
            <w:hideMark/>
          </w:tcPr>
          <w:p w14:paraId="1E283E8B" w14:textId="77777777" w:rsidR="007B1B69" w:rsidRPr="007B1B69" w:rsidRDefault="007B1B69" w:rsidP="007B1B69">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QPRI-Health</w:t>
            </w:r>
          </w:p>
        </w:tc>
        <w:tc>
          <w:tcPr>
            <w:tcW w:w="2687" w:type="dxa"/>
            <w:gridSpan w:val="2"/>
            <w:noWrap/>
            <w:hideMark/>
          </w:tcPr>
          <w:p w14:paraId="08F40AAE" w14:textId="77777777" w:rsidR="007B1B69" w:rsidRPr="007B1B69" w:rsidRDefault="007B1B69" w:rsidP="007B1B69">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QPRI-Environment</w:t>
            </w:r>
          </w:p>
        </w:tc>
      </w:tr>
      <w:tr w:rsidR="007B1B69" w:rsidRPr="007B1B69" w14:paraId="1DF7C962"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vMerge/>
            <w:hideMark/>
          </w:tcPr>
          <w:p w14:paraId="61712730" w14:textId="77777777" w:rsidR="007B1B69" w:rsidRPr="007B1B69" w:rsidRDefault="007B1B69" w:rsidP="007B1B69">
            <w:pPr>
              <w:pStyle w:val="Body"/>
              <w:spacing w:after="0"/>
              <w:rPr>
                <w:rFonts w:ascii="Arial" w:hAnsi="Arial" w:cs="Arial"/>
              </w:rPr>
            </w:pPr>
          </w:p>
        </w:tc>
        <w:tc>
          <w:tcPr>
            <w:tcW w:w="929" w:type="dxa"/>
            <w:vMerge/>
            <w:hideMark/>
          </w:tcPr>
          <w:p w14:paraId="4CF9408B"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2079" w:type="dxa"/>
            <w:vMerge/>
            <w:hideMark/>
          </w:tcPr>
          <w:p w14:paraId="112DE1C0"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2365" w:type="dxa"/>
            <w:noWrap/>
            <w:hideMark/>
          </w:tcPr>
          <w:p w14:paraId="283A40A4"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7B1B69">
              <w:rPr>
                <w:rFonts w:ascii="Arial" w:hAnsi="Arial" w:cs="Arial"/>
                <w:b/>
                <w:bCs/>
              </w:rPr>
              <w:t>Active Substances</w:t>
            </w:r>
          </w:p>
        </w:tc>
        <w:tc>
          <w:tcPr>
            <w:tcW w:w="1665" w:type="dxa"/>
            <w:noWrap/>
            <w:hideMark/>
          </w:tcPr>
          <w:p w14:paraId="5DCEAEC4"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rPr>
            </w:pPr>
            <w:proofErr w:type="spellStart"/>
            <w:r w:rsidRPr="007B1B69">
              <w:rPr>
                <w:rFonts w:ascii="Arial" w:hAnsi="Arial" w:cs="Arial"/>
                <w:b/>
                <w:bCs/>
              </w:rPr>
              <w:t>TRI</w:t>
            </w:r>
            <w:r w:rsidRPr="007B1B69">
              <w:rPr>
                <w:rFonts w:ascii="Arial" w:hAnsi="Arial" w:cs="Arial"/>
                <w:b/>
                <w:bCs/>
                <w:vertAlign w:val="subscript"/>
              </w:rPr>
              <w:t>active</w:t>
            </w:r>
            <w:proofErr w:type="spellEnd"/>
            <w:r w:rsidRPr="007B1B69">
              <w:rPr>
                <w:rFonts w:ascii="Arial" w:hAnsi="Arial" w:cs="Arial"/>
                <w:b/>
                <w:bCs/>
                <w:vertAlign w:val="subscript"/>
              </w:rPr>
              <w:t xml:space="preserve"> substance</w:t>
            </w:r>
          </w:p>
        </w:tc>
        <w:tc>
          <w:tcPr>
            <w:tcW w:w="1545" w:type="dxa"/>
            <w:noWrap/>
            <w:hideMark/>
          </w:tcPr>
          <w:p w14:paraId="5D137137"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rPr>
            </w:pPr>
            <w:proofErr w:type="spellStart"/>
            <w:r w:rsidRPr="007B1B69">
              <w:rPr>
                <w:rFonts w:ascii="Arial" w:hAnsi="Arial" w:cs="Arial"/>
                <w:b/>
                <w:bCs/>
              </w:rPr>
              <w:t>HRI</w:t>
            </w:r>
            <w:r w:rsidRPr="007B1B69">
              <w:rPr>
                <w:rFonts w:ascii="Arial" w:hAnsi="Arial" w:cs="Arial"/>
                <w:b/>
                <w:bCs/>
                <w:vertAlign w:val="subscript"/>
              </w:rPr>
              <w:t>active</w:t>
            </w:r>
            <w:proofErr w:type="spellEnd"/>
            <w:r w:rsidRPr="007B1B69">
              <w:rPr>
                <w:rFonts w:ascii="Arial" w:hAnsi="Arial" w:cs="Arial"/>
                <w:b/>
                <w:bCs/>
                <w:vertAlign w:val="subscript"/>
              </w:rPr>
              <w:t xml:space="preserve"> substance</w:t>
            </w:r>
          </w:p>
        </w:tc>
        <w:tc>
          <w:tcPr>
            <w:tcW w:w="1395" w:type="dxa"/>
            <w:noWrap/>
            <w:hideMark/>
          </w:tcPr>
          <w:p w14:paraId="4DEB26EB"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rPr>
            </w:pPr>
            <w:proofErr w:type="spellStart"/>
            <w:r w:rsidRPr="007B1B69">
              <w:rPr>
                <w:rFonts w:ascii="Arial" w:hAnsi="Arial" w:cs="Arial"/>
                <w:b/>
                <w:bCs/>
              </w:rPr>
              <w:t>HRI</w:t>
            </w:r>
            <w:r w:rsidRPr="007B1B69">
              <w:rPr>
                <w:rFonts w:ascii="Arial" w:hAnsi="Arial" w:cs="Arial"/>
                <w:b/>
                <w:bCs/>
                <w:vertAlign w:val="subscript"/>
              </w:rPr>
              <w:t>commercial</w:t>
            </w:r>
            <w:proofErr w:type="spellEnd"/>
            <w:r w:rsidRPr="007B1B69">
              <w:rPr>
                <w:rFonts w:ascii="Arial" w:hAnsi="Arial" w:cs="Arial"/>
                <w:b/>
                <w:bCs/>
                <w:vertAlign w:val="subscript"/>
              </w:rPr>
              <w:t xml:space="preserve"> product</w:t>
            </w:r>
          </w:p>
        </w:tc>
        <w:tc>
          <w:tcPr>
            <w:tcW w:w="1304" w:type="dxa"/>
            <w:noWrap/>
            <w:hideMark/>
          </w:tcPr>
          <w:p w14:paraId="5140DA57"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rPr>
            </w:pPr>
            <w:proofErr w:type="spellStart"/>
            <w:r w:rsidRPr="007B1B69">
              <w:rPr>
                <w:rFonts w:ascii="Arial" w:hAnsi="Arial" w:cs="Arial"/>
                <w:b/>
                <w:bCs/>
              </w:rPr>
              <w:t>ERI</w:t>
            </w:r>
            <w:r w:rsidRPr="007B1B69">
              <w:rPr>
                <w:rFonts w:ascii="Arial" w:hAnsi="Arial" w:cs="Arial"/>
                <w:b/>
                <w:bCs/>
                <w:vertAlign w:val="subscript"/>
              </w:rPr>
              <w:t>active</w:t>
            </w:r>
            <w:proofErr w:type="spellEnd"/>
            <w:r w:rsidRPr="007B1B69">
              <w:rPr>
                <w:rFonts w:ascii="Arial" w:hAnsi="Arial" w:cs="Arial"/>
                <w:b/>
                <w:bCs/>
                <w:vertAlign w:val="subscript"/>
              </w:rPr>
              <w:t xml:space="preserve"> substance</w:t>
            </w:r>
          </w:p>
        </w:tc>
        <w:tc>
          <w:tcPr>
            <w:tcW w:w="1383" w:type="dxa"/>
            <w:noWrap/>
            <w:hideMark/>
          </w:tcPr>
          <w:p w14:paraId="400514B2"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rPr>
            </w:pPr>
            <w:proofErr w:type="spellStart"/>
            <w:r w:rsidRPr="007B1B69">
              <w:rPr>
                <w:rFonts w:ascii="Arial" w:hAnsi="Arial" w:cs="Arial"/>
                <w:b/>
                <w:bCs/>
              </w:rPr>
              <w:t>ERI</w:t>
            </w:r>
            <w:r w:rsidRPr="007B1B69">
              <w:rPr>
                <w:rFonts w:ascii="Arial" w:hAnsi="Arial" w:cs="Arial"/>
                <w:b/>
                <w:bCs/>
                <w:vertAlign w:val="subscript"/>
              </w:rPr>
              <w:t>commercial</w:t>
            </w:r>
            <w:proofErr w:type="spellEnd"/>
            <w:r w:rsidRPr="007B1B69">
              <w:rPr>
                <w:rFonts w:ascii="Arial" w:hAnsi="Arial" w:cs="Arial"/>
                <w:b/>
                <w:bCs/>
                <w:vertAlign w:val="subscript"/>
              </w:rPr>
              <w:t xml:space="preserve"> product</w:t>
            </w:r>
          </w:p>
        </w:tc>
      </w:tr>
      <w:tr w:rsidR="007B1B69" w:rsidRPr="007B1B69" w14:paraId="7F2855CE"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45F56A7A" w14:textId="77777777" w:rsidR="007B1B69" w:rsidRPr="007B1B69" w:rsidRDefault="007B1B69" w:rsidP="007B1B69">
            <w:pPr>
              <w:pStyle w:val="Body"/>
              <w:spacing w:after="0"/>
              <w:rPr>
                <w:rFonts w:ascii="Arial" w:hAnsi="Arial" w:cs="Arial"/>
              </w:rPr>
            </w:pPr>
            <w:r w:rsidRPr="007B1B69">
              <w:rPr>
                <w:rFonts w:ascii="Arial" w:hAnsi="Arial" w:cs="Arial"/>
              </w:rPr>
              <w:t>Insecticide</w:t>
            </w:r>
          </w:p>
        </w:tc>
        <w:tc>
          <w:tcPr>
            <w:tcW w:w="929" w:type="dxa"/>
            <w:noWrap/>
            <w:hideMark/>
          </w:tcPr>
          <w:p w14:paraId="730294CC"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Cocoa</w:t>
            </w:r>
          </w:p>
        </w:tc>
        <w:tc>
          <w:tcPr>
            <w:tcW w:w="2079" w:type="dxa"/>
            <w:noWrap/>
            <w:hideMark/>
          </w:tcPr>
          <w:p w14:paraId="45134514"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ACTARA 240 SC</w:t>
            </w:r>
          </w:p>
        </w:tc>
        <w:tc>
          <w:tcPr>
            <w:tcW w:w="2365" w:type="dxa"/>
            <w:noWrap/>
            <w:hideMark/>
          </w:tcPr>
          <w:p w14:paraId="0F4DEA8F"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Thiamethoxam</w:t>
            </w:r>
          </w:p>
        </w:tc>
        <w:tc>
          <w:tcPr>
            <w:tcW w:w="1665" w:type="dxa"/>
            <w:noWrap/>
            <w:hideMark/>
          </w:tcPr>
          <w:p w14:paraId="3B2C1EB5"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992.25</w:t>
            </w:r>
          </w:p>
        </w:tc>
        <w:tc>
          <w:tcPr>
            <w:tcW w:w="1545" w:type="dxa"/>
            <w:noWrap/>
            <w:hideMark/>
          </w:tcPr>
          <w:p w14:paraId="26A2C66B"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232</w:t>
            </w:r>
          </w:p>
        </w:tc>
        <w:tc>
          <w:tcPr>
            <w:tcW w:w="1395" w:type="dxa"/>
            <w:noWrap/>
            <w:hideMark/>
          </w:tcPr>
          <w:p w14:paraId="4DA2C758"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232</w:t>
            </w:r>
          </w:p>
        </w:tc>
        <w:tc>
          <w:tcPr>
            <w:tcW w:w="1304" w:type="dxa"/>
            <w:noWrap/>
            <w:hideMark/>
          </w:tcPr>
          <w:p w14:paraId="78C657F4"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148</w:t>
            </w:r>
          </w:p>
        </w:tc>
        <w:tc>
          <w:tcPr>
            <w:tcW w:w="1383" w:type="dxa"/>
            <w:noWrap/>
            <w:hideMark/>
          </w:tcPr>
          <w:p w14:paraId="6C291570"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148</w:t>
            </w:r>
          </w:p>
        </w:tc>
      </w:tr>
      <w:tr w:rsidR="007B1B69" w:rsidRPr="007B1B69" w14:paraId="6E91A9FA"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4970C43C" w14:textId="77777777" w:rsidR="007B1B69" w:rsidRPr="007B1B69" w:rsidRDefault="007B1B69" w:rsidP="007B1B69">
            <w:pPr>
              <w:pStyle w:val="Body"/>
              <w:spacing w:after="0"/>
              <w:rPr>
                <w:rFonts w:ascii="Arial" w:hAnsi="Arial" w:cs="Arial"/>
              </w:rPr>
            </w:pPr>
            <w:r w:rsidRPr="007B1B69">
              <w:rPr>
                <w:rFonts w:ascii="Arial" w:hAnsi="Arial" w:cs="Arial"/>
              </w:rPr>
              <w:t>Insecticide</w:t>
            </w:r>
          </w:p>
        </w:tc>
        <w:tc>
          <w:tcPr>
            <w:tcW w:w="929" w:type="dxa"/>
            <w:noWrap/>
            <w:hideMark/>
          </w:tcPr>
          <w:p w14:paraId="06250A24"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Cocoa</w:t>
            </w:r>
          </w:p>
        </w:tc>
        <w:tc>
          <w:tcPr>
            <w:tcW w:w="2079" w:type="dxa"/>
            <w:noWrap/>
            <w:hideMark/>
          </w:tcPr>
          <w:p w14:paraId="5602C079"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AZUDINE 50 SC</w:t>
            </w:r>
          </w:p>
        </w:tc>
        <w:tc>
          <w:tcPr>
            <w:tcW w:w="2365" w:type="dxa"/>
            <w:noWrap/>
            <w:hideMark/>
          </w:tcPr>
          <w:p w14:paraId="429EC10B"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Thiamethoxam / Deltamethrin</w:t>
            </w:r>
          </w:p>
        </w:tc>
        <w:tc>
          <w:tcPr>
            <w:tcW w:w="1665" w:type="dxa"/>
            <w:noWrap/>
            <w:hideMark/>
          </w:tcPr>
          <w:p w14:paraId="5F6089BA"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992/342</w:t>
            </w:r>
          </w:p>
        </w:tc>
        <w:tc>
          <w:tcPr>
            <w:tcW w:w="1545" w:type="dxa"/>
            <w:noWrap/>
            <w:hideMark/>
          </w:tcPr>
          <w:p w14:paraId="15909065"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280/420</w:t>
            </w:r>
          </w:p>
        </w:tc>
        <w:tc>
          <w:tcPr>
            <w:tcW w:w="1395" w:type="dxa"/>
            <w:noWrap/>
            <w:hideMark/>
          </w:tcPr>
          <w:p w14:paraId="660034C7"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700</w:t>
            </w:r>
          </w:p>
        </w:tc>
        <w:tc>
          <w:tcPr>
            <w:tcW w:w="1304" w:type="dxa"/>
            <w:noWrap/>
            <w:hideMark/>
          </w:tcPr>
          <w:p w14:paraId="30F59813"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156/192</w:t>
            </w:r>
          </w:p>
        </w:tc>
        <w:tc>
          <w:tcPr>
            <w:tcW w:w="1383" w:type="dxa"/>
            <w:noWrap/>
            <w:hideMark/>
          </w:tcPr>
          <w:p w14:paraId="58D7EC50"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348</w:t>
            </w:r>
          </w:p>
        </w:tc>
      </w:tr>
      <w:tr w:rsidR="007B1B69" w:rsidRPr="007B1B69" w14:paraId="1972B213"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6532D1C1" w14:textId="77777777" w:rsidR="007B1B69" w:rsidRPr="007B1B69" w:rsidRDefault="007B1B69" w:rsidP="007B1B69">
            <w:pPr>
              <w:pStyle w:val="Body"/>
              <w:spacing w:after="0"/>
              <w:rPr>
                <w:rFonts w:ascii="Arial" w:hAnsi="Arial" w:cs="Arial"/>
              </w:rPr>
            </w:pPr>
            <w:r w:rsidRPr="007B1B69">
              <w:rPr>
                <w:rFonts w:ascii="Arial" w:hAnsi="Arial" w:cs="Arial"/>
              </w:rPr>
              <w:t>Insecticide</w:t>
            </w:r>
          </w:p>
        </w:tc>
        <w:tc>
          <w:tcPr>
            <w:tcW w:w="929" w:type="dxa"/>
            <w:noWrap/>
            <w:hideMark/>
          </w:tcPr>
          <w:p w14:paraId="69A5D5B8"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Cocoa</w:t>
            </w:r>
          </w:p>
        </w:tc>
        <w:tc>
          <w:tcPr>
            <w:tcW w:w="2079" w:type="dxa"/>
            <w:noWrap/>
            <w:hideMark/>
          </w:tcPr>
          <w:p w14:paraId="1A04D04F"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BELLE-CABOSSE 50 EC</w:t>
            </w:r>
          </w:p>
        </w:tc>
        <w:tc>
          <w:tcPr>
            <w:tcW w:w="2365" w:type="dxa"/>
            <w:noWrap/>
            <w:hideMark/>
          </w:tcPr>
          <w:p w14:paraId="45B81FB8"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Acetamiprid / Bifenthrin</w:t>
            </w:r>
          </w:p>
        </w:tc>
        <w:tc>
          <w:tcPr>
            <w:tcW w:w="1665" w:type="dxa"/>
            <w:noWrap/>
            <w:hideMark/>
          </w:tcPr>
          <w:p w14:paraId="43A5B873"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900/4556</w:t>
            </w:r>
          </w:p>
        </w:tc>
        <w:tc>
          <w:tcPr>
            <w:tcW w:w="1545" w:type="dxa"/>
            <w:noWrap/>
            <w:hideMark/>
          </w:tcPr>
          <w:p w14:paraId="47A1EF1D"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157/411</w:t>
            </w:r>
          </w:p>
        </w:tc>
        <w:tc>
          <w:tcPr>
            <w:tcW w:w="1395" w:type="dxa"/>
            <w:noWrap/>
            <w:hideMark/>
          </w:tcPr>
          <w:p w14:paraId="2A5F157C"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569</w:t>
            </w:r>
          </w:p>
        </w:tc>
        <w:tc>
          <w:tcPr>
            <w:tcW w:w="1304" w:type="dxa"/>
            <w:noWrap/>
            <w:hideMark/>
          </w:tcPr>
          <w:p w14:paraId="1CC809BF"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76/284</w:t>
            </w:r>
          </w:p>
        </w:tc>
        <w:tc>
          <w:tcPr>
            <w:tcW w:w="1383" w:type="dxa"/>
            <w:noWrap/>
            <w:hideMark/>
          </w:tcPr>
          <w:p w14:paraId="412A93BE"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361</w:t>
            </w:r>
          </w:p>
        </w:tc>
      </w:tr>
      <w:tr w:rsidR="007B1B69" w:rsidRPr="007B1B69" w14:paraId="1C7A24D8"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60263268" w14:textId="77777777" w:rsidR="007B1B69" w:rsidRPr="007B1B69" w:rsidRDefault="007B1B69" w:rsidP="007B1B69">
            <w:pPr>
              <w:pStyle w:val="Body"/>
              <w:spacing w:after="0"/>
              <w:rPr>
                <w:rFonts w:ascii="Arial" w:hAnsi="Arial" w:cs="Arial"/>
              </w:rPr>
            </w:pPr>
            <w:r w:rsidRPr="007B1B69">
              <w:rPr>
                <w:rFonts w:ascii="Arial" w:hAnsi="Arial" w:cs="Arial"/>
              </w:rPr>
              <w:t>Insecticide</w:t>
            </w:r>
          </w:p>
        </w:tc>
        <w:tc>
          <w:tcPr>
            <w:tcW w:w="929" w:type="dxa"/>
            <w:noWrap/>
            <w:hideMark/>
          </w:tcPr>
          <w:p w14:paraId="34689FC4"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Cocoa</w:t>
            </w:r>
          </w:p>
        </w:tc>
        <w:tc>
          <w:tcPr>
            <w:tcW w:w="2079" w:type="dxa"/>
            <w:noWrap/>
            <w:hideMark/>
          </w:tcPr>
          <w:p w14:paraId="2CC5EFD5"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CABOS PLUS 50 SC</w:t>
            </w:r>
          </w:p>
        </w:tc>
        <w:tc>
          <w:tcPr>
            <w:tcW w:w="2365" w:type="dxa"/>
            <w:noWrap/>
            <w:hideMark/>
          </w:tcPr>
          <w:p w14:paraId="408E78C0"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Imidacloprid/Bifenthrin</w:t>
            </w:r>
          </w:p>
        </w:tc>
        <w:tc>
          <w:tcPr>
            <w:tcW w:w="1665" w:type="dxa"/>
            <w:noWrap/>
            <w:hideMark/>
          </w:tcPr>
          <w:p w14:paraId="34BB2455"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6084/4556</w:t>
            </w:r>
          </w:p>
        </w:tc>
        <w:tc>
          <w:tcPr>
            <w:tcW w:w="1545" w:type="dxa"/>
            <w:noWrap/>
            <w:hideMark/>
          </w:tcPr>
          <w:p w14:paraId="0A6DAEC5"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1521/588</w:t>
            </w:r>
          </w:p>
        </w:tc>
        <w:tc>
          <w:tcPr>
            <w:tcW w:w="1395" w:type="dxa"/>
            <w:noWrap/>
            <w:hideMark/>
          </w:tcPr>
          <w:p w14:paraId="2CD65F89"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2109</w:t>
            </w:r>
          </w:p>
        </w:tc>
        <w:tc>
          <w:tcPr>
            <w:tcW w:w="1304" w:type="dxa"/>
            <w:noWrap/>
            <w:hideMark/>
          </w:tcPr>
          <w:p w14:paraId="371BC570"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333/361</w:t>
            </w:r>
          </w:p>
        </w:tc>
        <w:tc>
          <w:tcPr>
            <w:tcW w:w="1383" w:type="dxa"/>
            <w:noWrap/>
            <w:hideMark/>
          </w:tcPr>
          <w:p w14:paraId="3F723C25"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694</w:t>
            </w:r>
          </w:p>
        </w:tc>
      </w:tr>
      <w:tr w:rsidR="007B1B69" w:rsidRPr="007B1B69" w14:paraId="56FD2259"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14E43E4D" w14:textId="77777777" w:rsidR="007B1B69" w:rsidRPr="007B1B69" w:rsidRDefault="007B1B69" w:rsidP="007B1B69">
            <w:pPr>
              <w:pStyle w:val="Body"/>
              <w:spacing w:after="0"/>
              <w:rPr>
                <w:rFonts w:ascii="Arial" w:hAnsi="Arial" w:cs="Arial"/>
              </w:rPr>
            </w:pPr>
            <w:r w:rsidRPr="007B1B69">
              <w:rPr>
                <w:rFonts w:ascii="Arial" w:hAnsi="Arial" w:cs="Arial"/>
              </w:rPr>
              <w:t>Insecticide</w:t>
            </w:r>
          </w:p>
        </w:tc>
        <w:tc>
          <w:tcPr>
            <w:tcW w:w="929" w:type="dxa"/>
            <w:noWrap/>
            <w:hideMark/>
          </w:tcPr>
          <w:p w14:paraId="1336BC8F"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Cocoa</w:t>
            </w:r>
          </w:p>
        </w:tc>
        <w:tc>
          <w:tcPr>
            <w:tcW w:w="2079" w:type="dxa"/>
            <w:noWrap/>
            <w:hideMark/>
          </w:tcPr>
          <w:p w14:paraId="35EC7059"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CACAO GOLD 45 EC</w:t>
            </w:r>
          </w:p>
        </w:tc>
        <w:tc>
          <w:tcPr>
            <w:tcW w:w="2365" w:type="dxa"/>
            <w:noWrap/>
            <w:hideMark/>
          </w:tcPr>
          <w:p w14:paraId="4A9EDB3A"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Acetamiprid / Bifenthrin / Imidacloprid</w:t>
            </w:r>
          </w:p>
        </w:tc>
        <w:tc>
          <w:tcPr>
            <w:tcW w:w="1665" w:type="dxa"/>
            <w:noWrap/>
            <w:hideMark/>
          </w:tcPr>
          <w:p w14:paraId="4B4D1231"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900/4556/6084</w:t>
            </w:r>
          </w:p>
        </w:tc>
        <w:tc>
          <w:tcPr>
            <w:tcW w:w="1545" w:type="dxa"/>
            <w:noWrap/>
            <w:hideMark/>
          </w:tcPr>
          <w:p w14:paraId="66BFBEA3"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191/499/1292</w:t>
            </w:r>
          </w:p>
        </w:tc>
        <w:tc>
          <w:tcPr>
            <w:tcW w:w="1395" w:type="dxa"/>
            <w:noWrap/>
            <w:hideMark/>
          </w:tcPr>
          <w:p w14:paraId="65014F13"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1983</w:t>
            </w:r>
          </w:p>
        </w:tc>
        <w:tc>
          <w:tcPr>
            <w:tcW w:w="1304" w:type="dxa"/>
            <w:noWrap/>
            <w:hideMark/>
          </w:tcPr>
          <w:p w14:paraId="7E438043"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76/353/326</w:t>
            </w:r>
          </w:p>
        </w:tc>
        <w:tc>
          <w:tcPr>
            <w:tcW w:w="1383" w:type="dxa"/>
            <w:noWrap/>
            <w:hideMark/>
          </w:tcPr>
          <w:p w14:paraId="7E9C8DE9"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756</w:t>
            </w:r>
          </w:p>
        </w:tc>
      </w:tr>
      <w:tr w:rsidR="007B1B69" w:rsidRPr="007B1B69" w14:paraId="4F2ED231"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481B902A" w14:textId="77777777" w:rsidR="007B1B69" w:rsidRPr="007B1B69" w:rsidRDefault="007B1B69" w:rsidP="007B1B69">
            <w:pPr>
              <w:pStyle w:val="Body"/>
              <w:spacing w:after="0"/>
              <w:rPr>
                <w:rFonts w:ascii="Arial" w:hAnsi="Arial" w:cs="Arial"/>
              </w:rPr>
            </w:pPr>
            <w:r w:rsidRPr="007B1B69">
              <w:rPr>
                <w:rFonts w:ascii="Arial" w:hAnsi="Arial" w:cs="Arial"/>
              </w:rPr>
              <w:t>Insecticide</w:t>
            </w:r>
          </w:p>
        </w:tc>
        <w:tc>
          <w:tcPr>
            <w:tcW w:w="929" w:type="dxa"/>
            <w:noWrap/>
            <w:hideMark/>
          </w:tcPr>
          <w:p w14:paraId="6476814F"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Cocoa</w:t>
            </w:r>
          </w:p>
        </w:tc>
        <w:tc>
          <w:tcPr>
            <w:tcW w:w="2079" w:type="dxa"/>
            <w:noWrap/>
            <w:hideMark/>
          </w:tcPr>
          <w:p w14:paraId="314B9CAD"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EXCELL 25 EC</w:t>
            </w:r>
          </w:p>
        </w:tc>
        <w:tc>
          <w:tcPr>
            <w:tcW w:w="2365" w:type="dxa"/>
            <w:noWrap/>
            <w:hideMark/>
          </w:tcPr>
          <w:p w14:paraId="3CC65EAE"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Thiamethoxam / Deltamethrin</w:t>
            </w:r>
          </w:p>
        </w:tc>
        <w:tc>
          <w:tcPr>
            <w:tcW w:w="1665" w:type="dxa"/>
            <w:noWrap/>
            <w:hideMark/>
          </w:tcPr>
          <w:p w14:paraId="212B1E24"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992/3422</w:t>
            </w:r>
          </w:p>
        </w:tc>
        <w:tc>
          <w:tcPr>
            <w:tcW w:w="1545" w:type="dxa"/>
            <w:noWrap/>
            <w:hideMark/>
          </w:tcPr>
          <w:p w14:paraId="0E301842"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280/420</w:t>
            </w:r>
          </w:p>
        </w:tc>
        <w:tc>
          <w:tcPr>
            <w:tcW w:w="1395" w:type="dxa"/>
            <w:noWrap/>
            <w:hideMark/>
          </w:tcPr>
          <w:p w14:paraId="661F52E6"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700</w:t>
            </w:r>
          </w:p>
        </w:tc>
        <w:tc>
          <w:tcPr>
            <w:tcW w:w="1304" w:type="dxa"/>
            <w:noWrap/>
            <w:hideMark/>
          </w:tcPr>
          <w:p w14:paraId="5ABC20DD"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156/192</w:t>
            </w:r>
          </w:p>
        </w:tc>
        <w:tc>
          <w:tcPr>
            <w:tcW w:w="1383" w:type="dxa"/>
            <w:noWrap/>
            <w:hideMark/>
          </w:tcPr>
          <w:p w14:paraId="7E4599EB"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348</w:t>
            </w:r>
          </w:p>
        </w:tc>
      </w:tr>
      <w:tr w:rsidR="007B1B69" w:rsidRPr="007B1B69" w14:paraId="0155D270"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52428B86" w14:textId="77777777" w:rsidR="007B1B69" w:rsidRPr="007B1B69" w:rsidRDefault="007B1B69" w:rsidP="007B1B69">
            <w:pPr>
              <w:pStyle w:val="Body"/>
              <w:spacing w:after="0"/>
              <w:rPr>
                <w:rFonts w:ascii="Arial" w:hAnsi="Arial" w:cs="Arial"/>
              </w:rPr>
            </w:pPr>
            <w:r w:rsidRPr="007B1B69">
              <w:rPr>
                <w:rFonts w:ascii="Arial" w:hAnsi="Arial" w:cs="Arial"/>
              </w:rPr>
              <w:t>Insecticide</w:t>
            </w:r>
          </w:p>
        </w:tc>
        <w:tc>
          <w:tcPr>
            <w:tcW w:w="929" w:type="dxa"/>
            <w:noWrap/>
            <w:hideMark/>
          </w:tcPr>
          <w:p w14:paraId="5DEF78D5"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Cocoa</w:t>
            </w:r>
          </w:p>
        </w:tc>
        <w:tc>
          <w:tcPr>
            <w:tcW w:w="2079" w:type="dxa"/>
            <w:noWrap/>
            <w:hideMark/>
          </w:tcPr>
          <w:p w14:paraId="46FB6576"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CACAOSUPER 40 EC</w:t>
            </w:r>
          </w:p>
        </w:tc>
        <w:tc>
          <w:tcPr>
            <w:tcW w:w="2365" w:type="dxa"/>
            <w:noWrap/>
            <w:hideMark/>
          </w:tcPr>
          <w:p w14:paraId="357030CA"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Acetamiprid / Bifenthrin</w:t>
            </w:r>
          </w:p>
        </w:tc>
        <w:tc>
          <w:tcPr>
            <w:tcW w:w="1665" w:type="dxa"/>
            <w:noWrap/>
            <w:hideMark/>
          </w:tcPr>
          <w:p w14:paraId="2C0C95D1"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900/4556</w:t>
            </w:r>
          </w:p>
        </w:tc>
        <w:tc>
          <w:tcPr>
            <w:tcW w:w="1545" w:type="dxa"/>
            <w:noWrap/>
            <w:hideMark/>
          </w:tcPr>
          <w:p w14:paraId="79DC43FF"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157/411</w:t>
            </w:r>
          </w:p>
        </w:tc>
        <w:tc>
          <w:tcPr>
            <w:tcW w:w="1395" w:type="dxa"/>
            <w:noWrap/>
            <w:hideMark/>
          </w:tcPr>
          <w:p w14:paraId="12297C02"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569</w:t>
            </w:r>
          </w:p>
        </w:tc>
        <w:tc>
          <w:tcPr>
            <w:tcW w:w="1304" w:type="dxa"/>
            <w:noWrap/>
            <w:hideMark/>
          </w:tcPr>
          <w:p w14:paraId="5C8721A1"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76/284</w:t>
            </w:r>
          </w:p>
        </w:tc>
        <w:tc>
          <w:tcPr>
            <w:tcW w:w="1383" w:type="dxa"/>
            <w:noWrap/>
            <w:hideMark/>
          </w:tcPr>
          <w:p w14:paraId="47221393"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361</w:t>
            </w:r>
          </w:p>
        </w:tc>
      </w:tr>
      <w:tr w:rsidR="007B1B69" w:rsidRPr="007B1B69" w14:paraId="3C5AE869"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5476B29B" w14:textId="77777777" w:rsidR="007B1B69" w:rsidRPr="007B1B69" w:rsidRDefault="007B1B69" w:rsidP="007B1B69">
            <w:pPr>
              <w:pStyle w:val="Body"/>
              <w:spacing w:after="0"/>
              <w:rPr>
                <w:rFonts w:ascii="Arial" w:hAnsi="Arial" w:cs="Arial"/>
              </w:rPr>
            </w:pPr>
            <w:r w:rsidRPr="007B1B69">
              <w:rPr>
                <w:rFonts w:ascii="Arial" w:hAnsi="Arial" w:cs="Arial"/>
              </w:rPr>
              <w:t>Insecticide</w:t>
            </w:r>
          </w:p>
        </w:tc>
        <w:tc>
          <w:tcPr>
            <w:tcW w:w="929" w:type="dxa"/>
            <w:noWrap/>
            <w:hideMark/>
          </w:tcPr>
          <w:p w14:paraId="68AECCAF"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Cocoa</w:t>
            </w:r>
          </w:p>
        </w:tc>
        <w:tc>
          <w:tcPr>
            <w:tcW w:w="2079" w:type="dxa"/>
            <w:noWrap/>
            <w:hideMark/>
          </w:tcPr>
          <w:p w14:paraId="14EF3BDB"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CALLIFAN MAX 100 EC</w:t>
            </w:r>
          </w:p>
        </w:tc>
        <w:tc>
          <w:tcPr>
            <w:tcW w:w="2365" w:type="dxa"/>
            <w:noWrap/>
            <w:hideMark/>
          </w:tcPr>
          <w:p w14:paraId="38D7F1B6"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Bifenthrin / Acetamiprid</w:t>
            </w:r>
          </w:p>
        </w:tc>
        <w:tc>
          <w:tcPr>
            <w:tcW w:w="1665" w:type="dxa"/>
            <w:noWrap/>
            <w:hideMark/>
          </w:tcPr>
          <w:p w14:paraId="4F60B2F3"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4556/900</w:t>
            </w:r>
          </w:p>
        </w:tc>
        <w:tc>
          <w:tcPr>
            <w:tcW w:w="1545" w:type="dxa"/>
            <w:noWrap/>
            <w:hideMark/>
          </w:tcPr>
          <w:p w14:paraId="4BBDFA54"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411/157</w:t>
            </w:r>
          </w:p>
        </w:tc>
        <w:tc>
          <w:tcPr>
            <w:tcW w:w="1395" w:type="dxa"/>
            <w:noWrap/>
            <w:hideMark/>
          </w:tcPr>
          <w:p w14:paraId="5239517D"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569</w:t>
            </w:r>
          </w:p>
        </w:tc>
        <w:tc>
          <w:tcPr>
            <w:tcW w:w="1304" w:type="dxa"/>
            <w:noWrap/>
            <w:hideMark/>
          </w:tcPr>
          <w:p w14:paraId="7BF8149A"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284/76</w:t>
            </w:r>
          </w:p>
        </w:tc>
        <w:tc>
          <w:tcPr>
            <w:tcW w:w="1383" w:type="dxa"/>
            <w:noWrap/>
            <w:hideMark/>
          </w:tcPr>
          <w:p w14:paraId="773B633C"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361</w:t>
            </w:r>
          </w:p>
        </w:tc>
      </w:tr>
      <w:tr w:rsidR="007B1B69" w:rsidRPr="007B1B69" w14:paraId="56AA2B47"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0692E87A" w14:textId="77777777" w:rsidR="007B1B69" w:rsidRPr="007B1B69" w:rsidRDefault="007B1B69" w:rsidP="007B1B69">
            <w:pPr>
              <w:pStyle w:val="Body"/>
              <w:spacing w:after="0"/>
              <w:rPr>
                <w:rFonts w:ascii="Arial" w:hAnsi="Arial" w:cs="Arial"/>
              </w:rPr>
            </w:pPr>
            <w:r w:rsidRPr="007B1B69">
              <w:rPr>
                <w:rFonts w:ascii="Arial" w:hAnsi="Arial" w:cs="Arial"/>
              </w:rPr>
              <w:t>Insecticide</w:t>
            </w:r>
          </w:p>
        </w:tc>
        <w:tc>
          <w:tcPr>
            <w:tcW w:w="929" w:type="dxa"/>
            <w:noWrap/>
            <w:hideMark/>
          </w:tcPr>
          <w:p w14:paraId="4CED4C1D"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Cocoa</w:t>
            </w:r>
          </w:p>
        </w:tc>
        <w:tc>
          <w:tcPr>
            <w:tcW w:w="2079" w:type="dxa"/>
            <w:noWrap/>
            <w:hideMark/>
          </w:tcPr>
          <w:p w14:paraId="468DCC6D"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CALLIFAN SUPER 40 EC</w:t>
            </w:r>
          </w:p>
        </w:tc>
        <w:tc>
          <w:tcPr>
            <w:tcW w:w="2365" w:type="dxa"/>
            <w:noWrap/>
            <w:hideMark/>
          </w:tcPr>
          <w:p w14:paraId="48E84DE9"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Acetamiprid / Bifenthrin</w:t>
            </w:r>
          </w:p>
        </w:tc>
        <w:tc>
          <w:tcPr>
            <w:tcW w:w="1665" w:type="dxa"/>
            <w:noWrap/>
            <w:hideMark/>
          </w:tcPr>
          <w:p w14:paraId="1301B518"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900/4556</w:t>
            </w:r>
          </w:p>
        </w:tc>
        <w:tc>
          <w:tcPr>
            <w:tcW w:w="1545" w:type="dxa"/>
            <w:noWrap/>
            <w:hideMark/>
          </w:tcPr>
          <w:p w14:paraId="438D1E34"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157/411</w:t>
            </w:r>
          </w:p>
        </w:tc>
        <w:tc>
          <w:tcPr>
            <w:tcW w:w="1395" w:type="dxa"/>
            <w:noWrap/>
            <w:hideMark/>
          </w:tcPr>
          <w:p w14:paraId="17CC8B7B"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569</w:t>
            </w:r>
          </w:p>
        </w:tc>
        <w:tc>
          <w:tcPr>
            <w:tcW w:w="1304" w:type="dxa"/>
            <w:noWrap/>
            <w:hideMark/>
          </w:tcPr>
          <w:p w14:paraId="1D0FB851"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76/284</w:t>
            </w:r>
          </w:p>
        </w:tc>
        <w:tc>
          <w:tcPr>
            <w:tcW w:w="1383" w:type="dxa"/>
            <w:noWrap/>
            <w:hideMark/>
          </w:tcPr>
          <w:p w14:paraId="7F1EAB9A"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361</w:t>
            </w:r>
          </w:p>
        </w:tc>
      </w:tr>
      <w:tr w:rsidR="007B1B69" w:rsidRPr="007B1B69" w14:paraId="33376EBB"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594B3834" w14:textId="77777777" w:rsidR="007B1B69" w:rsidRPr="007B1B69" w:rsidRDefault="007B1B69" w:rsidP="007B1B69">
            <w:pPr>
              <w:pStyle w:val="Body"/>
              <w:spacing w:after="0"/>
              <w:rPr>
                <w:rFonts w:ascii="Arial" w:hAnsi="Arial" w:cs="Arial"/>
              </w:rPr>
            </w:pPr>
            <w:r w:rsidRPr="007B1B69">
              <w:rPr>
                <w:rFonts w:ascii="Arial" w:hAnsi="Arial" w:cs="Arial"/>
              </w:rPr>
              <w:t>Insecticide</w:t>
            </w:r>
          </w:p>
        </w:tc>
        <w:tc>
          <w:tcPr>
            <w:tcW w:w="929" w:type="dxa"/>
            <w:noWrap/>
            <w:hideMark/>
          </w:tcPr>
          <w:p w14:paraId="35B814EF"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Cocoa</w:t>
            </w:r>
          </w:p>
        </w:tc>
        <w:tc>
          <w:tcPr>
            <w:tcW w:w="2079" w:type="dxa"/>
            <w:noWrap/>
            <w:hideMark/>
          </w:tcPr>
          <w:p w14:paraId="7207D9D5"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CAOFINE SUPER 50 SC</w:t>
            </w:r>
          </w:p>
        </w:tc>
        <w:tc>
          <w:tcPr>
            <w:tcW w:w="2365" w:type="dxa"/>
            <w:noWrap/>
            <w:hideMark/>
          </w:tcPr>
          <w:p w14:paraId="323CA562"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Imidacloprid / Bifenthrin</w:t>
            </w:r>
          </w:p>
        </w:tc>
        <w:tc>
          <w:tcPr>
            <w:tcW w:w="1665" w:type="dxa"/>
            <w:noWrap/>
            <w:hideMark/>
          </w:tcPr>
          <w:p w14:paraId="5BA174BF"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6084/4556</w:t>
            </w:r>
          </w:p>
        </w:tc>
        <w:tc>
          <w:tcPr>
            <w:tcW w:w="1545" w:type="dxa"/>
            <w:noWrap/>
            <w:hideMark/>
          </w:tcPr>
          <w:p w14:paraId="5C089C8D"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1521/588</w:t>
            </w:r>
          </w:p>
        </w:tc>
        <w:tc>
          <w:tcPr>
            <w:tcW w:w="1395" w:type="dxa"/>
            <w:noWrap/>
            <w:hideMark/>
          </w:tcPr>
          <w:p w14:paraId="516AACE8"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2109</w:t>
            </w:r>
          </w:p>
        </w:tc>
        <w:tc>
          <w:tcPr>
            <w:tcW w:w="1304" w:type="dxa"/>
            <w:noWrap/>
            <w:hideMark/>
          </w:tcPr>
          <w:p w14:paraId="04781867"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333/361</w:t>
            </w:r>
          </w:p>
        </w:tc>
        <w:tc>
          <w:tcPr>
            <w:tcW w:w="1383" w:type="dxa"/>
            <w:noWrap/>
            <w:hideMark/>
          </w:tcPr>
          <w:p w14:paraId="0E4CCBE9"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694</w:t>
            </w:r>
          </w:p>
        </w:tc>
      </w:tr>
      <w:tr w:rsidR="007B1B69" w:rsidRPr="007B1B69" w14:paraId="5B479DFE"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709FC18A" w14:textId="77777777" w:rsidR="007B1B69" w:rsidRPr="007B1B69" w:rsidRDefault="007B1B69" w:rsidP="007B1B69">
            <w:pPr>
              <w:pStyle w:val="Body"/>
              <w:spacing w:after="0"/>
              <w:rPr>
                <w:rFonts w:ascii="Arial" w:hAnsi="Arial" w:cs="Arial"/>
              </w:rPr>
            </w:pPr>
            <w:r w:rsidRPr="007B1B69">
              <w:rPr>
                <w:rFonts w:ascii="Arial" w:hAnsi="Arial" w:cs="Arial"/>
              </w:rPr>
              <w:t>Insecticide</w:t>
            </w:r>
          </w:p>
        </w:tc>
        <w:tc>
          <w:tcPr>
            <w:tcW w:w="929" w:type="dxa"/>
            <w:noWrap/>
            <w:hideMark/>
          </w:tcPr>
          <w:p w14:paraId="3BD0C185"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Cocoa</w:t>
            </w:r>
          </w:p>
        </w:tc>
        <w:tc>
          <w:tcPr>
            <w:tcW w:w="2079" w:type="dxa"/>
            <w:noWrap/>
            <w:hideMark/>
          </w:tcPr>
          <w:p w14:paraId="529CE4DB"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CAO-NET 30 SC</w:t>
            </w:r>
          </w:p>
        </w:tc>
        <w:tc>
          <w:tcPr>
            <w:tcW w:w="2365" w:type="dxa"/>
            <w:noWrap/>
            <w:hideMark/>
          </w:tcPr>
          <w:p w14:paraId="680481B8"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Imidacloprid</w:t>
            </w:r>
          </w:p>
        </w:tc>
        <w:tc>
          <w:tcPr>
            <w:tcW w:w="1665" w:type="dxa"/>
            <w:noWrap/>
            <w:hideMark/>
          </w:tcPr>
          <w:p w14:paraId="0FF159B8"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6084</w:t>
            </w:r>
          </w:p>
        </w:tc>
        <w:tc>
          <w:tcPr>
            <w:tcW w:w="1545" w:type="dxa"/>
            <w:noWrap/>
            <w:hideMark/>
          </w:tcPr>
          <w:p w14:paraId="390BB492"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1064</w:t>
            </w:r>
          </w:p>
        </w:tc>
        <w:tc>
          <w:tcPr>
            <w:tcW w:w="1395" w:type="dxa"/>
            <w:noWrap/>
            <w:hideMark/>
          </w:tcPr>
          <w:p w14:paraId="111B1EE2"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1064</w:t>
            </w:r>
          </w:p>
        </w:tc>
        <w:tc>
          <w:tcPr>
            <w:tcW w:w="1304" w:type="dxa"/>
            <w:noWrap/>
            <w:hideMark/>
          </w:tcPr>
          <w:p w14:paraId="587C6F69"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319</w:t>
            </w:r>
          </w:p>
        </w:tc>
        <w:tc>
          <w:tcPr>
            <w:tcW w:w="1383" w:type="dxa"/>
            <w:noWrap/>
            <w:hideMark/>
          </w:tcPr>
          <w:p w14:paraId="38CAE889"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319</w:t>
            </w:r>
          </w:p>
        </w:tc>
      </w:tr>
      <w:tr w:rsidR="007B1B69" w:rsidRPr="007B1B69" w14:paraId="4F900BDE"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65850B63" w14:textId="77777777" w:rsidR="007B1B69" w:rsidRPr="007B1B69" w:rsidRDefault="007B1B69" w:rsidP="007B1B69">
            <w:pPr>
              <w:pStyle w:val="Body"/>
              <w:spacing w:after="0"/>
              <w:rPr>
                <w:rFonts w:ascii="Arial" w:hAnsi="Arial" w:cs="Arial"/>
              </w:rPr>
            </w:pPr>
            <w:r w:rsidRPr="007B1B69">
              <w:rPr>
                <w:rFonts w:ascii="Arial" w:hAnsi="Arial" w:cs="Arial"/>
              </w:rPr>
              <w:t>Insecticide</w:t>
            </w:r>
          </w:p>
        </w:tc>
        <w:tc>
          <w:tcPr>
            <w:tcW w:w="929" w:type="dxa"/>
            <w:noWrap/>
            <w:hideMark/>
          </w:tcPr>
          <w:p w14:paraId="3C12C74E"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Cocoa</w:t>
            </w:r>
          </w:p>
        </w:tc>
        <w:tc>
          <w:tcPr>
            <w:tcW w:w="2079" w:type="dxa"/>
            <w:noWrap/>
            <w:hideMark/>
          </w:tcPr>
          <w:p w14:paraId="3774DC38"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CATAPULTE 25 EC</w:t>
            </w:r>
          </w:p>
        </w:tc>
        <w:tc>
          <w:tcPr>
            <w:tcW w:w="2365" w:type="dxa"/>
            <w:noWrap/>
            <w:hideMark/>
          </w:tcPr>
          <w:p w14:paraId="193124DE"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Imidacloprid / Bifenthrin</w:t>
            </w:r>
          </w:p>
        </w:tc>
        <w:tc>
          <w:tcPr>
            <w:tcW w:w="1665" w:type="dxa"/>
            <w:noWrap/>
            <w:hideMark/>
          </w:tcPr>
          <w:p w14:paraId="0D6007EE"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6084/4556</w:t>
            </w:r>
          </w:p>
        </w:tc>
        <w:tc>
          <w:tcPr>
            <w:tcW w:w="1545" w:type="dxa"/>
            <w:noWrap/>
            <w:hideMark/>
          </w:tcPr>
          <w:p w14:paraId="381D008A"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1064/411</w:t>
            </w:r>
          </w:p>
        </w:tc>
        <w:tc>
          <w:tcPr>
            <w:tcW w:w="1395" w:type="dxa"/>
            <w:noWrap/>
            <w:hideMark/>
          </w:tcPr>
          <w:p w14:paraId="4BAA881F"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1476</w:t>
            </w:r>
          </w:p>
        </w:tc>
        <w:tc>
          <w:tcPr>
            <w:tcW w:w="1304" w:type="dxa"/>
            <w:noWrap/>
            <w:hideMark/>
          </w:tcPr>
          <w:p w14:paraId="6834ECDE"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319/284</w:t>
            </w:r>
          </w:p>
        </w:tc>
        <w:tc>
          <w:tcPr>
            <w:tcW w:w="1383" w:type="dxa"/>
            <w:noWrap/>
            <w:hideMark/>
          </w:tcPr>
          <w:p w14:paraId="516FF829"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604</w:t>
            </w:r>
          </w:p>
        </w:tc>
      </w:tr>
      <w:tr w:rsidR="007B1B69" w:rsidRPr="007B1B69" w14:paraId="622211F2"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64242EB8" w14:textId="77777777" w:rsidR="007B1B69" w:rsidRPr="007B1B69" w:rsidRDefault="007B1B69" w:rsidP="007B1B69">
            <w:pPr>
              <w:pStyle w:val="Body"/>
              <w:spacing w:after="0"/>
              <w:rPr>
                <w:rFonts w:ascii="Arial" w:hAnsi="Arial" w:cs="Arial"/>
              </w:rPr>
            </w:pPr>
            <w:r w:rsidRPr="007B1B69">
              <w:rPr>
                <w:rFonts w:ascii="Arial" w:hAnsi="Arial" w:cs="Arial"/>
              </w:rPr>
              <w:t>Insecticide</w:t>
            </w:r>
          </w:p>
        </w:tc>
        <w:tc>
          <w:tcPr>
            <w:tcW w:w="929" w:type="dxa"/>
            <w:noWrap/>
            <w:hideMark/>
          </w:tcPr>
          <w:p w14:paraId="5B213856"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Cocoa</w:t>
            </w:r>
          </w:p>
        </w:tc>
        <w:tc>
          <w:tcPr>
            <w:tcW w:w="2079" w:type="dxa"/>
            <w:noWrap/>
            <w:hideMark/>
          </w:tcPr>
          <w:p w14:paraId="247B1FDF"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CATAPULTE SUPER 25 EC</w:t>
            </w:r>
          </w:p>
        </w:tc>
        <w:tc>
          <w:tcPr>
            <w:tcW w:w="2365" w:type="dxa"/>
            <w:noWrap/>
            <w:hideMark/>
          </w:tcPr>
          <w:p w14:paraId="228285AE"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Imidacloprid / Lambda-cyhalothrin</w:t>
            </w:r>
          </w:p>
        </w:tc>
        <w:tc>
          <w:tcPr>
            <w:tcW w:w="1665" w:type="dxa"/>
            <w:noWrap/>
            <w:hideMark/>
          </w:tcPr>
          <w:p w14:paraId="044F2B9F"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6084/4225</w:t>
            </w:r>
          </w:p>
        </w:tc>
        <w:tc>
          <w:tcPr>
            <w:tcW w:w="1545" w:type="dxa"/>
            <w:noWrap/>
            <w:hideMark/>
          </w:tcPr>
          <w:p w14:paraId="6C492A35"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1064/455</w:t>
            </w:r>
          </w:p>
        </w:tc>
        <w:tc>
          <w:tcPr>
            <w:tcW w:w="1395" w:type="dxa"/>
            <w:noWrap/>
            <w:hideMark/>
          </w:tcPr>
          <w:p w14:paraId="4DE51CFA"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1519</w:t>
            </w:r>
          </w:p>
        </w:tc>
        <w:tc>
          <w:tcPr>
            <w:tcW w:w="1304" w:type="dxa"/>
            <w:noWrap/>
            <w:hideMark/>
          </w:tcPr>
          <w:p w14:paraId="6995880C"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225/196</w:t>
            </w:r>
          </w:p>
        </w:tc>
        <w:tc>
          <w:tcPr>
            <w:tcW w:w="1383" w:type="dxa"/>
            <w:noWrap/>
            <w:hideMark/>
          </w:tcPr>
          <w:p w14:paraId="28911D69"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421</w:t>
            </w:r>
          </w:p>
        </w:tc>
      </w:tr>
      <w:tr w:rsidR="007B1B69" w:rsidRPr="007B1B69" w14:paraId="64C4B520"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501751B9" w14:textId="77777777" w:rsidR="007B1B69" w:rsidRPr="007B1B69" w:rsidRDefault="007B1B69" w:rsidP="007B1B69">
            <w:pPr>
              <w:pStyle w:val="Body"/>
              <w:spacing w:after="0"/>
              <w:rPr>
                <w:rFonts w:ascii="Arial" w:hAnsi="Arial" w:cs="Arial"/>
              </w:rPr>
            </w:pPr>
            <w:r w:rsidRPr="007B1B69">
              <w:rPr>
                <w:rFonts w:ascii="Arial" w:hAnsi="Arial" w:cs="Arial"/>
              </w:rPr>
              <w:t>Insecticide</w:t>
            </w:r>
          </w:p>
        </w:tc>
        <w:tc>
          <w:tcPr>
            <w:tcW w:w="929" w:type="dxa"/>
            <w:noWrap/>
            <w:hideMark/>
          </w:tcPr>
          <w:p w14:paraId="29A6F3C2"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Cocoa</w:t>
            </w:r>
          </w:p>
        </w:tc>
        <w:tc>
          <w:tcPr>
            <w:tcW w:w="2079" w:type="dxa"/>
            <w:noWrap/>
            <w:hideMark/>
          </w:tcPr>
          <w:p w14:paraId="04E2333F"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CONQUERANT 40 EC</w:t>
            </w:r>
          </w:p>
        </w:tc>
        <w:tc>
          <w:tcPr>
            <w:tcW w:w="2365" w:type="dxa"/>
            <w:noWrap/>
            <w:hideMark/>
          </w:tcPr>
          <w:p w14:paraId="74D49C39"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Acetamiprid / Cypermethrin</w:t>
            </w:r>
          </w:p>
        </w:tc>
        <w:tc>
          <w:tcPr>
            <w:tcW w:w="1665" w:type="dxa"/>
            <w:noWrap/>
            <w:hideMark/>
          </w:tcPr>
          <w:p w14:paraId="1B7A3A95"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900/2916</w:t>
            </w:r>
          </w:p>
        </w:tc>
        <w:tc>
          <w:tcPr>
            <w:tcW w:w="1545" w:type="dxa"/>
            <w:noWrap/>
            <w:hideMark/>
          </w:tcPr>
          <w:p w14:paraId="3B2633FB"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157/323</w:t>
            </w:r>
          </w:p>
        </w:tc>
        <w:tc>
          <w:tcPr>
            <w:tcW w:w="1395" w:type="dxa"/>
            <w:noWrap/>
            <w:hideMark/>
          </w:tcPr>
          <w:p w14:paraId="43A4F375"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481</w:t>
            </w:r>
          </w:p>
        </w:tc>
        <w:tc>
          <w:tcPr>
            <w:tcW w:w="1304" w:type="dxa"/>
            <w:noWrap/>
            <w:hideMark/>
          </w:tcPr>
          <w:p w14:paraId="2A1CB017"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76/144</w:t>
            </w:r>
          </w:p>
        </w:tc>
        <w:tc>
          <w:tcPr>
            <w:tcW w:w="1383" w:type="dxa"/>
            <w:noWrap/>
            <w:hideMark/>
          </w:tcPr>
          <w:p w14:paraId="299C1B01"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220</w:t>
            </w:r>
          </w:p>
        </w:tc>
      </w:tr>
      <w:tr w:rsidR="007B1B69" w:rsidRPr="007B1B69" w14:paraId="785F53C3"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69657C91" w14:textId="77777777" w:rsidR="007B1B69" w:rsidRPr="007B1B69" w:rsidRDefault="007B1B69" w:rsidP="007B1B69">
            <w:pPr>
              <w:pStyle w:val="Body"/>
              <w:spacing w:after="0"/>
              <w:rPr>
                <w:rFonts w:ascii="Arial" w:hAnsi="Arial" w:cs="Arial"/>
              </w:rPr>
            </w:pPr>
            <w:r w:rsidRPr="007B1B69">
              <w:rPr>
                <w:rFonts w:ascii="Arial" w:hAnsi="Arial" w:cs="Arial"/>
              </w:rPr>
              <w:t>Insecticide</w:t>
            </w:r>
          </w:p>
        </w:tc>
        <w:tc>
          <w:tcPr>
            <w:tcW w:w="929" w:type="dxa"/>
            <w:noWrap/>
            <w:hideMark/>
          </w:tcPr>
          <w:p w14:paraId="7568AEC0"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Cocoa</w:t>
            </w:r>
          </w:p>
        </w:tc>
        <w:tc>
          <w:tcPr>
            <w:tcW w:w="2079" w:type="dxa"/>
            <w:noWrap/>
            <w:hideMark/>
          </w:tcPr>
          <w:p w14:paraId="4C04E10D"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CROTALE 46 EC</w:t>
            </w:r>
          </w:p>
        </w:tc>
        <w:tc>
          <w:tcPr>
            <w:tcW w:w="2365" w:type="dxa"/>
            <w:noWrap/>
            <w:hideMark/>
          </w:tcPr>
          <w:p w14:paraId="723A9FBD"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Acetamiprid / Indoxacarb</w:t>
            </w:r>
          </w:p>
        </w:tc>
        <w:tc>
          <w:tcPr>
            <w:tcW w:w="1665" w:type="dxa"/>
            <w:noWrap/>
            <w:hideMark/>
          </w:tcPr>
          <w:p w14:paraId="4E0F04B4"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900/1089</w:t>
            </w:r>
          </w:p>
        </w:tc>
        <w:tc>
          <w:tcPr>
            <w:tcW w:w="1545" w:type="dxa"/>
            <w:noWrap/>
            <w:hideMark/>
          </w:tcPr>
          <w:p w14:paraId="31344EB9"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157/109</w:t>
            </w:r>
          </w:p>
        </w:tc>
        <w:tc>
          <w:tcPr>
            <w:tcW w:w="1395" w:type="dxa"/>
            <w:noWrap/>
            <w:hideMark/>
          </w:tcPr>
          <w:p w14:paraId="3EBCE72C"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266</w:t>
            </w:r>
          </w:p>
        </w:tc>
        <w:tc>
          <w:tcPr>
            <w:tcW w:w="1304" w:type="dxa"/>
            <w:noWrap/>
            <w:hideMark/>
          </w:tcPr>
          <w:p w14:paraId="6FFD6643"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76/210</w:t>
            </w:r>
          </w:p>
        </w:tc>
        <w:tc>
          <w:tcPr>
            <w:tcW w:w="1383" w:type="dxa"/>
            <w:noWrap/>
            <w:hideMark/>
          </w:tcPr>
          <w:p w14:paraId="67490C07"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286</w:t>
            </w:r>
          </w:p>
        </w:tc>
      </w:tr>
      <w:tr w:rsidR="007B1B69" w:rsidRPr="007B1B69" w14:paraId="223AACFA"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7C1D5D44" w14:textId="77777777" w:rsidR="007B1B69" w:rsidRPr="007B1B69" w:rsidRDefault="007B1B69" w:rsidP="007B1B69">
            <w:pPr>
              <w:pStyle w:val="Body"/>
              <w:spacing w:after="0"/>
              <w:rPr>
                <w:rFonts w:ascii="Arial" w:hAnsi="Arial" w:cs="Arial"/>
              </w:rPr>
            </w:pPr>
            <w:r w:rsidRPr="007B1B69">
              <w:rPr>
                <w:rFonts w:ascii="Arial" w:hAnsi="Arial" w:cs="Arial"/>
              </w:rPr>
              <w:t>Insecticide</w:t>
            </w:r>
          </w:p>
        </w:tc>
        <w:tc>
          <w:tcPr>
            <w:tcW w:w="929" w:type="dxa"/>
            <w:noWrap/>
            <w:hideMark/>
          </w:tcPr>
          <w:p w14:paraId="0D8FFC9B"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Cocoa</w:t>
            </w:r>
          </w:p>
        </w:tc>
        <w:tc>
          <w:tcPr>
            <w:tcW w:w="2079" w:type="dxa"/>
            <w:noWrap/>
            <w:hideMark/>
          </w:tcPr>
          <w:p w14:paraId="67DA865F"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GAWA SUPER 45 EC</w:t>
            </w:r>
          </w:p>
        </w:tc>
        <w:tc>
          <w:tcPr>
            <w:tcW w:w="2365" w:type="dxa"/>
            <w:noWrap/>
            <w:hideMark/>
          </w:tcPr>
          <w:p w14:paraId="4561CFF7"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Imidacloprid / Lambda-cyhalothrin</w:t>
            </w:r>
          </w:p>
        </w:tc>
        <w:tc>
          <w:tcPr>
            <w:tcW w:w="1665" w:type="dxa"/>
            <w:noWrap/>
            <w:hideMark/>
          </w:tcPr>
          <w:p w14:paraId="54740E52"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6084/4225</w:t>
            </w:r>
          </w:p>
        </w:tc>
        <w:tc>
          <w:tcPr>
            <w:tcW w:w="1545" w:type="dxa"/>
            <w:noWrap/>
            <w:hideMark/>
          </w:tcPr>
          <w:p w14:paraId="03564698"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1064/455</w:t>
            </w:r>
          </w:p>
        </w:tc>
        <w:tc>
          <w:tcPr>
            <w:tcW w:w="1395" w:type="dxa"/>
            <w:noWrap/>
            <w:hideMark/>
          </w:tcPr>
          <w:p w14:paraId="1FDEF0CA"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1519</w:t>
            </w:r>
          </w:p>
        </w:tc>
        <w:tc>
          <w:tcPr>
            <w:tcW w:w="1304" w:type="dxa"/>
            <w:noWrap/>
            <w:hideMark/>
          </w:tcPr>
          <w:p w14:paraId="46C8385E"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319/196</w:t>
            </w:r>
          </w:p>
        </w:tc>
        <w:tc>
          <w:tcPr>
            <w:tcW w:w="1383" w:type="dxa"/>
            <w:noWrap/>
            <w:hideMark/>
          </w:tcPr>
          <w:p w14:paraId="0A2756D4"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515</w:t>
            </w:r>
          </w:p>
        </w:tc>
      </w:tr>
      <w:tr w:rsidR="007B1B69" w:rsidRPr="007B1B69" w14:paraId="176036C4"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400AC1DF" w14:textId="77777777" w:rsidR="007B1B69" w:rsidRPr="007B1B69" w:rsidRDefault="007B1B69" w:rsidP="007B1B69">
            <w:pPr>
              <w:pStyle w:val="Body"/>
              <w:spacing w:after="0"/>
              <w:rPr>
                <w:rFonts w:ascii="Arial" w:hAnsi="Arial" w:cs="Arial"/>
              </w:rPr>
            </w:pPr>
            <w:r w:rsidRPr="007B1B69">
              <w:rPr>
                <w:rFonts w:ascii="Arial" w:hAnsi="Arial" w:cs="Arial"/>
              </w:rPr>
              <w:t>Insecticide</w:t>
            </w:r>
          </w:p>
        </w:tc>
        <w:tc>
          <w:tcPr>
            <w:tcW w:w="929" w:type="dxa"/>
            <w:noWrap/>
            <w:hideMark/>
          </w:tcPr>
          <w:p w14:paraId="77BC53B0"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Cocoa</w:t>
            </w:r>
          </w:p>
        </w:tc>
        <w:tc>
          <w:tcPr>
            <w:tcW w:w="2079" w:type="dxa"/>
            <w:noWrap/>
            <w:hideMark/>
          </w:tcPr>
          <w:p w14:paraId="0EE37250"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GOUROU SUPER 45 EC</w:t>
            </w:r>
          </w:p>
        </w:tc>
        <w:tc>
          <w:tcPr>
            <w:tcW w:w="2365" w:type="dxa"/>
            <w:noWrap/>
            <w:hideMark/>
          </w:tcPr>
          <w:p w14:paraId="46A525C7"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Acetamiprid / Cypermethrin</w:t>
            </w:r>
          </w:p>
        </w:tc>
        <w:tc>
          <w:tcPr>
            <w:tcW w:w="1665" w:type="dxa"/>
            <w:noWrap/>
            <w:hideMark/>
          </w:tcPr>
          <w:p w14:paraId="48A71E68"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900/2916</w:t>
            </w:r>
          </w:p>
        </w:tc>
        <w:tc>
          <w:tcPr>
            <w:tcW w:w="1545" w:type="dxa"/>
            <w:noWrap/>
            <w:hideMark/>
          </w:tcPr>
          <w:p w14:paraId="4E4650D3"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157/323</w:t>
            </w:r>
          </w:p>
        </w:tc>
        <w:tc>
          <w:tcPr>
            <w:tcW w:w="1395" w:type="dxa"/>
            <w:noWrap/>
            <w:hideMark/>
          </w:tcPr>
          <w:p w14:paraId="7A978EB5"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481</w:t>
            </w:r>
          </w:p>
        </w:tc>
        <w:tc>
          <w:tcPr>
            <w:tcW w:w="1304" w:type="dxa"/>
            <w:noWrap/>
            <w:hideMark/>
          </w:tcPr>
          <w:p w14:paraId="234AB0B7"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76/144</w:t>
            </w:r>
          </w:p>
        </w:tc>
        <w:tc>
          <w:tcPr>
            <w:tcW w:w="1383" w:type="dxa"/>
            <w:noWrap/>
            <w:hideMark/>
          </w:tcPr>
          <w:p w14:paraId="036A12CF"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220</w:t>
            </w:r>
          </w:p>
        </w:tc>
      </w:tr>
      <w:tr w:rsidR="007B1B69" w:rsidRPr="007B1B69" w14:paraId="41D53339"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6121AD15" w14:textId="77777777" w:rsidR="007B1B69" w:rsidRPr="007B1B69" w:rsidRDefault="007B1B69" w:rsidP="007B1B69">
            <w:pPr>
              <w:pStyle w:val="Body"/>
              <w:spacing w:after="0"/>
              <w:rPr>
                <w:rFonts w:ascii="Arial" w:hAnsi="Arial" w:cs="Arial"/>
              </w:rPr>
            </w:pPr>
            <w:r w:rsidRPr="007B1B69">
              <w:rPr>
                <w:rFonts w:ascii="Arial" w:hAnsi="Arial" w:cs="Arial"/>
              </w:rPr>
              <w:lastRenderedPageBreak/>
              <w:t>Insecticide</w:t>
            </w:r>
          </w:p>
        </w:tc>
        <w:tc>
          <w:tcPr>
            <w:tcW w:w="929" w:type="dxa"/>
            <w:noWrap/>
            <w:hideMark/>
          </w:tcPr>
          <w:p w14:paraId="63F9DB17"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Cocoa</w:t>
            </w:r>
          </w:p>
        </w:tc>
        <w:tc>
          <w:tcPr>
            <w:tcW w:w="2079" w:type="dxa"/>
            <w:noWrap/>
            <w:hideMark/>
          </w:tcPr>
          <w:p w14:paraId="0356E0BE"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GROSUDINE SUPER 50 EC</w:t>
            </w:r>
          </w:p>
        </w:tc>
        <w:tc>
          <w:tcPr>
            <w:tcW w:w="2365" w:type="dxa"/>
            <w:noWrap/>
            <w:hideMark/>
          </w:tcPr>
          <w:p w14:paraId="36F89544"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Imidacloprid / Bifenthrin</w:t>
            </w:r>
          </w:p>
        </w:tc>
        <w:tc>
          <w:tcPr>
            <w:tcW w:w="1665" w:type="dxa"/>
            <w:noWrap/>
            <w:hideMark/>
          </w:tcPr>
          <w:p w14:paraId="79832D0A"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6084/4556</w:t>
            </w:r>
          </w:p>
        </w:tc>
        <w:tc>
          <w:tcPr>
            <w:tcW w:w="1545" w:type="dxa"/>
            <w:noWrap/>
            <w:hideMark/>
          </w:tcPr>
          <w:p w14:paraId="3863C295"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1521/588</w:t>
            </w:r>
          </w:p>
        </w:tc>
        <w:tc>
          <w:tcPr>
            <w:tcW w:w="1395" w:type="dxa"/>
            <w:noWrap/>
            <w:hideMark/>
          </w:tcPr>
          <w:p w14:paraId="662CA1F9"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2109</w:t>
            </w:r>
          </w:p>
        </w:tc>
        <w:tc>
          <w:tcPr>
            <w:tcW w:w="1304" w:type="dxa"/>
            <w:noWrap/>
            <w:hideMark/>
          </w:tcPr>
          <w:p w14:paraId="594EB11C"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333/361</w:t>
            </w:r>
          </w:p>
        </w:tc>
        <w:tc>
          <w:tcPr>
            <w:tcW w:w="1383" w:type="dxa"/>
            <w:noWrap/>
            <w:hideMark/>
          </w:tcPr>
          <w:p w14:paraId="3AED6F57"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694</w:t>
            </w:r>
          </w:p>
        </w:tc>
      </w:tr>
      <w:tr w:rsidR="007B1B69" w:rsidRPr="007B1B69" w14:paraId="7BD4E254"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2B1AEAA6" w14:textId="77777777" w:rsidR="007B1B69" w:rsidRPr="007B1B69" w:rsidRDefault="007B1B69" w:rsidP="007B1B69">
            <w:pPr>
              <w:pStyle w:val="Body"/>
              <w:spacing w:after="0"/>
              <w:rPr>
                <w:rFonts w:ascii="Arial" w:hAnsi="Arial" w:cs="Arial"/>
              </w:rPr>
            </w:pPr>
            <w:r w:rsidRPr="007B1B69">
              <w:rPr>
                <w:rFonts w:ascii="Arial" w:hAnsi="Arial" w:cs="Arial"/>
              </w:rPr>
              <w:t>Insecticide</w:t>
            </w:r>
          </w:p>
        </w:tc>
        <w:tc>
          <w:tcPr>
            <w:tcW w:w="929" w:type="dxa"/>
            <w:noWrap/>
            <w:hideMark/>
          </w:tcPr>
          <w:p w14:paraId="42A8AD15"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Cocoa</w:t>
            </w:r>
          </w:p>
        </w:tc>
        <w:tc>
          <w:tcPr>
            <w:tcW w:w="2079" w:type="dxa"/>
            <w:noWrap/>
            <w:hideMark/>
          </w:tcPr>
          <w:p w14:paraId="5C04E31B"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SUPER CHAMP 40 EC</w:t>
            </w:r>
          </w:p>
        </w:tc>
        <w:tc>
          <w:tcPr>
            <w:tcW w:w="2365" w:type="dxa"/>
            <w:noWrap/>
            <w:hideMark/>
          </w:tcPr>
          <w:p w14:paraId="428972E7"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Acetamiprid / Bifenthrin</w:t>
            </w:r>
          </w:p>
        </w:tc>
        <w:tc>
          <w:tcPr>
            <w:tcW w:w="1665" w:type="dxa"/>
            <w:noWrap/>
            <w:hideMark/>
          </w:tcPr>
          <w:p w14:paraId="2E09D791"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900/4556</w:t>
            </w:r>
          </w:p>
        </w:tc>
        <w:tc>
          <w:tcPr>
            <w:tcW w:w="1545" w:type="dxa"/>
            <w:noWrap/>
            <w:hideMark/>
          </w:tcPr>
          <w:p w14:paraId="4A9FB2BD"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225/588</w:t>
            </w:r>
          </w:p>
        </w:tc>
        <w:tc>
          <w:tcPr>
            <w:tcW w:w="1395" w:type="dxa"/>
            <w:noWrap/>
            <w:hideMark/>
          </w:tcPr>
          <w:p w14:paraId="6B98C710"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813</w:t>
            </w:r>
          </w:p>
        </w:tc>
        <w:tc>
          <w:tcPr>
            <w:tcW w:w="1304" w:type="dxa"/>
            <w:noWrap/>
            <w:hideMark/>
          </w:tcPr>
          <w:p w14:paraId="5F1998D0"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76/361</w:t>
            </w:r>
          </w:p>
        </w:tc>
        <w:tc>
          <w:tcPr>
            <w:tcW w:w="1383" w:type="dxa"/>
            <w:noWrap/>
            <w:hideMark/>
          </w:tcPr>
          <w:p w14:paraId="740841E5"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437</w:t>
            </w:r>
          </w:p>
        </w:tc>
      </w:tr>
      <w:tr w:rsidR="007B1B69" w:rsidRPr="007B1B69" w14:paraId="3D047606"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30FB9F56" w14:textId="77777777" w:rsidR="007B1B69" w:rsidRPr="007B1B69" w:rsidRDefault="007B1B69" w:rsidP="007B1B69">
            <w:pPr>
              <w:pStyle w:val="Body"/>
              <w:spacing w:after="0"/>
              <w:rPr>
                <w:rFonts w:ascii="Arial" w:hAnsi="Arial" w:cs="Arial"/>
              </w:rPr>
            </w:pPr>
            <w:r w:rsidRPr="007B1B69">
              <w:rPr>
                <w:rFonts w:ascii="Arial" w:hAnsi="Arial" w:cs="Arial"/>
              </w:rPr>
              <w:t>Insecticide</w:t>
            </w:r>
          </w:p>
        </w:tc>
        <w:tc>
          <w:tcPr>
            <w:tcW w:w="929" w:type="dxa"/>
            <w:noWrap/>
            <w:hideMark/>
          </w:tcPr>
          <w:p w14:paraId="401C7298"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Cocoa</w:t>
            </w:r>
          </w:p>
        </w:tc>
        <w:tc>
          <w:tcPr>
            <w:tcW w:w="2079" w:type="dxa"/>
            <w:noWrap/>
            <w:hideMark/>
          </w:tcPr>
          <w:p w14:paraId="1E650E95"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TOPCABOSS SUPER 50 EC</w:t>
            </w:r>
          </w:p>
        </w:tc>
        <w:tc>
          <w:tcPr>
            <w:tcW w:w="2365" w:type="dxa"/>
            <w:noWrap/>
            <w:hideMark/>
          </w:tcPr>
          <w:p w14:paraId="25ED2A0B"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Imidacloprid / Bifenthrin</w:t>
            </w:r>
          </w:p>
        </w:tc>
        <w:tc>
          <w:tcPr>
            <w:tcW w:w="1665" w:type="dxa"/>
            <w:noWrap/>
            <w:hideMark/>
          </w:tcPr>
          <w:p w14:paraId="1672BF84"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6084/4556</w:t>
            </w:r>
          </w:p>
        </w:tc>
        <w:tc>
          <w:tcPr>
            <w:tcW w:w="1545" w:type="dxa"/>
            <w:noWrap/>
            <w:hideMark/>
          </w:tcPr>
          <w:p w14:paraId="4B29E46C"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1064/411</w:t>
            </w:r>
          </w:p>
        </w:tc>
        <w:tc>
          <w:tcPr>
            <w:tcW w:w="1395" w:type="dxa"/>
            <w:noWrap/>
            <w:hideMark/>
          </w:tcPr>
          <w:p w14:paraId="212CE94A"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1476</w:t>
            </w:r>
          </w:p>
        </w:tc>
        <w:tc>
          <w:tcPr>
            <w:tcW w:w="1304" w:type="dxa"/>
            <w:noWrap/>
            <w:hideMark/>
          </w:tcPr>
          <w:p w14:paraId="52FE7E7E"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319/284</w:t>
            </w:r>
          </w:p>
        </w:tc>
        <w:tc>
          <w:tcPr>
            <w:tcW w:w="1383" w:type="dxa"/>
            <w:noWrap/>
            <w:hideMark/>
          </w:tcPr>
          <w:p w14:paraId="084793F9"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604</w:t>
            </w:r>
          </w:p>
        </w:tc>
      </w:tr>
      <w:tr w:rsidR="007B1B69" w:rsidRPr="007B1B69" w14:paraId="609B25B2"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6F30915A" w14:textId="77777777" w:rsidR="007B1B69" w:rsidRPr="007B1B69" w:rsidRDefault="007B1B69" w:rsidP="007B1B69">
            <w:pPr>
              <w:pStyle w:val="Body"/>
              <w:spacing w:after="0"/>
              <w:rPr>
                <w:rFonts w:ascii="Arial" w:hAnsi="Arial" w:cs="Arial"/>
              </w:rPr>
            </w:pPr>
            <w:r w:rsidRPr="007B1B69">
              <w:rPr>
                <w:rFonts w:ascii="Arial" w:hAnsi="Arial" w:cs="Arial"/>
              </w:rPr>
              <w:t>Insecticide</w:t>
            </w:r>
          </w:p>
        </w:tc>
        <w:tc>
          <w:tcPr>
            <w:tcW w:w="929" w:type="dxa"/>
            <w:noWrap/>
            <w:hideMark/>
          </w:tcPr>
          <w:p w14:paraId="35452D58"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Cocoa</w:t>
            </w:r>
          </w:p>
        </w:tc>
        <w:tc>
          <w:tcPr>
            <w:tcW w:w="2079" w:type="dxa"/>
            <w:noWrap/>
            <w:hideMark/>
          </w:tcPr>
          <w:p w14:paraId="39E9685A"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TRESFORT GOLD 50 EC</w:t>
            </w:r>
          </w:p>
        </w:tc>
        <w:tc>
          <w:tcPr>
            <w:tcW w:w="2365" w:type="dxa"/>
            <w:noWrap/>
            <w:hideMark/>
          </w:tcPr>
          <w:p w14:paraId="4A55274D"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Bifenthrin / Imidacloprid</w:t>
            </w:r>
          </w:p>
        </w:tc>
        <w:tc>
          <w:tcPr>
            <w:tcW w:w="1665" w:type="dxa"/>
            <w:noWrap/>
            <w:hideMark/>
          </w:tcPr>
          <w:p w14:paraId="3FD19050"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4556/6084</w:t>
            </w:r>
          </w:p>
        </w:tc>
        <w:tc>
          <w:tcPr>
            <w:tcW w:w="1545" w:type="dxa"/>
            <w:noWrap/>
            <w:hideMark/>
          </w:tcPr>
          <w:p w14:paraId="659A10A5"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411/1064</w:t>
            </w:r>
          </w:p>
        </w:tc>
        <w:tc>
          <w:tcPr>
            <w:tcW w:w="1395" w:type="dxa"/>
            <w:noWrap/>
            <w:hideMark/>
          </w:tcPr>
          <w:p w14:paraId="627D83FF"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1476</w:t>
            </w:r>
          </w:p>
        </w:tc>
        <w:tc>
          <w:tcPr>
            <w:tcW w:w="1304" w:type="dxa"/>
            <w:noWrap/>
            <w:hideMark/>
          </w:tcPr>
          <w:p w14:paraId="043DC9B9"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284/319</w:t>
            </w:r>
          </w:p>
        </w:tc>
        <w:tc>
          <w:tcPr>
            <w:tcW w:w="1383" w:type="dxa"/>
            <w:noWrap/>
            <w:hideMark/>
          </w:tcPr>
          <w:p w14:paraId="517069E4"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604</w:t>
            </w:r>
          </w:p>
        </w:tc>
      </w:tr>
      <w:tr w:rsidR="007B1B69" w:rsidRPr="007B1B69" w14:paraId="21BB45A6"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3B01FDA6" w14:textId="77777777" w:rsidR="007B1B69" w:rsidRPr="007B1B69" w:rsidRDefault="007B1B69" w:rsidP="007B1B69">
            <w:pPr>
              <w:pStyle w:val="Body"/>
              <w:spacing w:after="0"/>
              <w:rPr>
                <w:rFonts w:ascii="Arial" w:hAnsi="Arial" w:cs="Arial"/>
              </w:rPr>
            </w:pPr>
            <w:r w:rsidRPr="007B1B69">
              <w:rPr>
                <w:rFonts w:ascii="Arial" w:hAnsi="Arial" w:cs="Arial"/>
              </w:rPr>
              <w:t>Insecticide</w:t>
            </w:r>
          </w:p>
        </w:tc>
        <w:tc>
          <w:tcPr>
            <w:tcW w:w="929" w:type="dxa"/>
            <w:noWrap/>
            <w:hideMark/>
          </w:tcPr>
          <w:p w14:paraId="566C96EE"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Cocoa</w:t>
            </w:r>
          </w:p>
        </w:tc>
        <w:tc>
          <w:tcPr>
            <w:tcW w:w="2079" w:type="dxa"/>
            <w:noWrap/>
            <w:hideMark/>
          </w:tcPr>
          <w:p w14:paraId="1EE70932"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TONNERRE 88 EC</w:t>
            </w:r>
          </w:p>
        </w:tc>
        <w:tc>
          <w:tcPr>
            <w:tcW w:w="2365" w:type="dxa"/>
            <w:noWrap/>
            <w:hideMark/>
          </w:tcPr>
          <w:p w14:paraId="205889C0"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Cypermethrin / Acetamiprid</w:t>
            </w:r>
          </w:p>
        </w:tc>
        <w:tc>
          <w:tcPr>
            <w:tcW w:w="1665" w:type="dxa"/>
            <w:noWrap/>
            <w:hideMark/>
          </w:tcPr>
          <w:p w14:paraId="7FA94245"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2916/900</w:t>
            </w:r>
          </w:p>
        </w:tc>
        <w:tc>
          <w:tcPr>
            <w:tcW w:w="1545" w:type="dxa"/>
            <w:noWrap/>
            <w:hideMark/>
          </w:tcPr>
          <w:p w14:paraId="1B6041C3"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462/225</w:t>
            </w:r>
          </w:p>
        </w:tc>
        <w:tc>
          <w:tcPr>
            <w:tcW w:w="1395" w:type="dxa"/>
            <w:noWrap/>
            <w:hideMark/>
          </w:tcPr>
          <w:p w14:paraId="56C79082"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687</w:t>
            </w:r>
          </w:p>
        </w:tc>
        <w:tc>
          <w:tcPr>
            <w:tcW w:w="1304" w:type="dxa"/>
            <w:noWrap/>
            <w:hideMark/>
          </w:tcPr>
          <w:p w14:paraId="40FFADAF"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150/76</w:t>
            </w:r>
          </w:p>
        </w:tc>
        <w:tc>
          <w:tcPr>
            <w:tcW w:w="1383" w:type="dxa"/>
            <w:noWrap/>
            <w:hideMark/>
          </w:tcPr>
          <w:p w14:paraId="2BB6DFFA"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226</w:t>
            </w:r>
          </w:p>
        </w:tc>
      </w:tr>
      <w:tr w:rsidR="007B1B69" w:rsidRPr="007B1B69" w14:paraId="5BB80214"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286BC441" w14:textId="77777777" w:rsidR="007B1B69" w:rsidRPr="007B1B69" w:rsidRDefault="007B1B69" w:rsidP="007B1B69">
            <w:pPr>
              <w:pStyle w:val="Body"/>
              <w:spacing w:after="0"/>
              <w:rPr>
                <w:rFonts w:ascii="Arial" w:hAnsi="Arial" w:cs="Arial"/>
              </w:rPr>
            </w:pPr>
            <w:r w:rsidRPr="007B1B69">
              <w:rPr>
                <w:rFonts w:ascii="Arial" w:hAnsi="Arial" w:cs="Arial"/>
              </w:rPr>
              <w:t>Fungicide</w:t>
            </w:r>
          </w:p>
        </w:tc>
        <w:tc>
          <w:tcPr>
            <w:tcW w:w="929" w:type="dxa"/>
            <w:noWrap/>
            <w:hideMark/>
          </w:tcPr>
          <w:p w14:paraId="4954A803"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Cocoa</w:t>
            </w:r>
          </w:p>
        </w:tc>
        <w:tc>
          <w:tcPr>
            <w:tcW w:w="2079" w:type="dxa"/>
            <w:noWrap/>
            <w:hideMark/>
          </w:tcPr>
          <w:p w14:paraId="4FBE4FFC"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MAXICABOSS 660 WP</w:t>
            </w:r>
          </w:p>
        </w:tc>
        <w:tc>
          <w:tcPr>
            <w:tcW w:w="2365" w:type="dxa"/>
            <w:noWrap/>
            <w:hideMark/>
          </w:tcPr>
          <w:p w14:paraId="530F48AB"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7B1B69">
              <w:rPr>
                <w:rFonts w:ascii="Arial" w:hAnsi="Arial" w:cs="Arial"/>
              </w:rPr>
              <w:t>Metalaxyl</w:t>
            </w:r>
            <w:proofErr w:type="spellEnd"/>
            <w:r w:rsidRPr="007B1B69">
              <w:rPr>
                <w:rFonts w:ascii="Arial" w:hAnsi="Arial" w:cs="Arial"/>
              </w:rPr>
              <w:t>-M / Copper Oxide</w:t>
            </w:r>
          </w:p>
        </w:tc>
        <w:tc>
          <w:tcPr>
            <w:tcW w:w="1665" w:type="dxa"/>
            <w:noWrap/>
            <w:hideMark/>
          </w:tcPr>
          <w:p w14:paraId="0C63A4F6"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2500/1156</w:t>
            </w:r>
          </w:p>
        </w:tc>
        <w:tc>
          <w:tcPr>
            <w:tcW w:w="1545" w:type="dxa"/>
            <w:noWrap/>
            <w:hideMark/>
          </w:tcPr>
          <w:p w14:paraId="65BC26DD"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500/500</w:t>
            </w:r>
          </w:p>
        </w:tc>
        <w:tc>
          <w:tcPr>
            <w:tcW w:w="1395" w:type="dxa"/>
            <w:noWrap/>
            <w:hideMark/>
          </w:tcPr>
          <w:p w14:paraId="7E2BE0A5"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1000</w:t>
            </w:r>
          </w:p>
        </w:tc>
        <w:tc>
          <w:tcPr>
            <w:tcW w:w="1304" w:type="dxa"/>
            <w:noWrap/>
            <w:hideMark/>
          </w:tcPr>
          <w:p w14:paraId="74561D83"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213/0</w:t>
            </w:r>
          </w:p>
        </w:tc>
        <w:tc>
          <w:tcPr>
            <w:tcW w:w="1383" w:type="dxa"/>
            <w:noWrap/>
            <w:hideMark/>
          </w:tcPr>
          <w:p w14:paraId="26B7294C"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213</w:t>
            </w:r>
          </w:p>
        </w:tc>
      </w:tr>
      <w:tr w:rsidR="007B1B69" w:rsidRPr="007B1B69" w14:paraId="49CAB28E"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3D349F52" w14:textId="77777777" w:rsidR="007B1B69" w:rsidRPr="007B1B69" w:rsidRDefault="007B1B69" w:rsidP="007B1B69">
            <w:pPr>
              <w:pStyle w:val="Body"/>
              <w:spacing w:after="0"/>
              <w:rPr>
                <w:rFonts w:ascii="Arial" w:hAnsi="Arial" w:cs="Arial"/>
              </w:rPr>
            </w:pPr>
            <w:r w:rsidRPr="007B1B69">
              <w:rPr>
                <w:rFonts w:ascii="Arial" w:hAnsi="Arial" w:cs="Arial"/>
              </w:rPr>
              <w:t>Fungicide</w:t>
            </w:r>
          </w:p>
        </w:tc>
        <w:tc>
          <w:tcPr>
            <w:tcW w:w="929" w:type="dxa"/>
            <w:noWrap/>
            <w:hideMark/>
          </w:tcPr>
          <w:p w14:paraId="26D0CF67"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Cocoa</w:t>
            </w:r>
          </w:p>
        </w:tc>
        <w:tc>
          <w:tcPr>
            <w:tcW w:w="2079" w:type="dxa"/>
            <w:noWrap/>
            <w:hideMark/>
          </w:tcPr>
          <w:p w14:paraId="33B16841"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CALLICUIVRE</w:t>
            </w:r>
          </w:p>
        </w:tc>
        <w:tc>
          <w:tcPr>
            <w:tcW w:w="2365" w:type="dxa"/>
            <w:noWrap/>
            <w:hideMark/>
          </w:tcPr>
          <w:p w14:paraId="37F9442E"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Copper Oxychloride</w:t>
            </w:r>
          </w:p>
        </w:tc>
        <w:tc>
          <w:tcPr>
            <w:tcW w:w="1665" w:type="dxa"/>
            <w:noWrap/>
            <w:hideMark/>
          </w:tcPr>
          <w:p w14:paraId="70B965E2"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400</w:t>
            </w:r>
          </w:p>
        </w:tc>
        <w:tc>
          <w:tcPr>
            <w:tcW w:w="1545" w:type="dxa"/>
            <w:noWrap/>
            <w:hideMark/>
          </w:tcPr>
          <w:p w14:paraId="138692C1"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160</w:t>
            </w:r>
          </w:p>
        </w:tc>
        <w:tc>
          <w:tcPr>
            <w:tcW w:w="1395" w:type="dxa"/>
            <w:noWrap/>
            <w:hideMark/>
          </w:tcPr>
          <w:p w14:paraId="2CB8AF23"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160</w:t>
            </w:r>
          </w:p>
        </w:tc>
        <w:tc>
          <w:tcPr>
            <w:tcW w:w="1304" w:type="dxa"/>
            <w:noWrap/>
            <w:hideMark/>
          </w:tcPr>
          <w:p w14:paraId="44238DF5"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76</w:t>
            </w:r>
          </w:p>
        </w:tc>
        <w:tc>
          <w:tcPr>
            <w:tcW w:w="1383" w:type="dxa"/>
            <w:noWrap/>
            <w:hideMark/>
          </w:tcPr>
          <w:p w14:paraId="2309CB58"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80</w:t>
            </w:r>
          </w:p>
        </w:tc>
      </w:tr>
      <w:tr w:rsidR="007B1B69" w:rsidRPr="007B1B69" w14:paraId="2657BF50"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0030C549" w14:textId="77777777" w:rsidR="007B1B69" w:rsidRPr="007B1B69" w:rsidRDefault="007B1B69" w:rsidP="007B1B69">
            <w:pPr>
              <w:pStyle w:val="Body"/>
              <w:spacing w:after="0"/>
              <w:rPr>
                <w:rFonts w:ascii="Arial" w:hAnsi="Arial" w:cs="Arial"/>
              </w:rPr>
            </w:pPr>
            <w:r w:rsidRPr="007B1B69">
              <w:rPr>
                <w:rFonts w:ascii="Arial" w:hAnsi="Arial" w:cs="Arial"/>
              </w:rPr>
              <w:t>Fungicide</w:t>
            </w:r>
          </w:p>
        </w:tc>
        <w:tc>
          <w:tcPr>
            <w:tcW w:w="929" w:type="dxa"/>
            <w:noWrap/>
            <w:hideMark/>
          </w:tcPr>
          <w:p w14:paraId="6A0D30DF"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Rubber</w:t>
            </w:r>
          </w:p>
        </w:tc>
        <w:tc>
          <w:tcPr>
            <w:tcW w:w="2079" w:type="dxa"/>
            <w:noWrap/>
            <w:hideMark/>
          </w:tcPr>
          <w:p w14:paraId="1718D36D"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ALTO 100 SL</w:t>
            </w:r>
          </w:p>
        </w:tc>
        <w:tc>
          <w:tcPr>
            <w:tcW w:w="2365" w:type="dxa"/>
            <w:noWrap/>
            <w:hideMark/>
          </w:tcPr>
          <w:p w14:paraId="2E73BA7D"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Cyproconazole</w:t>
            </w:r>
          </w:p>
        </w:tc>
        <w:tc>
          <w:tcPr>
            <w:tcW w:w="1665" w:type="dxa"/>
            <w:noWrap/>
            <w:hideMark/>
          </w:tcPr>
          <w:p w14:paraId="28C6289A"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7832</w:t>
            </w:r>
          </w:p>
        </w:tc>
        <w:tc>
          <w:tcPr>
            <w:tcW w:w="1545" w:type="dxa"/>
            <w:noWrap/>
            <w:hideMark/>
          </w:tcPr>
          <w:p w14:paraId="55105198"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1296</w:t>
            </w:r>
          </w:p>
        </w:tc>
        <w:tc>
          <w:tcPr>
            <w:tcW w:w="1395" w:type="dxa"/>
            <w:noWrap/>
            <w:hideMark/>
          </w:tcPr>
          <w:p w14:paraId="6E171027"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1296</w:t>
            </w:r>
          </w:p>
        </w:tc>
        <w:tc>
          <w:tcPr>
            <w:tcW w:w="1304" w:type="dxa"/>
            <w:noWrap/>
            <w:hideMark/>
          </w:tcPr>
          <w:p w14:paraId="05D3A381"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495</w:t>
            </w:r>
          </w:p>
        </w:tc>
        <w:tc>
          <w:tcPr>
            <w:tcW w:w="1383" w:type="dxa"/>
            <w:noWrap/>
            <w:hideMark/>
          </w:tcPr>
          <w:p w14:paraId="23343EBE"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495</w:t>
            </w:r>
          </w:p>
        </w:tc>
      </w:tr>
      <w:tr w:rsidR="007B1B69" w:rsidRPr="007B1B69" w14:paraId="17BC9B9C"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0F53340F" w14:textId="77777777" w:rsidR="007B1B69" w:rsidRPr="007B1B69" w:rsidRDefault="007B1B69" w:rsidP="007B1B69">
            <w:pPr>
              <w:pStyle w:val="Body"/>
              <w:spacing w:after="0"/>
              <w:rPr>
                <w:rFonts w:ascii="Arial" w:hAnsi="Arial" w:cs="Arial"/>
              </w:rPr>
            </w:pPr>
            <w:r w:rsidRPr="007B1B69">
              <w:rPr>
                <w:rFonts w:ascii="Arial" w:hAnsi="Arial" w:cs="Arial"/>
              </w:rPr>
              <w:t>Fungicide</w:t>
            </w:r>
          </w:p>
        </w:tc>
        <w:tc>
          <w:tcPr>
            <w:tcW w:w="929" w:type="dxa"/>
            <w:noWrap/>
            <w:hideMark/>
          </w:tcPr>
          <w:p w14:paraId="0600EEAE"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Rubber</w:t>
            </w:r>
          </w:p>
        </w:tc>
        <w:tc>
          <w:tcPr>
            <w:tcW w:w="2079" w:type="dxa"/>
            <w:noWrap/>
            <w:hideMark/>
          </w:tcPr>
          <w:p w14:paraId="6CD14AC5"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CALTEX 300 EC</w:t>
            </w:r>
          </w:p>
        </w:tc>
        <w:tc>
          <w:tcPr>
            <w:tcW w:w="2365" w:type="dxa"/>
            <w:noWrap/>
            <w:hideMark/>
          </w:tcPr>
          <w:p w14:paraId="342E654C"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TCMTB</w:t>
            </w:r>
          </w:p>
        </w:tc>
        <w:tc>
          <w:tcPr>
            <w:tcW w:w="1665" w:type="dxa"/>
            <w:noWrap/>
            <w:hideMark/>
          </w:tcPr>
          <w:p w14:paraId="72F0E6A7"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2116</w:t>
            </w:r>
          </w:p>
        </w:tc>
        <w:tc>
          <w:tcPr>
            <w:tcW w:w="1545" w:type="dxa"/>
            <w:noWrap/>
            <w:hideMark/>
          </w:tcPr>
          <w:p w14:paraId="1ECD90E7"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373</w:t>
            </w:r>
          </w:p>
        </w:tc>
        <w:tc>
          <w:tcPr>
            <w:tcW w:w="1395" w:type="dxa"/>
            <w:noWrap/>
            <w:hideMark/>
          </w:tcPr>
          <w:p w14:paraId="4F3CA7B0"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373</w:t>
            </w:r>
          </w:p>
        </w:tc>
        <w:tc>
          <w:tcPr>
            <w:tcW w:w="1304" w:type="dxa"/>
            <w:noWrap/>
            <w:hideMark/>
          </w:tcPr>
          <w:p w14:paraId="64F9E67F"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4</w:t>
            </w:r>
          </w:p>
        </w:tc>
        <w:tc>
          <w:tcPr>
            <w:tcW w:w="1383" w:type="dxa"/>
            <w:noWrap/>
            <w:hideMark/>
          </w:tcPr>
          <w:p w14:paraId="620C94FD"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4</w:t>
            </w:r>
          </w:p>
        </w:tc>
      </w:tr>
      <w:tr w:rsidR="007B1B69" w:rsidRPr="007B1B69" w14:paraId="7BF95B36"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39AA6027" w14:textId="77777777" w:rsidR="007B1B69" w:rsidRPr="007B1B69" w:rsidRDefault="007B1B69" w:rsidP="007B1B69">
            <w:pPr>
              <w:pStyle w:val="Body"/>
              <w:spacing w:after="0"/>
              <w:rPr>
                <w:rFonts w:ascii="Arial" w:hAnsi="Arial" w:cs="Arial"/>
              </w:rPr>
            </w:pPr>
            <w:r w:rsidRPr="007B1B69">
              <w:rPr>
                <w:rFonts w:ascii="Arial" w:hAnsi="Arial" w:cs="Arial"/>
              </w:rPr>
              <w:t>Fungicide</w:t>
            </w:r>
          </w:p>
        </w:tc>
        <w:tc>
          <w:tcPr>
            <w:tcW w:w="929" w:type="dxa"/>
            <w:noWrap/>
            <w:hideMark/>
          </w:tcPr>
          <w:p w14:paraId="58377FA6"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Rubber</w:t>
            </w:r>
          </w:p>
        </w:tc>
        <w:tc>
          <w:tcPr>
            <w:tcW w:w="2079" w:type="dxa"/>
            <w:noWrap/>
            <w:hideMark/>
          </w:tcPr>
          <w:p w14:paraId="6428E815"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DIFEZOLE 250 EC</w:t>
            </w:r>
          </w:p>
        </w:tc>
        <w:tc>
          <w:tcPr>
            <w:tcW w:w="2365" w:type="dxa"/>
            <w:noWrap/>
            <w:hideMark/>
          </w:tcPr>
          <w:p w14:paraId="105C533C"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Difenoconazole</w:t>
            </w:r>
          </w:p>
        </w:tc>
        <w:tc>
          <w:tcPr>
            <w:tcW w:w="1665" w:type="dxa"/>
            <w:noWrap/>
            <w:hideMark/>
          </w:tcPr>
          <w:p w14:paraId="40F1E3F6"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4422</w:t>
            </w:r>
          </w:p>
        </w:tc>
        <w:tc>
          <w:tcPr>
            <w:tcW w:w="1545" w:type="dxa"/>
            <w:noWrap/>
            <w:hideMark/>
          </w:tcPr>
          <w:p w14:paraId="1AC332EE"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773</w:t>
            </w:r>
          </w:p>
        </w:tc>
        <w:tc>
          <w:tcPr>
            <w:tcW w:w="1395" w:type="dxa"/>
            <w:noWrap/>
            <w:hideMark/>
          </w:tcPr>
          <w:p w14:paraId="4D8590C7"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773</w:t>
            </w:r>
          </w:p>
        </w:tc>
        <w:tc>
          <w:tcPr>
            <w:tcW w:w="1304" w:type="dxa"/>
            <w:noWrap/>
            <w:hideMark/>
          </w:tcPr>
          <w:p w14:paraId="1810049A"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272</w:t>
            </w:r>
          </w:p>
        </w:tc>
        <w:tc>
          <w:tcPr>
            <w:tcW w:w="1383" w:type="dxa"/>
            <w:noWrap/>
            <w:hideMark/>
          </w:tcPr>
          <w:p w14:paraId="398D4769"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497</w:t>
            </w:r>
          </w:p>
        </w:tc>
      </w:tr>
      <w:tr w:rsidR="007B1B69" w:rsidRPr="007B1B69" w14:paraId="74866685"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282D1F2E" w14:textId="77777777" w:rsidR="007B1B69" w:rsidRPr="007B1B69" w:rsidRDefault="007B1B69" w:rsidP="007B1B69">
            <w:pPr>
              <w:pStyle w:val="Body"/>
              <w:spacing w:after="0"/>
              <w:rPr>
                <w:rFonts w:ascii="Arial" w:hAnsi="Arial" w:cs="Arial"/>
              </w:rPr>
            </w:pPr>
            <w:r w:rsidRPr="007B1B69">
              <w:rPr>
                <w:rFonts w:ascii="Arial" w:hAnsi="Arial" w:cs="Arial"/>
              </w:rPr>
              <w:t>Fungicide</w:t>
            </w:r>
          </w:p>
        </w:tc>
        <w:tc>
          <w:tcPr>
            <w:tcW w:w="929" w:type="dxa"/>
            <w:noWrap/>
            <w:hideMark/>
          </w:tcPr>
          <w:p w14:paraId="6611E53A"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Rubber</w:t>
            </w:r>
          </w:p>
        </w:tc>
        <w:tc>
          <w:tcPr>
            <w:tcW w:w="2079" w:type="dxa"/>
            <w:noWrap/>
            <w:hideMark/>
          </w:tcPr>
          <w:p w14:paraId="5793C0C7"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SHAVIT F 720 WG</w:t>
            </w:r>
          </w:p>
        </w:tc>
        <w:tc>
          <w:tcPr>
            <w:tcW w:w="2365" w:type="dxa"/>
            <w:noWrap/>
            <w:hideMark/>
          </w:tcPr>
          <w:p w14:paraId="5A5782E9"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Folpet / Triadimenol</w:t>
            </w:r>
          </w:p>
        </w:tc>
        <w:tc>
          <w:tcPr>
            <w:tcW w:w="1665" w:type="dxa"/>
            <w:noWrap/>
            <w:hideMark/>
          </w:tcPr>
          <w:p w14:paraId="6A45FEB5"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1260/6006</w:t>
            </w:r>
          </w:p>
        </w:tc>
        <w:tc>
          <w:tcPr>
            <w:tcW w:w="1545" w:type="dxa"/>
            <w:noWrap/>
            <w:hideMark/>
          </w:tcPr>
          <w:p w14:paraId="1A494C55"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352/819</w:t>
            </w:r>
          </w:p>
        </w:tc>
        <w:tc>
          <w:tcPr>
            <w:tcW w:w="1395" w:type="dxa"/>
            <w:noWrap/>
            <w:hideMark/>
          </w:tcPr>
          <w:p w14:paraId="090225E9"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1172</w:t>
            </w:r>
          </w:p>
        </w:tc>
        <w:tc>
          <w:tcPr>
            <w:tcW w:w="1304" w:type="dxa"/>
            <w:noWrap/>
            <w:hideMark/>
          </w:tcPr>
          <w:p w14:paraId="327504A2"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42/110</w:t>
            </w:r>
          </w:p>
        </w:tc>
        <w:tc>
          <w:tcPr>
            <w:tcW w:w="1383" w:type="dxa"/>
            <w:noWrap/>
            <w:hideMark/>
          </w:tcPr>
          <w:p w14:paraId="4E3F7C0A"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269</w:t>
            </w:r>
          </w:p>
        </w:tc>
      </w:tr>
      <w:tr w:rsidR="007B1B69" w:rsidRPr="007B1B69" w14:paraId="1DBBA28E"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6317E2D1" w14:textId="77777777" w:rsidR="007B1B69" w:rsidRPr="007B1B69" w:rsidRDefault="007B1B69" w:rsidP="007B1B69">
            <w:pPr>
              <w:pStyle w:val="Body"/>
              <w:spacing w:after="0"/>
              <w:rPr>
                <w:rFonts w:ascii="Arial" w:hAnsi="Arial" w:cs="Arial"/>
              </w:rPr>
            </w:pPr>
            <w:r w:rsidRPr="007B1B69">
              <w:rPr>
                <w:rFonts w:ascii="Arial" w:hAnsi="Arial" w:cs="Arial"/>
              </w:rPr>
              <w:t>Fungicide</w:t>
            </w:r>
          </w:p>
        </w:tc>
        <w:tc>
          <w:tcPr>
            <w:tcW w:w="929" w:type="dxa"/>
            <w:noWrap/>
            <w:hideMark/>
          </w:tcPr>
          <w:p w14:paraId="26655859"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Cocoa, Rubber</w:t>
            </w:r>
          </w:p>
        </w:tc>
        <w:tc>
          <w:tcPr>
            <w:tcW w:w="2079" w:type="dxa"/>
            <w:noWrap/>
            <w:hideMark/>
          </w:tcPr>
          <w:p w14:paraId="18FB21CE"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REVUS 250 SC</w:t>
            </w:r>
          </w:p>
        </w:tc>
        <w:tc>
          <w:tcPr>
            <w:tcW w:w="2365" w:type="dxa"/>
            <w:noWrap/>
            <w:hideMark/>
          </w:tcPr>
          <w:p w14:paraId="754C9CA5"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7B1B69">
              <w:rPr>
                <w:rFonts w:ascii="Arial" w:hAnsi="Arial" w:cs="Arial"/>
              </w:rPr>
              <w:t>Mandipropamide</w:t>
            </w:r>
            <w:proofErr w:type="spellEnd"/>
          </w:p>
        </w:tc>
        <w:tc>
          <w:tcPr>
            <w:tcW w:w="1665" w:type="dxa"/>
            <w:noWrap/>
            <w:hideMark/>
          </w:tcPr>
          <w:p w14:paraId="17226AB8"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2401</w:t>
            </w:r>
          </w:p>
        </w:tc>
        <w:tc>
          <w:tcPr>
            <w:tcW w:w="1545" w:type="dxa"/>
            <w:noWrap/>
            <w:hideMark/>
          </w:tcPr>
          <w:p w14:paraId="1E64C33A"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323</w:t>
            </w:r>
          </w:p>
        </w:tc>
        <w:tc>
          <w:tcPr>
            <w:tcW w:w="1395" w:type="dxa"/>
            <w:noWrap/>
            <w:hideMark/>
          </w:tcPr>
          <w:p w14:paraId="1AA24C42"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323</w:t>
            </w:r>
          </w:p>
        </w:tc>
        <w:tc>
          <w:tcPr>
            <w:tcW w:w="1304" w:type="dxa"/>
            <w:noWrap/>
            <w:hideMark/>
          </w:tcPr>
          <w:p w14:paraId="5F543EB1"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116</w:t>
            </w:r>
          </w:p>
        </w:tc>
        <w:tc>
          <w:tcPr>
            <w:tcW w:w="1383" w:type="dxa"/>
            <w:noWrap/>
            <w:hideMark/>
          </w:tcPr>
          <w:p w14:paraId="3DF5E76A"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305</w:t>
            </w:r>
          </w:p>
        </w:tc>
      </w:tr>
      <w:tr w:rsidR="007B1B69" w:rsidRPr="007B1B69" w14:paraId="60C27926"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4257DB48" w14:textId="77777777" w:rsidR="007B1B69" w:rsidRPr="007B1B69" w:rsidRDefault="007B1B69" w:rsidP="007B1B69">
            <w:pPr>
              <w:pStyle w:val="Body"/>
              <w:spacing w:after="0"/>
              <w:rPr>
                <w:rFonts w:ascii="Arial" w:hAnsi="Arial" w:cs="Arial"/>
              </w:rPr>
            </w:pPr>
            <w:r w:rsidRPr="007B1B69">
              <w:rPr>
                <w:rFonts w:ascii="Arial" w:hAnsi="Arial" w:cs="Arial"/>
              </w:rPr>
              <w:t>Herbicide</w:t>
            </w:r>
          </w:p>
        </w:tc>
        <w:tc>
          <w:tcPr>
            <w:tcW w:w="929" w:type="dxa"/>
            <w:noWrap/>
            <w:hideMark/>
          </w:tcPr>
          <w:p w14:paraId="3F842DC0"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Rice</w:t>
            </w:r>
          </w:p>
        </w:tc>
        <w:tc>
          <w:tcPr>
            <w:tcW w:w="2079" w:type="dxa"/>
            <w:noWrap/>
            <w:hideMark/>
          </w:tcPr>
          <w:p w14:paraId="4CDBFB5C"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BON RIZ 200 WP</w:t>
            </w:r>
          </w:p>
        </w:tc>
        <w:tc>
          <w:tcPr>
            <w:tcW w:w="2365" w:type="dxa"/>
            <w:noWrap/>
            <w:hideMark/>
          </w:tcPr>
          <w:p w14:paraId="2E46E5BE"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7B1B69">
              <w:rPr>
                <w:rFonts w:ascii="Arial" w:hAnsi="Arial" w:cs="Arial"/>
              </w:rPr>
              <w:t>Metsulfuron</w:t>
            </w:r>
            <w:proofErr w:type="spellEnd"/>
            <w:r w:rsidRPr="007B1B69">
              <w:rPr>
                <w:rFonts w:ascii="Arial" w:hAnsi="Arial" w:cs="Arial"/>
              </w:rPr>
              <w:t>-methyl</w:t>
            </w:r>
          </w:p>
        </w:tc>
        <w:tc>
          <w:tcPr>
            <w:tcW w:w="1665" w:type="dxa"/>
            <w:noWrap/>
            <w:hideMark/>
          </w:tcPr>
          <w:p w14:paraId="70E88462"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1056</w:t>
            </w:r>
          </w:p>
        </w:tc>
        <w:tc>
          <w:tcPr>
            <w:tcW w:w="1545" w:type="dxa"/>
            <w:noWrap/>
            <w:hideMark/>
          </w:tcPr>
          <w:p w14:paraId="232BA60E"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92</w:t>
            </w:r>
          </w:p>
        </w:tc>
        <w:tc>
          <w:tcPr>
            <w:tcW w:w="1395" w:type="dxa"/>
            <w:noWrap/>
            <w:hideMark/>
          </w:tcPr>
          <w:p w14:paraId="5C8E23B4"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92</w:t>
            </w:r>
          </w:p>
        </w:tc>
        <w:tc>
          <w:tcPr>
            <w:tcW w:w="1304" w:type="dxa"/>
            <w:noWrap/>
            <w:hideMark/>
          </w:tcPr>
          <w:p w14:paraId="53FC8835"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15</w:t>
            </w:r>
          </w:p>
        </w:tc>
        <w:tc>
          <w:tcPr>
            <w:tcW w:w="1383" w:type="dxa"/>
            <w:noWrap/>
            <w:hideMark/>
          </w:tcPr>
          <w:p w14:paraId="1A022E9A"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15</w:t>
            </w:r>
          </w:p>
        </w:tc>
      </w:tr>
      <w:tr w:rsidR="007B1B69" w:rsidRPr="007B1B69" w14:paraId="096DD8AD"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1FAE9148" w14:textId="77777777" w:rsidR="007B1B69" w:rsidRPr="007B1B69" w:rsidRDefault="007B1B69" w:rsidP="007B1B69">
            <w:pPr>
              <w:pStyle w:val="Body"/>
              <w:spacing w:after="0"/>
              <w:rPr>
                <w:rFonts w:ascii="Arial" w:hAnsi="Arial" w:cs="Arial"/>
              </w:rPr>
            </w:pPr>
            <w:r w:rsidRPr="007B1B69">
              <w:rPr>
                <w:rFonts w:ascii="Arial" w:hAnsi="Arial" w:cs="Arial"/>
              </w:rPr>
              <w:t>Herbicide</w:t>
            </w:r>
          </w:p>
        </w:tc>
        <w:tc>
          <w:tcPr>
            <w:tcW w:w="929" w:type="dxa"/>
            <w:noWrap/>
            <w:hideMark/>
          </w:tcPr>
          <w:p w14:paraId="07082EE8"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Rice</w:t>
            </w:r>
          </w:p>
        </w:tc>
        <w:tc>
          <w:tcPr>
            <w:tcW w:w="2079" w:type="dxa"/>
            <w:noWrap/>
            <w:hideMark/>
          </w:tcPr>
          <w:p w14:paraId="5FFC3326"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CALRIZ 432 EC</w:t>
            </w:r>
          </w:p>
        </w:tc>
        <w:tc>
          <w:tcPr>
            <w:tcW w:w="2365" w:type="dxa"/>
            <w:noWrap/>
            <w:hideMark/>
          </w:tcPr>
          <w:p w14:paraId="694333D6"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Propanil / Triclopyr</w:t>
            </w:r>
          </w:p>
        </w:tc>
        <w:tc>
          <w:tcPr>
            <w:tcW w:w="1665" w:type="dxa"/>
            <w:noWrap/>
            <w:hideMark/>
          </w:tcPr>
          <w:p w14:paraId="52287C52"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961/3721</w:t>
            </w:r>
          </w:p>
        </w:tc>
        <w:tc>
          <w:tcPr>
            <w:tcW w:w="1545" w:type="dxa"/>
            <w:noWrap/>
            <w:hideMark/>
          </w:tcPr>
          <w:p w14:paraId="76363EFC"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1040/1488</w:t>
            </w:r>
          </w:p>
        </w:tc>
        <w:tc>
          <w:tcPr>
            <w:tcW w:w="1395" w:type="dxa"/>
            <w:noWrap/>
            <w:hideMark/>
          </w:tcPr>
          <w:p w14:paraId="1A1B4AA7"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2528</w:t>
            </w:r>
          </w:p>
        </w:tc>
        <w:tc>
          <w:tcPr>
            <w:tcW w:w="1304" w:type="dxa"/>
            <w:noWrap/>
            <w:hideMark/>
          </w:tcPr>
          <w:p w14:paraId="240B9AF2"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132/105</w:t>
            </w:r>
          </w:p>
        </w:tc>
        <w:tc>
          <w:tcPr>
            <w:tcW w:w="1383" w:type="dxa"/>
            <w:noWrap/>
            <w:hideMark/>
          </w:tcPr>
          <w:p w14:paraId="6C440B2E"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237</w:t>
            </w:r>
          </w:p>
        </w:tc>
      </w:tr>
      <w:tr w:rsidR="007B1B69" w:rsidRPr="007B1B69" w14:paraId="3D0BD321"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561E2D27" w14:textId="77777777" w:rsidR="007B1B69" w:rsidRPr="007B1B69" w:rsidRDefault="007B1B69" w:rsidP="007B1B69">
            <w:pPr>
              <w:pStyle w:val="Body"/>
              <w:spacing w:after="0"/>
              <w:rPr>
                <w:rFonts w:ascii="Arial" w:hAnsi="Arial" w:cs="Arial"/>
              </w:rPr>
            </w:pPr>
            <w:r w:rsidRPr="007B1B69">
              <w:rPr>
                <w:rFonts w:ascii="Arial" w:hAnsi="Arial" w:cs="Arial"/>
              </w:rPr>
              <w:t>Herbicide</w:t>
            </w:r>
          </w:p>
        </w:tc>
        <w:tc>
          <w:tcPr>
            <w:tcW w:w="929" w:type="dxa"/>
            <w:noWrap/>
            <w:hideMark/>
          </w:tcPr>
          <w:p w14:paraId="5EB715DF"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Rice</w:t>
            </w:r>
          </w:p>
        </w:tc>
        <w:tc>
          <w:tcPr>
            <w:tcW w:w="2079" w:type="dxa"/>
            <w:noWrap/>
            <w:hideMark/>
          </w:tcPr>
          <w:p w14:paraId="30CEEAA6"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GARIL 432 EC</w:t>
            </w:r>
          </w:p>
        </w:tc>
        <w:tc>
          <w:tcPr>
            <w:tcW w:w="2365" w:type="dxa"/>
            <w:noWrap/>
            <w:hideMark/>
          </w:tcPr>
          <w:p w14:paraId="0D0CA598"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Triclopyr / Propanil</w:t>
            </w:r>
          </w:p>
        </w:tc>
        <w:tc>
          <w:tcPr>
            <w:tcW w:w="1665" w:type="dxa"/>
            <w:noWrap/>
            <w:hideMark/>
          </w:tcPr>
          <w:p w14:paraId="3939700B"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3721/961</w:t>
            </w:r>
          </w:p>
        </w:tc>
        <w:tc>
          <w:tcPr>
            <w:tcW w:w="1545" w:type="dxa"/>
            <w:noWrap/>
            <w:hideMark/>
          </w:tcPr>
          <w:p w14:paraId="6B8C15D5"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1488/1040</w:t>
            </w:r>
          </w:p>
        </w:tc>
        <w:tc>
          <w:tcPr>
            <w:tcW w:w="1395" w:type="dxa"/>
            <w:noWrap/>
            <w:hideMark/>
          </w:tcPr>
          <w:p w14:paraId="782E8349"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2528</w:t>
            </w:r>
          </w:p>
        </w:tc>
        <w:tc>
          <w:tcPr>
            <w:tcW w:w="1304" w:type="dxa"/>
            <w:noWrap/>
            <w:hideMark/>
          </w:tcPr>
          <w:p w14:paraId="2B6F91EA"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105/132</w:t>
            </w:r>
          </w:p>
        </w:tc>
        <w:tc>
          <w:tcPr>
            <w:tcW w:w="1383" w:type="dxa"/>
            <w:noWrap/>
            <w:hideMark/>
          </w:tcPr>
          <w:p w14:paraId="723D845D"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237</w:t>
            </w:r>
          </w:p>
        </w:tc>
      </w:tr>
      <w:tr w:rsidR="007B1B69" w:rsidRPr="007B1B69" w14:paraId="3CBB5340"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09AF6FD5" w14:textId="77777777" w:rsidR="007B1B69" w:rsidRPr="007B1B69" w:rsidRDefault="007B1B69" w:rsidP="007B1B69">
            <w:pPr>
              <w:pStyle w:val="Body"/>
              <w:spacing w:after="0"/>
              <w:rPr>
                <w:rFonts w:ascii="Arial" w:hAnsi="Arial" w:cs="Arial"/>
              </w:rPr>
            </w:pPr>
            <w:r w:rsidRPr="007B1B69">
              <w:rPr>
                <w:rFonts w:ascii="Arial" w:hAnsi="Arial" w:cs="Arial"/>
              </w:rPr>
              <w:t>Herbicide</w:t>
            </w:r>
          </w:p>
        </w:tc>
        <w:tc>
          <w:tcPr>
            <w:tcW w:w="929" w:type="dxa"/>
            <w:noWrap/>
            <w:hideMark/>
          </w:tcPr>
          <w:p w14:paraId="2A6205DD"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Rice</w:t>
            </w:r>
          </w:p>
        </w:tc>
        <w:tc>
          <w:tcPr>
            <w:tcW w:w="2079" w:type="dxa"/>
            <w:noWrap/>
            <w:hideMark/>
          </w:tcPr>
          <w:p w14:paraId="0D87ADB4"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HERBIVORE 315 EC</w:t>
            </w:r>
          </w:p>
        </w:tc>
        <w:tc>
          <w:tcPr>
            <w:tcW w:w="2365" w:type="dxa"/>
            <w:noWrap/>
            <w:hideMark/>
          </w:tcPr>
          <w:p w14:paraId="291F91A2"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 xml:space="preserve">Propanil / </w:t>
            </w:r>
            <w:proofErr w:type="spellStart"/>
            <w:r w:rsidRPr="007B1B69">
              <w:rPr>
                <w:rFonts w:ascii="Arial" w:hAnsi="Arial" w:cs="Arial"/>
              </w:rPr>
              <w:t>Thiobencarb</w:t>
            </w:r>
            <w:proofErr w:type="spellEnd"/>
          </w:p>
        </w:tc>
        <w:tc>
          <w:tcPr>
            <w:tcW w:w="1665" w:type="dxa"/>
            <w:noWrap/>
            <w:hideMark/>
          </w:tcPr>
          <w:p w14:paraId="3B22B304"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961/1444</w:t>
            </w:r>
          </w:p>
        </w:tc>
        <w:tc>
          <w:tcPr>
            <w:tcW w:w="1545" w:type="dxa"/>
            <w:noWrap/>
            <w:hideMark/>
          </w:tcPr>
          <w:p w14:paraId="3D3A7F03"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1040/810</w:t>
            </w:r>
          </w:p>
        </w:tc>
        <w:tc>
          <w:tcPr>
            <w:tcW w:w="1395" w:type="dxa"/>
            <w:noWrap/>
            <w:hideMark/>
          </w:tcPr>
          <w:p w14:paraId="082778C6"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1850</w:t>
            </w:r>
          </w:p>
        </w:tc>
        <w:tc>
          <w:tcPr>
            <w:tcW w:w="1304" w:type="dxa"/>
            <w:noWrap/>
            <w:hideMark/>
          </w:tcPr>
          <w:p w14:paraId="6D50FFDF"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132/36</w:t>
            </w:r>
          </w:p>
        </w:tc>
        <w:tc>
          <w:tcPr>
            <w:tcW w:w="1383" w:type="dxa"/>
            <w:noWrap/>
            <w:hideMark/>
          </w:tcPr>
          <w:p w14:paraId="5774F3D7"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168</w:t>
            </w:r>
          </w:p>
        </w:tc>
      </w:tr>
      <w:tr w:rsidR="007B1B69" w:rsidRPr="007B1B69" w14:paraId="4EDAB922"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79759769" w14:textId="77777777" w:rsidR="007B1B69" w:rsidRPr="007B1B69" w:rsidRDefault="007B1B69" w:rsidP="007B1B69">
            <w:pPr>
              <w:pStyle w:val="Body"/>
              <w:spacing w:after="0"/>
              <w:rPr>
                <w:rFonts w:ascii="Arial" w:hAnsi="Arial" w:cs="Arial"/>
              </w:rPr>
            </w:pPr>
            <w:r w:rsidRPr="007B1B69">
              <w:rPr>
                <w:rFonts w:ascii="Arial" w:hAnsi="Arial" w:cs="Arial"/>
              </w:rPr>
              <w:t>Herbicide</w:t>
            </w:r>
          </w:p>
        </w:tc>
        <w:tc>
          <w:tcPr>
            <w:tcW w:w="929" w:type="dxa"/>
            <w:noWrap/>
            <w:hideMark/>
          </w:tcPr>
          <w:p w14:paraId="2F3E9D31"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Rice</w:t>
            </w:r>
          </w:p>
        </w:tc>
        <w:tc>
          <w:tcPr>
            <w:tcW w:w="2079" w:type="dxa"/>
            <w:noWrap/>
            <w:hideMark/>
          </w:tcPr>
          <w:p w14:paraId="102138FF"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IDEAL 200 WP</w:t>
            </w:r>
          </w:p>
        </w:tc>
        <w:tc>
          <w:tcPr>
            <w:tcW w:w="2365" w:type="dxa"/>
            <w:noWrap/>
            <w:hideMark/>
          </w:tcPr>
          <w:p w14:paraId="65943A18"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7B1B69">
              <w:rPr>
                <w:rFonts w:ascii="Arial" w:hAnsi="Arial" w:cs="Arial"/>
              </w:rPr>
              <w:t>Metsulfuron</w:t>
            </w:r>
            <w:proofErr w:type="spellEnd"/>
          </w:p>
        </w:tc>
        <w:tc>
          <w:tcPr>
            <w:tcW w:w="1665" w:type="dxa"/>
            <w:noWrap/>
            <w:hideMark/>
          </w:tcPr>
          <w:p w14:paraId="0285920D"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1056</w:t>
            </w:r>
          </w:p>
        </w:tc>
        <w:tc>
          <w:tcPr>
            <w:tcW w:w="1545" w:type="dxa"/>
            <w:noWrap/>
            <w:hideMark/>
          </w:tcPr>
          <w:p w14:paraId="59409C57"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92</w:t>
            </w:r>
          </w:p>
        </w:tc>
        <w:tc>
          <w:tcPr>
            <w:tcW w:w="1395" w:type="dxa"/>
            <w:noWrap/>
            <w:hideMark/>
          </w:tcPr>
          <w:p w14:paraId="1EBAA87A"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92</w:t>
            </w:r>
          </w:p>
        </w:tc>
        <w:tc>
          <w:tcPr>
            <w:tcW w:w="1304" w:type="dxa"/>
            <w:noWrap/>
            <w:hideMark/>
          </w:tcPr>
          <w:p w14:paraId="79DE05E4"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20</w:t>
            </w:r>
          </w:p>
        </w:tc>
        <w:tc>
          <w:tcPr>
            <w:tcW w:w="1383" w:type="dxa"/>
            <w:noWrap/>
            <w:hideMark/>
          </w:tcPr>
          <w:p w14:paraId="5594F729"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20</w:t>
            </w:r>
          </w:p>
        </w:tc>
      </w:tr>
      <w:tr w:rsidR="007B1B69" w:rsidRPr="007B1B69" w14:paraId="393612E3"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37FD3401" w14:textId="77777777" w:rsidR="007B1B69" w:rsidRPr="007B1B69" w:rsidRDefault="007B1B69" w:rsidP="007B1B69">
            <w:pPr>
              <w:pStyle w:val="Body"/>
              <w:spacing w:after="0"/>
              <w:rPr>
                <w:rFonts w:ascii="Arial" w:hAnsi="Arial" w:cs="Arial"/>
              </w:rPr>
            </w:pPr>
            <w:r w:rsidRPr="007B1B69">
              <w:rPr>
                <w:rFonts w:ascii="Arial" w:hAnsi="Arial" w:cs="Arial"/>
              </w:rPr>
              <w:t>Herbicide</w:t>
            </w:r>
          </w:p>
        </w:tc>
        <w:tc>
          <w:tcPr>
            <w:tcW w:w="929" w:type="dxa"/>
            <w:noWrap/>
            <w:hideMark/>
          </w:tcPr>
          <w:p w14:paraId="07C0DE5D"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Rice</w:t>
            </w:r>
          </w:p>
        </w:tc>
        <w:tc>
          <w:tcPr>
            <w:tcW w:w="2079" w:type="dxa"/>
            <w:noWrap/>
            <w:hideMark/>
          </w:tcPr>
          <w:p w14:paraId="0D1F3AA7"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TITAN 100 WP</w:t>
            </w:r>
          </w:p>
        </w:tc>
        <w:tc>
          <w:tcPr>
            <w:tcW w:w="2365" w:type="dxa"/>
            <w:noWrap/>
            <w:hideMark/>
          </w:tcPr>
          <w:p w14:paraId="0219DA3C"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7B1B69">
              <w:rPr>
                <w:rFonts w:ascii="Arial" w:hAnsi="Arial" w:cs="Arial"/>
              </w:rPr>
              <w:t>Metsulfuron</w:t>
            </w:r>
            <w:proofErr w:type="spellEnd"/>
            <w:r w:rsidRPr="007B1B69">
              <w:rPr>
                <w:rFonts w:ascii="Arial" w:hAnsi="Arial" w:cs="Arial"/>
              </w:rPr>
              <w:t>-methyl</w:t>
            </w:r>
          </w:p>
        </w:tc>
        <w:tc>
          <w:tcPr>
            <w:tcW w:w="1665" w:type="dxa"/>
            <w:noWrap/>
            <w:hideMark/>
          </w:tcPr>
          <w:p w14:paraId="34D5E0CD"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1056</w:t>
            </w:r>
          </w:p>
        </w:tc>
        <w:tc>
          <w:tcPr>
            <w:tcW w:w="1545" w:type="dxa"/>
            <w:noWrap/>
            <w:hideMark/>
          </w:tcPr>
          <w:p w14:paraId="0C1DEA60"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132</w:t>
            </w:r>
          </w:p>
        </w:tc>
        <w:tc>
          <w:tcPr>
            <w:tcW w:w="1395" w:type="dxa"/>
            <w:noWrap/>
            <w:hideMark/>
          </w:tcPr>
          <w:p w14:paraId="72B51D71"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132</w:t>
            </w:r>
          </w:p>
        </w:tc>
        <w:tc>
          <w:tcPr>
            <w:tcW w:w="1304" w:type="dxa"/>
            <w:noWrap/>
            <w:hideMark/>
          </w:tcPr>
          <w:p w14:paraId="29377D93"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27</w:t>
            </w:r>
          </w:p>
        </w:tc>
        <w:tc>
          <w:tcPr>
            <w:tcW w:w="1383" w:type="dxa"/>
            <w:noWrap/>
            <w:hideMark/>
          </w:tcPr>
          <w:p w14:paraId="50D93E41"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27</w:t>
            </w:r>
          </w:p>
        </w:tc>
      </w:tr>
      <w:tr w:rsidR="007B1B69" w:rsidRPr="007B1B69" w14:paraId="036275A1"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6A7F6F0C" w14:textId="77777777" w:rsidR="007B1B69" w:rsidRPr="007B1B69" w:rsidRDefault="007B1B69" w:rsidP="007B1B69">
            <w:pPr>
              <w:pStyle w:val="Body"/>
              <w:spacing w:after="0"/>
              <w:rPr>
                <w:rFonts w:ascii="Arial" w:hAnsi="Arial" w:cs="Arial"/>
              </w:rPr>
            </w:pPr>
            <w:r w:rsidRPr="007B1B69">
              <w:rPr>
                <w:rFonts w:ascii="Arial" w:hAnsi="Arial" w:cs="Arial"/>
              </w:rPr>
              <w:t>Insecticide</w:t>
            </w:r>
          </w:p>
        </w:tc>
        <w:tc>
          <w:tcPr>
            <w:tcW w:w="929" w:type="dxa"/>
            <w:noWrap/>
            <w:hideMark/>
          </w:tcPr>
          <w:p w14:paraId="35D3FE5F"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Rice</w:t>
            </w:r>
          </w:p>
        </w:tc>
        <w:tc>
          <w:tcPr>
            <w:tcW w:w="2079" w:type="dxa"/>
            <w:noWrap/>
            <w:hideMark/>
          </w:tcPr>
          <w:p w14:paraId="20D24247"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REGENT 3 GR</w:t>
            </w:r>
          </w:p>
        </w:tc>
        <w:tc>
          <w:tcPr>
            <w:tcW w:w="2365" w:type="dxa"/>
            <w:noWrap/>
            <w:hideMark/>
          </w:tcPr>
          <w:p w14:paraId="3D45675F"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Fipronil</w:t>
            </w:r>
          </w:p>
        </w:tc>
        <w:tc>
          <w:tcPr>
            <w:tcW w:w="1665" w:type="dxa"/>
            <w:noWrap/>
            <w:hideMark/>
          </w:tcPr>
          <w:p w14:paraId="2A9B8F97"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6006</w:t>
            </w:r>
          </w:p>
        </w:tc>
        <w:tc>
          <w:tcPr>
            <w:tcW w:w="1545" w:type="dxa"/>
            <w:noWrap/>
            <w:hideMark/>
          </w:tcPr>
          <w:p w14:paraId="2CE052CC"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1201</w:t>
            </w:r>
          </w:p>
        </w:tc>
        <w:tc>
          <w:tcPr>
            <w:tcW w:w="1395" w:type="dxa"/>
            <w:noWrap/>
            <w:hideMark/>
          </w:tcPr>
          <w:p w14:paraId="34D525C4"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1201</w:t>
            </w:r>
          </w:p>
        </w:tc>
        <w:tc>
          <w:tcPr>
            <w:tcW w:w="1304" w:type="dxa"/>
            <w:noWrap/>
            <w:hideMark/>
          </w:tcPr>
          <w:p w14:paraId="701698E2"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625</w:t>
            </w:r>
          </w:p>
        </w:tc>
        <w:tc>
          <w:tcPr>
            <w:tcW w:w="1383" w:type="dxa"/>
            <w:noWrap/>
            <w:hideMark/>
          </w:tcPr>
          <w:p w14:paraId="2DF3F749"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625</w:t>
            </w:r>
          </w:p>
        </w:tc>
      </w:tr>
      <w:tr w:rsidR="007B1B69" w:rsidRPr="007B1B69" w14:paraId="5A32FB47"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73474740" w14:textId="77777777" w:rsidR="007B1B69" w:rsidRPr="007B1B69" w:rsidRDefault="007B1B69" w:rsidP="007B1B69">
            <w:pPr>
              <w:pStyle w:val="Body"/>
              <w:spacing w:after="0"/>
              <w:rPr>
                <w:rFonts w:ascii="Arial" w:hAnsi="Arial" w:cs="Arial"/>
              </w:rPr>
            </w:pPr>
            <w:r w:rsidRPr="007B1B69">
              <w:rPr>
                <w:rFonts w:ascii="Arial" w:hAnsi="Arial" w:cs="Arial"/>
              </w:rPr>
              <w:t>Insecticide</w:t>
            </w:r>
          </w:p>
        </w:tc>
        <w:tc>
          <w:tcPr>
            <w:tcW w:w="929" w:type="dxa"/>
            <w:noWrap/>
            <w:hideMark/>
          </w:tcPr>
          <w:p w14:paraId="10855112"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Rice</w:t>
            </w:r>
          </w:p>
        </w:tc>
        <w:tc>
          <w:tcPr>
            <w:tcW w:w="2079" w:type="dxa"/>
            <w:noWrap/>
            <w:hideMark/>
          </w:tcPr>
          <w:p w14:paraId="6583EBE4"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TROPIGENT 5 GR</w:t>
            </w:r>
          </w:p>
        </w:tc>
        <w:tc>
          <w:tcPr>
            <w:tcW w:w="2365" w:type="dxa"/>
            <w:noWrap/>
            <w:hideMark/>
          </w:tcPr>
          <w:p w14:paraId="10FD6731"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Fipronil</w:t>
            </w:r>
          </w:p>
        </w:tc>
        <w:tc>
          <w:tcPr>
            <w:tcW w:w="1665" w:type="dxa"/>
            <w:noWrap/>
            <w:hideMark/>
          </w:tcPr>
          <w:p w14:paraId="646C82B6"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6006</w:t>
            </w:r>
          </w:p>
        </w:tc>
        <w:tc>
          <w:tcPr>
            <w:tcW w:w="1545" w:type="dxa"/>
            <w:noWrap/>
            <w:hideMark/>
          </w:tcPr>
          <w:p w14:paraId="31DF7DFF"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1201</w:t>
            </w:r>
          </w:p>
        </w:tc>
        <w:tc>
          <w:tcPr>
            <w:tcW w:w="1395" w:type="dxa"/>
            <w:noWrap/>
            <w:hideMark/>
          </w:tcPr>
          <w:p w14:paraId="65F17F78"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1201</w:t>
            </w:r>
          </w:p>
        </w:tc>
        <w:tc>
          <w:tcPr>
            <w:tcW w:w="1304" w:type="dxa"/>
            <w:noWrap/>
            <w:hideMark/>
          </w:tcPr>
          <w:p w14:paraId="7CB404A5"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625</w:t>
            </w:r>
          </w:p>
        </w:tc>
        <w:tc>
          <w:tcPr>
            <w:tcW w:w="1383" w:type="dxa"/>
            <w:noWrap/>
            <w:hideMark/>
          </w:tcPr>
          <w:p w14:paraId="212316EB"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625</w:t>
            </w:r>
          </w:p>
        </w:tc>
      </w:tr>
      <w:tr w:rsidR="007B1B69" w:rsidRPr="007B1B69" w14:paraId="0B6AD2CC"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70DEBEB0" w14:textId="77777777" w:rsidR="007B1B69" w:rsidRPr="007B1B69" w:rsidRDefault="007B1B69" w:rsidP="007B1B69">
            <w:pPr>
              <w:pStyle w:val="Body"/>
              <w:spacing w:after="0"/>
              <w:rPr>
                <w:rFonts w:ascii="Arial" w:hAnsi="Arial" w:cs="Arial"/>
              </w:rPr>
            </w:pPr>
            <w:r w:rsidRPr="007B1B69">
              <w:rPr>
                <w:rFonts w:ascii="Arial" w:hAnsi="Arial" w:cs="Arial"/>
              </w:rPr>
              <w:t>Herbicide</w:t>
            </w:r>
          </w:p>
        </w:tc>
        <w:tc>
          <w:tcPr>
            <w:tcW w:w="929" w:type="dxa"/>
            <w:noWrap/>
            <w:hideMark/>
          </w:tcPr>
          <w:p w14:paraId="2C46555B"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All Crops</w:t>
            </w:r>
          </w:p>
        </w:tc>
        <w:tc>
          <w:tcPr>
            <w:tcW w:w="2079" w:type="dxa"/>
            <w:noWrap/>
            <w:hideMark/>
          </w:tcPr>
          <w:p w14:paraId="214561CC"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BALEYAGE 480 SL</w:t>
            </w:r>
          </w:p>
        </w:tc>
        <w:tc>
          <w:tcPr>
            <w:tcW w:w="2365" w:type="dxa"/>
            <w:noWrap/>
            <w:hideMark/>
          </w:tcPr>
          <w:p w14:paraId="7DC58B80"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Glyphosate</w:t>
            </w:r>
          </w:p>
        </w:tc>
        <w:tc>
          <w:tcPr>
            <w:tcW w:w="1665" w:type="dxa"/>
            <w:noWrap/>
            <w:hideMark/>
          </w:tcPr>
          <w:p w14:paraId="1E8596C7"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196</w:t>
            </w:r>
          </w:p>
        </w:tc>
        <w:tc>
          <w:tcPr>
            <w:tcW w:w="1545" w:type="dxa"/>
            <w:noWrap/>
            <w:hideMark/>
          </w:tcPr>
          <w:p w14:paraId="05F60BB7"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78</w:t>
            </w:r>
          </w:p>
        </w:tc>
        <w:tc>
          <w:tcPr>
            <w:tcW w:w="1395" w:type="dxa"/>
            <w:noWrap/>
            <w:hideMark/>
          </w:tcPr>
          <w:p w14:paraId="4B2C2088"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78</w:t>
            </w:r>
          </w:p>
        </w:tc>
        <w:tc>
          <w:tcPr>
            <w:tcW w:w="1304" w:type="dxa"/>
            <w:noWrap/>
            <w:hideMark/>
          </w:tcPr>
          <w:p w14:paraId="76E8CBF5"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w:t>
            </w:r>
          </w:p>
        </w:tc>
        <w:tc>
          <w:tcPr>
            <w:tcW w:w="1383" w:type="dxa"/>
            <w:noWrap/>
            <w:hideMark/>
          </w:tcPr>
          <w:p w14:paraId="5BE56BF1"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w:t>
            </w:r>
          </w:p>
        </w:tc>
      </w:tr>
      <w:tr w:rsidR="007B1B69" w:rsidRPr="007B1B69" w14:paraId="6601C5C2"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1C259236" w14:textId="77777777" w:rsidR="007B1B69" w:rsidRPr="007B1B69" w:rsidRDefault="007B1B69" w:rsidP="007B1B69">
            <w:pPr>
              <w:pStyle w:val="Body"/>
              <w:spacing w:after="0"/>
              <w:rPr>
                <w:rFonts w:ascii="Arial" w:hAnsi="Arial" w:cs="Arial"/>
              </w:rPr>
            </w:pPr>
            <w:r w:rsidRPr="007B1B69">
              <w:rPr>
                <w:rFonts w:ascii="Arial" w:hAnsi="Arial" w:cs="Arial"/>
              </w:rPr>
              <w:t>Herbicide</w:t>
            </w:r>
          </w:p>
        </w:tc>
        <w:tc>
          <w:tcPr>
            <w:tcW w:w="929" w:type="dxa"/>
            <w:noWrap/>
            <w:hideMark/>
          </w:tcPr>
          <w:p w14:paraId="6866DAA3"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All Crops</w:t>
            </w:r>
          </w:p>
        </w:tc>
        <w:tc>
          <w:tcPr>
            <w:tcW w:w="2079" w:type="dxa"/>
            <w:noWrap/>
            <w:hideMark/>
          </w:tcPr>
          <w:p w14:paraId="4CDE81D2"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BALEYAGE 780 SG</w:t>
            </w:r>
          </w:p>
        </w:tc>
        <w:tc>
          <w:tcPr>
            <w:tcW w:w="2365" w:type="dxa"/>
            <w:noWrap/>
            <w:hideMark/>
          </w:tcPr>
          <w:p w14:paraId="0F2730A1"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Glyphosate</w:t>
            </w:r>
          </w:p>
        </w:tc>
        <w:tc>
          <w:tcPr>
            <w:tcW w:w="1665" w:type="dxa"/>
            <w:noWrap/>
            <w:hideMark/>
          </w:tcPr>
          <w:p w14:paraId="6D815412"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196</w:t>
            </w:r>
          </w:p>
        </w:tc>
        <w:tc>
          <w:tcPr>
            <w:tcW w:w="1545" w:type="dxa"/>
            <w:noWrap/>
            <w:hideMark/>
          </w:tcPr>
          <w:p w14:paraId="1583309A"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39</w:t>
            </w:r>
          </w:p>
        </w:tc>
        <w:tc>
          <w:tcPr>
            <w:tcW w:w="1395" w:type="dxa"/>
            <w:noWrap/>
            <w:hideMark/>
          </w:tcPr>
          <w:p w14:paraId="64EC335F"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39</w:t>
            </w:r>
          </w:p>
        </w:tc>
        <w:tc>
          <w:tcPr>
            <w:tcW w:w="1304" w:type="dxa"/>
            <w:noWrap/>
            <w:hideMark/>
          </w:tcPr>
          <w:p w14:paraId="547BC2E4"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w:t>
            </w:r>
          </w:p>
        </w:tc>
        <w:tc>
          <w:tcPr>
            <w:tcW w:w="1383" w:type="dxa"/>
            <w:noWrap/>
            <w:hideMark/>
          </w:tcPr>
          <w:p w14:paraId="2AF07694"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w:t>
            </w:r>
          </w:p>
        </w:tc>
      </w:tr>
      <w:tr w:rsidR="007B1B69" w:rsidRPr="007B1B69" w14:paraId="0D25D4CE"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6D0C93F1" w14:textId="77777777" w:rsidR="007B1B69" w:rsidRPr="007B1B69" w:rsidRDefault="007B1B69" w:rsidP="007B1B69">
            <w:pPr>
              <w:pStyle w:val="Body"/>
              <w:spacing w:after="0"/>
              <w:rPr>
                <w:rFonts w:ascii="Arial" w:hAnsi="Arial" w:cs="Arial"/>
              </w:rPr>
            </w:pPr>
            <w:r w:rsidRPr="007B1B69">
              <w:rPr>
                <w:rFonts w:ascii="Arial" w:hAnsi="Arial" w:cs="Arial"/>
              </w:rPr>
              <w:lastRenderedPageBreak/>
              <w:t>Herbicide</w:t>
            </w:r>
          </w:p>
        </w:tc>
        <w:tc>
          <w:tcPr>
            <w:tcW w:w="929" w:type="dxa"/>
            <w:noWrap/>
            <w:hideMark/>
          </w:tcPr>
          <w:p w14:paraId="1694770B"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All Crops</w:t>
            </w:r>
          </w:p>
        </w:tc>
        <w:tc>
          <w:tcPr>
            <w:tcW w:w="2079" w:type="dxa"/>
            <w:noWrap/>
            <w:hideMark/>
          </w:tcPr>
          <w:p w14:paraId="58A7A973"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BALEYAGE SUPER 200 SL</w:t>
            </w:r>
          </w:p>
        </w:tc>
        <w:tc>
          <w:tcPr>
            <w:tcW w:w="2365" w:type="dxa"/>
            <w:noWrap/>
            <w:hideMark/>
          </w:tcPr>
          <w:p w14:paraId="331C936B"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7B1B69">
              <w:rPr>
                <w:rFonts w:ascii="Arial" w:hAnsi="Arial" w:cs="Arial"/>
              </w:rPr>
              <w:t>Glufosinate</w:t>
            </w:r>
            <w:proofErr w:type="spellEnd"/>
            <w:r w:rsidRPr="007B1B69">
              <w:rPr>
                <w:rFonts w:ascii="Arial" w:hAnsi="Arial" w:cs="Arial"/>
              </w:rPr>
              <w:t>-Ammonium</w:t>
            </w:r>
          </w:p>
        </w:tc>
        <w:tc>
          <w:tcPr>
            <w:tcW w:w="1665" w:type="dxa"/>
            <w:noWrap/>
            <w:hideMark/>
          </w:tcPr>
          <w:p w14:paraId="6A504643"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1849</w:t>
            </w:r>
          </w:p>
        </w:tc>
        <w:tc>
          <w:tcPr>
            <w:tcW w:w="1545" w:type="dxa"/>
            <w:noWrap/>
            <w:hideMark/>
          </w:tcPr>
          <w:p w14:paraId="24A462BD"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739</w:t>
            </w:r>
          </w:p>
        </w:tc>
        <w:tc>
          <w:tcPr>
            <w:tcW w:w="1395" w:type="dxa"/>
            <w:noWrap/>
            <w:hideMark/>
          </w:tcPr>
          <w:p w14:paraId="516CC3CD"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739</w:t>
            </w:r>
          </w:p>
        </w:tc>
        <w:tc>
          <w:tcPr>
            <w:tcW w:w="1304" w:type="dxa"/>
            <w:noWrap/>
            <w:hideMark/>
          </w:tcPr>
          <w:p w14:paraId="54A072D4"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0</w:t>
            </w:r>
          </w:p>
        </w:tc>
        <w:tc>
          <w:tcPr>
            <w:tcW w:w="1383" w:type="dxa"/>
            <w:noWrap/>
            <w:hideMark/>
          </w:tcPr>
          <w:p w14:paraId="2A620350"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0</w:t>
            </w:r>
          </w:p>
        </w:tc>
      </w:tr>
      <w:tr w:rsidR="007B1B69" w:rsidRPr="007B1B69" w14:paraId="6E1A045E"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7F6193E9" w14:textId="77777777" w:rsidR="007B1B69" w:rsidRPr="007B1B69" w:rsidRDefault="007B1B69" w:rsidP="007B1B69">
            <w:pPr>
              <w:pStyle w:val="Body"/>
              <w:spacing w:after="0"/>
              <w:rPr>
                <w:rFonts w:ascii="Arial" w:hAnsi="Arial" w:cs="Arial"/>
              </w:rPr>
            </w:pPr>
            <w:r w:rsidRPr="007B1B69">
              <w:rPr>
                <w:rFonts w:ascii="Arial" w:hAnsi="Arial" w:cs="Arial"/>
              </w:rPr>
              <w:t>Herbicide</w:t>
            </w:r>
          </w:p>
        </w:tc>
        <w:tc>
          <w:tcPr>
            <w:tcW w:w="929" w:type="dxa"/>
            <w:noWrap/>
            <w:hideMark/>
          </w:tcPr>
          <w:p w14:paraId="5D7450DF"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All Crops</w:t>
            </w:r>
          </w:p>
        </w:tc>
        <w:tc>
          <w:tcPr>
            <w:tcW w:w="2079" w:type="dxa"/>
            <w:noWrap/>
            <w:hideMark/>
          </w:tcPr>
          <w:p w14:paraId="524F6556"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BIBANA 480 SL</w:t>
            </w:r>
          </w:p>
        </w:tc>
        <w:tc>
          <w:tcPr>
            <w:tcW w:w="2365" w:type="dxa"/>
            <w:noWrap/>
            <w:hideMark/>
          </w:tcPr>
          <w:p w14:paraId="4AEF646A"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Glyphosate</w:t>
            </w:r>
          </w:p>
        </w:tc>
        <w:tc>
          <w:tcPr>
            <w:tcW w:w="1665" w:type="dxa"/>
            <w:noWrap/>
            <w:hideMark/>
          </w:tcPr>
          <w:p w14:paraId="5CEC1DFB"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196</w:t>
            </w:r>
          </w:p>
        </w:tc>
        <w:tc>
          <w:tcPr>
            <w:tcW w:w="1545" w:type="dxa"/>
            <w:noWrap/>
            <w:hideMark/>
          </w:tcPr>
          <w:p w14:paraId="69472077"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78</w:t>
            </w:r>
          </w:p>
        </w:tc>
        <w:tc>
          <w:tcPr>
            <w:tcW w:w="1395" w:type="dxa"/>
            <w:noWrap/>
            <w:hideMark/>
          </w:tcPr>
          <w:p w14:paraId="68B55FDA"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78</w:t>
            </w:r>
          </w:p>
        </w:tc>
        <w:tc>
          <w:tcPr>
            <w:tcW w:w="1304" w:type="dxa"/>
            <w:noWrap/>
            <w:hideMark/>
          </w:tcPr>
          <w:p w14:paraId="112B1A3F"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w:t>
            </w:r>
          </w:p>
        </w:tc>
        <w:tc>
          <w:tcPr>
            <w:tcW w:w="1383" w:type="dxa"/>
            <w:noWrap/>
            <w:hideMark/>
          </w:tcPr>
          <w:p w14:paraId="3D9A9384"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w:t>
            </w:r>
          </w:p>
        </w:tc>
      </w:tr>
      <w:tr w:rsidR="007B1B69" w:rsidRPr="007B1B69" w14:paraId="72697DD3"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77268D0C" w14:textId="77777777" w:rsidR="007B1B69" w:rsidRPr="007B1B69" w:rsidRDefault="007B1B69" w:rsidP="007B1B69">
            <w:pPr>
              <w:pStyle w:val="Body"/>
              <w:spacing w:after="0"/>
              <w:rPr>
                <w:rFonts w:ascii="Arial" w:hAnsi="Arial" w:cs="Arial"/>
              </w:rPr>
            </w:pPr>
            <w:r w:rsidRPr="007B1B69">
              <w:rPr>
                <w:rFonts w:ascii="Arial" w:hAnsi="Arial" w:cs="Arial"/>
              </w:rPr>
              <w:t>Herbicide</w:t>
            </w:r>
          </w:p>
        </w:tc>
        <w:tc>
          <w:tcPr>
            <w:tcW w:w="929" w:type="dxa"/>
            <w:noWrap/>
            <w:hideMark/>
          </w:tcPr>
          <w:p w14:paraId="1CFDEBCA"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All Crops</w:t>
            </w:r>
          </w:p>
        </w:tc>
        <w:tc>
          <w:tcPr>
            <w:tcW w:w="2079" w:type="dxa"/>
            <w:noWrap/>
            <w:hideMark/>
          </w:tcPr>
          <w:p w14:paraId="544B638C"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BULDOZER 480 SL</w:t>
            </w:r>
          </w:p>
        </w:tc>
        <w:tc>
          <w:tcPr>
            <w:tcW w:w="2365" w:type="dxa"/>
            <w:noWrap/>
            <w:hideMark/>
          </w:tcPr>
          <w:p w14:paraId="6B36D06B"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Glyphosate</w:t>
            </w:r>
          </w:p>
        </w:tc>
        <w:tc>
          <w:tcPr>
            <w:tcW w:w="1665" w:type="dxa"/>
            <w:noWrap/>
            <w:hideMark/>
          </w:tcPr>
          <w:p w14:paraId="30E67B8E"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196</w:t>
            </w:r>
          </w:p>
        </w:tc>
        <w:tc>
          <w:tcPr>
            <w:tcW w:w="1545" w:type="dxa"/>
            <w:noWrap/>
            <w:hideMark/>
          </w:tcPr>
          <w:p w14:paraId="151EB29B"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78</w:t>
            </w:r>
          </w:p>
        </w:tc>
        <w:tc>
          <w:tcPr>
            <w:tcW w:w="1395" w:type="dxa"/>
            <w:noWrap/>
            <w:hideMark/>
          </w:tcPr>
          <w:p w14:paraId="55B6AABD"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78</w:t>
            </w:r>
          </w:p>
        </w:tc>
        <w:tc>
          <w:tcPr>
            <w:tcW w:w="1304" w:type="dxa"/>
            <w:noWrap/>
            <w:hideMark/>
          </w:tcPr>
          <w:p w14:paraId="5BC10AF8"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w:t>
            </w:r>
          </w:p>
        </w:tc>
        <w:tc>
          <w:tcPr>
            <w:tcW w:w="1383" w:type="dxa"/>
            <w:noWrap/>
            <w:hideMark/>
          </w:tcPr>
          <w:p w14:paraId="17CEC508"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w:t>
            </w:r>
          </w:p>
        </w:tc>
      </w:tr>
      <w:tr w:rsidR="007B1B69" w:rsidRPr="007B1B69" w14:paraId="03BAF6B7"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540CF127" w14:textId="77777777" w:rsidR="007B1B69" w:rsidRPr="007B1B69" w:rsidRDefault="007B1B69" w:rsidP="007B1B69">
            <w:pPr>
              <w:pStyle w:val="Body"/>
              <w:spacing w:after="0"/>
              <w:rPr>
                <w:rFonts w:ascii="Arial" w:hAnsi="Arial" w:cs="Arial"/>
              </w:rPr>
            </w:pPr>
            <w:r w:rsidRPr="007B1B69">
              <w:rPr>
                <w:rFonts w:ascii="Arial" w:hAnsi="Arial" w:cs="Arial"/>
              </w:rPr>
              <w:t>Herbicide</w:t>
            </w:r>
          </w:p>
        </w:tc>
        <w:tc>
          <w:tcPr>
            <w:tcW w:w="929" w:type="dxa"/>
            <w:noWrap/>
            <w:hideMark/>
          </w:tcPr>
          <w:p w14:paraId="0F8C356B"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All Crops</w:t>
            </w:r>
          </w:p>
        </w:tc>
        <w:tc>
          <w:tcPr>
            <w:tcW w:w="2079" w:type="dxa"/>
            <w:noWrap/>
            <w:hideMark/>
          </w:tcPr>
          <w:p w14:paraId="10EA11F5"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GLYCOT 480 SL</w:t>
            </w:r>
          </w:p>
        </w:tc>
        <w:tc>
          <w:tcPr>
            <w:tcW w:w="2365" w:type="dxa"/>
            <w:noWrap/>
            <w:hideMark/>
          </w:tcPr>
          <w:p w14:paraId="7EBF8D70"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 xml:space="preserve">Glyphosate </w:t>
            </w:r>
            <w:proofErr w:type="spellStart"/>
            <w:r w:rsidRPr="007B1B69">
              <w:rPr>
                <w:rFonts w:ascii="Arial" w:hAnsi="Arial" w:cs="Arial"/>
              </w:rPr>
              <w:t>isopropylamine</w:t>
            </w:r>
            <w:proofErr w:type="spellEnd"/>
            <w:r w:rsidRPr="007B1B69">
              <w:rPr>
                <w:rFonts w:ascii="Arial" w:hAnsi="Arial" w:cs="Arial"/>
              </w:rPr>
              <w:t xml:space="preserve"> salt</w:t>
            </w:r>
          </w:p>
        </w:tc>
        <w:tc>
          <w:tcPr>
            <w:tcW w:w="1665" w:type="dxa"/>
            <w:noWrap/>
            <w:hideMark/>
          </w:tcPr>
          <w:p w14:paraId="15A1ECB0"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144</w:t>
            </w:r>
          </w:p>
        </w:tc>
        <w:tc>
          <w:tcPr>
            <w:tcW w:w="1545" w:type="dxa"/>
            <w:noWrap/>
            <w:hideMark/>
          </w:tcPr>
          <w:p w14:paraId="0001DE1A"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57</w:t>
            </w:r>
          </w:p>
        </w:tc>
        <w:tc>
          <w:tcPr>
            <w:tcW w:w="1395" w:type="dxa"/>
            <w:noWrap/>
            <w:hideMark/>
          </w:tcPr>
          <w:p w14:paraId="62B24DD4"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57</w:t>
            </w:r>
          </w:p>
        </w:tc>
        <w:tc>
          <w:tcPr>
            <w:tcW w:w="1304" w:type="dxa"/>
            <w:noWrap/>
            <w:hideMark/>
          </w:tcPr>
          <w:p w14:paraId="6D60BBAB"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w:t>
            </w:r>
          </w:p>
        </w:tc>
        <w:tc>
          <w:tcPr>
            <w:tcW w:w="1383" w:type="dxa"/>
            <w:noWrap/>
            <w:hideMark/>
          </w:tcPr>
          <w:p w14:paraId="330C8E47"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w:t>
            </w:r>
          </w:p>
        </w:tc>
      </w:tr>
      <w:tr w:rsidR="007B1B69" w:rsidRPr="007B1B69" w14:paraId="48F14A17"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36977172" w14:textId="77777777" w:rsidR="007B1B69" w:rsidRPr="007B1B69" w:rsidRDefault="007B1B69" w:rsidP="007B1B69">
            <w:pPr>
              <w:pStyle w:val="Body"/>
              <w:spacing w:after="0"/>
              <w:rPr>
                <w:rFonts w:ascii="Arial" w:hAnsi="Arial" w:cs="Arial"/>
              </w:rPr>
            </w:pPr>
            <w:r w:rsidRPr="007B1B69">
              <w:rPr>
                <w:rFonts w:ascii="Arial" w:hAnsi="Arial" w:cs="Arial"/>
              </w:rPr>
              <w:t>Herbicide</w:t>
            </w:r>
          </w:p>
        </w:tc>
        <w:tc>
          <w:tcPr>
            <w:tcW w:w="929" w:type="dxa"/>
            <w:noWrap/>
            <w:hideMark/>
          </w:tcPr>
          <w:p w14:paraId="6AE7E745"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All Crops</w:t>
            </w:r>
          </w:p>
        </w:tc>
        <w:tc>
          <w:tcPr>
            <w:tcW w:w="2079" w:type="dxa"/>
            <w:noWrap/>
            <w:hideMark/>
          </w:tcPr>
          <w:p w14:paraId="5DA03F7F"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GLYPHOTOP 780 SG</w:t>
            </w:r>
          </w:p>
        </w:tc>
        <w:tc>
          <w:tcPr>
            <w:tcW w:w="2365" w:type="dxa"/>
            <w:noWrap/>
            <w:hideMark/>
          </w:tcPr>
          <w:p w14:paraId="67B0C7AC"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Glyphosate ammonium</w:t>
            </w:r>
          </w:p>
        </w:tc>
        <w:tc>
          <w:tcPr>
            <w:tcW w:w="1665" w:type="dxa"/>
            <w:noWrap/>
            <w:hideMark/>
          </w:tcPr>
          <w:p w14:paraId="03E8F7D7"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841</w:t>
            </w:r>
          </w:p>
        </w:tc>
        <w:tc>
          <w:tcPr>
            <w:tcW w:w="1545" w:type="dxa"/>
            <w:noWrap/>
            <w:hideMark/>
          </w:tcPr>
          <w:p w14:paraId="1B78AB3B"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288</w:t>
            </w:r>
          </w:p>
        </w:tc>
        <w:tc>
          <w:tcPr>
            <w:tcW w:w="1395" w:type="dxa"/>
            <w:noWrap/>
            <w:hideMark/>
          </w:tcPr>
          <w:p w14:paraId="7F4DABC7"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288</w:t>
            </w:r>
          </w:p>
        </w:tc>
        <w:tc>
          <w:tcPr>
            <w:tcW w:w="1304" w:type="dxa"/>
            <w:noWrap/>
            <w:hideMark/>
          </w:tcPr>
          <w:p w14:paraId="61C3FE15"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w:t>
            </w:r>
          </w:p>
        </w:tc>
        <w:tc>
          <w:tcPr>
            <w:tcW w:w="1383" w:type="dxa"/>
            <w:noWrap/>
            <w:hideMark/>
          </w:tcPr>
          <w:p w14:paraId="36F75128"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w:t>
            </w:r>
          </w:p>
        </w:tc>
      </w:tr>
      <w:tr w:rsidR="007B1B69" w:rsidRPr="007B1B69" w14:paraId="06919359"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6BB43709" w14:textId="77777777" w:rsidR="007B1B69" w:rsidRPr="007B1B69" w:rsidRDefault="007B1B69" w:rsidP="007B1B69">
            <w:pPr>
              <w:pStyle w:val="Body"/>
              <w:spacing w:after="0"/>
              <w:rPr>
                <w:rFonts w:ascii="Arial" w:hAnsi="Arial" w:cs="Arial"/>
              </w:rPr>
            </w:pPr>
            <w:r w:rsidRPr="007B1B69">
              <w:rPr>
                <w:rFonts w:ascii="Arial" w:hAnsi="Arial" w:cs="Arial"/>
              </w:rPr>
              <w:t>Herbicide</w:t>
            </w:r>
          </w:p>
        </w:tc>
        <w:tc>
          <w:tcPr>
            <w:tcW w:w="929" w:type="dxa"/>
            <w:noWrap/>
            <w:hideMark/>
          </w:tcPr>
          <w:p w14:paraId="7BB03692"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All Crops</w:t>
            </w:r>
          </w:p>
        </w:tc>
        <w:tc>
          <w:tcPr>
            <w:tcW w:w="2079" w:type="dxa"/>
            <w:noWrap/>
            <w:hideMark/>
          </w:tcPr>
          <w:p w14:paraId="322A8B3B"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HERBALM 720 SL</w:t>
            </w:r>
          </w:p>
        </w:tc>
        <w:tc>
          <w:tcPr>
            <w:tcW w:w="2365" w:type="dxa"/>
            <w:noWrap/>
            <w:hideMark/>
          </w:tcPr>
          <w:p w14:paraId="252C2A94"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2,4-D amine salt</w:t>
            </w:r>
          </w:p>
        </w:tc>
        <w:tc>
          <w:tcPr>
            <w:tcW w:w="1665" w:type="dxa"/>
            <w:noWrap/>
            <w:hideMark/>
          </w:tcPr>
          <w:p w14:paraId="2A6A48EF"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3080</w:t>
            </w:r>
          </w:p>
        </w:tc>
        <w:tc>
          <w:tcPr>
            <w:tcW w:w="1545" w:type="dxa"/>
            <w:noWrap/>
            <w:hideMark/>
          </w:tcPr>
          <w:p w14:paraId="4A7CB225"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546</w:t>
            </w:r>
          </w:p>
        </w:tc>
        <w:tc>
          <w:tcPr>
            <w:tcW w:w="1395" w:type="dxa"/>
            <w:noWrap/>
            <w:hideMark/>
          </w:tcPr>
          <w:p w14:paraId="2CCB0D8F"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546</w:t>
            </w:r>
          </w:p>
        </w:tc>
        <w:tc>
          <w:tcPr>
            <w:tcW w:w="1304" w:type="dxa"/>
            <w:noWrap/>
            <w:hideMark/>
          </w:tcPr>
          <w:p w14:paraId="04D3F1CE"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7</w:t>
            </w:r>
          </w:p>
        </w:tc>
        <w:tc>
          <w:tcPr>
            <w:tcW w:w="1383" w:type="dxa"/>
            <w:noWrap/>
            <w:hideMark/>
          </w:tcPr>
          <w:p w14:paraId="51F030EB"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7</w:t>
            </w:r>
          </w:p>
        </w:tc>
      </w:tr>
      <w:tr w:rsidR="007B1B69" w:rsidRPr="007B1B69" w14:paraId="0C91BAF0"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19CE66FF" w14:textId="77777777" w:rsidR="007B1B69" w:rsidRPr="007B1B69" w:rsidRDefault="007B1B69" w:rsidP="007B1B69">
            <w:pPr>
              <w:pStyle w:val="Body"/>
              <w:spacing w:after="0"/>
              <w:rPr>
                <w:rFonts w:ascii="Arial" w:hAnsi="Arial" w:cs="Arial"/>
              </w:rPr>
            </w:pPr>
            <w:r w:rsidRPr="007B1B69">
              <w:rPr>
                <w:rFonts w:ascii="Arial" w:hAnsi="Arial" w:cs="Arial"/>
              </w:rPr>
              <w:t>Herbicide</w:t>
            </w:r>
          </w:p>
        </w:tc>
        <w:tc>
          <w:tcPr>
            <w:tcW w:w="929" w:type="dxa"/>
            <w:noWrap/>
            <w:hideMark/>
          </w:tcPr>
          <w:p w14:paraId="1E51F7D1"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Rice</w:t>
            </w:r>
          </w:p>
        </w:tc>
        <w:tc>
          <w:tcPr>
            <w:tcW w:w="2079" w:type="dxa"/>
            <w:noWrap/>
            <w:hideMark/>
          </w:tcPr>
          <w:p w14:paraId="499CC2B9"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HERBASTOP 720 SL</w:t>
            </w:r>
          </w:p>
        </w:tc>
        <w:tc>
          <w:tcPr>
            <w:tcW w:w="2365" w:type="dxa"/>
            <w:noWrap/>
            <w:hideMark/>
          </w:tcPr>
          <w:p w14:paraId="1DE71D15"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2,4-D amine salt</w:t>
            </w:r>
          </w:p>
        </w:tc>
        <w:tc>
          <w:tcPr>
            <w:tcW w:w="1665" w:type="dxa"/>
            <w:noWrap/>
            <w:hideMark/>
          </w:tcPr>
          <w:p w14:paraId="46537B5B"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3080</w:t>
            </w:r>
          </w:p>
        </w:tc>
        <w:tc>
          <w:tcPr>
            <w:tcW w:w="1545" w:type="dxa"/>
            <w:noWrap/>
            <w:hideMark/>
          </w:tcPr>
          <w:p w14:paraId="0BB02BE7"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546</w:t>
            </w:r>
          </w:p>
        </w:tc>
        <w:tc>
          <w:tcPr>
            <w:tcW w:w="1395" w:type="dxa"/>
            <w:noWrap/>
            <w:hideMark/>
          </w:tcPr>
          <w:p w14:paraId="0090E83B"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546</w:t>
            </w:r>
          </w:p>
        </w:tc>
        <w:tc>
          <w:tcPr>
            <w:tcW w:w="1304" w:type="dxa"/>
            <w:noWrap/>
            <w:hideMark/>
          </w:tcPr>
          <w:p w14:paraId="5229D275"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5</w:t>
            </w:r>
          </w:p>
        </w:tc>
        <w:tc>
          <w:tcPr>
            <w:tcW w:w="1383" w:type="dxa"/>
            <w:noWrap/>
            <w:hideMark/>
          </w:tcPr>
          <w:p w14:paraId="297BC718"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5</w:t>
            </w:r>
          </w:p>
        </w:tc>
      </w:tr>
      <w:tr w:rsidR="007B1B69" w:rsidRPr="007B1B69" w14:paraId="0F5776B5"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4DBD4D26" w14:textId="77777777" w:rsidR="007B1B69" w:rsidRPr="007B1B69" w:rsidRDefault="007B1B69" w:rsidP="007B1B69">
            <w:pPr>
              <w:pStyle w:val="Body"/>
              <w:spacing w:after="0"/>
              <w:rPr>
                <w:rFonts w:ascii="Arial" w:hAnsi="Arial" w:cs="Arial"/>
              </w:rPr>
            </w:pPr>
            <w:r w:rsidRPr="007B1B69">
              <w:rPr>
                <w:rFonts w:ascii="Arial" w:hAnsi="Arial" w:cs="Arial"/>
              </w:rPr>
              <w:t>Herbicide</w:t>
            </w:r>
          </w:p>
        </w:tc>
        <w:tc>
          <w:tcPr>
            <w:tcW w:w="929" w:type="dxa"/>
            <w:noWrap/>
            <w:hideMark/>
          </w:tcPr>
          <w:p w14:paraId="72457AFA"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All Crops</w:t>
            </w:r>
          </w:p>
        </w:tc>
        <w:tc>
          <w:tcPr>
            <w:tcW w:w="2079" w:type="dxa"/>
            <w:noWrap/>
            <w:hideMark/>
          </w:tcPr>
          <w:p w14:paraId="6E8BB04B"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LAMACHETTE 480 SL</w:t>
            </w:r>
          </w:p>
        </w:tc>
        <w:tc>
          <w:tcPr>
            <w:tcW w:w="2365" w:type="dxa"/>
            <w:noWrap/>
            <w:hideMark/>
          </w:tcPr>
          <w:p w14:paraId="7FF7279A"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Glyphosate</w:t>
            </w:r>
          </w:p>
        </w:tc>
        <w:tc>
          <w:tcPr>
            <w:tcW w:w="1665" w:type="dxa"/>
            <w:noWrap/>
            <w:hideMark/>
          </w:tcPr>
          <w:p w14:paraId="47B7309D"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196</w:t>
            </w:r>
          </w:p>
        </w:tc>
        <w:tc>
          <w:tcPr>
            <w:tcW w:w="1545" w:type="dxa"/>
            <w:noWrap/>
            <w:hideMark/>
          </w:tcPr>
          <w:p w14:paraId="59D0BFA4"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78</w:t>
            </w:r>
          </w:p>
        </w:tc>
        <w:tc>
          <w:tcPr>
            <w:tcW w:w="1395" w:type="dxa"/>
            <w:noWrap/>
            <w:hideMark/>
          </w:tcPr>
          <w:p w14:paraId="3854D0CB"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78</w:t>
            </w:r>
          </w:p>
        </w:tc>
        <w:tc>
          <w:tcPr>
            <w:tcW w:w="1304" w:type="dxa"/>
            <w:noWrap/>
            <w:hideMark/>
          </w:tcPr>
          <w:p w14:paraId="28DAC9E6"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w:t>
            </w:r>
          </w:p>
        </w:tc>
        <w:tc>
          <w:tcPr>
            <w:tcW w:w="1383" w:type="dxa"/>
            <w:noWrap/>
            <w:hideMark/>
          </w:tcPr>
          <w:p w14:paraId="6C804156"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w:t>
            </w:r>
          </w:p>
        </w:tc>
      </w:tr>
      <w:tr w:rsidR="007B1B69" w:rsidRPr="007B1B69" w14:paraId="4B592674"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2971B7FA" w14:textId="77777777" w:rsidR="007B1B69" w:rsidRPr="007B1B69" w:rsidRDefault="007B1B69" w:rsidP="007B1B69">
            <w:pPr>
              <w:pStyle w:val="Body"/>
              <w:spacing w:after="0"/>
              <w:rPr>
                <w:rFonts w:ascii="Arial" w:hAnsi="Arial" w:cs="Arial"/>
              </w:rPr>
            </w:pPr>
            <w:r w:rsidRPr="007B1B69">
              <w:rPr>
                <w:rFonts w:ascii="Arial" w:hAnsi="Arial" w:cs="Arial"/>
              </w:rPr>
              <w:t>Herbicide</w:t>
            </w:r>
          </w:p>
        </w:tc>
        <w:tc>
          <w:tcPr>
            <w:tcW w:w="929" w:type="dxa"/>
            <w:noWrap/>
            <w:hideMark/>
          </w:tcPr>
          <w:p w14:paraId="0AABAA78"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All Crops</w:t>
            </w:r>
          </w:p>
        </w:tc>
        <w:tc>
          <w:tcPr>
            <w:tcW w:w="2079" w:type="dxa"/>
            <w:noWrap/>
            <w:hideMark/>
          </w:tcPr>
          <w:p w14:paraId="76B77D5B"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RANGRO 480 SL</w:t>
            </w:r>
          </w:p>
        </w:tc>
        <w:tc>
          <w:tcPr>
            <w:tcW w:w="2365" w:type="dxa"/>
            <w:noWrap/>
            <w:hideMark/>
          </w:tcPr>
          <w:p w14:paraId="7850FC00"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 xml:space="preserve">Glyphosate </w:t>
            </w:r>
            <w:proofErr w:type="spellStart"/>
            <w:r w:rsidRPr="007B1B69">
              <w:rPr>
                <w:rFonts w:ascii="Arial" w:hAnsi="Arial" w:cs="Arial"/>
              </w:rPr>
              <w:t>isopropylamine</w:t>
            </w:r>
            <w:proofErr w:type="spellEnd"/>
            <w:r w:rsidRPr="007B1B69">
              <w:rPr>
                <w:rFonts w:ascii="Arial" w:hAnsi="Arial" w:cs="Arial"/>
              </w:rPr>
              <w:t xml:space="preserve"> salt</w:t>
            </w:r>
          </w:p>
        </w:tc>
        <w:tc>
          <w:tcPr>
            <w:tcW w:w="1665" w:type="dxa"/>
            <w:noWrap/>
            <w:hideMark/>
          </w:tcPr>
          <w:p w14:paraId="55E07439"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144</w:t>
            </w:r>
          </w:p>
        </w:tc>
        <w:tc>
          <w:tcPr>
            <w:tcW w:w="1545" w:type="dxa"/>
            <w:noWrap/>
            <w:hideMark/>
          </w:tcPr>
          <w:p w14:paraId="1ED7A206"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57</w:t>
            </w:r>
          </w:p>
        </w:tc>
        <w:tc>
          <w:tcPr>
            <w:tcW w:w="1395" w:type="dxa"/>
            <w:noWrap/>
            <w:hideMark/>
          </w:tcPr>
          <w:p w14:paraId="516F888F"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57</w:t>
            </w:r>
          </w:p>
        </w:tc>
        <w:tc>
          <w:tcPr>
            <w:tcW w:w="1304" w:type="dxa"/>
            <w:noWrap/>
            <w:hideMark/>
          </w:tcPr>
          <w:p w14:paraId="3ED6C19F"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w:t>
            </w:r>
          </w:p>
        </w:tc>
        <w:tc>
          <w:tcPr>
            <w:tcW w:w="1383" w:type="dxa"/>
            <w:noWrap/>
            <w:hideMark/>
          </w:tcPr>
          <w:p w14:paraId="4FCECB46"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w:t>
            </w:r>
          </w:p>
        </w:tc>
      </w:tr>
      <w:tr w:rsidR="007B1B69" w:rsidRPr="007B1B69" w14:paraId="00DDB435"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36250ACE" w14:textId="77777777" w:rsidR="007B1B69" w:rsidRPr="007B1B69" w:rsidRDefault="007B1B69" w:rsidP="007B1B69">
            <w:pPr>
              <w:pStyle w:val="Body"/>
              <w:spacing w:after="0"/>
              <w:rPr>
                <w:rFonts w:ascii="Arial" w:hAnsi="Arial" w:cs="Arial"/>
              </w:rPr>
            </w:pPr>
            <w:r w:rsidRPr="007B1B69">
              <w:rPr>
                <w:rFonts w:ascii="Arial" w:hAnsi="Arial" w:cs="Arial"/>
              </w:rPr>
              <w:t>Herbicide</w:t>
            </w:r>
          </w:p>
        </w:tc>
        <w:tc>
          <w:tcPr>
            <w:tcW w:w="929" w:type="dxa"/>
            <w:noWrap/>
            <w:hideMark/>
          </w:tcPr>
          <w:p w14:paraId="461C526F"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All Crops</w:t>
            </w:r>
          </w:p>
        </w:tc>
        <w:tc>
          <w:tcPr>
            <w:tcW w:w="2079" w:type="dxa"/>
            <w:noWrap/>
            <w:hideMark/>
          </w:tcPr>
          <w:p w14:paraId="47933EBF"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BIBANA 680 SG</w:t>
            </w:r>
          </w:p>
        </w:tc>
        <w:tc>
          <w:tcPr>
            <w:tcW w:w="2365" w:type="dxa"/>
            <w:noWrap/>
            <w:hideMark/>
          </w:tcPr>
          <w:p w14:paraId="76DAF7BB"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Glyphosate</w:t>
            </w:r>
          </w:p>
        </w:tc>
        <w:tc>
          <w:tcPr>
            <w:tcW w:w="1665" w:type="dxa"/>
            <w:noWrap/>
            <w:hideMark/>
          </w:tcPr>
          <w:p w14:paraId="495EB2AD"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196</w:t>
            </w:r>
          </w:p>
        </w:tc>
        <w:tc>
          <w:tcPr>
            <w:tcW w:w="1545" w:type="dxa"/>
            <w:noWrap/>
            <w:hideMark/>
          </w:tcPr>
          <w:p w14:paraId="50F9667F"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39</w:t>
            </w:r>
          </w:p>
        </w:tc>
        <w:tc>
          <w:tcPr>
            <w:tcW w:w="1395" w:type="dxa"/>
            <w:noWrap/>
            <w:hideMark/>
          </w:tcPr>
          <w:p w14:paraId="0ADDF334"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39</w:t>
            </w:r>
          </w:p>
        </w:tc>
        <w:tc>
          <w:tcPr>
            <w:tcW w:w="1304" w:type="dxa"/>
            <w:noWrap/>
            <w:hideMark/>
          </w:tcPr>
          <w:p w14:paraId="7FC7B5ED"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w:t>
            </w:r>
          </w:p>
        </w:tc>
        <w:tc>
          <w:tcPr>
            <w:tcW w:w="1383" w:type="dxa"/>
            <w:noWrap/>
            <w:hideMark/>
          </w:tcPr>
          <w:p w14:paraId="2B9B5377"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w:t>
            </w:r>
          </w:p>
        </w:tc>
      </w:tr>
      <w:tr w:rsidR="007B1B69" w:rsidRPr="007B1B69" w14:paraId="683860AD"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5456FCAA" w14:textId="77777777" w:rsidR="007B1B69" w:rsidRPr="007B1B69" w:rsidRDefault="007B1B69" w:rsidP="007B1B69">
            <w:pPr>
              <w:pStyle w:val="Body"/>
              <w:spacing w:after="0"/>
              <w:rPr>
                <w:rFonts w:ascii="Arial" w:hAnsi="Arial" w:cs="Arial"/>
              </w:rPr>
            </w:pPr>
            <w:r w:rsidRPr="007B1B69">
              <w:rPr>
                <w:rFonts w:ascii="Arial" w:hAnsi="Arial" w:cs="Arial"/>
              </w:rPr>
              <w:t>Herbicide</w:t>
            </w:r>
          </w:p>
        </w:tc>
        <w:tc>
          <w:tcPr>
            <w:tcW w:w="929" w:type="dxa"/>
            <w:noWrap/>
            <w:hideMark/>
          </w:tcPr>
          <w:p w14:paraId="2827F46E"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All Crops</w:t>
            </w:r>
          </w:p>
        </w:tc>
        <w:tc>
          <w:tcPr>
            <w:tcW w:w="2079" w:type="dxa"/>
            <w:noWrap/>
            <w:hideMark/>
          </w:tcPr>
          <w:p w14:paraId="1FD8E9C5"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DETRU HERB EXTRA 780 WG</w:t>
            </w:r>
          </w:p>
        </w:tc>
        <w:tc>
          <w:tcPr>
            <w:tcW w:w="2365" w:type="dxa"/>
            <w:noWrap/>
            <w:hideMark/>
          </w:tcPr>
          <w:p w14:paraId="5F8CDAD2"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Glyphosate</w:t>
            </w:r>
          </w:p>
        </w:tc>
        <w:tc>
          <w:tcPr>
            <w:tcW w:w="1665" w:type="dxa"/>
            <w:noWrap/>
            <w:hideMark/>
          </w:tcPr>
          <w:p w14:paraId="39B3833B"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196</w:t>
            </w:r>
          </w:p>
        </w:tc>
        <w:tc>
          <w:tcPr>
            <w:tcW w:w="1545" w:type="dxa"/>
            <w:noWrap/>
            <w:hideMark/>
          </w:tcPr>
          <w:p w14:paraId="36BE3937"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39</w:t>
            </w:r>
          </w:p>
        </w:tc>
        <w:tc>
          <w:tcPr>
            <w:tcW w:w="1395" w:type="dxa"/>
            <w:noWrap/>
            <w:hideMark/>
          </w:tcPr>
          <w:p w14:paraId="3AA5B119"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39</w:t>
            </w:r>
          </w:p>
        </w:tc>
        <w:tc>
          <w:tcPr>
            <w:tcW w:w="1304" w:type="dxa"/>
            <w:noWrap/>
            <w:hideMark/>
          </w:tcPr>
          <w:p w14:paraId="0187D5D1"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w:t>
            </w:r>
          </w:p>
        </w:tc>
        <w:tc>
          <w:tcPr>
            <w:tcW w:w="1383" w:type="dxa"/>
            <w:noWrap/>
            <w:hideMark/>
          </w:tcPr>
          <w:p w14:paraId="53225C36"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w:t>
            </w:r>
          </w:p>
        </w:tc>
      </w:tr>
      <w:tr w:rsidR="007B1B69" w:rsidRPr="007B1B69" w14:paraId="40EFB6B3"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55E1C914" w14:textId="77777777" w:rsidR="007B1B69" w:rsidRPr="007B1B69" w:rsidRDefault="007B1B69" w:rsidP="007B1B69">
            <w:pPr>
              <w:pStyle w:val="Body"/>
              <w:spacing w:after="0"/>
              <w:rPr>
                <w:rFonts w:ascii="Arial" w:hAnsi="Arial" w:cs="Arial"/>
              </w:rPr>
            </w:pPr>
            <w:r w:rsidRPr="007B1B69">
              <w:rPr>
                <w:rFonts w:ascii="Arial" w:hAnsi="Arial" w:cs="Arial"/>
              </w:rPr>
              <w:t>Herbicide</w:t>
            </w:r>
          </w:p>
        </w:tc>
        <w:tc>
          <w:tcPr>
            <w:tcW w:w="929" w:type="dxa"/>
            <w:noWrap/>
            <w:hideMark/>
          </w:tcPr>
          <w:p w14:paraId="51EBE43F"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All Crops</w:t>
            </w:r>
          </w:p>
        </w:tc>
        <w:tc>
          <w:tcPr>
            <w:tcW w:w="2079" w:type="dxa"/>
            <w:noWrap/>
            <w:hideMark/>
          </w:tcPr>
          <w:p w14:paraId="61A038E0"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GLYCOT 700 SG</w:t>
            </w:r>
          </w:p>
        </w:tc>
        <w:tc>
          <w:tcPr>
            <w:tcW w:w="2365" w:type="dxa"/>
            <w:noWrap/>
            <w:hideMark/>
          </w:tcPr>
          <w:p w14:paraId="5AB2CA1B"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Glyphosate ammonium salt</w:t>
            </w:r>
          </w:p>
        </w:tc>
        <w:tc>
          <w:tcPr>
            <w:tcW w:w="1665" w:type="dxa"/>
            <w:noWrap/>
            <w:hideMark/>
          </w:tcPr>
          <w:p w14:paraId="18005AC2"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841</w:t>
            </w:r>
          </w:p>
        </w:tc>
        <w:tc>
          <w:tcPr>
            <w:tcW w:w="1545" w:type="dxa"/>
            <w:noWrap/>
            <w:hideMark/>
          </w:tcPr>
          <w:p w14:paraId="60A67BFF"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288</w:t>
            </w:r>
          </w:p>
        </w:tc>
        <w:tc>
          <w:tcPr>
            <w:tcW w:w="1395" w:type="dxa"/>
            <w:noWrap/>
            <w:hideMark/>
          </w:tcPr>
          <w:p w14:paraId="6DEFD654"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288</w:t>
            </w:r>
          </w:p>
        </w:tc>
        <w:tc>
          <w:tcPr>
            <w:tcW w:w="1304" w:type="dxa"/>
            <w:noWrap/>
            <w:hideMark/>
          </w:tcPr>
          <w:p w14:paraId="24FE358D"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w:t>
            </w:r>
          </w:p>
        </w:tc>
        <w:tc>
          <w:tcPr>
            <w:tcW w:w="1383" w:type="dxa"/>
            <w:noWrap/>
            <w:hideMark/>
          </w:tcPr>
          <w:p w14:paraId="47591E64"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w:t>
            </w:r>
          </w:p>
        </w:tc>
      </w:tr>
      <w:tr w:rsidR="007B1B69" w:rsidRPr="007B1B69" w14:paraId="5777E806"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4740B8BC" w14:textId="77777777" w:rsidR="007B1B69" w:rsidRPr="007B1B69" w:rsidRDefault="007B1B69" w:rsidP="007B1B69">
            <w:pPr>
              <w:pStyle w:val="Body"/>
              <w:spacing w:after="0"/>
              <w:rPr>
                <w:rFonts w:ascii="Arial" w:hAnsi="Arial" w:cs="Arial"/>
              </w:rPr>
            </w:pPr>
            <w:r w:rsidRPr="007B1B69">
              <w:rPr>
                <w:rFonts w:ascii="Arial" w:hAnsi="Arial" w:cs="Arial"/>
              </w:rPr>
              <w:t>Herbicide</w:t>
            </w:r>
          </w:p>
        </w:tc>
        <w:tc>
          <w:tcPr>
            <w:tcW w:w="929" w:type="dxa"/>
            <w:noWrap/>
            <w:hideMark/>
          </w:tcPr>
          <w:p w14:paraId="18FBD79F"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All Crops</w:t>
            </w:r>
          </w:p>
        </w:tc>
        <w:tc>
          <w:tcPr>
            <w:tcW w:w="2079" w:type="dxa"/>
            <w:noWrap/>
            <w:hideMark/>
          </w:tcPr>
          <w:p w14:paraId="108BA1A4"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LAMACHETTE 757 WG</w:t>
            </w:r>
          </w:p>
        </w:tc>
        <w:tc>
          <w:tcPr>
            <w:tcW w:w="2365" w:type="dxa"/>
            <w:noWrap/>
            <w:hideMark/>
          </w:tcPr>
          <w:p w14:paraId="57C4D0DE"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Glyphosate</w:t>
            </w:r>
          </w:p>
        </w:tc>
        <w:tc>
          <w:tcPr>
            <w:tcW w:w="1665" w:type="dxa"/>
            <w:noWrap/>
            <w:hideMark/>
          </w:tcPr>
          <w:p w14:paraId="348DA8A5"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196</w:t>
            </w:r>
          </w:p>
        </w:tc>
        <w:tc>
          <w:tcPr>
            <w:tcW w:w="1545" w:type="dxa"/>
            <w:noWrap/>
            <w:hideMark/>
          </w:tcPr>
          <w:p w14:paraId="398B8D2C"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39</w:t>
            </w:r>
          </w:p>
        </w:tc>
        <w:tc>
          <w:tcPr>
            <w:tcW w:w="1395" w:type="dxa"/>
            <w:noWrap/>
            <w:hideMark/>
          </w:tcPr>
          <w:p w14:paraId="39B3928C"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39</w:t>
            </w:r>
          </w:p>
        </w:tc>
        <w:tc>
          <w:tcPr>
            <w:tcW w:w="1304" w:type="dxa"/>
            <w:noWrap/>
            <w:hideMark/>
          </w:tcPr>
          <w:p w14:paraId="3909DC3A"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w:t>
            </w:r>
          </w:p>
        </w:tc>
        <w:tc>
          <w:tcPr>
            <w:tcW w:w="1383" w:type="dxa"/>
            <w:noWrap/>
            <w:hideMark/>
          </w:tcPr>
          <w:p w14:paraId="4A526EF7"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w:t>
            </w:r>
          </w:p>
        </w:tc>
      </w:tr>
      <w:tr w:rsidR="007B1B69" w:rsidRPr="007B1B69" w14:paraId="4BA732CD"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2E0D1668" w14:textId="77777777" w:rsidR="007B1B69" w:rsidRPr="007B1B69" w:rsidRDefault="007B1B69" w:rsidP="007B1B69">
            <w:pPr>
              <w:pStyle w:val="Body"/>
              <w:spacing w:after="0"/>
              <w:rPr>
                <w:rFonts w:ascii="Arial" w:hAnsi="Arial" w:cs="Arial"/>
              </w:rPr>
            </w:pPr>
            <w:r w:rsidRPr="007B1B69">
              <w:rPr>
                <w:rFonts w:ascii="Arial" w:hAnsi="Arial" w:cs="Arial"/>
              </w:rPr>
              <w:t>Herbicide</w:t>
            </w:r>
          </w:p>
        </w:tc>
        <w:tc>
          <w:tcPr>
            <w:tcW w:w="929" w:type="dxa"/>
            <w:noWrap/>
            <w:hideMark/>
          </w:tcPr>
          <w:p w14:paraId="472160A8"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All Crops</w:t>
            </w:r>
          </w:p>
        </w:tc>
        <w:tc>
          <w:tcPr>
            <w:tcW w:w="2079" w:type="dxa"/>
            <w:noWrap/>
            <w:hideMark/>
          </w:tcPr>
          <w:p w14:paraId="6685F4CE"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PUISSANCE 780 SG</w:t>
            </w:r>
          </w:p>
        </w:tc>
        <w:tc>
          <w:tcPr>
            <w:tcW w:w="2365" w:type="dxa"/>
            <w:noWrap/>
            <w:hideMark/>
          </w:tcPr>
          <w:p w14:paraId="3C0D72A1"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Glyphosate</w:t>
            </w:r>
          </w:p>
        </w:tc>
        <w:tc>
          <w:tcPr>
            <w:tcW w:w="1665" w:type="dxa"/>
            <w:noWrap/>
            <w:hideMark/>
          </w:tcPr>
          <w:p w14:paraId="6AF364A0"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196</w:t>
            </w:r>
          </w:p>
        </w:tc>
        <w:tc>
          <w:tcPr>
            <w:tcW w:w="1545" w:type="dxa"/>
            <w:noWrap/>
            <w:hideMark/>
          </w:tcPr>
          <w:p w14:paraId="16683BAC"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39</w:t>
            </w:r>
          </w:p>
        </w:tc>
        <w:tc>
          <w:tcPr>
            <w:tcW w:w="1395" w:type="dxa"/>
            <w:noWrap/>
            <w:hideMark/>
          </w:tcPr>
          <w:p w14:paraId="37C5FE8A"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39</w:t>
            </w:r>
          </w:p>
        </w:tc>
        <w:tc>
          <w:tcPr>
            <w:tcW w:w="1304" w:type="dxa"/>
            <w:noWrap/>
            <w:hideMark/>
          </w:tcPr>
          <w:p w14:paraId="41C2D1CB"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w:t>
            </w:r>
          </w:p>
        </w:tc>
        <w:tc>
          <w:tcPr>
            <w:tcW w:w="1383" w:type="dxa"/>
            <w:noWrap/>
            <w:hideMark/>
          </w:tcPr>
          <w:p w14:paraId="69F73488"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w:t>
            </w:r>
          </w:p>
        </w:tc>
      </w:tr>
      <w:tr w:rsidR="007B1B69" w:rsidRPr="007B1B69" w14:paraId="1499A748" w14:textId="77777777" w:rsidTr="00BB793C">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6854C3CD" w14:textId="77777777" w:rsidR="007B1B69" w:rsidRPr="007B1B69" w:rsidRDefault="007B1B69" w:rsidP="007B1B69">
            <w:pPr>
              <w:pStyle w:val="Body"/>
              <w:spacing w:after="0"/>
              <w:rPr>
                <w:rFonts w:ascii="Arial" w:hAnsi="Arial" w:cs="Arial"/>
              </w:rPr>
            </w:pPr>
            <w:r w:rsidRPr="007B1B69">
              <w:rPr>
                <w:rFonts w:ascii="Arial" w:hAnsi="Arial" w:cs="Arial"/>
              </w:rPr>
              <w:t>Herbicide</w:t>
            </w:r>
          </w:p>
        </w:tc>
        <w:tc>
          <w:tcPr>
            <w:tcW w:w="929" w:type="dxa"/>
            <w:noWrap/>
            <w:hideMark/>
          </w:tcPr>
          <w:p w14:paraId="16E88DCE"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All Crops</w:t>
            </w:r>
          </w:p>
        </w:tc>
        <w:tc>
          <w:tcPr>
            <w:tcW w:w="2079" w:type="dxa"/>
            <w:noWrap/>
            <w:hideMark/>
          </w:tcPr>
          <w:p w14:paraId="7294D4C0"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RANGRO 757 WG</w:t>
            </w:r>
          </w:p>
        </w:tc>
        <w:tc>
          <w:tcPr>
            <w:tcW w:w="2365" w:type="dxa"/>
            <w:noWrap/>
            <w:hideMark/>
          </w:tcPr>
          <w:p w14:paraId="52B2BD70"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Glyphosate</w:t>
            </w:r>
          </w:p>
        </w:tc>
        <w:tc>
          <w:tcPr>
            <w:tcW w:w="1665" w:type="dxa"/>
            <w:noWrap/>
            <w:hideMark/>
          </w:tcPr>
          <w:p w14:paraId="2E1A5CE9"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196</w:t>
            </w:r>
          </w:p>
        </w:tc>
        <w:tc>
          <w:tcPr>
            <w:tcW w:w="1545" w:type="dxa"/>
            <w:noWrap/>
            <w:hideMark/>
          </w:tcPr>
          <w:p w14:paraId="446B2DB6"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39</w:t>
            </w:r>
          </w:p>
        </w:tc>
        <w:tc>
          <w:tcPr>
            <w:tcW w:w="1395" w:type="dxa"/>
            <w:noWrap/>
            <w:hideMark/>
          </w:tcPr>
          <w:p w14:paraId="5EC57B81"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39</w:t>
            </w:r>
          </w:p>
        </w:tc>
        <w:tc>
          <w:tcPr>
            <w:tcW w:w="1304" w:type="dxa"/>
            <w:noWrap/>
            <w:hideMark/>
          </w:tcPr>
          <w:p w14:paraId="591FDC47"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w:t>
            </w:r>
          </w:p>
        </w:tc>
        <w:tc>
          <w:tcPr>
            <w:tcW w:w="1383" w:type="dxa"/>
            <w:noWrap/>
            <w:hideMark/>
          </w:tcPr>
          <w:p w14:paraId="36527685" w14:textId="77777777" w:rsidR="007B1B69" w:rsidRPr="007B1B69" w:rsidRDefault="007B1B69" w:rsidP="007B1B6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B1B69">
              <w:rPr>
                <w:rFonts w:ascii="Arial" w:hAnsi="Arial" w:cs="Arial"/>
              </w:rPr>
              <w:t>1</w:t>
            </w:r>
          </w:p>
        </w:tc>
      </w:tr>
      <w:tr w:rsidR="007B1B69" w:rsidRPr="007B1B69" w14:paraId="22690A3A" w14:textId="77777777" w:rsidTr="00BB793C">
        <w:trPr>
          <w:trHeight w:val="330"/>
          <w:jc w:val="center"/>
        </w:trPr>
        <w:tc>
          <w:tcPr>
            <w:cnfStyle w:val="001000000000" w:firstRow="0" w:lastRow="0" w:firstColumn="1" w:lastColumn="0" w:oddVBand="0" w:evenVBand="0" w:oddHBand="0" w:evenHBand="0" w:firstRowFirstColumn="0" w:firstRowLastColumn="0" w:lastRowFirstColumn="0" w:lastRowLastColumn="0"/>
            <w:tcW w:w="2048" w:type="dxa"/>
            <w:noWrap/>
            <w:hideMark/>
          </w:tcPr>
          <w:p w14:paraId="65B33C43" w14:textId="77777777" w:rsidR="007B1B69" w:rsidRPr="007B1B69" w:rsidRDefault="007B1B69" w:rsidP="007B1B69">
            <w:pPr>
              <w:pStyle w:val="Body"/>
              <w:spacing w:after="0"/>
              <w:rPr>
                <w:rFonts w:ascii="Arial" w:hAnsi="Arial" w:cs="Arial"/>
              </w:rPr>
            </w:pPr>
            <w:r w:rsidRPr="007B1B69">
              <w:rPr>
                <w:rFonts w:ascii="Arial" w:hAnsi="Arial" w:cs="Arial"/>
              </w:rPr>
              <w:t>Herbicide</w:t>
            </w:r>
          </w:p>
        </w:tc>
        <w:tc>
          <w:tcPr>
            <w:tcW w:w="929" w:type="dxa"/>
            <w:noWrap/>
            <w:hideMark/>
          </w:tcPr>
          <w:p w14:paraId="281BBEA4"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Cocoa</w:t>
            </w:r>
          </w:p>
        </w:tc>
        <w:tc>
          <w:tcPr>
            <w:tcW w:w="2079" w:type="dxa"/>
            <w:noWrap/>
            <w:hideMark/>
          </w:tcPr>
          <w:p w14:paraId="4B6D6D6C"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TASMAN 757 SG</w:t>
            </w:r>
          </w:p>
        </w:tc>
        <w:tc>
          <w:tcPr>
            <w:tcW w:w="2365" w:type="dxa"/>
            <w:noWrap/>
            <w:hideMark/>
          </w:tcPr>
          <w:p w14:paraId="400BABE4"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Glyphosate ammonium salt</w:t>
            </w:r>
          </w:p>
        </w:tc>
        <w:tc>
          <w:tcPr>
            <w:tcW w:w="1665" w:type="dxa"/>
            <w:noWrap/>
            <w:hideMark/>
          </w:tcPr>
          <w:p w14:paraId="1ACE13A3"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841</w:t>
            </w:r>
          </w:p>
        </w:tc>
        <w:tc>
          <w:tcPr>
            <w:tcW w:w="1545" w:type="dxa"/>
            <w:noWrap/>
            <w:hideMark/>
          </w:tcPr>
          <w:p w14:paraId="6ED40477"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288</w:t>
            </w:r>
          </w:p>
        </w:tc>
        <w:tc>
          <w:tcPr>
            <w:tcW w:w="1395" w:type="dxa"/>
            <w:noWrap/>
            <w:hideMark/>
          </w:tcPr>
          <w:p w14:paraId="56BC4888"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288</w:t>
            </w:r>
          </w:p>
        </w:tc>
        <w:tc>
          <w:tcPr>
            <w:tcW w:w="1304" w:type="dxa"/>
            <w:noWrap/>
            <w:hideMark/>
          </w:tcPr>
          <w:p w14:paraId="10377AA0"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w:t>
            </w:r>
          </w:p>
        </w:tc>
        <w:tc>
          <w:tcPr>
            <w:tcW w:w="1383" w:type="dxa"/>
            <w:noWrap/>
            <w:hideMark/>
          </w:tcPr>
          <w:p w14:paraId="3B681136" w14:textId="77777777" w:rsidR="007B1B69" w:rsidRPr="007B1B69" w:rsidRDefault="007B1B69" w:rsidP="007B1B6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B1B69">
              <w:rPr>
                <w:rFonts w:ascii="Arial" w:hAnsi="Arial" w:cs="Arial"/>
              </w:rPr>
              <w:t>1</w:t>
            </w:r>
          </w:p>
        </w:tc>
      </w:tr>
    </w:tbl>
    <w:p w14:paraId="32BA2318" w14:textId="77777777" w:rsidR="007B1B69" w:rsidRPr="007B1B69" w:rsidRDefault="007B1B69" w:rsidP="007B1B69">
      <w:pPr>
        <w:pStyle w:val="Body"/>
        <w:spacing w:after="0"/>
        <w:rPr>
          <w:rFonts w:ascii="Arial" w:hAnsi="Arial" w:cs="Arial"/>
          <w:b/>
          <w:bCs/>
          <w:lang w:val="fr-CI"/>
        </w:rPr>
        <w:sectPr w:rsidR="007B1B69" w:rsidRPr="007B1B69" w:rsidSect="009B7B9E">
          <w:pgSz w:w="16838" w:h="11906" w:orient="landscape"/>
          <w:pgMar w:top="1417" w:right="1417" w:bottom="1417" w:left="1417" w:header="708" w:footer="708" w:gutter="0"/>
          <w:cols w:space="708"/>
          <w:docGrid w:linePitch="360"/>
        </w:sectPr>
      </w:pPr>
    </w:p>
    <w:p w14:paraId="62B1B32D" w14:textId="78707A24" w:rsidR="0084086B" w:rsidRPr="0084086B" w:rsidRDefault="0084086B" w:rsidP="0084086B">
      <w:pPr>
        <w:rPr>
          <w:rFonts w:ascii="Arial" w:hAnsi="Arial" w:cs="Arial"/>
          <w:b/>
          <w:caps/>
          <w:sz w:val="22"/>
        </w:rPr>
      </w:pPr>
      <w:r w:rsidRPr="0084086B">
        <w:rPr>
          <w:rFonts w:ascii="Arial" w:hAnsi="Arial" w:cs="Arial"/>
          <w:b/>
          <w:caps/>
          <w:sz w:val="22"/>
        </w:rPr>
        <w:lastRenderedPageBreak/>
        <w:t>4. DISCUSSION</w:t>
      </w:r>
    </w:p>
    <w:p w14:paraId="00170A35" w14:textId="77777777" w:rsidR="0020615D" w:rsidRDefault="0020615D" w:rsidP="0084086B">
      <w:pPr>
        <w:pStyle w:val="Body"/>
        <w:spacing w:after="0"/>
        <w:rPr>
          <w:rFonts w:ascii="Arial" w:hAnsi="Arial" w:cs="Arial"/>
        </w:rPr>
      </w:pPr>
    </w:p>
    <w:p w14:paraId="45C43B07" w14:textId="13A01A20" w:rsidR="0084086B" w:rsidRPr="0084086B" w:rsidRDefault="0084086B" w:rsidP="0084086B">
      <w:pPr>
        <w:pStyle w:val="Body"/>
        <w:spacing w:after="0"/>
        <w:rPr>
          <w:rFonts w:ascii="Arial" w:hAnsi="Arial" w:cs="Arial"/>
        </w:rPr>
      </w:pPr>
      <w:r w:rsidRPr="0084086B">
        <w:rPr>
          <w:rFonts w:ascii="Arial" w:hAnsi="Arial" w:cs="Arial"/>
        </w:rPr>
        <w:t>This study provides the first quantitative application of the Quebec Pesticide Risk Indicator (QPRI) to the complex agricultural landscape of central Ivory Coast, delivering critical data for natural resource management and advancing the agenda of sustainable agriculture. Our results systematically rank pesticide risks, revealing that neonicotinoid insecticides (e.g., imidacloprid, HRI=1521) and their synergistic mixtures (e.g., CABOS PLUS 50 SC, HRI=2109) represent the most significant threat to human health in the region. This finding provides empirical support for regulatory concerns regarding their neurotoxicity and environmental persistence (EFSA et al., 2025). Simultaneously, the assessment demonstrates that triazole fungicides (cyproconazole, HRI=1296) and triclopyr-based herbicides (ERI=237) pose substantial threats to aquatic ecosystems a finding with direct implications for managing water resources like the Gazolilié dam and Lake Labo, and which aligns with research on aquatic contamination risks (Aliste et al., 2021).</w:t>
      </w:r>
    </w:p>
    <w:p w14:paraId="14194B45" w14:textId="77777777" w:rsidR="0084086B" w:rsidRPr="0084086B" w:rsidRDefault="0084086B" w:rsidP="0084086B">
      <w:pPr>
        <w:pStyle w:val="Body"/>
        <w:spacing w:after="0"/>
        <w:rPr>
          <w:rFonts w:ascii="Arial" w:hAnsi="Arial" w:cs="Arial"/>
        </w:rPr>
      </w:pPr>
      <w:r w:rsidRPr="0084086B">
        <w:rPr>
          <w:rFonts w:ascii="Arial" w:hAnsi="Arial" w:cs="Arial"/>
        </w:rPr>
        <w:t>The identification of these high-risk substances achieves a primary objective of this research: providing evidence-based guidance for regulatory prioritization to safeguard ecosystem health and move towards sustainable agricultural practices. The persistence of certain banned or high-risk compounds in agricultural practice underscores a critical implementation gap between national regulations and local farm management (</w:t>
      </w:r>
      <w:proofErr w:type="spellStart"/>
      <w:r w:rsidRPr="0084086B">
        <w:rPr>
          <w:rFonts w:ascii="Arial" w:hAnsi="Arial" w:cs="Arial"/>
        </w:rPr>
        <w:t>Traoré</w:t>
      </w:r>
      <w:proofErr w:type="spellEnd"/>
      <w:r w:rsidRPr="0084086B">
        <w:rPr>
          <w:rFonts w:ascii="Arial" w:hAnsi="Arial" w:cs="Arial"/>
        </w:rPr>
        <w:t xml:space="preserve"> and </w:t>
      </w:r>
      <w:proofErr w:type="spellStart"/>
      <w:r w:rsidRPr="0084086B">
        <w:rPr>
          <w:rFonts w:ascii="Arial" w:hAnsi="Arial" w:cs="Arial"/>
        </w:rPr>
        <w:t>Haggblade</w:t>
      </w:r>
      <w:proofErr w:type="spellEnd"/>
      <w:r w:rsidRPr="0084086B">
        <w:rPr>
          <w:rFonts w:ascii="Arial" w:hAnsi="Arial" w:cs="Arial"/>
        </w:rPr>
        <w:t>, 2017). This disconnect not only threatens human health but also jeopardizes the long-term sustainability of the natural resources upon which agriculture itself depends. Our ecological risk data further validate international findings on neonicotinoid impacts on invertebrate communities (Main et al., 2021; Tosi et al., 2022) and confirm the concerning persistence of triazole compounds in agricultural soils (Roman et al., 2022), highlighting transcontinental patterns of pesticide impacts that necessitate globally-informed but locally-adapted management strategies.</w:t>
      </w:r>
    </w:p>
    <w:p w14:paraId="296953BC" w14:textId="77777777" w:rsidR="0084086B" w:rsidRPr="0084086B" w:rsidRDefault="0084086B" w:rsidP="0084086B">
      <w:pPr>
        <w:pStyle w:val="Body"/>
        <w:spacing w:after="0"/>
        <w:rPr>
          <w:rFonts w:ascii="Arial" w:hAnsi="Arial" w:cs="Arial"/>
        </w:rPr>
      </w:pPr>
      <w:r w:rsidRPr="0084086B">
        <w:rPr>
          <w:rFonts w:ascii="Arial" w:hAnsi="Arial" w:cs="Arial"/>
        </w:rPr>
        <w:t>Notwithstanding these limitations, our findings offer concrete pathways for improving agricultural practices and environmental protection, aligning with the goals of sustainable resource management. Immediate risk reduction could be achieved through targeted substitution of high-risk compounds (HRI&gt;1000) with validated alternatives such as </w:t>
      </w:r>
      <w:r w:rsidRPr="0084086B">
        <w:rPr>
          <w:rFonts w:ascii="Arial" w:hAnsi="Arial" w:cs="Arial"/>
          <w:i/>
          <w:iCs/>
        </w:rPr>
        <w:t>Bacillus subtilis</w:t>
      </w:r>
      <w:r w:rsidRPr="0084086B">
        <w:rPr>
          <w:rFonts w:ascii="Arial" w:hAnsi="Arial" w:cs="Arial"/>
        </w:rPr>
        <w:t> (HRI=1.6), while maintaining awareness of potential trade-offs such as copper accumulation in soils (Mir et al., 2021). Beyond product substitution, we advocate for enhanced farmer training on appropriate protective equipment and application techniques (FAO/WHO, 2018), coupled with strengthened monitoring of vulnerable ecosystems (Pagano et al., 2020). Most importantly, we propose the integration of the QPRI methodology into national pesticide management strategies (</w:t>
      </w:r>
      <w:proofErr w:type="spellStart"/>
      <w:r w:rsidRPr="0084086B">
        <w:rPr>
          <w:rFonts w:ascii="Arial" w:hAnsi="Arial" w:cs="Arial"/>
        </w:rPr>
        <w:t>Bouagga</w:t>
      </w:r>
      <w:proofErr w:type="spellEnd"/>
      <w:r w:rsidRPr="0084086B">
        <w:rPr>
          <w:rFonts w:ascii="Arial" w:hAnsi="Arial" w:cs="Arial"/>
        </w:rPr>
        <w:t xml:space="preserve"> et al., 2016), creating a science-based framework for ongoing evaluation and regulatory updating that aligns with international standards (EFSA et al., 2025).</w:t>
      </w:r>
    </w:p>
    <w:p w14:paraId="48BE1994" w14:textId="77777777" w:rsidR="0084086B" w:rsidRPr="0084086B" w:rsidRDefault="0084086B" w:rsidP="0084086B">
      <w:pPr>
        <w:pStyle w:val="Body"/>
        <w:spacing w:after="0"/>
        <w:rPr>
          <w:rFonts w:ascii="Arial" w:hAnsi="Arial" w:cs="Arial"/>
        </w:rPr>
      </w:pPr>
      <w:r w:rsidRPr="0084086B">
        <w:rPr>
          <w:rFonts w:ascii="Arial" w:hAnsi="Arial" w:cs="Arial"/>
        </w:rPr>
        <w:t>This research demonstrates that standardized risk assessment tools like the QPRI can effectively bridge the gap between agricultural production and environmental conservation by identifying priority intervention points for sustainable pesticide management. The findings provide an evidence base for reorienting both policy and practice toward more sustainable pesticide management in Ivory Coast's key agricultural sectors. Future research should focus on longitudinal studies of farmer health (Panis et al., 2024), environmental monitoring to validate model predictions (Pagano et al., 2020), and economic analyses of alternative pest management strategies (Pretty and Bharucha, 2015). Through such integrated approaches, Ivory Coast and similar agricultural nations can pursue their development objectives while fulfilling their stewardship responsibilities toward natural resources and human well-being within a framework of sustainable development.</w:t>
      </w:r>
    </w:p>
    <w:p w14:paraId="5B78713E" w14:textId="77777777" w:rsidR="0084086B" w:rsidRDefault="0084086B" w:rsidP="0084086B">
      <w:pPr>
        <w:pStyle w:val="Body"/>
        <w:spacing w:after="0"/>
        <w:rPr>
          <w:rFonts w:ascii="Arial" w:hAnsi="Arial" w:cs="Arial"/>
        </w:rPr>
      </w:pPr>
    </w:p>
    <w:p w14:paraId="4C7A0EC1" w14:textId="77777777" w:rsidR="0084086B" w:rsidRDefault="0084086B" w:rsidP="0084086B">
      <w:pPr>
        <w:pStyle w:val="Body"/>
        <w:spacing w:after="0"/>
        <w:rPr>
          <w:rFonts w:ascii="Arial" w:hAnsi="Arial" w:cs="Arial"/>
        </w:rPr>
      </w:pPr>
    </w:p>
    <w:p w14:paraId="5EF5A2E5" w14:textId="77777777" w:rsidR="0084086B" w:rsidRDefault="0084086B" w:rsidP="0084086B">
      <w:pPr>
        <w:pStyle w:val="Body"/>
        <w:spacing w:after="0"/>
        <w:rPr>
          <w:rFonts w:ascii="Arial" w:hAnsi="Arial" w:cs="Arial"/>
        </w:rPr>
      </w:pPr>
    </w:p>
    <w:p w14:paraId="4C93A738" w14:textId="77777777" w:rsidR="007B1B69" w:rsidRPr="00FB3A86" w:rsidRDefault="007B1B69" w:rsidP="00441B6F">
      <w:pPr>
        <w:pStyle w:val="Body"/>
        <w:spacing w:after="0"/>
        <w:rPr>
          <w:rFonts w:ascii="Arial" w:hAnsi="Arial" w:cs="Arial"/>
        </w:rPr>
      </w:pPr>
    </w:p>
    <w:p w14:paraId="761391B5" w14:textId="56B3920C" w:rsidR="00790ADA" w:rsidRPr="00FB3A86" w:rsidRDefault="00D526F9" w:rsidP="00441B6F">
      <w:pPr>
        <w:pStyle w:val="ConcHead"/>
        <w:spacing w:after="0"/>
        <w:jc w:val="both"/>
        <w:rPr>
          <w:rFonts w:ascii="Arial" w:hAnsi="Arial" w:cs="Arial"/>
        </w:rPr>
      </w:pPr>
      <w:r>
        <w:rPr>
          <w:rFonts w:ascii="Arial" w:hAnsi="Arial" w:cs="Arial"/>
        </w:rPr>
        <w:lastRenderedPageBreak/>
        <w:t>5</w:t>
      </w:r>
      <w:r w:rsidR="00000F8F">
        <w:rPr>
          <w:rFonts w:ascii="Arial" w:hAnsi="Arial" w:cs="Arial"/>
        </w:rPr>
        <w:t xml:space="preserve">. </w:t>
      </w:r>
      <w:r w:rsidR="00B01FCD" w:rsidRPr="00FB3A86">
        <w:rPr>
          <w:rFonts w:ascii="Arial" w:hAnsi="Arial" w:cs="Arial"/>
        </w:rPr>
        <w:t>Conclusion</w:t>
      </w:r>
    </w:p>
    <w:p w14:paraId="133479C0" w14:textId="77777777" w:rsidR="0020615D" w:rsidRDefault="0020615D" w:rsidP="0084086B">
      <w:pPr>
        <w:pStyle w:val="Body"/>
        <w:spacing w:after="0"/>
        <w:rPr>
          <w:rFonts w:ascii="Arial" w:hAnsi="Arial" w:cs="Arial"/>
        </w:rPr>
      </w:pPr>
    </w:p>
    <w:p w14:paraId="7062DF6E" w14:textId="37DC22EC" w:rsidR="0084086B" w:rsidRPr="0084086B" w:rsidRDefault="0084086B" w:rsidP="0084086B">
      <w:pPr>
        <w:pStyle w:val="Body"/>
        <w:spacing w:after="0"/>
        <w:rPr>
          <w:rFonts w:ascii="Arial" w:hAnsi="Arial" w:cs="Arial"/>
        </w:rPr>
      </w:pPr>
      <w:r w:rsidRPr="0084086B">
        <w:rPr>
          <w:rFonts w:ascii="Arial" w:hAnsi="Arial" w:cs="Arial"/>
        </w:rPr>
        <w:t>This study confirmed the high risks associated with pesticide use in cocoa, rubber, and rice crops in Lakota department. Insecticides, particularly neonicotinoids like imidacloprid, and triazole fungicides presented the most critical health (HRI) and environmental (ERI) risks, with indices often exceeding 1000. Combined herbicides (e.g., propanil/triclopyr) exacerbated risks, highlighting the urgency of regulating substance mixtures. As the first application of the QPRI in the Ivorian context, this research provides a scientifically validated tool to guide local policies and complements previous work by integrating field data specific to tropical realities. To strengthen the impact of this study, the following avenues are proposed: extending the evaluation to other agricultural regions of Ivory Coast with differentiated pesticide pressures (e.g., cotton basins), integrating socio-economic analyses to assess the cost-benefit of alternatives (biopesticides, agroecological practices) based on established frameworks and developing longitudinal monitoring of chronic exposures among farmers, in partnership with local health structures. This study advocates for an urgent transition to sustainable agricultural practices, combining strict regulation, training of stakeholders, and the adoption of low-risk alternatives to ensure long-term food security and environmental health. The adapted QPRI could serve as a model for other African countries facing similar challenges in their pursuit of agricultural sustainability.</w:t>
      </w:r>
    </w:p>
    <w:p w14:paraId="6A210376" w14:textId="77777777" w:rsidR="0084086B" w:rsidRDefault="0084086B" w:rsidP="00441B6F">
      <w:pPr>
        <w:pStyle w:val="Body"/>
        <w:spacing w:after="0"/>
        <w:rPr>
          <w:rFonts w:ascii="Arial" w:hAnsi="Arial" w:cs="Arial"/>
        </w:rPr>
      </w:pPr>
    </w:p>
    <w:p w14:paraId="5A971BB6" w14:textId="77777777" w:rsidR="00315186" w:rsidRDefault="00315186" w:rsidP="00441B6F"/>
    <w:p w14:paraId="1A5D0D1E" w14:textId="77777777" w:rsidR="0020615D" w:rsidRPr="0020615D" w:rsidRDefault="0020615D" w:rsidP="0020615D">
      <w:pPr>
        <w:rPr>
          <w:rFonts w:ascii="Arial" w:hAnsi="Arial" w:cs="Arial"/>
          <w:b/>
          <w:bCs/>
          <w:sz w:val="22"/>
          <w:szCs w:val="22"/>
        </w:rPr>
      </w:pPr>
      <w:r w:rsidRPr="0020615D">
        <w:rPr>
          <w:rFonts w:ascii="Arial" w:hAnsi="Arial" w:cs="Arial"/>
          <w:b/>
          <w:bCs/>
          <w:sz w:val="22"/>
          <w:szCs w:val="22"/>
        </w:rPr>
        <w:t xml:space="preserve">COMPETING INTERESTS </w:t>
      </w:r>
    </w:p>
    <w:p w14:paraId="4ADA251D" w14:textId="77777777" w:rsidR="0020615D" w:rsidRDefault="0020615D" w:rsidP="0020615D">
      <w:pPr>
        <w:jc w:val="both"/>
        <w:rPr>
          <w:rFonts w:ascii="Arial" w:hAnsi="Arial" w:cs="Arial"/>
        </w:rPr>
      </w:pPr>
    </w:p>
    <w:p w14:paraId="7ECD0645" w14:textId="4A08B37A" w:rsidR="0020615D" w:rsidRDefault="0020615D" w:rsidP="0020615D">
      <w:pPr>
        <w:jc w:val="both"/>
        <w:rPr>
          <w:rFonts w:ascii="Arial" w:hAnsi="Arial" w:cs="Arial"/>
        </w:rPr>
      </w:pPr>
      <w:r w:rsidRPr="0020615D">
        <w:rPr>
          <w:rFonts w:ascii="Arial" w:hAnsi="Arial" w:cs="Arial"/>
        </w:rPr>
        <w:t>Authors have declared that they have no known competing financial interests or non-financial interests or personal relationships that could have appeared to influence the work reported in this paper.</w:t>
      </w:r>
    </w:p>
    <w:p w14:paraId="7ABBCA61" w14:textId="77777777" w:rsidR="003876DC" w:rsidRDefault="003876DC" w:rsidP="0020615D">
      <w:pPr>
        <w:jc w:val="both"/>
        <w:rPr>
          <w:rFonts w:ascii="Arial" w:hAnsi="Arial" w:cs="Arial"/>
        </w:rPr>
      </w:pPr>
    </w:p>
    <w:p w14:paraId="6D7E9593" w14:textId="77777777" w:rsidR="003876DC" w:rsidRDefault="003876DC" w:rsidP="0020615D">
      <w:pPr>
        <w:jc w:val="both"/>
        <w:rPr>
          <w:rFonts w:ascii="Arial" w:hAnsi="Arial" w:cs="Arial"/>
        </w:rPr>
      </w:pPr>
    </w:p>
    <w:p w14:paraId="0C454F0B" w14:textId="77777777" w:rsidR="003876DC" w:rsidRDefault="003876DC" w:rsidP="0020615D">
      <w:pPr>
        <w:jc w:val="both"/>
        <w:rPr>
          <w:rFonts w:ascii="Arial" w:hAnsi="Arial" w:cs="Arial"/>
        </w:rPr>
      </w:pPr>
    </w:p>
    <w:p w14:paraId="75840BFE" w14:textId="77777777" w:rsidR="003876DC" w:rsidRDefault="003876DC" w:rsidP="0020615D">
      <w:pPr>
        <w:jc w:val="both"/>
        <w:rPr>
          <w:rFonts w:ascii="Arial" w:hAnsi="Arial" w:cs="Arial"/>
        </w:rPr>
      </w:pPr>
    </w:p>
    <w:p w14:paraId="1FE338D0" w14:textId="77777777" w:rsidR="003876DC" w:rsidRPr="003876DC" w:rsidRDefault="003876DC" w:rsidP="003876DC">
      <w:pPr>
        <w:jc w:val="both"/>
        <w:rPr>
          <w:rFonts w:ascii="Arial" w:hAnsi="Arial" w:cs="Arial"/>
        </w:rPr>
      </w:pPr>
      <w:r w:rsidRPr="003876DC">
        <w:rPr>
          <w:rFonts w:ascii="Arial" w:hAnsi="Arial" w:cs="Arial"/>
        </w:rPr>
        <w:t>COMPETING INTERESTS DISCLAIMER:</w:t>
      </w:r>
    </w:p>
    <w:p w14:paraId="650AE68F" w14:textId="6B073F6E" w:rsidR="003876DC" w:rsidRDefault="003876DC" w:rsidP="003876DC">
      <w:pPr>
        <w:jc w:val="both"/>
        <w:rPr>
          <w:rFonts w:ascii="Arial" w:hAnsi="Arial" w:cs="Arial"/>
        </w:rPr>
      </w:pPr>
      <w:r w:rsidRPr="003876DC">
        <w:rPr>
          <w:rFonts w:ascii="Arial" w:hAnsi="Arial" w:cs="Arial"/>
        </w:rPr>
        <w:t>Authors have declared that they have no known competing financial interests OR non-financial interests OR personal relationships that could have appeared to influence the work reported in this paper.</w:t>
      </w:r>
    </w:p>
    <w:p w14:paraId="58C41061" w14:textId="77777777" w:rsidR="003876DC" w:rsidRDefault="003876DC" w:rsidP="0020615D">
      <w:pPr>
        <w:jc w:val="both"/>
        <w:rPr>
          <w:rFonts w:ascii="Arial" w:hAnsi="Arial" w:cs="Arial"/>
        </w:rPr>
      </w:pPr>
    </w:p>
    <w:p w14:paraId="6C594A5D" w14:textId="77777777" w:rsidR="003876DC" w:rsidRPr="0020615D" w:rsidRDefault="003876DC" w:rsidP="0020615D">
      <w:pPr>
        <w:jc w:val="both"/>
        <w:rPr>
          <w:rFonts w:ascii="Arial" w:hAnsi="Arial" w:cs="Arial"/>
        </w:rPr>
      </w:pPr>
    </w:p>
    <w:p w14:paraId="1816CBEB" w14:textId="77777777" w:rsidR="0020615D" w:rsidRPr="00315186" w:rsidRDefault="0020615D" w:rsidP="00441B6F"/>
    <w:p w14:paraId="1CBA9FF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C1B934C" w14:textId="77777777" w:rsidR="0020615D" w:rsidRDefault="0020615D" w:rsidP="003F22A8">
      <w:pPr>
        <w:pStyle w:val="Body"/>
      </w:pPr>
    </w:p>
    <w:p w14:paraId="13D84953" w14:textId="77777777" w:rsidR="00984559" w:rsidRDefault="00984559" w:rsidP="00984559">
      <w:pPr>
        <w:pStyle w:val="Body"/>
      </w:pPr>
      <w:r>
        <w:t xml:space="preserve">Bene K, </w:t>
      </w:r>
      <w:proofErr w:type="spellStart"/>
      <w:r>
        <w:t>Kadjo</w:t>
      </w:r>
      <w:proofErr w:type="spellEnd"/>
      <w:r>
        <w:t xml:space="preserve"> AF, </w:t>
      </w:r>
      <w:proofErr w:type="spellStart"/>
      <w:r>
        <w:t>Ahipo</w:t>
      </w:r>
      <w:proofErr w:type="spellEnd"/>
      <w:r>
        <w:t xml:space="preserve"> AE, Kone MW. Plants with antihypertensive potential from the Lakota sub-prefecture (</w:t>
      </w:r>
      <w:proofErr w:type="spellStart"/>
      <w:r>
        <w:t>Lôh-Djiboua</w:t>
      </w:r>
      <w:proofErr w:type="spellEnd"/>
      <w:r>
        <w:t xml:space="preserve"> region, </w:t>
      </w:r>
      <w:proofErr w:type="spellStart"/>
      <w:r>
        <w:t>Ivoiry</w:t>
      </w:r>
      <w:proofErr w:type="spellEnd"/>
      <w:r>
        <w:t xml:space="preserve"> Coast). ESI Preprints. 2024;20(36):46. https://doi.org/10.19044/esj.2024.v20n36p46</w:t>
      </w:r>
    </w:p>
    <w:p w14:paraId="6B81A913" w14:textId="77777777" w:rsidR="00984559" w:rsidRDefault="00984559" w:rsidP="00984559">
      <w:pPr>
        <w:pStyle w:val="Body"/>
      </w:pPr>
      <w:r>
        <w:t>Tudi M, Daniel Ruan H, Wang L, Lyu J, Sadler R, Connell D, ... &amp; Phung DT. Agricultural development, the use of pesticides and their impact on the environment. Int J Environ Res Public Health. 2021;18(3):1112. https://doi.org/10.3390/ijerph18031112</w:t>
      </w:r>
    </w:p>
    <w:p w14:paraId="68403962" w14:textId="77777777" w:rsidR="00984559" w:rsidRDefault="00984559" w:rsidP="00984559">
      <w:pPr>
        <w:pStyle w:val="Body"/>
      </w:pPr>
      <w:proofErr w:type="spellStart"/>
      <w:r>
        <w:t>Traoré</w:t>
      </w:r>
      <w:proofErr w:type="spellEnd"/>
      <w:r>
        <w:t xml:space="preserve"> A, </w:t>
      </w:r>
      <w:proofErr w:type="spellStart"/>
      <w:r>
        <w:t>Haggblade</w:t>
      </w:r>
      <w:proofErr w:type="spellEnd"/>
      <w:r>
        <w:t xml:space="preserve"> S. Implementation of regional pesticide policies in West Africa: Report on the case study in Ivory Coast. 2017. http://dx.doi.org/10.22004/ag.econ.264388</w:t>
      </w:r>
    </w:p>
    <w:p w14:paraId="02E64BA2" w14:textId="77777777" w:rsidR="00984559" w:rsidRDefault="00984559" w:rsidP="00984559">
      <w:pPr>
        <w:pStyle w:val="Body"/>
      </w:pPr>
      <w:proofErr w:type="spellStart"/>
      <w:r>
        <w:t>Milhorance</w:t>
      </w:r>
      <w:proofErr w:type="spellEnd"/>
      <w:r>
        <w:t xml:space="preserve"> C, Di Roberto H, Kouadio R, Tano PK. Public policies for the conservation and restoration of post-forest soils and landscapes in the </w:t>
      </w:r>
      <w:proofErr w:type="spellStart"/>
      <w:r>
        <w:t>Ivoiry</w:t>
      </w:r>
      <w:proofErr w:type="spellEnd"/>
      <w:r>
        <w:t xml:space="preserve"> Coast. 2024;16. </w:t>
      </w:r>
      <w:r>
        <w:lastRenderedPageBreak/>
        <w:t>https://www.terri4sol.org/content/download/4715/35601/version/1/file/T4SWP1_RapportDiag_VF2.pdf</w:t>
      </w:r>
    </w:p>
    <w:p w14:paraId="57F02FF6" w14:textId="77777777" w:rsidR="00984559" w:rsidRDefault="00984559" w:rsidP="00984559">
      <w:pPr>
        <w:pStyle w:val="Body"/>
      </w:pPr>
      <w:r>
        <w:t xml:space="preserve">Samuel O. Quebec Pesticide Risk Indicator </w:t>
      </w:r>
      <w:proofErr w:type="spellStart"/>
      <w:r>
        <w:t>IRPeQ</w:t>
      </w:r>
      <w:proofErr w:type="spellEnd"/>
      <w:r>
        <w:t>-Health and Environment. Quebec Ministry of Agriculture, Fisheries and Food/Quebec Ministry of Sustainable Development and the Environment. 2007;52p. https://www.inspq.qc.ca/sites/default/files/publications/602-indicateurderisquedespesticides.pdf</w:t>
      </w:r>
    </w:p>
    <w:p w14:paraId="346CCD5B" w14:textId="77777777" w:rsidR="00984559" w:rsidRDefault="00984559" w:rsidP="00984559">
      <w:pPr>
        <w:pStyle w:val="Body"/>
      </w:pPr>
      <w:proofErr w:type="spellStart"/>
      <w:r>
        <w:t>Bouagga</w:t>
      </w:r>
      <w:proofErr w:type="spellEnd"/>
      <w:r>
        <w:t xml:space="preserve"> A, </w:t>
      </w:r>
      <w:proofErr w:type="spellStart"/>
      <w:r>
        <w:t>Chaabane</w:t>
      </w:r>
      <w:proofErr w:type="spellEnd"/>
      <w:r>
        <w:t xml:space="preserve"> H, </w:t>
      </w:r>
      <w:proofErr w:type="spellStart"/>
      <w:r>
        <w:t>Bahrouni</w:t>
      </w:r>
      <w:proofErr w:type="spellEnd"/>
      <w:r>
        <w:t xml:space="preserve"> H, </w:t>
      </w:r>
      <w:proofErr w:type="spellStart"/>
      <w:r>
        <w:t>Hassine</w:t>
      </w:r>
      <w:proofErr w:type="spellEnd"/>
      <w:r>
        <w:t xml:space="preserve"> K. The use of </w:t>
      </w:r>
      <w:proofErr w:type="spellStart"/>
      <w:r>
        <w:t>IRPeQ</w:t>
      </w:r>
      <w:proofErr w:type="spellEnd"/>
      <w:r>
        <w:t xml:space="preserve"> model as an indicator to estimate the risk of some pesticides on human health and the environment. Tunis J Plant Prot. </w:t>
      </w:r>
      <w:proofErr w:type="gramStart"/>
      <w:r>
        <w:t>2016;11:133</w:t>
      </w:r>
      <w:proofErr w:type="gramEnd"/>
      <w:r>
        <w:t>-141.</w:t>
      </w:r>
    </w:p>
    <w:p w14:paraId="4D0EF67F" w14:textId="77777777" w:rsidR="00984559" w:rsidRDefault="00984559" w:rsidP="00984559">
      <w:pPr>
        <w:pStyle w:val="Body"/>
      </w:pPr>
      <w:proofErr w:type="spellStart"/>
      <w:r>
        <w:t>Ahipo</w:t>
      </w:r>
      <w:proofErr w:type="spellEnd"/>
      <w:r>
        <w:t xml:space="preserve"> AE. Plants with antihypertensive potential in the Lakota sub-prefecture (Côte d'Ivoire): ethnomedicinal survey and phytochemical investigations. Master's thesis in Botany and Phytotherapy. Faculty of Natural Sciences, Abidjan. 2024;65p.</w:t>
      </w:r>
    </w:p>
    <w:p w14:paraId="52134931" w14:textId="77777777" w:rsidR="00984559" w:rsidRDefault="00984559" w:rsidP="00984559">
      <w:pPr>
        <w:pStyle w:val="Body"/>
      </w:pPr>
      <w:r>
        <w:t xml:space="preserve">Samuel O, Dion S, St-Laurent L, April M-H. Quebec pesticide risk indicator </w:t>
      </w:r>
      <w:proofErr w:type="spellStart"/>
      <w:r>
        <w:t>IRPeQ</w:t>
      </w:r>
      <w:proofErr w:type="spellEnd"/>
      <w:r>
        <w:t>-Health and environment (2nd ed.). Ministry of Agriculture, Fisheries and Food/Ministry of Sustainable Development and the Environment of Quebec. 2012;48p. https://www.inspq.qc.ca/publications/1504</w:t>
      </w:r>
    </w:p>
    <w:p w14:paraId="4FCCF7F0" w14:textId="77777777" w:rsidR="00984559" w:rsidRDefault="00984559" w:rsidP="00984559">
      <w:pPr>
        <w:pStyle w:val="Body"/>
      </w:pPr>
      <w:r>
        <w:t xml:space="preserve">Boudraa L. Adapting crop treatment product application techniques to local conditions, optimizing spray quality and environmental losses. Doctoral thesis, Mohamed </w:t>
      </w:r>
      <w:proofErr w:type="spellStart"/>
      <w:r>
        <w:t>Khieder-Biskra</w:t>
      </w:r>
      <w:proofErr w:type="spellEnd"/>
      <w:r>
        <w:t xml:space="preserve"> University. 2025;258p.</w:t>
      </w:r>
    </w:p>
    <w:p w14:paraId="6450891F" w14:textId="77777777" w:rsidR="00984559" w:rsidRPr="00984559" w:rsidRDefault="00984559" w:rsidP="00984559">
      <w:pPr>
        <w:pStyle w:val="Body"/>
        <w:rPr>
          <w:lang w:val="fr-CI"/>
        </w:rPr>
      </w:pPr>
      <w:proofErr w:type="spellStart"/>
      <w:r w:rsidRPr="00984559">
        <w:rPr>
          <w:lang w:val="fr-CI"/>
        </w:rPr>
        <w:t>Soudani</w:t>
      </w:r>
      <w:proofErr w:type="spellEnd"/>
      <w:r w:rsidRPr="00984559">
        <w:rPr>
          <w:lang w:val="fr-CI"/>
        </w:rPr>
        <w:t xml:space="preserve"> N, </w:t>
      </w:r>
      <w:proofErr w:type="spellStart"/>
      <w:r w:rsidRPr="00984559">
        <w:rPr>
          <w:lang w:val="fr-CI"/>
        </w:rPr>
        <w:t>Belhamra</w:t>
      </w:r>
      <w:proofErr w:type="spellEnd"/>
      <w:r w:rsidRPr="00984559">
        <w:rPr>
          <w:lang w:val="fr-CI"/>
        </w:rPr>
        <w:t xml:space="preserve"> M, </w:t>
      </w:r>
      <w:proofErr w:type="spellStart"/>
      <w:r w:rsidRPr="00984559">
        <w:rPr>
          <w:lang w:val="fr-CI"/>
        </w:rPr>
        <w:t>Ugya</w:t>
      </w:r>
      <w:proofErr w:type="spellEnd"/>
      <w:r w:rsidRPr="00984559">
        <w:rPr>
          <w:lang w:val="fr-CI"/>
        </w:rPr>
        <w:t xml:space="preserve"> AY, Patel N, </w:t>
      </w:r>
      <w:proofErr w:type="spellStart"/>
      <w:r w:rsidRPr="00984559">
        <w:rPr>
          <w:lang w:val="fr-CI"/>
        </w:rPr>
        <w:t>Carretta</w:t>
      </w:r>
      <w:proofErr w:type="spellEnd"/>
      <w:r w:rsidRPr="00984559">
        <w:rPr>
          <w:lang w:val="fr-CI"/>
        </w:rPr>
        <w:t xml:space="preserve"> L, </w:t>
      </w:r>
      <w:proofErr w:type="spellStart"/>
      <w:r w:rsidRPr="00984559">
        <w:rPr>
          <w:lang w:val="fr-CI"/>
        </w:rPr>
        <w:t>Cardinali</w:t>
      </w:r>
      <w:proofErr w:type="spellEnd"/>
      <w:r w:rsidRPr="00984559">
        <w:rPr>
          <w:lang w:val="fr-CI"/>
        </w:rPr>
        <w:t xml:space="preserve"> A, </w:t>
      </w:r>
      <w:proofErr w:type="spellStart"/>
      <w:r w:rsidRPr="00984559">
        <w:rPr>
          <w:lang w:val="fr-CI"/>
        </w:rPr>
        <w:t>Toumi</w:t>
      </w:r>
      <w:proofErr w:type="spellEnd"/>
      <w:r w:rsidRPr="00984559">
        <w:rPr>
          <w:lang w:val="fr-CI"/>
        </w:rPr>
        <w:t xml:space="preserve"> K. </w:t>
      </w:r>
      <w:proofErr w:type="spellStart"/>
      <w:r w:rsidRPr="00984559">
        <w:rPr>
          <w:lang w:val="fr-CI"/>
        </w:rPr>
        <w:t>Environmental</w:t>
      </w:r>
      <w:proofErr w:type="spellEnd"/>
      <w:r w:rsidRPr="00984559">
        <w:rPr>
          <w:lang w:val="fr-CI"/>
        </w:rPr>
        <w:t xml:space="preserve"> </w:t>
      </w:r>
      <w:proofErr w:type="spellStart"/>
      <w:r w:rsidRPr="00984559">
        <w:rPr>
          <w:lang w:val="fr-CI"/>
        </w:rPr>
        <w:t>risk</w:t>
      </w:r>
      <w:proofErr w:type="spellEnd"/>
      <w:r w:rsidRPr="00984559">
        <w:rPr>
          <w:lang w:val="fr-CI"/>
        </w:rPr>
        <w:t xml:space="preserve"> </w:t>
      </w:r>
      <w:proofErr w:type="spellStart"/>
      <w:r w:rsidRPr="00984559">
        <w:rPr>
          <w:lang w:val="fr-CI"/>
        </w:rPr>
        <w:t>assessment</w:t>
      </w:r>
      <w:proofErr w:type="spellEnd"/>
      <w:r w:rsidRPr="00984559">
        <w:rPr>
          <w:lang w:val="fr-CI"/>
        </w:rPr>
        <w:t xml:space="preserve"> of pesticide use in Algerian agriculture. J </w:t>
      </w:r>
      <w:proofErr w:type="spellStart"/>
      <w:r w:rsidRPr="00984559">
        <w:rPr>
          <w:lang w:val="fr-CI"/>
        </w:rPr>
        <w:t>Appl</w:t>
      </w:r>
      <w:proofErr w:type="spellEnd"/>
      <w:r w:rsidRPr="00984559">
        <w:rPr>
          <w:lang w:val="fr-CI"/>
        </w:rPr>
        <w:t xml:space="preserve"> Biol </w:t>
      </w:r>
      <w:proofErr w:type="spellStart"/>
      <w:r w:rsidRPr="00984559">
        <w:rPr>
          <w:lang w:val="fr-CI"/>
        </w:rPr>
        <w:t>Biotechnol</w:t>
      </w:r>
      <w:proofErr w:type="spellEnd"/>
      <w:r w:rsidRPr="00984559">
        <w:rPr>
          <w:lang w:val="fr-CI"/>
        </w:rPr>
        <w:t xml:space="preserve">. </w:t>
      </w:r>
      <w:proofErr w:type="gramStart"/>
      <w:r w:rsidRPr="00984559">
        <w:rPr>
          <w:lang w:val="fr-CI"/>
        </w:rPr>
        <w:t>2020;</w:t>
      </w:r>
      <w:proofErr w:type="gramEnd"/>
      <w:r w:rsidRPr="00984559">
        <w:rPr>
          <w:lang w:val="fr-CI"/>
        </w:rPr>
        <w:t>8(5):36–47. https://dx.doi.org/10.21608/ejar.2022.98149.1157</w:t>
      </w:r>
    </w:p>
    <w:p w14:paraId="00A946BA" w14:textId="77777777" w:rsidR="00984559" w:rsidRPr="00984559" w:rsidRDefault="00984559" w:rsidP="00984559">
      <w:pPr>
        <w:pStyle w:val="Body"/>
        <w:rPr>
          <w:lang w:val="fr-CI"/>
        </w:rPr>
      </w:pPr>
      <w:r w:rsidRPr="00984559">
        <w:rPr>
          <w:lang w:val="fr-CI"/>
        </w:rPr>
        <w:t xml:space="preserve">Pesticide </w:t>
      </w:r>
      <w:proofErr w:type="spellStart"/>
      <w:r w:rsidRPr="00984559">
        <w:rPr>
          <w:lang w:val="fr-CI"/>
        </w:rPr>
        <w:t>Properties</w:t>
      </w:r>
      <w:proofErr w:type="spellEnd"/>
      <w:r w:rsidRPr="00984559">
        <w:rPr>
          <w:lang w:val="fr-CI"/>
        </w:rPr>
        <w:t xml:space="preserve"> </w:t>
      </w:r>
      <w:proofErr w:type="spellStart"/>
      <w:r w:rsidRPr="00984559">
        <w:rPr>
          <w:lang w:val="fr-CI"/>
        </w:rPr>
        <w:t>Database</w:t>
      </w:r>
      <w:proofErr w:type="spellEnd"/>
      <w:r w:rsidRPr="00984559">
        <w:rPr>
          <w:lang w:val="fr-CI"/>
        </w:rPr>
        <w:t xml:space="preserve"> [PPDB]. </w:t>
      </w:r>
      <w:proofErr w:type="spellStart"/>
      <w:r w:rsidRPr="00984559">
        <w:rPr>
          <w:lang w:val="fr-CI"/>
        </w:rPr>
        <w:t>University</w:t>
      </w:r>
      <w:proofErr w:type="spellEnd"/>
      <w:r w:rsidRPr="00984559">
        <w:rPr>
          <w:lang w:val="fr-CI"/>
        </w:rPr>
        <w:t xml:space="preserve"> of Hertfordshire pesticide </w:t>
      </w:r>
      <w:proofErr w:type="spellStart"/>
      <w:r w:rsidRPr="00984559">
        <w:rPr>
          <w:lang w:val="fr-CI"/>
        </w:rPr>
        <w:t>database</w:t>
      </w:r>
      <w:proofErr w:type="spellEnd"/>
      <w:r w:rsidRPr="00984559">
        <w:rPr>
          <w:lang w:val="fr-CI"/>
        </w:rPr>
        <w:t xml:space="preserve"> [Data set]. 2024. https://sitem.herts.ac.uk/aeru/ppdb/</w:t>
      </w:r>
    </w:p>
    <w:p w14:paraId="790B0696" w14:textId="77777777" w:rsidR="00984559" w:rsidRPr="00984559" w:rsidRDefault="00984559" w:rsidP="00984559">
      <w:pPr>
        <w:pStyle w:val="Body"/>
        <w:rPr>
          <w:lang w:val="fr-CI"/>
        </w:rPr>
      </w:pPr>
      <w:proofErr w:type="spellStart"/>
      <w:r w:rsidRPr="00984559">
        <w:rPr>
          <w:lang w:val="fr-CI"/>
        </w:rPr>
        <w:t>SAgE</w:t>
      </w:r>
      <w:proofErr w:type="spellEnd"/>
      <w:r w:rsidRPr="00984559">
        <w:rPr>
          <w:lang w:val="fr-CI"/>
        </w:rPr>
        <w:t xml:space="preserve"> Pesticides. Information System on Plant Protection </w:t>
      </w:r>
      <w:proofErr w:type="spellStart"/>
      <w:r w:rsidRPr="00984559">
        <w:rPr>
          <w:lang w:val="fr-CI"/>
        </w:rPr>
        <w:t>Products</w:t>
      </w:r>
      <w:proofErr w:type="spellEnd"/>
      <w:r w:rsidRPr="00984559">
        <w:rPr>
          <w:lang w:val="fr-CI"/>
        </w:rPr>
        <w:t xml:space="preserve"> [</w:t>
      </w:r>
      <w:proofErr w:type="spellStart"/>
      <w:r w:rsidRPr="00984559">
        <w:rPr>
          <w:lang w:val="fr-CI"/>
        </w:rPr>
        <w:t>Database</w:t>
      </w:r>
      <w:proofErr w:type="spellEnd"/>
      <w:r w:rsidRPr="00984559">
        <w:rPr>
          <w:lang w:val="fr-CI"/>
        </w:rPr>
        <w:t xml:space="preserve"> documentation]. INRAE. 2024. https://www6.inrae.fr/sage-pesticides</w:t>
      </w:r>
    </w:p>
    <w:p w14:paraId="3708B177" w14:textId="77777777" w:rsidR="00984559" w:rsidRPr="00984559" w:rsidRDefault="00984559" w:rsidP="00984559">
      <w:pPr>
        <w:pStyle w:val="Body"/>
        <w:rPr>
          <w:lang w:val="fr-CI"/>
        </w:rPr>
      </w:pPr>
      <w:proofErr w:type="spellStart"/>
      <w:r w:rsidRPr="00984559">
        <w:rPr>
          <w:lang w:val="fr-CI"/>
        </w:rPr>
        <w:t>European</w:t>
      </w:r>
      <w:proofErr w:type="spellEnd"/>
      <w:r w:rsidRPr="00984559">
        <w:rPr>
          <w:lang w:val="fr-CI"/>
        </w:rPr>
        <w:t xml:space="preserve"> Food </w:t>
      </w:r>
      <w:proofErr w:type="spellStart"/>
      <w:r w:rsidRPr="00984559">
        <w:rPr>
          <w:lang w:val="fr-CI"/>
        </w:rPr>
        <w:t>Safety</w:t>
      </w:r>
      <w:proofErr w:type="spellEnd"/>
      <w:r w:rsidRPr="00984559">
        <w:rPr>
          <w:lang w:val="fr-CI"/>
        </w:rPr>
        <w:t xml:space="preserve"> </w:t>
      </w:r>
      <w:proofErr w:type="spellStart"/>
      <w:r w:rsidRPr="00984559">
        <w:rPr>
          <w:lang w:val="fr-CI"/>
        </w:rPr>
        <w:t>Authority</w:t>
      </w:r>
      <w:proofErr w:type="spellEnd"/>
      <w:r w:rsidRPr="00984559">
        <w:rPr>
          <w:lang w:val="fr-CI"/>
        </w:rPr>
        <w:t xml:space="preserve"> (EFSA), </w:t>
      </w:r>
      <w:proofErr w:type="spellStart"/>
      <w:r w:rsidRPr="00984559">
        <w:rPr>
          <w:lang w:val="fr-CI"/>
        </w:rPr>
        <w:t>European</w:t>
      </w:r>
      <w:proofErr w:type="spellEnd"/>
      <w:r w:rsidRPr="00984559">
        <w:rPr>
          <w:lang w:val="fr-CI"/>
        </w:rPr>
        <w:t xml:space="preserve"> Center for </w:t>
      </w:r>
      <w:proofErr w:type="spellStart"/>
      <w:r w:rsidRPr="00984559">
        <w:rPr>
          <w:lang w:val="fr-CI"/>
        </w:rPr>
        <w:t>Disease</w:t>
      </w:r>
      <w:proofErr w:type="spellEnd"/>
      <w:r w:rsidRPr="00984559">
        <w:rPr>
          <w:lang w:val="fr-CI"/>
        </w:rPr>
        <w:t xml:space="preserve"> Prevention and Control (ECDC), </w:t>
      </w:r>
      <w:proofErr w:type="spellStart"/>
      <w:r w:rsidRPr="00984559">
        <w:rPr>
          <w:lang w:val="fr-CI"/>
        </w:rPr>
        <w:t>European</w:t>
      </w:r>
      <w:proofErr w:type="spellEnd"/>
      <w:r w:rsidRPr="00984559">
        <w:rPr>
          <w:lang w:val="fr-CI"/>
        </w:rPr>
        <w:t xml:space="preserve"> Chemicals Agency (ECHA), </w:t>
      </w:r>
      <w:proofErr w:type="spellStart"/>
      <w:r w:rsidRPr="00984559">
        <w:rPr>
          <w:lang w:val="fr-CI"/>
        </w:rPr>
        <w:t>European</w:t>
      </w:r>
      <w:proofErr w:type="spellEnd"/>
      <w:r w:rsidRPr="00984559">
        <w:rPr>
          <w:lang w:val="fr-CI"/>
        </w:rPr>
        <w:t xml:space="preserve"> </w:t>
      </w:r>
      <w:proofErr w:type="spellStart"/>
      <w:r w:rsidRPr="00984559">
        <w:rPr>
          <w:lang w:val="fr-CI"/>
        </w:rPr>
        <w:t>Environment</w:t>
      </w:r>
      <w:proofErr w:type="spellEnd"/>
      <w:r w:rsidRPr="00984559">
        <w:rPr>
          <w:lang w:val="fr-CI"/>
        </w:rPr>
        <w:t xml:space="preserve"> Agency (EEA), </w:t>
      </w:r>
      <w:proofErr w:type="spellStart"/>
      <w:r w:rsidRPr="00984559">
        <w:rPr>
          <w:lang w:val="fr-CI"/>
        </w:rPr>
        <w:t>European</w:t>
      </w:r>
      <w:proofErr w:type="spellEnd"/>
      <w:r w:rsidRPr="00984559">
        <w:rPr>
          <w:lang w:val="fr-CI"/>
        </w:rPr>
        <w:t xml:space="preserve"> </w:t>
      </w:r>
      <w:proofErr w:type="spellStart"/>
      <w:r w:rsidRPr="00984559">
        <w:rPr>
          <w:lang w:val="fr-CI"/>
        </w:rPr>
        <w:t>Medicines</w:t>
      </w:r>
      <w:proofErr w:type="spellEnd"/>
      <w:r w:rsidRPr="00984559">
        <w:rPr>
          <w:lang w:val="fr-CI"/>
        </w:rPr>
        <w:t xml:space="preserve"> Agency (EMA) and </w:t>
      </w:r>
      <w:proofErr w:type="spellStart"/>
      <w:r w:rsidRPr="00984559">
        <w:rPr>
          <w:lang w:val="fr-CI"/>
        </w:rPr>
        <w:t>European</w:t>
      </w:r>
      <w:proofErr w:type="spellEnd"/>
      <w:r w:rsidRPr="00984559">
        <w:rPr>
          <w:lang w:val="fr-CI"/>
        </w:rPr>
        <w:t xml:space="preserve"> </w:t>
      </w:r>
      <w:proofErr w:type="spellStart"/>
      <w:r w:rsidRPr="00984559">
        <w:rPr>
          <w:lang w:val="fr-CI"/>
        </w:rPr>
        <w:t>Commission's</w:t>
      </w:r>
      <w:proofErr w:type="spellEnd"/>
      <w:r w:rsidRPr="00984559">
        <w:rPr>
          <w:lang w:val="fr-CI"/>
        </w:rPr>
        <w:t xml:space="preserve"> Joint </w:t>
      </w:r>
      <w:proofErr w:type="spellStart"/>
      <w:r w:rsidRPr="00984559">
        <w:rPr>
          <w:lang w:val="fr-CI"/>
        </w:rPr>
        <w:t>Research</w:t>
      </w:r>
      <w:proofErr w:type="spellEnd"/>
      <w:r w:rsidRPr="00984559">
        <w:rPr>
          <w:lang w:val="fr-CI"/>
        </w:rPr>
        <w:t xml:space="preserve"> Center (JRC). Impact of the use of </w:t>
      </w:r>
      <w:proofErr w:type="spellStart"/>
      <w:r w:rsidRPr="00984559">
        <w:rPr>
          <w:lang w:val="fr-CI"/>
        </w:rPr>
        <w:t>azole</w:t>
      </w:r>
      <w:proofErr w:type="spellEnd"/>
      <w:r w:rsidRPr="00984559">
        <w:rPr>
          <w:lang w:val="fr-CI"/>
        </w:rPr>
        <w:t xml:space="preserve"> </w:t>
      </w:r>
      <w:proofErr w:type="spellStart"/>
      <w:r w:rsidRPr="00984559">
        <w:rPr>
          <w:lang w:val="fr-CI"/>
        </w:rPr>
        <w:t>fungicides</w:t>
      </w:r>
      <w:proofErr w:type="spellEnd"/>
      <w:r w:rsidRPr="00984559">
        <w:rPr>
          <w:lang w:val="fr-CI"/>
        </w:rPr>
        <w:t xml:space="preserve">, </w:t>
      </w:r>
      <w:proofErr w:type="spellStart"/>
      <w:r w:rsidRPr="00984559">
        <w:rPr>
          <w:lang w:val="fr-CI"/>
        </w:rPr>
        <w:t>other</w:t>
      </w:r>
      <w:proofErr w:type="spellEnd"/>
      <w:r w:rsidRPr="00984559">
        <w:rPr>
          <w:lang w:val="fr-CI"/>
        </w:rPr>
        <w:t xml:space="preserve"> </w:t>
      </w:r>
      <w:proofErr w:type="spellStart"/>
      <w:r w:rsidRPr="00984559">
        <w:rPr>
          <w:lang w:val="fr-CI"/>
        </w:rPr>
        <w:t>than</w:t>
      </w:r>
      <w:proofErr w:type="spellEnd"/>
      <w:r w:rsidRPr="00984559">
        <w:rPr>
          <w:lang w:val="fr-CI"/>
        </w:rPr>
        <w:t xml:space="preserve"> </w:t>
      </w:r>
      <w:proofErr w:type="spellStart"/>
      <w:r w:rsidRPr="00984559">
        <w:rPr>
          <w:lang w:val="fr-CI"/>
        </w:rPr>
        <w:t>those</w:t>
      </w:r>
      <w:proofErr w:type="spellEnd"/>
      <w:r w:rsidRPr="00984559">
        <w:rPr>
          <w:lang w:val="fr-CI"/>
        </w:rPr>
        <w:t xml:space="preserve"> </w:t>
      </w:r>
      <w:proofErr w:type="spellStart"/>
      <w:r w:rsidRPr="00984559">
        <w:rPr>
          <w:lang w:val="fr-CI"/>
        </w:rPr>
        <w:t>used</w:t>
      </w:r>
      <w:proofErr w:type="spellEnd"/>
      <w:r w:rsidRPr="00984559">
        <w:rPr>
          <w:lang w:val="fr-CI"/>
        </w:rPr>
        <w:t xml:space="preserve"> in </w:t>
      </w:r>
      <w:proofErr w:type="spellStart"/>
      <w:r w:rsidRPr="00984559">
        <w:rPr>
          <w:lang w:val="fr-CI"/>
        </w:rPr>
        <w:t>human</w:t>
      </w:r>
      <w:proofErr w:type="spellEnd"/>
      <w:r w:rsidRPr="00984559">
        <w:rPr>
          <w:lang w:val="fr-CI"/>
        </w:rPr>
        <w:t xml:space="preserve"> </w:t>
      </w:r>
      <w:proofErr w:type="spellStart"/>
      <w:r w:rsidRPr="00984559">
        <w:rPr>
          <w:lang w:val="fr-CI"/>
        </w:rPr>
        <w:t>medicine</w:t>
      </w:r>
      <w:proofErr w:type="spellEnd"/>
      <w:r w:rsidRPr="00984559">
        <w:rPr>
          <w:lang w:val="fr-CI"/>
        </w:rPr>
        <w:t xml:space="preserve">, on the </w:t>
      </w:r>
      <w:proofErr w:type="spellStart"/>
      <w:r w:rsidRPr="00984559">
        <w:rPr>
          <w:lang w:val="fr-CI"/>
        </w:rPr>
        <w:t>development</w:t>
      </w:r>
      <w:proofErr w:type="spellEnd"/>
      <w:r w:rsidRPr="00984559">
        <w:rPr>
          <w:lang w:val="fr-CI"/>
        </w:rPr>
        <w:t xml:space="preserve"> of </w:t>
      </w:r>
      <w:proofErr w:type="spellStart"/>
      <w:r w:rsidRPr="00984559">
        <w:rPr>
          <w:lang w:val="fr-CI"/>
        </w:rPr>
        <w:t>azole-resistant</w:t>
      </w:r>
      <w:proofErr w:type="spellEnd"/>
      <w:r w:rsidRPr="00984559">
        <w:rPr>
          <w:lang w:val="fr-CI"/>
        </w:rPr>
        <w:t xml:space="preserve"> Aspergillus </w:t>
      </w:r>
      <w:proofErr w:type="spellStart"/>
      <w:r w:rsidRPr="00984559">
        <w:rPr>
          <w:lang w:val="fr-CI"/>
        </w:rPr>
        <w:t>spp</w:t>
      </w:r>
      <w:proofErr w:type="spellEnd"/>
      <w:r w:rsidRPr="00984559">
        <w:rPr>
          <w:lang w:val="fr-CI"/>
        </w:rPr>
        <w:t xml:space="preserve">. EFSA Journal. </w:t>
      </w:r>
      <w:proofErr w:type="gramStart"/>
      <w:r w:rsidRPr="00984559">
        <w:rPr>
          <w:lang w:val="fr-CI"/>
        </w:rPr>
        <w:t>2025;</w:t>
      </w:r>
      <w:proofErr w:type="gramEnd"/>
      <w:r w:rsidRPr="00984559">
        <w:rPr>
          <w:lang w:val="fr-CI"/>
        </w:rPr>
        <w:t>23(1):e9200. https://doi.org/10.2903/j.efsa.2025.9200</w:t>
      </w:r>
    </w:p>
    <w:p w14:paraId="638CE2BE" w14:textId="77777777" w:rsidR="00984559" w:rsidRPr="00984559" w:rsidRDefault="00984559" w:rsidP="00984559">
      <w:pPr>
        <w:pStyle w:val="Body"/>
        <w:rPr>
          <w:lang w:val="fr-CI"/>
        </w:rPr>
      </w:pPr>
      <w:proofErr w:type="spellStart"/>
      <w:r w:rsidRPr="00984559">
        <w:rPr>
          <w:lang w:val="fr-CI"/>
        </w:rPr>
        <w:t>Aliste</w:t>
      </w:r>
      <w:proofErr w:type="spellEnd"/>
      <w:r w:rsidRPr="00984559">
        <w:rPr>
          <w:lang w:val="fr-CI"/>
        </w:rPr>
        <w:t xml:space="preserve"> M, Pérez-Lucas G, Garrido I, </w:t>
      </w:r>
      <w:proofErr w:type="spellStart"/>
      <w:r w:rsidRPr="00984559">
        <w:rPr>
          <w:lang w:val="fr-CI"/>
        </w:rPr>
        <w:t>Fenoll</w:t>
      </w:r>
      <w:proofErr w:type="spellEnd"/>
      <w:r w:rsidRPr="00984559">
        <w:rPr>
          <w:lang w:val="fr-CI"/>
        </w:rPr>
        <w:t xml:space="preserve"> J, Navarro S. Risk </w:t>
      </w:r>
      <w:proofErr w:type="spellStart"/>
      <w:r w:rsidRPr="00984559">
        <w:rPr>
          <w:lang w:val="fr-CI"/>
        </w:rPr>
        <w:t>assessment</w:t>
      </w:r>
      <w:proofErr w:type="spellEnd"/>
      <w:r w:rsidRPr="00984559">
        <w:rPr>
          <w:lang w:val="fr-CI"/>
        </w:rPr>
        <w:t xml:space="preserve"> of 1, 2, 4-triazole-typed </w:t>
      </w:r>
      <w:proofErr w:type="spellStart"/>
      <w:r w:rsidRPr="00984559">
        <w:rPr>
          <w:lang w:val="fr-CI"/>
        </w:rPr>
        <w:t>fungicides</w:t>
      </w:r>
      <w:proofErr w:type="spellEnd"/>
      <w:r w:rsidRPr="00984559">
        <w:rPr>
          <w:lang w:val="fr-CI"/>
        </w:rPr>
        <w:t xml:space="preserve"> for </w:t>
      </w:r>
      <w:proofErr w:type="spellStart"/>
      <w:r w:rsidRPr="00984559">
        <w:rPr>
          <w:lang w:val="fr-CI"/>
        </w:rPr>
        <w:t>groundwater</w:t>
      </w:r>
      <w:proofErr w:type="spellEnd"/>
      <w:r w:rsidRPr="00984559">
        <w:rPr>
          <w:lang w:val="fr-CI"/>
        </w:rPr>
        <w:t xml:space="preserve"> pollution </w:t>
      </w:r>
      <w:proofErr w:type="spellStart"/>
      <w:r w:rsidRPr="00984559">
        <w:rPr>
          <w:lang w:val="fr-CI"/>
        </w:rPr>
        <w:t>using</w:t>
      </w:r>
      <w:proofErr w:type="spellEnd"/>
      <w:r w:rsidRPr="00984559">
        <w:rPr>
          <w:lang w:val="fr-CI"/>
        </w:rPr>
        <w:t xml:space="preserve"> </w:t>
      </w:r>
      <w:proofErr w:type="spellStart"/>
      <w:r w:rsidRPr="00984559">
        <w:rPr>
          <w:lang w:val="fr-CI"/>
        </w:rPr>
        <w:t>leaching</w:t>
      </w:r>
      <w:proofErr w:type="spellEnd"/>
      <w:r w:rsidRPr="00984559">
        <w:rPr>
          <w:lang w:val="fr-CI"/>
        </w:rPr>
        <w:t xml:space="preserve"> </w:t>
      </w:r>
      <w:proofErr w:type="spellStart"/>
      <w:r w:rsidRPr="00984559">
        <w:rPr>
          <w:lang w:val="fr-CI"/>
        </w:rPr>
        <w:t>potential</w:t>
      </w:r>
      <w:proofErr w:type="spellEnd"/>
      <w:r w:rsidRPr="00984559">
        <w:rPr>
          <w:lang w:val="fr-CI"/>
        </w:rPr>
        <w:t xml:space="preserve"> indices. Water Air </w:t>
      </w:r>
      <w:proofErr w:type="spellStart"/>
      <w:r w:rsidRPr="00984559">
        <w:rPr>
          <w:lang w:val="fr-CI"/>
        </w:rPr>
        <w:t>Soil</w:t>
      </w:r>
      <w:proofErr w:type="spellEnd"/>
      <w:r w:rsidRPr="00984559">
        <w:rPr>
          <w:lang w:val="fr-CI"/>
        </w:rPr>
        <w:t xml:space="preserve"> </w:t>
      </w:r>
      <w:proofErr w:type="spellStart"/>
      <w:r w:rsidRPr="00984559">
        <w:rPr>
          <w:lang w:val="fr-CI"/>
        </w:rPr>
        <w:t>Pollut</w:t>
      </w:r>
      <w:proofErr w:type="spellEnd"/>
      <w:r w:rsidRPr="00984559">
        <w:rPr>
          <w:lang w:val="fr-CI"/>
        </w:rPr>
        <w:t xml:space="preserve">. </w:t>
      </w:r>
      <w:proofErr w:type="gramStart"/>
      <w:r w:rsidRPr="00984559">
        <w:rPr>
          <w:lang w:val="fr-CI"/>
        </w:rPr>
        <w:t>2021;</w:t>
      </w:r>
      <w:proofErr w:type="gramEnd"/>
      <w:r w:rsidRPr="00984559">
        <w:rPr>
          <w:lang w:val="fr-CI"/>
        </w:rPr>
        <w:t>232:1–13. https://doi.org/10.1007/s11270-021-05428-1</w:t>
      </w:r>
    </w:p>
    <w:p w14:paraId="2EE37BED" w14:textId="77777777" w:rsidR="00984559" w:rsidRPr="00984559" w:rsidRDefault="00984559" w:rsidP="00984559">
      <w:pPr>
        <w:pStyle w:val="Body"/>
        <w:rPr>
          <w:lang w:val="fr-CI"/>
        </w:rPr>
      </w:pPr>
      <w:r w:rsidRPr="00984559">
        <w:rPr>
          <w:lang w:val="fr-CI"/>
        </w:rPr>
        <w:t xml:space="preserve">Main AR, Webb EB, </w:t>
      </w:r>
      <w:proofErr w:type="spellStart"/>
      <w:r w:rsidRPr="00984559">
        <w:rPr>
          <w:lang w:val="fr-CI"/>
        </w:rPr>
        <w:t>Goyne</w:t>
      </w:r>
      <w:proofErr w:type="spellEnd"/>
      <w:r w:rsidRPr="00984559">
        <w:rPr>
          <w:lang w:val="fr-CI"/>
        </w:rPr>
        <w:t xml:space="preserve"> KW, </w:t>
      </w:r>
      <w:proofErr w:type="spellStart"/>
      <w:r w:rsidRPr="00984559">
        <w:rPr>
          <w:lang w:val="fr-CI"/>
        </w:rPr>
        <w:t>Abney</w:t>
      </w:r>
      <w:proofErr w:type="spellEnd"/>
      <w:r w:rsidRPr="00984559">
        <w:rPr>
          <w:lang w:val="fr-CI"/>
        </w:rPr>
        <w:t xml:space="preserve"> R, </w:t>
      </w:r>
      <w:proofErr w:type="spellStart"/>
      <w:r w:rsidRPr="00984559">
        <w:rPr>
          <w:lang w:val="fr-CI"/>
        </w:rPr>
        <w:t>Mengel</w:t>
      </w:r>
      <w:proofErr w:type="spellEnd"/>
      <w:r w:rsidRPr="00984559">
        <w:rPr>
          <w:lang w:val="fr-CI"/>
        </w:rPr>
        <w:t xml:space="preserve"> D. Impacts of </w:t>
      </w:r>
      <w:proofErr w:type="spellStart"/>
      <w:r w:rsidRPr="00984559">
        <w:rPr>
          <w:lang w:val="fr-CI"/>
        </w:rPr>
        <w:t>neonicotinoid</w:t>
      </w:r>
      <w:proofErr w:type="spellEnd"/>
      <w:r w:rsidRPr="00984559">
        <w:rPr>
          <w:lang w:val="fr-CI"/>
        </w:rPr>
        <w:t xml:space="preserve"> </w:t>
      </w:r>
      <w:proofErr w:type="spellStart"/>
      <w:r w:rsidRPr="00984559">
        <w:rPr>
          <w:lang w:val="fr-CI"/>
        </w:rPr>
        <w:t>seed</w:t>
      </w:r>
      <w:proofErr w:type="spellEnd"/>
      <w:r w:rsidRPr="00984559">
        <w:rPr>
          <w:lang w:val="fr-CI"/>
        </w:rPr>
        <w:t xml:space="preserve"> </w:t>
      </w:r>
      <w:proofErr w:type="spellStart"/>
      <w:r w:rsidRPr="00984559">
        <w:rPr>
          <w:lang w:val="fr-CI"/>
        </w:rPr>
        <w:t>treatments</w:t>
      </w:r>
      <w:proofErr w:type="spellEnd"/>
      <w:r w:rsidRPr="00984559">
        <w:rPr>
          <w:lang w:val="fr-CI"/>
        </w:rPr>
        <w:t xml:space="preserve"> on </w:t>
      </w:r>
      <w:proofErr w:type="spellStart"/>
      <w:r w:rsidRPr="00984559">
        <w:rPr>
          <w:lang w:val="fr-CI"/>
        </w:rPr>
        <w:t>wild</w:t>
      </w:r>
      <w:proofErr w:type="spellEnd"/>
      <w:r w:rsidRPr="00984559">
        <w:rPr>
          <w:lang w:val="fr-CI"/>
        </w:rPr>
        <w:t xml:space="preserve"> </w:t>
      </w:r>
      <w:proofErr w:type="spellStart"/>
      <w:r w:rsidRPr="00984559">
        <w:rPr>
          <w:lang w:val="fr-CI"/>
        </w:rPr>
        <w:t>bee</w:t>
      </w:r>
      <w:proofErr w:type="spellEnd"/>
      <w:r w:rsidRPr="00984559">
        <w:rPr>
          <w:lang w:val="fr-CI"/>
        </w:rPr>
        <w:t xml:space="preserve"> </w:t>
      </w:r>
      <w:proofErr w:type="spellStart"/>
      <w:r w:rsidRPr="00984559">
        <w:rPr>
          <w:lang w:val="fr-CI"/>
        </w:rPr>
        <w:t>communities</w:t>
      </w:r>
      <w:proofErr w:type="spellEnd"/>
      <w:r w:rsidRPr="00984559">
        <w:rPr>
          <w:lang w:val="fr-CI"/>
        </w:rPr>
        <w:t xml:space="preserve"> in agricultural </w:t>
      </w:r>
      <w:proofErr w:type="spellStart"/>
      <w:r w:rsidRPr="00984559">
        <w:rPr>
          <w:lang w:val="fr-CI"/>
        </w:rPr>
        <w:t>field</w:t>
      </w:r>
      <w:proofErr w:type="spellEnd"/>
      <w:r w:rsidRPr="00984559">
        <w:rPr>
          <w:lang w:val="fr-CI"/>
        </w:rPr>
        <w:t xml:space="preserve"> </w:t>
      </w:r>
      <w:proofErr w:type="spellStart"/>
      <w:r w:rsidRPr="00984559">
        <w:rPr>
          <w:lang w:val="fr-CI"/>
        </w:rPr>
        <w:t>margins</w:t>
      </w:r>
      <w:proofErr w:type="spellEnd"/>
      <w:r w:rsidRPr="00984559">
        <w:rPr>
          <w:lang w:val="fr-CI"/>
        </w:rPr>
        <w:t xml:space="preserve">. </w:t>
      </w:r>
      <w:proofErr w:type="spellStart"/>
      <w:r w:rsidRPr="00984559">
        <w:rPr>
          <w:lang w:val="fr-CI"/>
        </w:rPr>
        <w:t>Sci</w:t>
      </w:r>
      <w:proofErr w:type="spellEnd"/>
      <w:r w:rsidRPr="00984559">
        <w:rPr>
          <w:lang w:val="fr-CI"/>
        </w:rPr>
        <w:t xml:space="preserve"> Total Approx. </w:t>
      </w:r>
      <w:proofErr w:type="gramStart"/>
      <w:r w:rsidRPr="00984559">
        <w:rPr>
          <w:lang w:val="fr-CI"/>
        </w:rPr>
        <w:t>2021;</w:t>
      </w:r>
      <w:proofErr w:type="gramEnd"/>
      <w:r w:rsidRPr="00984559">
        <w:rPr>
          <w:lang w:val="fr-CI"/>
        </w:rPr>
        <w:t>786:147299. https://doi.org/10.1016/j.scitotenv.2021.147299</w:t>
      </w:r>
    </w:p>
    <w:p w14:paraId="6815F1F6" w14:textId="77777777" w:rsidR="00984559" w:rsidRPr="00984559" w:rsidRDefault="00984559" w:rsidP="00984559">
      <w:pPr>
        <w:pStyle w:val="Body"/>
        <w:rPr>
          <w:lang w:val="fr-CI"/>
        </w:rPr>
      </w:pPr>
      <w:proofErr w:type="spellStart"/>
      <w:r w:rsidRPr="00984559">
        <w:rPr>
          <w:lang w:val="fr-CI"/>
        </w:rPr>
        <w:t>Tosi</w:t>
      </w:r>
      <w:proofErr w:type="spellEnd"/>
      <w:r w:rsidRPr="00984559">
        <w:rPr>
          <w:lang w:val="fr-CI"/>
        </w:rPr>
        <w:t xml:space="preserve"> S, </w:t>
      </w:r>
      <w:proofErr w:type="spellStart"/>
      <w:r w:rsidRPr="00984559">
        <w:rPr>
          <w:lang w:val="fr-CI"/>
        </w:rPr>
        <w:t>Sfeir</w:t>
      </w:r>
      <w:proofErr w:type="spellEnd"/>
      <w:r w:rsidRPr="00984559">
        <w:rPr>
          <w:lang w:val="fr-CI"/>
        </w:rPr>
        <w:t xml:space="preserve"> C, </w:t>
      </w:r>
      <w:proofErr w:type="spellStart"/>
      <w:r w:rsidRPr="00984559">
        <w:rPr>
          <w:lang w:val="fr-CI"/>
        </w:rPr>
        <w:t>Carnesecchi</w:t>
      </w:r>
      <w:proofErr w:type="spellEnd"/>
      <w:r w:rsidRPr="00984559">
        <w:rPr>
          <w:lang w:val="fr-CI"/>
        </w:rPr>
        <w:t xml:space="preserve"> E, </w:t>
      </w:r>
      <w:proofErr w:type="spellStart"/>
      <w:r w:rsidRPr="00984559">
        <w:rPr>
          <w:lang w:val="fr-CI"/>
        </w:rPr>
        <w:t>Chauzat</w:t>
      </w:r>
      <w:proofErr w:type="spellEnd"/>
      <w:r w:rsidRPr="00984559">
        <w:rPr>
          <w:lang w:val="fr-CI"/>
        </w:rPr>
        <w:t xml:space="preserve"> MP. </w:t>
      </w:r>
      <w:proofErr w:type="spellStart"/>
      <w:r w:rsidRPr="00984559">
        <w:rPr>
          <w:lang w:val="fr-CI"/>
        </w:rPr>
        <w:t>Lethal</w:t>
      </w:r>
      <w:proofErr w:type="spellEnd"/>
      <w:r w:rsidRPr="00984559">
        <w:rPr>
          <w:lang w:val="fr-CI"/>
        </w:rPr>
        <w:t xml:space="preserve">, </w:t>
      </w:r>
      <w:proofErr w:type="spellStart"/>
      <w:r w:rsidRPr="00984559">
        <w:rPr>
          <w:lang w:val="fr-CI"/>
        </w:rPr>
        <w:t>sublethal</w:t>
      </w:r>
      <w:proofErr w:type="spellEnd"/>
      <w:r w:rsidRPr="00984559">
        <w:rPr>
          <w:lang w:val="fr-CI"/>
        </w:rPr>
        <w:t xml:space="preserve">, and </w:t>
      </w:r>
      <w:proofErr w:type="spellStart"/>
      <w:r w:rsidRPr="00984559">
        <w:rPr>
          <w:lang w:val="fr-CI"/>
        </w:rPr>
        <w:t>combined</w:t>
      </w:r>
      <w:proofErr w:type="spellEnd"/>
      <w:r w:rsidRPr="00984559">
        <w:rPr>
          <w:lang w:val="fr-CI"/>
        </w:rPr>
        <w:t xml:space="preserve"> </w:t>
      </w:r>
      <w:proofErr w:type="spellStart"/>
      <w:r w:rsidRPr="00984559">
        <w:rPr>
          <w:lang w:val="fr-CI"/>
        </w:rPr>
        <w:t>effects</w:t>
      </w:r>
      <w:proofErr w:type="spellEnd"/>
      <w:r w:rsidRPr="00984559">
        <w:rPr>
          <w:lang w:val="fr-CI"/>
        </w:rPr>
        <w:t xml:space="preserve"> of pesticides on </w:t>
      </w:r>
      <w:proofErr w:type="spellStart"/>
      <w:proofErr w:type="gramStart"/>
      <w:r w:rsidRPr="00984559">
        <w:rPr>
          <w:lang w:val="fr-CI"/>
        </w:rPr>
        <w:t>bees</w:t>
      </w:r>
      <w:proofErr w:type="spellEnd"/>
      <w:r w:rsidRPr="00984559">
        <w:rPr>
          <w:lang w:val="fr-CI"/>
        </w:rPr>
        <w:t>:</w:t>
      </w:r>
      <w:proofErr w:type="gramEnd"/>
      <w:r w:rsidRPr="00984559">
        <w:rPr>
          <w:lang w:val="fr-CI"/>
        </w:rPr>
        <w:t xml:space="preserve"> A </w:t>
      </w:r>
      <w:proofErr w:type="spellStart"/>
      <w:r w:rsidRPr="00984559">
        <w:rPr>
          <w:lang w:val="fr-CI"/>
        </w:rPr>
        <w:t>meta-analysis</w:t>
      </w:r>
      <w:proofErr w:type="spellEnd"/>
      <w:r w:rsidRPr="00984559">
        <w:rPr>
          <w:lang w:val="fr-CI"/>
        </w:rPr>
        <w:t xml:space="preserve"> and new </w:t>
      </w:r>
      <w:proofErr w:type="spellStart"/>
      <w:r w:rsidRPr="00984559">
        <w:rPr>
          <w:lang w:val="fr-CI"/>
        </w:rPr>
        <w:t>risk</w:t>
      </w:r>
      <w:proofErr w:type="spellEnd"/>
      <w:r w:rsidRPr="00984559">
        <w:rPr>
          <w:lang w:val="fr-CI"/>
        </w:rPr>
        <w:t xml:space="preserve"> </w:t>
      </w:r>
      <w:proofErr w:type="spellStart"/>
      <w:r w:rsidRPr="00984559">
        <w:rPr>
          <w:lang w:val="fr-CI"/>
        </w:rPr>
        <w:t>assessment</w:t>
      </w:r>
      <w:proofErr w:type="spellEnd"/>
      <w:r w:rsidRPr="00984559">
        <w:rPr>
          <w:lang w:val="fr-CI"/>
        </w:rPr>
        <w:t xml:space="preserve"> </w:t>
      </w:r>
      <w:proofErr w:type="spellStart"/>
      <w:r w:rsidRPr="00984559">
        <w:rPr>
          <w:lang w:val="fr-CI"/>
        </w:rPr>
        <w:t>tools</w:t>
      </w:r>
      <w:proofErr w:type="spellEnd"/>
      <w:r w:rsidRPr="00984559">
        <w:rPr>
          <w:lang w:val="fr-CI"/>
        </w:rPr>
        <w:t xml:space="preserve">. </w:t>
      </w:r>
      <w:proofErr w:type="spellStart"/>
      <w:r w:rsidRPr="00984559">
        <w:rPr>
          <w:lang w:val="fr-CI"/>
        </w:rPr>
        <w:t>Sci</w:t>
      </w:r>
      <w:proofErr w:type="spellEnd"/>
      <w:r w:rsidRPr="00984559">
        <w:rPr>
          <w:lang w:val="fr-CI"/>
        </w:rPr>
        <w:t xml:space="preserve"> Total Approx. </w:t>
      </w:r>
      <w:proofErr w:type="gramStart"/>
      <w:r w:rsidRPr="00984559">
        <w:rPr>
          <w:lang w:val="fr-CI"/>
        </w:rPr>
        <w:t>2022;</w:t>
      </w:r>
      <w:proofErr w:type="gramEnd"/>
      <w:r w:rsidRPr="00984559">
        <w:rPr>
          <w:lang w:val="fr-CI"/>
        </w:rPr>
        <w:t>844:156857. https://doi.org/10.1016/j.scitotenv.2022.156857</w:t>
      </w:r>
    </w:p>
    <w:p w14:paraId="2CF0536B" w14:textId="77777777" w:rsidR="00984559" w:rsidRPr="00984559" w:rsidRDefault="00984559" w:rsidP="00984559">
      <w:pPr>
        <w:pStyle w:val="Body"/>
        <w:rPr>
          <w:lang w:val="fr-CI"/>
        </w:rPr>
      </w:pPr>
      <w:r w:rsidRPr="00984559">
        <w:rPr>
          <w:lang w:val="fr-CI"/>
        </w:rPr>
        <w:lastRenderedPageBreak/>
        <w:t xml:space="preserve">Roman DL, </w:t>
      </w:r>
      <w:proofErr w:type="spellStart"/>
      <w:r w:rsidRPr="00984559">
        <w:rPr>
          <w:lang w:val="fr-CI"/>
        </w:rPr>
        <w:t>Voiculescu</w:t>
      </w:r>
      <w:proofErr w:type="spellEnd"/>
      <w:r w:rsidRPr="00984559">
        <w:rPr>
          <w:lang w:val="fr-CI"/>
        </w:rPr>
        <w:t xml:space="preserve"> DI, </w:t>
      </w:r>
      <w:proofErr w:type="spellStart"/>
      <w:r w:rsidRPr="00984559">
        <w:rPr>
          <w:lang w:val="fr-CI"/>
        </w:rPr>
        <w:t>Ostafe</w:t>
      </w:r>
      <w:proofErr w:type="spellEnd"/>
      <w:r w:rsidRPr="00984559">
        <w:rPr>
          <w:lang w:val="fr-CI"/>
        </w:rPr>
        <w:t xml:space="preserve"> V, </w:t>
      </w:r>
      <w:proofErr w:type="spellStart"/>
      <w:r w:rsidRPr="00984559">
        <w:rPr>
          <w:lang w:val="fr-CI"/>
        </w:rPr>
        <w:t>Ciorsac</w:t>
      </w:r>
      <w:proofErr w:type="spellEnd"/>
      <w:r w:rsidRPr="00984559">
        <w:rPr>
          <w:lang w:val="fr-CI"/>
        </w:rPr>
        <w:t xml:space="preserve"> A, </w:t>
      </w:r>
      <w:proofErr w:type="spellStart"/>
      <w:r w:rsidRPr="00984559">
        <w:rPr>
          <w:lang w:val="fr-CI"/>
        </w:rPr>
        <w:t>Isvoran</w:t>
      </w:r>
      <w:proofErr w:type="spellEnd"/>
      <w:r w:rsidRPr="00984559">
        <w:rPr>
          <w:lang w:val="fr-CI"/>
        </w:rPr>
        <w:t xml:space="preserve"> A. </w:t>
      </w:r>
      <w:proofErr w:type="spellStart"/>
      <w:r w:rsidRPr="00984559">
        <w:rPr>
          <w:lang w:val="fr-CI"/>
        </w:rPr>
        <w:t>Study</w:t>
      </w:r>
      <w:proofErr w:type="spellEnd"/>
      <w:r w:rsidRPr="00984559">
        <w:rPr>
          <w:lang w:val="fr-CI"/>
        </w:rPr>
        <w:t xml:space="preserve"> of the </w:t>
      </w:r>
      <w:proofErr w:type="spellStart"/>
      <w:r w:rsidRPr="00984559">
        <w:rPr>
          <w:lang w:val="fr-CI"/>
        </w:rPr>
        <w:t>toxicity</w:t>
      </w:r>
      <w:proofErr w:type="spellEnd"/>
      <w:r w:rsidRPr="00984559">
        <w:rPr>
          <w:lang w:val="fr-CI"/>
        </w:rPr>
        <w:t xml:space="preserve"> of triazole </w:t>
      </w:r>
      <w:proofErr w:type="spellStart"/>
      <w:r w:rsidRPr="00984559">
        <w:rPr>
          <w:lang w:val="fr-CI"/>
        </w:rPr>
        <w:t>fungicides</w:t>
      </w:r>
      <w:proofErr w:type="spellEnd"/>
      <w:r w:rsidRPr="00984559">
        <w:rPr>
          <w:lang w:val="fr-CI"/>
        </w:rPr>
        <w:t xml:space="preserve"> </w:t>
      </w:r>
      <w:proofErr w:type="spellStart"/>
      <w:r w:rsidRPr="00984559">
        <w:rPr>
          <w:lang w:val="fr-CI"/>
        </w:rPr>
        <w:t>approved</w:t>
      </w:r>
      <w:proofErr w:type="spellEnd"/>
      <w:r w:rsidRPr="00984559">
        <w:rPr>
          <w:lang w:val="fr-CI"/>
        </w:rPr>
        <w:t xml:space="preserve"> in the </w:t>
      </w:r>
      <w:proofErr w:type="spellStart"/>
      <w:r w:rsidRPr="00984559">
        <w:rPr>
          <w:lang w:val="fr-CI"/>
        </w:rPr>
        <w:t>European</w:t>
      </w:r>
      <w:proofErr w:type="spellEnd"/>
      <w:r w:rsidRPr="00984559">
        <w:rPr>
          <w:lang w:val="fr-CI"/>
        </w:rPr>
        <w:t xml:space="preserve"> Union for the </w:t>
      </w:r>
      <w:proofErr w:type="spellStart"/>
      <w:r w:rsidRPr="00984559">
        <w:rPr>
          <w:lang w:val="fr-CI"/>
        </w:rPr>
        <w:t>soil</w:t>
      </w:r>
      <w:proofErr w:type="spellEnd"/>
      <w:r w:rsidRPr="00984559">
        <w:rPr>
          <w:lang w:val="fr-CI"/>
        </w:rPr>
        <w:t xml:space="preserve"> and </w:t>
      </w:r>
      <w:proofErr w:type="spellStart"/>
      <w:r w:rsidRPr="00984559">
        <w:rPr>
          <w:lang w:val="fr-CI"/>
        </w:rPr>
        <w:t>aqueous</w:t>
      </w:r>
      <w:proofErr w:type="spellEnd"/>
      <w:r w:rsidRPr="00984559">
        <w:rPr>
          <w:lang w:val="fr-CI"/>
        </w:rPr>
        <w:t xml:space="preserve"> </w:t>
      </w:r>
      <w:proofErr w:type="spellStart"/>
      <w:r w:rsidRPr="00984559">
        <w:rPr>
          <w:lang w:val="fr-CI"/>
        </w:rPr>
        <w:t>environment</w:t>
      </w:r>
      <w:proofErr w:type="spellEnd"/>
      <w:r w:rsidRPr="00984559">
        <w:rPr>
          <w:lang w:val="fr-CI"/>
        </w:rPr>
        <w:t xml:space="preserve">. </w:t>
      </w:r>
      <w:proofErr w:type="spellStart"/>
      <w:r w:rsidRPr="00984559">
        <w:rPr>
          <w:lang w:val="fr-CI"/>
        </w:rPr>
        <w:t>Ovidius</w:t>
      </w:r>
      <w:proofErr w:type="spellEnd"/>
      <w:r w:rsidRPr="00984559">
        <w:rPr>
          <w:lang w:val="fr-CI"/>
        </w:rPr>
        <w:t xml:space="preserve"> </w:t>
      </w:r>
      <w:proofErr w:type="spellStart"/>
      <w:r w:rsidRPr="00984559">
        <w:rPr>
          <w:lang w:val="fr-CI"/>
        </w:rPr>
        <w:t>University</w:t>
      </w:r>
      <w:proofErr w:type="spellEnd"/>
      <w:r w:rsidRPr="00984559">
        <w:rPr>
          <w:lang w:val="fr-CI"/>
        </w:rPr>
        <w:t xml:space="preserve"> </w:t>
      </w:r>
      <w:proofErr w:type="spellStart"/>
      <w:r w:rsidRPr="00984559">
        <w:rPr>
          <w:lang w:val="fr-CI"/>
        </w:rPr>
        <w:t>Annals</w:t>
      </w:r>
      <w:proofErr w:type="spellEnd"/>
      <w:r w:rsidRPr="00984559">
        <w:rPr>
          <w:lang w:val="fr-CI"/>
        </w:rPr>
        <w:t xml:space="preserve"> of Chemistry. </w:t>
      </w:r>
      <w:proofErr w:type="gramStart"/>
      <w:r w:rsidRPr="00984559">
        <w:rPr>
          <w:lang w:val="fr-CI"/>
        </w:rPr>
        <w:t>2022;</w:t>
      </w:r>
      <w:proofErr w:type="gramEnd"/>
      <w:r w:rsidRPr="00984559">
        <w:rPr>
          <w:lang w:val="fr-CI"/>
        </w:rPr>
        <w:t>33(2):113–120. https://doi.org/10.2478/auoc-2022-0017</w:t>
      </w:r>
    </w:p>
    <w:p w14:paraId="1ABCFCAD" w14:textId="77777777" w:rsidR="00984559" w:rsidRPr="00984559" w:rsidRDefault="00984559" w:rsidP="00984559">
      <w:pPr>
        <w:pStyle w:val="Body"/>
        <w:rPr>
          <w:lang w:val="fr-CI"/>
        </w:rPr>
      </w:pPr>
      <w:r w:rsidRPr="00984559">
        <w:rPr>
          <w:lang w:val="fr-CI"/>
        </w:rPr>
        <w:t xml:space="preserve">Mir AR, </w:t>
      </w:r>
      <w:proofErr w:type="spellStart"/>
      <w:r w:rsidRPr="00984559">
        <w:rPr>
          <w:lang w:val="fr-CI"/>
        </w:rPr>
        <w:t>Pichtel</w:t>
      </w:r>
      <w:proofErr w:type="spellEnd"/>
      <w:r w:rsidRPr="00984559">
        <w:rPr>
          <w:lang w:val="fr-CI"/>
        </w:rPr>
        <w:t xml:space="preserve"> J, Hayat S. </w:t>
      </w:r>
      <w:proofErr w:type="gramStart"/>
      <w:r w:rsidRPr="00984559">
        <w:rPr>
          <w:lang w:val="fr-CI"/>
        </w:rPr>
        <w:t>Copper:</w:t>
      </w:r>
      <w:proofErr w:type="gramEnd"/>
      <w:r w:rsidRPr="00984559">
        <w:rPr>
          <w:lang w:val="fr-CI"/>
        </w:rPr>
        <w:t xml:space="preserve"> </w:t>
      </w:r>
      <w:proofErr w:type="spellStart"/>
      <w:r w:rsidRPr="00984559">
        <w:rPr>
          <w:lang w:val="fr-CI"/>
        </w:rPr>
        <w:t>Uptake</w:t>
      </w:r>
      <w:proofErr w:type="spellEnd"/>
      <w:r w:rsidRPr="00984559">
        <w:rPr>
          <w:lang w:val="fr-CI"/>
        </w:rPr>
        <w:t xml:space="preserve">, </w:t>
      </w:r>
      <w:proofErr w:type="spellStart"/>
      <w:r w:rsidRPr="00984559">
        <w:rPr>
          <w:lang w:val="fr-CI"/>
        </w:rPr>
        <w:t>toxicity</w:t>
      </w:r>
      <w:proofErr w:type="spellEnd"/>
      <w:r w:rsidRPr="00984559">
        <w:rPr>
          <w:lang w:val="fr-CI"/>
        </w:rPr>
        <w:t xml:space="preserve">, and </w:t>
      </w:r>
      <w:proofErr w:type="spellStart"/>
      <w:r w:rsidRPr="00984559">
        <w:rPr>
          <w:lang w:val="fr-CI"/>
        </w:rPr>
        <w:t>tolerance</w:t>
      </w:r>
      <w:proofErr w:type="spellEnd"/>
      <w:r w:rsidRPr="00984559">
        <w:rPr>
          <w:lang w:val="fr-CI"/>
        </w:rPr>
        <w:t xml:space="preserve"> in plants and management of Cu-</w:t>
      </w:r>
      <w:proofErr w:type="spellStart"/>
      <w:r w:rsidRPr="00984559">
        <w:rPr>
          <w:lang w:val="fr-CI"/>
        </w:rPr>
        <w:t>contaminated</w:t>
      </w:r>
      <w:proofErr w:type="spellEnd"/>
      <w:r w:rsidRPr="00984559">
        <w:rPr>
          <w:lang w:val="fr-CI"/>
        </w:rPr>
        <w:t xml:space="preserve"> </w:t>
      </w:r>
      <w:proofErr w:type="spellStart"/>
      <w:r w:rsidRPr="00984559">
        <w:rPr>
          <w:lang w:val="fr-CI"/>
        </w:rPr>
        <w:t>soils</w:t>
      </w:r>
      <w:proofErr w:type="spellEnd"/>
      <w:r w:rsidRPr="00984559">
        <w:rPr>
          <w:lang w:val="fr-CI"/>
        </w:rPr>
        <w:t xml:space="preserve">. </w:t>
      </w:r>
      <w:proofErr w:type="spellStart"/>
      <w:r w:rsidRPr="00984559">
        <w:rPr>
          <w:lang w:val="fr-CI"/>
        </w:rPr>
        <w:t>Biometals</w:t>
      </w:r>
      <w:proofErr w:type="spellEnd"/>
      <w:r w:rsidRPr="00984559">
        <w:rPr>
          <w:lang w:val="fr-CI"/>
        </w:rPr>
        <w:t xml:space="preserve">. </w:t>
      </w:r>
      <w:proofErr w:type="gramStart"/>
      <w:r w:rsidRPr="00984559">
        <w:rPr>
          <w:lang w:val="fr-CI"/>
        </w:rPr>
        <w:t>2021;</w:t>
      </w:r>
      <w:proofErr w:type="gramEnd"/>
      <w:r w:rsidRPr="00984559">
        <w:rPr>
          <w:lang w:val="fr-CI"/>
        </w:rPr>
        <w:t>34(4):737–759. https://doi.org/10.1007/s10534-021-00306-z</w:t>
      </w:r>
    </w:p>
    <w:p w14:paraId="5F36334A" w14:textId="77777777" w:rsidR="00984559" w:rsidRPr="00984559" w:rsidRDefault="00984559" w:rsidP="00984559">
      <w:pPr>
        <w:pStyle w:val="Body"/>
        <w:rPr>
          <w:lang w:val="fr-CI"/>
        </w:rPr>
      </w:pPr>
      <w:r w:rsidRPr="00984559">
        <w:rPr>
          <w:lang w:val="fr-CI"/>
        </w:rPr>
        <w:t xml:space="preserve">FAO/WHO. International Code of </w:t>
      </w:r>
      <w:proofErr w:type="spellStart"/>
      <w:r w:rsidRPr="00984559">
        <w:rPr>
          <w:lang w:val="fr-CI"/>
        </w:rPr>
        <w:t>Conduct</w:t>
      </w:r>
      <w:proofErr w:type="spellEnd"/>
      <w:r w:rsidRPr="00984559">
        <w:rPr>
          <w:lang w:val="fr-CI"/>
        </w:rPr>
        <w:t xml:space="preserve"> on Pesticide </w:t>
      </w:r>
      <w:proofErr w:type="gramStart"/>
      <w:r w:rsidRPr="00984559">
        <w:rPr>
          <w:lang w:val="fr-CI"/>
        </w:rPr>
        <w:t>Management:</w:t>
      </w:r>
      <w:proofErr w:type="gramEnd"/>
      <w:r w:rsidRPr="00984559">
        <w:rPr>
          <w:lang w:val="fr-CI"/>
        </w:rPr>
        <w:t xml:space="preserve"> Guidance on the use of pesticide </w:t>
      </w:r>
      <w:proofErr w:type="spellStart"/>
      <w:r w:rsidRPr="00984559">
        <w:rPr>
          <w:lang w:val="fr-CI"/>
        </w:rPr>
        <w:t>regulations</w:t>
      </w:r>
      <w:proofErr w:type="spellEnd"/>
      <w:r w:rsidRPr="00984559">
        <w:rPr>
          <w:lang w:val="fr-CI"/>
        </w:rPr>
        <w:t xml:space="preserve"> to </w:t>
      </w:r>
      <w:proofErr w:type="spellStart"/>
      <w:r w:rsidRPr="00984559">
        <w:rPr>
          <w:lang w:val="fr-CI"/>
        </w:rPr>
        <w:t>prevent</w:t>
      </w:r>
      <w:proofErr w:type="spellEnd"/>
      <w:r w:rsidRPr="00984559">
        <w:rPr>
          <w:lang w:val="fr-CI"/>
        </w:rPr>
        <w:t xml:space="preserve"> suicide. 2018. http://www.fao.org/3/I5566FR/i5566fr.pdf</w:t>
      </w:r>
    </w:p>
    <w:p w14:paraId="3D5A91CC" w14:textId="77777777" w:rsidR="00984559" w:rsidRPr="00984559" w:rsidRDefault="00984559" w:rsidP="00984559">
      <w:pPr>
        <w:pStyle w:val="Body"/>
        <w:rPr>
          <w:lang w:val="fr-CI"/>
        </w:rPr>
      </w:pPr>
      <w:r w:rsidRPr="00984559">
        <w:rPr>
          <w:lang w:val="fr-CI"/>
        </w:rPr>
        <w:t xml:space="preserve">Pagano M, Stara A, </w:t>
      </w:r>
      <w:proofErr w:type="spellStart"/>
      <w:r w:rsidRPr="00984559">
        <w:rPr>
          <w:lang w:val="fr-CI"/>
        </w:rPr>
        <w:t>Aliko</w:t>
      </w:r>
      <w:proofErr w:type="spellEnd"/>
      <w:r w:rsidRPr="00984559">
        <w:rPr>
          <w:lang w:val="fr-CI"/>
        </w:rPr>
        <w:t xml:space="preserve"> V, </w:t>
      </w:r>
      <w:proofErr w:type="spellStart"/>
      <w:r w:rsidRPr="00984559">
        <w:rPr>
          <w:lang w:val="fr-CI"/>
        </w:rPr>
        <w:t>Faggio</w:t>
      </w:r>
      <w:proofErr w:type="spellEnd"/>
      <w:r w:rsidRPr="00984559">
        <w:rPr>
          <w:lang w:val="fr-CI"/>
        </w:rPr>
        <w:t xml:space="preserve"> C. Impact of </w:t>
      </w:r>
      <w:proofErr w:type="spellStart"/>
      <w:r w:rsidRPr="00984559">
        <w:rPr>
          <w:lang w:val="fr-CI"/>
        </w:rPr>
        <w:t>neonicotinoids</w:t>
      </w:r>
      <w:proofErr w:type="spellEnd"/>
      <w:r w:rsidRPr="00984559">
        <w:rPr>
          <w:lang w:val="fr-CI"/>
        </w:rPr>
        <w:t xml:space="preserve"> to </w:t>
      </w:r>
      <w:proofErr w:type="spellStart"/>
      <w:r w:rsidRPr="00984559">
        <w:rPr>
          <w:lang w:val="fr-CI"/>
        </w:rPr>
        <w:t>aquatic</w:t>
      </w:r>
      <w:proofErr w:type="spellEnd"/>
      <w:r w:rsidRPr="00984559">
        <w:rPr>
          <w:lang w:val="fr-CI"/>
        </w:rPr>
        <w:t xml:space="preserve"> </w:t>
      </w:r>
      <w:proofErr w:type="spellStart"/>
      <w:r w:rsidRPr="00984559">
        <w:rPr>
          <w:lang w:val="fr-CI"/>
        </w:rPr>
        <w:t>invertebrates</w:t>
      </w:r>
      <w:proofErr w:type="spellEnd"/>
      <w:r w:rsidRPr="00984559">
        <w:rPr>
          <w:lang w:val="fr-CI"/>
        </w:rPr>
        <w:t xml:space="preserve"> in vitro </w:t>
      </w:r>
      <w:proofErr w:type="spellStart"/>
      <w:r w:rsidRPr="00984559">
        <w:rPr>
          <w:lang w:val="fr-CI"/>
        </w:rPr>
        <w:t>studies</w:t>
      </w:r>
      <w:proofErr w:type="spellEnd"/>
      <w:r w:rsidRPr="00984559">
        <w:rPr>
          <w:lang w:val="fr-CI"/>
        </w:rPr>
        <w:t xml:space="preserve"> on </w:t>
      </w:r>
      <w:proofErr w:type="spellStart"/>
      <w:r w:rsidRPr="00984559">
        <w:rPr>
          <w:lang w:val="fr-CI"/>
        </w:rPr>
        <w:t>Mytilus</w:t>
      </w:r>
      <w:proofErr w:type="spellEnd"/>
      <w:r w:rsidRPr="00984559">
        <w:rPr>
          <w:lang w:val="fr-CI"/>
        </w:rPr>
        <w:t xml:space="preserve"> </w:t>
      </w:r>
      <w:proofErr w:type="spellStart"/>
      <w:proofErr w:type="gramStart"/>
      <w:r w:rsidRPr="00984559">
        <w:rPr>
          <w:lang w:val="fr-CI"/>
        </w:rPr>
        <w:t>galloprovincialis</w:t>
      </w:r>
      <w:proofErr w:type="spellEnd"/>
      <w:r w:rsidRPr="00984559">
        <w:rPr>
          <w:lang w:val="fr-CI"/>
        </w:rPr>
        <w:t>:</w:t>
      </w:r>
      <w:proofErr w:type="gramEnd"/>
      <w:r w:rsidRPr="00984559">
        <w:rPr>
          <w:lang w:val="fr-CI"/>
        </w:rPr>
        <w:t xml:space="preserve"> A </w:t>
      </w:r>
      <w:proofErr w:type="spellStart"/>
      <w:r w:rsidRPr="00984559">
        <w:rPr>
          <w:lang w:val="fr-CI"/>
        </w:rPr>
        <w:t>review</w:t>
      </w:r>
      <w:proofErr w:type="spellEnd"/>
      <w:r w:rsidRPr="00984559">
        <w:rPr>
          <w:lang w:val="fr-CI"/>
        </w:rPr>
        <w:t xml:space="preserve">. J Mar </w:t>
      </w:r>
      <w:proofErr w:type="spellStart"/>
      <w:r w:rsidRPr="00984559">
        <w:rPr>
          <w:lang w:val="fr-CI"/>
        </w:rPr>
        <w:t>Sci</w:t>
      </w:r>
      <w:proofErr w:type="spellEnd"/>
      <w:r w:rsidRPr="00984559">
        <w:rPr>
          <w:lang w:val="fr-CI"/>
        </w:rPr>
        <w:t xml:space="preserve"> Eng. </w:t>
      </w:r>
      <w:proofErr w:type="gramStart"/>
      <w:r w:rsidRPr="00984559">
        <w:rPr>
          <w:lang w:val="fr-CI"/>
        </w:rPr>
        <w:t>2020;</w:t>
      </w:r>
      <w:proofErr w:type="gramEnd"/>
      <w:r w:rsidRPr="00984559">
        <w:rPr>
          <w:lang w:val="fr-CI"/>
        </w:rPr>
        <w:t>8(10):801. https://doi.org/10.3390/jmse8100801</w:t>
      </w:r>
    </w:p>
    <w:p w14:paraId="569818DF" w14:textId="77777777" w:rsidR="00984559" w:rsidRPr="00984559" w:rsidRDefault="00984559" w:rsidP="00984559">
      <w:pPr>
        <w:pStyle w:val="Body"/>
        <w:rPr>
          <w:lang w:val="fr-CI"/>
        </w:rPr>
      </w:pPr>
      <w:r w:rsidRPr="00984559">
        <w:rPr>
          <w:lang w:val="fr-CI"/>
        </w:rPr>
        <w:t xml:space="preserve">Panis C, </w:t>
      </w:r>
      <w:proofErr w:type="spellStart"/>
      <w:r w:rsidRPr="00984559">
        <w:rPr>
          <w:lang w:val="fr-CI"/>
        </w:rPr>
        <w:t>Candiotto</w:t>
      </w:r>
      <w:proofErr w:type="spellEnd"/>
      <w:r w:rsidRPr="00984559">
        <w:rPr>
          <w:lang w:val="fr-CI"/>
        </w:rPr>
        <w:t xml:space="preserve"> LZP, </w:t>
      </w:r>
      <w:proofErr w:type="spellStart"/>
      <w:r w:rsidRPr="00984559">
        <w:rPr>
          <w:lang w:val="fr-CI"/>
        </w:rPr>
        <w:t>Gaboardi</w:t>
      </w:r>
      <w:proofErr w:type="spellEnd"/>
      <w:r w:rsidRPr="00984559">
        <w:rPr>
          <w:lang w:val="fr-CI"/>
        </w:rPr>
        <w:t xml:space="preserve"> SC, Teixeira GT, Alves FM, da Silva JC, </w:t>
      </w:r>
      <w:proofErr w:type="spellStart"/>
      <w:r w:rsidRPr="00984559">
        <w:rPr>
          <w:lang w:val="fr-CI"/>
        </w:rPr>
        <w:t>Lemos</w:t>
      </w:r>
      <w:proofErr w:type="spellEnd"/>
      <w:r w:rsidRPr="00984559">
        <w:rPr>
          <w:lang w:val="fr-CI"/>
        </w:rPr>
        <w:t xml:space="preserve"> BP. Pesticide </w:t>
      </w:r>
      <w:proofErr w:type="spellStart"/>
      <w:r w:rsidRPr="00984559">
        <w:rPr>
          <w:lang w:val="fr-CI"/>
        </w:rPr>
        <w:t>exposure</w:t>
      </w:r>
      <w:proofErr w:type="spellEnd"/>
      <w:r w:rsidRPr="00984559">
        <w:rPr>
          <w:lang w:val="fr-CI"/>
        </w:rPr>
        <w:t xml:space="preserve"> and </w:t>
      </w:r>
      <w:proofErr w:type="spellStart"/>
      <w:r w:rsidRPr="00984559">
        <w:rPr>
          <w:lang w:val="fr-CI"/>
        </w:rPr>
        <w:t>breast</w:t>
      </w:r>
      <w:proofErr w:type="spellEnd"/>
      <w:r w:rsidRPr="00984559">
        <w:rPr>
          <w:lang w:val="fr-CI"/>
        </w:rPr>
        <w:t xml:space="preserve"> cancer in an agricultural </w:t>
      </w:r>
      <w:proofErr w:type="spellStart"/>
      <w:r w:rsidRPr="00984559">
        <w:rPr>
          <w:lang w:val="fr-CI"/>
        </w:rPr>
        <w:t>region</w:t>
      </w:r>
      <w:proofErr w:type="spellEnd"/>
      <w:r w:rsidRPr="00984559">
        <w:rPr>
          <w:lang w:val="fr-CI"/>
        </w:rPr>
        <w:t xml:space="preserve"> of Brazil. About </w:t>
      </w:r>
      <w:proofErr w:type="spellStart"/>
      <w:r w:rsidRPr="00984559">
        <w:rPr>
          <w:lang w:val="fr-CI"/>
        </w:rPr>
        <w:t>Sci</w:t>
      </w:r>
      <w:proofErr w:type="spellEnd"/>
      <w:r w:rsidRPr="00984559">
        <w:rPr>
          <w:lang w:val="fr-CI"/>
        </w:rPr>
        <w:t xml:space="preserve"> </w:t>
      </w:r>
      <w:proofErr w:type="spellStart"/>
      <w:r w:rsidRPr="00984559">
        <w:rPr>
          <w:lang w:val="fr-CI"/>
        </w:rPr>
        <w:t>Technol</w:t>
      </w:r>
      <w:proofErr w:type="spellEnd"/>
      <w:r w:rsidRPr="00984559">
        <w:rPr>
          <w:lang w:val="fr-CI"/>
        </w:rPr>
        <w:t xml:space="preserve">. </w:t>
      </w:r>
      <w:proofErr w:type="gramStart"/>
      <w:r w:rsidRPr="00984559">
        <w:rPr>
          <w:lang w:val="fr-CI"/>
        </w:rPr>
        <w:t>2024;</w:t>
      </w:r>
      <w:proofErr w:type="gramEnd"/>
      <w:r w:rsidRPr="00984559">
        <w:rPr>
          <w:lang w:val="fr-CI"/>
        </w:rPr>
        <w:t>58(24):10470–10481. https://doi.org/10.1021/acs.est.3c08695</w:t>
      </w:r>
    </w:p>
    <w:p w14:paraId="1CCD36E1" w14:textId="23FF1415" w:rsidR="00B01FCD" w:rsidRPr="00FB3A86" w:rsidRDefault="00984559" w:rsidP="00984559">
      <w:pPr>
        <w:pStyle w:val="Body"/>
        <w:rPr>
          <w:rFonts w:ascii="Arial" w:hAnsi="Arial" w:cs="Arial"/>
          <w:b/>
        </w:rPr>
      </w:pPr>
      <w:proofErr w:type="spellStart"/>
      <w:r w:rsidRPr="00984559">
        <w:rPr>
          <w:lang w:val="fr-CI"/>
        </w:rPr>
        <w:t>Pretty</w:t>
      </w:r>
      <w:proofErr w:type="spellEnd"/>
      <w:r w:rsidRPr="00984559">
        <w:rPr>
          <w:lang w:val="fr-CI"/>
        </w:rPr>
        <w:t xml:space="preserve"> J, </w:t>
      </w:r>
      <w:proofErr w:type="spellStart"/>
      <w:r w:rsidRPr="00984559">
        <w:rPr>
          <w:lang w:val="fr-CI"/>
        </w:rPr>
        <w:t>Bharucha</w:t>
      </w:r>
      <w:proofErr w:type="spellEnd"/>
      <w:r w:rsidRPr="00984559">
        <w:rPr>
          <w:lang w:val="fr-CI"/>
        </w:rPr>
        <w:t xml:space="preserve"> ZP. Integrated </w:t>
      </w:r>
      <w:proofErr w:type="spellStart"/>
      <w:r w:rsidRPr="00984559">
        <w:rPr>
          <w:lang w:val="fr-CI"/>
        </w:rPr>
        <w:t>pest</w:t>
      </w:r>
      <w:proofErr w:type="spellEnd"/>
      <w:r w:rsidRPr="00984559">
        <w:rPr>
          <w:lang w:val="fr-CI"/>
        </w:rPr>
        <w:t xml:space="preserve"> management for </w:t>
      </w:r>
      <w:proofErr w:type="spellStart"/>
      <w:r w:rsidRPr="00984559">
        <w:rPr>
          <w:lang w:val="fr-CI"/>
        </w:rPr>
        <w:t>sustainable</w:t>
      </w:r>
      <w:proofErr w:type="spellEnd"/>
      <w:r w:rsidRPr="00984559">
        <w:rPr>
          <w:lang w:val="fr-CI"/>
        </w:rPr>
        <w:t xml:space="preserve"> intensification of agriculture in Asia and </w:t>
      </w:r>
      <w:proofErr w:type="spellStart"/>
      <w:r w:rsidRPr="00984559">
        <w:rPr>
          <w:lang w:val="fr-CI"/>
        </w:rPr>
        <w:t>Africa</w:t>
      </w:r>
      <w:proofErr w:type="spellEnd"/>
      <w:r w:rsidRPr="00984559">
        <w:rPr>
          <w:lang w:val="fr-CI"/>
        </w:rPr>
        <w:t xml:space="preserve">. </w:t>
      </w:r>
      <w:proofErr w:type="spellStart"/>
      <w:r w:rsidRPr="00984559">
        <w:rPr>
          <w:lang w:val="fr-CI"/>
        </w:rPr>
        <w:t>Insects</w:t>
      </w:r>
      <w:proofErr w:type="spellEnd"/>
      <w:r w:rsidRPr="00984559">
        <w:rPr>
          <w:lang w:val="fr-CI"/>
        </w:rPr>
        <w:t xml:space="preserve">. </w:t>
      </w:r>
      <w:proofErr w:type="gramStart"/>
      <w:r w:rsidRPr="00984559">
        <w:rPr>
          <w:lang w:val="fr-CI"/>
        </w:rPr>
        <w:t>2015;</w:t>
      </w:r>
      <w:proofErr w:type="gramEnd"/>
      <w:r w:rsidRPr="00984559">
        <w:rPr>
          <w:lang w:val="fr-CI"/>
        </w:rPr>
        <w:t>6(1):152–182. https://doi.org/10.3390/insects6010152</w:t>
      </w:r>
    </w:p>
    <w:sectPr w:rsidR="00B01FCD" w:rsidRPr="00FB3A86" w:rsidSect="009B7B9E">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B1D7B" w14:textId="77777777" w:rsidR="00B83C47" w:rsidRDefault="00B83C47" w:rsidP="00C37E61">
      <w:r>
        <w:separator/>
      </w:r>
    </w:p>
  </w:endnote>
  <w:endnote w:type="continuationSeparator" w:id="0">
    <w:p w14:paraId="157E9FB3" w14:textId="77777777" w:rsidR="00B83C47" w:rsidRDefault="00B83C4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A9100" w14:textId="77777777" w:rsidR="009B7B9E" w:rsidRDefault="009B7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8A94A" w14:textId="77777777" w:rsidR="009B7B9E" w:rsidRDefault="009B7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B684F" w14:textId="586A3C8B" w:rsidR="00754C9A" w:rsidRPr="009B7B9E" w:rsidRDefault="00754C9A" w:rsidP="009B7B9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12942" w14:textId="77777777" w:rsidR="007B1B69" w:rsidRDefault="007B1B69">
    <w:pPr>
      <w:pStyle w:val="Footer"/>
      <w:jc w:val="right"/>
    </w:pPr>
  </w:p>
  <w:sdt>
    <w:sdtPr>
      <w:id w:val="-1794132211"/>
      <w:docPartObj>
        <w:docPartGallery w:val="Page Numbers (Bottom of Page)"/>
        <w:docPartUnique/>
      </w:docPartObj>
    </w:sdtPr>
    <w:sdtEndPr/>
    <w:sdtContent>
      <w:p w14:paraId="3DF8A524" w14:textId="77777777" w:rsidR="007B1B69" w:rsidRDefault="007B1B69">
        <w:pPr>
          <w:pStyle w:val="Footer"/>
          <w:jc w:val="right"/>
        </w:pPr>
        <w:r>
          <w:fldChar w:fldCharType="begin"/>
        </w:r>
        <w:r>
          <w:instrText>PAGE   \* MERGEFORMAT</w:instrText>
        </w:r>
        <w:r>
          <w:fldChar w:fldCharType="separate"/>
        </w:r>
        <w:r>
          <w:rPr>
            <w:lang w:val="fr-FR"/>
          </w:rPr>
          <w:t>2</w:t>
        </w:r>
        <w:r>
          <w:fldChar w:fldCharType="end"/>
        </w:r>
      </w:p>
    </w:sdtContent>
  </w:sdt>
  <w:p w14:paraId="06E41998" w14:textId="77777777" w:rsidR="007B1B69" w:rsidRDefault="007B1B6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0973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B268D" w14:textId="77777777" w:rsidR="00B83C47" w:rsidRDefault="00B83C47" w:rsidP="00C37E61">
      <w:r>
        <w:separator/>
      </w:r>
    </w:p>
  </w:footnote>
  <w:footnote w:type="continuationSeparator" w:id="0">
    <w:p w14:paraId="555AEC98" w14:textId="77777777" w:rsidR="00B83C47" w:rsidRDefault="00B83C4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581DE" w14:textId="43A9A4B4" w:rsidR="009B7B9E" w:rsidRDefault="009B7B9E">
    <w:pPr>
      <w:pStyle w:val="Header"/>
    </w:pPr>
    <w:r>
      <w:rPr>
        <w:noProof/>
      </w:rPr>
      <w:pict w14:anchorId="17737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855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9FD71" w14:textId="2573A36B" w:rsidR="009B7B9E" w:rsidRDefault="009B7B9E">
    <w:pPr>
      <w:pStyle w:val="Header"/>
    </w:pPr>
    <w:r>
      <w:rPr>
        <w:noProof/>
      </w:rPr>
      <w:pict w14:anchorId="644E2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855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885BE" w14:textId="1150090F" w:rsidR="00296529" w:rsidRPr="00296529" w:rsidRDefault="009B7B9E" w:rsidP="00296529">
    <w:pPr>
      <w:ind w:left="2160"/>
      <w:jc w:val="center"/>
      <w:rPr>
        <w:rFonts w:ascii="Times New Roman" w:eastAsia="Calibri" w:hAnsi="Times New Roman"/>
        <w:i/>
        <w:sz w:val="18"/>
        <w:szCs w:val="22"/>
      </w:rPr>
    </w:pPr>
    <w:r>
      <w:rPr>
        <w:noProof/>
      </w:rPr>
      <w:pict w14:anchorId="1B57C5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8557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A7FC9F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75452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E9E8D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C956DF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BA9A1D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5B24C4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11305" w14:textId="44F0186C" w:rsidR="009B7B9E" w:rsidRDefault="009B7B9E">
    <w:pPr>
      <w:pStyle w:val="Header"/>
    </w:pPr>
    <w:r>
      <w:rPr>
        <w:noProof/>
      </w:rPr>
      <w:pict w14:anchorId="79C991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8557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5A781" w14:textId="4690D039" w:rsidR="009B7B9E" w:rsidRDefault="009B7B9E">
    <w:pPr>
      <w:pStyle w:val="Header"/>
    </w:pPr>
    <w:r>
      <w:rPr>
        <w:noProof/>
      </w:rPr>
      <w:pict w14:anchorId="4C572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8557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E7E76" w14:textId="55C0ACA6" w:rsidR="009B7B9E" w:rsidRDefault="009B7B9E">
    <w:pPr>
      <w:pStyle w:val="Header"/>
    </w:pPr>
    <w:r>
      <w:rPr>
        <w:noProof/>
      </w:rPr>
      <w:pict w14:anchorId="5998C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8557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D9B91" w14:textId="4DD8C165" w:rsidR="009B7B9E" w:rsidRDefault="009B7B9E">
    <w:pPr>
      <w:pStyle w:val="Header"/>
    </w:pPr>
    <w:r>
      <w:rPr>
        <w:noProof/>
      </w:rPr>
      <w:pict w14:anchorId="7233F2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855710" o:spid="_x0000_s2056"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6A98F" w14:textId="644C0C47" w:rsidR="009B7B9E" w:rsidRDefault="009B7B9E">
    <w:pPr>
      <w:pStyle w:val="Header"/>
    </w:pPr>
    <w:r>
      <w:rPr>
        <w:noProof/>
      </w:rPr>
      <w:pict w14:anchorId="11116B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855711" o:spid="_x0000_s2057"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27AF0" w14:textId="4D7F406E" w:rsidR="009B7B9E" w:rsidRDefault="009B7B9E">
    <w:pPr>
      <w:pStyle w:val="Header"/>
    </w:pPr>
    <w:r>
      <w:rPr>
        <w:noProof/>
      </w:rPr>
      <w:pict w14:anchorId="30D09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855709" o:spid="_x0000_s2055"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AD947C6"/>
    <w:multiLevelType w:val="multilevel"/>
    <w:tmpl w:val="9B8A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8F0AF0"/>
    <w:multiLevelType w:val="multilevel"/>
    <w:tmpl w:val="932A3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5F7C5127"/>
    <w:multiLevelType w:val="multilevel"/>
    <w:tmpl w:val="0EA4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964343A"/>
    <w:multiLevelType w:val="multilevel"/>
    <w:tmpl w:val="B140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4"/>
  </w:num>
  <w:num w:numId="19">
    <w:abstractNumId w:val="32"/>
  </w:num>
  <w:num w:numId="20">
    <w:abstractNumId w:val="11"/>
  </w:num>
  <w:num w:numId="21">
    <w:abstractNumId w:val="9"/>
  </w:num>
  <w:num w:numId="22">
    <w:abstractNumId w:val="13"/>
  </w:num>
  <w:num w:numId="23">
    <w:abstractNumId w:val="22"/>
  </w:num>
  <w:num w:numId="24">
    <w:abstractNumId w:val="30"/>
  </w:num>
  <w:num w:numId="25">
    <w:abstractNumId w:val="4"/>
  </w:num>
  <w:num w:numId="26">
    <w:abstractNumId w:val="18"/>
  </w:num>
  <w:num w:numId="27">
    <w:abstractNumId w:val="23"/>
  </w:num>
  <w:num w:numId="28">
    <w:abstractNumId w:val="31"/>
  </w:num>
  <w:num w:numId="29">
    <w:abstractNumId w:val="27"/>
  </w:num>
  <w:num w:numId="30">
    <w:abstractNumId w:val="10"/>
  </w:num>
  <w:num w:numId="31">
    <w:abstractNumId w:val="20"/>
  </w:num>
  <w:num w:numId="32">
    <w:abstractNumId w:val="29"/>
  </w:num>
  <w:num w:numId="33">
    <w:abstractNumId w:val="15"/>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1003"/>
    <w:rsid w:val="000A47FA"/>
    <w:rsid w:val="000A65D3"/>
    <w:rsid w:val="000B1E33"/>
    <w:rsid w:val="000D689F"/>
    <w:rsid w:val="000E7B7B"/>
    <w:rsid w:val="000E7D62"/>
    <w:rsid w:val="00103357"/>
    <w:rsid w:val="00123C9F"/>
    <w:rsid w:val="00126190"/>
    <w:rsid w:val="00130F17"/>
    <w:rsid w:val="001320BF"/>
    <w:rsid w:val="001572F7"/>
    <w:rsid w:val="00163BC4"/>
    <w:rsid w:val="00191062"/>
    <w:rsid w:val="00192B72"/>
    <w:rsid w:val="001A29D8"/>
    <w:rsid w:val="001A5CAA"/>
    <w:rsid w:val="001B0427"/>
    <w:rsid w:val="001C1CB9"/>
    <w:rsid w:val="001D3A51"/>
    <w:rsid w:val="001E10D2"/>
    <w:rsid w:val="001E25B4"/>
    <w:rsid w:val="001E44FE"/>
    <w:rsid w:val="00200595"/>
    <w:rsid w:val="00204835"/>
    <w:rsid w:val="0020615D"/>
    <w:rsid w:val="00231920"/>
    <w:rsid w:val="0023195C"/>
    <w:rsid w:val="0024282C"/>
    <w:rsid w:val="002460DC"/>
    <w:rsid w:val="00250985"/>
    <w:rsid w:val="002556F6"/>
    <w:rsid w:val="00283105"/>
    <w:rsid w:val="00284C4C"/>
    <w:rsid w:val="00287E68"/>
    <w:rsid w:val="00296529"/>
    <w:rsid w:val="002B033C"/>
    <w:rsid w:val="002B27FB"/>
    <w:rsid w:val="002B685A"/>
    <w:rsid w:val="002C57D2"/>
    <w:rsid w:val="002E0D56"/>
    <w:rsid w:val="00315186"/>
    <w:rsid w:val="0033343E"/>
    <w:rsid w:val="003512C2"/>
    <w:rsid w:val="00371FB6"/>
    <w:rsid w:val="003763C1"/>
    <w:rsid w:val="00376BBE"/>
    <w:rsid w:val="003876DC"/>
    <w:rsid w:val="0039224F"/>
    <w:rsid w:val="003A43A4"/>
    <w:rsid w:val="003A7E18"/>
    <w:rsid w:val="003C4C86"/>
    <w:rsid w:val="003C6258"/>
    <w:rsid w:val="003E2904"/>
    <w:rsid w:val="003F22A8"/>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07DB2"/>
    <w:rsid w:val="0053056E"/>
    <w:rsid w:val="00554FDA"/>
    <w:rsid w:val="005C784C"/>
    <w:rsid w:val="005D17F6"/>
    <w:rsid w:val="005D2C40"/>
    <w:rsid w:val="005E5539"/>
    <w:rsid w:val="00602BF5"/>
    <w:rsid w:val="00617FDD"/>
    <w:rsid w:val="00632934"/>
    <w:rsid w:val="00633614"/>
    <w:rsid w:val="00633F68"/>
    <w:rsid w:val="00636EB2"/>
    <w:rsid w:val="006375B8"/>
    <w:rsid w:val="0066510A"/>
    <w:rsid w:val="00673F9F"/>
    <w:rsid w:val="00676A79"/>
    <w:rsid w:val="00686953"/>
    <w:rsid w:val="00687DEA"/>
    <w:rsid w:val="00687E67"/>
    <w:rsid w:val="006967F7"/>
    <w:rsid w:val="006A250C"/>
    <w:rsid w:val="006B21D3"/>
    <w:rsid w:val="006B57D0"/>
    <w:rsid w:val="006D30FF"/>
    <w:rsid w:val="006D6940"/>
    <w:rsid w:val="006F11EC"/>
    <w:rsid w:val="0070082C"/>
    <w:rsid w:val="0071375E"/>
    <w:rsid w:val="007369E6"/>
    <w:rsid w:val="00746E59"/>
    <w:rsid w:val="00754C9A"/>
    <w:rsid w:val="0075599A"/>
    <w:rsid w:val="00761D52"/>
    <w:rsid w:val="0077749E"/>
    <w:rsid w:val="007812C3"/>
    <w:rsid w:val="00790ADA"/>
    <w:rsid w:val="007B1B69"/>
    <w:rsid w:val="007D2288"/>
    <w:rsid w:val="007E088F"/>
    <w:rsid w:val="007F7B32"/>
    <w:rsid w:val="00804BC2"/>
    <w:rsid w:val="00811873"/>
    <w:rsid w:val="0081431A"/>
    <w:rsid w:val="0083216F"/>
    <w:rsid w:val="0084086B"/>
    <w:rsid w:val="00860000"/>
    <w:rsid w:val="00863BD3"/>
    <w:rsid w:val="008641ED"/>
    <w:rsid w:val="00866D66"/>
    <w:rsid w:val="008671C6"/>
    <w:rsid w:val="00875803"/>
    <w:rsid w:val="00875D8C"/>
    <w:rsid w:val="008B459E"/>
    <w:rsid w:val="008E13AE"/>
    <w:rsid w:val="008E1481"/>
    <w:rsid w:val="008E1506"/>
    <w:rsid w:val="008E710C"/>
    <w:rsid w:val="008F69D6"/>
    <w:rsid w:val="00902823"/>
    <w:rsid w:val="00915CA6"/>
    <w:rsid w:val="00927834"/>
    <w:rsid w:val="009500A6"/>
    <w:rsid w:val="00957C18"/>
    <w:rsid w:val="00961B9F"/>
    <w:rsid w:val="009643DE"/>
    <w:rsid w:val="009659BA"/>
    <w:rsid w:val="00983040"/>
    <w:rsid w:val="00984559"/>
    <w:rsid w:val="009B3FB9"/>
    <w:rsid w:val="009B7B9E"/>
    <w:rsid w:val="009C2465"/>
    <w:rsid w:val="009D35A0"/>
    <w:rsid w:val="009D7EB7"/>
    <w:rsid w:val="009E048A"/>
    <w:rsid w:val="009E08E9"/>
    <w:rsid w:val="009E3DB9"/>
    <w:rsid w:val="009E6E35"/>
    <w:rsid w:val="009E7D43"/>
    <w:rsid w:val="009F0EDA"/>
    <w:rsid w:val="00A03B96"/>
    <w:rsid w:val="00A05B19"/>
    <w:rsid w:val="00A1134E"/>
    <w:rsid w:val="00A11BC5"/>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83C4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3F00"/>
    <w:rsid w:val="00C70F1B"/>
    <w:rsid w:val="00C71A47"/>
    <w:rsid w:val="00C7464C"/>
    <w:rsid w:val="00C85588"/>
    <w:rsid w:val="00CA4857"/>
    <w:rsid w:val="00CD6755"/>
    <w:rsid w:val="00CD6856"/>
    <w:rsid w:val="00CE0089"/>
    <w:rsid w:val="00CE793C"/>
    <w:rsid w:val="00CF193C"/>
    <w:rsid w:val="00D173F1"/>
    <w:rsid w:val="00D526F9"/>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5706"/>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28"/>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C53F00"/>
    <w:pPr>
      <w:spacing w:after="200"/>
    </w:pPr>
    <w:rPr>
      <w:i/>
      <w:iCs/>
      <w:color w:val="1F497D" w:themeColor="text2"/>
      <w:sz w:val="18"/>
      <w:szCs w:val="18"/>
    </w:rPr>
  </w:style>
  <w:style w:type="table" w:styleId="PlainTable2">
    <w:name w:val="Plain Table 2"/>
    <w:basedOn w:val="TableNormal"/>
    <w:uiPriority w:val="42"/>
    <w:rsid w:val="007B1B6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B4A3D-BD72-461A-8FEB-47625833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110</TotalTime>
  <Pages>13</Pages>
  <Words>4279</Words>
  <Characters>24395</Characters>
  <Application>Microsoft Office Word</Application>
  <DocSecurity>0</DocSecurity>
  <Lines>203</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28617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28</cp:revision>
  <cp:lastPrinted>1999-07-06T11:00:00Z</cp:lastPrinted>
  <dcterms:created xsi:type="dcterms:W3CDTF">2014-10-25T14:34:00Z</dcterms:created>
  <dcterms:modified xsi:type="dcterms:W3CDTF">2025-09-27T08:32:00Z</dcterms:modified>
</cp:coreProperties>
</file>