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0EF40E" w14:textId="77777777" w:rsidR="000019A7" w:rsidRPr="000019A7" w:rsidRDefault="000019A7" w:rsidP="000019A7">
      <w:pPr>
        <w:jc w:val="center"/>
        <w:rPr>
          <w:b/>
          <w:bCs/>
          <w:i/>
          <w:iCs/>
          <w:sz w:val="28"/>
          <w:szCs w:val="28"/>
          <w:u w:val="single"/>
        </w:rPr>
      </w:pPr>
      <w:r w:rsidRPr="000019A7">
        <w:rPr>
          <w:b/>
          <w:bCs/>
          <w:i/>
          <w:iCs/>
          <w:sz w:val="28"/>
          <w:szCs w:val="28"/>
          <w:u w:val="single"/>
        </w:rPr>
        <w:t xml:space="preserve">Case report </w:t>
      </w:r>
    </w:p>
    <w:p w14:paraId="592DBCAB" w14:textId="77777777" w:rsidR="004C5165" w:rsidRDefault="00A82836">
      <w:pPr>
        <w:jc w:val="center"/>
        <w:rPr>
          <w:sz w:val="28"/>
          <w:szCs w:val="28"/>
        </w:rPr>
      </w:pPr>
      <w:r>
        <w:rPr>
          <w:sz w:val="28"/>
          <w:szCs w:val="28"/>
        </w:rPr>
        <w:t xml:space="preserve"> Interrupted Inferior Vena Cava Associated with Ebstein’s Anomaly: A Rare Case Report</w:t>
      </w:r>
    </w:p>
    <w:p w14:paraId="5A3DFB8E" w14:textId="77777777" w:rsidR="009E6C8A" w:rsidRDefault="009E6C8A">
      <w:pPr>
        <w:pStyle w:val="Heading2"/>
        <w:rPr>
          <w:rFonts w:asciiTheme="minorHAnsi" w:hAnsiTheme="minorHAnsi"/>
          <w:sz w:val="22"/>
          <w:szCs w:val="22"/>
        </w:rPr>
      </w:pPr>
    </w:p>
    <w:p w14:paraId="53EC0E83" w14:textId="26B71F71" w:rsidR="004C5165" w:rsidRDefault="00A82836">
      <w:pPr>
        <w:pStyle w:val="Heading2"/>
        <w:rPr>
          <w:rFonts w:asciiTheme="minorHAnsi" w:hAnsiTheme="minorHAnsi"/>
          <w:sz w:val="22"/>
          <w:szCs w:val="22"/>
        </w:rPr>
      </w:pPr>
      <w:bookmarkStart w:id="0" w:name="_GoBack"/>
      <w:bookmarkEnd w:id="0"/>
      <w:r>
        <w:rPr>
          <w:rFonts w:asciiTheme="minorHAnsi" w:hAnsiTheme="minorHAnsi"/>
          <w:sz w:val="22"/>
          <w:szCs w:val="22"/>
        </w:rPr>
        <w:t>Abstract</w:t>
      </w:r>
    </w:p>
    <w:p w14:paraId="21F59806" w14:textId="77777777" w:rsidR="004C5165" w:rsidRDefault="00A82836">
      <w:r>
        <w:t>Background: Congenital interruption of the inferior vena cava (IVC) is an uncommon vascular anomaly caused by failure in embryonic development. It can occur in isolation or in association with congenital heart defects.</w:t>
      </w:r>
      <w:r>
        <w:br/>
        <w:t>Case Presentation: We report a 53-year-old man presenting with progressive dyspnea. Clinical examination revealed signs of right-sided heart failure. Electrocardiography demonstrated atrial fibrillation with a ventricular rate of 100 bpm. Transthoracic echocardiography showed type I Ebstein’s anomaly, severe tricuspid regurgitation, hypoplastic pulmonary artery with severe valvular stenosis, and IVC interruption. CT angiography confirmed agenesis of the middle and lower IVC segments with collateral drainage via the azygos and hemiazygos systems. The patient underwent successful surgical management consisting of bioprosthetic tricuspid valve replacement, pulmonary artery patch augmentation, and atrial septal defect closure.</w:t>
      </w:r>
      <w:r>
        <w:br/>
        <w:t>Conclusion: This rare association of interrupted IVC and Ebstein’s anomaly highlights the importance of multimodality imaging in identifying complex cardiovascular malformations and guiding surgical planning.</w:t>
      </w:r>
    </w:p>
    <w:p w14:paraId="65D5EF40" w14:textId="77777777" w:rsidR="004C5165" w:rsidRDefault="00A82836">
      <w:r>
        <w:t>Keywords: Ebstein’s anomaly, inferior vena cava interruption, congenital heart disease, cardiac surgery, case report</w:t>
      </w:r>
    </w:p>
    <w:p w14:paraId="5B48589E" w14:textId="77777777" w:rsidR="004C5165" w:rsidRDefault="00A82836">
      <w:pPr>
        <w:pStyle w:val="Heading2"/>
        <w:rPr>
          <w:rFonts w:asciiTheme="minorHAnsi" w:hAnsiTheme="minorHAnsi"/>
          <w:sz w:val="22"/>
          <w:szCs w:val="22"/>
        </w:rPr>
      </w:pPr>
      <w:r>
        <w:rPr>
          <w:rFonts w:asciiTheme="minorHAnsi" w:hAnsiTheme="minorHAnsi"/>
          <w:sz w:val="22"/>
          <w:szCs w:val="22"/>
        </w:rPr>
        <w:t>Introduction</w:t>
      </w:r>
    </w:p>
    <w:p w14:paraId="017C9499" w14:textId="77777777" w:rsidR="004C5165" w:rsidRDefault="00A82836">
      <w:r>
        <w:t>The inferior vena cava (IVC) is the largest vein in the body, located to the right of the abdominal aorta, and plays a vital role in venous return from the lower extremities. Congenital interruption of the IVC is a rare anomaly, usually resulting from failure of normal embryological development. It may occur in isolation or in association with heterotaxy syndromes and other congenital cardiovascular anomalies.</w:t>
      </w:r>
      <w:r>
        <w:br/>
        <w:t>Ebstein’s anomaly, first described by Wilhelm Ebstein in 1866, accounts for approximately 1% of congenital heart defects and is characterized by apical displacement of the septal and posterior leaflets of the tricuspid valve. The association between IVC interruption and Ebstein’s anomaly is extremely rare and sparsely reported in the literature.</w:t>
      </w:r>
    </w:p>
    <w:p w14:paraId="235D53FA" w14:textId="77777777" w:rsidR="004C5165" w:rsidRDefault="00A82836">
      <w:pPr>
        <w:pStyle w:val="Heading2"/>
        <w:rPr>
          <w:rFonts w:asciiTheme="minorHAnsi" w:hAnsiTheme="minorHAnsi"/>
          <w:sz w:val="22"/>
          <w:szCs w:val="22"/>
        </w:rPr>
      </w:pPr>
      <w:r>
        <w:rPr>
          <w:rFonts w:asciiTheme="minorHAnsi" w:hAnsiTheme="minorHAnsi"/>
          <w:sz w:val="22"/>
          <w:szCs w:val="22"/>
        </w:rPr>
        <w:t>Case Presentation</w:t>
      </w:r>
    </w:p>
    <w:p w14:paraId="4E6B5F9C" w14:textId="77777777" w:rsidR="004C5165" w:rsidRDefault="00A82836">
      <w:r>
        <w:t>A 53-year-old male with no significant medical history presented with progressive exertional dyspnea. He had no cardiovascular risk factors apart from male sex.</w:t>
      </w:r>
      <w:r>
        <w:br/>
        <w:t xml:space="preserve">On admission, vital signs were as follows: blood pressure 110/70 mmHg, heart rate 100 bpm (irregular), respiratory rate 18 breaths/min, and temperature 36.7°C. Physical examination revealed a long holosystolic murmur of tricuspid regurgitation at the xiphoid </w:t>
      </w:r>
      <w:r>
        <w:lastRenderedPageBreak/>
        <w:t>area, fixed splitting of the first heart sound, elevated jugular venous pressure with spontaneous distension, hepatojugular reflux, and bilateral pitting edema of the lower limbs. Lungs were clear to auscultation.</w:t>
      </w:r>
      <w:r>
        <w:br/>
        <w:t>Electrocardiogram (ECG): Atrial fibrillation with a mean ventricular rate of 100 bpm and complete right bundle branch block. Laboratory tests were within normal limits.</w:t>
      </w:r>
    </w:p>
    <w:p w14:paraId="083FB516" w14:textId="77777777" w:rsidR="004C5165" w:rsidRDefault="00A82836">
      <w:pPr>
        <w:rPr>
          <w:lang w:val="fr-FR"/>
        </w:rPr>
      </w:pPr>
      <w:r>
        <w:br/>
      </w:r>
      <w:r>
        <w:rPr>
          <w:noProof/>
          <w:lang w:val="fr-FR"/>
        </w:rPr>
        <w:drawing>
          <wp:inline distT="0" distB="0" distL="114300" distR="114300" wp14:anchorId="46F1A5F2" wp14:editId="3F780071">
            <wp:extent cx="4123690" cy="2303780"/>
            <wp:effectExtent l="0" t="0" r="0" b="1270"/>
            <wp:docPr id="3" name="Image 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10"/>
                    <pic:cNvPicPr>
                      <a:picLocks noChangeAspect="1"/>
                    </pic:cNvPicPr>
                  </pic:nvPicPr>
                  <pic:blipFill>
                    <a:blip r:embed="rId8">
                      <a:extLst>
                        <a:ext uri="{BEBA8EAE-BF5A-486C-A8C5-ECC9F3942E4B}">
                          <a14:imgProps xmlns:a14="http://schemas.microsoft.com/office/drawing/2010/main">
                            <a14:imgLayer r:embed="rId9">
                              <a14:imgEffect>
                                <a14:saturation sat="0"/>
                              </a14:imgEffect>
                            </a14:imgLayer>
                          </a14:imgProps>
                        </a:ext>
                      </a:extLst>
                    </a:blip>
                    <a:srcRect t="1" r="957" b="2464"/>
                    <a:stretch>
                      <a:fillRect/>
                    </a:stretch>
                  </pic:blipFill>
                  <pic:spPr>
                    <a:xfrm>
                      <a:off x="0" y="0"/>
                      <a:ext cx="4123915" cy="2304000"/>
                    </a:xfrm>
                    <a:prstGeom prst="rect">
                      <a:avLst/>
                    </a:prstGeom>
                    <a:ln>
                      <a:noFill/>
                    </a:ln>
                  </pic:spPr>
                </pic:pic>
              </a:graphicData>
            </a:graphic>
          </wp:inline>
        </w:drawing>
      </w:r>
    </w:p>
    <w:p w14:paraId="0F12BADA" w14:textId="77777777" w:rsidR="004C5165" w:rsidRDefault="00A82836">
      <w:r>
        <w:rPr>
          <w:rStyle w:val="Strong"/>
        </w:rPr>
        <w:t>Figure 1:</w:t>
      </w:r>
      <w:r>
        <w:t xml:space="preserve"> Electrocardiogram showing atrial fibrillation with mean ventricular rate of 100 bpm and complete right bundle branch block.</w:t>
      </w:r>
      <w:r>
        <w:br/>
      </w:r>
    </w:p>
    <w:p w14:paraId="5C96F6F7" w14:textId="77777777" w:rsidR="004C5165" w:rsidRDefault="00A82836">
      <w:r>
        <w:t xml:space="preserve">Transthoracic echocardiography with Doppler revealed: type I Ebstein’s anomaly (apical displacement of tricuspid valve &gt;8 mm/m²), dysplastic tricuspid valve with rudimentary posterior leaflet causing torrential regurgitation, marked right atrial dilatation due to </w:t>
      </w:r>
      <w:proofErr w:type="spellStart"/>
      <w:r>
        <w:t>atrialization</w:t>
      </w:r>
      <w:proofErr w:type="spellEnd"/>
      <w:r>
        <w:t xml:space="preserve"> of the right ventricle, atrial septal defect (ASD) of 9 mm with left-to-right shunt, moderately dilated and highly trabeculated right ventricle with borderline systolic function (S’=9 cm/s), normal left ventricular size and function, hypoplastic pulmonary artery with dysplastic valve and severe stenosis, and interruption of the inferior vena cava.</w:t>
      </w:r>
    </w:p>
    <w:p w14:paraId="268D3D4B" w14:textId="77777777" w:rsidR="004C5165" w:rsidRDefault="00A82836">
      <w:r>
        <w:lastRenderedPageBreak/>
        <w:br/>
      </w:r>
      <w:r>
        <w:rPr>
          <w:noProof/>
          <w:lang w:val="fr-FR"/>
        </w:rPr>
        <w:drawing>
          <wp:inline distT="0" distB="0" distL="114300" distR="114300" wp14:anchorId="79B5CC7C" wp14:editId="4E729E4B">
            <wp:extent cx="4121785" cy="2267585"/>
            <wp:effectExtent l="0" t="0" r="0" b="0"/>
            <wp:docPr id="7" name="Image 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13"/>
                    <pic:cNvPicPr>
                      <a:picLocks noChangeAspect="1"/>
                    </pic:cNvPicPr>
                  </pic:nvPicPr>
                  <pic:blipFill>
                    <a:blip r:embed="rId10"/>
                    <a:srcRect l="1041" t="2470" r="4514" b="12250"/>
                    <a:stretch>
                      <a:fillRect/>
                    </a:stretch>
                  </pic:blipFill>
                  <pic:spPr>
                    <a:xfrm>
                      <a:off x="0" y="0"/>
                      <a:ext cx="4121805" cy="2268000"/>
                    </a:xfrm>
                    <a:prstGeom prst="rect">
                      <a:avLst/>
                    </a:prstGeom>
                    <a:ln>
                      <a:noFill/>
                    </a:ln>
                  </pic:spPr>
                </pic:pic>
              </a:graphicData>
            </a:graphic>
          </wp:inline>
        </w:drawing>
      </w:r>
    </w:p>
    <w:p w14:paraId="13753EBD" w14:textId="77777777" w:rsidR="004C5165" w:rsidRDefault="00A82836">
      <w:r>
        <w:rPr>
          <w:rStyle w:val="Strong"/>
        </w:rPr>
        <w:t>Figure 2:</w:t>
      </w:r>
      <w:r>
        <w:t xml:space="preserve"> Apical four-chamber view demonstrating low insertion of the tricuspid valve, dilated right ventricle, and right atrial enlargement due to </w:t>
      </w:r>
      <w:proofErr w:type="spellStart"/>
      <w:r>
        <w:t>atrialization</w:t>
      </w:r>
      <w:proofErr w:type="spellEnd"/>
      <w:r>
        <w:t xml:space="preserve"> of the right ventricle, atrial septal defect (ASD) of 9 mm</w:t>
      </w:r>
    </w:p>
    <w:p w14:paraId="13F49FFF" w14:textId="77777777" w:rsidR="004C5165" w:rsidRDefault="00A82836">
      <w:pPr>
        <w:rPr>
          <w:lang w:val="fr-FR"/>
        </w:rPr>
      </w:pPr>
      <w:r>
        <w:rPr>
          <w:noProof/>
          <w:lang w:val="fr-FR"/>
        </w:rPr>
        <w:drawing>
          <wp:inline distT="0" distB="0" distL="114300" distR="114300" wp14:anchorId="1E2F76A5" wp14:editId="1DE751CA">
            <wp:extent cx="4143375" cy="2343150"/>
            <wp:effectExtent l="0" t="0" r="9525" b="0"/>
            <wp:docPr id="13" name="Image 1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9"/>
                    <pic:cNvPicPr>
                      <a:picLocks noChangeAspect="1"/>
                    </pic:cNvPicPr>
                  </pic:nvPicPr>
                  <pic:blipFill>
                    <a:blip r:embed="rId11"/>
                    <a:srcRect b="19869"/>
                    <a:stretch>
                      <a:fillRect/>
                    </a:stretch>
                  </pic:blipFill>
                  <pic:spPr>
                    <a:xfrm>
                      <a:off x="0" y="0"/>
                      <a:ext cx="4143375" cy="2343150"/>
                    </a:xfrm>
                    <a:prstGeom prst="rect">
                      <a:avLst/>
                    </a:prstGeom>
                    <a:ln>
                      <a:noFill/>
                    </a:ln>
                  </pic:spPr>
                </pic:pic>
              </a:graphicData>
            </a:graphic>
          </wp:inline>
        </w:drawing>
      </w:r>
    </w:p>
    <w:p w14:paraId="2AAAAA1E" w14:textId="77777777" w:rsidR="004C5165" w:rsidRDefault="00A82836">
      <w:pPr>
        <w:rPr>
          <w:rFonts w:ascii="Lucida Sans" w:hAnsi="Lucida Sans"/>
          <w:b/>
          <w:bCs/>
          <w:sz w:val="20"/>
          <w:szCs w:val="20"/>
          <w:u w:val="single"/>
          <w:lang w:eastAsia="fr-FR"/>
        </w:rPr>
      </w:pPr>
      <w:r>
        <w:rPr>
          <w:rStyle w:val="Strong"/>
        </w:rPr>
        <w:t>Figure 3:</w:t>
      </w:r>
      <w:r>
        <w:t xml:space="preserve"> Apical four-chamber view showing dysplastic tricuspid valve with rudimentary posterior leaflet causing severe tricuspid regurgitation.</w:t>
      </w:r>
    </w:p>
    <w:p w14:paraId="704D0861" w14:textId="77777777" w:rsidR="004C5165" w:rsidRDefault="00A82836">
      <w:pPr>
        <w:rPr>
          <w:rFonts w:ascii="Lucida Sans" w:hAnsi="Lucida Sans"/>
          <w:b/>
          <w:bCs/>
          <w:sz w:val="20"/>
          <w:szCs w:val="20"/>
          <w:u w:val="single"/>
          <w:lang w:eastAsia="fr-FR"/>
        </w:rPr>
      </w:pPr>
      <w:r>
        <w:rPr>
          <w:rFonts w:ascii="Lucida Sans" w:hAnsi="Lucida Sans"/>
          <w:b/>
          <w:bCs/>
          <w:noProof/>
          <w:sz w:val="20"/>
          <w:szCs w:val="20"/>
          <w:u w:val="single"/>
          <w:lang w:eastAsia="fr-FR"/>
        </w:rPr>
        <w:lastRenderedPageBreak/>
        <w:drawing>
          <wp:inline distT="0" distB="0" distL="114300" distR="114300" wp14:anchorId="4E396E8D" wp14:editId="0C52EB98">
            <wp:extent cx="4046855" cy="2395220"/>
            <wp:effectExtent l="0" t="0" r="0" b="5080"/>
            <wp:docPr id="15" name="Image 1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5"/>
                    <pic:cNvPicPr>
                      <a:picLocks noChangeAspect="1"/>
                    </pic:cNvPicPr>
                  </pic:nvPicPr>
                  <pic:blipFill>
                    <a:blip r:embed="rId12"/>
                    <a:srcRect l="5340" b="8063"/>
                    <a:stretch>
                      <a:fillRect/>
                    </a:stretch>
                  </pic:blipFill>
                  <pic:spPr>
                    <a:xfrm>
                      <a:off x="0" y="0"/>
                      <a:ext cx="4055639" cy="2400601"/>
                    </a:xfrm>
                    <a:prstGeom prst="rect">
                      <a:avLst/>
                    </a:prstGeom>
                    <a:ln>
                      <a:noFill/>
                    </a:ln>
                  </pic:spPr>
                </pic:pic>
              </a:graphicData>
            </a:graphic>
          </wp:inline>
        </w:drawing>
      </w:r>
    </w:p>
    <w:p w14:paraId="56475604" w14:textId="77777777" w:rsidR="004C5165" w:rsidRDefault="00A82836">
      <w:r>
        <w:rPr>
          <w:rStyle w:val="Strong"/>
        </w:rPr>
        <w:t>Figure 4:</w:t>
      </w:r>
      <w:r>
        <w:t xml:space="preserve"> Parasternal short-axis view revealing hypoplastic pulmonary artery with dysplastic valve and severe stenosis.</w:t>
      </w:r>
    </w:p>
    <w:p w14:paraId="09BBBD22" w14:textId="77777777" w:rsidR="004C5165" w:rsidRDefault="00A82836">
      <w:r>
        <w:br/>
      </w:r>
      <w:r>
        <w:rPr>
          <w:noProof/>
        </w:rPr>
        <w:drawing>
          <wp:inline distT="0" distB="0" distL="114300" distR="114300" wp14:anchorId="6424EDEC" wp14:editId="77C8706A">
            <wp:extent cx="4175760" cy="2455545"/>
            <wp:effectExtent l="0" t="0" r="0" b="1905"/>
            <wp:docPr id="16" name="Image 1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3"/>
                    <pic:cNvPicPr>
                      <a:picLocks noChangeAspect="1"/>
                    </pic:cNvPicPr>
                  </pic:nvPicPr>
                  <pic:blipFill>
                    <a:blip r:embed="rId13"/>
                    <a:srcRect l="1969" r="4195" b="20388"/>
                    <a:stretch>
                      <a:fillRect/>
                    </a:stretch>
                  </pic:blipFill>
                  <pic:spPr>
                    <a:xfrm>
                      <a:off x="0" y="0"/>
                      <a:ext cx="4176000" cy="2455740"/>
                    </a:xfrm>
                    <a:prstGeom prst="rect">
                      <a:avLst/>
                    </a:prstGeom>
                    <a:ln>
                      <a:noFill/>
                    </a:ln>
                  </pic:spPr>
                </pic:pic>
              </a:graphicData>
            </a:graphic>
          </wp:inline>
        </w:drawing>
      </w:r>
      <w:r>
        <w:t xml:space="preserve"> </w:t>
      </w:r>
    </w:p>
    <w:p w14:paraId="0253877D" w14:textId="77777777" w:rsidR="004C5165" w:rsidRDefault="00A82836">
      <w:r>
        <w:rPr>
          <w:noProof/>
        </w:rPr>
        <w:drawing>
          <wp:inline distT="0" distB="0" distL="114300" distR="114300" wp14:anchorId="5F8D921C" wp14:editId="552B22E6">
            <wp:extent cx="4124325" cy="2267585"/>
            <wp:effectExtent l="0" t="0" r="0" b="0"/>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
                    <pic:cNvPicPr>
                      <a:picLocks noChangeAspect="1"/>
                    </pic:cNvPicPr>
                  </pic:nvPicPr>
                  <pic:blipFill>
                    <a:blip r:embed="rId14"/>
                    <a:srcRect b="19858"/>
                    <a:stretch>
                      <a:fillRect/>
                    </a:stretch>
                  </pic:blipFill>
                  <pic:spPr>
                    <a:xfrm>
                      <a:off x="0" y="0"/>
                      <a:ext cx="4124548" cy="2268000"/>
                    </a:xfrm>
                    <a:prstGeom prst="rect">
                      <a:avLst/>
                    </a:prstGeom>
                    <a:noFill/>
                    <a:ln>
                      <a:noFill/>
                    </a:ln>
                  </pic:spPr>
                </pic:pic>
              </a:graphicData>
            </a:graphic>
          </wp:inline>
        </w:drawing>
      </w:r>
    </w:p>
    <w:p w14:paraId="59817A7C" w14:textId="2AE67CD2" w:rsidR="004C5165" w:rsidRDefault="00A82836">
      <w:r>
        <w:rPr>
          <w:rStyle w:val="Strong"/>
        </w:rPr>
        <w:lastRenderedPageBreak/>
        <w:t>Figure 5</w:t>
      </w:r>
      <w:r w:rsidR="00CA0931">
        <w:rPr>
          <w:rStyle w:val="Strong"/>
        </w:rPr>
        <w:t>&amp;</w:t>
      </w:r>
      <w:r>
        <w:rPr>
          <w:rStyle w:val="Strong"/>
        </w:rPr>
        <w:t>6:</w:t>
      </w:r>
      <w:r>
        <w:t xml:space="preserve"> Subcostal views showing interruption of the inferior vena cava.</w:t>
      </w:r>
    </w:p>
    <w:p w14:paraId="5744CA1A" w14:textId="77777777" w:rsidR="004C5165" w:rsidRDefault="004C5165"/>
    <w:p w14:paraId="050A3D3D" w14:textId="77777777" w:rsidR="004C5165" w:rsidRDefault="00A82836">
      <w:r>
        <w:t xml:space="preserve">CT angiography of the thorax, abdomen, and pelvis demonstrated agenesis of the middle and lower segments of the IVC, marked dilation of the superior vena cava and hepatic segment of the IVC with </w:t>
      </w:r>
      <w:proofErr w:type="spellStart"/>
      <w:r>
        <w:t>cavo</w:t>
      </w:r>
      <w:proofErr w:type="spellEnd"/>
      <w:r>
        <w:t>-hepatic reflux, and collateral drainage via dilated azygos and hemiazygos veins. The pulmonary artery trunk and both branches were hypoplastic.</w:t>
      </w:r>
    </w:p>
    <w:p w14:paraId="74DBEEF3" w14:textId="77777777" w:rsidR="004C5165" w:rsidRDefault="00A82836">
      <w:r>
        <w:rPr>
          <w:rFonts w:ascii="Lucida Sans" w:hAnsi="Lucida Sans"/>
          <w:noProof/>
          <w:sz w:val="20"/>
          <w:szCs w:val="20"/>
          <w:lang w:eastAsia="fr-FR"/>
        </w:rPr>
        <w:drawing>
          <wp:inline distT="0" distB="0" distL="0" distR="0" wp14:anchorId="72E6AC84" wp14:editId="1675316D">
            <wp:extent cx="3241675" cy="2375535"/>
            <wp:effectExtent l="0" t="0" r="0" b="5715"/>
            <wp:docPr id="8" name="Image 2" descr="C:\Users\toshiba\Downloads\WhatsApp Image 2025-08-07 at 21.55.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2" descr="C:\Users\toshiba\Downloads\WhatsApp Image 2025-08-07 at 21.55.12.jpeg"/>
                    <pic:cNvPicPr>
                      <a:picLocks noChangeAspect="1" noChangeArrowheads="1"/>
                    </pic:cNvPicPr>
                  </pic:nvPicPr>
                  <pic:blipFill>
                    <a:blip r:embed="rId15"/>
                    <a:srcRect l="15785" r="16049" b="4898"/>
                    <a:stretch>
                      <a:fillRect/>
                    </a:stretch>
                  </pic:blipFill>
                  <pic:spPr>
                    <a:xfrm>
                      <a:off x="0" y="0"/>
                      <a:ext cx="3242101" cy="2376000"/>
                    </a:xfrm>
                    <a:prstGeom prst="rect">
                      <a:avLst/>
                    </a:prstGeom>
                    <a:noFill/>
                    <a:ln>
                      <a:noFill/>
                    </a:ln>
                  </pic:spPr>
                </pic:pic>
              </a:graphicData>
            </a:graphic>
          </wp:inline>
        </w:drawing>
      </w:r>
    </w:p>
    <w:p w14:paraId="346ADD69" w14:textId="77777777" w:rsidR="004C5165" w:rsidRDefault="00A82836">
      <w:r>
        <w:rPr>
          <w:rStyle w:val="Strong"/>
        </w:rPr>
        <w:t>Figure 7:</w:t>
      </w:r>
      <w:r>
        <w:t xml:space="preserve"> Axial CT image showing dilated IVC stump with enlarged hepatic and azygos veins.</w:t>
      </w:r>
    </w:p>
    <w:p w14:paraId="02BCC5A9" w14:textId="77777777" w:rsidR="004C5165" w:rsidRDefault="00A82836">
      <w:r>
        <w:rPr>
          <w:rFonts w:ascii="Lucida Sans" w:hAnsi="Lucida Sans"/>
          <w:b/>
          <w:noProof/>
          <w:sz w:val="20"/>
          <w:szCs w:val="20"/>
          <w:u w:val="single"/>
          <w:lang w:eastAsia="fr-FR"/>
        </w:rPr>
        <w:drawing>
          <wp:inline distT="0" distB="0" distL="0" distR="0" wp14:anchorId="28F5E49C" wp14:editId="7C500F7B">
            <wp:extent cx="2264410" cy="2699385"/>
            <wp:effectExtent l="0" t="0" r="2540" b="5715"/>
            <wp:docPr id="9" name="Image 3" descr="C:\Users\toshiba\Downloads\WhatsApp Image 2025-08-07 at 22.5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3" descr="C:\Users\toshiba\Downloads\WhatsApp Image 2025-08-07 at 22.51.45.jpeg"/>
                    <pic:cNvPicPr>
                      <a:picLocks noChangeAspect="1" noChangeArrowheads="1"/>
                    </pic:cNvPicPr>
                  </pic:nvPicPr>
                  <pic:blipFill>
                    <a:blip r:embed="rId16"/>
                    <a:srcRect l="27741" t="13268" r="10788" b="6911"/>
                    <a:stretch>
                      <a:fillRect/>
                    </a:stretch>
                  </pic:blipFill>
                  <pic:spPr>
                    <a:xfrm>
                      <a:off x="0" y="0"/>
                      <a:ext cx="2264959" cy="2700000"/>
                    </a:xfrm>
                    <a:prstGeom prst="rect">
                      <a:avLst/>
                    </a:prstGeom>
                    <a:noFill/>
                    <a:ln>
                      <a:noFill/>
                    </a:ln>
                  </pic:spPr>
                </pic:pic>
              </a:graphicData>
            </a:graphic>
          </wp:inline>
        </w:drawing>
      </w:r>
      <w:r>
        <w:t xml:space="preserve">           </w:t>
      </w:r>
      <w:r>
        <w:rPr>
          <w:rFonts w:ascii="Lucida Sans" w:hAnsi="Lucida Sans"/>
          <w:b/>
          <w:noProof/>
          <w:sz w:val="20"/>
          <w:szCs w:val="20"/>
          <w:u w:val="single"/>
          <w:lang w:eastAsia="fr-FR"/>
        </w:rPr>
        <w:drawing>
          <wp:inline distT="0" distB="0" distL="0" distR="0" wp14:anchorId="266EE795" wp14:editId="07B70963">
            <wp:extent cx="2362200" cy="2699385"/>
            <wp:effectExtent l="0" t="0" r="0" b="5715"/>
            <wp:docPr id="11" name="Image 5" descr="C:\Users\toshiba\Downloads\WhatsApp Image 2025-08-07 at 22.57.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5" descr="C:\Users\toshiba\Downloads\WhatsApp Image 2025-08-07 at 22.57.55.jpeg"/>
                    <pic:cNvPicPr>
                      <a:picLocks noChangeAspect="1" noChangeArrowheads="1"/>
                    </pic:cNvPicPr>
                  </pic:nvPicPr>
                  <pic:blipFill>
                    <a:blip r:embed="rId17"/>
                    <a:srcRect l="2630" r="6246"/>
                    <a:stretch>
                      <a:fillRect/>
                    </a:stretch>
                  </pic:blipFill>
                  <pic:spPr>
                    <a:xfrm>
                      <a:off x="0" y="0"/>
                      <a:ext cx="2362586" cy="2700000"/>
                    </a:xfrm>
                    <a:prstGeom prst="rect">
                      <a:avLst/>
                    </a:prstGeom>
                    <a:noFill/>
                    <a:ln>
                      <a:noFill/>
                    </a:ln>
                  </pic:spPr>
                </pic:pic>
              </a:graphicData>
            </a:graphic>
          </wp:inline>
        </w:drawing>
      </w:r>
    </w:p>
    <w:p w14:paraId="1EF7A6EF" w14:textId="6B61EEE3" w:rsidR="004C5165" w:rsidRDefault="00A82836">
      <w:r>
        <w:rPr>
          <w:rStyle w:val="Strong"/>
        </w:rPr>
        <w:t xml:space="preserve">Figure 8 </w:t>
      </w:r>
      <w:r w:rsidR="00CA0931">
        <w:rPr>
          <w:rStyle w:val="Strong"/>
        </w:rPr>
        <w:t xml:space="preserve">&amp; </w:t>
      </w:r>
      <w:r>
        <w:rPr>
          <w:rStyle w:val="Strong"/>
        </w:rPr>
        <w:t>9:</w:t>
      </w:r>
      <w:r>
        <w:t xml:space="preserve"> Sagittal and coronal CT images demonstrating dilated IVC stump receiving hepatic veins.</w:t>
      </w:r>
      <w:r>
        <w:br/>
      </w:r>
    </w:p>
    <w:p w14:paraId="1DCBDDB2" w14:textId="77777777" w:rsidR="004C5165" w:rsidRDefault="00A82836">
      <w:r>
        <w:rPr>
          <w:rFonts w:ascii="Lucida Sans" w:hAnsi="Lucida Sans"/>
          <w:b/>
          <w:noProof/>
          <w:sz w:val="20"/>
          <w:szCs w:val="20"/>
          <w:u w:val="single"/>
          <w:lang w:eastAsia="fr-FR"/>
        </w:rPr>
        <w:lastRenderedPageBreak/>
        <w:drawing>
          <wp:inline distT="0" distB="0" distL="0" distR="0" wp14:anchorId="13EFCEAB" wp14:editId="71D83655">
            <wp:extent cx="2612390" cy="2699385"/>
            <wp:effectExtent l="0" t="0" r="0" b="5715"/>
            <wp:docPr id="10" name="Image 4" descr="C:\Users\toshiba\Downloads\WhatsApp Image 2025-08-07 at 22.54.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4" descr="C:\Users\toshiba\Downloads\WhatsApp Image 2025-08-07 at 22.54.50.jpeg"/>
                    <pic:cNvPicPr>
                      <a:picLocks noChangeAspect="1" noChangeArrowheads="1"/>
                    </pic:cNvPicPr>
                  </pic:nvPicPr>
                  <pic:blipFill>
                    <a:blip r:embed="rId18" cstate="print"/>
                    <a:srcRect l="2870" r="14616"/>
                    <a:stretch>
                      <a:fillRect/>
                    </a:stretch>
                  </pic:blipFill>
                  <pic:spPr>
                    <a:xfrm>
                      <a:off x="0" y="0"/>
                      <a:ext cx="2612871" cy="2700000"/>
                    </a:xfrm>
                    <a:prstGeom prst="rect">
                      <a:avLst/>
                    </a:prstGeom>
                    <a:noFill/>
                    <a:ln>
                      <a:noFill/>
                    </a:ln>
                  </pic:spPr>
                </pic:pic>
              </a:graphicData>
            </a:graphic>
          </wp:inline>
        </w:drawing>
      </w:r>
      <w:r>
        <w:t xml:space="preserve"> </w:t>
      </w:r>
    </w:p>
    <w:p w14:paraId="3104A8FE" w14:textId="77777777" w:rsidR="004C5165" w:rsidRDefault="00A82836">
      <w:r>
        <w:rPr>
          <w:rStyle w:val="Strong"/>
        </w:rPr>
        <w:t>Figure 10:</w:t>
      </w:r>
      <w:r>
        <w:t xml:space="preserve"> Coronal CT image showing marked dilation of the azygos vein.</w:t>
      </w:r>
    </w:p>
    <w:p w14:paraId="1AD3DC03" w14:textId="77777777" w:rsidR="004C5165" w:rsidRDefault="00A82836">
      <w:r>
        <w:rPr>
          <w:rFonts w:ascii="Lucida Sans" w:hAnsi="Lucida Sans"/>
          <w:b/>
          <w:noProof/>
          <w:sz w:val="20"/>
          <w:szCs w:val="20"/>
          <w:u w:val="single"/>
          <w:lang w:eastAsia="fr-FR"/>
        </w:rPr>
        <w:drawing>
          <wp:inline distT="0" distB="0" distL="0" distR="0" wp14:anchorId="0EA94E46" wp14:editId="102C7C6B">
            <wp:extent cx="3548380" cy="2483485"/>
            <wp:effectExtent l="0" t="0" r="0" b="0"/>
            <wp:docPr id="12" name="Image 6" descr="C:\Users\toshiba\Downloads\WhatsApp Image 2025-08-07 at 23.0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6" descr="C:\Users\toshiba\Downloads\WhatsApp Image 2025-08-07 at 23.02.04.jpeg"/>
                    <pic:cNvPicPr>
                      <a:picLocks noChangeAspect="1" noChangeArrowheads="1"/>
                    </pic:cNvPicPr>
                  </pic:nvPicPr>
                  <pic:blipFill>
                    <a:blip r:embed="rId19"/>
                    <a:srcRect t="2370" r="1460"/>
                    <a:stretch>
                      <a:fillRect/>
                    </a:stretch>
                  </pic:blipFill>
                  <pic:spPr>
                    <a:xfrm>
                      <a:off x="0" y="0"/>
                      <a:ext cx="3548579" cy="2484000"/>
                    </a:xfrm>
                    <a:prstGeom prst="rect">
                      <a:avLst/>
                    </a:prstGeom>
                    <a:noFill/>
                    <a:ln>
                      <a:noFill/>
                    </a:ln>
                  </pic:spPr>
                </pic:pic>
              </a:graphicData>
            </a:graphic>
          </wp:inline>
        </w:drawing>
      </w:r>
    </w:p>
    <w:p w14:paraId="4CAC1A5C" w14:textId="77777777" w:rsidR="004C5165" w:rsidRDefault="00A82836">
      <w:r>
        <w:rPr>
          <w:rStyle w:val="Strong"/>
        </w:rPr>
        <w:t>Figure 11:</w:t>
      </w:r>
      <w:r>
        <w:t xml:space="preserve"> High abdominal axial CT slice demonstrating absence of the middle and lower IVC.</w:t>
      </w:r>
    </w:p>
    <w:p w14:paraId="017C08E7" w14:textId="77777777" w:rsidR="004C5165" w:rsidRDefault="00A82836">
      <w:r>
        <w:br/>
        <w:t>Management: The patient was started on heart failure therapy and anticoagulation, then referred for surgery. He underwent bioprosthetic tricuspid valve replacement, pulmonary artery augmentation with a patch, and ASD closure, with an uneventful postoperative course.</w:t>
      </w:r>
    </w:p>
    <w:p w14:paraId="0E6E325B" w14:textId="77777777" w:rsidR="004C5165" w:rsidRDefault="00A82836">
      <w:pPr>
        <w:pStyle w:val="Heading2"/>
        <w:rPr>
          <w:rFonts w:asciiTheme="minorHAnsi" w:hAnsiTheme="minorHAnsi"/>
          <w:sz w:val="22"/>
          <w:szCs w:val="22"/>
        </w:rPr>
      </w:pPr>
      <w:r>
        <w:rPr>
          <w:rFonts w:asciiTheme="minorHAnsi" w:hAnsiTheme="minorHAnsi"/>
          <w:sz w:val="22"/>
          <w:szCs w:val="22"/>
        </w:rPr>
        <w:t>Discussion</w:t>
      </w:r>
    </w:p>
    <w:p w14:paraId="348E7586" w14:textId="77777777" w:rsidR="004C5165" w:rsidRDefault="00A82836">
      <w:r>
        <w:t>The inferior vena cava (IVC) is a single vein located to the right of the abdominal aorta. Failure in the process of embryogenesis may lead to congenital IVC anomalies [1].</w:t>
      </w:r>
      <w:r>
        <w:br/>
        <w:t xml:space="preserve">Ebstein’s anomaly: The first description dates back to 1866 by Wilhelm Ebstein. It accounts </w:t>
      </w:r>
      <w:r>
        <w:lastRenderedPageBreak/>
        <w:t xml:space="preserve">for approximately 1% of congenital heart diseases [2] and results from the absence of delamination of the valve leaflets, leading to adhesion of the septal and posterior leaflets of the tricuspid valve along the wall of the right ventricle (RV). The RV becomes </w:t>
      </w:r>
      <w:proofErr w:type="spellStart"/>
      <w:r>
        <w:t>atrialized</w:t>
      </w:r>
      <w:proofErr w:type="spellEnd"/>
      <w:r>
        <w:t>, poorly compliant, and the prognosis largely depends on the severity of tricuspid regurgitation.</w:t>
      </w:r>
      <w:r>
        <w:br/>
        <w:t xml:space="preserve">Interruption of the IVC is a rare condition. It is generally classified under congenital heart malformations, in association with </w:t>
      </w:r>
      <w:proofErr w:type="spellStart"/>
      <w:r>
        <w:t>heterotaxy</w:t>
      </w:r>
      <w:proofErr w:type="spellEnd"/>
      <w:r>
        <w:t xml:space="preserve"> or </w:t>
      </w:r>
      <w:proofErr w:type="spellStart"/>
      <w:r>
        <w:t>cardiosplenic</w:t>
      </w:r>
      <w:proofErr w:type="spellEnd"/>
      <w:r>
        <w:t xml:space="preserve"> syndromes, particularly when manifesting as left isomerism or </w:t>
      </w:r>
      <w:proofErr w:type="spellStart"/>
      <w:r>
        <w:t>polysplenia</w:t>
      </w:r>
      <w:proofErr w:type="spellEnd"/>
      <w:r>
        <w:t xml:space="preserve"> [3]. However, its isolated occurrence has been less frequently reported.</w:t>
      </w:r>
      <w:r>
        <w:br/>
        <w:t xml:space="preserve">The prevalence of this anomaly is estimated at 0.6% in the general population and 1.3% among patients with congenital heart disease [4]. In the series by </w:t>
      </w:r>
      <w:proofErr w:type="spellStart"/>
      <w:r>
        <w:t>Bartan</w:t>
      </w:r>
      <w:proofErr w:type="spellEnd"/>
      <w:r>
        <w:t xml:space="preserve"> et al., associated cardiac malformations were observed in 31.3% of patients with IVC interruption, including atrial septal defect (ASD) in 10.5% of cases, persistent ductus arteriosus in 4.5% of cases, valvular pulmonary stenosis in 4.5% of cases, complete atrioventricular canal in 31% of cases, double outlet right ventricle in 3% of cases, and transposition of the great arteries in 3% of cases. In the cohort of Shyh-Jye Chen et al. [5], 11.8% of patients had a normal cardiac structure, 20.6% had a simple congenital heart defect, and severe congenital heart disease was observed in two-thirds of patients and constituted the only predictive factor for long-term prognosis.</w:t>
      </w:r>
      <w:r>
        <w:br/>
        <w:t>Although uncommon, asymptomatic interruption of the IVC constitutes a significant obstacle to successful cardiac interventions, particularly interventional catheterization [6,7]. The presence of this anomaly makes cardiac catheterization from the lower limbs more difficult, and appropriate precautions must be taken during surgical intervention.</w:t>
      </w:r>
      <w:r>
        <w:br/>
        <w:t>The only predictive factor for long-term prognosis of this anomaly lies in its association with complex congenital heart disease.</w:t>
      </w:r>
    </w:p>
    <w:p w14:paraId="583F57F4" w14:textId="77777777" w:rsidR="004C5165" w:rsidRDefault="00A82836">
      <w:pPr>
        <w:pStyle w:val="Heading2"/>
        <w:rPr>
          <w:rFonts w:asciiTheme="minorHAnsi" w:hAnsiTheme="minorHAnsi"/>
          <w:sz w:val="22"/>
          <w:szCs w:val="22"/>
        </w:rPr>
      </w:pPr>
      <w:r>
        <w:rPr>
          <w:rFonts w:asciiTheme="minorHAnsi" w:hAnsiTheme="minorHAnsi"/>
          <w:sz w:val="22"/>
          <w:szCs w:val="22"/>
        </w:rPr>
        <w:t>Conclusion</w:t>
      </w:r>
    </w:p>
    <w:p w14:paraId="111E0BAA" w14:textId="77777777" w:rsidR="004C5165" w:rsidRDefault="00A82836">
      <w:r>
        <w:t>We report a rare case characterized by interruption of the IVC associated with Ebstein’s anomaly. Both conditions are extremely rare, and their association is scarcely described in the literature. This case highlights the importance of imaging in detecting complex vascular anomalies. Echocardiography can readily establish the diagnosis of IVC interruption [8], although Doppler ultrasound, MRI, and CT are also useful diagnostic tools.</w:t>
      </w:r>
    </w:p>
    <w:p w14:paraId="48B236B9" w14:textId="77777777" w:rsidR="004C5165" w:rsidRDefault="00A82836">
      <w:pPr>
        <w:spacing w:line="20" w:lineRule="atLeast"/>
        <w:rPr>
          <w:b/>
          <w:bCs/>
          <w:u w:val="single"/>
          <w:lang w:val="fr-FR"/>
        </w:rPr>
      </w:pPr>
      <w:proofErr w:type="spellStart"/>
      <w:r>
        <w:rPr>
          <w:b/>
          <w:bCs/>
          <w:u w:val="single"/>
          <w:lang w:val="fr-FR"/>
        </w:rPr>
        <w:t>References</w:t>
      </w:r>
      <w:proofErr w:type="spellEnd"/>
      <w:r>
        <w:rPr>
          <w:b/>
          <w:bCs/>
          <w:u w:val="single"/>
          <w:lang w:val="fr-FR"/>
        </w:rPr>
        <w:t xml:space="preserve"> :</w:t>
      </w:r>
    </w:p>
    <w:p w14:paraId="77EA395C" w14:textId="77777777" w:rsidR="004C5165" w:rsidRDefault="00A82836">
      <w:pPr>
        <w:autoSpaceDE w:val="0"/>
        <w:autoSpaceDN w:val="0"/>
        <w:adjustRightInd w:val="0"/>
        <w:spacing w:after="0" w:line="20" w:lineRule="atLeast"/>
        <w:rPr>
          <w:rFonts w:cs="ArialMT"/>
          <w:lang w:eastAsia="fr-FR"/>
        </w:rPr>
      </w:pPr>
      <w:r>
        <w:rPr>
          <w:rFonts w:cs="ArialMT"/>
          <w:color w:val="000000"/>
          <w:lang w:val="fr-FR" w:eastAsia="fr-FR"/>
        </w:rPr>
        <w:t xml:space="preserve">1.  </w:t>
      </w:r>
      <w:proofErr w:type="spellStart"/>
      <w:r>
        <w:rPr>
          <w:rFonts w:cs="ArialMT"/>
          <w:lang w:val="fr-FR" w:eastAsia="fr-FR"/>
        </w:rPr>
        <w:t>Papoutsis</w:t>
      </w:r>
      <w:proofErr w:type="spellEnd"/>
      <w:r>
        <w:rPr>
          <w:rFonts w:cs="ArialMT"/>
          <w:lang w:val="fr-FR" w:eastAsia="fr-FR"/>
        </w:rPr>
        <w:t xml:space="preserve"> D, </w:t>
      </w:r>
      <w:proofErr w:type="spellStart"/>
      <w:r>
        <w:rPr>
          <w:rFonts w:cs="ArialMT"/>
          <w:lang w:val="fr-FR" w:eastAsia="fr-FR"/>
        </w:rPr>
        <w:t>Tsatsali</w:t>
      </w:r>
      <w:proofErr w:type="spellEnd"/>
      <w:r>
        <w:rPr>
          <w:rFonts w:cs="ArialMT"/>
          <w:lang w:val="fr-FR" w:eastAsia="fr-FR"/>
        </w:rPr>
        <w:t xml:space="preserve"> </w:t>
      </w:r>
      <w:proofErr w:type="spellStart"/>
      <w:r>
        <w:rPr>
          <w:rFonts w:cs="ArialMT"/>
          <w:lang w:val="fr-FR" w:eastAsia="fr-FR"/>
        </w:rPr>
        <w:t>Foroglou</w:t>
      </w:r>
      <w:proofErr w:type="spellEnd"/>
      <w:r>
        <w:rPr>
          <w:rFonts w:cs="ArialMT"/>
          <w:lang w:val="fr-FR" w:eastAsia="fr-FR"/>
        </w:rPr>
        <w:t xml:space="preserve"> E. Un cas rare de veine cave     </w:t>
      </w:r>
      <w:proofErr w:type="spellStart"/>
      <w:r>
        <w:rPr>
          <w:rFonts w:cs="ArialMT"/>
          <w:lang w:val="fr-FR" w:eastAsia="fr-FR"/>
        </w:rPr>
        <w:t>inférieuregauche</w:t>
      </w:r>
      <w:proofErr w:type="spellEnd"/>
      <w:r>
        <w:rPr>
          <w:rFonts w:cs="ArialMT"/>
          <w:lang w:val="fr-FR" w:eastAsia="fr-FR"/>
        </w:rPr>
        <w:t xml:space="preserve"> avec continuation </w:t>
      </w:r>
      <w:proofErr w:type="spellStart"/>
      <w:r>
        <w:rPr>
          <w:rFonts w:cs="ArialMT"/>
          <w:lang w:val="fr-FR" w:eastAsia="fr-FR"/>
        </w:rPr>
        <w:t>azygote</w:t>
      </w:r>
      <w:proofErr w:type="spellEnd"/>
      <w:r>
        <w:rPr>
          <w:rFonts w:cs="ArialMT"/>
          <w:lang w:val="fr-FR" w:eastAsia="fr-FR"/>
        </w:rPr>
        <w:t xml:space="preserve"> et présence du segment surrénal d'une veine cave inférieure droite. </w:t>
      </w:r>
      <w:proofErr w:type="spellStart"/>
      <w:r>
        <w:rPr>
          <w:rFonts w:cs="ArialMT"/>
          <w:lang w:eastAsia="fr-FR"/>
        </w:rPr>
        <w:t>Hippocratie</w:t>
      </w:r>
      <w:proofErr w:type="spellEnd"/>
      <w:r>
        <w:rPr>
          <w:rFonts w:cs="ArialMT"/>
          <w:lang w:eastAsia="fr-FR"/>
        </w:rPr>
        <w:t xml:space="preserve"> 2015;19(1):95.</w:t>
      </w:r>
    </w:p>
    <w:p w14:paraId="6FA77CAC" w14:textId="77777777" w:rsidR="004C5165" w:rsidRDefault="004C5165">
      <w:pPr>
        <w:autoSpaceDE w:val="0"/>
        <w:autoSpaceDN w:val="0"/>
        <w:adjustRightInd w:val="0"/>
        <w:spacing w:after="0" w:line="20" w:lineRule="atLeast"/>
        <w:rPr>
          <w:rFonts w:cs="ArialMT"/>
          <w:lang w:eastAsia="fr-FR"/>
        </w:rPr>
      </w:pPr>
    </w:p>
    <w:p w14:paraId="0766D53D" w14:textId="77777777" w:rsidR="004C5165" w:rsidRDefault="00A82836">
      <w:pPr>
        <w:autoSpaceDE w:val="0"/>
        <w:autoSpaceDN w:val="0"/>
        <w:adjustRightInd w:val="0"/>
        <w:spacing w:after="0" w:line="20" w:lineRule="atLeast"/>
        <w:rPr>
          <w:rFonts w:cs="Arial"/>
          <w:lang w:val="fr-FR" w:eastAsia="fr-FR"/>
        </w:rPr>
      </w:pPr>
      <w:r>
        <w:rPr>
          <w:rFonts w:cs="ArialMT"/>
          <w:lang w:eastAsia="fr-FR"/>
        </w:rPr>
        <w:t xml:space="preserve">2. </w:t>
      </w:r>
      <w:r>
        <w:rPr>
          <w:rFonts w:cs="Arial"/>
        </w:rPr>
        <w:t xml:space="preserve">Baumgartner H., De Backer J., Babu-Narayan SV., et al. 2020 ESC guidelines for the Management of Adult Congenital Heart </w:t>
      </w:r>
      <w:proofErr w:type="gramStart"/>
      <w:r>
        <w:rPr>
          <w:rFonts w:cs="Arial"/>
        </w:rPr>
        <w:t>Disease :</w:t>
      </w:r>
      <w:proofErr w:type="gramEnd"/>
      <w:r>
        <w:rPr>
          <w:rFonts w:cs="Arial"/>
        </w:rPr>
        <w:t xml:space="preserve"> The Task Force for the Management of Adult Congenital Heart Disease of the European Society of Cardiology (ESC). </w:t>
      </w:r>
      <w:proofErr w:type="spellStart"/>
      <w:r>
        <w:rPr>
          <w:rFonts w:cs="Arial"/>
          <w:lang w:val="fr-FR"/>
        </w:rPr>
        <w:t>Eur</w:t>
      </w:r>
      <w:proofErr w:type="spellEnd"/>
      <w:r>
        <w:rPr>
          <w:rFonts w:cs="Arial"/>
          <w:lang w:val="fr-FR"/>
        </w:rPr>
        <w:t xml:space="preserve"> </w:t>
      </w:r>
      <w:proofErr w:type="spellStart"/>
      <w:r>
        <w:rPr>
          <w:rFonts w:cs="Arial"/>
          <w:lang w:val="fr-FR"/>
        </w:rPr>
        <w:t>Heart</w:t>
      </w:r>
      <w:proofErr w:type="spellEnd"/>
      <w:r>
        <w:rPr>
          <w:rFonts w:cs="Arial"/>
          <w:lang w:val="fr-FR"/>
        </w:rPr>
        <w:t xml:space="preserve"> J, 2021, 42 : 563-645.</w:t>
      </w:r>
    </w:p>
    <w:p w14:paraId="0F0F374A" w14:textId="77777777" w:rsidR="004C5165" w:rsidRDefault="004C5165">
      <w:pPr>
        <w:autoSpaceDE w:val="0"/>
        <w:autoSpaceDN w:val="0"/>
        <w:adjustRightInd w:val="0"/>
        <w:spacing w:after="0" w:line="20" w:lineRule="atLeast"/>
        <w:rPr>
          <w:rFonts w:cs="ArialMT"/>
          <w:lang w:val="fr-FR" w:eastAsia="fr-FR"/>
        </w:rPr>
      </w:pPr>
    </w:p>
    <w:p w14:paraId="55C8D937" w14:textId="77777777" w:rsidR="004C5165" w:rsidRDefault="00A82836">
      <w:pPr>
        <w:autoSpaceDE w:val="0"/>
        <w:autoSpaceDN w:val="0"/>
        <w:adjustRightInd w:val="0"/>
        <w:spacing w:after="0" w:line="20" w:lineRule="atLeast"/>
        <w:rPr>
          <w:rFonts w:cs="ArialMT"/>
          <w:color w:val="231F20"/>
          <w:lang w:eastAsia="fr-FR"/>
        </w:rPr>
      </w:pPr>
      <w:r>
        <w:rPr>
          <w:rFonts w:cs="ArialMT"/>
          <w:color w:val="231F20"/>
          <w:lang w:val="fr-FR" w:eastAsia="fr-FR"/>
        </w:rPr>
        <w:t xml:space="preserve">3. Berg C, </w:t>
      </w:r>
      <w:proofErr w:type="spellStart"/>
      <w:r>
        <w:rPr>
          <w:rFonts w:cs="ArialMT"/>
          <w:color w:val="231F20"/>
          <w:lang w:val="fr-FR" w:eastAsia="fr-FR"/>
        </w:rPr>
        <w:t>Geipel</w:t>
      </w:r>
      <w:proofErr w:type="spellEnd"/>
      <w:r>
        <w:rPr>
          <w:rFonts w:cs="ArialMT"/>
          <w:color w:val="231F20"/>
          <w:lang w:val="fr-FR" w:eastAsia="fr-FR"/>
        </w:rPr>
        <w:t xml:space="preserve"> A, </w:t>
      </w:r>
      <w:proofErr w:type="spellStart"/>
      <w:r>
        <w:rPr>
          <w:rFonts w:cs="ArialMT"/>
          <w:color w:val="231F20"/>
          <w:lang w:val="fr-FR" w:eastAsia="fr-FR"/>
        </w:rPr>
        <w:t>Smrcek</w:t>
      </w:r>
      <w:proofErr w:type="spellEnd"/>
      <w:r>
        <w:rPr>
          <w:rFonts w:cs="ArialMT"/>
          <w:color w:val="231F20"/>
          <w:lang w:val="fr-FR" w:eastAsia="fr-FR"/>
        </w:rPr>
        <w:t xml:space="preserve"> J et al. Diagnostic prénatal des syndromes </w:t>
      </w:r>
      <w:proofErr w:type="spellStart"/>
      <w:r>
        <w:rPr>
          <w:rFonts w:cs="ArialMT"/>
          <w:color w:val="231F20"/>
          <w:lang w:val="fr-FR" w:eastAsia="fr-FR"/>
        </w:rPr>
        <w:t>cardiospléniques</w:t>
      </w:r>
      <w:proofErr w:type="spellEnd"/>
      <w:r>
        <w:rPr>
          <w:rFonts w:cs="ArialMT"/>
          <w:color w:val="231F20"/>
          <w:lang w:val="fr-FR" w:eastAsia="fr-FR"/>
        </w:rPr>
        <w:t xml:space="preserve"> : une expérience de 10 ans. </w:t>
      </w:r>
      <w:r>
        <w:rPr>
          <w:rFonts w:cs="ArialMT"/>
          <w:color w:val="231F20"/>
          <w:lang w:eastAsia="fr-FR"/>
        </w:rPr>
        <w:t xml:space="preserve">Ultrasound </w:t>
      </w:r>
      <w:proofErr w:type="spellStart"/>
      <w:r>
        <w:rPr>
          <w:rFonts w:cs="ArialMT"/>
          <w:color w:val="231F20"/>
          <w:lang w:eastAsia="fr-FR"/>
        </w:rPr>
        <w:t>Obstet</w:t>
      </w:r>
      <w:proofErr w:type="spellEnd"/>
      <w:r>
        <w:rPr>
          <w:rFonts w:cs="ArialMT"/>
          <w:color w:val="231F20"/>
          <w:lang w:eastAsia="fr-FR"/>
        </w:rPr>
        <w:t xml:space="preserve"> </w:t>
      </w:r>
      <w:proofErr w:type="spellStart"/>
      <w:r>
        <w:rPr>
          <w:rFonts w:cs="ArialMT"/>
          <w:color w:val="231F20"/>
          <w:lang w:eastAsia="fr-FR"/>
        </w:rPr>
        <w:t>Gynecol</w:t>
      </w:r>
      <w:proofErr w:type="spellEnd"/>
      <w:r>
        <w:rPr>
          <w:rFonts w:cs="ArialMT"/>
          <w:color w:val="231F20"/>
          <w:lang w:eastAsia="fr-FR"/>
        </w:rPr>
        <w:t xml:space="preserve"> 2003 ; </w:t>
      </w:r>
      <w:proofErr w:type="gramStart"/>
      <w:r>
        <w:rPr>
          <w:rFonts w:cs="ArialMT"/>
          <w:color w:val="231F20"/>
          <w:lang w:eastAsia="fr-FR"/>
        </w:rPr>
        <w:t>22 :</w:t>
      </w:r>
      <w:proofErr w:type="gramEnd"/>
      <w:r>
        <w:rPr>
          <w:rFonts w:cs="ArialMT"/>
          <w:color w:val="231F20"/>
          <w:lang w:eastAsia="fr-FR"/>
        </w:rPr>
        <w:t xml:space="preserve"> 451459</w:t>
      </w:r>
    </w:p>
    <w:p w14:paraId="1541E9D3" w14:textId="77777777" w:rsidR="004C5165" w:rsidRDefault="004C5165">
      <w:pPr>
        <w:autoSpaceDE w:val="0"/>
        <w:autoSpaceDN w:val="0"/>
        <w:adjustRightInd w:val="0"/>
        <w:spacing w:after="0" w:line="20" w:lineRule="atLeast"/>
        <w:rPr>
          <w:rFonts w:cs="ArialMT"/>
          <w:color w:val="231F20"/>
          <w:lang w:eastAsia="fr-FR"/>
        </w:rPr>
      </w:pPr>
    </w:p>
    <w:p w14:paraId="1CB40B23" w14:textId="77777777" w:rsidR="004C5165" w:rsidRDefault="00A82836">
      <w:pPr>
        <w:autoSpaceDE w:val="0"/>
        <w:autoSpaceDN w:val="0"/>
        <w:adjustRightInd w:val="0"/>
        <w:spacing w:after="0" w:line="20" w:lineRule="atLeast"/>
        <w:rPr>
          <w:rFonts w:cs="SabonLTStd-Roman"/>
          <w:lang w:eastAsia="fr-FR"/>
        </w:rPr>
      </w:pPr>
      <w:r>
        <w:rPr>
          <w:rFonts w:cs="SabonLTStd-Roman"/>
          <w:lang w:eastAsia="fr-FR"/>
        </w:rPr>
        <w:t xml:space="preserve">4. Mansour MM, Hussein O, Saad B, </w:t>
      </w:r>
      <w:r>
        <w:rPr>
          <w:rFonts w:cs="SabonLTStd-Italic"/>
          <w:i/>
          <w:iCs/>
          <w:lang w:eastAsia="fr-FR"/>
        </w:rPr>
        <w:t>et al</w:t>
      </w:r>
      <w:r>
        <w:rPr>
          <w:rFonts w:cs="SabonLTStd-Roman"/>
          <w:lang w:eastAsia="fr-FR"/>
        </w:rPr>
        <w:t xml:space="preserve">. A rare case of pulmonary embolism in a patient with interrupted inferior vena cava and </w:t>
      </w:r>
      <w:proofErr w:type="spellStart"/>
      <w:r>
        <w:rPr>
          <w:rFonts w:cs="SabonLTStd-Roman"/>
          <w:lang w:eastAsia="fr-FR"/>
        </w:rPr>
        <w:t>polysplenia</w:t>
      </w:r>
      <w:proofErr w:type="spellEnd"/>
      <w:r>
        <w:rPr>
          <w:rFonts w:cs="SabonLTStd-Roman"/>
          <w:lang w:eastAsia="fr-FR"/>
        </w:rPr>
        <w:t xml:space="preserve">. </w:t>
      </w:r>
      <w:proofErr w:type="spellStart"/>
      <w:r>
        <w:rPr>
          <w:rFonts w:cs="SabonLTStd-Roman"/>
          <w:lang w:eastAsia="fr-FR"/>
        </w:rPr>
        <w:t>Cureus</w:t>
      </w:r>
      <w:proofErr w:type="spellEnd"/>
      <w:r>
        <w:rPr>
          <w:rFonts w:cs="SabonLTStd-Roman"/>
          <w:lang w:eastAsia="fr-FR"/>
        </w:rPr>
        <w:t xml:space="preserve"> 2022;</w:t>
      </w:r>
      <w:proofErr w:type="gramStart"/>
      <w:r>
        <w:rPr>
          <w:rFonts w:cs="SabonLTStd-Roman"/>
          <w:lang w:eastAsia="fr-FR"/>
        </w:rPr>
        <w:t>14:e</w:t>
      </w:r>
      <w:proofErr w:type="gramEnd"/>
      <w:r>
        <w:rPr>
          <w:rFonts w:cs="SabonLTStd-Roman"/>
          <w:lang w:eastAsia="fr-FR"/>
        </w:rPr>
        <w:t>22323.</w:t>
      </w:r>
    </w:p>
    <w:p w14:paraId="421BFC21" w14:textId="77777777" w:rsidR="004C5165" w:rsidRDefault="004C5165">
      <w:pPr>
        <w:autoSpaceDE w:val="0"/>
        <w:autoSpaceDN w:val="0"/>
        <w:adjustRightInd w:val="0"/>
        <w:spacing w:after="0" w:line="20" w:lineRule="atLeast"/>
        <w:rPr>
          <w:rFonts w:cs="ArialMT"/>
          <w:color w:val="231F20"/>
          <w:lang w:eastAsia="fr-FR"/>
        </w:rPr>
      </w:pPr>
    </w:p>
    <w:p w14:paraId="46A46397" w14:textId="77777777" w:rsidR="004C5165" w:rsidRDefault="00A82836">
      <w:pPr>
        <w:autoSpaceDE w:val="0"/>
        <w:autoSpaceDN w:val="0"/>
        <w:adjustRightInd w:val="0"/>
        <w:spacing w:after="0" w:line="20" w:lineRule="atLeast"/>
        <w:rPr>
          <w:rFonts w:cs="AdvTrebu-R"/>
          <w:lang w:eastAsia="fr-FR"/>
        </w:rPr>
      </w:pPr>
      <w:r>
        <w:rPr>
          <w:rFonts w:cs="ArialMT"/>
          <w:color w:val="231F20"/>
          <w:lang w:eastAsia="fr-FR"/>
        </w:rPr>
        <w:t xml:space="preserve">5. </w:t>
      </w:r>
      <w:r>
        <w:rPr>
          <w:rFonts w:cs="AdvTrebu-B"/>
          <w:color w:val="000000"/>
          <w:lang w:eastAsia="fr-FR"/>
        </w:rPr>
        <w:t xml:space="preserve">Clinical implications of congenital interruption of inferior vena </w:t>
      </w:r>
      <w:proofErr w:type="gramStart"/>
      <w:r>
        <w:rPr>
          <w:rFonts w:cs="AdvTrebu-B"/>
          <w:color w:val="000000"/>
          <w:lang w:eastAsia="fr-FR"/>
        </w:rPr>
        <w:t>cava ,</w:t>
      </w:r>
      <w:r>
        <w:rPr>
          <w:rFonts w:cs="AdvTrebu-R"/>
          <w:lang w:eastAsia="fr-FR"/>
        </w:rPr>
        <w:t>Journal</w:t>
      </w:r>
      <w:proofErr w:type="gramEnd"/>
      <w:r>
        <w:rPr>
          <w:rFonts w:cs="AdvTrebu-R"/>
          <w:lang w:eastAsia="fr-FR"/>
        </w:rPr>
        <w:t xml:space="preserve"> of the Formosan Medical Association 121 (2022) 1938</w:t>
      </w:r>
      <w:r>
        <w:rPr>
          <w:rFonts w:cs="AdvPS44A44B"/>
          <w:lang w:eastAsia="fr-FR"/>
        </w:rPr>
        <w:t>e</w:t>
      </w:r>
      <w:r>
        <w:rPr>
          <w:rFonts w:cs="AdvTrebu-R"/>
          <w:lang w:eastAsia="fr-FR"/>
        </w:rPr>
        <w:t>1944.</w:t>
      </w:r>
    </w:p>
    <w:p w14:paraId="2B8D7D63" w14:textId="77777777" w:rsidR="004C5165" w:rsidRDefault="004C5165">
      <w:pPr>
        <w:autoSpaceDE w:val="0"/>
        <w:autoSpaceDN w:val="0"/>
        <w:adjustRightInd w:val="0"/>
        <w:spacing w:after="0" w:line="20" w:lineRule="atLeast"/>
        <w:rPr>
          <w:rFonts w:cs="AdvTrebu-R"/>
          <w:lang w:eastAsia="fr-FR"/>
        </w:rPr>
      </w:pPr>
    </w:p>
    <w:p w14:paraId="6E0FF729" w14:textId="77777777" w:rsidR="004C5165" w:rsidRDefault="00A82836">
      <w:pPr>
        <w:autoSpaceDE w:val="0"/>
        <w:autoSpaceDN w:val="0"/>
        <w:adjustRightInd w:val="0"/>
        <w:spacing w:after="0" w:line="20" w:lineRule="atLeast"/>
        <w:rPr>
          <w:rFonts w:cs="AdvTT31ea7dbe"/>
          <w:color w:val="231F20"/>
          <w:lang w:eastAsia="fr-FR"/>
        </w:rPr>
      </w:pPr>
      <w:r>
        <w:rPr>
          <w:rFonts w:cs="AdvTrebu-R"/>
          <w:lang w:eastAsia="fr-FR"/>
        </w:rPr>
        <w:t xml:space="preserve">6. </w:t>
      </w:r>
      <w:r>
        <w:rPr>
          <w:rFonts w:cs="AdvTT9e98a5d7.I"/>
          <w:color w:val="231F20"/>
          <w:lang w:eastAsia="fr-FR"/>
        </w:rPr>
        <w:t xml:space="preserve">Fischer DR, Zuberbuhler JR. </w:t>
      </w:r>
      <w:r>
        <w:rPr>
          <w:rFonts w:cs="AdvTT31ea7dbe"/>
          <w:color w:val="231F20"/>
          <w:lang w:eastAsia="fr-FR"/>
        </w:rPr>
        <w:t xml:space="preserve">Anomalous systemic venous </w:t>
      </w:r>
      <w:proofErr w:type="spellStart"/>
      <w:r>
        <w:rPr>
          <w:rFonts w:cs="AdvTT31ea7dbe"/>
          <w:color w:val="231F20"/>
          <w:lang w:eastAsia="fr-FR"/>
        </w:rPr>
        <w:t>venous</w:t>
      </w:r>
      <w:proofErr w:type="spellEnd"/>
      <w:r>
        <w:rPr>
          <w:rFonts w:cs="AdvTT31ea7dbe"/>
          <w:color w:val="231F20"/>
          <w:lang w:eastAsia="fr-FR"/>
        </w:rPr>
        <w:t xml:space="preserve"> return.</w:t>
      </w:r>
    </w:p>
    <w:p w14:paraId="7589C292" w14:textId="77777777" w:rsidR="004C5165" w:rsidRDefault="00A82836">
      <w:pPr>
        <w:autoSpaceDE w:val="0"/>
        <w:autoSpaceDN w:val="0"/>
        <w:adjustRightInd w:val="0"/>
        <w:spacing w:after="0" w:line="20" w:lineRule="atLeast"/>
        <w:rPr>
          <w:rFonts w:cs="AdvTT31ea7dbe"/>
          <w:color w:val="231F20"/>
          <w:lang w:eastAsia="fr-FR"/>
        </w:rPr>
      </w:pPr>
      <w:r>
        <w:rPr>
          <w:rFonts w:cs="AdvTT31ea7dbe"/>
          <w:color w:val="231F20"/>
          <w:lang w:eastAsia="fr-FR"/>
        </w:rPr>
        <w:t xml:space="preserve">In RH Anderson et al, eds. </w:t>
      </w:r>
      <w:proofErr w:type="spellStart"/>
      <w:r>
        <w:rPr>
          <w:rFonts w:cs="AdvTT31ea7dbe"/>
          <w:color w:val="231F20"/>
          <w:lang w:eastAsia="fr-FR"/>
        </w:rPr>
        <w:t>Paediatric</w:t>
      </w:r>
      <w:proofErr w:type="spellEnd"/>
      <w:r>
        <w:rPr>
          <w:rFonts w:cs="AdvTT31ea7dbe"/>
          <w:color w:val="231F20"/>
          <w:lang w:eastAsia="fr-FR"/>
        </w:rPr>
        <w:t xml:space="preserve"> cardiology, Vol. 1. Edinburgh: Churchill Livingstone; 2002: 851</w:t>
      </w:r>
      <w:r>
        <w:rPr>
          <w:rFonts w:cs="AdvTT31ea7dbe+20"/>
          <w:color w:val="231F20"/>
          <w:lang w:eastAsia="fr-FR"/>
        </w:rPr>
        <w:t>–</w:t>
      </w:r>
      <w:r>
        <w:rPr>
          <w:rFonts w:cs="AdvTT31ea7dbe"/>
          <w:color w:val="231F20"/>
          <w:lang w:eastAsia="fr-FR"/>
        </w:rPr>
        <w:t>866</w:t>
      </w:r>
    </w:p>
    <w:p w14:paraId="40FA63C9" w14:textId="77777777" w:rsidR="004C5165" w:rsidRDefault="004C5165">
      <w:pPr>
        <w:autoSpaceDE w:val="0"/>
        <w:autoSpaceDN w:val="0"/>
        <w:adjustRightInd w:val="0"/>
        <w:spacing w:after="0" w:line="20" w:lineRule="atLeast"/>
        <w:rPr>
          <w:rFonts w:cs="AdvTT31ea7dbe"/>
          <w:color w:val="231F20"/>
          <w:lang w:eastAsia="fr-FR"/>
        </w:rPr>
      </w:pPr>
    </w:p>
    <w:p w14:paraId="60D2DC86" w14:textId="77777777" w:rsidR="004C5165" w:rsidRDefault="00A82836">
      <w:pPr>
        <w:autoSpaceDE w:val="0"/>
        <w:autoSpaceDN w:val="0"/>
        <w:adjustRightInd w:val="0"/>
        <w:spacing w:after="0" w:line="20" w:lineRule="atLeast"/>
        <w:rPr>
          <w:rFonts w:cs="AdvTT31ea7dbe"/>
          <w:color w:val="231F20"/>
          <w:lang w:eastAsia="fr-FR"/>
        </w:rPr>
      </w:pPr>
      <w:r>
        <w:rPr>
          <w:rFonts w:cs="AdvTT31ea7dbe"/>
          <w:color w:val="231F20"/>
          <w:lang w:eastAsia="fr-FR"/>
        </w:rPr>
        <w:t xml:space="preserve">7. </w:t>
      </w:r>
      <w:r>
        <w:rPr>
          <w:rFonts w:cs="AdvTT9e98a5d7.I"/>
          <w:color w:val="231F20"/>
          <w:lang w:eastAsia="fr-FR"/>
        </w:rPr>
        <w:t xml:space="preserve">Sharma S, Devine W, Anderson </w:t>
      </w:r>
      <w:proofErr w:type="gramStart"/>
      <w:r>
        <w:rPr>
          <w:rFonts w:cs="AdvTT9e98a5d7.I"/>
          <w:color w:val="231F20"/>
          <w:lang w:eastAsia="fr-FR"/>
        </w:rPr>
        <w:t>RH,  Zuberbuhler</w:t>
      </w:r>
      <w:proofErr w:type="gramEnd"/>
      <w:r>
        <w:rPr>
          <w:rFonts w:cs="AdvTT9e98a5d7.I"/>
          <w:color w:val="231F20"/>
          <w:lang w:eastAsia="fr-FR"/>
        </w:rPr>
        <w:t xml:space="preserve"> JR. </w:t>
      </w:r>
      <w:r>
        <w:rPr>
          <w:rFonts w:cs="AdvTT31ea7dbe"/>
          <w:color w:val="231F20"/>
          <w:lang w:eastAsia="fr-FR"/>
        </w:rPr>
        <w:t xml:space="preserve">Identification and analysis of left atrial isomerism. Am J </w:t>
      </w:r>
      <w:proofErr w:type="spellStart"/>
      <w:r>
        <w:rPr>
          <w:rFonts w:cs="AdvTT31ea7dbe"/>
          <w:color w:val="231F20"/>
          <w:lang w:eastAsia="fr-FR"/>
        </w:rPr>
        <w:t>Cardiol</w:t>
      </w:r>
      <w:proofErr w:type="spellEnd"/>
      <w:r>
        <w:rPr>
          <w:rFonts w:cs="AdvTT31ea7dbe"/>
          <w:color w:val="231F20"/>
          <w:lang w:eastAsia="fr-FR"/>
        </w:rPr>
        <w:t xml:space="preserve"> 1987; 60: 1157</w:t>
      </w:r>
      <w:r>
        <w:rPr>
          <w:rFonts w:cs="AdvTT31ea7dbe+20"/>
          <w:color w:val="231F20"/>
          <w:lang w:eastAsia="fr-FR"/>
        </w:rPr>
        <w:t>–</w:t>
      </w:r>
      <w:r>
        <w:rPr>
          <w:rFonts w:cs="AdvTT31ea7dbe"/>
          <w:color w:val="231F20"/>
          <w:lang w:eastAsia="fr-FR"/>
        </w:rPr>
        <w:t>1160</w:t>
      </w:r>
    </w:p>
    <w:p w14:paraId="1462FDF6" w14:textId="77777777" w:rsidR="004C5165" w:rsidRDefault="004C5165">
      <w:pPr>
        <w:autoSpaceDE w:val="0"/>
        <w:autoSpaceDN w:val="0"/>
        <w:adjustRightInd w:val="0"/>
        <w:spacing w:after="0" w:line="20" w:lineRule="atLeast"/>
        <w:rPr>
          <w:rFonts w:cs="AdvTT31ea7dbe"/>
          <w:color w:val="231F20"/>
          <w:lang w:eastAsia="fr-FR"/>
        </w:rPr>
      </w:pPr>
    </w:p>
    <w:p w14:paraId="34B594D1" w14:textId="77777777" w:rsidR="004C5165" w:rsidRDefault="00A82836">
      <w:pPr>
        <w:autoSpaceDE w:val="0"/>
        <w:autoSpaceDN w:val="0"/>
        <w:adjustRightInd w:val="0"/>
        <w:spacing w:after="0" w:line="20" w:lineRule="atLeast"/>
        <w:rPr>
          <w:rStyle w:val="Strong"/>
          <w:rFonts w:cs="SabonLTStd-Roman"/>
          <w:b w:val="0"/>
          <w:bCs w:val="0"/>
          <w:lang w:eastAsia="fr-FR"/>
        </w:rPr>
      </w:pPr>
      <w:r>
        <w:rPr>
          <w:rFonts w:cs="AdvTT31ea7dbe"/>
          <w:color w:val="231F20"/>
          <w:lang w:eastAsia="fr-FR"/>
        </w:rPr>
        <w:t xml:space="preserve">8.  </w:t>
      </w:r>
      <w:r>
        <w:rPr>
          <w:rFonts w:cs="SabonLTStd-Roman"/>
          <w:lang w:eastAsia="fr-FR"/>
        </w:rPr>
        <w:t xml:space="preserve">Chen SJ, Wu MH, Wang JK. Clinical implications of congenital interruption of inferior vena cava. J </w:t>
      </w:r>
      <w:proofErr w:type="spellStart"/>
      <w:r>
        <w:rPr>
          <w:rFonts w:cs="SabonLTStd-Roman"/>
          <w:lang w:eastAsia="fr-FR"/>
        </w:rPr>
        <w:t>Formos</w:t>
      </w:r>
      <w:proofErr w:type="spellEnd"/>
      <w:r>
        <w:rPr>
          <w:rFonts w:cs="SabonLTStd-Roman"/>
          <w:lang w:eastAsia="fr-FR"/>
        </w:rPr>
        <w:t xml:space="preserve"> Med Assoc 2022;121: 1938–44.</w:t>
      </w:r>
    </w:p>
    <w:p w14:paraId="351AF696" w14:textId="77777777" w:rsidR="004C5165" w:rsidRDefault="004C5165">
      <w:pPr>
        <w:pStyle w:val="Heading3"/>
        <w:rPr>
          <w:rStyle w:val="Strong"/>
          <w:rFonts w:asciiTheme="minorHAnsi" w:hAnsiTheme="minorHAnsi"/>
          <w:b/>
          <w:bCs/>
        </w:rPr>
      </w:pPr>
    </w:p>
    <w:p w14:paraId="6672981B" w14:textId="77777777" w:rsidR="004C5165" w:rsidRDefault="004C5165">
      <w:pPr>
        <w:pStyle w:val="Heading3"/>
        <w:rPr>
          <w:rStyle w:val="Strong"/>
          <w:rFonts w:asciiTheme="minorHAnsi" w:hAnsiTheme="minorHAnsi"/>
          <w:b/>
          <w:bCs/>
        </w:rPr>
      </w:pPr>
    </w:p>
    <w:p w14:paraId="554225D0" w14:textId="77777777" w:rsidR="004C5165" w:rsidRDefault="004C5165"/>
    <w:p w14:paraId="65B18CE1" w14:textId="77777777" w:rsidR="004C5165" w:rsidRDefault="004C5165"/>
    <w:p w14:paraId="6776784A" w14:textId="77777777" w:rsidR="004C5165" w:rsidRDefault="004C5165"/>
    <w:sectPr w:rsidR="004C5165">
      <w:headerReference w:type="even" r:id="rId20"/>
      <w:headerReference w:type="default" r:id="rId21"/>
      <w:footerReference w:type="even" r:id="rId22"/>
      <w:footerReference w:type="default" r:id="rId23"/>
      <w:headerReference w:type="first" r:id="rId24"/>
      <w:footerReference w:type="first" r:id="rId2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4F30C0" w14:textId="77777777" w:rsidR="00B57E73" w:rsidRDefault="00B57E73">
      <w:pPr>
        <w:spacing w:line="240" w:lineRule="auto"/>
      </w:pPr>
      <w:r>
        <w:separator/>
      </w:r>
    </w:p>
  </w:endnote>
  <w:endnote w:type="continuationSeparator" w:id="0">
    <w:p w14:paraId="11010483" w14:textId="77777777" w:rsidR="00B57E73" w:rsidRDefault="00B57E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default"/>
    <w:sig w:usb0="00000000"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rialMT">
    <w:altName w:val="Arial"/>
    <w:charset w:val="00"/>
    <w:family w:val="auto"/>
    <w:pitch w:val="default"/>
    <w:sig w:usb0="00000000" w:usb1="00000000" w:usb2="00000000" w:usb3="00000000" w:csb0="00000001" w:csb1="00000000"/>
  </w:font>
  <w:font w:name="SabonLTStd-Roman">
    <w:altName w:val="Calibri"/>
    <w:charset w:val="00"/>
    <w:family w:val="swiss"/>
    <w:pitch w:val="default"/>
    <w:sig w:usb0="00000000" w:usb1="00000000" w:usb2="00000000" w:usb3="00000000" w:csb0="00000001" w:csb1="00000000"/>
  </w:font>
  <w:font w:name="SabonLTStd-Italic">
    <w:altName w:val="Calibri"/>
    <w:charset w:val="00"/>
    <w:family w:val="swiss"/>
    <w:pitch w:val="default"/>
    <w:sig w:usb0="00000000" w:usb1="00000000" w:usb2="00000000" w:usb3="00000000" w:csb0="00000001" w:csb1="00000000"/>
  </w:font>
  <w:font w:name="AdvTrebu-R">
    <w:altName w:val="Calibri"/>
    <w:charset w:val="00"/>
    <w:family w:val="swiss"/>
    <w:pitch w:val="default"/>
    <w:sig w:usb0="00000000" w:usb1="00000000" w:usb2="00000000" w:usb3="00000000" w:csb0="00000001" w:csb1="00000000"/>
  </w:font>
  <w:font w:name="AdvTrebu-B">
    <w:altName w:val="Calibri"/>
    <w:charset w:val="00"/>
    <w:family w:val="swiss"/>
    <w:pitch w:val="default"/>
    <w:sig w:usb0="00000000" w:usb1="00000000" w:usb2="00000000" w:usb3="00000000" w:csb0="00000001" w:csb1="00000000"/>
  </w:font>
  <w:font w:name="AdvPS44A44B">
    <w:altName w:val="Calibri"/>
    <w:charset w:val="00"/>
    <w:family w:val="swiss"/>
    <w:pitch w:val="default"/>
    <w:sig w:usb0="00000000" w:usb1="00000000" w:usb2="00000000" w:usb3="00000000" w:csb0="00000001" w:csb1="00000000"/>
  </w:font>
  <w:font w:name="AdvTT31ea7dbe">
    <w:altName w:val="Cambria"/>
    <w:charset w:val="00"/>
    <w:family w:val="roman"/>
    <w:pitch w:val="default"/>
    <w:sig w:usb0="00000000" w:usb1="00000000" w:usb2="00000000" w:usb3="00000000" w:csb0="00000001" w:csb1="00000000"/>
  </w:font>
  <w:font w:name="AdvTT9e98a5d7.I">
    <w:altName w:val="Cambria"/>
    <w:charset w:val="00"/>
    <w:family w:val="roman"/>
    <w:pitch w:val="default"/>
    <w:sig w:usb0="00000000" w:usb1="00000000" w:usb2="00000000" w:usb3="00000000" w:csb0="00000001" w:csb1="00000000"/>
  </w:font>
  <w:font w:name="AdvTT31ea7dbe+20">
    <w:altName w:val="Calibri"/>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3CFD6" w14:textId="77777777" w:rsidR="009E6C8A" w:rsidRDefault="009E6C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0EF0B" w14:textId="77777777" w:rsidR="009E6C8A" w:rsidRDefault="009E6C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BC8D3" w14:textId="77777777" w:rsidR="009E6C8A" w:rsidRDefault="009E6C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EB8385" w14:textId="77777777" w:rsidR="00B57E73" w:rsidRDefault="00B57E73">
      <w:pPr>
        <w:spacing w:after="0"/>
      </w:pPr>
      <w:r>
        <w:separator/>
      </w:r>
    </w:p>
  </w:footnote>
  <w:footnote w:type="continuationSeparator" w:id="0">
    <w:p w14:paraId="77499ED7" w14:textId="77777777" w:rsidR="00B57E73" w:rsidRDefault="00B57E7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90AB9" w14:textId="58A75D85" w:rsidR="009E6C8A" w:rsidRDefault="009E6C8A">
    <w:pPr>
      <w:pStyle w:val="Header"/>
    </w:pPr>
    <w:r>
      <w:rPr>
        <w:noProof/>
      </w:rPr>
      <w:pict w14:anchorId="76F965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0035001" o:spid="_x0000_s2050" type="#_x0000_t136" style="position:absolute;margin-left:0;margin-top:0;width:541.4pt;height:67.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D5965" w14:textId="346E0D70" w:rsidR="009E6C8A" w:rsidRDefault="009E6C8A">
    <w:pPr>
      <w:pStyle w:val="Header"/>
    </w:pPr>
    <w:r>
      <w:rPr>
        <w:noProof/>
      </w:rPr>
      <w:pict w14:anchorId="3E5DED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0035002" o:spid="_x0000_s2051" type="#_x0000_t136" style="position:absolute;margin-left:0;margin-top:0;width:541.4pt;height:67.6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57FAA" w14:textId="7E51487F" w:rsidR="009E6C8A" w:rsidRDefault="009E6C8A">
    <w:pPr>
      <w:pStyle w:val="Header"/>
    </w:pPr>
    <w:r>
      <w:rPr>
        <w:noProof/>
      </w:rPr>
      <w:pict w14:anchorId="589C46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0035000" o:spid="_x0000_s2049" type="#_x0000_t136" style="position:absolute;margin-left:0;margin-top:0;width:541.4pt;height:67.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FFFFFF7E"/>
    <w:lvl w:ilvl="0">
      <w:start w:val="1"/>
      <w:numFmt w:val="decimal"/>
      <w:pStyle w:val="ListNumber3"/>
      <w:lvlText w:val="%1."/>
      <w:lvlJc w:val="left"/>
      <w:pPr>
        <w:tabs>
          <w:tab w:val="left" w:pos="5899"/>
        </w:tabs>
        <w:ind w:left="5899" w:hanging="360"/>
      </w:pPr>
    </w:lvl>
  </w:abstractNum>
  <w:abstractNum w:abstractNumId="1" w15:restartNumberingAfterBreak="0">
    <w:nsid w:val="FFFFFF7F"/>
    <w:multiLevelType w:val="singleLevel"/>
    <w:tmpl w:val="FFFFFF7F"/>
    <w:lvl w:ilvl="0">
      <w:start w:val="1"/>
      <w:numFmt w:val="decimal"/>
      <w:pStyle w:val="ListNumber2"/>
      <w:lvlText w:val="%1."/>
      <w:lvlJc w:val="left"/>
      <w:pPr>
        <w:tabs>
          <w:tab w:val="left" w:pos="720"/>
        </w:tabs>
        <w:ind w:left="720" w:hanging="360"/>
      </w:pPr>
    </w:lvl>
  </w:abstractNum>
  <w:abstractNum w:abstractNumId="2" w15:restartNumberingAfterBreak="0">
    <w:nsid w:val="FFFFFF82"/>
    <w:multiLevelType w:val="singleLevel"/>
    <w:tmpl w:val="FFFFFF82"/>
    <w:lvl w:ilvl="0">
      <w:start w:val="1"/>
      <w:numFmt w:val="bullet"/>
      <w:pStyle w:val="ListBullet3"/>
      <w:lvlText w:val=""/>
      <w:lvlJc w:val="left"/>
      <w:pPr>
        <w:tabs>
          <w:tab w:val="left" w:pos="1080"/>
        </w:tabs>
        <w:ind w:left="1080" w:hanging="360"/>
      </w:pPr>
      <w:rPr>
        <w:rFonts w:ascii="Symbol" w:hAnsi="Symbol" w:hint="default"/>
      </w:rPr>
    </w:lvl>
  </w:abstractNum>
  <w:abstractNum w:abstractNumId="3" w15:restartNumberingAfterBreak="0">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4" w15:restartNumberingAfterBreak="0">
    <w:nsid w:val="FFFFFF88"/>
    <w:multiLevelType w:val="singleLevel"/>
    <w:tmpl w:val="FFFFFF88"/>
    <w:lvl w:ilvl="0">
      <w:start w:val="1"/>
      <w:numFmt w:val="decimal"/>
      <w:pStyle w:val="ListNumber"/>
      <w:lvlText w:val="%1."/>
      <w:lvlJc w:val="left"/>
      <w:pPr>
        <w:tabs>
          <w:tab w:val="left" w:pos="360"/>
        </w:tabs>
        <w:ind w:left="360" w:hanging="360"/>
      </w:pPr>
    </w:lvl>
  </w:abstractNum>
  <w:abstractNum w:abstractNumId="5"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6" w15:restartNumberingAfterBreak="0">
    <w:nsid w:val="48952260"/>
    <w:multiLevelType w:val="singleLevel"/>
    <w:tmpl w:val="48952260"/>
    <w:lvl w:ilvl="0">
      <w:start w:val="6"/>
      <w:numFmt w:val="upperLetter"/>
      <w:suff w:val="space"/>
      <w:lvlText w:val="%1."/>
      <w:lvlJc w:val="left"/>
    </w:lvl>
  </w:abstractNum>
  <w:num w:numId="1">
    <w:abstractNumId w:val="3"/>
  </w:num>
  <w:num w:numId="2">
    <w:abstractNumId w:val="0"/>
  </w:num>
  <w:num w:numId="3">
    <w:abstractNumId w:val="4"/>
  </w:num>
  <w:num w:numId="4">
    <w:abstractNumId w:val="1"/>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019A7"/>
    <w:rsid w:val="00034616"/>
    <w:rsid w:val="00045546"/>
    <w:rsid w:val="0006063C"/>
    <w:rsid w:val="0015074B"/>
    <w:rsid w:val="001A2CC2"/>
    <w:rsid w:val="0029639D"/>
    <w:rsid w:val="002A17F6"/>
    <w:rsid w:val="00326F90"/>
    <w:rsid w:val="00362C17"/>
    <w:rsid w:val="004C5165"/>
    <w:rsid w:val="00513F8D"/>
    <w:rsid w:val="00591FD1"/>
    <w:rsid w:val="005A29F6"/>
    <w:rsid w:val="005D5243"/>
    <w:rsid w:val="006471FC"/>
    <w:rsid w:val="007E5327"/>
    <w:rsid w:val="008C0F4C"/>
    <w:rsid w:val="00961A22"/>
    <w:rsid w:val="009E6C8A"/>
    <w:rsid w:val="00A407E8"/>
    <w:rsid w:val="00A82836"/>
    <w:rsid w:val="00AA1D8D"/>
    <w:rsid w:val="00AB5511"/>
    <w:rsid w:val="00B47730"/>
    <w:rsid w:val="00B57E73"/>
    <w:rsid w:val="00C73E71"/>
    <w:rsid w:val="00C7594E"/>
    <w:rsid w:val="00CA0931"/>
    <w:rsid w:val="00CB0664"/>
    <w:rsid w:val="00DF19FB"/>
    <w:rsid w:val="00EE410C"/>
    <w:rsid w:val="00FC693F"/>
    <w:rsid w:val="37223579"/>
    <w:rsid w:val="397F79E1"/>
    <w:rsid w:val="403D296A"/>
    <w:rsid w:val="51554F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6AB9C21"/>
  <w14:defaultImageDpi w14:val="300"/>
  <w15:docId w15:val="{8ECB5BE7-E100-AF4B-836E-B02653443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fr-MA"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unhideWhenUsed="1"/>
    <w:lsdException w:name="toa heading" w:semiHidden="1" w:unhideWhenUsed="1"/>
    <w:lsdException w:name="List" w:unhideWhenUsed="1"/>
    <w:lsdException w:name="List Bullet" w:unhideWhenUsed="1"/>
    <w:lsdException w:name="List Number" w:unhideWhenUsed="1"/>
    <w:lsdException w:name="List 2" w:unhideWhenUsed="1"/>
    <w:lsdException w:name="List 3" w:unhideWhenUsed="1"/>
    <w:lsdException w:name="List 4" w:semiHidden="1" w:unhideWhenUsed="1"/>
    <w:lsdException w:name="List 5" w:semiHidden="1" w:unhideWhenUsed="1"/>
    <w:lsdException w:name="List Bullet 2" w:unhideWhenUsed="1"/>
    <w:lsdException w:name="List Bullet 3" w:unhideWhenUsed="1"/>
    <w:lsdException w:name="List Bullet 4" w:semiHidden="1" w:unhideWhenUsed="1"/>
    <w:lsdException w:name="List Bullet 5" w:semiHidden="1" w:unhideWhenUsed="1"/>
    <w:lsdException w:name="List Number 2" w:unhideWhenUsed="1"/>
    <w:lsdException w:name="List Number 3"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unhideWhenUsed="1"/>
    <w:lsdException w:name="List Continue 2" w:unhideWhenUsed="1"/>
    <w:lsdException w:name="List Continue 3"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qFormat="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val="en-US" w:eastAsia="en-US"/>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Subtitle">
    <w:name w:val="Subtitle"/>
    <w:basedOn w:val="Normal"/>
    <w:next w:val="Normal"/>
    <w:link w:val="SubtitleChar"/>
    <w:uiPriority w:val="11"/>
    <w:qFormat/>
    <w:rPr>
      <w:rFonts w:asciiTheme="majorHAnsi" w:eastAsiaTheme="majorEastAsia" w:hAnsiTheme="majorHAnsi" w:cstheme="majorBidi"/>
      <w:i/>
      <w:iCs/>
      <w:color w:val="4F81BD" w:themeColor="accent1"/>
      <w:spacing w:val="15"/>
      <w:sz w:val="24"/>
      <w:szCs w:val="24"/>
    </w:rPr>
  </w:style>
  <w:style w:type="paragraph" w:styleId="ListBullet2">
    <w:name w:val="List Bullet 2"/>
    <w:basedOn w:val="Normal"/>
    <w:uiPriority w:val="99"/>
    <w:unhideWhenUsed/>
    <w:pPr>
      <w:numPr>
        <w:numId w:val="1"/>
      </w:numPr>
      <w:contextualSpacing/>
    </w:pPr>
  </w:style>
  <w:style w:type="paragraph" w:styleId="ListContinue2">
    <w:name w:val="List Continue 2"/>
    <w:basedOn w:val="Normal"/>
    <w:uiPriority w:val="99"/>
    <w:unhideWhenUsed/>
    <w:pPr>
      <w:spacing w:after="120"/>
      <w:ind w:left="720"/>
      <w:contextualSpacing/>
    </w:pPr>
  </w:style>
  <w:style w:type="paragraph" w:styleId="ListNumber3">
    <w:name w:val="List Number 3"/>
    <w:basedOn w:val="Normal"/>
    <w:uiPriority w:val="99"/>
    <w:unhideWhenUsed/>
    <w:pPr>
      <w:numPr>
        <w:numId w:val="2"/>
      </w:numPr>
      <w:contextualSpacing/>
    </w:pPr>
  </w:style>
  <w:style w:type="paragraph" w:styleId="BodyText3">
    <w:name w:val="Body Text 3"/>
    <w:basedOn w:val="Normal"/>
    <w:link w:val="BodyText3Char"/>
    <w:uiPriority w:val="99"/>
    <w:unhideWhenUsed/>
    <w:qFormat/>
    <w:pPr>
      <w:spacing w:after="120"/>
    </w:pPr>
    <w:rPr>
      <w:sz w:val="16"/>
      <w:szCs w:val="16"/>
    </w:rPr>
  </w:style>
  <w:style w:type="paragraph" w:styleId="Caption">
    <w:name w:val="caption"/>
    <w:basedOn w:val="Normal"/>
    <w:next w:val="Normal"/>
    <w:uiPriority w:val="35"/>
    <w:semiHidden/>
    <w:unhideWhenUsed/>
    <w:qFormat/>
    <w:pPr>
      <w:spacing w:line="240" w:lineRule="auto"/>
    </w:pPr>
    <w:rPr>
      <w:b/>
      <w:bCs/>
      <w:color w:val="4F81BD" w:themeColor="accent1"/>
      <w:sz w:val="18"/>
      <w:szCs w:val="18"/>
    </w:rPr>
  </w:style>
  <w:style w:type="paragraph" w:styleId="ListNumber">
    <w:name w:val="List Number"/>
    <w:basedOn w:val="Normal"/>
    <w:uiPriority w:val="99"/>
    <w:unhideWhenUsed/>
    <w:pPr>
      <w:numPr>
        <w:numId w:val="3"/>
      </w:numPr>
      <w:contextualSpacing/>
    </w:pPr>
  </w:style>
  <w:style w:type="paragraph" w:styleId="BodyText">
    <w:name w:val="Body Text"/>
    <w:basedOn w:val="Normal"/>
    <w:link w:val="BodyTextChar"/>
    <w:uiPriority w:val="99"/>
    <w:unhideWhenUsed/>
    <w:qFormat/>
    <w:pPr>
      <w:spacing w:after="120"/>
    </w:pPr>
  </w:style>
  <w:style w:type="paragraph" w:styleId="List3">
    <w:name w:val="List 3"/>
    <w:basedOn w:val="Normal"/>
    <w:uiPriority w:val="99"/>
    <w:unhideWhenUsed/>
    <w:pPr>
      <w:ind w:left="1080" w:hanging="360"/>
      <w:contextualSpacing/>
    </w:pPr>
  </w:style>
  <w:style w:type="paragraph" w:styleId="BodyText2">
    <w:name w:val="Body Text 2"/>
    <w:basedOn w:val="Normal"/>
    <w:link w:val="BodyText2Char"/>
    <w:uiPriority w:val="99"/>
    <w:unhideWhenUsed/>
    <w:qFormat/>
    <w:pPr>
      <w:spacing w:after="120" w:line="480" w:lineRule="auto"/>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List">
    <w:name w:val="List"/>
    <w:basedOn w:val="Normal"/>
    <w:uiPriority w:val="99"/>
    <w:unhideWhenUsed/>
    <w:pPr>
      <w:ind w:left="360" w:hanging="360"/>
      <w:contextualSpacing/>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MacroText">
    <w:name w:val="macro"/>
    <w:link w:val="MacroTextChar"/>
    <w:uiPriority w:val="99"/>
    <w:unhideWhenUsed/>
    <w:pPr>
      <w:tabs>
        <w:tab w:val="left" w:pos="576"/>
        <w:tab w:val="left" w:pos="1152"/>
        <w:tab w:val="left" w:pos="1728"/>
        <w:tab w:val="left" w:pos="2304"/>
        <w:tab w:val="left" w:pos="2880"/>
        <w:tab w:val="left" w:pos="3456"/>
        <w:tab w:val="left" w:pos="4032"/>
      </w:tabs>
      <w:spacing w:after="200" w:line="276" w:lineRule="auto"/>
    </w:pPr>
    <w:rPr>
      <w:rFonts w:ascii="Courier" w:hAnsi="Courier"/>
      <w:lang w:val="en-US" w:eastAsia="en-US"/>
    </w:rPr>
  </w:style>
  <w:style w:type="paragraph" w:styleId="ListContinue3">
    <w:name w:val="List Continue 3"/>
    <w:basedOn w:val="Normal"/>
    <w:uiPriority w:val="99"/>
    <w:unhideWhenUsed/>
    <w:pPr>
      <w:spacing w:after="120"/>
      <w:ind w:left="1080"/>
      <w:contextualSpacing/>
    </w:pPr>
  </w:style>
  <w:style w:type="paragraph" w:styleId="ListNumber2">
    <w:name w:val="List Number 2"/>
    <w:basedOn w:val="Normal"/>
    <w:uiPriority w:val="99"/>
    <w:unhideWhenUsed/>
    <w:pPr>
      <w:numPr>
        <w:numId w:val="4"/>
      </w:numPr>
      <w:contextualSpacing/>
    </w:pPr>
  </w:style>
  <w:style w:type="paragraph" w:styleId="ListBullet3">
    <w:name w:val="List Bullet 3"/>
    <w:basedOn w:val="Normal"/>
    <w:uiPriority w:val="99"/>
    <w:unhideWhenUsed/>
    <w:pPr>
      <w:numPr>
        <w:numId w:val="5"/>
      </w:numPr>
      <w:contextualSpacing/>
    </w:pPr>
  </w:style>
  <w:style w:type="paragraph" w:styleId="List2">
    <w:name w:val="List 2"/>
    <w:basedOn w:val="Normal"/>
    <w:uiPriority w:val="99"/>
    <w:unhideWhenUsed/>
    <w:pPr>
      <w:ind w:left="720" w:hanging="360"/>
      <w:contextualSpacing/>
    </w:pPr>
  </w:style>
  <w:style w:type="paragraph" w:styleId="ListContinue">
    <w:name w:val="List Continue"/>
    <w:basedOn w:val="Normal"/>
    <w:uiPriority w:val="99"/>
    <w:unhideWhenUsed/>
    <w:pPr>
      <w:spacing w:after="120"/>
      <w:ind w:left="360"/>
      <w:contextualSpacing/>
    </w:pPr>
  </w:style>
  <w:style w:type="paragraph" w:styleId="ListBullet">
    <w:name w:val="List Bullet"/>
    <w:basedOn w:val="Normal"/>
    <w:uiPriority w:val="99"/>
    <w:unhideWhenUsed/>
    <w:pPr>
      <w:numPr>
        <w:numId w:val="6"/>
      </w:numPr>
      <w:contextualSpacing/>
    </w:p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styleId="NoSpacing">
    <w:name w:val="No Spacing"/>
    <w:uiPriority w:val="1"/>
    <w:qFormat/>
    <w:rPr>
      <w:sz w:val="22"/>
      <w:szCs w:val="22"/>
      <w:lang w:val="en-US" w:eastAsia="en-US"/>
    </w:rPr>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qFormat/>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qFormat/>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pPr>
      <w:ind w:left="720"/>
      <w:contextualSpacing/>
    </w:pPr>
  </w:style>
  <w:style w:type="character" w:customStyle="1" w:styleId="BodyTextChar">
    <w:name w:val="Body Text Char"/>
    <w:basedOn w:val="DefaultParagraphFont"/>
    <w:link w:val="BodyText"/>
    <w:uiPriority w:val="99"/>
    <w:qFormat/>
  </w:style>
  <w:style w:type="character" w:customStyle="1" w:styleId="BodyText2Char">
    <w:name w:val="Body Text 2 Char"/>
    <w:basedOn w:val="DefaultParagraphFont"/>
    <w:link w:val="BodyText2"/>
    <w:uiPriority w:val="99"/>
    <w:qFormat/>
  </w:style>
  <w:style w:type="character" w:customStyle="1" w:styleId="BodyText3Char">
    <w:name w:val="Body Text 3 Char"/>
    <w:basedOn w:val="DefaultParagraphFont"/>
    <w:link w:val="BodyText3"/>
    <w:uiPriority w:val="99"/>
    <w:qFormat/>
    <w:rPr>
      <w:sz w:val="16"/>
      <w:szCs w:val="16"/>
    </w:rPr>
  </w:style>
  <w:style w:type="character" w:customStyle="1" w:styleId="MacroTextChar">
    <w:name w:val="Macro Text Char"/>
    <w:basedOn w:val="DefaultParagraphFont"/>
    <w:link w:val="MacroText"/>
    <w:uiPriority w:val="99"/>
    <w:rPr>
      <w:rFonts w:ascii="Courier" w:hAnsi="Courier"/>
      <w:sz w:val="20"/>
      <w:szCs w:val="20"/>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i/>
      <w:iCs/>
      <w:color w:val="000000" w:themeColor="tex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4061"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4061"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b/>
      <w:bCs/>
      <w:i/>
      <w:iCs/>
      <w:color w:val="4F81BD" w:themeColor="accent1"/>
    </w:rPr>
  </w:style>
  <w:style w:type="character" w:customStyle="1" w:styleId="Accentuationlgre1">
    <w:name w:val="Accentuation légère1"/>
    <w:basedOn w:val="DefaultParagraphFont"/>
    <w:uiPriority w:val="19"/>
    <w:qFormat/>
    <w:rPr>
      <w:i/>
      <w:iCs/>
      <w:color w:val="7F7F7F" w:themeColor="text1" w:themeTint="80"/>
    </w:rPr>
  </w:style>
  <w:style w:type="character" w:customStyle="1" w:styleId="Accentuationintense1">
    <w:name w:val="Accentuation intense1"/>
    <w:basedOn w:val="DefaultParagraphFont"/>
    <w:uiPriority w:val="21"/>
    <w:qFormat/>
    <w:rPr>
      <w:b/>
      <w:bCs/>
      <w:i/>
      <w:iCs/>
      <w:color w:val="4F81BD" w:themeColor="accent1"/>
    </w:rPr>
  </w:style>
  <w:style w:type="character" w:customStyle="1" w:styleId="Rfrencelgre1">
    <w:name w:val="Référence légère1"/>
    <w:basedOn w:val="DefaultParagraphFont"/>
    <w:uiPriority w:val="31"/>
    <w:qFormat/>
    <w:rPr>
      <w:smallCaps/>
      <w:color w:val="C0504D" w:themeColor="accent2"/>
      <w:u w:val="single"/>
    </w:rPr>
  </w:style>
  <w:style w:type="character" w:customStyle="1" w:styleId="Rfrenceintense1">
    <w:name w:val="Référence intense1"/>
    <w:basedOn w:val="DefaultParagraphFont"/>
    <w:uiPriority w:val="32"/>
    <w:qFormat/>
    <w:rPr>
      <w:b/>
      <w:bCs/>
      <w:smallCaps/>
      <w:color w:val="C0504D" w:themeColor="accent2"/>
      <w:spacing w:val="5"/>
      <w:u w:val="single"/>
    </w:rPr>
  </w:style>
  <w:style w:type="character" w:customStyle="1" w:styleId="Titredulivre1">
    <w:name w:val="Titre du livre1"/>
    <w:basedOn w:val="DefaultParagraphFont"/>
    <w:uiPriority w:val="33"/>
    <w:qFormat/>
    <w:rPr>
      <w:b/>
      <w:bCs/>
      <w:smallCaps/>
      <w:spacing w:val="5"/>
    </w:rPr>
  </w:style>
  <w:style w:type="paragraph" w:customStyle="1" w:styleId="En-ttedetabledesmatires1">
    <w:name w:val="En-tête de table des matières1"/>
    <w:basedOn w:val="Heading1"/>
    <w:next w:val="Normal"/>
    <w:uiPriority w:val="39"/>
    <w:semiHidden/>
    <w:unhideWhenUsed/>
    <w:qFormat/>
    <w:pPr>
      <w:outlineLvl w:val="9"/>
    </w:p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Pr>
      <w:color w:val="365F91" w:themeColor="accent1" w:themeShade="BF"/>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Pr>
      <w:color w:val="943634" w:themeColor="accent2" w:themeShade="BF"/>
    </w:rPr>
    <w:tblPr>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Pr>
      <w:color w:val="76923C" w:themeColor="accent3" w:themeShade="BF"/>
    </w:rPr>
    <w:tblPr>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Pr>
      <w:color w:val="5F497A" w:themeColor="accent4" w:themeShade="BF"/>
    </w:rPr>
    <w:tblPr>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Pr>
      <w:color w:val="31849B" w:themeColor="accent5" w:themeShade="BF"/>
    </w:rPr>
    <w:tblPr>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Pr>
      <w:color w:val="E36C0A" w:themeColor="accent6" w:themeShade="BF"/>
    </w:rPr>
    <w:tblPr>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tblPr>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tblPr>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tblPr>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tblPr>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styleId="LightGrid-Accent1">
    <w:name w:val="Light Grid Accent 1"/>
    <w:basedOn w:val="TableNormal"/>
    <w:uiPriority w:val="62"/>
    <w:tblP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table" w:styleId="LightGrid-Accent2">
    <w:name w:val="Light Grid Accent 2"/>
    <w:basedOn w:val="TableNormal"/>
    <w:uiPriority w:val="62"/>
    <w:tblPr>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tcPr>
    </w:tblStylePr>
  </w:style>
  <w:style w:type="table" w:styleId="LightGrid-Accent3">
    <w:name w:val="Light Grid Accent 3"/>
    <w:basedOn w:val="TableNormal"/>
    <w:uiPriority w:val="62"/>
    <w:tblP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tcPr>
    </w:tblStylePr>
  </w:style>
  <w:style w:type="table" w:styleId="LightGrid-Accent4">
    <w:name w:val="Light Grid Accent 4"/>
    <w:basedOn w:val="TableNormal"/>
    <w:uiPriority w:val="62"/>
    <w:tblPr>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tcPr>
    </w:tblStylePr>
  </w:style>
  <w:style w:type="table" w:styleId="LightGrid-Accent5">
    <w:name w:val="Light Grid Accent 5"/>
    <w:basedOn w:val="TableNormal"/>
    <w:uiPriority w:val="62"/>
    <w:tblP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tcPr>
    </w:tblStylePr>
  </w:style>
  <w:style w:type="table" w:styleId="LightGrid-Accent6">
    <w:name w:val="Light Grid Accent 6"/>
    <w:basedOn w:val="TableNormal"/>
    <w:uiPriority w:val="62"/>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tcPr>
    </w:tblStylePr>
  </w:style>
  <w:style w:type="table" w:styleId="MediumShading1">
    <w:name w:val="Medium Shading 1"/>
    <w:basedOn w:val="TableNormal"/>
    <w:uiPriority w:val="63"/>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tblPr>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tblPr>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tblPr>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tblPr>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tblPr>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tblPr>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Pr>
      <w:color w:val="000000" w:themeColor="text1"/>
    </w:rPr>
    <w:tblPr>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Pr>
      <w:color w:val="000000" w:themeColor="text1"/>
    </w:rPr>
    <w:tblPr>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Pr>
      <w:color w:val="000000" w:themeColor="text1"/>
    </w:rPr>
    <w:tblPr>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Pr>
      <w:color w:val="000000" w:themeColor="text1"/>
    </w:rPr>
    <w:tblPr>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Pr>
      <w:color w:val="000000" w:themeColor="text1"/>
    </w:rPr>
    <w:tblPr>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Pr>
      <w:color w:val="000000" w:themeColor="text1"/>
    </w:rPr>
    <w:tblPr>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Pr>
      <w:color w:val="000000" w:themeColor="text1"/>
    </w:rPr>
    <w:tblPr>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Pr>
      <w:rFonts w:asciiTheme="majorHAnsi" w:eastAsiaTheme="majorEastAsia" w:hAnsiTheme="majorHAnsi" w:cstheme="majorBidi"/>
      <w:color w:val="000000" w:themeColor="text1"/>
    </w:rPr>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Pr>
      <w:rFonts w:asciiTheme="majorHAnsi" w:eastAsiaTheme="majorEastAsia" w:hAnsiTheme="majorHAnsi" w:cstheme="majorBidi"/>
      <w:color w:val="000000" w:themeColor="text1"/>
    </w:rPr>
    <w:tblPr>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Pr>
      <w:rFonts w:asciiTheme="majorHAnsi" w:eastAsiaTheme="majorEastAsia" w:hAnsiTheme="majorHAnsi" w:cstheme="majorBidi"/>
      <w:color w:val="000000" w:themeColor="text1"/>
    </w:rPr>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Pr>
      <w:rFonts w:asciiTheme="majorHAnsi" w:eastAsiaTheme="majorEastAsia" w:hAnsiTheme="majorHAnsi" w:cstheme="majorBidi"/>
      <w:color w:val="000000" w:themeColor="text1"/>
    </w:rPr>
    <w:tblPr>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Pr>
      <w:rFonts w:asciiTheme="majorHAnsi" w:eastAsiaTheme="majorEastAsia" w:hAnsiTheme="majorHAnsi" w:cstheme="majorBidi"/>
      <w:color w:val="000000" w:themeColor="text1"/>
    </w:rPr>
    <w:tblPr>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Pr>
      <w:rFonts w:asciiTheme="majorHAnsi" w:eastAsiaTheme="majorEastAsia" w:hAnsiTheme="majorHAnsi" w:cstheme="majorBidi"/>
      <w:color w:val="000000" w:themeColor="text1"/>
    </w:rPr>
    <w:tblPr>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tblPr>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tblPr>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tblPr>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tblPr>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tblPr>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tblPr>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auto"/>
          <w:insideV w:val="single" w:sz="6" w:space="0" w:color="auto"/>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Pr>
      <w:rFonts w:asciiTheme="majorHAnsi" w:eastAsiaTheme="majorEastAsia" w:hAnsiTheme="majorHAnsi" w:cstheme="majorBidi"/>
      <w:color w:val="000000" w:themeColor="text1"/>
    </w:rPr>
    <w:tblP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auto"/>
          <w:insideV w:val="single" w:sz="6" w:space="0" w:color="auto"/>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Pr>
      <w:rFonts w:asciiTheme="majorHAnsi" w:eastAsiaTheme="majorEastAsia" w:hAnsiTheme="majorHAnsi" w:cstheme="majorBidi"/>
      <w:color w:val="000000" w:themeColor="text1"/>
    </w:rPr>
    <w:tblPr>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auto"/>
          <w:insideV w:val="single" w:sz="6" w:space="0" w:color="auto"/>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Pr>
      <w:rFonts w:asciiTheme="majorHAnsi" w:eastAsiaTheme="majorEastAsia" w:hAnsiTheme="majorHAnsi" w:cstheme="majorBidi"/>
      <w:color w:val="000000" w:themeColor="text1"/>
    </w:rPr>
    <w:tblP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auto"/>
          <w:insideV w:val="single" w:sz="6" w:space="0" w:color="auto"/>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Pr>
      <w:rFonts w:asciiTheme="majorHAnsi" w:eastAsiaTheme="majorEastAsia" w:hAnsiTheme="majorHAnsi" w:cstheme="majorBidi"/>
      <w:color w:val="000000" w:themeColor="text1"/>
    </w:rPr>
    <w:tblPr>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auto"/>
          <w:insideV w:val="single" w:sz="6" w:space="0" w:color="auto"/>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Pr>
      <w:rFonts w:asciiTheme="majorHAnsi" w:eastAsiaTheme="majorEastAsia" w:hAnsiTheme="majorHAnsi" w:cstheme="majorBidi"/>
      <w:color w:val="000000" w:themeColor="text1"/>
    </w:rPr>
    <w:tblP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auto"/>
          <w:insideV w:val="single" w:sz="6" w:space="0" w:color="auto"/>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Pr>
      <w:rFonts w:asciiTheme="majorHAnsi" w:eastAsiaTheme="majorEastAsia" w:hAnsiTheme="majorHAnsi" w:cstheme="majorBidi"/>
      <w:color w:val="000000" w:themeColor="text1"/>
    </w:rPr>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auto"/>
          <w:insideV w:val="single" w:sz="6" w:space="0" w:color="auto"/>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808080" w:themeFill="text1" w:themeFillTint="7F"/>
      </w:tcPr>
    </w:tblStylePr>
  </w:style>
  <w:style w:type="table" w:styleId="MediumGrid3-Accent1">
    <w:name w:val="Medium Grid 3 Accent 1"/>
    <w:basedOn w:val="TableNormal"/>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7BFDE" w:themeFill="accent1" w:themeFillTint="7F"/>
      </w:tcPr>
    </w:tblStylePr>
  </w:style>
  <w:style w:type="table" w:styleId="MediumGrid3-Accent2">
    <w:name w:val="Medium Grid 3 Accent 2"/>
    <w:basedOn w:val="TableNormal"/>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DFA7A6" w:themeFill="accent2" w:themeFillTint="7F"/>
      </w:tcPr>
    </w:tblStylePr>
  </w:style>
  <w:style w:type="table" w:styleId="MediumGrid3-Accent3">
    <w:name w:val="Medium Grid 3 Accent 3"/>
    <w:basedOn w:val="TableNormal"/>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CDDDAC" w:themeFill="accent3" w:themeFillTint="7F"/>
      </w:tcPr>
    </w:tblStylePr>
  </w:style>
  <w:style w:type="table" w:styleId="MediumGrid3-Accent4">
    <w:name w:val="Medium Grid 3 Accent 4"/>
    <w:basedOn w:val="TableNormal"/>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BFB1D0" w:themeFill="accent4" w:themeFillTint="7F"/>
      </w:tcPr>
    </w:tblStylePr>
  </w:style>
  <w:style w:type="table" w:styleId="MediumGrid3-Accent5">
    <w:name w:val="Medium Grid 3 Accent 5"/>
    <w:basedOn w:val="TableNormal"/>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5D5E2" w:themeFill="accent5" w:themeFillTint="7F"/>
      </w:tcPr>
    </w:tblStylePr>
  </w:style>
  <w:style w:type="table" w:styleId="MediumGrid3-Accent6">
    <w:name w:val="Medium Grid 3 Accent 6"/>
    <w:basedOn w:val="TableNormal"/>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BCAA2" w:themeFill="accent6" w:themeFillTint="7F"/>
      </w:tcPr>
    </w:tblStylePr>
  </w:style>
  <w:style w:type="table" w:styleId="DarkList">
    <w:name w:val="Dark List"/>
    <w:basedOn w:val="TableNormal"/>
    <w:uiPriority w:val="70"/>
    <w:rPr>
      <w:color w:val="FFFFFF" w:themeColor="background1"/>
    </w:rP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Pr>
      <w:color w:val="FFFFFF" w:themeColor="background1"/>
    </w:rP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Pr>
      <w:color w:val="FFFFFF" w:themeColor="background1"/>
    </w:rP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Pr>
      <w:color w:val="FFFFFF" w:themeColor="background1"/>
    </w:rP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Pr>
      <w:color w:val="FFFFFF" w:themeColor="background1"/>
    </w:rP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Pr>
      <w:color w:val="FFFFFF" w:themeColor="background1"/>
    </w:rP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Pr>
      <w:color w:val="FFFFFF" w:themeColor="background1"/>
    </w:rP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Pr>
      <w:color w:val="000000" w:themeColor="text1"/>
    </w:rPr>
    <w:tblPr>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Pr>
      <w:color w:val="000000" w:themeColor="text1"/>
    </w:rPr>
    <w:tblPr>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Pr>
      <w:color w:val="000000" w:themeColor="text1"/>
    </w:rPr>
    <w:tblPr>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Pr>
      <w:color w:val="000000" w:themeColor="text1"/>
    </w:rPr>
    <w:tblPr>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Pr>
      <w:color w:val="000000" w:themeColor="text1"/>
    </w:rPr>
    <w:tblPr>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Pr>
      <w:color w:val="000000" w:themeColor="text1"/>
    </w:rPr>
    <w:tblPr>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Pr>
      <w:color w:val="000000" w:themeColor="text1"/>
    </w:rPr>
    <w:tblPr>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Pr>
      <w:color w:val="000000" w:themeColor="text1"/>
    </w:rP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Pr>
      <w:color w:val="000000" w:themeColor="text1"/>
    </w:rP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Pr>
      <w:color w:val="000000" w:themeColor="text1"/>
    </w:rP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Pr>
      <w:color w:val="000000" w:themeColor="text1"/>
    </w:rP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Pr>
      <w:color w:val="000000" w:themeColor="text1"/>
    </w:rP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Pr>
      <w:color w:val="000000" w:themeColor="text1"/>
    </w:rP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Pr>
      <w:color w:val="000000" w:themeColor="text1"/>
    </w:rP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Pr>
      <w:color w:val="000000" w:themeColor="text1"/>
    </w:rPr>
    <w:tblPr>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Pr>
      <w:color w:val="000000" w:themeColor="text1"/>
    </w:rPr>
    <w:tblPr>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Pr>
      <w:color w:val="000000" w:themeColor="text1"/>
    </w:rPr>
    <w:tblPr>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Pr>
      <w:color w:val="000000" w:themeColor="text1"/>
    </w:rPr>
    <w:tblPr>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Pr>
      <w:color w:val="000000" w:themeColor="text1"/>
    </w:rPr>
    <w:tblPr>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Pr>
      <w:color w:val="000000" w:themeColor="text1"/>
    </w:rPr>
    <w:tblPr>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Pr>
      <w:color w:val="000000" w:themeColor="text1"/>
    </w:rPr>
    <w:tblPr>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7E5327"/>
    <w:rPr>
      <w:color w:val="0000FF" w:themeColor="hyperlink"/>
      <w:u w:val="single"/>
    </w:rPr>
  </w:style>
  <w:style w:type="character" w:styleId="UnresolvedMention">
    <w:name w:val="Unresolved Mention"/>
    <w:basedOn w:val="DefaultParagraphFont"/>
    <w:uiPriority w:val="99"/>
    <w:semiHidden/>
    <w:unhideWhenUsed/>
    <w:rsid w:val="007E53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442B1B-11F9-46B1-804A-89DD1AC40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1412</Words>
  <Characters>8053</Characters>
  <Application>Microsoft Office Word</Application>
  <DocSecurity>0</DocSecurity>
  <Lines>67</Lines>
  <Paragraphs>18</Paragraphs>
  <ScaleCrop>false</ScaleCrop>
  <Company/>
  <LinksUpToDate>false</LinksUpToDate>
  <CharactersWithSpaces>9447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SDI 1084</cp:lastModifiedBy>
  <cp:revision>8</cp:revision>
  <dcterms:created xsi:type="dcterms:W3CDTF">2025-10-10T16:11:00Z</dcterms:created>
  <dcterms:modified xsi:type="dcterms:W3CDTF">2025-10-11T09:31:00Z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1036-12.2.0.21931</vt:lpwstr>
  </property>
  <property fmtid="{D5CDD505-2E9C-101B-9397-08002B2CF9AE}" pid="3" name="ICV">
    <vt:lpwstr>06FE072D67FE4A0C82CBDF0C8B51A7E8_13</vt:lpwstr>
  </property>
</Properties>
</file>