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D66A9" w14:textId="7BBE193C" w:rsidR="00C537C3" w:rsidRDefault="008B5688">
      <w:pPr>
        <w:spacing w:line="240" w:lineRule="auto"/>
        <w:jc w:val="both"/>
        <w:rPr>
          <w:rFonts w:ascii="Arial Bold" w:eastAsia="-webkit-standard" w:hAnsi="Arial Bold" w:cs="Arial Bold"/>
          <w:b/>
          <w:bCs/>
          <w:color w:val="000000"/>
          <w:kern w:val="0"/>
          <w:sz w:val="36"/>
          <w:szCs w:val="36"/>
          <w:lang w:val="en-US" w:eastAsia="zh-CN" w:bidi="ar"/>
        </w:rPr>
      </w:pPr>
      <w:r>
        <w:rPr>
          <w:rFonts w:ascii="Arial Bold" w:eastAsia="-webkit-standard" w:hAnsi="Arial Bold" w:cs="Arial Bold"/>
          <w:b/>
          <w:bCs/>
          <w:color w:val="000000"/>
          <w:kern w:val="0"/>
          <w:sz w:val="36"/>
          <w:szCs w:val="36"/>
          <w:lang w:val="en-US" w:eastAsia="zh-CN" w:bidi="ar"/>
        </w:rPr>
        <w:t>Seasonal Variation in Physiological and Biochemical Responses of Guava</w:t>
      </w:r>
      <w:r w:rsidR="004D29B6">
        <w:rPr>
          <w:rFonts w:ascii="Arial Bold" w:eastAsia="-webkit-standard" w:hAnsi="Arial Bold" w:cs="Arial Bold"/>
          <w:b/>
          <w:bCs/>
          <w:color w:val="000000"/>
          <w:kern w:val="0"/>
          <w:sz w:val="36"/>
          <w:szCs w:val="36"/>
          <w:lang w:val="en-US" w:eastAsia="zh-CN" w:bidi="ar"/>
        </w:rPr>
        <w:t xml:space="preserve"> </w:t>
      </w:r>
      <w:r>
        <w:rPr>
          <w:rFonts w:ascii="Arial Bold" w:eastAsia="-webkit-standard" w:hAnsi="Arial Bold" w:cs="Arial Bold"/>
          <w:b/>
          <w:bCs/>
          <w:color w:val="000000"/>
          <w:kern w:val="0"/>
          <w:sz w:val="36"/>
          <w:szCs w:val="36"/>
          <w:lang w:val="en-US" w:eastAsia="zh-CN" w:bidi="ar"/>
        </w:rPr>
        <w:t>Grafts Across Propagation Environments</w:t>
      </w:r>
    </w:p>
    <w:p w14:paraId="6C615668" w14:textId="77777777" w:rsidR="00C537C3" w:rsidRDefault="008B5688">
      <w:pPr>
        <w:spacing w:line="240" w:lineRule="auto"/>
        <w:jc w:val="both"/>
        <w:rPr>
          <w:rFonts w:ascii="Arial Bold" w:eastAsia="-webkit-standard" w:hAnsi="Arial Bold" w:cs="Arial Bold"/>
          <w:b/>
          <w:bCs/>
          <w:color w:val="000000"/>
          <w:kern w:val="0"/>
          <w:sz w:val="20"/>
          <w:szCs w:val="20"/>
          <w:lang w:val="en-US" w:eastAsia="zh-CN" w:bidi="ar"/>
        </w:rPr>
      </w:pPr>
      <w:r>
        <w:rPr>
          <w:rFonts w:ascii="Arial" w:hAnsi="Arial" w:cs="Arial"/>
          <w:noProof/>
        </w:rPr>
        <mc:AlternateContent>
          <mc:Choice Requires="wps">
            <w:drawing>
              <wp:inline distT="0" distB="0" distL="114300" distR="114300" wp14:anchorId="3A399D34" wp14:editId="4F509CB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6D3CBE7A" w14:textId="77777777" w:rsidR="00C537C3" w:rsidRDefault="00C537C3">
      <w:pPr>
        <w:spacing w:after="0" w:line="240" w:lineRule="auto"/>
        <w:jc w:val="both"/>
        <w:rPr>
          <w:rFonts w:ascii="Arial Regular" w:hAnsi="Arial Regular" w:cs="Arial Regular"/>
          <w:b/>
          <w:bCs/>
          <w:i/>
          <w:iCs/>
          <w:sz w:val="20"/>
          <w:szCs w:val="20"/>
        </w:rPr>
      </w:pPr>
    </w:p>
    <w:p w14:paraId="4E644156" w14:textId="77777777" w:rsidR="00C537C3" w:rsidRDefault="008B5688">
      <w:pPr>
        <w:spacing w:after="0" w:line="240" w:lineRule="auto"/>
        <w:jc w:val="both"/>
        <w:rPr>
          <w:rFonts w:ascii="Arial Bold" w:hAnsi="Arial Bold" w:cs="Arial Bold"/>
          <w:b/>
          <w:bCs/>
          <w:sz w:val="21"/>
          <w:szCs w:val="21"/>
        </w:rPr>
      </w:pPr>
      <w:r>
        <w:rPr>
          <w:rFonts w:ascii="Arial Bold" w:hAnsi="Arial Bold" w:cs="Arial Bold"/>
          <w:b/>
          <w:bCs/>
          <w:sz w:val="21"/>
          <w:szCs w:val="21"/>
        </w:rPr>
        <w:t>Abstract</w:t>
      </w:r>
    </w:p>
    <w:p w14:paraId="772B532F" w14:textId="00D37339"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Guava (</w:t>
      </w:r>
      <w:r w:rsidRPr="004D29B6">
        <w:rPr>
          <w:rStyle w:val="Emphasis"/>
          <w:rFonts w:ascii="Arial Regular" w:hAnsi="Arial Regular" w:cs="Arial Regular"/>
          <w:color w:val="000000"/>
          <w:sz w:val="20"/>
          <w:szCs w:val="20"/>
        </w:rPr>
        <w:t>Psidium guajava</w:t>
      </w:r>
      <w:r>
        <w:rPr>
          <w:rFonts w:ascii="Arial Regular" w:hAnsi="Arial Regular" w:cs="Arial Regular"/>
          <w:color w:val="000000"/>
          <w:sz w:val="20"/>
          <w:szCs w:val="20"/>
        </w:rPr>
        <w:t xml:space="preserve"> L.) is an important horticultural crop in which grafting is widely used to maintain </w:t>
      </w:r>
      <w:r w:rsidR="004D29B6">
        <w:rPr>
          <w:rFonts w:ascii="Arial Regular" w:hAnsi="Arial Regular" w:cs="Arial Regular"/>
          <w:color w:val="000000"/>
          <w:sz w:val="20"/>
          <w:szCs w:val="20"/>
        </w:rPr>
        <w:t xml:space="preserve">the </w:t>
      </w:r>
      <w:r>
        <w:rPr>
          <w:rFonts w:ascii="Arial Regular" w:hAnsi="Arial Regular" w:cs="Arial Regular"/>
          <w:color w:val="000000"/>
          <w:sz w:val="20"/>
          <w:szCs w:val="20"/>
        </w:rPr>
        <w:t>genetic purity</w:t>
      </w:r>
      <w:r w:rsidR="004D29B6">
        <w:rPr>
          <w:rFonts w:ascii="Arial Regular" w:hAnsi="Arial Regular" w:cs="Arial Regular"/>
          <w:color w:val="000000"/>
          <w:sz w:val="20"/>
          <w:szCs w:val="20"/>
        </w:rPr>
        <w:t xml:space="preserve">, </w:t>
      </w:r>
      <w:r>
        <w:rPr>
          <w:rFonts w:ascii="Arial Regular" w:hAnsi="Arial Regular" w:cs="Arial Regular"/>
          <w:color w:val="000000"/>
          <w:sz w:val="20"/>
          <w:szCs w:val="20"/>
        </w:rPr>
        <w:t>enhance early growth</w:t>
      </w:r>
      <w:r w:rsidR="004D29B6">
        <w:rPr>
          <w:rFonts w:ascii="Arial Regular" w:hAnsi="Arial Regular" w:cs="Arial Regular"/>
          <w:color w:val="000000"/>
          <w:sz w:val="20"/>
          <w:szCs w:val="20"/>
        </w:rPr>
        <w:t xml:space="preserve"> flowering and fruiting</w:t>
      </w:r>
      <w:r>
        <w:rPr>
          <w:rFonts w:ascii="Arial Regular" w:hAnsi="Arial Regular" w:cs="Arial Regular"/>
          <w:color w:val="000000"/>
          <w:sz w:val="20"/>
          <w:szCs w:val="20"/>
        </w:rPr>
        <w:t>. This study evaluated the effects of four grafting methods</w:t>
      </w:r>
      <w:r>
        <w:rPr>
          <w:rFonts w:ascii="Arial Regular" w:hAnsi="Arial Regular" w:cs="Arial Regular"/>
          <w:color w:val="000000"/>
          <w:sz w:val="20"/>
          <w:szCs w:val="20"/>
          <w:lang w:val="en-US"/>
        </w:rPr>
        <w:t xml:space="preserve"> such as </w:t>
      </w:r>
      <w:r w:rsidR="004D29B6">
        <w:rPr>
          <w:rFonts w:ascii="Arial Regular" w:hAnsi="Arial Regular" w:cs="Arial Regular"/>
          <w:color w:val="000000"/>
          <w:sz w:val="20"/>
          <w:szCs w:val="20"/>
        </w:rPr>
        <w:t>wedge,</w:t>
      </w:r>
      <w:r>
        <w:rPr>
          <w:rFonts w:ascii="Arial Regular" w:hAnsi="Arial Regular" w:cs="Arial Regular"/>
          <w:color w:val="000000"/>
          <w:sz w:val="20"/>
          <w:szCs w:val="20"/>
        </w:rPr>
        <w:t xml:space="preserve"> side, softwood, and saddle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under </w:t>
      </w:r>
      <w:r>
        <w:rPr>
          <w:rFonts w:ascii="Arial Regular" w:hAnsi="Arial Regular" w:cs="Arial Regular"/>
          <w:color w:val="000000"/>
          <w:sz w:val="20"/>
          <w:szCs w:val="20"/>
        </w:rPr>
        <w:t xml:space="preserve">three propagation environments (open field, mist chamber, and shade net house) during two seasons (October and February) on the physiological and biochemical responses of guava grafts. A Factorial Completely Randomized Design was adopted, and observations </w:t>
      </w:r>
      <w:r>
        <w:rPr>
          <w:rFonts w:ascii="Arial Regular" w:hAnsi="Arial Regular" w:cs="Arial Regular"/>
          <w:color w:val="000000"/>
          <w:sz w:val="20"/>
          <w:szCs w:val="20"/>
        </w:rPr>
        <w:t>were recorded 90 days after grafting.</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Significant differences were observed among grafting methods and environments. Wedge grafting under mist chamber conditions in February consistently produced the highest chlorophyll content (30.34 SPAD), photosynthetic</w:t>
      </w:r>
      <w:r>
        <w:rPr>
          <w:rFonts w:ascii="Arial Regular" w:hAnsi="Arial Regular" w:cs="Arial Regular"/>
          <w:color w:val="000000"/>
          <w:sz w:val="20"/>
          <w:szCs w:val="20"/>
        </w:rPr>
        <w:t xml:space="preserve"> rate (18.58 </w:t>
      </w:r>
      <w:proofErr w:type="spellStart"/>
      <w:r>
        <w:rPr>
          <w:rFonts w:ascii="Arial Regular" w:hAnsi="Arial Regular" w:cs="Arial Regular"/>
          <w:color w:val="000000"/>
          <w:sz w:val="20"/>
          <w:szCs w:val="20"/>
        </w:rPr>
        <w:t>μmol</w:t>
      </w:r>
      <w:proofErr w:type="spellEnd"/>
      <w:r>
        <w:rPr>
          <w:rFonts w:ascii="Arial Regular" w:hAnsi="Arial Regular" w:cs="Arial Regular"/>
          <w:color w:val="000000"/>
          <w:sz w:val="20"/>
          <w:szCs w:val="20"/>
        </w:rPr>
        <w:t xml:space="preserve"> CO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m</w:t>
      </w:r>
      <w:r>
        <w:rPr>
          <w:rFonts w:ascii="Arial Regular" w:hAnsi="Arial Regular" w:cs="Arial Regular"/>
          <w:color w:val="000000"/>
          <w:sz w:val="20"/>
          <w:szCs w:val="20"/>
          <w:vertAlign w:val="superscript"/>
          <w:lang w:val="en-US"/>
        </w:rPr>
        <w:t>2</w:t>
      </w:r>
      <w:r>
        <w:rPr>
          <w:rFonts w:ascii="Arial Regular" w:hAnsi="Arial Regular" w:cs="Arial Regular"/>
          <w:color w:val="000000"/>
          <w:sz w:val="20"/>
          <w:szCs w:val="20"/>
          <w:lang w:val="en-US"/>
        </w:rPr>
        <w:t>/</w:t>
      </w:r>
      <w:r>
        <w:rPr>
          <w:rFonts w:ascii="Arial Regular" w:hAnsi="Arial Regular" w:cs="Arial Regular"/>
          <w:color w:val="000000"/>
          <w:sz w:val="20"/>
          <w:szCs w:val="20"/>
        </w:rPr>
        <w:t>s), and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nitrate reductase activity (76.58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N</w:t>
      </w:r>
      <w:r>
        <w:rPr>
          <w:rFonts w:ascii="Arial Regular" w:hAnsi="Arial Regular" w:cs="Arial Regular"/>
          <w:color w:val="000000"/>
          <w:sz w:val="20"/>
          <w:szCs w:val="20"/>
          <w:lang w:val="en-US"/>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h), indicating superior graft compatibility and metabolic efficiency. Saddle grafting under open conditions recorded the highest phenol content (4.55mg</w:t>
      </w:r>
      <w:r>
        <w:rPr>
          <w:rFonts w:ascii="Arial Regular" w:hAnsi="Arial Regular" w:cs="Arial Regular"/>
          <w:color w:val="000000"/>
          <w:sz w:val="20"/>
          <w:szCs w:val="20"/>
          <w:lang w:val="en-US"/>
        </w:rPr>
        <w:t>/</w:t>
      </w:r>
      <w:r>
        <w:rPr>
          <w:rFonts w:ascii="Arial Regular" w:hAnsi="Arial Regular" w:cs="Arial Regular"/>
          <w:color w:val="000000"/>
          <w:sz w:val="20"/>
          <w:szCs w:val="20"/>
        </w:rPr>
        <w:t>g), reflecting increased stres</w:t>
      </w:r>
      <w:r>
        <w:rPr>
          <w:rFonts w:ascii="Arial Regular" w:hAnsi="Arial Regular" w:cs="Arial Regular"/>
          <w:color w:val="000000"/>
          <w:sz w:val="20"/>
          <w:szCs w:val="20"/>
        </w:rPr>
        <w:t>s and reduced graft success. Antioxidant enzymes such as peroxidase and catalase were also higher in February, suggesting improved lignification and ROS detoxification.</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Overall, wedge grafting in February under mist chamber conditions proved most effective</w:t>
      </w:r>
      <w:r>
        <w:rPr>
          <w:rFonts w:ascii="Arial Regular" w:hAnsi="Arial Regular" w:cs="Arial Regular"/>
          <w:color w:val="000000"/>
          <w:sz w:val="20"/>
          <w:szCs w:val="20"/>
        </w:rPr>
        <w:t xml:space="preserve"> for achieving robust graft establishment and </w:t>
      </w:r>
      <w:r w:rsidR="004D29B6">
        <w:rPr>
          <w:rFonts w:ascii="Arial Regular" w:hAnsi="Arial Regular" w:cs="Arial Regular"/>
          <w:color w:val="000000"/>
          <w:sz w:val="20"/>
          <w:szCs w:val="20"/>
        </w:rPr>
        <w:t>favourable</w:t>
      </w:r>
      <w:r>
        <w:rPr>
          <w:rFonts w:ascii="Arial Regular" w:hAnsi="Arial Regular" w:cs="Arial Regular"/>
          <w:color w:val="000000"/>
          <w:sz w:val="20"/>
          <w:szCs w:val="20"/>
        </w:rPr>
        <w:t xml:space="preserve"> physiological and biochemical performance in guava.</w:t>
      </w:r>
    </w:p>
    <w:p w14:paraId="54233533" w14:textId="3008C873" w:rsidR="00C537C3" w:rsidRDefault="008B5688">
      <w:pPr>
        <w:pStyle w:val="NormalWeb"/>
        <w:spacing w:beforeAutospacing="1" w:line="240" w:lineRule="auto"/>
        <w:jc w:val="both"/>
        <w:rPr>
          <w:rFonts w:ascii="Arial Regular" w:hAnsi="Arial Regular" w:cs="Arial Regular"/>
          <w:sz w:val="20"/>
          <w:szCs w:val="20"/>
        </w:rPr>
      </w:pPr>
      <w:r>
        <w:rPr>
          <w:rFonts w:ascii="Arial Bold" w:hAnsi="Arial Bold" w:cs="Arial Bold"/>
          <w:b/>
          <w:bCs/>
          <w:sz w:val="20"/>
          <w:szCs w:val="20"/>
          <w:lang w:val="en-US"/>
        </w:rPr>
        <w:t xml:space="preserve">Keywords: </w:t>
      </w:r>
      <w:r>
        <w:rPr>
          <w:rStyle w:val="Strong"/>
          <w:rFonts w:ascii="Arial Regular" w:hAnsi="Arial Regular" w:cs="Arial Regular"/>
          <w:b w:val="0"/>
          <w:bCs w:val="0"/>
          <w:color w:val="000000"/>
          <w:sz w:val="20"/>
          <w:szCs w:val="20"/>
        </w:rPr>
        <w:t>Graft compatibility</w:t>
      </w:r>
      <w:r>
        <w:rPr>
          <w:rStyle w:val="Strong"/>
          <w:rFonts w:ascii="Arial Regular" w:hAnsi="Arial Regular" w:cs="Arial Regular"/>
          <w:b w:val="0"/>
          <w:bCs w:val="0"/>
          <w:color w:val="000000"/>
          <w:sz w:val="20"/>
          <w:szCs w:val="20"/>
          <w:lang w:val="en-US"/>
        </w:rPr>
        <w:t xml:space="preserve">, </w:t>
      </w:r>
      <w:r>
        <w:rPr>
          <w:rStyle w:val="Strong"/>
          <w:rFonts w:ascii="Arial Regular" w:hAnsi="Arial Regular" w:cs="Arial Regular"/>
          <w:b w:val="0"/>
          <w:bCs w:val="0"/>
          <w:color w:val="000000"/>
          <w:sz w:val="20"/>
          <w:szCs w:val="20"/>
        </w:rPr>
        <w:t>Physiological responses</w:t>
      </w:r>
      <w:r>
        <w:rPr>
          <w:rStyle w:val="Strong"/>
          <w:rFonts w:ascii="Arial Regular" w:hAnsi="Arial Regular" w:cs="Arial Regular"/>
          <w:b w:val="0"/>
          <w:bCs w:val="0"/>
          <w:color w:val="000000"/>
          <w:sz w:val="20"/>
          <w:szCs w:val="20"/>
          <w:lang w:val="en-US"/>
        </w:rPr>
        <w:t xml:space="preserve">, </w:t>
      </w:r>
      <w:r w:rsidR="004D29B6">
        <w:rPr>
          <w:rStyle w:val="Strong"/>
          <w:rFonts w:ascii="Arial Regular" w:hAnsi="Arial Regular" w:cs="Arial Regular"/>
          <w:b w:val="0"/>
          <w:bCs w:val="0"/>
          <w:color w:val="000000"/>
          <w:sz w:val="20"/>
          <w:szCs w:val="20"/>
        </w:rPr>
        <w:t>biochemical</w:t>
      </w:r>
      <w:r>
        <w:rPr>
          <w:rStyle w:val="Strong"/>
          <w:rFonts w:ascii="Arial Regular" w:hAnsi="Arial Regular" w:cs="Arial Regular"/>
          <w:b w:val="0"/>
          <w:bCs w:val="0"/>
          <w:color w:val="000000"/>
          <w:sz w:val="20"/>
          <w:szCs w:val="20"/>
        </w:rPr>
        <w:t xml:space="preserve"> parameters</w:t>
      </w:r>
      <w:r>
        <w:rPr>
          <w:rStyle w:val="Strong"/>
          <w:rFonts w:ascii="Arial Regular" w:hAnsi="Arial Regular" w:cs="Arial Regular"/>
          <w:b w:val="0"/>
          <w:bCs w:val="0"/>
          <w:color w:val="000000"/>
          <w:sz w:val="20"/>
          <w:szCs w:val="20"/>
          <w:lang w:val="en-US"/>
        </w:rPr>
        <w:t>, a</w:t>
      </w:r>
      <w:proofErr w:type="spellStart"/>
      <w:r>
        <w:rPr>
          <w:rStyle w:val="Strong"/>
          <w:rFonts w:ascii="Arial Regular" w:hAnsi="Arial Regular" w:cs="Arial Regular"/>
          <w:b w:val="0"/>
          <w:bCs w:val="0"/>
          <w:color w:val="000000"/>
          <w:sz w:val="20"/>
          <w:szCs w:val="20"/>
        </w:rPr>
        <w:t>ntioxidant</w:t>
      </w:r>
      <w:proofErr w:type="spellEnd"/>
      <w:r>
        <w:rPr>
          <w:rStyle w:val="Strong"/>
          <w:rFonts w:ascii="Arial Regular" w:hAnsi="Arial Regular" w:cs="Arial Regular"/>
          <w:b w:val="0"/>
          <w:bCs w:val="0"/>
          <w:color w:val="000000"/>
          <w:sz w:val="20"/>
          <w:szCs w:val="20"/>
        </w:rPr>
        <w:t xml:space="preserve"> enzymes</w:t>
      </w:r>
    </w:p>
    <w:p w14:paraId="65BCBA92" w14:textId="77777777" w:rsidR="00C537C3" w:rsidRDefault="00C537C3">
      <w:pPr>
        <w:spacing w:after="0" w:line="240" w:lineRule="auto"/>
        <w:jc w:val="both"/>
        <w:rPr>
          <w:rFonts w:ascii="Arial Regular" w:hAnsi="Arial Regular" w:cs="Arial Regular"/>
          <w:sz w:val="20"/>
          <w:szCs w:val="20"/>
        </w:rPr>
      </w:pPr>
    </w:p>
    <w:p w14:paraId="144E531A"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Introduction </w:t>
      </w:r>
    </w:p>
    <w:p w14:paraId="1BD6BAAE" w14:textId="37DA0DFD"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Style w:val="Strong"/>
          <w:rFonts w:ascii="Arial Regular" w:hAnsi="Arial Regular" w:cs="Arial Regular"/>
          <w:b w:val="0"/>
          <w:bCs w:val="0"/>
          <w:i/>
          <w:iCs/>
          <w:color w:val="000000"/>
          <w:sz w:val="20"/>
          <w:szCs w:val="20"/>
        </w:rPr>
        <w:t>Psidium guajava</w:t>
      </w:r>
      <w:r>
        <w:rPr>
          <w:rFonts w:ascii="Arial Regular" w:hAnsi="Arial Regular" w:cs="Arial Regular"/>
          <w:color w:val="000000"/>
          <w:sz w:val="20"/>
          <w:szCs w:val="20"/>
        </w:rPr>
        <w:t> Linn. (guava) is</w:t>
      </w:r>
      <w:r>
        <w:rPr>
          <w:rFonts w:ascii="Arial Regular" w:hAnsi="Arial Regular" w:cs="Arial Regular"/>
          <w:color w:val="000000"/>
          <w:sz w:val="20"/>
          <w:szCs w:val="20"/>
        </w:rPr>
        <w:t xml:space="preserve"> a significant medicinal plant recognized for its broad pharmacological potential. Taxonomically, it belongs to the family </w:t>
      </w:r>
      <w:proofErr w:type="spellStart"/>
      <w:r>
        <w:rPr>
          <w:rStyle w:val="Strong"/>
          <w:rFonts w:ascii="Arial Regular" w:hAnsi="Arial Regular" w:cs="Arial Regular"/>
          <w:b w:val="0"/>
          <w:bCs w:val="0"/>
          <w:color w:val="000000"/>
          <w:sz w:val="20"/>
          <w:szCs w:val="20"/>
        </w:rPr>
        <w:t>Myrtaceae</w:t>
      </w:r>
      <w:proofErr w:type="spellEnd"/>
      <w:r>
        <w:rPr>
          <w:rFonts w:ascii="Arial Regular" w:hAnsi="Arial Regular" w:cs="Arial Regular"/>
          <w:color w:val="000000"/>
          <w:sz w:val="20"/>
          <w:szCs w:val="20"/>
        </w:rPr>
        <w:t>, genus </w:t>
      </w:r>
      <w:r>
        <w:rPr>
          <w:rStyle w:val="Strong"/>
          <w:rFonts w:ascii="Arial Regular" w:hAnsi="Arial Regular" w:cs="Arial Regular"/>
          <w:b w:val="0"/>
          <w:bCs w:val="0"/>
          <w:color w:val="000000"/>
          <w:sz w:val="20"/>
          <w:szCs w:val="20"/>
        </w:rPr>
        <w:t>Psidium</w:t>
      </w:r>
      <w:r>
        <w:rPr>
          <w:rFonts w:ascii="Arial Regular" w:hAnsi="Arial Regular" w:cs="Arial Regular"/>
          <w:color w:val="000000"/>
          <w:sz w:val="20"/>
          <w:szCs w:val="20"/>
        </w:rPr>
        <w:t>, and species </w:t>
      </w:r>
      <w:proofErr w:type="spellStart"/>
      <w:r>
        <w:rPr>
          <w:rStyle w:val="Strong"/>
          <w:rFonts w:ascii="Arial Regular" w:hAnsi="Arial Regular" w:cs="Arial Regular"/>
          <w:b w:val="0"/>
          <w:bCs w:val="0"/>
          <w:color w:val="000000"/>
          <w:sz w:val="20"/>
          <w:szCs w:val="20"/>
        </w:rPr>
        <w:t>guajava</w:t>
      </w:r>
      <w:proofErr w:type="spellEnd"/>
      <w:r>
        <w:rPr>
          <w:rFonts w:ascii="Arial Regular" w:hAnsi="Arial Regular" w:cs="Arial Regular"/>
          <w:color w:val="000000"/>
          <w:sz w:val="20"/>
          <w:szCs w:val="20"/>
        </w:rPr>
        <w:t>. Guava is valued as a traditional and versatile crop due to its diverse medicinal and n</w:t>
      </w:r>
      <w:r>
        <w:rPr>
          <w:rFonts w:ascii="Arial Regular" w:hAnsi="Arial Regular" w:cs="Arial Regular"/>
          <w:color w:val="000000"/>
          <w:sz w:val="20"/>
          <w:szCs w:val="20"/>
        </w:rPr>
        <w:t>utritional attributes and includes several minor and underutilized types with considerable economic relevance in agriculture. It is a </w:t>
      </w:r>
      <w:r>
        <w:rPr>
          <w:rStyle w:val="Strong"/>
          <w:rFonts w:ascii="Arial Regular" w:hAnsi="Arial Regular" w:cs="Arial Regular"/>
          <w:b w:val="0"/>
          <w:bCs w:val="0"/>
          <w:color w:val="000000"/>
          <w:sz w:val="20"/>
          <w:szCs w:val="20"/>
        </w:rPr>
        <w:t>climacteric</w:t>
      </w:r>
      <w:r>
        <w:rPr>
          <w:rFonts w:ascii="Arial Regular" w:hAnsi="Arial Regular" w:cs="Arial Regular"/>
          <w:color w:val="000000"/>
          <w:sz w:val="20"/>
          <w:szCs w:val="20"/>
        </w:rPr>
        <w:t> fruit characterized by a high respiration rate, resulting in rapid perishability; its shelf life at room tempe</w:t>
      </w:r>
      <w:r>
        <w:rPr>
          <w:rFonts w:ascii="Arial Regular" w:hAnsi="Arial Regular" w:cs="Arial Regular"/>
          <w:color w:val="000000"/>
          <w:sz w:val="20"/>
          <w:szCs w:val="20"/>
        </w:rPr>
        <w:t>rature typically ranges from </w:t>
      </w:r>
      <w:r>
        <w:rPr>
          <w:rStyle w:val="Strong"/>
          <w:rFonts w:ascii="Arial Regular" w:hAnsi="Arial Regular" w:cs="Arial Regular"/>
          <w:b w:val="0"/>
          <w:bCs w:val="0"/>
          <w:color w:val="000000"/>
          <w:sz w:val="20"/>
          <w:szCs w:val="20"/>
        </w:rPr>
        <w:t>2–3 days</w:t>
      </w:r>
      <w:r>
        <w:rPr>
          <w:rFonts w:ascii="Arial Regular" w:hAnsi="Arial Regular" w:cs="Arial Regular"/>
          <w:color w:val="000000"/>
          <w:sz w:val="20"/>
          <w:szCs w:val="20"/>
        </w:rPr>
        <w:t>.</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The guava tree bears numerous </w:t>
      </w:r>
      <w:proofErr w:type="gramStart"/>
      <w:r>
        <w:rPr>
          <w:rFonts w:ascii="Arial Regular" w:hAnsi="Arial Regular" w:cs="Arial Regular"/>
          <w:color w:val="000000"/>
          <w:sz w:val="20"/>
          <w:szCs w:val="20"/>
        </w:rPr>
        <w:t>round</w:t>
      </w:r>
      <w:proofErr w:type="gramEnd"/>
      <w:r>
        <w:rPr>
          <w:rFonts w:ascii="Arial Regular" w:hAnsi="Arial Regular" w:cs="Arial Regular"/>
          <w:color w:val="000000"/>
          <w:sz w:val="20"/>
          <w:szCs w:val="20"/>
        </w:rPr>
        <w:t>, ovoid, or pear-shaped fruits measuring </w:t>
      </w:r>
      <w:r>
        <w:rPr>
          <w:rStyle w:val="Strong"/>
          <w:rFonts w:ascii="Arial Regular" w:hAnsi="Arial Regular" w:cs="Arial Regular"/>
          <w:b w:val="0"/>
          <w:bCs w:val="0"/>
          <w:color w:val="000000"/>
          <w:sz w:val="20"/>
          <w:szCs w:val="20"/>
        </w:rPr>
        <w:t>5–15 cm</w:t>
      </w:r>
      <w:r>
        <w:rPr>
          <w:rFonts w:ascii="Arial Regular" w:hAnsi="Arial Regular" w:cs="Arial Regular"/>
          <w:color w:val="000000"/>
          <w:sz w:val="20"/>
          <w:szCs w:val="20"/>
        </w:rPr>
        <w:t> in length and weighing </w:t>
      </w:r>
      <w:r>
        <w:rPr>
          <w:rStyle w:val="Strong"/>
          <w:rFonts w:ascii="Arial Regular" w:hAnsi="Arial Regular" w:cs="Arial Regular"/>
          <w:b w:val="0"/>
          <w:bCs w:val="0"/>
          <w:color w:val="000000"/>
          <w:sz w:val="20"/>
          <w:szCs w:val="20"/>
        </w:rPr>
        <w:t>50–300 g</w:t>
      </w:r>
      <w:r w:rsidR="004D29B6">
        <w:rPr>
          <w:rStyle w:val="Strong"/>
          <w:rFonts w:ascii="Arial Regular" w:hAnsi="Arial Regular" w:cs="Arial Regular"/>
          <w:b w:val="0"/>
          <w:bCs w:val="0"/>
          <w:color w:val="000000"/>
          <w:sz w:val="20"/>
          <w:szCs w:val="20"/>
        </w:rPr>
        <w:t>/</w:t>
      </w:r>
      <w:r>
        <w:rPr>
          <w:rFonts w:ascii="Arial Regular" w:hAnsi="Arial Regular" w:cs="Arial Regular"/>
          <w:color w:val="000000"/>
          <w:sz w:val="20"/>
          <w:szCs w:val="20"/>
        </w:rPr>
        <w:t xml:space="preserve">per fruit. Guava fruits exhibit a characteristic and distinct aroma. The pulp may vary from sweet to slightly acidic, with a </w:t>
      </w:r>
      <w:proofErr w:type="spellStart"/>
      <w:r>
        <w:rPr>
          <w:rFonts w:ascii="Arial Regular" w:hAnsi="Arial Regular" w:cs="Arial Regular"/>
          <w:color w:val="000000"/>
          <w:sz w:val="20"/>
          <w:szCs w:val="20"/>
        </w:rPr>
        <w:t>flavor</w:t>
      </w:r>
      <w:proofErr w:type="spellEnd"/>
      <w:r>
        <w:rPr>
          <w:rFonts w:ascii="Arial Regular" w:hAnsi="Arial Regular" w:cs="Arial Regular"/>
          <w:color w:val="000000"/>
          <w:sz w:val="20"/>
          <w:szCs w:val="20"/>
        </w:rPr>
        <w:t xml:space="preserve"> often described as intermediate between pear and strawberry. Flesh </w:t>
      </w:r>
      <w:proofErr w:type="spellStart"/>
      <w:r>
        <w:rPr>
          <w:rFonts w:ascii="Arial Regular" w:hAnsi="Arial Regular" w:cs="Arial Regular"/>
          <w:color w:val="000000"/>
          <w:sz w:val="20"/>
          <w:szCs w:val="20"/>
        </w:rPr>
        <w:t>color</w:t>
      </w:r>
      <w:proofErr w:type="spellEnd"/>
      <w:r>
        <w:rPr>
          <w:rFonts w:ascii="Arial Regular" w:hAnsi="Arial Regular" w:cs="Arial Regular"/>
          <w:color w:val="000000"/>
          <w:sz w:val="20"/>
          <w:szCs w:val="20"/>
        </w:rPr>
        <w:t xml:space="preserve"> ranges from off-white (“white” guavas) to deep pink</w:t>
      </w:r>
      <w:r>
        <w:rPr>
          <w:rFonts w:ascii="Arial Regular" w:hAnsi="Arial Regular" w:cs="Arial Regular"/>
          <w:color w:val="000000"/>
          <w:sz w:val="20"/>
          <w:szCs w:val="20"/>
        </w:rPr>
        <w:t xml:space="preserve"> (“red” guavas), and the central cavity contains seeds of variable number and hardness depending on the cultivar. When fully ripe, guava emits a pronounced sweet, musky fragrance. The external peel may appear green or yellow, while the flesh may be white, </w:t>
      </w:r>
      <w:r>
        <w:rPr>
          <w:rFonts w:ascii="Arial Regular" w:hAnsi="Arial Regular" w:cs="Arial Regular"/>
          <w:color w:val="000000"/>
          <w:sz w:val="20"/>
          <w:szCs w:val="20"/>
        </w:rPr>
        <w:t>yellow, pink, or red. The leaves are dull green, leathery, rigid, and prominently veined.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Successful graft formation requires the development of a </w:t>
      </w:r>
      <w:r>
        <w:rPr>
          <w:rStyle w:val="Strong"/>
          <w:rFonts w:ascii="Arial Regular" w:hAnsi="Arial Regular" w:cs="Arial Regular"/>
          <w:b w:val="0"/>
          <w:bCs w:val="0"/>
          <w:color w:val="000000"/>
          <w:sz w:val="20"/>
          <w:szCs w:val="20"/>
        </w:rPr>
        <w:t>de novo meristematic layer</w:t>
      </w:r>
      <w:r>
        <w:rPr>
          <w:rFonts w:ascii="Arial Regular" w:hAnsi="Arial Regular" w:cs="Arial Regular"/>
          <w:color w:val="000000"/>
          <w:sz w:val="20"/>
          <w:szCs w:val="20"/>
        </w:rPr>
        <w:t> at the scion–rootstock interface. In a functional grafted plant, the </w:t>
      </w:r>
      <w:r>
        <w:rPr>
          <w:rStyle w:val="Strong"/>
          <w:rFonts w:ascii="Arial Regular" w:hAnsi="Arial Regular" w:cs="Arial Regular"/>
          <w:b w:val="0"/>
          <w:bCs w:val="0"/>
          <w:color w:val="000000"/>
          <w:sz w:val="20"/>
          <w:szCs w:val="20"/>
        </w:rPr>
        <w:t>scion</w:t>
      </w:r>
      <w:r>
        <w:rPr>
          <w:rFonts w:ascii="Arial Regular" w:hAnsi="Arial Regular" w:cs="Arial Regular"/>
          <w:color w:val="000000"/>
          <w:sz w:val="20"/>
          <w:szCs w:val="20"/>
        </w:rPr>
        <w:t> ultimat</w:t>
      </w:r>
      <w:r>
        <w:rPr>
          <w:rFonts w:ascii="Arial Regular" w:hAnsi="Arial Regular" w:cs="Arial Regular"/>
          <w:color w:val="000000"/>
          <w:sz w:val="20"/>
          <w:szCs w:val="20"/>
        </w:rPr>
        <w:t>ely forms the shoot system, whereas the </w:t>
      </w:r>
      <w:r>
        <w:rPr>
          <w:rStyle w:val="Strong"/>
          <w:rFonts w:ascii="Arial Regular" w:hAnsi="Arial Regular" w:cs="Arial Regular"/>
          <w:b w:val="0"/>
          <w:bCs w:val="0"/>
          <w:color w:val="000000"/>
          <w:sz w:val="20"/>
          <w:szCs w:val="20"/>
        </w:rPr>
        <w:t>rootstock</w:t>
      </w:r>
      <w:r>
        <w:rPr>
          <w:rFonts w:ascii="Arial Regular" w:hAnsi="Arial Regular" w:cs="Arial Regular"/>
          <w:color w:val="000000"/>
          <w:sz w:val="20"/>
          <w:szCs w:val="20"/>
        </w:rPr>
        <w:t> develops the root system. Scions are selected for desirable horticultural and yield-enhancing traits, while rootstocks are chosen for their tolerance to various biotic and abiotic stresses. The rootstock pl</w:t>
      </w:r>
      <w:r>
        <w:rPr>
          <w:rFonts w:ascii="Arial Regular" w:hAnsi="Arial Regular" w:cs="Arial Regular"/>
          <w:color w:val="000000"/>
          <w:sz w:val="20"/>
          <w:szCs w:val="20"/>
        </w:rPr>
        <w:t xml:space="preserve">ays a decisive role in influencing scion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water relations, nutrient acquisition, and overall plant performance.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Grafting is extensively used in perennial horticultural crops with major objectives such as regulating excessive vegetative growth and sho</w:t>
      </w:r>
      <w:r>
        <w:rPr>
          <w:rFonts w:ascii="Arial Regular" w:hAnsi="Arial Regular" w:cs="Arial Regular"/>
          <w:color w:val="000000"/>
          <w:sz w:val="20"/>
          <w:szCs w:val="20"/>
        </w:rPr>
        <w:t xml:space="preserve">rtening the juvenile phase. Additional benefits include the establishment of compact or dwarf plant architecture, facilitating high-density planting and improving productivity with reduced requirements for pruning, pest control, and canopy management. The </w:t>
      </w:r>
      <w:r>
        <w:rPr>
          <w:rFonts w:ascii="Arial Regular" w:hAnsi="Arial Regular" w:cs="Arial Regular"/>
          <w:color w:val="000000"/>
          <w:sz w:val="20"/>
          <w:szCs w:val="20"/>
        </w:rPr>
        <w:t>development of a robust and efficient root system is largely dependent on the </w:t>
      </w:r>
      <w:r>
        <w:rPr>
          <w:rStyle w:val="Strong"/>
          <w:rFonts w:ascii="Arial Regular" w:hAnsi="Arial Regular" w:cs="Arial Regular"/>
          <w:b w:val="0"/>
          <w:bCs w:val="0"/>
          <w:color w:val="000000"/>
          <w:sz w:val="20"/>
          <w:szCs w:val="20"/>
        </w:rPr>
        <w:t>compatibility</w:t>
      </w:r>
      <w:r>
        <w:rPr>
          <w:rFonts w:ascii="Arial Regular" w:hAnsi="Arial Regular" w:cs="Arial Regular"/>
          <w:color w:val="000000"/>
          <w:sz w:val="20"/>
          <w:szCs w:val="20"/>
        </w:rPr>
        <w:t> between the scion and rootstock (Goldschmidt, 2014).</w:t>
      </w:r>
    </w:p>
    <w:p w14:paraId="17C45B76"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 xml:space="preserve">In recent years, the use of grafting has expanded considerably across both woody and herbaceous plant species. </w:t>
      </w:r>
      <w:r>
        <w:rPr>
          <w:rFonts w:ascii="Arial Regular" w:hAnsi="Arial Regular" w:cs="Arial Regular"/>
          <w:color w:val="000000"/>
          <w:sz w:val="20"/>
          <w:szCs w:val="20"/>
        </w:rPr>
        <w:t xml:space="preserve">During the graft formation process, a selected scion is physically affixed to a rooted plant (rootstock), initiating a cascade of physiological, anatomical, and biochemical events at </w:t>
      </w:r>
      <w:r>
        <w:rPr>
          <w:rFonts w:ascii="Arial Regular" w:hAnsi="Arial Regular" w:cs="Arial Regular"/>
          <w:color w:val="000000"/>
          <w:sz w:val="20"/>
          <w:szCs w:val="20"/>
        </w:rPr>
        <w:lastRenderedPageBreak/>
        <w:t>the graft interface that ultimately establish vascular continuity and fun</w:t>
      </w:r>
      <w:r>
        <w:rPr>
          <w:rFonts w:ascii="Arial Regular" w:hAnsi="Arial Regular" w:cs="Arial Regular"/>
          <w:color w:val="000000"/>
          <w:sz w:val="20"/>
          <w:szCs w:val="20"/>
        </w:rPr>
        <w:t>ctional integration. This clonal propagation approach not only enhances tolerance to environmental stresses but also influences growth regulation and metabolic activity, thereby promoting earlier reproductive maturity and improved performance in numerous p</w:t>
      </w:r>
      <w:r>
        <w:rPr>
          <w:rFonts w:ascii="Arial Regular" w:hAnsi="Arial Regular" w:cs="Arial Regular"/>
          <w:color w:val="000000"/>
          <w:sz w:val="20"/>
          <w:szCs w:val="20"/>
        </w:rPr>
        <w:t>erennial crops (Zhang et al., 2013; Duan et al., 2017).</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Guava can be propagated through both sexual and asexual means; however, vegetative propagation is preferred to preserve genetic fidelity and promote early bearing. Among vegetative techniques, graftin</w:t>
      </w:r>
      <w:r>
        <w:rPr>
          <w:rFonts w:ascii="Arial Regular" w:hAnsi="Arial Regular" w:cs="Arial Regular"/>
          <w:color w:val="000000"/>
          <w:sz w:val="20"/>
          <w:szCs w:val="20"/>
        </w:rPr>
        <w:t xml:space="preserve">g holds particular significance because it enables the combination of elite scion traits with the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xml:space="preserve"> or stress resilience of selected rootstocks. When environmental conditions are optimized, grafting also facilitates large-scale, year-round multiplicati</w:t>
      </w:r>
      <w:r>
        <w:rPr>
          <w:rFonts w:ascii="Arial Regular" w:hAnsi="Arial Regular" w:cs="Arial Regular"/>
          <w:color w:val="000000"/>
          <w:sz w:val="20"/>
          <w:szCs w:val="20"/>
        </w:rPr>
        <w:t xml:space="preserve">on of superior cultivars. The success of grafting is determined by multiple factors, including the specific method used, seasonal variations, temperature, and humidity. Accordingly, the present study examines the influence of different grafting techniques </w:t>
      </w:r>
      <w:r>
        <w:rPr>
          <w:rFonts w:ascii="Arial Regular" w:hAnsi="Arial Regular" w:cs="Arial Regular"/>
          <w:color w:val="000000"/>
          <w:sz w:val="20"/>
          <w:szCs w:val="20"/>
        </w:rPr>
        <w:t>and seasonal conditions on the physiological and biochemical responses of guava grafts under Coimbatore conditions.</w:t>
      </w:r>
    </w:p>
    <w:p w14:paraId="62F584D3"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MATERIALS AND METHODS </w:t>
      </w:r>
    </w:p>
    <w:p w14:paraId="7FF56D03"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The experiment was conducted at the College Orchard of the Horticultural College and Research Institute, Tamil Nadu A</w:t>
      </w:r>
      <w:r>
        <w:rPr>
          <w:rFonts w:ascii="Arial Regular" w:hAnsi="Arial Regular" w:cs="Arial Regular"/>
          <w:color w:val="000000"/>
          <w:sz w:val="20"/>
          <w:szCs w:val="20"/>
        </w:rPr>
        <w:t>gricultural University, Coimbatore. The study spanned two distinct seasons—October 2018 (monsoon) and February 2019 (spring). A Factorial Completely Randomized Design (FCRD) was employed, comprising four grafting methods: wedge grafting (G</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side grafting</w:t>
      </w:r>
      <w:r>
        <w:rPr>
          <w:rFonts w:ascii="Arial Regular" w:hAnsi="Arial Regular" w:cs="Arial Regular"/>
          <w:color w:val="000000"/>
          <w:sz w:val="20"/>
          <w:szCs w:val="20"/>
        </w:rPr>
        <w:t xml:space="preserve"> (G</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lang w:val="en-US"/>
        </w:rPr>
        <w:t>4</w:t>
      </w:r>
      <w:r>
        <w:rPr>
          <w:rFonts w:ascii="Arial Regular" w:hAnsi="Arial Regular" w:cs="Arial Regular"/>
          <w:color w:val="000000"/>
          <w:sz w:val="20"/>
          <w:szCs w:val="20"/>
        </w:rPr>
        <w:t>), evaluated across two seasons, October (S</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Each treatment was further examined under three environmental conditions: open field (C</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r</w:t>
      </w:r>
      <w:r>
        <w:rPr>
          <w:rFonts w:ascii="Arial Regular" w:hAnsi="Arial Regular" w:cs="Arial Regular"/>
          <w:color w:val="000000"/>
          <w:sz w:val="20"/>
          <w:szCs w:val="20"/>
        </w:rPr>
        <w:t>esulting in 12 treatment combinations, each replicated three times. Ninety-day-old guava seedlings raised from seeds were selected for use as rootstocks.</w:t>
      </w:r>
    </w:p>
    <w:p w14:paraId="05640E8B"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At 90 days after grafting, plants were sampled for physiological and biochemical analyses. Chlorophyll</w:t>
      </w:r>
      <w:r>
        <w:rPr>
          <w:rFonts w:ascii="Arial Regular" w:hAnsi="Arial Regular" w:cs="Arial Regular"/>
          <w:color w:val="000000"/>
          <w:sz w:val="20"/>
          <w:szCs w:val="20"/>
        </w:rPr>
        <w:t xml:space="preserve"> index (SPAD value) was measured using a SPAD-502 chlorophyll meter developed by the Soil Plant Analytical Development (SPAD) section, Minolta, Japan. The instrument estimates chlorophyll concentration based on the ratio of light transmittance at wavelengt</w:t>
      </w:r>
      <w:r>
        <w:rPr>
          <w:rFonts w:ascii="Arial Regular" w:hAnsi="Arial Regular" w:cs="Arial Regular"/>
          <w:color w:val="000000"/>
          <w:sz w:val="20"/>
          <w:szCs w:val="20"/>
        </w:rPr>
        <w:t>hs of 650 nm and 940 nm. Five readings were collected per treatment per replication, and the mean value was calculated following the methods described by Hoel and Solhaug (1998) and Monje and Bugbee (1992). Chlorophyll fluorescence was assessed using a Pla</w:t>
      </w:r>
      <w:r>
        <w:rPr>
          <w:rFonts w:ascii="Arial Regular" w:hAnsi="Arial Regular" w:cs="Arial Regular"/>
          <w:color w:val="000000"/>
          <w:sz w:val="20"/>
          <w:szCs w:val="20"/>
        </w:rPr>
        <w:t>nt PAM-210 fluorometer (Teaching PAM) as outlined by Schreiber et al. (2003).</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Biochemical assays were conducted on fully expanded functional leaves. Total phenolic content was quantified using the </w:t>
      </w:r>
      <w:proofErr w:type="spellStart"/>
      <w:r>
        <w:rPr>
          <w:rFonts w:ascii="Arial Regular" w:hAnsi="Arial Regular" w:cs="Arial Regular"/>
          <w:color w:val="000000"/>
          <w:sz w:val="20"/>
          <w:szCs w:val="20"/>
        </w:rPr>
        <w:t>Folin</w:t>
      </w:r>
      <w:proofErr w:type="spellEnd"/>
      <w:r>
        <w:rPr>
          <w:rFonts w:ascii="Arial Regular" w:hAnsi="Arial Regular" w:cs="Arial Regular"/>
          <w:color w:val="000000"/>
          <w:sz w:val="20"/>
          <w:szCs w:val="20"/>
        </w:rPr>
        <w:t>–</w:t>
      </w:r>
      <w:proofErr w:type="spellStart"/>
      <w:r>
        <w:rPr>
          <w:rFonts w:ascii="Arial Regular" w:hAnsi="Arial Regular" w:cs="Arial Regular"/>
          <w:color w:val="000000"/>
          <w:sz w:val="20"/>
          <w:szCs w:val="20"/>
        </w:rPr>
        <w:t>Ciocalteu</w:t>
      </w:r>
      <w:proofErr w:type="spellEnd"/>
      <w:r>
        <w:rPr>
          <w:rFonts w:ascii="Arial Regular" w:hAnsi="Arial Regular" w:cs="Arial Regular"/>
          <w:color w:val="000000"/>
          <w:sz w:val="20"/>
          <w:szCs w:val="20"/>
        </w:rPr>
        <w:t xml:space="preserve"> reagent method (Bray and Thorpe, 1954). Nit</w:t>
      </w:r>
      <w:r>
        <w:rPr>
          <w:rFonts w:ascii="Arial Regular" w:hAnsi="Arial Regular" w:cs="Arial Regular"/>
          <w:color w:val="000000"/>
          <w:sz w:val="20"/>
          <w:szCs w:val="20"/>
        </w:rPr>
        <w:t>rate reductase activity was estimated following the protocol of Nicholas et al. (1976). Peroxidase activity was determined using the procedure described by Gjessing and Sumner (1943) and expressed as the change in optical density (OD) at 430 nm</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r>
        <w:rPr>
          <w:rFonts w:ascii="Arial Regular" w:hAnsi="Arial Regular" w:cs="Arial Regular"/>
          <w:color w:val="000000"/>
          <w:sz w:val="20"/>
          <w:szCs w:val="20"/>
          <w:lang w:val="en-US"/>
        </w:rPr>
        <w:t>/</w:t>
      </w:r>
      <w:r>
        <w:rPr>
          <w:rFonts w:ascii="Arial Regular" w:hAnsi="Arial Regular" w:cs="Arial Regular"/>
          <w:color w:val="000000"/>
          <w:sz w:val="20"/>
          <w:szCs w:val="20"/>
        </w:rPr>
        <w:t xml:space="preserve">g. Catalase activity was measured by titration with potassium permanganate following </w:t>
      </w:r>
      <w:proofErr w:type="spellStart"/>
      <w:r>
        <w:rPr>
          <w:rFonts w:ascii="Arial Regular" w:hAnsi="Arial Regular" w:cs="Arial Regular"/>
          <w:color w:val="000000"/>
          <w:sz w:val="20"/>
          <w:szCs w:val="20"/>
        </w:rPr>
        <w:t>Gopalachari</w:t>
      </w:r>
      <w:proofErr w:type="spellEnd"/>
      <w:r>
        <w:rPr>
          <w:rFonts w:ascii="Arial Regular" w:hAnsi="Arial Regular" w:cs="Arial Regular"/>
          <w:color w:val="000000"/>
          <w:sz w:val="20"/>
          <w:szCs w:val="20"/>
        </w:rPr>
        <w:t xml:space="preserve"> (1963) and expressed as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H</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p>
    <w:p w14:paraId="6A8EA71C" w14:textId="77777777" w:rsidR="00C537C3" w:rsidRDefault="008B5688">
      <w:pPr>
        <w:spacing w:after="0" w:line="240" w:lineRule="auto"/>
        <w:jc w:val="both"/>
        <w:rPr>
          <w:rFonts w:ascii="Arial Regular" w:hAnsi="Arial Regular" w:cs="Arial Regular"/>
          <w:b/>
          <w:bCs/>
          <w:sz w:val="21"/>
          <w:szCs w:val="21"/>
          <w:lang w:val="en-US"/>
        </w:rPr>
      </w:pPr>
      <w:r>
        <w:rPr>
          <w:rFonts w:ascii="Arial Regular" w:hAnsi="Arial Regular" w:cs="Arial Regular"/>
          <w:b/>
          <w:bCs/>
          <w:sz w:val="21"/>
          <w:szCs w:val="21"/>
        </w:rPr>
        <w:t xml:space="preserve">RESULT AND DISCUSSION </w:t>
      </w:r>
    </w:p>
    <w:p w14:paraId="7DADDB59" w14:textId="77777777" w:rsidR="00C537C3" w:rsidRDefault="008B5688">
      <w:pPr>
        <w:pStyle w:val="NoSpacing"/>
        <w:spacing w:before="80"/>
        <w:ind w:firstLine="720"/>
        <w:jc w:val="both"/>
        <w:rPr>
          <w:rFonts w:ascii="Arial Regular" w:hAnsi="Arial Regular" w:cs="Arial Regular"/>
          <w:sz w:val="20"/>
          <w:szCs w:val="20"/>
        </w:rPr>
      </w:pPr>
      <w:r>
        <w:rPr>
          <w:rFonts w:ascii="Arial Regular" w:hAnsi="Arial Regular" w:cs="Arial Regular"/>
          <w:sz w:val="20"/>
          <w:szCs w:val="20"/>
        </w:rPr>
        <w:t>Grafting exerted a significant influence on the physiological and biochemical traits of guava, whi</w:t>
      </w:r>
      <w:r>
        <w:rPr>
          <w:rFonts w:ascii="Arial Regular" w:hAnsi="Arial Regular" w:cs="Arial Regular"/>
          <w:sz w:val="20"/>
          <w:szCs w:val="20"/>
        </w:rPr>
        <w:t>ch directly determine graft union success and early plant establishment. Parameters such as chlorophyll content, chlorophyll fluorescence, photosynthetic rate, total phenols, nitrate reductase (</w:t>
      </w:r>
      <w:proofErr w:type="spellStart"/>
      <w:r>
        <w:rPr>
          <w:rFonts w:ascii="Arial Regular" w:hAnsi="Arial Regular" w:cs="Arial Regular"/>
          <w:sz w:val="20"/>
          <w:szCs w:val="20"/>
        </w:rPr>
        <w:t>NRase</w:t>
      </w:r>
      <w:proofErr w:type="spellEnd"/>
      <w:r>
        <w:rPr>
          <w:rFonts w:ascii="Arial Regular" w:hAnsi="Arial Regular" w:cs="Arial Regular"/>
          <w:sz w:val="20"/>
          <w:szCs w:val="20"/>
        </w:rPr>
        <w:t>) activity, peroxidase, and catalase served as reliable i</w:t>
      </w:r>
      <w:r>
        <w:rPr>
          <w:rFonts w:ascii="Arial Regular" w:hAnsi="Arial Regular" w:cs="Arial Regular"/>
          <w:sz w:val="20"/>
          <w:szCs w:val="20"/>
        </w:rPr>
        <w:t>ndicators of graft compatibility and metabolic efficiency.</w:t>
      </w:r>
    </w:p>
    <w:p w14:paraId="11C4E10B"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Chlorophyll Content (SPAD)</w:t>
      </w:r>
    </w:p>
    <w:p w14:paraId="48FA1247"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Chlorophyll content varied markedly among grafting methods, seasons, and propagation environments (Table 1). In February, plants maintained under the mist chamber </w:t>
      </w:r>
      <w:r>
        <w:rPr>
          <w:rFonts w:ascii="Arial Regular" w:hAnsi="Arial Regular" w:cs="Arial Regular"/>
          <w:sz w:val="20"/>
          <w:szCs w:val="20"/>
        </w:rPr>
        <w:t>recorded the highest chlorophyll content (30.34 SPAD units, T</w:t>
      </w:r>
      <w:r>
        <w:rPr>
          <w:rFonts w:ascii="Arial Regular" w:hAnsi="Arial Regular" w:cs="Arial Regular"/>
          <w:sz w:val="20"/>
          <w:szCs w:val="20"/>
          <w:vertAlign w:val="subscript"/>
        </w:rPr>
        <w:t>1</w:t>
      </w:r>
      <w:r>
        <w:rPr>
          <w:rFonts w:ascii="Arial Regular" w:hAnsi="Arial Regular" w:cs="Arial Regular"/>
          <w:sz w:val="20"/>
          <w:szCs w:val="20"/>
        </w:rPr>
        <w:t>C</w:t>
      </w:r>
      <w:r>
        <w:rPr>
          <w:rFonts w:ascii="Arial Regular" w:hAnsi="Arial Regular" w:cs="Arial Regular"/>
          <w:sz w:val="20"/>
          <w:szCs w:val="20"/>
          <w:vertAlign w:val="subscript"/>
        </w:rPr>
        <w:t>2</w:t>
      </w:r>
      <w:r>
        <w:rPr>
          <w:rFonts w:ascii="Arial Regular" w:hAnsi="Arial Regular" w:cs="Arial Regular"/>
          <w:sz w:val="20"/>
          <w:szCs w:val="20"/>
        </w:rPr>
        <w:t>), whereas the lowest value (16.05 SPAD units) occurred under open-field conditions during October (T</w:t>
      </w:r>
      <w:r>
        <w:rPr>
          <w:rFonts w:ascii="Arial Regular" w:hAnsi="Arial Regular" w:cs="Arial Regular"/>
          <w:sz w:val="20"/>
          <w:szCs w:val="20"/>
          <w:vertAlign w:val="subscript"/>
        </w:rPr>
        <w:t>4</w:t>
      </w:r>
      <w:r>
        <w:rPr>
          <w:rFonts w:ascii="Arial Regular" w:hAnsi="Arial Regular" w:cs="Arial Regular"/>
          <w:sz w:val="20"/>
          <w:szCs w:val="20"/>
        </w:rPr>
        <w:t>C</w:t>
      </w:r>
      <w:r>
        <w:rPr>
          <w:rFonts w:ascii="Arial Regular" w:hAnsi="Arial Regular" w:cs="Arial Regular"/>
          <w:sz w:val="20"/>
          <w:szCs w:val="20"/>
          <w:vertAlign w:val="subscript"/>
        </w:rPr>
        <w:t>1</w:t>
      </w:r>
      <w:r>
        <w:rPr>
          <w:rFonts w:ascii="Arial Regular" w:hAnsi="Arial Regular" w:cs="Arial Regular"/>
          <w:sz w:val="20"/>
          <w:szCs w:val="20"/>
        </w:rPr>
        <w:t xml:space="preserve">). Mean chlorophyll levels were significantly higher in February than in October across </w:t>
      </w:r>
      <w:r>
        <w:rPr>
          <w:rFonts w:ascii="Arial Regular" w:hAnsi="Arial Regular" w:cs="Arial Regular"/>
          <w:sz w:val="20"/>
          <w:szCs w:val="20"/>
        </w:rPr>
        <w:t>treatments. Wedge grafting consistently produced higher SPAD values, reflecting enhanced photosynthetic pigment accumulation and improved physiological status. Greater chlorophyll content in wedge grafts indicates better graft union formation, efficient nu</w:t>
      </w:r>
      <w:r>
        <w:rPr>
          <w:rFonts w:ascii="Arial Regular" w:hAnsi="Arial Regular" w:cs="Arial Regular"/>
          <w:sz w:val="20"/>
          <w:szCs w:val="20"/>
        </w:rPr>
        <w:t>trient flow, and increased photosynthate production. These results correspond with previous observations in guava and other fruit crops, where grafting improved pigment stability and leaf physiology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 2012).</w:t>
      </w:r>
    </w:p>
    <w:p w14:paraId="3C9BF8DF"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Photosynthetic Rate</w:t>
      </w:r>
    </w:p>
    <w:p w14:paraId="46A75D00" w14:textId="2247FE22"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A similar tren</w:t>
      </w:r>
      <w:r>
        <w:rPr>
          <w:rFonts w:ascii="Arial Regular" w:hAnsi="Arial Regular" w:cs="Arial Regular"/>
          <w:sz w:val="20"/>
          <w:szCs w:val="20"/>
        </w:rPr>
        <w:t xml:space="preserve">d was evident for photosynthetic rate. Wedge grafting in the mist chamber during February registered the maximum photosynthetic rate (18.58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 xml:space="preserve">/s), whereas saddle grafting in the open </w:t>
      </w:r>
      <w:r>
        <w:rPr>
          <w:rFonts w:ascii="Arial Regular" w:hAnsi="Arial Regular" w:cs="Arial Regular"/>
          <w:sz w:val="20"/>
          <w:szCs w:val="20"/>
        </w:rPr>
        <w:lastRenderedPageBreak/>
        <w:t xml:space="preserve">field during October recorded the minimum (11.75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w:t>
      </w:r>
      <w:r w:rsidR="00D221B1">
        <w:rPr>
          <w:rFonts w:ascii="Arial Regular" w:hAnsi="Arial Regular" w:cs="Arial Regular"/>
          <w:sz w:val="20"/>
          <w:szCs w:val="20"/>
        </w:rPr>
        <w:t xml:space="preserve"> (Table 1)</w:t>
      </w:r>
      <w:r>
        <w:rPr>
          <w:rFonts w:ascii="Arial Regular" w:hAnsi="Arial Regular" w:cs="Arial Regular"/>
          <w:sz w:val="20"/>
          <w:szCs w:val="20"/>
        </w:rPr>
        <w:t>. Higher photosynthetic activity in wedge grafts can be attributed to stronger anatomical union, efficient water and nutrient conduction, increased chlorophyll concentration. The combination of mild temperature, higher humidity, and diffused ligh</w:t>
      </w:r>
      <w:r>
        <w:rPr>
          <w:rFonts w:ascii="Arial Regular" w:hAnsi="Arial Regular" w:cs="Arial Regular"/>
          <w:sz w:val="20"/>
          <w:szCs w:val="20"/>
        </w:rPr>
        <w:t>t in the mist chamber further enhanced CO₂ assimilation. Since photosynthesis is tightly linked to carbon gain and biomass accumulation, wedge grafting proved superior in promoting early growth and vigor.</w:t>
      </w:r>
    </w:p>
    <w:p w14:paraId="1DA7A89C"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Total Phenols</w:t>
      </w:r>
    </w:p>
    <w:p w14:paraId="43FC39D2"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Phenol accumulation differed signific</w:t>
      </w:r>
      <w:r>
        <w:rPr>
          <w:rFonts w:ascii="Arial Regular" w:hAnsi="Arial Regular" w:cs="Arial Regular"/>
          <w:sz w:val="20"/>
          <w:szCs w:val="20"/>
        </w:rPr>
        <w:t>antly across grafting treatments (Table 2). Saddle grafting under open conditions yielded the highest phenol content (4.55 mg/g), while the lowest (2.99 mg/g) was recorded in side grafting under mist chamber conditions. Phenolic compounds are known to impe</w:t>
      </w:r>
      <w:r>
        <w:rPr>
          <w:rFonts w:ascii="Arial Regular" w:hAnsi="Arial Regular" w:cs="Arial Regular"/>
          <w:sz w:val="20"/>
          <w:szCs w:val="20"/>
        </w:rPr>
        <w:t xml:space="preserve">de auxin transport, restrict tissue permeability, and inhibit callus proliferation. Excessive phenol accumulation indicates biochemical stress and is often associated with graft incompatibility. This explains the comparatively weaker performance of saddle </w:t>
      </w:r>
      <w:r>
        <w:rPr>
          <w:rFonts w:ascii="Arial Regular" w:hAnsi="Arial Regular" w:cs="Arial Regular"/>
          <w:sz w:val="20"/>
          <w:szCs w:val="20"/>
        </w:rPr>
        <w:t>grafts. Similar findings were reported in loquat (Ding et al., 1998) and mango (Murti &amp; Upreti, 2003).</w:t>
      </w:r>
    </w:p>
    <w:p w14:paraId="3E42FC4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Nitrate Reductase (</w:t>
      </w:r>
      <w:proofErr w:type="spellStart"/>
      <w:r>
        <w:rPr>
          <w:rFonts w:ascii="Arial Regular" w:hAnsi="Arial Regular" w:cs="Arial Regular"/>
          <w:b/>
          <w:bCs/>
          <w:sz w:val="20"/>
          <w:szCs w:val="20"/>
        </w:rPr>
        <w:t>NRase</w:t>
      </w:r>
      <w:proofErr w:type="spellEnd"/>
      <w:r>
        <w:rPr>
          <w:rFonts w:ascii="Arial Regular" w:hAnsi="Arial Regular" w:cs="Arial Regular"/>
          <w:b/>
          <w:bCs/>
          <w:sz w:val="20"/>
          <w:szCs w:val="20"/>
        </w:rPr>
        <w:t>) Activity</w:t>
      </w:r>
    </w:p>
    <w:p w14:paraId="2AD4816A" w14:textId="349D72F0" w:rsidR="00C537C3" w:rsidRDefault="008B5688">
      <w:pPr>
        <w:pStyle w:val="NoSpacing"/>
        <w:spacing w:before="80"/>
        <w:jc w:val="both"/>
        <w:rPr>
          <w:rFonts w:ascii="Arial Regular" w:hAnsi="Arial Regular" w:cs="Arial Regular"/>
          <w:sz w:val="20"/>
          <w:szCs w:val="20"/>
        </w:rPr>
      </w:pP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differed across grafts and environments, with the highest value recorded in</w:t>
      </w:r>
      <w:r w:rsidR="00D221B1">
        <w:rPr>
          <w:rFonts w:ascii="Arial Regular" w:hAnsi="Arial Regular" w:cs="Arial Regular"/>
          <w:sz w:val="20"/>
          <w:szCs w:val="20"/>
        </w:rPr>
        <w:t xml:space="preserve"> (Table 2)</w:t>
      </w:r>
      <w:r>
        <w:rPr>
          <w:rFonts w:ascii="Arial Regular" w:hAnsi="Arial Regular" w:cs="Arial Regular"/>
          <w:sz w:val="20"/>
          <w:szCs w:val="20"/>
        </w:rPr>
        <w:t xml:space="preserve"> wedge grafts unde</w:t>
      </w:r>
      <w:r>
        <w:rPr>
          <w:rFonts w:ascii="Arial Regular" w:hAnsi="Arial Regular" w:cs="Arial Regular"/>
          <w:sz w:val="20"/>
          <w:szCs w:val="20"/>
        </w:rPr>
        <w:t xml:space="preserve">r mist chamber conditions during February (76.58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w:t>
      </w:r>
      <w:r>
        <w:rPr>
          <w:rFonts w:ascii="Arial Regular" w:hAnsi="Arial Regular" w:cs="Arial Regular"/>
          <w:color w:val="000000"/>
          <w:sz w:val="20"/>
          <w:szCs w:val="20"/>
        </w:rPr>
        <w:t>NO</w:t>
      </w:r>
      <w:r>
        <w:rPr>
          <w:rFonts w:ascii="Arial Regular" w:hAnsi="Arial Regular" w:cs="Arial Regular"/>
          <w:color w:val="000000"/>
          <w:sz w:val="20"/>
          <w:szCs w:val="20"/>
          <w:vertAlign w:val="subscript"/>
        </w:rPr>
        <w:t xml:space="preserve">2 </w:t>
      </w:r>
      <w:r>
        <w:rPr>
          <w:rFonts w:ascii="Arial Regular" w:hAnsi="Arial Regular" w:cs="Arial Regular"/>
          <w:color w:val="000000"/>
          <w:sz w:val="20"/>
          <w:szCs w:val="20"/>
        </w:rPr>
        <w:t>g/h</w:t>
      </w:r>
      <w:r>
        <w:rPr>
          <w:rFonts w:ascii="Arial Regular" w:hAnsi="Arial Regular" w:cs="Arial Regular"/>
          <w:sz w:val="20"/>
          <w:szCs w:val="20"/>
        </w:rPr>
        <w:t xml:space="preserve">). The enhanced </w:t>
      </w: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in wedge grafts may be attributed to faster vascular reconnection, improved nitrate uptake from the rootstock, increased protein synthesis associated with active grow</w:t>
      </w:r>
      <w:r>
        <w:rPr>
          <w:rFonts w:ascii="Arial Regular" w:hAnsi="Arial Regular" w:cs="Arial Regular"/>
          <w:sz w:val="20"/>
          <w:szCs w:val="20"/>
        </w:rPr>
        <w:t>th. These findings align with studies in apple (Iryna et al., 2004), mandarin (Hiratsuka et al., 2015), and peach—where compatible graft combinations consistently showed higher nitrogen assimilation efficiency.</w:t>
      </w:r>
    </w:p>
    <w:p w14:paraId="357588A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Peroxidase Activity</w:t>
      </w:r>
    </w:p>
    <w:p w14:paraId="7907B9D7" w14:textId="4EA6A253"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Peroxidase activity incre</w:t>
      </w:r>
      <w:r>
        <w:rPr>
          <w:rFonts w:ascii="Arial Regular" w:hAnsi="Arial Regular" w:cs="Arial Regular"/>
          <w:sz w:val="20"/>
          <w:szCs w:val="20"/>
        </w:rPr>
        <w:t>ased significantly in February compared to October (Table 3). Softwood grafts under shade conditions (February) recorded the highest peroxidase levels (3.</w:t>
      </w:r>
      <w:r w:rsidR="00BC53B7">
        <w:rPr>
          <w:rFonts w:ascii="Arial Regular" w:hAnsi="Arial Regular" w:cs="Arial Regular"/>
          <w:sz w:val="20"/>
          <w:szCs w:val="20"/>
        </w:rPr>
        <w:t>79</w:t>
      </w:r>
      <w:r>
        <w:rPr>
          <w:rFonts w:ascii="Arial Regular" w:hAnsi="Arial Regular" w:cs="Arial Regular"/>
          <w:sz w:val="20"/>
          <w:szCs w:val="20"/>
        </w:rPr>
        <w:t xml:space="preserve"> absorbance units at 430 nm g/min). Peroxidase plays a critical role in oxidative polymerization of </w:t>
      </w:r>
      <w:r>
        <w:rPr>
          <w:rFonts w:ascii="Arial Regular" w:hAnsi="Arial Regular" w:cs="Arial Regular"/>
          <w:sz w:val="20"/>
          <w:szCs w:val="20"/>
        </w:rPr>
        <w:t>monolignols, secondary wall formation, strengthening the graft union. Elevated peroxidase activity during February indicates active lignification and enhanced cell wall stabilization at the graft interface. Studies in pear and guava show comparable increas</w:t>
      </w:r>
      <w:r>
        <w:rPr>
          <w:rFonts w:ascii="Arial Regular" w:hAnsi="Arial Regular" w:cs="Arial Regular"/>
          <w:sz w:val="20"/>
          <w:szCs w:val="20"/>
        </w:rPr>
        <w:t>es in peroxidase under grafting stress (Whetten et al., 1998).</w:t>
      </w:r>
    </w:p>
    <w:p w14:paraId="38716B23"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Catalase Activity</w:t>
      </w:r>
    </w:p>
    <w:p w14:paraId="7227E545" w14:textId="63668274"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Catalase activity followed a similar trend, exhibiting higher values during February. The maximum activity (3.85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H</w:t>
      </w:r>
      <w:r>
        <w:rPr>
          <w:rFonts w:ascii="Arial Regular" w:hAnsi="Arial Regular" w:cs="Arial Regular"/>
          <w:sz w:val="20"/>
          <w:szCs w:val="20"/>
          <w:vertAlign w:val="subscript"/>
        </w:rPr>
        <w:t>2</w:t>
      </w:r>
      <w:r>
        <w:rPr>
          <w:rFonts w:ascii="Arial Regular" w:hAnsi="Arial Regular" w:cs="Arial Regular"/>
          <w:sz w:val="20"/>
          <w:szCs w:val="20"/>
        </w:rPr>
        <w:t>O</w:t>
      </w:r>
      <w:r>
        <w:rPr>
          <w:rFonts w:ascii="Arial Regular" w:hAnsi="Arial Regular" w:cs="Arial Regular"/>
          <w:sz w:val="20"/>
          <w:szCs w:val="20"/>
          <w:vertAlign w:val="subscript"/>
        </w:rPr>
        <w:t>2</w:t>
      </w:r>
      <w:r>
        <w:rPr>
          <w:rFonts w:ascii="Arial Regular" w:hAnsi="Arial Regular" w:cs="Arial Regular"/>
          <w:sz w:val="20"/>
          <w:szCs w:val="20"/>
        </w:rPr>
        <w:t xml:space="preserve"> reduced g/min) was recorded in</w:t>
      </w:r>
      <w:r w:rsidR="00D221B1">
        <w:rPr>
          <w:rFonts w:ascii="Arial Regular" w:hAnsi="Arial Regular" w:cs="Arial Regular"/>
          <w:sz w:val="20"/>
          <w:szCs w:val="20"/>
        </w:rPr>
        <w:t xml:space="preserve"> (Table 3)</w:t>
      </w:r>
      <w:r>
        <w:rPr>
          <w:rFonts w:ascii="Arial Regular" w:hAnsi="Arial Regular" w:cs="Arial Regular"/>
          <w:sz w:val="20"/>
          <w:szCs w:val="20"/>
        </w:rPr>
        <w:t xml:space="preserve"> softwood graf</w:t>
      </w:r>
      <w:r>
        <w:rPr>
          <w:rFonts w:ascii="Arial Regular" w:hAnsi="Arial Regular" w:cs="Arial Regular"/>
          <w:sz w:val="20"/>
          <w:szCs w:val="20"/>
        </w:rPr>
        <w:t>ts under mist chamber conditions. Catalase converts hydrogen peroxide into water and oxygen, thereby mitigating oxidative stress. The higher activity observed in grafted plants indicates active ROS detoxification, improved resilience during graft union for</w:t>
      </w:r>
      <w:r>
        <w:rPr>
          <w:rFonts w:ascii="Arial Regular" w:hAnsi="Arial Regular" w:cs="Arial Regular"/>
          <w:sz w:val="20"/>
          <w:szCs w:val="20"/>
        </w:rPr>
        <w:t xml:space="preserve">mation, enhanced wound healing and vascular differentiation. Reports by Irisarri et al. (2015), Xu et al. (2005), and Gulen et al. (2005) support the observation that antioxidant enzyme activity is generally higher in grafted seedlings than </w:t>
      </w:r>
      <w:proofErr w:type="spellStart"/>
      <w:r>
        <w:rPr>
          <w:rFonts w:ascii="Arial Regular" w:hAnsi="Arial Regular" w:cs="Arial Regular"/>
          <w:sz w:val="20"/>
          <w:szCs w:val="20"/>
        </w:rPr>
        <w:t>ungrafted</w:t>
      </w:r>
      <w:proofErr w:type="spellEnd"/>
      <w:r>
        <w:rPr>
          <w:rFonts w:ascii="Arial Regular" w:hAnsi="Arial Regular" w:cs="Arial Regular"/>
          <w:sz w:val="20"/>
          <w:szCs w:val="20"/>
        </w:rPr>
        <w:t xml:space="preserve"> ones </w:t>
      </w:r>
      <w:r>
        <w:rPr>
          <w:rFonts w:ascii="Arial Regular" w:hAnsi="Arial Regular" w:cs="Arial Regular"/>
          <w:sz w:val="20"/>
          <w:szCs w:val="20"/>
        </w:rPr>
        <w:t>due to graft-induced oxidative stress.</w:t>
      </w:r>
    </w:p>
    <w:p w14:paraId="7F9373CF" w14:textId="77777777" w:rsidR="00C537C3" w:rsidRDefault="008B5688">
      <w:pPr>
        <w:pStyle w:val="Heading3"/>
        <w:keepNext w:val="0"/>
        <w:keepLines w:val="0"/>
        <w:spacing w:line="240" w:lineRule="auto"/>
        <w:jc w:val="both"/>
        <w:rPr>
          <w:rFonts w:ascii="Arial Regular" w:hAnsi="Arial Regular" w:cs="Arial Regular"/>
          <w:color w:val="000000"/>
          <w:sz w:val="21"/>
          <w:szCs w:val="21"/>
        </w:rPr>
      </w:pPr>
      <w:r>
        <w:rPr>
          <w:rStyle w:val="Strong"/>
          <w:rFonts w:ascii="Arial Regular" w:hAnsi="Arial Regular" w:cs="Arial Regular"/>
          <w:color w:val="000000"/>
          <w:sz w:val="21"/>
          <w:szCs w:val="21"/>
        </w:rPr>
        <w:t>CONCLUSION</w:t>
      </w:r>
    </w:p>
    <w:p w14:paraId="56CED431" w14:textId="77777777" w:rsidR="00C537C3" w:rsidRDefault="008B5688">
      <w:pPr>
        <w:pStyle w:val="NormalWeb"/>
        <w:spacing w:beforeAutospacing="1" w:line="240" w:lineRule="auto"/>
        <w:jc w:val="both"/>
        <w:rPr>
          <w:rFonts w:ascii="Arial Regular" w:hAnsi="Arial Regular" w:cs="Arial Regular"/>
          <w:color w:val="000000"/>
          <w:sz w:val="20"/>
          <w:szCs w:val="20"/>
        </w:rPr>
      </w:pPr>
      <w:r>
        <w:rPr>
          <w:rFonts w:ascii="Arial Regular" w:hAnsi="Arial Regular" w:cs="Arial Regular"/>
          <w:color w:val="000000"/>
          <w:sz w:val="20"/>
          <w:szCs w:val="20"/>
        </w:rPr>
        <w:t>The study demonstrated that grafting method, season, and propagation environment significantly influenced the physiological and biochemical performance of guava grafts. Wedge grafting under mist chamber conditions during February consistently produced supe</w:t>
      </w:r>
      <w:r>
        <w:rPr>
          <w:rFonts w:ascii="Arial Regular" w:hAnsi="Arial Regular" w:cs="Arial Regular"/>
          <w:color w:val="000000"/>
          <w:sz w:val="20"/>
          <w:szCs w:val="20"/>
        </w:rPr>
        <w:t>rior chlorophyll content, photosynthetic rate, and nitrate reductase activity, indicating optimal graft compatibility and metabolic efficiency. Lower phenol accumulation in these combinations further supported stronger union formation and reduced biochemic</w:t>
      </w:r>
      <w:r>
        <w:rPr>
          <w:rFonts w:ascii="Arial Regular" w:hAnsi="Arial Regular" w:cs="Arial Regular"/>
          <w:color w:val="000000"/>
          <w:sz w:val="20"/>
          <w:szCs w:val="20"/>
        </w:rPr>
        <w:t>al stress. Conversely, saddle grafting under open-field conditions exhibited reduced physiological efficiency and elevated phenols, reflecting weaker graft success. Antioxidant enzymes such as peroxidase and catalase were markedly higher during February, s</w:t>
      </w:r>
      <w:r>
        <w:rPr>
          <w:rFonts w:ascii="Arial Regular" w:hAnsi="Arial Regular" w:cs="Arial Regular"/>
          <w:color w:val="000000"/>
          <w:sz w:val="20"/>
          <w:szCs w:val="20"/>
        </w:rPr>
        <w:t xml:space="preserve">uggesting enhanced lignification and reactive oxygen species detoxification. Overall, the findings confirm that wedge grafting during February in a mist chamber provides the most </w:t>
      </w:r>
      <w:proofErr w:type="spellStart"/>
      <w:r>
        <w:rPr>
          <w:rFonts w:ascii="Arial Regular" w:hAnsi="Arial Regular" w:cs="Arial Regular"/>
          <w:color w:val="000000"/>
          <w:sz w:val="20"/>
          <w:szCs w:val="20"/>
        </w:rPr>
        <w:t>favorable</w:t>
      </w:r>
      <w:proofErr w:type="spellEnd"/>
      <w:r>
        <w:rPr>
          <w:rFonts w:ascii="Arial Regular" w:hAnsi="Arial Regular" w:cs="Arial Regular"/>
          <w:color w:val="000000"/>
          <w:sz w:val="20"/>
          <w:szCs w:val="20"/>
        </w:rPr>
        <w:t xml:space="preserve"> conditions for vigorous, healthy, and biochemically stable guava gr</w:t>
      </w:r>
      <w:r>
        <w:rPr>
          <w:rFonts w:ascii="Arial Regular" w:hAnsi="Arial Regular" w:cs="Arial Regular"/>
          <w:color w:val="000000"/>
          <w:sz w:val="20"/>
          <w:szCs w:val="20"/>
        </w:rPr>
        <w:t>aft establishment.</w:t>
      </w:r>
    </w:p>
    <w:p w14:paraId="506A6E71" w14:textId="68B21791" w:rsidR="00C537C3" w:rsidRDefault="008B5688">
      <w:pPr>
        <w:rPr>
          <w:rFonts w:ascii="Arial" w:hAnsi="Arial" w:cs="Arial"/>
          <w:bCs/>
        </w:rPr>
      </w:pPr>
      <w:bookmarkStart w:id="0" w:name="_GoBack"/>
      <w:bookmarkEnd w:id="0"/>
      <w:r>
        <w:rPr>
          <w:rFonts w:ascii="Arial Regular" w:eastAsia="sans-serif" w:hAnsi="Arial Regular" w:cs="Arial Regular"/>
          <w:kern w:val="0"/>
          <w:sz w:val="20"/>
          <w:szCs w:val="20"/>
          <w:lang w:val="en-US" w:eastAsia="zh-CN" w:bidi="ar"/>
        </w:rPr>
        <w:t>.</w:t>
      </w:r>
    </w:p>
    <w:p w14:paraId="1E1BB9DF" w14:textId="77777777" w:rsidR="00C537C3" w:rsidRDefault="008B5688">
      <w:pPr>
        <w:rPr>
          <w:rFonts w:ascii="Arial Bold" w:hAnsi="Arial Bold" w:cs="Arial Bold"/>
          <w:b/>
          <w:sz w:val="22"/>
          <w:szCs w:val="22"/>
        </w:rPr>
      </w:pPr>
      <w:r>
        <w:rPr>
          <w:rFonts w:ascii="Arial Bold" w:hAnsi="Arial Bold" w:cs="Arial Bold"/>
          <w:b/>
          <w:sz w:val="22"/>
          <w:szCs w:val="22"/>
        </w:rPr>
        <w:t xml:space="preserve">ETHICAL APPROVAL </w:t>
      </w:r>
    </w:p>
    <w:p w14:paraId="28B66B2B" w14:textId="77777777" w:rsidR="00C537C3" w:rsidRDefault="008B5688">
      <w:pPr>
        <w:rPr>
          <w:rFonts w:ascii="Arial Regular" w:hAnsi="Arial Regular" w:cs="Arial Regular"/>
          <w:sz w:val="20"/>
          <w:szCs w:val="20"/>
        </w:rPr>
      </w:pPr>
      <w:r>
        <w:rPr>
          <w:rFonts w:ascii="Arial" w:hAnsi="Arial" w:cs="Arial"/>
          <w:bCs/>
          <w:lang w:val="en-US"/>
        </w:rPr>
        <w:t xml:space="preserve"> </w:t>
      </w:r>
      <w:r>
        <w:rPr>
          <w:rFonts w:ascii="Arial Regular" w:eastAsia="sans-serif" w:hAnsi="Arial Regular" w:cs="Arial Regular"/>
          <w:kern w:val="0"/>
          <w:sz w:val="20"/>
          <w:szCs w:val="20"/>
          <w:lang w:val="en-US" w:eastAsia="zh-CN" w:bidi="ar"/>
        </w:rPr>
        <w:t>Animal Ethics committee approval has been collected and preserved by the author(s).</w:t>
      </w:r>
    </w:p>
    <w:p w14:paraId="793A0B36" w14:textId="77777777" w:rsidR="00C537C3" w:rsidRDefault="008B5688">
      <w:pPr>
        <w:pStyle w:val="NoSpacing"/>
        <w:spacing w:before="80"/>
        <w:jc w:val="both"/>
        <w:rPr>
          <w:rFonts w:ascii="Arial Bold" w:hAnsi="Arial Bold" w:cs="Arial Bold"/>
          <w:b/>
          <w:bCs/>
          <w:sz w:val="20"/>
          <w:szCs w:val="20"/>
          <w:lang w:val="en-IN"/>
        </w:rPr>
      </w:pPr>
      <w:r>
        <w:rPr>
          <w:rFonts w:ascii="Arial Bold" w:hAnsi="Arial Bold" w:cs="Arial Bold"/>
          <w:b/>
          <w:bCs/>
          <w:sz w:val="20"/>
          <w:szCs w:val="20"/>
          <w:lang w:val="en-IN"/>
        </w:rPr>
        <w:lastRenderedPageBreak/>
        <w:t>REFERENCES</w:t>
      </w:r>
    </w:p>
    <w:p w14:paraId="42CD1878" w14:textId="35983176"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Bray, H.G., and W.Y. Thrope. 1954. Analysis of phenolic compounds of interests in metabolism. </w:t>
      </w:r>
      <w:proofErr w:type="spellStart"/>
      <w:r w:rsidRPr="009355DD">
        <w:rPr>
          <w:rFonts w:ascii="Arial Regular" w:hAnsi="Arial Regular" w:cs="Arial Regular"/>
          <w:i/>
          <w:sz w:val="20"/>
          <w:szCs w:val="20"/>
        </w:rPr>
        <w:t>Biochem</w:t>
      </w:r>
      <w:proofErr w:type="spellEnd"/>
      <w:r w:rsidRPr="009355DD">
        <w:rPr>
          <w:rFonts w:ascii="Arial Regular" w:hAnsi="Arial Regular" w:cs="Arial Regular"/>
          <w:i/>
          <w:sz w:val="20"/>
          <w:szCs w:val="20"/>
        </w:rPr>
        <w:t>. Anal</w:t>
      </w:r>
      <w:r w:rsidRPr="009355DD">
        <w:rPr>
          <w:rFonts w:ascii="Arial Regular" w:hAnsi="Arial Regular" w:cs="Arial Regular"/>
          <w:sz w:val="20"/>
          <w:szCs w:val="20"/>
        </w:rPr>
        <w:t xml:space="preserve"> 1</w:t>
      </w:r>
      <w:r w:rsidR="00846EDD">
        <w:rPr>
          <w:rFonts w:ascii="Arial Regular" w:hAnsi="Arial Regular" w:cs="Arial Regular"/>
          <w:sz w:val="20"/>
          <w:szCs w:val="20"/>
        </w:rPr>
        <w:t>:27</w:t>
      </w:r>
      <w:r w:rsidRPr="009355DD">
        <w:rPr>
          <w:rFonts w:ascii="Arial Regular" w:hAnsi="Arial Regular" w:cs="Arial Regular"/>
          <w:sz w:val="20"/>
          <w:szCs w:val="20"/>
        </w:rPr>
        <w:t>:52.</w:t>
      </w:r>
    </w:p>
    <w:p w14:paraId="51308531"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Ding, C.-K., K. </w:t>
      </w:r>
      <w:proofErr w:type="spellStart"/>
      <w:r w:rsidRPr="009355DD">
        <w:rPr>
          <w:rFonts w:ascii="Arial Regular" w:hAnsi="Arial Regular" w:cs="Arial Regular"/>
          <w:sz w:val="20"/>
          <w:szCs w:val="20"/>
        </w:rPr>
        <w:t>Chachin</w:t>
      </w:r>
      <w:proofErr w:type="spellEnd"/>
      <w:r w:rsidRPr="009355DD">
        <w:rPr>
          <w:rFonts w:ascii="Arial Regular" w:hAnsi="Arial Regular" w:cs="Arial Regular"/>
          <w:sz w:val="20"/>
          <w:szCs w:val="20"/>
        </w:rPr>
        <w:t xml:space="preserve">, Y. </w:t>
      </w:r>
      <w:proofErr w:type="spellStart"/>
      <w:r w:rsidRPr="009355DD">
        <w:rPr>
          <w:rFonts w:ascii="Arial Regular" w:hAnsi="Arial Regular" w:cs="Arial Regular"/>
          <w:sz w:val="20"/>
          <w:szCs w:val="20"/>
        </w:rPr>
        <w:t>Hamauzu</w:t>
      </w:r>
      <w:proofErr w:type="spellEnd"/>
      <w:r w:rsidRPr="009355DD">
        <w:rPr>
          <w:rFonts w:ascii="Arial Regular" w:hAnsi="Arial Regular" w:cs="Arial Regular"/>
          <w:sz w:val="20"/>
          <w:szCs w:val="20"/>
        </w:rPr>
        <w:t xml:space="preserve">, Y. Ueda, and Y. </w:t>
      </w:r>
      <w:proofErr w:type="spellStart"/>
      <w:r w:rsidRPr="009355DD">
        <w:rPr>
          <w:rFonts w:ascii="Arial Regular" w:hAnsi="Arial Regular" w:cs="Arial Regular"/>
          <w:sz w:val="20"/>
          <w:szCs w:val="20"/>
        </w:rPr>
        <w:t>Imahori</w:t>
      </w:r>
      <w:proofErr w:type="spellEnd"/>
      <w:r w:rsidRPr="009355DD">
        <w:rPr>
          <w:rFonts w:ascii="Arial Regular" w:hAnsi="Arial Regular" w:cs="Arial Regular"/>
          <w:sz w:val="20"/>
          <w:szCs w:val="20"/>
        </w:rPr>
        <w:t xml:space="preserve">. 1998. Effects of storage temperatures on physiology and quality of loquat fruit.  </w:t>
      </w:r>
      <w:r w:rsidRPr="009355DD">
        <w:rPr>
          <w:rFonts w:ascii="Arial Regular" w:hAnsi="Arial Regular" w:cs="Arial Regular"/>
          <w:i/>
          <w:sz w:val="20"/>
          <w:szCs w:val="20"/>
        </w:rPr>
        <w:t>Postharvest Biology and Technology</w:t>
      </w:r>
      <w:r w:rsidRPr="009355DD">
        <w:rPr>
          <w:rFonts w:ascii="Arial Regular" w:hAnsi="Arial Regular" w:cs="Arial Regular"/>
          <w:sz w:val="20"/>
          <w:szCs w:val="20"/>
        </w:rPr>
        <w:t xml:space="preserve"> 14 (3):309-315.</w:t>
      </w:r>
    </w:p>
    <w:p w14:paraId="4D727B39" w14:textId="425848F5"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Duan, X., Bi, H.G., Li, T., Wu, G.X., Li, Q.M., Ai, X.Z.</w:t>
      </w:r>
      <w:r w:rsidR="009355DD">
        <w:rPr>
          <w:rFonts w:ascii="Arial Regular" w:hAnsi="Arial Regular" w:cs="Arial Regular"/>
          <w:sz w:val="20"/>
          <w:szCs w:val="20"/>
        </w:rPr>
        <w:t xml:space="preserve"> </w:t>
      </w:r>
      <w:r w:rsidR="009355DD" w:rsidRPr="009355DD">
        <w:rPr>
          <w:rFonts w:ascii="Arial Regular" w:hAnsi="Arial Regular" w:cs="Arial Regular"/>
          <w:sz w:val="20"/>
          <w:szCs w:val="20"/>
        </w:rPr>
        <w:t>2017</w:t>
      </w:r>
      <w:r w:rsidRPr="009355DD">
        <w:rPr>
          <w:rFonts w:ascii="Arial Regular" w:hAnsi="Arial Regular" w:cs="Arial Regular"/>
          <w:sz w:val="20"/>
          <w:szCs w:val="20"/>
        </w:rPr>
        <w:t xml:space="preserve"> Root characteristics of grafted peppers and their resistance to Fusarium </w:t>
      </w:r>
      <w:proofErr w:type="spellStart"/>
      <w:r w:rsidRPr="009355DD">
        <w:rPr>
          <w:rFonts w:ascii="Arial Regular" w:hAnsi="Arial Regular" w:cs="Arial Regular"/>
          <w:sz w:val="20"/>
          <w:szCs w:val="20"/>
        </w:rPr>
        <w:t>solani</w:t>
      </w:r>
      <w:proofErr w:type="spellEnd"/>
      <w:r w:rsidRPr="009355DD">
        <w:rPr>
          <w:rFonts w:ascii="Arial Regular" w:hAnsi="Arial Regular" w:cs="Arial Regular"/>
          <w:sz w:val="20"/>
          <w:szCs w:val="20"/>
        </w:rPr>
        <w:t>. - Biol. Plant. 61: 579-</w:t>
      </w:r>
      <w:proofErr w:type="gramStart"/>
      <w:r w:rsidRPr="009355DD">
        <w:rPr>
          <w:rFonts w:ascii="Arial Regular" w:hAnsi="Arial Regular" w:cs="Arial Regular"/>
          <w:sz w:val="20"/>
          <w:szCs w:val="20"/>
        </w:rPr>
        <w:t>586,.</w:t>
      </w:r>
      <w:proofErr w:type="gramEnd"/>
      <w:r w:rsidRPr="009355DD">
        <w:rPr>
          <w:rFonts w:ascii="Arial Regular" w:hAnsi="Arial Regular" w:cs="Arial Regular"/>
          <w:sz w:val="20"/>
          <w:szCs w:val="20"/>
        </w:rPr>
        <w:t xml:space="preserve"> </w:t>
      </w:r>
    </w:p>
    <w:p w14:paraId="385EDC4A" w14:textId="5EA5D3CF"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Gjessing E.C and Sumner J.B (1943).</w:t>
      </w:r>
      <w:r w:rsidRPr="009355DD">
        <w:rPr>
          <w:rFonts w:ascii="Roboto" w:hAnsi="Roboto"/>
          <w:color w:val="0A0A0A"/>
          <w:shd w:val="clear" w:color="auto" w:fill="FFFFFF"/>
        </w:rPr>
        <w:t xml:space="preserve"> </w:t>
      </w:r>
      <w:r w:rsidRPr="009355DD">
        <w:rPr>
          <w:rFonts w:ascii="Arial Regular" w:hAnsi="Arial Regular" w:cs="Arial Regular"/>
          <w:sz w:val="20"/>
          <w:szCs w:val="20"/>
        </w:rPr>
        <w:t>A Method for the Determination of Peroxidase Activity.</w:t>
      </w:r>
      <w:r w:rsidRPr="009355DD">
        <w:rPr>
          <w:rFonts w:ascii="Roboto" w:hAnsi="Roboto"/>
          <w:i/>
          <w:iCs/>
          <w:color w:val="0A0A0A"/>
          <w:shd w:val="clear" w:color="auto" w:fill="FFFFFF"/>
        </w:rPr>
        <w:t xml:space="preserve"> </w:t>
      </w:r>
      <w:r w:rsidRPr="009355DD">
        <w:rPr>
          <w:rFonts w:ascii="Arial Regular" w:hAnsi="Arial Regular" w:cs="Arial Regular"/>
          <w:i/>
          <w:iCs/>
          <w:sz w:val="20"/>
          <w:szCs w:val="20"/>
        </w:rPr>
        <w:t xml:space="preserve">Arch. </w:t>
      </w:r>
      <w:proofErr w:type="spellStart"/>
      <w:r w:rsidRPr="009355DD">
        <w:rPr>
          <w:rFonts w:ascii="Arial Regular" w:hAnsi="Arial Regular" w:cs="Arial Regular"/>
          <w:i/>
          <w:iCs/>
          <w:sz w:val="20"/>
          <w:szCs w:val="20"/>
        </w:rPr>
        <w:t>Biochem</w:t>
      </w:r>
      <w:proofErr w:type="spellEnd"/>
      <w:r w:rsidRPr="009355DD">
        <w:rPr>
          <w:rFonts w:ascii="Arial Regular" w:hAnsi="Arial Regular" w:cs="Arial Regular"/>
          <w:i/>
          <w:iCs/>
          <w:sz w:val="20"/>
          <w:szCs w:val="20"/>
        </w:rPr>
        <w:t>.</w:t>
      </w:r>
      <w:r w:rsidRPr="009355DD">
        <w:rPr>
          <w:rFonts w:ascii="Arial Regular" w:hAnsi="Arial Regular" w:cs="Arial Regular"/>
          <w:sz w:val="20"/>
          <w:szCs w:val="20"/>
        </w:rPr>
        <w:t> 2: 291–293.</w:t>
      </w:r>
    </w:p>
    <w:p w14:paraId="3BEE0C0E" w14:textId="77777777"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 xml:space="preserve">Goldschmidt, E. E. </w:t>
      </w:r>
      <w:r w:rsidRPr="009355DD">
        <w:rPr>
          <w:rFonts w:ascii="Arial Regular" w:hAnsi="Arial Regular" w:cs="Arial Regular"/>
          <w:sz w:val="20"/>
          <w:szCs w:val="20"/>
        </w:rPr>
        <w:t>(2014). Plant grafting: new mechanisms, evolutionary implications. </w:t>
      </w:r>
      <w:r w:rsidRPr="009355DD">
        <w:rPr>
          <w:rFonts w:ascii="Arial Regular" w:hAnsi="Arial Regular" w:cs="Arial Regular"/>
          <w:i/>
          <w:iCs/>
          <w:sz w:val="20"/>
          <w:szCs w:val="20"/>
        </w:rPr>
        <w:t>Front. Plant Sci.</w:t>
      </w:r>
      <w:r w:rsidRPr="009355DD">
        <w:rPr>
          <w:rFonts w:ascii="Arial Regular" w:hAnsi="Arial Regular" w:cs="Arial Regular"/>
          <w:sz w:val="20"/>
          <w:szCs w:val="20"/>
        </w:rPr>
        <w:t xml:space="preserve"> 5:727. </w:t>
      </w:r>
      <w:proofErr w:type="spellStart"/>
      <w:r w:rsidRPr="009355DD">
        <w:rPr>
          <w:rFonts w:ascii="Arial Regular" w:hAnsi="Arial Regular" w:cs="Arial Regular"/>
          <w:sz w:val="20"/>
          <w:szCs w:val="20"/>
        </w:rPr>
        <w:t>doi</w:t>
      </w:r>
      <w:proofErr w:type="spellEnd"/>
      <w:r w:rsidRPr="009355DD">
        <w:rPr>
          <w:rFonts w:ascii="Arial Regular" w:hAnsi="Arial Regular" w:cs="Arial Regular"/>
          <w:sz w:val="20"/>
          <w:szCs w:val="20"/>
        </w:rPr>
        <w:t>: 10.3389/fpls.2014.00727</w:t>
      </w:r>
    </w:p>
    <w:p w14:paraId="36514077"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Gopalachari</w:t>
      </w:r>
      <w:proofErr w:type="spellEnd"/>
      <w:r w:rsidRPr="009355DD">
        <w:rPr>
          <w:rFonts w:ascii="Arial Regular" w:hAnsi="Arial Regular" w:cs="Arial Regular"/>
          <w:sz w:val="20"/>
          <w:szCs w:val="20"/>
        </w:rPr>
        <w:t xml:space="preserve">, K. 1963. The India-China Boundary Question.  </w:t>
      </w:r>
      <w:r w:rsidRPr="009355DD">
        <w:rPr>
          <w:rFonts w:ascii="Arial Regular" w:hAnsi="Arial Regular" w:cs="Arial Regular"/>
          <w:i/>
          <w:sz w:val="20"/>
          <w:szCs w:val="20"/>
        </w:rPr>
        <w:t>International Studies</w:t>
      </w:r>
      <w:r w:rsidRPr="009355DD">
        <w:rPr>
          <w:rFonts w:ascii="Arial Regular" w:hAnsi="Arial Regular" w:cs="Arial Regular"/>
          <w:sz w:val="20"/>
          <w:szCs w:val="20"/>
        </w:rPr>
        <w:t xml:space="preserve"> 5 </w:t>
      </w:r>
      <w:r w:rsidRPr="009355DD">
        <w:rPr>
          <w:rFonts w:ascii="Arial Regular" w:hAnsi="Arial Regular" w:cs="Arial Regular"/>
          <w:sz w:val="20"/>
          <w:szCs w:val="20"/>
        </w:rPr>
        <w:br/>
        <w:t>(1-2):33-42.</w:t>
      </w:r>
    </w:p>
    <w:p w14:paraId="34E0CC86" w14:textId="77777777"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Gulen</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Hatice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Mensure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Celik</w:t>
      </w:r>
      <w:proofErr w:type="spellEnd"/>
      <w:r w:rsidRPr="009355DD">
        <w:rPr>
          <w:rFonts w:ascii="Arial Regular" w:hAnsi="Arial Regular" w:cs="Arial Regular"/>
          <w:sz w:val="20"/>
          <w:szCs w:val="20"/>
        </w:rPr>
        <w:t xml:space="preserve">, Mehmet </w:t>
      </w:r>
      <w:proofErr w:type="spellStart"/>
      <w:r w:rsidRPr="009355DD">
        <w:rPr>
          <w:rFonts w:ascii="Arial Regular" w:hAnsi="Arial Regular" w:cs="Arial Regular"/>
          <w:sz w:val="20"/>
          <w:szCs w:val="20"/>
        </w:rPr>
        <w:t>Polat</w:t>
      </w:r>
      <w:proofErr w:type="spellEnd"/>
      <w:r w:rsidRPr="009355DD">
        <w:rPr>
          <w:rFonts w:ascii="Arial Regular" w:hAnsi="Arial Regular" w:cs="Arial Regular"/>
          <w:sz w:val="20"/>
          <w:szCs w:val="20"/>
        </w:rPr>
        <w:t xml:space="preserve">, and Atilla Eris. 2005. "Cambial </w:t>
      </w:r>
      <w:proofErr w:type="spellStart"/>
      <w:r w:rsidRPr="009355DD">
        <w:rPr>
          <w:rFonts w:ascii="Arial Regular" w:hAnsi="Arial Regular" w:cs="Arial Regular"/>
          <w:sz w:val="20"/>
          <w:szCs w:val="20"/>
        </w:rPr>
        <w:t>isoperoxidases</w:t>
      </w:r>
      <w:proofErr w:type="spellEnd"/>
      <w:r w:rsidRPr="009355DD">
        <w:rPr>
          <w:rFonts w:ascii="Arial Regular" w:hAnsi="Arial Regular" w:cs="Arial Regular"/>
          <w:sz w:val="20"/>
          <w:szCs w:val="20"/>
        </w:rPr>
        <w:t xml:space="preserve"> related to graft compatibility in pear-quince graft combinations." </w:t>
      </w:r>
      <w:r w:rsidRPr="009355DD">
        <w:rPr>
          <w:rFonts w:ascii="Arial Regular" w:hAnsi="Arial Regular" w:cs="Arial Regular"/>
          <w:i/>
          <w:iCs/>
          <w:sz w:val="20"/>
          <w:szCs w:val="20"/>
        </w:rPr>
        <w:t xml:space="preserve">Turkish Journal of Agriculture and Forestry </w:t>
      </w:r>
      <w:r w:rsidRPr="009355DD">
        <w:rPr>
          <w:rFonts w:ascii="Arial Regular" w:hAnsi="Arial Regular" w:cs="Arial Regular"/>
          <w:sz w:val="20"/>
          <w:szCs w:val="20"/>
        </w:rPr>
        <w:t>29 (1):83-89.</w:t>
      </w:r>
    </w:p>
    <w:p w14:paraId="2220312C" w14:textId="1D7A9A91"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Hiratsuka, Shin, Suzuki, Mayu, Nishimura, Hiroshi, Nada, and Kazuyoshi. 2015. "Fruit photosynthesis in Satsuma mandarin."  </w:t>
      </w:r>
      <w:r w:rsidRPr="009355DD">
        <w:rPr>
          <w:rFonts w:ascii="Arial Regular" w:hAnsi="Arial Regular" w:cs="Arial Regular"/>
          <w:i/>
          <w:sz w:val="20"/>
          <w:szCs w:val="20"/>
        </w:rPr>
        <w:t>Plant Science</w:t>
      </w:r>
      <w:r w:rsidRPr="009355DD">
        <w:rPr>
          <w:rFonts w:ascii="Arial Regular" w:hAnsi="Arial Regular" w:cs="Arial Regular"/>
          <w:sz w:val="20"/>
          <w:szCs w:val="20"/>
        </w:rPr>
        <w:t>: 65-69.</w:t>
      </w:r>
    </w:p>
    <w:p w14:paraId="6622E4BA" w14:textId="77777777" w:rsidR="00C537C3" w:rsidRPr="009355DD" w:rsidRDefault="008B5688">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Hoel, B., and K. Solhaug. 1998. Effect of irradiance on chlorophyll estimation with the Minolta SPAD-502 leaf chlorophyll meter.  </w:t>
      </w:r>
      <w:r w:rsidRPr="009355DD">
        <w:rPr>
          <w:rFonts w:ascii="Arial Regular" w:hAnsi="Arial Regular" w:cs="Arial Regular"/>
          <w:i/>
          <w:sz w:val="20"/>
          <w:szCs w:val="20"/>
        </w:rPr>
        <w:t>Annals of Botany</w:t>
      </w:r>
      <w:r w:rsidRPr="009355DD">
        <w:rPr>
          <w:rFonts w:ascii="Arial Regular" w:hAnsi="Arial Regular" w:cs="Arial Regular"/>
          <w:sz w:val="20"/>
          <w:szCs w:val="20"/>
        </w:rPr>
        <w:t xml:space="preserve"> 82 (3):389-392.</w:t>
      </w:r>
    </w:p>
    <w:p w14:paraId="2477C058" w14:textId="1B79A46E" w:rsidR="00C658A6" w:rsidRPr="009355DD" w:rsidRDefault="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Irisarri, Patricia, Piotr Binczycki, Pilar Errea, Helle Juel Martens, and Ana Pina. 2015. "Oxidative stress associated with rootstock–scion interactions in pear/quince combinations during early stages of graft development." </w:t>
      </w:r>
      <w:r w:rsidRPr="009355DD">
        <w:rPr>
          <w:rFonts w:ascii="Arial Regular" w:hAnsi="Arial Regular" w:cs="Arial Regular"/>
          <w:i/>
          <w:iCs/>
          <w:sz w:val="20"/>
          <w:szCs w:val="20"/>
        </w:rPr>
        <w:t xml:space="preserve">Journal of Plant Physiology </w:t>
      </w:r>
      <w:r w:rsidRPr="009355DD">
        <w:rPr>
          <w:rFonts w:ascii="Arial Regular" w:hAnsi="Arial Regular" w:cs="Arial Regular"/>
          <w:sz w:val="20"/>
          <w:szCs w:val="20"/>
        </w:rPr>
        <w:t>176:25-35.</w:t>
      </w:r>
    </w:p>
    <w:p w14:paraId="4C29F5DA" w14:textId="435EBC93"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Iryna, I., </w:t>
      </w:r>
      <w:proofErr w:type="spellStart"/>
      <w:r w:rsidRPr="009355DD">
        <w:rPr>
          <w:rFonts w:ascii="Arial Regular" w:hAnsi="Arial Regular" w:cs="Arial Regular"/>
          <w:sz w:val="20"/>
          <w:szCs w:val="20"/>
        </w:rPr>
        <w:t>Tartachnyk</w:t>
      </w:r>
      <w:proofErr w:type="spellEnd"/>
      <w:r w:rsidRPr="009355DD">
        <w:rPr>
          <w:rFonts w:ascii="Arial Regular" w:hAnsi="Arial Regular" w:cs="Arial Regular"/>
          <w:sz w:val="20"/>
          <w:szCs w:val="20"/>
        </w:rPr>
        <w:t xml:space="preserve">, M. Michael, and M. Blanke. 2004. Effect of delayed fruit harvest on photosynthesis, transpiration and nutrient remobilization of apple leaves, </w:t>
      </w:r>
      <w:r w:rsidRPr="009355DD">
        <w:rPr>
          <w:rFonts w:ascii="Arial Regular" w:hAnsi="Arial Regular" w:cs="Arial Regular"/>
          <w:i/>
          <w:sz w:val="20"/>
          <w:szCs w:val="20"/>
        </w:rPr>
        <w:t>new phytologist</w:t>
      </w:r>
      <w:r w:rsidRPr="009355DD">
        <w:rPr>
          <w:rFonts w:ascii="Arial Regular" w:hAnsi="Arial Regular" w:cs="Arial Regular"/>
          <w:sz w:val="20"/>
          <w:szCs w:val="20"/>
        </w:rPr>
        <w:t>.</w:t>
      </w:r>
    </w:p>
    <w:p w14:paraId="63ADA90E"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Monje, O., and B. Bugbee. 1992. Inherent limitations of </w:t>
      </w:r>
      <w:proofErr w:type="spellStart"/>
      <w:r w:rsidRPr="009355DD">
        <w:rPr>
          <w:rFonts w:ascii="Arial Regular" w:hAnsi="Arial Regular" w:cs="Arial Regular"/>
          <w:sz w:val="20"/>
          <w:szCs w:val="20"/>
        </w:rPr>
        <w:t>nondestructive</w:t>
      </w:r>
      <w:proofErr w:type="spellEnd"/>
      <w:r w:rsidRPr="009355DD">
        <w:rPr>
          <w:rFonts w:ascii="Arial Regular" w:hAnsi="Arial Regular" w:cs="Arial Regular"/>
          <w:sz w:val="20"/>
          <w:szCs w:val="20"/>
        </w:rPr>
        <w:t xml:space="preserve"> chlorophyll meters: a </w:t>
      </w:r>
      <w:r w:rsidRPr="009355DD">
        <w:rPr>
          <w:rFonts w:ascii="Arial Regular" w:hAnsi="Arial Regular" w:cs="Arial Regular"/>
          <w:sz w:val="20"/>
          <w:szCs w:val="20"/>
        </w:rPr>
        <w:t xml:space="preserve">comparison of two types of meters.  </w:t>
      </w:r>
      <w:proofErr w:type="spellStart"/>
      <w:r w:rsidRPr="009355DD">
        <w:rPr>
          <w:rFonts w:ascii="Arial Regular" w:hAnsi="Arial Regular" w:cs="Arial Regular"/>
          <w:i/>
          <w:sz w:val="20"/>
          <w:szCs w:val="20"/>
        </w:rPr>
        <w:t>HortScience</w:t>
      </w:r>
      <w:proofErr w:type="spellEnd"/>
      <w:r w:rsidRPr="009355DD">
        <w:rPr>
          <w:rFonts w:ascii="Arial Regular" w:hAnsi="Arial Regular" w:cs="Arial Regular"/>
          <w:sz w:val="20"/>
          <w:szCs w:val="20"/>
        </w:rPr>
        <w:t xml:space="preserve"> 27 (1):69-71.</w:t>
      </w:r>
    </w:p>
    <w:p w14:paraId="3C54BAF8"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Murti, G., and K. Upreti. 2003. Endogenous hormones and phenols in rootstock seedlings of mango cultivars and their relationship with seedling vigour.  </w:t>
      </w:r>
      <w:r w:rsidRPr="009355DD">
        <w:rPr>
          <w:rFonts w:ascii="Arial Regular" w:hAnsi="Arial Regular" w:cs="Arial Regular"/>
          <w:i/>
          <w:sz w:val="20"/>
          <w:szCs w:val="20"/>
        </w:rPr>
        <w:t>European Journal of Horticultural Science</w:t>
      </w:r>
      <w:r w:rsidRPr="009355DD">
        <w:rPr>
          <w:rFonts w:ascii="Arial Regular" w:hAnsi="Arial Regular" w:cs="Arial Regular"/>
          <w:sz w:val="20"/>
          <w:szCs w:val="20"/>
        </w:rPr>
        <w:t>:</w:t>
      </w:r>
      <w:r w:rsidRPr="009355DD">
        <w:rPr>
          <w:rFonts w:ascii="Arial Regular" w:hAnsi="Arial Regular" w:cs="Arial Regular"/>
          <w:sz w:val="20"/>
          <w:szCs w:val="20"/>
        </w:rPr>
        <w:t xml:space="preserve"> 2-7.</w:t>
      </w:r>
    </w:p>
    <w:p w14:paraId="1995A179"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Nicholas, J., J. Harper, and R. Hageman. 1976. Nitrate reductase activity in soybeans (</w:t>
      </w:r>
      <w:r w:rsidRPr="009355DD">
        <w:rPr>
          <w:rFonts w:ascii="Arial Regular" w:hAnsi="Arial Regular" w:cs="Arial Regular"/>
          <w:i/>
          <w:sz w:val="20"/>
          <w:szCs w:val="20"/>
        </w:rPr>
        <w:t>Glycine max [L</w:t>
      </w:r>
      <w:r w:rsidRPr="009355DD">
        <w:rPr>
          <w:rFonts w:ascii="Arial Regular" w:hAnsi="Arial Regular" w:cs="Arial Regular"/>
          <w:sz w:val="20"/>
          <w:szCs w:val="20"/>
        </w:rPr>
        <w:t xml:space="preserve">.] </w:t>
      </w:r>
      <w:proofErr w:type="spellStart"/>
      <w:r w:rsidRPr="009355DD">
        <w:rPr>
          <w:rFonts w:ascii="Arial Regular" w:hAnsi="Arial Regular" w:cs="Arial Regular"/>
          <w:i/>
          <w:sz w:val="20"/>
          <w:szCs w:val="20"/>
        </w:rPr>
        <w:t>Merr</w:t>
      </w:r>
      <w:proofErr w:type="spellEnd"/>
      <w:r w:rsidRPr="009355DD">
        <w:rPr>
          <w:rFonts w:ascii="Arial Regular" w:hAnsi="Arial Regular" w:cs="Arial Regular"/>
          <w:sz w:val="20"/>
          <w:szCs w:val="20"/>
        </w:rPr>
        <w:t xml:space="preserve">.): I. effects of light and temperature.  </w:t>
      </w:r>
      <w:r w:rsidRPr="009355DD">
        <w:rPr>
          <w:rFonts w:ascii="Arial Regular" w:hAnsi="Arial Regular" w:cs="Arial Regular"/>
          <w:i/>
          <w:sz w:val="20"/>
          <w:szCs w:val="20"/>
        </w:rPr>
        <w:t>Plant Physiology</w:t>
      </w:r>
      <w:r w:rsidRPr="009355DD">
        <w:rPr>
          <w:rFonts w:ascii="Arial Regular" w:hAnsi="Arial Regular" w:cs="Arial Regular"/>
          <w:sz w:val="20"/>
          <w:szCs w:val="20"/>
        </w:rPr>
        <w:t xml:space="preserve"> 58 (6):731-735.</w:t>
      </w:r>
    </w:p>
    <w:p w14:paraId="1C606F95"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Schreiber, K., T. </w:t>
      </w:r>
      <w:proofErr w:type="spellStart"/>
      <w:r w:rsidRPr="009355DD">
        <w:rPr>
          <w:rFonts w:ascii="Arial Regular" w:hAnsi="Arial Regular" w:cs="Arial Regular"/>
          <w:sz w:val="20"/>
          <w:szCs w:val="20"/>
        </w:rPr>
        <w:t>Klügel</w:t>
      </w:r>
      <w:proofErr w:type="spellEnd"/>
      <w:r w:rsidRPr="009355DD">
        <w:rPr>
          <w:rFonts w:ascii="Arial Regular" w:hAnsi="Arial Regular" w:cs="Arial Regular"/>
          <w:sz w:val="20"/>
          <w:szCs w:val="20"/>
        </w:rPr>
        <w:t>, and G. Stedman. 2003. Earth tide and tilt</w:t>
      </w:r>
      <w:r w:rsidRPr="009355DD">
        <w:rPr>
          <w:rFonts w:ascii="Arial Regular" w:hAnsi="Arial Regular" w:cs="Arial Regular"/>
          <w:sz w:val="20"/>
          <w:szCs w:val="20"/>
        </w:rPr>
        <w:t xml:space="preserve"> detection by a ring laser gyroscope.  </w:t>
      </w:r>
      <w:r w:rsidRPr="009355DD">
        <w:rPr>
          <w:rFonts w:ascii="Arial Regular" w:hAnsi="Arial Regular" w:cs="Arial Regular"/>
          <w:i/>
          <w:sz w:val="20"/>
          <w:szCs w:val="20"/>
        </w:rPr>
        <w:t>Journal of Geophysical Research: Solid Earth</w:t>
      </w:r>
      <w:r w:rsidRPr="009355DD">
        <w:rPr>
          <w:rFonts w:ascii="Arial Regular" w:hAnsi="Arial Regular" w:cs="Arial Regular"/>
          <w:sz w:val="20"/>
          <w:szCs w:val="20"/>
        </w:rPr>
        <w:t xml:space="preserve"> 108 (B2).</w:t>
      </w:r>
    </w:p>
    <w:p w14:paraId="78763B6A" w14:textId="4D5A1122" w:rsidR="009355DD" w:rsidRPr="009355DD" w:rsidRDefault="009355DD" w:rsidP="009355DD">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Syamal</w:t>
      </w:r>
      <w:proofErr w:type="spellEnd"/>
      <w:r w:rsidRPr="009355DD">
        <w:rPr>
          <w:rFonts w:ascii="Arial Regular" w:hAnsi="Arial Regular" w:cs="Arial Regular"/>
          <w:sz w:val="20"/>
          <w:szCs w:val="20"/>
        </w:rPr>
        <w:t xml:space="preserve"> MM, </w:t>
      </w:r>
      <w:proofErr w:type="spellStart"/>
      <w:r w:rsidRPr="009355DD">
        <w:rPr>
          <w:rFonts w:ascii="Arial Regular" w:hAnsi="Arial Regular" w:cs="Arial Regular"/>
          <w:sz w:val="20"/>
          <w:szCs w:val="20"/>
        </w:rPr>
        <w:t>Katiyar</w:t>
      </w:r>
      <w:proofErr w:type="spellEnd"/>
      <w:r w:rsidRPr="009355DD">
        <w:rPr>
          <w:rFonts w:ascii="Arial Regular" w:hAnsi="Arial Regular" w:cs="Arial Regular"/>
          <w:sz w:val="20"/>
          <w:szCs w:val="20"/>
        </w:rPr>
        <w:t xml:space="preserve"> R, Joshi M. Performance of wedge grafting in guava under different growing conditions. Indian J </w:t>
      </w:r>
      <w:proofErr w:type="spellStart"/>
      <w:r w:rsidRPr="009355DD">
        <w:rPr>
          <w:rFonts w:ascii="Arial Regular" w:hAnsi="Arial Regular" w:cs="Arial Regular"/>
          <w:sz w:val="20"/>
          <w:szCs w:val="20"/>
        </w:rPr>
        <w:t>Hortic</w:t>
      </w:r>
      <w:proofErr w:type="spellEnd"/>
      <w:r w:rsidRPr="009355DD">
        <w:rPr>
          <w:rFonts w:ascii="Arial Regular" w:hAnsi="Arial Regular" w:cs="Arial Regular"/>
          <w:sz w:val="20"/>
          <w:szCs w:val="20"/>
        </w:rPr>
        <w:t>. 2012;69(3):424-427.</w:t>
      </w:r>
    </w:p>
    <w:p w14:paraId="3AA56BB0" w14:textId="44FEC428"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 xml:space="preserve">Zhang, W.N., Duan, X.W., Ma, C., Harada, T., Li, T.Z.: Transport of mRNA molecules coding NAC domain protein in grafted pear and transgenic </w:t>
      </w:r>
      <w:r w:rsidR="009355DD" w:rsidRPr="009355DD">
        <w:rPr>
          <w:rFonts w:ascii="Arial Regular" w:hAnsi="Arial Regular" w:cs="Arial Regular"/>
          <w:sz w:val="20"/>
          <w:szCs w:val="20"/>
        </w:rPr>
        <w:t>tobacco</w:t>
      </w:r>
      <w:r w:rsidR="009355DD">
        <w:rPr>
          <w:rFonts w:ascii="Arial Regular" w:hAnsi="Arial Regular" w:cs="Arial Regular"/>
          <w:sz w:val="20"/>
          <w:szCs w:val="20"/>
        </w:rPr>
        <w:t xml:space="preserve"> 2013</w:t>
      </w:r>
      <w:r w:rsidRPr="009355DD">
        <w:rPr>
          <w:rFonts w:ascii="Arial Regular" w:hAnsi="Arial Regular" w:cs="Arial Regular"/>
          <w:sz w:val="20"/>
          <w:szCs w:val="20"/>
        </w:rPr>
        <w:t>. - Biol. Plant. 57: 224-230</w:t>
      </w:r>
      <w:r w:rsidR="009355DD">
        <w:rPr>
          <w:rFonts w:ascii="Arial Regular" w:hAnsi="Arial Regular" w:cs="Arial Regular"/>
          <w:sz w:val="20"/>
          <w:szCs w:val="20"/>
        </w:rPr>
        <w:t>.</w:t>
      </w:r>
    </w:p>
    <w:p w14:paraId="18EA543F" w14:textId="1955A8BC" w:rsidR="00C537C3" w:rsidRPr="009355DD" w:rsidRDefault="008B5688"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Whetten, Ross W, John J MacKay, and Ronald R Sederoff. 1998. "Recent advances in understanding lignin biosynthesis." </w:t>
      </w:r>
      <w:r w:rsidRPr="009355DD">
        <w:rPr>
          <w:rFonts w:ascii="Arial Regular" w:hAnsi="Arial Regular" w:cs="Arial Regular"/>
          <w:i/>
          <w:iCs/>
          <w:sz w:val="20"/>
          <w:szCs w:val="20"/>
        </w:rPr>
        <w:t xml:space="preserve">Annual Review of Plant Biology </w:t>
      </w:r>
      <w:r w:rsidRPr="009355DD">
        <w:rPr>
          <w:rFonts w:ascii="Arial Regular" w:hAnsi="Arial Regular" w:cs="Arial Regular"/>
          <w:sz w:val="20"/>
          <w:szCs w:val="20"/>
        </w:rPr>
        <w:t>49 (1):</w:t>
      </w:r>
      <w:r w:rsidRPr="009355DD">
        <w:rPr>
          <w:rFonts w:ascii="Arial Regular" w:hAnsi="Arial Regular" w:cs="Arial Regular"/>
          <w:sz w:val="20"/>
          <w:szCs w:val="20"/>
        </w:rPr>
        <w:br/>
        <w:t>585-609.</w:t>
      </w:r>
    </w:p>
    <w:p w14:paraId="3179CE5F" w14:textId="2DDB25A4" w:rsidR="00111974" w:rsidRDefault="008B5688" w:rsidP="00111974">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Xu, CQ, TL Li, HY Qi, and H Wang. 2005. "Effects of grafting on growth and development, yie</w:t>
      </w:r>
      <w:r w:rsidRPr="009355DD">
        <w:rPr>
          <w:rFonts w:ascii="Arial Regular" w:hAnsi="Arial Regular" w:cs="Arial Regular"/>
          <w:sz w:val="20"/>
          <w:szCs w:val="20"/>
        </w:rPr>
        <w:t xml:space="preserve">ld, and quality of muskmelon." </w:t>
      </w:r>
      <w:r w:rsidRPr="009355DD">
        <w:rPr>
          <w:rFonts w:ascii="Arial Regular" w:hAnsi="Arial Regular" w:cs="Arial Regular"/>
          <w:i/>
          <w:iCs/>
          <w:sz w:val="20"/>
          <w:szCs w:val="20"/>
        </w:rPr>
        <w:t xml:space="preserve">China Vegetables </w:t>
      </w:r>
      <w:r w:rsidRPr="009355DD">
        <w:rPr>
          <w:rFonts w:ascii="Arial Regular" w:hAnsi="Arial Regular" w:cs="Arial Regular"/>
          <w:sz w:val="20"/>
          <w:szCs w:val="20"/>
        </w:rPr>
        <w:t>6:12-14.</w:t>
      </w:r>
    </w:p>
    <w:p w14:paraId="096558E9" w14:textId="1E456950" w:rsidR="00111974" w:rsidRDefault="00111974" w:rsidP="00111974">
      <w:pPr>
        <w:tabs>
          <w:tab w:val="left" w:pos="567"/>
        </w:tabs>
        <w:spacing w:before="120" w:after="120" w:line="240" w:lineRule="auto"/>
        <w:jc w:val="both"/>
        <w:rPr>
          <w:rFonts w:ascii="Arial Regular" w:hAnsi="Arial Regular" w:cs="Arial Regular"/>
          <w:sz w:val="20"/>
          <w:szCs w:val="20"/>
        </w:rPr>
      </w:pPr>
      <w:r>
        <w:rPr>
          <w:rFonts w:ascii="Arial Regular" w:hAnsi="Arial Regular" w:cs="Arial Regular"/>
          <w:sz w:val="20"/>
          <w:szCs w:val="20"/>
        </w:rPr>
        <w:br w:type="page"/>
      </w:r>
    </w:p>
    <w:p w14:paraId="4B65A401" w14:textId="77777777" w:rsidR="00111974" w:rsidRDefault="00111974" w:rsidP="00111974">
      <w:pPr>
        <w:tabs>
          <w:tab w:val="left" w:pos="567"/>
        </w:tabs>
        <w:spacing w:before="120" w:after="120" w:line="240" w:lineRule="auto"/>
        <w:jc w:val="both"/>
        <w:rPr>
          <w:rFonts w:ascii="Arial Regular" w:hAnsi="Arial Regular" w:cs="Arial Regular"/>
          <w:sz w:val="20"/>
          <w:szCs w:val="20"/>
        </w:rPr>
        <w:sectPr w:rsidR="00111974" w:rsidSect="0007106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5D3DCB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1. Effect of different grafting and propagation condition on </w:t>
      </w:r>
      <w:r w:rsidRPr="00111974">
        <w:rPr>
          <w:rFonts w:ascii="Arial Regular" w:hAnsi="Arial Regular" w:cs="Arial Regular"/>
          <w:b/>
          <w:bCs/>
          <w:sz w:val="20"/>
          <w:szCs w:val="20"/>
          <w:lang w:val="en-US"/>
        </w:rPr>
        <w:t xml:space="preserve">Chlorophyll (SPAD UNIT) and Photosynthetic rate </w:t>
      </w:r>
      <w:r w:rsidRPr="00111974">
        <w:rPr>
          <w:rFonts w:ascii="Arial Regular" w:hAnsi="Arial Regular" w:cs="Arial Regular"/>
          <w:b/>
          <w:sz w:val="20"/>
          <w:szCs w:val="20"/>
          <w:lang w:val="en-US"/>
        </w:rPr>
        <w:t>(</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0BADDAAB"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B91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2570786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6C837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February –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29FD5E2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7812FE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February- 2019</w:t>
            </w:r>
          </w:p>
        </w:tc>
      </w:tr>
      <w:tr w:rsidR="00111974" w:rsidRPr="00111974" w14:paraId="4A68BFC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A8F3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543FFB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2CB5590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424798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579E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2A7573A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76E377F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0F7DD01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68A5C7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3AEDA53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49E8D26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DB96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1931A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9239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2BA70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2ED61B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BA43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4D9667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F922CA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15C7EA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16B81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24.58</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5387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74CED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21.73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2FE8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19.60</w:t>
            </w:r>
          </w:p>
        </w:tc>
        <w:tc>
          <w:tcPr>
            <w:tcW w:w="870" w:type="dxa"/>
            <w:tcBorders>
              <w:top w:val="single" w:sz="4" w:space="0" w:color="auto"/>
              <w:left w:val="single" w:sz="4" w:space="0" w:color="auto"/>
              <w:bottom w:val="single" w:sz="4" w:space="0" w:color="auto"/>
              <w:right w:val="single" w:sz="4" w:space="0" w:color="auto"/>
            </w:tcBorders>
            <w:vAlign w:val="center"/>
            <w:hideMark/>
          </w:tcPr>
          <w:p w14:paraId="5FFBDF6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30.34</w:t>
            </w:r>
          </w:p>
        </w:tc>
        <w:tc>
          <w:tcPr>
            <w:tcW w:w="771" w:type="dxa"/>
            <w:tcBorders>
              <w:top w:val="single" w:sz="4" w:space="0" w:color="auto"/>
              <w:left w:val="single" w:sz="4" w:space="0" w:color="auto"/>
              <w:bottom w:val="single" w:sz="4" w:space="0" w:color="auto"/>
              <w:right w:val="single" w:sz="4" w:space="0" w:color="auto"/>
            </w:tcBorders>
            <w:vAlign w:val="center"/>
            <w:hideMark/>
          </w:tcPr>
          <w:p w14:paraId="5CB70C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76BC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24.44</w:t>
            </w:r>
          </w:p>
        </w:tc>
        <w:tc>
          <w:tcPr>
            <w:tcW w:w="889" w:type="dxa"/>
            <w:tcBorders>
              <w:top w:val="single" w:sz="4" w:space="0" w:color="auto"/>
              <w:left w:val="single" w:sz="4" w:space="0" w:color="auto"/>
              <w:bottom w:val="single" w:sz="4" w:space="0" w:color="auto"/>
              <w:right w:val="single" w:sz="4" w:space="0" w:color="auto"/>
            </w:tcBorders>
            <w:vAlign w:val="center"/>
            <w:hideMark/>
          </w:tcPr>
          <w:p w14:paraId="671D13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12.35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190BE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16.65</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F11E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527A6B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14.73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3474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13.98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5DBCE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18.58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724E68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17.01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C7F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16.52</w:t>
            </w:r>
          </w:p>
        </w:tc>
      </w:tr>
      <w:tr w:rsidR="00111974" w:rsidRPr="00111974" w14:paraId="25DEA83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0BFC7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4CE1894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18.02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35CEC3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23.67</w:t>
            </w:r>
          </w:p>
        </w:tc>
        <w:tc>
          <w:tcPr>
            <w:tcW w:w="771" w:type="dxa"/>
            <w:tcBorders>
              <w:top w:val="single" w:sz="4" w:space="0" w:color="auto"/>
              <w:left w:val="single" w:sz="4" w:space="0" w:color="auto"/>
              <w:bottom w:val="single" w:sz="4" w:space="0" w:color="auto"/>
              <w:right w:val="single" w:sz="4" w:space="0" w:color="auto"/>
            </w:tcBorders>
            <w:vAlign w:val="center"/>
            <w:hideMark/>
          </w:tcPr>
          <w:p w14:paraId="1EDE0DD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22.20</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C686A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21.29</w:t>
            </w:r>
          </w:p>
        </w:tc>
        <w:tc>
          <w:tcPr>
            <w:tcW w:w="878" w:type="dxa"/>
            <w:tcBorders>
              <w:top w:val="single" w:sz="4" w:space="0" w:color="auto"/>
              <w:left w:val="single" w:sz="4" w:space="0" w:color="auto"/>
              <w:bottom w:val="single" w:sz="4" w:space="0" w:color="auto"/>
              <w:right w:val="single" w:sz="4" w:space="0" w:color="auto"/>
            </w:tcBorders>
            <w:vAlign w:val="center"/>
            <w:hideMark/>
          </w:tcPr>
          <w:p w14:paraId="262813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85B6F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26.83</w:t>
            </w:r>
          </w:p>
        </w:tc>
        <w:tc>
          <w:tcPr>
            <w:tcW w:w="771" w:type="dxa"/>
            <w:tcBorders>
              <w:top w:val="single" w:sz="4" w:space="0" w:color="auto"/>
              <w:left w:val="single" w:sz="4" w:space="0" w:color="auto"/>
              <w:bottom w:val="single" w:sz="4" w:space="0" w:color="auto"/>
              <w:right w:val="single" w:sz="4" w:space="0" w:color="auto"/>
            </w:tcBorders>
            <w:vAlign w:val="center"/>
            <w:hideMark/>
          </w:tcPr>
          <w:p w14:paraId="26CA0E4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24.49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091C79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24.26</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A33F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8CEBC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14.43</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2D95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14.74</w:t>
            </w:r>
          </w:p>
        </w:tc>
        <w:tc>
          <w:tcPr>
            <w:tcW w:w="803" w:type="dxa"/>
            <w:tcBorders>
              <w:top w:val="single" w:sz="4" w:space="0" w:color="auto"/>
              <w:left w:val="single" w:sz="4" w:space="0" w:color="auto"/>
              <w:bottom w:val="single" w:sz="4" w:space="0" w:color="auto"/>
              <w:right w:val="single" w:sz="4" w:space="0" w:color="auto"/>
            </w:tcBorders>
            <w:vAlign w:val="center"/>
            <w:hideMark/>
          </w:tcPr>
          <w:p w14:paraId="35D232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DBEF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1F892E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16.43</w:t>
            </w:r>
          </w:p>
        </w:tc>
        <w:tc>
          <w:tcPr>
            <w:tcW w:w="758" w:type="dxa"/>
            <w:tcBorders>
              <w:top w:val="single" w:sz="4" w:space="0" w:color="auto"/>
              <w:left w:val="single" w:sz="4" w:space="0" w:color="auto"/>
              <w:bottom w:val="single" w:sz="4" w:space="0" w:color="auto"/>
              <w:right w:val="single" w:sz="4" w:space="0" w:color="auto"/>
            </w:tcBorders>
            <w:vAlign w:val="center"/>
            <w:hideMark/>
          </w:tcPr>
          <w:p w14:paraId="6CC8F2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C01D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15.64</w:t>
            </w:r>
          </w:p>
        </w:tc>
      </w:tr>
      <w:tr w:rsidR="00111974" w:rsidRPr="00111974" w14:paraId="584945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9E8E2A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4B3C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19.87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F65067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22.88</w:t>
            </w:r>
          </w:p>
        </w:tc>
        <w:tc>
          <w:tcPr>
            <w:tcW w:w="771" w:type="dxa"/>
            <w:tcBorders>
              <w:top w:val="single" w:sz="4" w:space="0" w:color="auto"/>
              <w:left w:val="single" w:sz="4" w:space="0" w:color="auto"/>
              <w:bottom w:val="single" w:sz="4" w:space="0" w:color="auto"/>
              <w:right w:val="single" w:sz="4" w:space="0" w:color="auto"/>
            </w:tcBorders>
            <w:vAlign w:val="center"/>
            <w:hideMark/>
          </w:tcPr>
          <w:p w14:paraId="51B679E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23.08</w:t>
            </w:r>
          </w:p>
        </w:tc>
        <w:tc>
          <w:tcPr>
            <w:tcW w:w="803" w:type="dxa"/>
            <w:tcBorders>
              <w:top w:val="single" w:sz="4" w:space="0" w:color="auto"/>
              <w:left w:val="single" w:sz="4" w:space="0" w:color="auto"/>
              <w:bottom w:val="single" w:sz="4" w:space="0" w:color="auto"/>
              <w:right w:val="single" w:sz="4" w:space="0" w:color="auto"/>
            </w:tcBorders>
            <w:vAlign w:val="center"/>
            <w:hideMark/>
          </w:tcPr>
          <w:p w14:paraId="606F1E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21.94</w:t>
            </w:r>
          </w:p>
        </w:tc>
        <w:tc>
          <w:tcPr>
            <w:tcW w:w="878" w:type="dxa"/>
            <w:tcBorders>
              <w:top w:val="single" w:sz="4" w:space="0" w:color="auto"/>
              <w:left w:val="single" w:sz="4" w:space="0" w:color="auto"/>
              <w:bottom w:val="single" w:sz="4" w:space="0" w:color="auto"/>
              <w:right w:val="single" w:sz="4" w:space="0" w:color="auto"/>
            </w:tcBorders>
            <w:vAlign w:val="center"/>
            <w:hideMark/>
          </w:tcPr>
          <w:p w14:paraId="21F3272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21.94</w:t>
            </w:r>
          </w:p>
        </w:tc>
        <w:tc>
          <w:tcPr>
            <w:tcW w:w="870" w:type="dxa"/>
            <w:tcBorders>
              <w:top w:val="single" w:sz="4" w:space="0" w:color="auto"/>
              <w:left w:val="single" w:sz="4" w:space="0" w:color="auto"/>
              <w:bottom w:val="single" w:sz="4" w:space="0" w:color="auto"/>
              <w:right w:val="single" w:sz="4" w:space="0" w:color="auto"/>
            </w:tcBorders>
            <w:vAlign w:val="center"/>
            <w:hideMark/>
          </w:tcPr>
          <w:p w14:paraId="0832555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0E00D7B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22.19</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5FD9D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23.89</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35424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473CA5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13.39</w:t>
            </w:r>
          </w:p>
        </w:tc>
        <w:tc>
          <w:tcPr>
            <w:tcW w:w="921" w:type="dxa"/>
            <w:tcBorders>
              <w:top w:val="single" w:sz="4" w:space="0" w:color="auto"/>
              <w:left w:val="single" w:sz="4" w:space="0" w:color="auto"/>
              <w:bottom w:val="single" w:sz="4" w:space="0" w:color="auto"/>
              <w:right w:val="single" w:sz="4" w:space="0" w:color="auto"/>
            </w:tcBorders>
            <w:vAlign w:val="center"/>
            <w:hideMark/>
          </w:tcPr>
          <w:p w14:paraId="7CB6C3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7AB5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13.65</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91BF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25EF1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15.39</w:t>
            </w:r>
          </w:p>
        </w:tc>
        <w:tc>
          <w:tcPr>
            <w:tcW w:w="758" w:type="dxa"/>
            <w:tcBorders>
              <w:top w:val="single" w:sz="4" w:space="0" w:color="auto"/>
              <w:left w:val="single" w:sz="4" w:space="0" w:color="auto"/>
              <w:bottom w:val="single" w:sz="4" w:space="0" w:color="auto"/>
              <w:right w:val="single" w:sz="4" w:space="0" w:color="auto"/>
            </w:tcBorders>
            <w:vAlign w:val="center"/>
            <w:hideMark/>
          </w:tcPr>
          <w:p w14:paraId="5F719C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C86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14.82</w:t>
            </w:r>
          </w:p>
        </w:tc>
      </w:tr>
      <w:tr w:rsidR="00111974" w:rsidRPr="00111974" w14:paraId="578D889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FDB34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D34C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33AD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17.61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280B7A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16.76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F11AB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16.80</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ED2B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16.63</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B1D5C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771" w:type="dxa"/>
            <w:tcBorders>
              <w:top w:val="single" w:sz="4" w:space="0" w:color="auto"/>
              <w:left w:val="single" w:sz="4" w:space="0" w:color="auto"/>
              <w:bottom w:val="single" w:sz="4" w:space="0" w:color="auto"/>
              <w:right w:val="single" w:sz="4" w:space="0" w:color="auto"/>
            </w:tcBorders>
            <w:vAlign w:val="center"/>
            <w:hideMark/>
          </w:tcPr>
          <w:p w14:paraId="0D632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FB20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19.41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31A676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6FCB3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13.07</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7B550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12.05</w:t>
            </w:r>
          </w:p>
        </w:tc>
        <w:tc>
          <w:tcPr>
            <w:tcW w:w="803" w:type="dxa"/>
            <w:tcBorders>
              <w:top w:val="single" w:sz="4" w:space="0" w:color="auto"/>
              <w:left w:val="single" w:sz="4" w:space="0" w:color="auto"/>
              <w:bottom w:val="single" w:sz="4" w:space="0" w:color="auto"/>
              <w:right w:val="single" w:sz="4" w:space="0" w:color="auto"/>
            </w:tcBorders>
            <w:vAlign w:val="center"/>
            <w:hideMark/>
          </w:tcPr>
          <w:p w14:paraId="117ABD6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12.29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CBFC3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C369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13.28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AC13A3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2741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12.96</w:t>
            </w:r>
          </w:p>
        </w:tc>
      </w:tr>
      <w:tr w:rsidR="00111974" w:rsidRPr="00111974" w14:paraId="687BC2B4"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BBD5BE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5A7B60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18.24</w:t>
            </w:r>
          </w:p>
        </w:tc>
        <w:tc>
          <w:tcPr>
            <w:tcW w:w="770" w:type="dxa"/>
            <w:tcBorders>
              <w:top w:val="single" w:sz="4" w:space="0" w:color="auto"/>
              <w:left w:val="single" w:sz="4" w:space="0" w:color="auto"/>
              <w:bottom w:val="single" w:sz="4" w:space="0" w:color="auto"/>
              <w:right w:val="single" w:sz="4" w:space="0" w:color="auto"/>
            </w:tcBorders>
            <w:vAlign w:val="center"/>
            <w:hideMark/>
          </w:tcPr>
          <w:p w14:paraId="4A44D36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22.18</w:t>
            </w:r>
          </w:p>
        </w:tc>
        <w:tc>
          <w:tcPr>
            <w:tcW w:w="771" w:type="dxa"/>
            <w:tcBorders>
              <w:top w:val="single" w:sz="4" w:space="0" w:color="auto"/>
              <w:left w:val="single" w:sz="4" w:space="0" w:color="auto"/>
              <w:bottom w:val="single" w:sz="4" w:space="0" w:color="auto"/>
              <w:right w:val="single" w:sz="4" w:space="0" w:color="auto"/>
            </w:tcBorders>
            <w:vAlign w:val="center"/>
            <w:hideMark/>
          </w:tcPr>
          <w:p w14:paraId="4D6EFC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20.9</w:t>
            </w:r>
          </w:p>
        </w:tc>
        <w:tc>
          <w:tcPr>
            <w:tcW w:w="803" w:type="dxa"/>
            <w:tcBorders>
              <w:top w:val="single" w:sz="4" w:space="0" w:color="auto"/>
              <w:left w:val="single" w:sz="4" w:space="0" w:color="auto"/>
              <w:bottom w:val="single" w:sz="4" w:space="0" w:color="auto"/>
              <w:right w:val="single" w:sz="4" w:space="0" w:color="auto"/>
            </w:tcBorders>
            <w:vAlign w:val="center"/>
          </w:tcPr>
          <w:p w14:paraId="35CCF11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1249AF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19.90</w:t>
            </w:r>
          </w:p>
        </w:tc>
        <w:tc>
          <w:tcPr>
            <w:tcW w:w="870" w:type="dxa"/>
            <w:tcBorders>
              <w:top w:val="single" w:sz="4" w:space="0" w:color="auto"/>
              <w:left w:val="single" w:sz="4" w:space="0" w:color="auto"/>
              <w:bottom w:val="single" w:sz="4" w:space="0" w:color="auto"/>
              <w:right w:val="single" w:sz="4" w:space="0" w:color="auto"/>
            </w:tcBorders>
            <w:vAlign w:val="center"/>
            <w:hideMark/>
          </w:tcPr>
          <w:p w14:paraId="2FD74D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27.03</w:t>
            </w:r>
          </w:p>
        </w:tc>
        <w:tc>
          <w:tcPr>
            <w:tcW w:w="771" w:type="dxa"/>
            <w:tcBorders>
              <w:top w:val="single" w:sz="4" w:space="0" w:color="auto"/>
              <w:left w:val="single" w:sz="4" w:space="0" w:color="auto"/>
              <w:bottom w:val="single" w:sz="4" w:space="0" w:color="auto"/>
              <w:right w:val="single" w:sz="4" w:space="0" w:color="auto"/>
            </w:tcBorders>
            <w:vAlign w:val="center"/>
            <w:hideMark/>
          </w:tcPr>
          <w:p w14:paraId="71B6C6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22.07</w:t>
            </w:r>
          </w:p>
        </w:tc>
        <w:tc>
          <w:tcPr>
            <w:tcW w:w="803" w:type="dxa"/>
            <w:tcBorders>
              <w:top w:val="single" w:sz="4" w:space="0" w:color="auto"/>
              <w:left w:val="single" w:sz="4" w:space="0" w:color="auto"/>
              <w:bottom w:val="single" w:sz="4" w:space="0" w:color="auto"/>
              <w:right w:val="single" w:sz="4" w:space="0" w:color="auto"/>
            </w:tcBorders>
            <w:vAlign w:val="center"/>
          </w:tcPr>
          <w:p w14:paraId="0BE0683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3B0B77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12.73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ED87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14.38</w:t>
            </w:r>
          </w:p>
        </w:tc>
        <w:tc>
          <w:tcPr>
            <w:tcW w:w="921" w:type="dxa"/>
            <w:tcBorders>
              <w:top w:val="single" w:sz="4" w:space="0" w:color="auto"/>
              <w:left w:val="single" w:sz="4" w:space="0" w:color="auto"/>
              <w:bottom w:val="single" w:sz="4" w:space="0" w:color="auto"/>
              <w:right w:val="single" w:sz="4" w:space="0" w:color="auto"/>
            </w:tcBorders>
            <w:vAlign w:val="center"/>
            <w:hideMark/>
          </w:tcPr>
          <w:p w14:paraId="5072B1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13.97</w:t>
            </w:r>
          </w:p>
        </w:tc>
        <w:tc>
          <w:tcPr>
            <w:tcW w:w="803" w:type="dxa"/>
            <w:tcBorders>
              <w:top w:val="single" w:sz="4" w:space="0" w:color="auto"/>
              <w:left w:val="single" w:sz="4" w:space="0" w:color="auto"/>
              <w:bottom w:val="single" w:sz="4" w:space="0" w:color="auto"/>
              <w:right w:val="single" w:sz="4" w:space="0" w:color="auto"/>
            </w:tcBorders>
            <w:vAlign w:val="center"/>
          </w:tcPr>
          <w:p w14:paraId="5B1724B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21E79B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14.14</w:t>
            </w:r>
          </w:p>
        </w:tc>
        <w:tc>
          <w:tcPr>
            <w:tcW w:w="756" w:type="dxa"/>
            <w:tcBorders>
              <w:top w:val="single" w:sz="4" w:space="0" w:color="auto"/>
              <w:left w:val="single" w:sz="4" w:space="0" w:color="auto"/>
              <w:bottom w:val="single" w:sz="4" w:space="0" w:color="auto"/>
              <w:right w:val="single" w:sz="4" w:space="0" w:color="auto"/>
            </w:tcBorders>
            <w:vAlign w:val="center"/>
            <w:hideMark/>
          </w:tcPr>
          <w:p w14:paraId="4D3BD73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15.92</w:t>
            </w:r>
          </w:p>
        </w:tc>
        <w:tc>
          <w:tcPr>
            <w:tcW w:w="758" w:type="dxa"/>
            <w:tcBorders>
              <w:top w:val="single" w:sz="4" w:space="0" w:color="auto"/>
              <w:left w:val="single" w:sz="4" w:space="0" w:color="auto"/>
              <w:bottom w:val="single" w:sz="4" w:space="0" w:color="auto"/>
              <w:right w:val="single" w:sz="4" w:space="0" w:color="auto"/>
            </w:tcBorders>
            <w:vAlign w:val="center"/>
            <w:hideMark/>
          </w:tcPr>
          <w:p w14:paraId="0BBD3C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14.89</w:t>
            </w:r>
          </w:p>
        </w:tc>
        <w:tc>
          <w:tcPr>
            <w:tcW w:w="992" w:type="dxa"/>
            <w:tcBorders>
              <w:top w:val="single" w:sz="4" w:space="0" w:color="auto"/>
              <w:left w:val="single" w:sz="4" w:space="0" w:color="auto"/>
              <w:bottom w:val="single" w:sz="4" w:space="0" w:color="auto"/>
              <w:right w:val="single" w:sz="4" w:space="0" w:color="auto"/>
            </w:tcBorders>
            <w:vAlign w:val="center"/>
          </w:tcPr>
          <w:p w14:paraId="75B62A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17CA23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6EE9579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8D150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100D41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7D611B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A7331C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49D9C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C34F83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722598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D14E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8F1EF20"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F36C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2A5C3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0.64</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C55FA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9649A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751E9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5F223A1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0.43</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F1AD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4A788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7FF51C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0.98**</w:t>
            </w:r>
          </w:p>
        </w:tc>
      </w:tr>
      <w:tr w:rsidR="00111974" w:rsidRPr="00111974" w14:paraId="416DB94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46F8DA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569ABA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0.56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8EA0C5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1.16*</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5E9374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FB9E4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5F3D5B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659E79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0.78**</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215F1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EDAF8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0.85*</w:t>
            </w:r>
          </w:p>
        </w:tc>
      </w:tr>
      <w:tr w:rsidR="00111974" w:rsidRPr="00111974" w14:paraId="59ED5D2C"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96957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1006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DBA5B9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157C13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1.27</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9B1D6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2.63*</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FC430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47A9D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EF80F9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0.82</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D7AC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1.69*</w:t>
            </w:r>
          </w:p>
        </w:tc>
      </w:tr>
    </w:tbl>
    <w:p w14:paraId="021C3A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1003C2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 xml:space="preserve">NS – </w:t>
      </w:r>
      <w:proofErr w:type="gramStart"/>
      <w:r w:rsidRPr="00111974">
        <w:rPr>
          <w:rFonts w:ascii="Arial Regular" w:hAnsi="Arial Regular" w:cs="Arial Regular"/>
          <w:sz w:val="20"/>
          <w:szCs w:val="20"/>
          <w:lang w:val="en-US"/>
        </w:rPr>
        <w:t>Non significant</w:t>
      </w:r>
      <w:proofErr w:type="gramEnd"/>
      <w:r w:rsidRPr="00111974">
        <w:rPr>
          <w:rFonts w:ascii="Arial Regular" w:hAnsi="Arial Regular" w:cs="Arial Regular"/>
          <w:sz w:val="20"/>
          <w:szCs w:val="20"/>
          <w:lang w:val="en-US"/>
        </w:rPr>
        <w:t xml:space="preserve">     ** - Significant</w:t>
      </w:r>
    </w:p>
    <w:p w14:paraId="7B4CAF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7FFB05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2. Effect of different grafting and propagation condition on </w:t>
      </w: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 xml:space="preserve">(mg/g) </w:t>
      </w:r>
      <w:r w:rsidRPr="00111974">
        <w:rPr>
          <w:rFonts w:ascii="Arial Regular" w:hAnsi="Arial Regular" w:cs="Arial Regular"/>
          <w:b/>
          <w:bCs/>
          <w:sz w:val="20"/>
          <w:szCs w:val="20"/>
          <w:lang w:val="en-US"/>
        </w:rPr>
        <w:t>and 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33BC2ED2"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C039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8C2B4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70A04EA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50F75A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3C5213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February- 2019</w:t>
            </w:r>
          </w:p>
        </w:tc>
      </w:tr>
      <w:tr w:rsidR="00111974" w:rsidRPr="00111974" w14:paraId="59ADF33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CF5B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6A4A8B7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48D58AA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3361A5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9E43D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0B9E6C9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B7FD7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883DC0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59CE6E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6F5367D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C36BD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D0DBF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6AE1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6397F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C8781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66B453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123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07F5A82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01588EB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673D5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A859E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771" w:type="dxa"/>
            <w:tcBorders>
              <w:top w:val="single" w:sz="4" w:space="0" w:color="auto"/>
              <w:left w:val="single" w:sz="4" w:space="0" w:color="auto"/>
              <w:bottom w:val="single" w:sz="4" w:space="0" w:color="auto"/>
              <w:right w:val="single" w:sz="4" w:space="0" w:color="auto"/>
            </w:tcBorders>
            <w:vAlign w:val="center"/>
            <w:hideMark/>
          </w:tcPr>
          <w:p w14:paraId="218D62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81197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3.27</w:t>
            </w:r>
          </w:p>
        </w:tc>
        <w:tc>
          <w:tcPr>
            <w:tcW w:w="878" w:type="dxa"/>
            <w:tcBorders>
              <w:top w:val="single" w:sz="4" w:space="0" w:color="auto"/>
              <w:left w:val="single" w:sz="4" w:space="0" w:color="auto"/>
              <w:bottom w:val="single" w:sz="4" w:space="0" w:color="auto"/>
              <w:right w:val="single" w:sz="4" w:space="0" w:color="auto"/>
            </w:tcBorders>
            <w:vAlign w:val="center"/>
            <w:hideMark/>
          </w:tcPr>
          <w:p w14:paraId="65E03FE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007C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B41B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A12B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3.38</w:t>
            </w:r>
          </w:p>
        </w:tc>
        <w:tc>
          <w:tcPr>
            <w:tcW w:w="889" w:type="dxa"/>
            <w:tcBorders>
              <w:top w:val="single" w:sz="4" w:space="0" w:color="auto"/>
              <w:left w:val="single" w:sz="4" w:space="0" w:color="auto"/>
              <w:bottom w:val="single" w:sz="4" w:space="0" w:color="auto"/>
              <w:right w:val="single" w:sz="4" w:space="0" w:color="auto"/>
            </w:tcBorders>
            <w:vAlign w:val="center"/>
            <w:hideMark/>
          </w:tcPr>
          <w:p w14:paraId="52218C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65.25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C1D09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72.56</w:t>
            </w:r>
          </w:p>
        </w:tc>
        <w:tc>
          <w:tcPr>
            <w:tcW w:w="921" w:type="dxa"/>
            <w:tcBorders>
              <w:top w:val="single" w:sz="4" w:space="0" w:color="auto"/>
              <w:left w:val="single" w:sz="4" w:space="0" w:color="auto"/>
              <w:bottom w:val="single" w:sz="4" w:space="0" w:color="auto"/>
              <w:right w:val="single" w:sz="4" w:space="0" w:color="auto"/>
            </w:tcBorders>
            <w:vAlign w:val="center"/>
            <w:hideMark/>
          </w:tcPr>
          <w:p w14:paraId="30F40E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71.22</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DD4A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69.67</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8774B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69.78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95797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76.58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6161435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11F2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72.17</w:t>
            </w:r>
          </w:p>
        </w:tc>
      </w:tr>
      <w:tr w:rsidR="00111974" w:rsidRPr="00111974" w14:paraId="187C322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6410A5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83625C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3.34</w:t>
            </w:r>
          </w:p>
        </w:tc>
        <w:tc>
          <w:tcPr>
            <w:tcW w:w="770" w:type="dxa"/>
            <w:tcBorders>
              <w:top w:val="single" w:sz="4" w:space="0" w:color="auto"/>
              <w:left w:val="single" w:sz="4" w:space="0" w:color="auto"/>
              <w:bottom w:val="single" w:sz="4" w:space="0" w:color="auto"/>
              <w:right w:val="single" w:sz="4" w:space="0" w:color="auto"/>
            </w:tcBorders>
            <w:vAlign w:val="center"/>
            <w:hideMark/>
          </w:tcPr>
          <w:p w14:paraId="10537D6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2.99</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FE06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3.36</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55A7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20E6D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7A06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771" w:type="dxa"/>
            <w:tcBorders>
              <w:top w:val="single" w:sz="4" w:space="0" w:color="auto"/>
              <w:left w:val="single" w:sz="4" w:space="0" w:color="auto"/>
              <w:bottom w:val="single" w:sz="4" w:space="0" w:color="auto"/>
              <w:right w:val="single" w:sz="4" w:space="0" w:color="auto"/>
            </w:tcBorders>
            <w:vAlign w:val="center"/>
            <w:hideMark/>
          </w:tcPr>
          <w:p w14:paraId="2A5D1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DB9E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3.68</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5B3EC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853D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71.89</w:t>
            </w:r>
          </w:p>
        </w:tc>
        <w:tc>
          <w:tcPr>
            <w:tcW w:w="921" w:type="dxa"/>
            <w:tcBorders>
              <w:top w:val="single" w:sz="4" w:space="0" w:color="auto"/>
              <w:left w:val="single" w:sz="4" w:space="0" w:color="auto"/>
              <w:bottom w:val="single" w:sz="4" w:space="0" w:color="auto"/>
              <w:right w:val="single" w:sz="4" w:space="0" w:color="auto"/>
            </w:tcBorders>
            <w:vAlign w:val="center"/>
            <w:hideMark/>
          </w:tcPr>
          <w:p w14:paraId="1188C71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4B35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5F58E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68.30</w:t>
            </w:r>
          </w:p>
        </w:tc>
        <w:tc>
          <w:tcPr>
            <w:tcW w:w="756" w:type="dxa"/>
            <w:tcBorders>
              <w:top w:val="single" w:sz="4" w:space="0" w:color="auto"/>
              <w:left w:val="single" w:sz="4" w:space="0" w:color="auto"/>
              <w:bottom w:val="single" w:sz="4" w:space="0" w:color="auto"/>
              <w:right w:val="single" w:sz="4" w:space="0" w:color="auto"/>
            </w:tcBorders>
            <w:vAlign w:val="center"/>
            <w:hideMark/>
          </w:tcPr>
          <w:p w14:paraId="03E3418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68.65</w:t>
            </w:r>
          </w:p>
        </w:tc>
        <w:tc>
          <w:tcPr>
            <w:tcW w:w="758" w:type="dxa"/>
            <w:tcBorders>
              <w:top w:val="single" w:sz="4" w:space="0" w:color="auto"/>
              <w:left w:val="single" w:sz="4" w:space="0" w:color="auto"/>
              <w:bottom w:val="single" w:sz="4" w:space="0" w:color="auto"/>
              <w:right w:val="single" w:sz="4" w:space="0" w:color="auto"/>
            </w:tcBorders>
            <w:vAlign w:val="center"/>
            <w:hideMark/>
          </w:tcPr>
          <w:p w14:paraId="4056CD0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67.11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4B4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68.02</w:t>
            </w:r>
          </w:p>
        </w:tc>
      </w:tr>
      <w:tr w:rsidR="00111974" w:rsidRPr="00111974" w14:paraId="4FA5B29B"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F9C334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667ADA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0" w:type="dxa"/>
            <w:tcBorders>
              <w:top w:val="single" w:sz="4" w:space="0" w:color="auto"/>
              <w:left w:val="single" w:sz="4" w:space="0" w:color="auto"/>
              <w:bottom w:val="single" w:sz="4" w:space="0" w:color="auto"/>
              <w:right w:val="single" w:sz="4" w:space="0" w:color="auto"/>
            </w:tcBorders>
            <w:vAlign w:val="center"/>
            <w:hideMark/>
          </w:tcPr>
          <w:p w14:paraId="627D42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1" w:type="dxa"/>
            <w:tcBorders>
              <w:top w:val="single" w:sz="4" w:space="0" w:color="auto"/>
              <w:left w:val="single" w:sz="4" w:space="0" w:color="auto"/>
              <w:bottom w:val="single" w:sz="4" w:space="0" w:color="auto"/>
              <w:right w:val="single" w:sz="4" w:space="0" w:color="auto"/>
            </w:tcBorders>
            <w:vAlign w:val="center"/>
            <w:hideMark/>
          </w:tcPr>
          <w:p w14:paraId="7A794EB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3.90</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CEFB2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3.52</w:t>
            </w:r>
          </w:p>
        </w:tc>
        <w:tc>
          <w:tcPr>
            <w:tcW w:w="878" w:type="dxa"/>
            <w:tcBorders>
              <w:top w:val="single" w:sz="4" w:space="0" w:color="auto"/>
              <w:left w:val="single" w:sz="4" w:space="0" w:color="auto"/>
              <w:bottom w:val="single" w:sz="4" w:space="0" w:color="auto"/>
              <w:right w:val="single" w:sz="4" w:space="0" w:color="auto"/>
            </w:tcBorders>
            <w:vAlign w:val="center"/>
            <w:hideMark/>
          </w:tcPr>
          <w:p w14:paraId="11852A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AA573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3.78</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E098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C4521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3.57</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2264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66.70</w:t>
            </w:r>
          </w:p>
        </w:tc>
        <w:tc>
          <w:tcPr>
            <w:tcW w:w="756" w:type="dxa"/>
            <w:tcBorders>
              <w:top w:val="single" w:sz="4" w:space="0" w:color="auto"/>
              <w:left w:val="single" w:sz="4" w:space="0" w:color="auto"/>
              <w:bottom w:val="single" w:sz="4" w:space="0" w:color="auto"/>
              <w:right w:val="single" w:sz="4" w:space="0" w:color="auto"/>
            </w:tcBorders>
            <w:vAlign w:val="center"/>
            <w:hideMark/>
          </w:tcPr>
          <w:p w14:paraId="397242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72.01</w:t>
            </w:r>
          </w:p>
        </w:tc>
        <w:tc>
          <w:tcPr>
            <w:tcW w:w="921" w:type="dxa"/>
            <w:tcBorders>
              <w:top w:val="single" w:sz="4" w:space="0" w:color="auto"/>
              <w:left w:val="single" w:sz="4" w:space="0" w:color="auto"/>
              <w:bottom w:val="single" w:sz="4" w:space="0" w:color="auto"/>
              <w:right w:val="single" w:sz="4" w:space="0" w:color="auto"/>
            </w:tcBorders>
            <w:vAlign w:val="center"/>
            <w:hideMark/>
          </w:tcPr>
          <w:p w14:paraId="6F5D7C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70.89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706C5AC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E2972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64.16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CC679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70.49</w:t>
            </w:r>
          </w:p>
        </w:tc>
        <w:tc>
          <w:tcPr>
            <w:tcW w:w="758" w:type="dxa"/>
            <w:tcBorders>
              <w:top w:val="single" w:sz="4" w:space="0" w:color="auto"/>
              <w:left w:val="single" w:sz="4" w:space="0" w:color="auto"/>
              <w:bottom w:val="single" w:sz="4" w:space="0" w:color="auto"/>
              <w:right w:val="single" w:sz="4" w:space="0" w:color="auto"/>
            </w:tcBorders>
            <w:vAlign w:val="center"/>
            <w:hideMark/>
          </w:tcPr>
          <w:p w14:paraId="2EAED1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66.29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4F1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66.98</w:t>
            </w:r>
          </w:p>
        </w:tc>
      </w:tr>
      <w:tr w:rsidR="00111974" w:rsidRPr="00111974" w14:paraId="6525EEA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2C1C25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7E4982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651610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A872D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F3D2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4.04</w:t>
            </w:r>
          </w:p>
        </w:tc>
        <w:tc>
          <w:tcPr>
            <w:tcW w:w="878" w:type="dxa"/>
            <w:tcBorders>
              <w:top w:val="single" w:sz="4" w:space="0" w:color="auto"/>
              <w:left w:val="single" w:sz="4" w:space="0" w:color="auto"/>
              <w:bottom w:val="single" w:sz="4" w:space="0" w:color="auto"/>
              <w:right w:val="single" w:sz="4" w:space="0" w:color="auto"/>
            </w:tcBorders>
            <w:vAlign w:val="center"/>
            <w:hideMark/>
          </w:tcPr>
          <w:p w14:paraId="7AD5F2D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4.20</w:t>
            </w:r>
          </w:p>
        </w:tc>
        <w:tc>
          <w:tcPr>
            <w:tcW w:w="870" w:type="dxa"/>
            <w:tcBorders>
              <w:top w:val="single" w:sz="4" w:space="0" w:color="auto"/>
              <w:left w:val="single" w:sz="4" w:space="0" w:color="auto"/>
              <w:bottom w:val="single" w:sz="4" w:space="0" w:color="auto"/>
              <w:right w:val="single" w:sz="4" w:space="0" w:color="auto"/>
            </w:tcBorders>
            <w:vAlign w:val="center"/>
            <w:hideMark/>
          </w:tcPr>
          <w:p w14:paraId="7CD1D2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912BB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4.29</w:t>
            </w:r>
          </w:p>
        </w:tc>
        <w:tc>
          <w:tcPr>
            <w:tcW w:w="803" w:type="dxa"/>
            <w:tcBorders>
              <w:top w:val="single" w:sz="4" w:space="0" w:color="auto"/>
              <w:left w:val="single" w:sz="4" w:space="0" w:color="auto"/>
              <w:bottom w:val="single" w:sz="4" w:space="0" w:color="auto"/>
              <w:right w:val="single" w:sz="4" w:space="0" w:color="auto"/>
            </w:tcBorders>
            <w:vAlign w:val="center"/>
            <w:hideMark/>
          </w:tcPr>
          <w:p w14:paraId="1447B1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4.34</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79EB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63.40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5289F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64.25</w:t>
            </w:r>
          </w:p>
        </w:tc>
        <w:tc>
          <w:tcPr>
            <w:tcW w:w="921" w:type="dxa"/>
            <w:tcBorders>
              <w:top w:val="single" w:sz="4" w:space="0" w:color="auto"/>
              <w:left w:val="single" w:sz="4" w:space="0" w:color="auto"/>
              <w:bottom w:val="single" w:sz="4" w:space="0" w:color="auto"/>
              <w:right w:val="single" w:sz="4" w:space="0" w:color="auto"/>
            </w:tcBorders>
            <w:vAlign w:val="center"/>
            <w:hideMark/>
          </w:tcPr>
          <w:p w14:paraId="1E846F5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63.86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9B08B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63.86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DB72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61.18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CBB29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68.25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E90015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65.89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0F57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65.10</w:t>
            </w:r>
          </w:p>
        </w:tc>
      </w:tr>
      <w:tr w:rsidR="00111974" w:rsidRPr="00111974" w14:paraId="35917C8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B40A83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7A8277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7A37554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3.17</w:t>
            </w:r>
          </w:p>
        </w:tc>
        <w:tc>
          <w:tcPr>
            <w:tcW w:w="771" w:type="dxa"/>
            <w:tcBorders>
              <w:top w:val="single" w:sz="4" w:space="0" w:color="auto"/>
              <w:left w:val="single" w:sz="4" w:space="0" w:color="auto"/>
              <w:bottom w:val="single" w:sz="4" w:space="0" w:color="auto"/>
              <w:right w:val="single" w:sz="4" w:space="0" w:color="auto"/>
            </w:tcBorders>
            <w:vAlign w:val="center"/>
            <w:hideMark/>
          </w:tcPr>
          <w:p w14:paraId="37CEC49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03" w:type="dxa"/>
            <w:tcBorders>
              <w:top w:val="single" w:sz="4" w:space="0" w:color="auto"/>
              <w:left w:val="single" w:sz="4" w:space="0" w:color="auto"/>
              <w:bottom w:val="single" w:sz="4" w:space="0" w:color="auto"/>
              <w:right w:val="single" w:sz="4" w:space="0" w:color="auto"/>
            </w:tcBorders>
            <w:vAlign w:val="center"/>
          </w:tcPr>
          <w:p w14:paraId="125848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5FE1E4B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10ED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3.75</w:t>
            </w:r>
          </w:p>
        </w:tc>
        <w:tc>
          <w:tcPr>
            <w:tcW w:w="771" w:type="dxa"/>
            <w:tcBorders>
              <w:top w:val="single" w:sz="4" w:space="0" w:color="auto"/>
              <w:left w:val="single" w:sz="4" w:space="0" w:color="auto"/>
              <w:bottom w:val="single" w:sz="4" w:space="0" w:color="auto"/>
              <w:right w:val="single" w:sz="4" w:space="0" w:color="auto"/>
            </w:tcBorders>
            <w:vAlign w:val="center"/>
            <w:hideMark/>
          </w:tcPr>
          <w:p w14:paraId="3C7E60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3.76</w:t>
            </w:r>
          </w:p>
        </w:tc>
        <w:tc>
          <w:tcPr>
            <w:tcW w:w="803" w:type="dxa"/>
            <w:tcBorders>
              <w:top w:val="single" w:sz="4" w:space="0" w:color="auto"/>
              <w:left w:val="single" w:sz="4" w:space="0" w:color="auto"/>
              <w:bottom w:val="single" w:sz="4" w:space="0" w:color="auto"/>
              <w:right w:val="single" w:sz="4" w:space="0" w:color="auto"/>
            </w:tcBorders>
            <w:vAlign w:val="center"/>
          </w:tcPr>
          <w:p w14:paraId="574908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27DFEB6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65.38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56E4F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70.17</w:t>
            </w:r>
          </w:p>
        </w:tc>
        <w:tc>
          <w:tcPr>
            <w:tcW w:w="921" w:type="dxa"/>
            <w:tcBorders>
              <w:top w:val="single" w:sz="4" w:space="0" w:color="auto"/>
              <w:left w:val="single" w:sz="4" w:space="0" w:color="auto"/>
              <w:bottom w:val="single" w:sz="4" w:space="0" w:color="auto"/>
              <w:right w:val="single" w:sz="4" w:space="0" w:color="auto"/>
            </w:tcBorders>
            <w:vAlign w:val="center"/>
            <w:hideMark/>
          </w:tcPr>
          <w:p w14:paraId="249A14E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69.25</w:t>
            </w:r>
          </w:p>
        </w:tc>
        <w:tc>
          <w:tcPr>
            <w:tcW w:w="803" w:type="dxa"/>
            <w:tcBorders>
              <w:top w:val="single" w:sz="4" w:space="0" w:color="auto"/>
              <w:left w:val="single" w:sz="4" w:space="0" w:color="auto"/>
              <w:bottom w:val="single" w:sz="4" w:space="0" w:color="auto"/>
              <w:right w:val="single" w:sz="4" w:space="0" w:color="auto"/>
            </w:tcBorders>
            <w:vAlign w:val="center"/>
          </w:tcPr>
          <w:p w14:paraId="46206E2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652DD9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65.85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EFAB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70.99</w:t>
            </w:r>
          </w:p>
        </w:tc>
        <w:tc>
          <w:tcPr>
            <w:tcW w:w="758" w:type="dxa"/>
            <w:tcBorders>
              <w:top w:val="single" w:sz="4" w:space="0" w:color="auto"/>
              <w:left w:val="single" w:sz="4" w:space="0" w:color="auto"/>
              <w:bottom w:val="single" w:sz="4" w:space="0" w:color="auto"/>
              <w:right w:val="single" w:sz="4" w:space="0" w:color="auto"/>
            </w:tcBorders>
            <w:vAlign w:val="center"/>
            <w:hideMark/>
          </w:tcPr>
          <w:p w14:paraId="4791E4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67.36</w:t>
            </w:r>
          </w:p>
        </w:tc>
        <w:tc>
          <w:tcPr>
            <w:tcW w:w="992" w:type="dxa"/>
            <w:tcBorders>
              <w:top w:val="single" w:sz="4" w:space="0" w:color="auto"/>
              <w:left w:val="single" w:sz="4" w:space="0" w:color="auto"/>
              <w:bottom w:val="single" w:sz="4" w:space="0" w:color="auto"/>
              <w:right w:val="single" w:sz="4" w:space="0" w:color="auto"/>
            </w:tcBorders>
            <w:vAlign w:val="center"/>
          </w:tcPr>
          <w:p w14:paraId="42F113C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3894EFE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9635E2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420A5F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38C92E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2EBB5E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AD41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CA527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6F0DC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14E29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8969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1724AC0E"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4C4B48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F8F8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C4286D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F3A9F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0D4A1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0.26**</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3E0AA9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CFCAF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4D85E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B3432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5AC1CF1"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4E949F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34C82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7E3AB1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CC8FA2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530E22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2F6129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8B38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2107A9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04B5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9B7F287"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6DF3ED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D7995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6F8E5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0.42*</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EB5B6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3438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3A5F3A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249C5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33401D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D3733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bl>
    <w:p w14:paraId="00E011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2F1C14E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 xml:space="preserve">NS – </w:t>
      </w:r>
      <w:proofErr w:type="gramStart"/>
      <w:r w:rsidRPr="00111974">
        <w:rPr>
          <w:rFonts w:ascii="Arial Regular" w:hAnsi="Arial Regular" w:cs="Arial Regular"/>
          <w:sz w:val="20"/>
          <w:szCs w:val="20"/>
          <w:lang w:val="en-US"/>
        </w:rPr>
        <w:t>Non significant</w:t>
      </w:r>
      <w:proofErr w:type="gramEnd"/>
      <w:r w:rsidRPr="00111974">
        <w:rPr>
          <w:rFonts w:ascii="Arial Regular" w:hAnsi="Arial Regular" w:cs="Arial Regular"/>
          <w:sz w:val="20"/>
          <w:szCs w:val="20"/>
          <w:lang w:val="en-US"/>
        </w:rPr>
        <w:t xml:space="preserve">     ** - Significant</w:t>
      </w:r>
    </w:p>
    <w:p w14:paraId="635B968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BAB650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3. Effect of different grafting and propagation condition on </w:t>
      </w: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w:t>
      </w:r>
      <w:r w:rsidRPr="00111974">
        <w:rPr>
          <w:rFonts w:ascii="Arial Regular" w:hAnsi="Arial Regular" w:cs="Arial Regular"/>
          <w:b/>
          <w:bCs/>
          <w:sz w:val="20"/>
          <w:szCs w:val="20"/>
          <w:lang w:val="en-US"/>
        </w:rPr>
        <w:t>and 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reduced/min/g)</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46DCF00A"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4F3F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03254C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5EA15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605061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06B773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February- 2019</w:t>
            </w:r>
          </w:p>
        </w:tc>
      </w:tr>
      <w:tr w:rsidR="00111974" w:rsidRPr="00111974" w14:paraId="694EF457"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17A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EFD721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0F556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334CBB0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1AF7DC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6479997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2800E6A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59CB9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847B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7D7CF31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D870A4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A1495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874D6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B0FD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04715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97C08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C06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165B8D37"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15009B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34A10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B5C6E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1105F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1C1E2B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2.82</w:t>
            </w:r>
          </w:p>
        </w:tc>
        <w:tc>
          <w:tcPr>
            <w:tcW w:w="878" w:type="dxa"/>
            <w:tcBorders>
              <w:top w:val="single" w:sz="4" w:space="0" w:color="auto"/>
              <w:left w:val="single" w:sz="4" w:space="0" w:color="auto"/>
              <w:bottom w:val="single" w:sz="4" w:space="0" w:color="auto"/>
              <w:right w:val="single" w:sz="4" w:space="0" w:color="auto"/>
            </w:tcBorders>
            <w:vAlign w:val="center"/>
            <w:hideMark/>
          </w:tcPr>
          <w:p w14:paraId="4C758B0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638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09D271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3.61</w:t>
            </w:r>
          </w:p>
        </w:tc>
        <w:tc>
          <w:tcPr>
            <w:tcW w:w="803" w:type="dxa"/>
            <w:tcBorders>
              <w:top w:val="single" w:sz="4" w:space="0" w:color="auto"/>
              <w:left w:val="single" w:sz="4" w:space="0" w:color="auto"/>
              <w:bottom w:val="single" w:sz="4" w:space="0" w:color="auto"/>
              <w:right w:val="single" w:sz="4" w:space="0" w:color="auto"/>
            </w:tcBorders>
            <w:vAlign w:val="center"/>
            <w:hideMark/>
          </w:tcPr>
          <w:p w14:paraId="695D522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256B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A9263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3.12</w:t>
            </w:r>
          </w:p>
        </w:tc>
        <w:tc>
          <w:tcPr>
            <w:tcW w:w="921" w:type="dxa"/>
            <w:tcBorders>
              <w:top w:val="single" w:sz="4" w:space="0" w:color="auto"/>
              <w:left w:val="single" w:sz="4" w:space="0" w:color="auto"/>
              <w:bottom w:val="single" w:sz="4" w:space="0" w:color="auto"/>
              <w:right w:val="single" w:sz="4" w:space="0" w:color="auto"/>
            </w:tcBorders>
            <w:vAlign w:val="center"/>
            <w:hideMark/>
          </w:tcPr>
          <w:p w14:paraId="2E2B75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458DC0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FE90F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40D824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3.29</w:t>
            </w:r>
          </w:p>
        </w:tc>
        <w:tc>
          <w:tcPr>
            <w:tcW w:w="758" w:type="dxa"/>
            <w:tcBorders>
              <w:top w:val="single" w:sz="4" w:space="0" w:color="auto"/>
              <w:left w:val="single" w:sz="4" w:space="0" w:color="auto"/>
              <w:bottom w:val="single" w:sz="4" w:space="0" w:color="auto"/>
              <w:right w:val="single" w:sz="4" w:space="0" w:color="auto"/>
            </w:tcBorders>
            <w:vAlign w:val="center"/>
            <w:hideMark/>
          </w:tcPr>
          <w:p w14:paraId="654B5F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3.13</w:t>
            </w:r>
          </w:p>
        </w:tc>
        <w:tc>
          <w:tcPr>
            <w:tcW w:w="992" w:type="dxa"/>
            <w:tcBorders>
              <w:top w:val="single" w:sz="4" w:space="0" w:color="auto"/>
              <w:left w:val="single" w:sz="4" w:space="0" w:color="auto"/>
              <w:bottom w:val="single" w:sz="4" w:space="0" w:color="auto"/>
              <w:right w:val="single" w:sz="4" w:space="0" w:color="auto"/>
            </w:tcBorders>
            <w:hideMark/>
          </w:tcPr>
          <w:p w14:paraId="17A7AB1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3.06</w:t>
            </w:r>
          </w:p>
        </w:tc>
      </w:tr>
      <w:tr w:rsidR="00111974" w:rsidRPr="00111974" w14:paraId="7B058A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1453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ED6B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419F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1995E20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03" w:type="dxa"/>
            <w:tcBorders>
              <w:top w:val="single" w:sz="4" w:space="0" w:color="auto"/>
              <w:left w:val="single" w:sz="4" w:space="0" w:color="auto"/>
              <w:bottom w:val="single" w:sz="4" w:space="0" w:color="auto"/>
              <w:right w:val="single" w:sz="4" w:space="0" w:color="auto"/>
            </w:tcBorders>
            <w:vAlign w:val="center"/>
            <w:hideMark/>
          </w:tcPr>
          <w:p w14:paraId="260D91D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3.06</w:t>
            </w:r>
          </w:p>
        </w:tc>
        <w:tc>
          <w:tcPr>
            <w:tcW w:w="878" w:type="dxa"/>
            <w:tcBorders>
              <w:top w:val="single" w:sz="4" w:space="0" w:color="auto"/>
              <w:left w:val="single" w:sz="4" w:space="0" w:color="auto"/>
              <w:bottom w:val="single" w:sz="4" w:space="0" w:color="auto"/>
              <w:right w:val="single" w:sz="4" w:space="0" w:color="auto"/>
            </w:tcBorders>
            <w:vAlign w:val="center"/>
            <w:hideMark/>
          </w:tcPr>
          <w:p w14:paraId="719FE64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1E5111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271CE7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DFBBA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3.45</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2F64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3F3E0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A3B3D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C38D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2196B7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3D15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3.01</w:t>
            </w:r>
          </w:p>
        </w:tc>
        <w:tc>
          <w:tcPr>
            <w:tcW w:w="758" w:type="dxa"/>
            <w:tcBorders>
              <w:top w:val="single" w:sz="4" w:space="0" w:color="auto"/>
              <w:left w:val="single" w:sz="4" w:space="0" w:color="auto"/>
              <w:bottom w:val="single" w:sz="4" w:space="0" w:color="auto"/>
              <w:right w:val="single" w:sz="4" w:space="0" w:color="auto"/>
            </w:tcBorders>
            <w:vAlign w:val="center"/>
            <w:hideMark/>
          </w:tcPr>
          <w:p w14:paraId="4675F03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2.17</w:t>
            </w:r>
          </w:p>
        </w:tc>
        <w:tc>
          <w:tcPr>
            <w:tcW w:w="992" w:type="dxa"/>
            <w:tcBorders>
              <w:top w:val="single" w:sz="4" w:space="0" w:color="auto"/>
              <w:left w:val="single" w:sz="4" w:space="0" w:color="auto"/>
              <w:bottom w:val="single" w:sz="4" w:space="0" w:color="auto"/>
              <w:right w:val="single" w:sz="4" w:space="0" w:color="auto"/>
            </w:tcBorders>
            <w:hideMark/>
          </w:tcPr>
          <w:p w14:paraId="358CF0F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2.82</w:t>
            </w:r>
          </w:p>
        </w:tc>
      </w:tr>
      <w:tr w:rsidR="00111974" w:rsidRPr="00111974" w14:paraId="17A0A6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AC93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DA297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41A822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3.05</w:t>
            </w:r>
          </w:p>
        </w:tc>
        <w:tc>
          <w:tcPr>
            <w:tcW w:w="771" w:type="dxa"/>
            <w:tcBorders>
              <w:top w:val="single" w:sz="4" w:space="0" w:color="auto"/>
              <w:left w:val="single" w:sz="4" w:space="0" w:color="auto"/>
              <w:bottom w:val="single" w:sz="4" w:space="0" w:color="auto"/>
              <w:right w:val="single" w:sz="4" w:space="0" w:color="auto"/>
            </w:tcBorders>
            <w:vAlign w:val="center"/>
            <w:hideMark/>
          </w:tcPr>
          <w:p w14:paraId="6A3595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24BA59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78" w:type="dxa"/>
            <w:tcBorders>
              <w:top w:val="single" w:sz="4" w:space="0" w:color="auto"/>
              <w:left w:val="single" w:sz="4" w:space="0" w:color="auto"/>
              <w:bottom w:val="single" w:sz="4" w:space="0" w:color="auto"/>
              <w:right w:val="single" w:sz="4" w:space="0" w:color="auto"/>
            </w:tcBorders>
            <w:vAlign w:val="center"/>
            <w:hideMark/>
          </w:tcPr>
          <w:p w14:paraId="1BFAAC7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3.29</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B845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A53D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3.04</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1979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3.28</w:t>
            </w:r>
          </w:p>
        </w:tc>
        <w:tc>
          <w:tcPr>
            <w:tcW w:w="889" w:type="dxa"/>
            <w:tcBorders>
              <w:top w:val="single" w:sz="4" w:space="0" w:color="auto"/>
              <w:left w:val="single" w:sz="4" w:space="0" w:color="auto"/>
              <w:bottom w:val="single" w:sz="4" w:space="0" w:color="auto"/>
              <w:right w:val="single" w:sz="4" w:space="0" w:color="auto"/>
            </w:tcBorders>
            <w:vAlign w:val="center"/>
            <w:hideMark/>
          </w:tcPr>
          <w:p w14:paraId="42616F7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EFD9CC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3.67</w:t>
            </w:r>
          </w:p>
        </w:tc>
        <w:tc>
          <w:tcPr>
            <w:tcW w:w="921" w:type="dxa"/>
            <w:tcBorders>
              <w:top w:val="single" w:sz="4" w:space="0" w:color="auto"/>
              <w:left w:val="single" w:sz="4" w:space="0" w:color="auto"/>
              <w:bottom w:val="single" w:sz="4" w:space="0" w:color="auto"/>
              <w:right w:val="single" w:sz="4" w:space="0" w:color="auto"/>
            </w:tcBorders>
            <w:vAlign w:val="center"/>
            <w:hideMark/>
          </w:tcPr>
          <w:p w14:paraId="5273ED0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445A3A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3.18</w:t>
            </w:r>
          </w:p>
        </w:tc>
        <w:tc>
          <w:tcPr>
            <w:tcW w:w="814" w:type="dxa"/>
            <w:tcBorders>
              <w:top w:val="single" w:sz="4" w:space="0" w:color="auto"/>
              <w:left w:val="single" w:sz="4" w:space="0" w:color="auto"/>
              <w:bottom w:val="single" w:sz="4" w:space="0" w:color="auto"/>
              <w:right w:val="single" w:sz="4" w:space="0" w:color="auto"/>
            </w:tcBorders>
            <w:vAlign w:val="center"/>
            <w:hideMark/>
          </w:tcPr>
          <w:p w14:paraId="548FC3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3.47</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57D2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3.85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633B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2.97</w:t>
            </w:r>
          </w:p>
        </w:tc>
        <w:tc>
          <w:tcPr>
            <w:tcW w:w="992" w:type="dxa"/>
            <w:tcBorders>
              <w:top w:val="single" w:sz="4" w:space="0" w:color="auto"/>
              <w:left w:val="single" w:sz="4" w:space="0" w:color="auto"/>
              <w:bottom w:val="single" w:sz="4" w:space="0" w:color="auto"/>
              <w:right w:val="single" w:sz="4" w:space="0" w:color="auto"/>
            </w:tcBorders>
            <w:hideMark/>
          </w:tcPr>
          <w:p w14:paraId="0A130B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3.43</w:t>
            </w:r>
          </w:p>
        </w:tc>
      </w:tr>
      <w:tr w:rsidR="00111974" w:rsidRPr="00111974" w14:paraId="39FAB51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92DA31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6D624B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04B29E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71" w:type="dxa"/>
            <w:tcBorders>
              <w:top w:val="single" w:sz="4" w:space="0" w:color="auto"/>
              <w:left w:val="single" w:sz="4" w:space="0" w:color="auto"/>
              <w:bottom w:val="single" w:sz="4" w:space="0" w:color="auto"/>
              <w:right w:val="single" w:sz="4" w:space="0" w:color="auto"/>
            </w:tcBorders>
            <w:vAlign w:val="center"/>
            <w:hideMark/>
          </w:tcPr>
          <w:p w14:paraId="6E93E1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A2BCB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3.81</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39AC4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8937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771" w:type="dxa"/>
            <w:tcBorders>
              <w:top w:val="single" w:sz="4" w:space="0" w:color="auto"/>
              <w:left w:val="single" w:sz="4" w:space="0" w:color="auto"/>
              <w:bottom w:val="single" w:sz="4" w:space="0" w:color="auto"/>
              <w:right w:val="single" w:sz="4" w:space="0" w:color="auto"/>
            </w:tcBorders>
            <w:vAlign w:val="center"/>
            <w:hideMark/>
          </w:tcPr>
          <w:p w14:paraId="7B685F3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803" w:type="dxa"/>
            <w:tcBorders>
              <w:top w:val="single" w:sz="4" w:space="0" w:color="auto"/>
              <w:left w:val="single" w:sz="4" w:space="0" w:color="auto"/>
              <w:bottom w:val="single" w:sz="4" w:space="0" w:color="auto"/>
              <w:right w:val="single" w:sz="4" w:space="0" w:color="auto"/>
            </w:tcBorders>
            <w:vAlign w:val="center"/>
            <w:hideMark/>
          </w:tcPr>
          <w:p w14:paraId="6E1AE6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9105F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420239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01C3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EBAA9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FE5A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2.62</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D918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3.18</w:t>
            </w:r>
          </w:p>
        </w:tc>
        <w:tc>
          <w:tcPr>
            <w:tcW w:w="758" w:type="dxa"/>
            <w:tcBorders>
              <w:top w:val="single" w:sz="4" w:space="0" w:color="auto"/>
              <w:left w:val="single" w:sz="4" w:space="0" w:color="auto"/>
              <w:bottom w:val="single" w:sz="4" w:space="0" w:color="auto"/>
              <w:right w:val="single" w:sz="4" w:space="0" w:color="auto"/>
            </w:tcBorders>
            <w:vAlign w:val="center"/>
            <w:hideMark/>
          </w:tcPr>
          <w:p w14:paraId="3C7D6E0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2.61</w:t>
            </w:r>
          </w:p>
        </w:tc>
        <w:tc>
          <w:tcPr>
            <w:tcW w:w="992" w:type="dxa"/>
            <w:tcBorders>
              <w:top w:val="single" w:sz="4" w:space="0" w:color="auto"/>
              <w:left w:val="single" w:sz="4" w:space="0" w:color="auto"/>
              <w:bottom w:val="single" w:sz="4" w:space="0" w:color="auto"/>
              <w:right w:val="single" w:sz="4" w:space="0" w:color="auto"/>
            </w:tcBorders>
            <w:hideMark/>
          </w:tcPr>
          <w:p w14:paraId="32F347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2.80</w:t>
            </w:r>
          </w:p>
        </w:tc>
      </w:tr>
      <w:tr w:rsidR="00111974" w:rsidRPr="00111974" w14:paraId="1054D6F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202F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5C3A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2.81</w:t>
            </w:r>
          </w:p>
        </w:tc>
        <w:tc>
          <w:tcPr>
            <w:tcW w:w="770" w:type="dxa"/>
            <w:tcBorders>
              <w:top w:val="single" w:sz="4" w:space="0" w:color="auto"/>
              <w:left w:val="single" w:sz="4" w:space="0" w:color="auto"/>
              <w:bottom w:val="single" w:sz="4" w:space="0" w:color="auto"/>
              <w:right w:val="single" w:sz="4" w:space="0" w:color="auto"/>
            </w:tcBorders>
            <w:vAlign w:val="center"/>
            <w:hideMark/>
          </w:tcPr>
          <w:p w14:paraId="3B33A6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477A1E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03" w:type="dxa"/>
            <w:tcBorders>
              <w:top w:val="single" w:sz="4" w:space="0" w:color="auto"/>
              <w:left w:val="single" w:sz="4" w:space="0" w:color="auto"/>
              <w:bottom w:val="single" w:sz="4" w:space="0" w:color="auto"/>
              <w:right w:val="single" w:sz="4" w:space="0" w:color="auto"/>
            </w:tcBorders>
            <w:vAlign w:val="center"/>
          </w:tcPr>
          <w:p w14:paraId="32F109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641061F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38A4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3.53</w:t>
            </w:r>
          </w:p>
        </w:tc>
        <w:tc>
          <w:tcPr>
            <w:tcW w:w="771" w:type="dxa"/>
            <w:tcBorders>
              <w:top w:val="single" w:sz="4" w:space="0" w:color="auto"/>
              <w:left w:val="single" w:sz="4" w:space="0" w:color="auto"/>
              <w:bottom w:val="single" w:sz="4" w:space="0" w:color="auto"/>
              <w:right w:val="single" w:sz="4" w:space="0" w:color="auto"/>
            </w:tcBorders>
            <w:vAlign w:val="center"/>
            <w:hideMark/>
          </w:tcPr>
          <w:p w14:paraId="4BE585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tcPr>
          <w:p w14:paraId="3F3FCDC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0DC6274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2.91</w:t>
            </w:r>
          </w:p>
        </w:tc>
        <w:tc>
          <w:tcPr>
            <w:tcW w:w="756" w:type="dxa"/>
            <w:tcBorders>
              <w:top w:val="single" w:sz="4" w:space="0" w:color="auto"/>
              <w:left w:val="single" w:sz="4" w:space="0" w:color="auto"/>
              <w:bottom w:val="single" w:sz="4" w:space="0" w:color="auto"/>
              <w:right w:val="single" w:sz="4" w:space="0" w:color="auto"/>
            </w:tcBorders>
            <w:vAlign w:val="center"/>
            <w:hideMark/>
          </w:tcPr>
          <w:p w14:paraId="05DEB7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3.32</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29CD6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2.80</w:t>
            </w:r>
          </w:p>
        </w:tc>
        <w:tc>
          <w:tcPr>
            <w:tcW w:w="803" w:type="dxa"/>
            <w:tcBorders>
              <w:top w:val="single" w:sz="4" w:space="0" w:color="auto"/>
              <w:left w:val="single" w:sz="4" w:space="0" w:color="auto"/>
              <w:bottom w:val="single" w:sz="4" w:space="0" w:color="auto"/>
              <w:right w:val="single" w:sz="4" w:space="0" w:color="auto"/>
            </w:tcBorders>
            <w:vAlign w:val="center"/>
          </w:tcPr>
          <w:p w14:paraId="7AB99B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3D81B3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3C2E1C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758" w:type="dxa"/>
            <w:tcBorders>
              <w:top w:val="single" w:sz="4" w:space="0" w:color="auto"/>
              <w:left w:val="single" w:sz="4" w:space="0" w:color="auto"/>
              <w:bottom w:val="single" w:sz="4" w:space="0" w:color="auto"/>
              <w:right w:val="single" w:sz="4" w:space="0" w:color="auto"/>
            </w:tcBorders>
            <w:vAlign w:val="center"/>
            <w:hideMark/>
          </w:tcPr>
          <w:p w14:paraId="565C0D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2.72</w:t>
            </w:r>
          </w:p>
        </w:tc>
        <w:tc>
          <w:tcPr>
            <w:tcW w:w="992" w:type="dxa"/>
            <w:tcBorders>
              <w:top w:val="single" w:sz="4" w:space="0" w:color="auto"/>
              <w:left w:val="single" w:sz="4" w:space="0" w:color="auto"/>
              <w:bottom w:val="single" w:sz="4" w:space="0" w:color="auto"/>
              <w:right w:val="single" w:sz="4" w:space="0" w:color="auto"/>
            </w:tcBorders>
            <w:vAlign w:val="center"/>
          </w:tcPr>
          <w:p w14:paraId="246D4DF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0E131525"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1C6D01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328E0F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24B0D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04506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CB520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BB45D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16B360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363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proofErr w:type="gramStart"/>
            <w:r w:rsidRPr="00111974">
              <w:rPr>
                <w:rFonts w:ascii="Arial Regular" w:hAnsi="Arial Regular" w:cs="Arial Regular"/>
                <w:b/>
                <w:sz w:val="20"/>
                <w:szCs w:val="20"/>
                <w:lang w:val="en-US"/>
              </w:rPr>
              <w:t>S.Ed</w:t>
            </w:r>
            <w:proofErr w:type="spellEnd"/>
            <w:proofErr w:type="gram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6205A83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97A379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1EEF6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6D4114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40A77AC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0.18*</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41D0D2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98ECF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6CBEF5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0.097</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8A9F5E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B4BB7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2CD4F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r>
      <w:tr w:rsidR="00111974" w:rsidRPr="00111974" w14:paraId="286A02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2B14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2248F2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3843C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30674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9B500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7FEFA1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700D1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57D53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13FB3D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r>
      <w:tr w:rsidR="00111974" w:rsidRPr="00111974" w14:paraId="07A37E2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5F041C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D171F8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B20F0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9BF1D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C893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D3EF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9B29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9415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0152E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0.35*</w:t>
            </w:r>
          </w:p>
        </w:tc>
      </w:tr>
    </w:tbl>
    <w:p w14:paraId="262B03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5B3D5EF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 xml:space="preserve">NS – </w:t>
      </w:r>
      <w:proofErr w:type="gramStart"/>
      <w:r w:rsidRPr="00111974">
        <w:rPr>
          <w:rFonts w:ascii="Arial Regular" w:hAnsi="Arial Regular" w:cs="Arial Regular"/>
          <w:sz w:val="20"/>
          <w:szCs w:val="20"/>
          <w:lang w:val="en-US"/>
        </w:rPr>
        <w:t>Non significant</w:t>
      </w:r>
      <w:proofErr w:type="gramEnd"/>
      <w:r w:rsidRPr="00111974">
        <w:rPr>
          <w:rFonts w:ascii="Arial Regular" w:hAnsi="Arial Regular" w:cs="Arial Regular"/>
          <w:sz w:val="20"/>
          <w:szCs w:val="20"/>
          <w:lang w:val="en-US"/>
        </w:rPr>
        <w:t xml:space="preserve">     ** - Significant</w:t>
      </w:r>
    </w:p>
    <w:p w14:paraId="5C71B40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67E5D21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rPr>
      </w:pPr>
    </w:p>
    <w:sectPr w:rsidR="00111974" w:rsidRPr="00111974" w:rsidSect="0007106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65942" w14:textId="77777777" w:rsidR="008B5688" w:rsidRDefault="008B5688">
      <w:pPr>
        <w:spacing w:line="240" w:lineRule="auto"/>
      </w:pPr>
      <w:r>
        <w:separator/>
      </w:r>
    </w:p>
  </w:endnote>
  <w:endnote w:type="continuationSeparator" w:id="0">
    <w:p w14:paraId="4CE745F8" w14:textId="77777777" w:rsidR="008B5688" w:rsidRDefault="008B5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sans-serif">
    <w:altName w:val="苹方-简"/>
    <w:charset w:val="00"/>
    <w:family w:val="auto"/>
    <w:pitch w:val="default"/>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281C" w14:textId="77777777" w:rsidR="0007106B" w:rsidRDefault="0007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A562" w14:textId="77777777" w:rsidR="0007106B" w:rsidRDefault="0007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5A0B" w14:textId="77777777" w:rsidR="0007106B" w:rsidRDefault="0007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9E821" w14:textId="77777777" w:rsidR="008B5688" w:rsidRDefault="008B5688">
      <w:pPr>
        <w:spacing w:after="0"/>
      </w:pPr>
      <w:r>
        <w:separator/>
      </w:r>
    </w:p>
  </w:footnote>
  <w:footnote w:type="continuationSeparator" w:id="0">
    <w:p w14:paraId="3E303328" w14:textId="77777777" w:rsidR="008B5688" w:rsidRDefault="008B56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781E" w14:textId="5A7657BD" w:rsidR="0007106B" w:rsidRDefault="0007106B">
    <w:pPr>
      <w:pStyle w:val="Header"/>
    </w:pPr>
    <w:r>
      <w:rPr>
        <w:noProof/>
      </w:rPr>
      <w:pict w14:anchorId="43778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A3B94" w14:textId="48DC8A4D" w:rsidR="0007106B" w:rsidRDefault="0007106B">
    <w:pPr>
      <w:pStyle w:val="Header"/>
    </w:pPr>
    <w:r>
      <w:rPr>
        <w:noProof/>
      </w:rPr>
      <w:pict w14:anchorId="7027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B14D" w14:textId="1D5C172D" w:rsidR="0007106B" w:rsidRDefault="0007106B">
    <w:pPr>
      <w:pStyle w:val="Header"/>
    </w:pPr>
    <w:r>
      <w:rPr>
        <w:noProof/>
      </w:rPr>
      <w:pict w14:anchorId="3338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5789F2"/>
    <w:multiLevelType w:val="singleLevel"/>
    <w:tmpl w:val="9E5789F2"/>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77"/>
    <w:rsid w:val="00016C8B"/>
    <w:rsid w:val="0007106B"/>
    <w:rsid w:val="00111974"/>
    <w:rsid w:val="00167AD5"/>
    <w:rsid w:val="001C5979"/>
    <w:rsid w:val="00327577"/>
    <w:rsid w:val="00350114"/>
    <w:rsid w:val="003E4F3E"/>
    <w:rsid w:val="004C405B"/>
    <w:rsid w:val="004D29B6"/>
    <w:rsid w:val="004F0932"/>
    <w:rsid w:val="00520DBE"/>
    <w:rsid w:val="00555640"/>
    <w:rsid w:val="00600D3E"/>
    <w:rsid w:val="006A230F"/>
    <w:rsid w:val="00753A0A"/>
    <w:rsid w:val="00792860"/>
    <w:rsid w:val="00793C83"/>
    <w:rsid w:val="00800803"/>
    <w:rsid w:val="00846EDD"/>
    <w:rsid w:val="0089545A"/>
    <w:rsid w:val="008B5688"/>
    <w:rsid w:val="008E7DBA"/>
    <w:rsid w:val="008F315F"/>
    <w:rsid w:val="009355DD"/>
    <w:rsid w:val="009F530B"/>
    <w:rsid w:val="00B22CD8"/>
    <w:rsid w:val="00B75B3A"/>
    <w:rsid w:val="00BC53B7"/>
    <w:rsid w:val="00BF272B"/>
    <w:rsid w:val="00C03977"/>
    <w:rsid w:val="00C537C3"/>
    <w:rsid w:val="00C658A6"/>
    <w:rsid w:val="00D221B1"/>
    <w:rsid w:val="00D50B4F"/>
    <w:rsid w:val="00E92BDF"/>
    <w:rsid w:val="00EB362B"/>
    <w:rsid w:val="00EB5E5F"/>
    <w:rsid w:val="00EB6314"/>
    <w:rsid w:val="00F36C34"/>
    <w:rsid w:val="00F4378A"/>
    <w:rsid w:val="377FE782"/>
    <w:rsid w:val="6FFF1A2B"/>
    <w:rsid w:val="77F5BEA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AC7BF05"/>
  <w15:docId w15:val="{2E23AA61-C454-4E3E-B768-6F0F73D8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4D29B6"/>
  </w:style>
  <w:style w:type="table" w:styleId="TableGrid">
    <w:name w:val="Table Grid"/>
    <w:basedOn w:val="TableNormal"/>
    <w:uiPriority w:val="39"/>
    <w:rsid w:val="0011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DF"/>
    <w:rPr>
      <w:color w:val="605E5C"/>
      <w:shd w:val="clear" w:color="auto" w:fill="E1DFDD"/>
    </w:rPr>
  </w:style>
  <w:style w:type="paragraph" w:styleId="Header">
    <w:name w:val="header"/>
    <w:basedOn w:val="Normal"/>
    <w:link w:val="HeaderChar"/>
    <w:uiPriority w:val="99"/>
    <w:unhideWhenUsed/>
    <w:rsid w:val="0007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6B"/>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07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6B"/>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99800">
      <w:bodyDiv w:val="1"/>
      <w:marLeft w:val="0"/>
      <w:marRight w:val="0"/>
      <w:marTop w:val="0"/>
      <w:marBottom w:val="0"/>
      <w:divBdr>
        <w:top w:val="none" w:sz="0" w:space="0" w:color="auto"/>
        <w:left w:val="none" w:sz="0" w:space="0" w:color="auto"/>
        <w:bottom w:val="none" w:sz="0" w:space="0" w:color="auto"/>
        <w:right w:val="none" w:sz="0" w:space="0" w:color="auto"/>
      </w:divBdr>
    </w:div>
    <w:div w:id="165826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SDI 1084</cp:lastModifiedBy>
  <cp:revision>15</cp:revision>
  <dcterms:created xsi:type="dcterms:W3CDTF">2025-11-17T00:51:00Z</dcterms:created>
  <dcterms:modified xsi:type="dcterms:W3CDTF">2025-11-18T13:29:00Z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9ABE9115B7120DE216091B69A34CA865_43</vt:lpwstr>
  </property>
</Properties>
</file>