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9E93F7" w14:textId="77777777" w:rsidR="00754C9A" w:rsidRDefault="00754C9A" w:rsidP="00441B6F">
      <w:pPr>
        <w:pStyle w:val="Title"/>
        <w:spacing w:after="0"/>
        <w:jc w:val="both"/>
        <w:rPr>
          <w:rFonts w:ascii="Arial" w:hAnsi="Arial" w:cs="Arial"/>
        </w:rPr>
      </w:pPr>
    </w:p>
    <w:p w14:paraId="05E16BDE" w14:textId="77777777" w:rsidR="00954B6D" w:rsidRPr="00954B6D" w:rsidRDefault="00954B6D" w:rsidP="00954B6D">
      <w:pPr>
        <w:spacing w:before="100" w:beforeAutospacing="1" w:after="100" w:afterAutospacing="1"/>
        <w:jc w:val="center"/>
        <w:rPr>
          <w:rFonts w:ascii="Arial" w:hAnsi="Arial" w:cs="Arial"/>
          <w:b/>
          <w:bCs/>
          <w:i/>
          <w:iCs/>
          <w:sz w:val="22"/>
          <w:szCs w:val="22"/>
          <w:u w:val="single"/>
        </w:rPr>
      </w:pPr>
      <w:r w:rsidRPr="00954B6D">
        <w:rPr>
          <w:rFonts w:ascii="Arial" w:hAnsi="Arial" w:cs="Arial"/>
          <w:b/>
          <w:bCs/>
          <w:i/>
          <w:iCs/>
          <w:sz w:val="22"/>
          <w:szCs w:val="22"/>
          <w:u w:val="single"/>
        </w:rPr>
        <w:t>Original Research Article</w:t>
      </w:r>
    </w:p>
    <w:p w14:paraId="3B9F0EFF" w14:textId="77777777" w:rsidR="00B36096" w:rsidRDefault="00B36096" w:rsidP="00B36096">
      <w:pPr>
        <w:spacing w:before="100" w:beforeAutospacing="1" w:after="100" w:afterAutospacing="1"/>
        <w:jc w:val="center"/>
        <w:rPr>
          <w:rFonts w:ascii="Times New Roman" w:hAnsi="Times New Roman"/>
          <w:b/>
          <w:bCs/>
          <w:iCs/>
          <w:sz w:val="28"/>
          <w:szCs w:val="28"/>
        </w:rPr>
      </w:pPr>
      <w:r w:rsidRPr="00B36096">
        <w:rPr>
          <w:rFonts w:ascii="Arial" w:hAnsi="Arial" w:cs="Arial"/>
          <w:b/>
          <w:bCs/>
          <w:sz w:val="22"/>
          <w:szCs w:val="22"/>
        </w:rPr>
        <w:t xml:space="preserve">Correlating Chromosomal Aberrations and Root Growth </w:t>
      </w:r>
      <w:proofErr w:type="gramStart"/>
      <w:r w:rsidRPr="00B36096">
        <w:rPr>
          <w:rFonts w:ascii="Arial" w:hAnsi="Arial" w:cs="Arial"/>
          <w:b/>
          <w:bCs/>
          <w:sz w:val="22"/>
          <w:szCs w:val="22"/>
        </w:rPr>
        <w:t>Inhibition(</w:t>
      </w:r>
      <w:proofErr w:type="gramEnd"/>
      <w:r w:rsidRPr="00B36096">
        <w:rPr>
          <w:rFonts w:ascii="Arial" w:hAnsi="Arial" w:cs="Arial"/>
          <w:b/>
          <w:bCs/>
          <w:sz w:val="22"/>
          <w:szCs w:val="22"/>
        </w:rPr>
        <w:t xml:space="preserve">RGI) with Exposure to Common Food Additives in </w:t>
      </w:r>
      <w:r w:rsidRPr="00B36096">
        <w:rPr>
          <w:rFonts w:ascii="Arial" w:hAnsi="Arial" w:cs="Arial"/>
          <w:b/>
          <w:bCs/>
          <w:i/>
          <w:iCs/>
          <w:sz w:val="22"/>
          <w:szCs w:val="22"/>
        </w:rPr>
        <w:t>Allium cepa</w:t>
      </w:r>
      <w:r w:rsidRPr="00B36096">
        <w:rPr>
          <w:rFonts w:ascii="Arial" w:hAnsi="Arial" w:cs="Arial"/>
          <w:b/>
          <w:bCs/>
          <w:iCs/>
          <w:sz w:val="22"/>
          <w:szCs w:val="22"/>
        </w:rPr>
        <w:t>: Public Health Implications</w:t>
      </w:r>
      <w:r>
        <w:rPr>
          <w:rFonts w:ascii="Times New Roman" w:hAnsi="Times New Roman"/>
          <w:b/>
          <w:bCs/>
          <w:iCs/>
          <w:sz w:val="28"/>
          <w:szCs w:val="28"/>
        </w:rPr>
        <w:t>.</w:t>
      </w:r>
    </w:p>
    <w:p w14:paraId="07D82671" w14:textId="77777777" w:rsidR="004E064D" w:rsidRPr="00B36096" w:rsidRDefault="004E064D" w:rsidP="00B36096">
      <w:pPr>
        <w:pStyle w:val="Affiliation"/>
        <w:spacing w:after="0" w:line="240" w:lineRule="auto"/>
        <w:jc w:val="both"/>
        <w:rPr>
          <w:rFonts w:ascii="Arial" w:hAnsi="Arial" w:cs="Arial"/>
          <w:sz w:val="22"/>
          <w:szCs w:val="22"/>
        </w:rPr>
      </w:pPr>
    </w:p>
    <w:p w14:paraId="2F7FE020" w14:textId="77777777" w:rsidR="00B01FCD" w:rsidRPr="00FB3A86" w:rsidRDefault="00E0179C" w:rsidP="00441B6F">
      <w:pPr>
        <w:pStyle w:val="Copyright"/>
        <w:spacing w:after="0" w:line="240" w:lineRule="auto"/>
        <w:jc w:val="both"/>
        <w:rPr>
          <w:rFonts w:ascii="Arial" w:hAnsi="Arial" w:cs="Arial"/>
        </w:rPr>
        <w:sectPr w:rsidR="00B01FCD" w:rsidRPr="00FB3A86" w:rsidSect="0067451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194D90A" wp14:editId="765747F2">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295A503"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57C5FA4C"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1202B2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AFAA0B6" w14:textId="77777777" w:rsidTr="001E44FE">
        <w:tc>
          <w:tcPr>
            <w:tcW w:w="9576" w:type="dxa"/>
            <w:shd w:val="clear" w:color="auto" w:fill="F2F2F2"/>
          </w:tcPr>
          <w:p w14:paraId="2A25109A" w14:textId="77777777" w:rsidR="00505F06" w:rsidRPr="00B36096" w:rsidRDefault="00B36096" w:rsidP="00441B6F">
            <w:pPr>
              <w:pStyle w:val="Body"/>
              <w:spacing w:after="0"/>
              <w:rPr>
                <w:rFonts w:ascii="Arial" w:eastAsia="Calibri" w:hAnsi="Arial" w:cs="Arial"/>
              </w:rPr>
            </w:pPr>
            <w:r w:rsidRPr="00B36096">
              <w:rPr>
                <w:rFonts w:ascii="Arial" w:hAnsi="Arial" w:cs="Arial"/>
              </w:rPr>
              <w:t>The widespread use of synthetic food additives in ultra-processed foods raises concerns about potential cytotoxic and genotoxic effects, especially in low- and middle-income countries where regulatory oversight may be weak.</w:t>
            </w:r>
            <w:r w:rsidRPr="00B36096">
              <w:rPr>
                <w:rFonts w:ascii="Arial" w:hAnsi="Arial" w:cs="Arial"/>
              </w:rPr>
              <w:br/>
              <w:t>This study assessed the cytotoxicity and genotoxicity of monosodium glutamate (MSG), sorbic acid, and erythrosine red using the Allium cepa root assay.</w:t>
            </w:r>
            <w:r w:rsidRPr="00B36096">
              <w:rPr>
                <w:rFonts w:ascii="Arial" w:hAnsi="Arial" w:cs="Arial"/>
                <w:bCs/>
                <w:iCs/>
              </w:rPr>
              <w:t xml:space="preserve"> </w:t>
            </w:r>
            <w:r w:rsidRPr="00B36096">
              <w:rPr>
                <w:rFonts w:ascii="Arial" w:hAnsi="Arial" w:cs="Arial"/>
              </w:rPr>
              <w:t>Onion bulbs were exposed to graded concentrations of each additive, with chromosomal aberrations and root growth inhibition (RGI) evaluated as endpoints. Data were analyzed using ANOVA, Tukey’s post hoc test, and linear regression. All additives induced concentration-dependent increases in chromosomal aberrations and significant RGI. MSG showed strong correlations with chromosomal aberrations (R² = 0.871) and RGI (R² = 0.905, p &lt; 0.05). Sorbic acid exhibited similar patterns (R² = 0.795 and 0.881, respectively). Erythrosine red caused the greatest RGI (R² = 0.964, p &lt; 0.05) and high chromosomal disruption at higher doses. Across additives, RGI was a more sensitive toxicity indicator than chromosomal aberrations. These findings indicate that common food additives can exert marked cytotoxic effects and potential genotoxicity, with implications for rapidly dividing human tissues. Stricter regulatory limits, clearer labeling, and public education are recommended, particularly in settings with high consumption of processed foods.</w:t>
            </w:r>
            <w:r w:rsidRPr="00B36096">
              <w:rPr>
                <w:rFonts w:ascii="Arial" w:hAnsi="Arial" w:cs="Arial"/>
              </w:rPr>
              <w:br/>
            </w:r>
          </w:p>
        </w:tc>
      </w:tr>
    </w:tbl>
    <w:p w14:paraId="2BF44BDF" w14:textId="77777777" w:rsidR="00636EB2" w:rsidRDefault="00636EB2" w:rsidP="00441B6F">
      <w:pPr>
        <w:pStyle w:val="Body"/>
        <w:spacing w:after="0"/>
        <w:rPr>
          <w:rFonts w:ascii="Arial" w:hAnsi="Arial" w:cs="Arial"/>
          <w:i/>
        </w:rPr>
      </w:pPr>
    </w:p>
    <w:p w14:paraId="560F7743" w14:textId="77777777" w:rsidR="00A24E7E" w:rsidRDefault="00A24E7E" w:rsidP="00441B6F">
      <w:pPr>
        <w:pStyle w:val="Body"/>
        <w:spacing w:after="0"/>
        <w:rPr>
          <w:rFonts w:ascii="Arial" w:hAnsi="Arial" w:cs="Arial"/>
          <w:i/>
        </w:rPr>
      </w:pPr>
      <w:r>
        <w:rPr>
          <w:rFonts w:ascii="Arial" w:hAnsi="Arial" w:cs="Arial"/>
          <w:i/>
        </w:rPr>
        <w:t xml:space="preserve">Keywords: </w:t>
      </w:r>
      <w:r w:rsidR="00B36096" w:rsidRPr="00B36096">
        <w:rPr>
          <w:rFonts w:ascii="Arial" w:hAnsi="Arial" w:cs="Arial"/>
          <w:i/>
        </w:rPr>
        <w:t>Allium cepa, cytotoxicity, genotoxicity, food additives, erythrosine, sorbic acid, monosodium glutamate</w:t>
      </w:r>
    </w:p>
    <w:p w14:paraId="2A5F2998" w14:textId="77777777" w:rsidR="00B52896" w:rsidRPr="00B36096" w:rsidRDefault="00B52896" w:rsidP="00B36096">
      <w:pPr>
        <w:pStyle w:val="Body"/>
        <w:spacing w:after="0"/>
        <w:rPr>
          <w:rFonts w:ascii="Arial" w:hAnsi="Arial" w:cs="Arial"/>
          <w:sz w:val="18"/>
        </w:rPr>
      </w:pPr>
    </w:p>
    <w:p w14:paraId="1FCB8769" w14:textId="77777777" w:rsidR="00505F06" w:rsidRPr="00B36096" w:rsidRDefault="00505F06" w:rsidP="00441B6F">
      <w:pPr>
        <w:pStyle w:val="Body"/>
        <w:spacing w:after="0"/>
        <w:rPr>
          <w:rFonts w:ascii="Arial" w:hAnsi="Arial" w:cs="Arial"/>
        </w:rPr>
      </w:pPr>
    </w:p>
    <w:p w14:paraId="5E167CCB"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FBE53AF" w14:textId="77777777" w:rsidR="008B726E" w:rsidRDefault="00B36096" w:rsidP="00B36096">
      <w:pPr>
        <w:spacing w:before="100" w:beforeAutospacing="1" w:after="100" w:afterAutospacing="1" w:line="360" w:lineRule="auto"/>
        <w:jc w:val="both"/>
        <w:rPr>
          <w:rFonts w:ascii="Times New Roman" w:hAnsi="Times New Roman"/>
          <w:bCs/>
          <w:iCs/>
        </w:rPr>
      </w:pPr>
      <w:r w:rsidRPr="00B36096">
        <w:rPr>
          <w:rFonts w:ascii="Times New Roman" w:hAnsi="Times New Roman"/>
          <w:bCs/>
          <w:iCs/>
        </w:rPr>
        <w:t>The practice of food additives goes back a few centuries, initially with natural additives to preserve food or add to its attractiveness. However, with the explosive development of the global food sector in the 20th and 21st centuries, the use of synthetic and semi-synthetic additives in processed and packaged foods has grown by leaps and bounds. These additives, preservatives, colorants, emulsifiers, sweeteners, and flavor enhancers are now being used regularly to prolong shelf life, refine taste, and ensure product consistency (</w:t>
      </w:r>
      <w:r w:rsidRPr="00B36096">
        <w:rPr>
          <w:rFonts w:ascii="Times New Roman" w:hAnsi="Times New Roman"/>
        </w:rPr>
        <w:t xml:space="preserve">Kim et al., 2019; </w:t>
      </w:r>
      <w:proofErr w:type="spellStart"/>
      <w:r w:rsidRPr="00B36096">
        <w:rPr>
          <w:rFonts w:ascii="Times New Roman" w:hAnsi="Times New Roman"/>
        </w:rPr>
        <w:t>Soodan</w:t>
      </w:r>
      <w:proofErr w:type="spellEnd"/>
      <w:r w:rsidRPr="00B36096">
        <w:rPr>
          <w:rFonts w:ascii="Times New Roman" w:hAnsi="Times New Roman"/>
        </w:rPr>
        <w:t xml:space="preserve"> et al., 2014)</w:t>
      </w:r>
      <w:r w:rsidRPr="00B36096">
        <w:rPr>
          <w:rFonts w:ascii="Times New Roman" w:hAnsi="Times New Roman"/>
          <w:bCs/>
          <w:iCs/>
        </w:rPr>
        <w:t>.</w:t>
      </w:r>
    </w:p>
    <w:p w14:paraId="639D358B" w14:textId="77777777" w:rsidR="00B36096" w:rsidRPr="00B36096" w:rsidRDefault="00B36096" w:rsidP="00B36096">
      <w:pPr>
        <w:spacing w:before="100" w:beforeAutospacing="1" w:after="100" w:afterAutospacing="1" w:line="360" w:lineRule="auto"/>
        <w:jc w:val="both"/>
        <w:rPr>
          <w:rFonts w:ascii="Times New Roman" w:hAnsi="Times New Roman"/>
          <w:bCs/>
          <w:iCs/>
        </w:rPr>
      </w:pPr>
      <w:r w:rsidRPr="00B36096">
        <w:rPr>
          <w:rFonts w:ascii="Times New Roman" w:hAnsi="Times New Roman"/>
          <w:bCs/>
          <w:iCs/>
        </w:rPr>
        <w:t xml:space="preserve">Reacting to the widening application of food additives, global regulatory authorities like the Food and Agriculture Organization (FAO) and the World Health Organization (WHO), via the Codex Alimentarius Commission, set out to create safety standards and acceptable daily intake (ADI) levels to inform the utilization of these chemicals in foods. Regardless of such regulation, scientific concern regarding the long-term health consequences of chronic and cumulative consumption of some food additives has increased. In particular, concerns </w:t>
      </w:r>
      <w:r w:rsidRPr="00B36096">
        <w:rPr>
          <w:rFonts w:ascii="Times New Roman" w:hAnsi="Times New Roman"/>
          <w:bCs/>
          <w:iCs/>
        </w:rPr>
        <w:lastRenderedPageBreak/>
        <w:t>have been brought up regarding their possible genotoxic and cytotoxic consequences, especially in low- and middle-income nations where regulation enforcement could be intermittent (</w:t>
      </w:r>
      <w:proofErr w:type="spellStart"/>
      <w:r w:rsidRPr="00B36096">
        <w:rPr>
          <w:rFonts w:ascii="Times New Roman" w:hAnsi="Times New Roman"/>
          <w:bCs/>
          <w:iCs/>
        </w:rPr>
        <w:t>Carocho</w:t>
      </w:r>
      <w:proofErr w:type="spellEnd"/>
      <w:r w:rsidRPr="00B36096">
        <w:rPr>
          <w:rFonts w:ascii="Times New Roman" w:hAnsi="Times New Roman"/>
          <w:bCs/>
          <w:iCs/>
        </w:rPr>
        <w:t xml:space="preserve"> &amp; Barreiro, 2014; </w:t>
      </w:r>
      <w:proofErr w:type="spellStart"/>
      <w:r w:rsidRPr="00B36096">
        <w:rPr>
          <w:rFonts w:ascii="Times New Roman" w:hAnsi="Times New Roman"/>
        </w:rPr>
        <w:t>Chequer</w:t>
      </w:r>
      <w:proofErr w:type="spellEnd"/>
      <w:r w:rsidRPr="00B36096">
        <w:rPr>
          <w:rFonts w:ascii="Times New Roman" w:hAnsi="Times New Roman"/>
          <w:bCs/>
          <w:iCs/>
        </w:rPr>
        <w:t xml:space="preserve"> et al., 2012).</w:t>
      </w:r>
    </w:p>
    <w:p w14:paraId="211BEE97" w14:textId="77777777" w:rsidR="00B36096" w:rsidRPr="00B36096" w:rsidRDefault="00B36096" w:rsidP="00B36096">
      <w:pPr>
        <w:spacing w:before="100" w:beforeAutospacing="1" w:after="100" w:afterAutospacing="1" w:line="360" w:lineRule="auto"/>
        <w:jc w:val="both"/>
        <w:rPr>
          <w:rFonts w:ascii="Times New Roman" w:hAnsi="Times New Roman"/>
          <w:bCs/>
          <w:iCs/>
        </w:rPr>
      </w:pPr>
      <w:r w:rsidRPr="00B36096">
        <w:rPr>
          <w:rFonts w:ascii="Times New Roman" w:hAnsi="Times New Roman"/>
          <w:bCs/>
          <w:iCs/>
        </w:rPr>
        <w:t>Genotoxicity, which is the capacity of chemicals to cause damage to genetic material, became a central interest in toxicological research. Detection of chromosomal aberrations like bridges, fragments, breaks, laggards, and micronuclei was an important indicator of genotoxic stress and gave early indications of possible mutagenesis and carcinogenesis (Guo et al., 2020). Ethical and practical constraints of testing genotoxicity directly in humans led researchers to adopt alternative models.</w:t>
      </w:r>
    </w:p>
    <w:p w14:paraId="479CC935" w14:textId="77777777" w:rsidR="00B36096" w:rsidRPr="00B36096" w:rsidRDefault="00B36096" w:rsidP="00B36096">
      <w:pPr>
        <w:spacing w:before="100" w:beforeAutospacing="1" w:after="100" w:afterAutospacing="1" w:line="360" w:lineRule="auto"/>
        <w:jc w:val="both"/>
        <w:rPr>
          <w:rFonts w:ascii="Times New Roman" w:hAnsi="Times New Roman"/>
          <w:bCs/>
          <w:iCs/>
        </w:rPr>
      </w:pPr>
      <w:r w:rsidRPr="00B36096">
        <w:rPr>
          <w:rFonts w:ascii="Times New Roman" w:hAnsi="Times New Roman"/>
          <w:bCs/>
          <w:iCs/>
        </w:rPr>
        <w:t xml:space="preserve">In 1938, Levan developed the Allium cepa assay, a breakthrough in plant toxicology. The model quickly became popular because of its simplicity, low expense, comparatively short life cycle, and big, easily discernible chromosomes (2n = 16). With time, the A. cepa test system was recommended by agencies like the United Nations Environment </w:t>
      </w:r>
      <w:proofErr w:type="spellStart"/>
      <w:r w:rsidRPr="00B36096">
        <w:rPr>
          <w:rFonts w:ascii="Times New Roman" w:hAnsi="Times New Roman"/>
          <w:bCs/>
          <w:iCs/>
        </w:rPr>
        <w:t>Programme</w:t>
      </w:r>
      <w:proofErr w:type="spellEnd"/>
      <w:r w:rsidRPr="00B36096">
        <w:rPr>
          <w:rFonts w:ascii="Times New Roman" w:hAnsi="Times New Roman"/>
          <w:bCs/>
          <w:iCs/>
        </w:rPr>
        <w:t xml:space="preserve"> (UNEP) and the International </w:t>
      </w:r>
      <w:proofErr w:type="spellStart"/>
      <w:r w:rsidRPr="00B36096">
        <w:rPr>
          <w:rFonts w:ascii="Times New Roman" w:hAnsi="Times New Roman"/>
          <w:bCs/>
          <w:iCs/>
        </w:rPr>
        <w:t>Programme</w:t>
      </w:r>
      <w:proofErr w:type="spellEnd"/>
      <w:r w:rsidRPr="00B36096">
        <w:rPr>
          <w:rFonts w:ascii="Times New Roman" w:hAnsi="Times New Roman"/>
          <w:bCs/>
          <w:iCs/>
        </w:rPr>
        <w:t xml:space="preserve"> on Chemical Safety (IPCS) for environmental monitoring and initial chemical screening (</w:t>
      </w:r>
      <w:r w:rsidRPr="00B36096">
        <w:rPr>
          <w:rFonts w:ascii="Times New Roman" w:hAnsi="Times New Roman"/>
        </w:rPr>
        <w:t>Horie</w:t>
      </w:r>
      <w:r w:rsidRPr="00B36096">
        <w:rPr>
          <w:rFonts w:ascii="Times New Roman" w:hAnsi="Times New Roman"/>
          <w:bCs/>
          <w:iCs/>
        </w:rPr>
        <w:t xml:space="preserve"> et al.,2011). A. cepa root meristem cells, with active mitotic division, became especially useful for identifying cytological disturbances caused by environmental toxins, such as heavy metals, pesticides, and food additives.</w:t>
      </w:r>
    </w:p>
    <w:p w14:paraId="64DFD27D" w14:textId="77777777" w:rsidR="00B36096" w:rsidRPr="00B36096" w:rsidRDefault="00B36096" w:rsidP="00B36096">
      <w:pPr>
        <w:spacing w:before="100" w:beforeAutospacing="1" w:after="100" w:afterAutospacing="1" w:line="360" w:lineRule="auto"/>
        <w:jc w:val="both"/>
        <w:rPr>
          <w:rFonts w:ascii="Times New Roman" w:hAnsi="Times New Roman"/>
          <w:bCs/>
          <w:iCs/>
        </w:rPr>
      </w:pPr>
      <w:r w:rsidRPr="00B36096">
        <w:rPr>
          <w:rFonts w:ascii="Times New Roman" w:hAnsi="Times New Roman"/>
          <w:bCs/>
          <w:iCs/>
        </w:rPr>
        <w:t xml:space="preserve">As research techniques improved, recent decades have seen an explosion of research using the </w:t>
      </w:r>
      <w:r w:rsidRPr="00B36096">
        <w:rPr>
          <w:rFonts w:ascii="Times New Roman" w:hAnsi="Times New Roman"/>
          <w:bCs/>
          <w:i/>
          <w:iCs/>
        </w:rPr>
        <w:t>A. cepa</w:t>
      </w:r>
      <w:r w:rsidRPr="00B36096">
        <w:rPr>
          <w:rFonts w:ascii="Times New Roman" w:hAnsi="Times New Roman"/>
          <w:bCs/>
          <w:iCs/>
        </w:rPr>
        <w:t xml:space="preserve"> model to evaluate the genotoxicity of popular food additives consumed globally. </w:t>
      </w:r>
      <w:r w:rsidRPr="00B36096">
        <w:rPr>
          <w:rFonts w:ascii="Times New Roman" w:hAnsi="Times New Roman"/>
        </w:rPr>
        <w:t xml:space="preserve">The A. cepa assay, widely adopted for its low cost and chromosomal clarity, is now a standard preliminary model for assessing the genotoxicity of food additives and environmental contaminants. </w:t>
      </w:r>
      <w:r w:rsidRPr="00B36096">
        <w:rPr>
          <w:rFonts w:ascii="Times New Roman" w:hAnsi="Times New Roman"/>
          <w:bCs/>
          <w:iCs/>
        </w:rPr>
        <w:t>Food additives like monosodium glutamate (MSG), sodium benzoate, tartrazine, and aspartame, although cleared for inclusion in human diets, have exhibited cytological disruptions in the laboratory setting, such as mitosis inhibition, DNA damage, and oxidative stress (</w:t>
      </w:r>
      <w:r w:rsidRPr="00B36096">
        <w:rPr>
          <w:rFonts w:ascii="Times New Roman" w:hAnsi="Times New Roman"/>
          <w:iCs/>
        </w:rPr>
        <w:t>Ikechukwu</w:t>
      </w:r>
      <w:r w:rsidRPr="00B36096">
        <w:rPr>
          <w:rFonts w:ascii="Times New Roman" w:hAnsi="Times New Roman"/>
          <w:bCs/>
          <w:iCs/>
        </w:rPr>
        <w:t xml:space="preserve"> et al., 2024; </w:t>
      </w:r>
      <w:proofErr w:type="spellStart"/>
      <w:r w:rsidRPr="00B36096">
        <w:rPr>
          <w:rFonts w:ascii="Times New Roman" w:hAnsi="Times New Roman"/>
          <w:bCs/>
          <w:iCs/>
        </w:rPr>
        <w:t>Okokon</w:t>
      </w:r>
      <w:proofErr w:type="spellEnd"/>
      <w:r w:rsidRPr="00B36096">
        <w:rPr>
          <w:rFonts w:ascii="Times New Roman" w:hAnsi="Times New Roman"/>
          <w:bCs/>
          <w:iCs/>
        </w:rPr>
        <w:t xml:space="preserve"> et al., 2023). Such reports have raised alarm bells over the safety limits of such additives, particularly upon long-term consumption or in combination.</w:t>
      </w:r>
    </w:p>
    <w:p w14:paraId="799AF640" w14:textId="77777777" w:rsidR="00B36096" w:rsidRPr="00B36096" w:rsidRDefault="00B36096" w:rsidP="00B36096">
      <w:pPr>
        <w:spacing w:before="100" w:beforeAutospacing="1" w:after="100" w:afterAutospacing="1" w:line="360" w:lineRule="auto"/>
        <w:jc w:val="both"/>
        <w:rPr>
          <w:rFonts w:ascii="Times New Roman" w:hAnsi="Times New Roman"/>
          <w:bCs/>
          <w:iCs/>
        </w:rPr>
      </w:pPr>
      <w:r w:rsidRPr="00B36096">
        <w:rPr>
          <w:rFonts w:ascii="Times New Roman" w:hAnsi="Times New Roman"/>
          <w:bCs/>
          <w:iCs/>
        </w:rPr>
        <w:t>In parallel with these advances, the worldwide boom in the consumption of ultra-processed foods, particularly in low-income countries such as Nigeria, has aggravated exposure risks. In these environments, informal markets, lack of regulatory enforcement, and increased dependence on imported processed foods are some of the factors leading to high additive consumption. Of particular concern is the exposure of vulnerable groups, including children, whose tissues are rapidly dividing and thus potentially more sensitive to cellular and genetic disruption (</w:t>
      </w:r>
      <w:proofErr w:type="spellStart"/>
      <w:r w:rsidRPr="00B36096">
        <w:rPr>
          <w:rFonts w:ascii="Times New Roman" w:hAnsi="Times New Roman"/>
        </w:rPr>
        <w:t>Aşkin</w:t>
      </w:r>
      <w:proofErr w:type="spellEnd"/>
      <w:r w:rsidRPr="00B36096">
        <w:rPr>
          <w:rFonts w:ascii="Times New Roman" w:hAnsi="Times New Roman"/>
        </w:rPr>
        <w:t xml:space="preserve"> </w:t>
      </w:r>
      <w:proofErr w:type="spellStart"/>
      <w:r w:rsidRPr="00B36096">
        <w:rPr>
          <w:rFonts w:ascii="Times New Roman" w:hAnsi="Times New Roman"/>
        </w:rPr>
        <w:t>Çelik</w:t>
      </w:r>
      <w:proofErr w:type="spellEnd"/>
      <w:r w:rsidRPr="00B36096">
        <w:rPr>
          <w:rFonts w:ascii="Times New Roman" w:hAnsi="Times New Roman"/>
        </w:rPr>
        <w:t xml:space="preserve"> &amp; </w:t>
      </w:r>
      <w:proofErr w:type="spellStart"/>
      <w:r w:rsidRPr="00B36096">
        <w:rPr>
          <w:rFonts w:ascii="Times New Roman" w:hAnsi="Times New Roman"/>
        </w:rPr>
        <w:t>Aslantürk</w:t>
      </w:r>
      <w:proofErr w:type="spellEnd"/>
      <w:r w:rsidRPr="00B36096">
        <w:rPr>
          <w:rFonts w:ascii="Times New Roman" w:hAnsi="Times New Roman"/>
        </w:rPr>
        <w:t>, 2010</w:t>
      </w:r>
      <w:r w:rsidRPr="00B36096">
        <w:rPr>
          <w:rFonts w:ascii="Times New Roman" w:hAnsi="Times New Roman"/>
          <w:bCs/>
          <w:iCs/>
        </w:rPr>
        <w:t>).</w:t>
      </w:r>
    </w:p>
    <w:p w14:paraId="48E5E438" w14:textId="77777777" w:rsidR="00B36096" w:rsidRPr="00B36096" w:rsidRDefault="00B36096" w:rsidP="00B36096">
      <w:pPr>
        <w:spacing w:before="100" w:beforeAutospacing="1" w:after="100" w:afterAutospacing="1" w:line="360" w:lineRule="auto"/>
        <w:jc w:val="both"/>
        <w:rPr>
          <w:rFonts w:ascii="Times New Roman" w:hAnsi="Times New Roman"/>
          <w:bCs/>
          <w:iCs/>
        </w:rPr>
      </w:pPr>
      <w:r w:rsidRPr="00B36096">
        <w:rPr>
          <w:rFonts w:ascii="Times New Roman" w:hAnsi="Times New Roman"/>
          <w:bCs/>
          <w:iCs/>
        </w:rPr>
        <w:t>While many additives are designated as GRAS (Generally Recognized As Safe) under recommended usage levels, emerging evidence from in vivo and in vitro models indicates that some may interfere with DNA repair mechanisms, redox balance, and mitotic progression (</w:t>
      </w:r>
      <w:r w:rsidRPr="00B36096">
        <w:rPr>
          <w:rFonts w:ascii="Times New Roman" w:hAnsi="Times New Roman"/>
        </w:rPr>
        <w:t>Leme et al.,</w:t>
      </w:r>
      <w:r w:rsidRPr="00B36096">
        <w:rPr>
          <w:rFonts w:ascii="Times New Roman" w:hAnsi="Times New Roman"/>
          <w:bCs/>
          <w:iCs/>
        </w:rPr>
        <w:t xml:space="preserve"> 2009; </w:t>
      </w:r>
      <w:proofErr w:type="spellStart"/>
      <w:r w:rsidRPr="00B36096">
        <w:rPr>
          <w:rFonts w:ascii="Times New Roman" w:hAnsi="Times New Roman"/>
          <w:bCs/>
          <w:iCs/>
        </w:rPr>
        <w:t>Camparoto</w:t>
      </w:r>
      <w:proofErr w:type="spellEnd"/>
      <w:r w:rsidRPr="00B36096">
        <w:rPr>
          <w:rFonts w:ascii="Times New Roman" w:hAnsi="Times New Roman"/>
          <w:bCs/>
          <w:iCs/>
        </w:rPr>
        <w:t xml:space="preserve"> et al., 2002). Several additives act as pro-oxidants, generating reactive oxygen species (ROS) that overwhelm antioxidant defenses and trigger cell death pathways. These effects are especially worrisome in fast-dividing tissues such as the gastrointestinal epithelium, bone marrow, and reproductive organs.</w:t>
      </w:r>
    </w:p>
    <w:p w14:paraId="367112A2" w14:textId="77777777" w:rsidR="00B36096" w:rsidRPr="00B36096" w:rsidRDefault="00B36096" w:rsidP="00B36096">
      <w:pPr>
        <w:spacing w:before="240" w:beforeAutospacing="1" w:after="100" w:afterAutospacing="1" w:line="360" w:lineRule="auto"/>
        <w:jc w:val="both"/>
        <w:rPr>
          <w:rFonts w:ascii="Times New Roman" w:hAnsi="Times New Roman"/>
          <w:bCs/>
          <w:iCs/>
        </w:rPr>
      </w:pPr>
      <w:r w:rsidRPr="00B36096">
        <w:rPr>
          <w:rFonts w:ascii="Times New Roman" w:hAnsi="Times New Roman"/>
          <w:bCs/>
          <w:iCs/>
        </w:rPr>
        <w:t xml:space="preserve">It is against this background that the present research was conceived to examine the genotoxicity of some food additives based on the </w:t>
      </w:r>
      <w:r w:rsidRPr="00B36096">
        <w:rPr>
          <w:rFonts w:ascii="Times New Roman" w:hAnsi="Times New Roman"/>
          <w:bCs/>
          <w:i/>
          <w:iCs/>
        </w:rPr>
        <w:t>Allium cepa</w:t>
      </w:r>
      <w:r w:rsidRPr="00B36096">
        <w:rPr>
          <w:rFonts w:ascii="Times New Roman" w:hAnsi="Times New Roman"/>
          <w:bCs/>
          <w:iCs/>
        </w:rPr>
        <w:t xml:space="preserve"> assay, a system that complies with the ethical tenets of research through the 3Rs (Replacement, Reduction, and Refinement). (</w:t>
      </w:r>
      <w:r w:rsidRPr="00B36096">
        <w:rPr>
          <w:rFonts w:ascii="Times New Roman" w:hAnsi="Times New Roman"/>
        </w:rPr>
        <w:t>Aleem et al., 2020).</w:t>
      </w:r>
      <w:r w:rsidRPr="00B36096">
        <w:rPr>
          <w:rFonts w:ascii="Times New Roman" w:hAnsi="Times New Roman"/>
          <w:bCs/>
          <w:iCs/>
        </w:rPr>
        <w:t xml:space="preserve"> Through the exposure of </w:t>
      </w:r>
      <w:r w:rsidRPr="00B36096">
        <w:rPr>
          <w:rFonts w:ascii="Times New Roman" w:hAnsi="Times New Roman"/>
          <w:bCs/>
          <w:i/>
          <w:iCs/>
        </w:rPr>
        <w:t>A. cepa</w:t>
      </w:r>
      <w:r w:rsidRPr="00B36096">
        <w:rPr>
          <w:rFonts w:ascii="Times New Roman" w:hAnsi="Times New Roman"/>
          <w:bCs/>
          <w:iCs/>
        </w:rPr>
        <w:t xml:space="preserve"> root tip cells to graded levels of popular additives, this research seeks to measure their ability to cause chromosomal aberrations and other mitotic disturbances. In addition, it investigates dose-response relations to gain insight into the intensity as well as the frequency of </w:t>
      </w:r>
      <w:proofErr w:type="spellStart"/>
      <w:r w:rsidRPr="00B36096">
        <w:rPr>
          <w:rFonts w:ascii="Times New Roman" w:hAnsi="Times New Roman"/>
          <w:bCs/>
          <w:iCs/>
        </w:rPr>
        <w:t>cytogenotoxicity</w:t>
      </w:r>
      <w:proofErr w:type="spellEnd"/>
      <w:r w:rsidRPr="00B36096">
        <w:rPr>
          <w:rFonts w:ascii="Times New Roman" w:hAnsi="Times New Roman"/>
          <w:bCs/>
          <w:iCs/>
        </w:rPr>
        <w:t xml:space="preserve"> with concentration (</w:t>
      </w:r>
      <w:r w:rsidRPr="00B36096">
        <w:rPr>
          <w:rFonts w:ascii="Times New Roman" w:hAnsi="Times New Roman"/>
        </w:rPr>
        <w:t>Aleem &amp; Jasmine</w:t>
      </w:r>
      <w:r w:rsidRPr="00B36096">
        <w:rPr>
          <w:rFonts w:ascii="Times New Roman" w:hAnsi="Times New Roman"/>
          <w:bCs/>
          <w:iCs/>
        </w:rPr>
        <w:t>, 2021).</w:t>
      </w:r>
    </w:p>
    <w:p w14:paraId="2AE4A5F9" w14:textId="77777777" w:rsidR="00B36096" w:rsidRPr="00B36096" w:rsidRDefault="00B36096" w:rsidP="00B36096">
      <w:pPr>
        <w:spacing w:before="100" w:beforeAutospacing="1" w:after="100" w:afterAutospacing="1" w:line="360" w:lineRule="auto"/>
        <w:jc w:val="both"/>
        <w:rPr>
          <w:rFonts w:ascii="Times New Roman" w:hAnsi="Times New Roman"/>
          <w:color w:val="FF0000"/>
        </w:rPr>
      </w:pPr>
      <w:r w:rsidRPr="00B36096">
        <w:rPr>
          <w:rFonts w:ascii="Times New Roman" w:hAnsi="Times New Roman"/>
          <w:bCs/>
          <w:iCs/>
        </w:rPr>
        <w:lastRenderedPageBreak/>
        <w:t>Finally, this study adds to the continuing discussion of food safety and chemical risk assessment, especially in areas where consumer protection systems are still developing. The results are anticipated to yield empirical evidence that guides public health policy, regulatory reform, and consumer education, hence buttressing the contributions of plant bioassays in environmental and food toxicology.</w:t>
      </w:r>
    </w:p>
    <w:p w14:paraId="20C0021F" w14:textId="77777777" w:rsidR="00790ADA" w:rsidRPr="00FB3A86" w:rsidRDefault="00790ADA" w:rsidP="00441B6F">
      <w:pPr>
        <w:pStyle w:val="Body"/>
        <w:spacing w:after="0"/>
        <w:rPr>
          <w:rFonts w:ascii="Arial" w:hAnsi="Arial" w:cs="Arial"/>
        </w:rPr>
      </w:pPr>
    </w:p>
    <w:p w14:paraId="011E2FBD" w14:textId="77777777"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E1A1C48" w14:textId="77777777" w:rsidR="0050424B" w:rsidRPr="0050424B" w:rsidRDefault="0050424B" w:rsidP="0050424B">
      <w:pPr>
        <w:pStyle w:val="Heading4"/>
        <w:spacing w:line="360" w:lineRule="auto"/>
        <w:jc w:val="both"/>
        <w:rPr>
          <w:rFonts w:ascii="Arial" w:hAnsi="Arial" w:cs="Arial"/>
          <w:b w:val="0"/>
          <w:i w:val="0"/>
          <w:color w:val="000000" w:themeColor="text1"/>
        </w:rPr>
      </w:pPr>
      <w:r>
        <w:rPr>
          <w:rStyle w:val="Strong"/>
          <w:rFonts w:ascii="Arial" w:hAnsi="Arial" w:cs="Arial"/>
          <w:b/>
          <w:i w:val="0"/>
          <w:color w:val="000000" w:themeColor="text1"/>
        </w:rPr>
        <w:t xml:space="preserve">2.1. </w:t>
      </w:r>
      <w:r w:rsidRPr="0050424B">
        <w:rPr>
          <w:rStyle w:val="Strong"/>
          <w:rFonts w:ascii="Arial" w:hAnsi="Arial" w:cs="Arial"/>
          <w:b/>
          <w:i w:val="0"/>
          <w:color w:val="000000" w:themeColor="text1"/>
        </w:rPr>
        <w:t>Study Area and Experimental Setting</w:t>
      </w:r>
    </w:p>
    <w:p w14:paraId="4ABBDFF5" w14:textId="77777777" w:rsidR="0050424B" w:rsidRPr="0050424B" w:rsidRDefault="0050424B" w:rsidP="0050424B">
      <w:pPr>
        <w:pStyle w:val="NormalWeb"/>
        <w:spacing w:line="360" w:lineRule="auto"/>
        <w:jc w:val="both"/>
        <w:rPr>
          <w:rFonts w:ascii="Arial" w:hAnsi="Arial" w:cs="Arial"/>
          <w:color w:val="000000" w:themeColor="text1"/>
          <w:sz w:val="20"/>
          <w:szCs w:val="20"/>
        </w:rPr>
      </w:pPr>
      <w:r w:rsidRPr="0050424B">
        <w:rPr>
          <w:rFonts w:ascii="Arial" w:hAnsi="Arial" w:cs="Arial"/>
          <w:color w:val="000000" w:themeColor="text1"/>
          <w:sz w:val="20"/>
          <w:szCs w:val="20"/>
        </w:rPr>
        <w:t>The study was conducted in the Plant Physiology and Cytogenetics Laboratory, Department of Biology, Federal University of Technology, Akure (FUTA), Nigeria. Akure is situated in southwestern Nigeria within the tropical rainforest belt (Latitude 7°15'N, Longitude 5°11'E), experiencing average annual rainfall of 1500–2000 mm and a mean temperature range of 23–31°C. The laboratory environment was maintained at ambient room temperature (25 ± 2°C) with natural day-night photoperiods during the experiment. The region is significant for its reliance on open markets like Sasha Market, which serve as major distribution hubs for food commodities and additives, hence making it a pertinent location for food toxicology studies.</w:t>
      </w:r>
    </w:p>
    <w:p w14:paraId="248B8B4E" w14:textId="77777777" w:rsidR="0050424B" w:rsidRPr="0050424B" w:rsidRDefault="0050424B" w:rsidP="0050424B">
      <w:pPr>
        <w:pStyle w:val="Heading4"/>
        <w:spacing w:line="360" w:lineRule="auto"/>
        <w:jc w:val="both"/>
        <w:rPr>
          <w:rFonts w:ascii="Arial" w:hAnsi="Arial" w:cs="Arial"/>
          <w:b w:val="0"/>
          <w:i w:val="0"/>
          <w:color w:val="000000" w:themeColor="text1"/>
        </w:rPr>
      </w:pPr>
      <w:r w:rsidRPr="0050424B">
        <w:rPr>
          <w:rStyle w:val="Strong"/>
          <w:rFonts w:ascii="Arial" w:hAnsi="Arial" w:cs="Arial"/>
          <w:b/>
          <w:i w:val="0"/>
          <w:color w:val="000000" w:themeColor="text1"/>
        </w:rPr>
        <w:t>2.2. Plant Material Collection and Preparation</w:t>
      </w:r>
    </w:p>
    <w:p w14:paraId="186BE5E3" w14:textId="77777777" w:rsidR="0050424B" w:rsidRPr="0050424B" w:rsidRDefault="0050424B" w:rsidP="0050424B">
      <w:pPr>
        <w:pStyle w:val="NormalWeb"/>
        <w:spacing w:line="360" w:lineRule="auto"/>
        <w:jc w:val="both"/>
        <w:rPr>
          <w:rFonts w:ascii="Arial" w:hAnsi="Arial" w:cs="Arial"/>
          <w:color w:val="000000" w:themeColor="text1"/>
          <w:sz w:val="20"/>
          <w:szCs w:val="20"/>
        </w:rPr>
      </w:pPr>
      <w:r w:rsidRPr="0050424B">
        <w:rPr>
          <w:rFonts w:ascii="Arial" w:hAnsi="Arial" w:cs="Arial"/>
          <w:color w:val="000000" w:themeColor="text1"/>
          <w:sz w:val="20"/>
          <w:szCs w:val="20"/>
        </w:rPr>
        <w:t>Healthy onion bulbs (</w:t>
      </w:r>
      <w:r w:rsidRPr="0050424B">
        <w:rPr>
          <w:rStyle w:val="Emphasis"/>
          <w:rFonts w:ascii="Arial" w:hAnsi="Arial" w:cs="Arial"/>
          <w:color w:val="000000" w:themeColor="text1"/>
          <w:sz w:val="20"/>
          <w:szCs w:val="20"/>
        </w:rPr>
        <w:t>Allium cepa</w:t>
      </w:r>
      <w:r w:rsidRPr="0050424B">
        <w:rPr>
          <w:rFonts w:ascii="Arial" w:hAnsi="Arial" w:cs="Arial"/>
          <w:color w:val="000000" w:themeColor="text1"/>
          <w:sz w:val="20"/>
          <w:szCs w:val="20"/>
        </w:rPr>
        <w:t xml:space="preserve"> L.; 2n = 16, Family: Amaryllidaceae) were sourced from Sasha Market, Akure. Selection criteria included uniform size (3.5–5.0 cm), absence of mechanical or fungal damage, and physiological freshness. Surface sterilization was achieved by removing dry outer scales and rinsing the bulbs thoroughly in distilled water to eliminate debris and microbial contaminants. This ensures consistency in root growth response during exposure (</w:t>
      </w:r>
      <w:proofErr w:type="spellStart"/>
      <w:r w:rsidRPr="0050424B">
        <w:rPr>
          <w:rFonts w:ascii="Arial" w:hAnsi="Arial" w:cs="Arial"/>
          <w:color w:val="000000" w:themeColor="text1"/>
          <w:sz w:val="20"/>
          <w:szCs w:val="20"/>
        </w:rPr>
        <w:t>Bonciu</w:t>
      </w:r>
      <w:proofErr w:type="spellEnd"/>
      <w:r w:rsidRPr="0050424B">
        <w:rPr>
          <w:rFonts w:ascii="Arial" w:hAnsi="Arial" w:cs="Arial"/>
          <w:color w:val="000000" w:themeColor="text1"/>
          <w:sz w:val="20"/>
          <w:szCs w:val="20"/>
        </w:rPr>
        <w:t>, 2019).</w:t>
      </w:r>
    </w:p>
    <w:p w14:paraId="7E5EF1EE" w14:textId="77777777" w:rsidR="0050424B" w:rsidRPr="0050424B" w:rsidRDefault="0050424B" w:rsidP="0050424B">
      <w:pPr>
        <w:pStyle w:val="Heading4"/>
        <w:spacing w:line="360" w:lineRule="auto"/>
        <w:jc w:val="both"/>
        <w:rPr>
          <w:rFonts w:ascii="Arial" w:hAnsi="Arial" w:cs="Arial"/>
          <w:b w:val="0"/>
          <w:i w:val="0"/>
          <w:color w:val="000000" w:themeColor="text1"/>
        </w:rPr>
      </w:pPr>
      <w:r>
        <w:rPr>
          <w:rStyle w:val="Strong"/>
          <w:rFonts w:ascii="Arial" w:hAnsi="Arial" w:cs="Arial"/>
          <w:b/>
          <w:i w:val="0"/>
          <w:color w:val="000000" w:themeColor="text1"/>
        </w:rPr>
        <w:t xml:space="preserve">2.3. </w:t>
      </w:r>
      <w:r w:rsidRPr="0050424B">
        <w:rPr>
          <w:rStyle w:val="Strong"/>
          <w:rFonts w:ascii="Arial" w:hAnsi="Arial" w:cs="Arial"/>
          <w:b/>
          <w:i w:val="0"/>
          <w:color w:val="000000" w:themeColor="text1"/>
        </w:rPr>
        <w:t>Selection and Preparation of Food Additives</w:t>
      </w:r>
    </w:p>
    <w:p w14:paraId="1B7427B5" w14:textId="77777777" w:rsidR="0050424B" w:rsidRPr="0050424B" w:rsidRDefault="0050424B" w:rsidP="0050424B">
      <w:pPr>
        <w:pStyle w:val="NormalWeb"/>
        <w:spacing w:line="360" w:lineRule="auto"/>
        <w:jc w:val="both"/>
        <w:rPr>
          <w:rFonts w:ascii="Arial" w:hAnsi="Arial" w:cs="Arial"/>
          <w:color w:val="000000" w:themeColor="text1"/>
          <w:sz w:val="20"/>
          <w:szCs w:val="20"/>
        </w:rPr>
      </w:pPr>
      <w:r w:rsidRPr="0050424B">
        <w:rPr>
          <w:rFonts w:ascii="Arial" w:hAnsi="Arial" w:cs="Arial"/>
          <w:color w:val="000000" w:themeColor="text1"/>
          <w:sz w:val="20"/>
          <w:szCs w:val="20"/>
        </w:rPr>
        <w:t xml:space="preserve">Monosodium glutamate, sorbic acid, and erythrosine red were selected due to their broad usage and suspected genotoxic profiles. Analytical-grade powders were purchased from Sigma-Aldrich certified chemical distributors and kept in airtight containers. Working concentrations were determined based on prior toxicological thresholds used in </w:t>
      </w:r>
      <w:r w:rsidRPr="0050424B">
        <w:rPr>
          <w:rStyle w:val="Emphasis"/>
          <w:rFonts w:ascii="Arial" w:hAnsi="Arial" w:cs="Arial"/>
          <w:color w:val="000000" w:themeColor="text1"/>
          <w:sz w:val="20"/>
          <w:szCs w:val="20"/>
        </w:rPr>
        <w:t xml:space="preserve">Allium </w:t>
      </w:r>
      <w:proofErr w:type="spellStart"/>
      <w:r w:rsidRPr="0050424B">
        <w:rPr>
          <w:rStyle w:val="Emphasis"/>
          <w:rFonts w:ascii="Arial" w:hAnsi="Arial" w:cs="Arial"/>
          <w:color w:val="000000" w:themeColor="text1"/>
          <w:sz w:val="20"/>
          <w:szCs w:val="20"/>
        </w:rPr>
        <w:t>cepa</w:t>
      </w:r>
      <w:proofErr w:type="spellEnd"/>
      <w:r w:rsidRPr="0050424B">
        <w:rPr>
          <w:rFonts w:ascii="Arial" w:hAnsi="Arial" w:cs="Arial"/>
          <w:color w:val="000000" w:themeColor="text1"/>
          <w:sz w:val="20"/>
          <w:szCs w:val="20"/>
        </w:rPr>
        <w:t xml:space="preserve"> studies (</w:t>
      </w:r>
      <w:proofErr w:type="spellStart"/>
      <w:r w:rsidRPr="0050424B">
        <w:rPr>
          <w:rFonts w:ascii="Arial" w:hAnsi="Arial" w:cs="Arial"/>
          <w:color w:val="000000" w:themeColor="text1"/>
          <w:sz w:val="20"/>
          <w:szCs w:val="20"/>
        </w:rPr>
        <w:t>Ayed-Boussema</w:t>
      </w:r>
      <w:proofErr w:type="spellEnd"/>
      <w:r w:rsidRPr="0050424B">
        <w:rPr>
          <w:rFonts w:ascii="Arial" w:hAnsi="Arial" w:cs="Arial"/>
          <w:color w:val="000000" w:themeColor="text1"/>
          <w:sz w:val="20"/>
          <w:szCs w:val="20"/>
        </w:rPr>
        <w:t xml:space="preserve"> et al., 2020; Kibar et al., 2021). Each additive was dissolved in freshly collected tap water to obtain three different concentrations for treatment, while tap water served as a negative control. A 10 ppm solution of lead nitrate [</w:t>
      </w:r>
      <w:proofErr w:type="gramStart"/>
      <w:r w:rsidRPr="0050424B">
        <w:rPr>
          <w:rFonts w:ascii="Arial" w:hAnsi="Arial" w:cs="Arial"/>
          <w:color w:val="000000" w:themeColor="text1"/>
          <w:sz w:val="20"/>
          <w:szCs w:val="20"/>
        </w:rPr>
        <w:t>Pb(</w:t>
      </w:r>
      <w:proofErr w:type="gramEnd"/>
      <w:r w:rsidRPr="0050424B">
        <w:rPr>
          <w:rFonts w:ascii="Arial" w:hAnsi="Arial" w:cs="Arial"/>
          <w:color w:val="000000" w:themeColor="text1"/>
          <w:sz w:val="20"/>
          <w:szCs w:val="20"/>
        </w:rPr>
        <w:t>NO</w:t>
      </w:r>
      <w:r w:rsidRPr="0050424B">
        <w:rPr>
          <w:rFonts w:ascii="Cambria Math" w:hAnsi="Cambria Math" w:cs="Cambria Math"/>
          <w:color w:val="000000" w:themeColor="text1"/>
          <w:sz w:val="20"/>
          <w:szCs w:val="20"/>
        </w:rPr>
        <w:t>₃</w:t>
      </w:r>
      <w:r w:rsidRPr="0050424B">
        <w:rPr>
          <w:rFonts w:ascii="Arial" w:hAnsi="Arial" w:cs="Arial"/>
          <w:color w:val="000000" w:themeColor="text1"/>
          <w:sz w:val="20"/>
          <w:szCs w:val="20"/>
        </w:rPr>
        <w:t>)</w:t>
      </w:r>
      <w:r w:rsidRPr="0050424B">
        <w:rPr>
          <w:rFonts w:ascii="Cambria Math" w:hAnsi="Cambria Math" w:cs="Cambria Math"/>
          <w:color w:val="000000" w:themeColor="text1"/>
          <w:sz w:val="20"/>
          <w:szCs w:val="20"/>
        </w:rPr>
        <w:t>₂</w:t>
      </w:r>
      <w:r w:rsidRPr="0050424B">
        <w:rPr>
          <w:rFonts w:ascii="Arial" w:hAnsi="Arial" w:cs="Arial"/>
          <w:color w:val="000000" w:themeColor="text1"/>
          <w:sz w:val="20"/>
          <w:szCs w:val="20"/>
        </w:rPr>
        <w:t>] was prepared as the positive control, known for its robust genotoxic activity in cytological studies (Leme &amp; Marin-Morales, 2009).</w:t>
      </w:r>
    </w:p>
    <w:p w14:paraId="52240220" w14:textId="77777777" w:rsidR="0050424B" w:rsidRPr="0050424B" w:rsidRDefault="0050424B" w:rsidP="0050424B">
      <w:pPr>
        <w:pStyle w:val="Heading4"/>
        <w:spacing w:line="360" w:lineRule="auto"/>
        <w:jc w:val="both"/>
        <w:rPr>
          <w:rFonts w:ascii="Arial" w:hAnsi="Arial" w:cs="Arial"/>
          <w:b w:val="0"/>
          <w:i w:val="0"/>
          <w:color w:val="000000" w:themeColor="text1"/>
        </w:rPr>
      </w:pPr>
      <w:r w:rsidRPr="0050424B">
        <w:rPr>
          <w:rStyle w:val="Strong"/>
          <w:rFonts w:ascii="Arial" w:hAnsi="Arial" w:cs="Arial"/>
          <w:b/>
          <w:i w:val="0"/>
          <w:color w:val="000000" w:themeColor="text1"/>
        </w:rPr>
        <w:t>2.4. Experimental Design and Exposure Protocol</w:t>
      </w:r>
    </w:p>
    <w:p w14:paraId="4A726861" w14:textId="77777777" w:rsidR="0050424B" w:rsidRPr="0050424B" w:rsidRDefault="0050424B" w:rsidP="0050424B">
      <w:pPr>
        <w:pStyle w:val="NormalWeb"/>
        <w:spacing w:line="360" w:lineRule="auto"/>
        <w:jc w:val="both"/>
        <w:rPr>
          <w:rFonts w:ascii="Arial" w:hAnsi="Arial" w:cs="Arial"/>
          <w:color w:val="000000" w:themeColor="text1"/>
          <w:sz w:val="20"/>
          <w:szCs w:val="20"/>
        </w:rPr>
      </w:pPr>
      <w:r w:rsidRPr="0050424B">
        <w:rPr>
          <w:rFonts w:ascii="Arial" w:hAnsi="Arial" w:cs="Arial"/>
          <w:color w:val="000000" w:themeColor="text1"/>
          <w:sz w:val="20"/>
          <w:szCs w:val="20"/>
        </w:rPr>
        <w:t>A completely randomized design (CRD) was employed, with three replicates per treatment group. Bulbs were initially rooted in 100 mL beakers containing distilled water for 48 hours. Once root lengths reached 1–2 cm, bulbs were transferred into beakers containing various additive concentrations. The exposure lasted another 48 hours under identical laboratory conditions, and test solutions were replaced every 24 hours to ensure chemical integrity (Oyeyemi et al., 2023).</w:t>
      </w:r>
    </w:p>
    <w:p w14:paraId="221B3A84" w14:textId="77777777" w:rsidR="0050424B" w:rsidRPr="0050424B" w:rsidRDefault="0050424B" w:rsidP="0050424B">
      <w:pPr>
        <w:pStyle w:val="Heading4"/>
        <w:spacing w:line="360" w:lineRule="auto"/>
        <w:jc w:val="both"/>
        <w:rPr>
          <w:rFonts w:ascii="Arial" w:hAnsi="Arial" w:cs="Arial"/>
          <w:b w:val="0"/>
          <w:i w:val="0"/>
          <w:color w:val="000000" w:themeColor="text1"/>
        </w:rPr>
      </w:pPr>
      <w:r w:rsidRPr="0050424B">
        <w:rPr>
          <w:rStyle w:val="Strong"/>
          <w:rFonts w:ascii="Arial" w:hAnsi="Arial" w:cs="Arial"/>
          <w:b/>
          <w:i w:val="0"/>
          <w:color w:val="000000" w:themeColor="text1"/>
        </w:rPr>
        <w:lastRenderedPageBreak/>
        <w:t>2.5. Cytological Slide Preparation and Staining</w:t>
      </w:r>
    </w:p>
    <w:p w14:paraId="09A0954D" w14:textId="77777777" w:rsidR="0050424B" w:rsidRPr="0050424B" w:rsidRDefault="0050424B" w:rsidP="0050424B">
      <w:pPr>
        <w:pStyle w:val="NormalWeb"/>
        <w:spacing w:line="360" w:lineRule="auto"/>
        <w:jc w:val="both"/>
        <w:rPr>
          <w:rFonts w:ascii="Arial" w:hAnsi="Arial" w:cs="Arial"/>
          <w:color w:val="000000" w:themeColor="text1"/>
          <w:sz w:val="20"/>
          <w:szCs w:val="20"/>
        </w:rPr>
      </w:pPr>
      <w:r w:rsidRPr="0050424B">
        <w:rPr>
          <w:rFonts w:ascii="Arial" w:hAnsi="Arial" w:cs="Arial"/>
          <w:color w:val="000000" w:themeColor="text1"/>
          <w:sz w:val="20"/>
          <w:szCs w:val="20"/>
        </w:rPr>
        <w:t xml:space="preserve">After treatment, root tips (5 per bulb) were fixed in </w:t>
      </w:r>
      <w:proofErr w:type="spellStart"/>
      <w:r w:rsidRPr="0050424B">
        <w:rPr>
          <w:rFonts w:ascii="Arial" w:hAnsi="Arial" w:cs="Arial"/>
          <w:color w:val="000000" w:themeColor="text1"/>
          <w:sz w:val="20"/>
          <w:szCs w:val="20"/>
        </w:rPr>
        <w:t>Carnoy’s</w:t>
      </w:r>
      <w:proofErr w:type="spellEnd"/>
      <w:r w:rsidRPr="0050424B">
        <w:rPr>
          <w:rFonts w:ascii="Arial" w:hAnsi="Arial" w:cs="Arial"/>
          <w:color w:val="000000" w:themeColor="text1"/>
          <w:sz w:val="20"/>
          <w:szCs w:val="20"/>
        </w:rPr>
        <w:t xml:space="preserve"> fixative (ethanol: acetic acid = 3:1) for 24 hours. Hydrolysis was done in 1 N HCl at 60°C for 5 minutes. Root tips were stained with 2% aceto-orcein for 30 minutes and squashed onto glass slides using the thumb press technique. Coverslips were sealed with nail varnish to prevent drying. Slides were examined under a compound microscope at ×400 and ×1000 magnifications for mitotic and chromosomal analysis (Rank &amp; Nielsen, 1994).</w:t>
      </w:r>
    </w:p>
    <w:p w14:paraId="708C590D" w14:textId="77777777" w:rsidR="0050424B" w:rsidRPr="0050424B" w:rsidRDefault="0050424B" w:rsidP="0050424B">
      <w:pPr>
        <w:spacing w:line="360" w:lineRule="auto"/>
        <w:jc w:val="both"/>
        <w:rPr>
          <w:rFonts w:ascii="Arial" w:hAnsi="Arial" w:cs="Arial"/>
          <w:b/>
          <w:color w:val="000000" w:themeColor="text1"/>
          <w:sz w:val="22"/>
          <w:szCs w:val="22"/>
        </w:rPr>
      </w:pPr>
      <w:r>
        <w:rPr>
          <w:rFonts w:ascii="Arial" w:hAnsi="Arial" w:cs="Arial"/>
          <w:b/>
          <w:color w:val="000000" w:themeColor="text1"/>
          <w:sz w:val="22"/>
          <w:szCs w:val="22"/>
        </w:rPr>
        <w:t xml:space="preserve">2.6. </w:t>
      </w:r>
      <w:r w:rsidRPr="0050424B">
        <w:rPr>
          <w:rFonts w:ascii="Arial" w:hAnsi="Arial" w:cs="Arial"/>
          <w:b/>
          <w:color w:val="000000" w:themeColor="text1"/>
          <w:sz w:val="22"/>
          <w:szCs w:val="22"/>
        </w:rPr>
        <w:t>Statistical Analysis</w:t>
      </w:r>
    </w:p>
    <w:p w14:paraId="53413CC3" w14:textId="77777777" w:rsidR="00790ADA" w:rsidRPr="0050424B" w:rsidRDefault="0050424B" w:rsidP="0050424B">
      <w:pPr>
        <w:pStyle w:val="Body"/>
        <w:spacing w:after="0"/>
        <w:rPr>
          <w:rFonts w:ascii="Arial" w:hAnsi="Arial" w:cs="Arial"/>
        </w:rPr>
      </w:pPr>
      <w:r w:rsidRPr="0050424B">
        <w:rPr>
          <w:rFonts w:ascii="Arial" w:hAnsi="Arial" w:cs="Arial"/>
          <w:color w:val="000000" w:themeColor="text1"/>
        </w:rPr>
        <w:t>The data obtained were subjected to descriptive and inferential statistical analyses. The mean values and standard deviations (SD) of mitotic indices and aberration frequencies were calculated for each treatment. One-way Analysis of Variance (ANOVA) was used to test for significant differences between treatment and control groups. Where applicable, post hoc comparisons were conducted using Tukey's Honestly Significant Difference (HSD) test. A p-value less than 0.05 was considered statistically significant. Analyses were performed using GraphPad Prism version 9.0. Multiple Linear regression was employed to relate the dose response to food additives by Allium cepa in terms of chromosomal aberration and root growth inhibition.</w:t>
      </w:r>
    </w:p>
    <w:p w14:paraId="08C4D431" w14:textId="77777777" w:rsidR="0050424B" w:rsidRDefault="0050424B" w:rsidP="00441B6F">
      <w:pPr>
        <w:pStyle w:val="Head1"/>
        <w:spacing w:after="0"/>
        <w:jc w:val="both"/>
        <w:rPr>
          <w:rFonts w:ascii="Arial" w:hAnsi="Arial" w:cs="Arial"/>
        </w:rPr>
      </w:pPr>
    </w:p>
    <w:p w14:paraId="020D1CFE"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C1DF0CC" w14:textId="77777777" w:rsidR="0050424B" w:rsidRDefault="0050424B" w:rsidP="0050424B">
      <w:pPr>
        <w:pStyle w:val="NormalWeb"/>
        <w:spacing w:line="360" w:lineRule="auto"/>
        <w:jc w:val="both"/>
        <w:rPr>
          <w:rFonts w:ascii="Arial" w:hAnsi="Arial" w:cs="Arial"/>
          <w:sz w:val="20"/>
          <w:szCs w:val="20"/>
        </w:rPr>
      </w:pPr>
      <w:r w:rsidRPr="0050424B">
        <w:rPr>
          <w:rFonts w:ascii="Arial" w:hAnsi="Arial" w:cs="Arial"/>
          <w:sz w:val="20"/>
          <w:szCs w:val="20"/>
        </w:rPr>
        <w:t xml:space="preserve">Table 1 shows that increasing concentrations of Monosodium Glutamate (MSG) resulted in an increase in chromosomal aberrations and a corresponding reduction in root length in </w:t>
      </w:r>
      <w:r w:rsidRPr="0050424B">
        <w:rPr>
          <w:rStyle w:val="Emphasis"/>
          <w:rFonts w:ascii="Arial" w:hAnsi="Arial" w:cs="Arial"/>
          <w:sz w:val="20"/>
          <w:szCs w:val="20"/>
        </w:rPr>
        <w:t>Allium cepa</w:t>
      </w:r>
      <w:r w:rsidRPr="0050424B">
        <w:rPr>
          <w:rFonts w:ascii="Arial" w:hAnsi="Arial" w:cs="Arial"/>
          <w:sz w:val="20"/>
          <w:szCs w:val="20"/>
        </w:rPr>
        <w:t xml:space="preserve"> cells. The negative control (</w:t>
      </w:r>
      <w:r w:rsidRPr="0050424B">
        <w:rPr>
          <w:rFonts w:ascii="Arial" w:hAnsi="Arial" w:cs="Arial"/>
          <w:i/>
          <w:sz w:val="20"/>
          <w:szCs w:val="20"/>
        </w:rPr>
        <w:t>Allium cepa</w:t>
      </w:r>
      <w:r w:rsidRPr="0050424B">
        <w:rPr>
          <w:rFonts w:ascii="Arial" w:hAnsi="Arial" w:cs="Arial"/>
          <w:sz w:val="20"/>
          <w:szCs w:val="20"/>
        </w:rPr>
        <w:t xml:space="preserve"> cells with no additive) recorded 8 aberrant cells with a mean ± SE of 1.23 ± 0.01 and a relative growth index (RGI) of 122.30 ± 1.42. At 360.50 mg/L of monosodium glutamate (MSG), there were 12 aberrant cells, a mean ± SE of 1.97 ± 0.05, and an RGI of 111.53 ± 3.01. Exposure to 540.75 mg/L of MSG resulted in 27 aberrant cells, with a significantly higher mean ± SE of 7.20 ± 0.52 and a reduced RGI of 87.59 ± 2.00. At the highest MSG concentration tested (721.00 mg/L), 32 aberrant cells were observed, with a mean ± SE of 9.71 ± 0.01 and an RGI of 70.10 ± 1.13. The positive control exhibited the highest number of aberrant cells (42), with a mean ± SE of 11.08 ± 1.00 and the lowest RGI of 39.54 ± 2.71.</w:t>
      </w:r>
    </w:p>
    <w:p w14:paraId="33ABA89D" w14:textId="77777777" w:rsidR="0050424B" w:rsidRPr="0050424B" w:rsidRDefault="0050424B" w:rsidP="0050424B">
      <w:pPr>
        <w:pStyle w:val="NormalWeb"/>
        <w:spacing w:line="360" w:lineRule="auto"/>
        <w:jc w:val="both"/>
        <w:rPr>
          <w:rFonts w:ascii="Arial" w:hAnsi="Arial" w:cs="Arial"/>
          <w:b/>
          <w:sz w:val="22"/>
          <w:szCs w:val="22"/>
        </w:rPr>
      </w:pPr>
      <w:r w:rsidRPr="0050424B">
        <w:rPr>
          <w:rFonts w:ascii="Arial" w:hAnsi="Arial" w:cs="Arial"/>
          <w:b/>
          <w:sz w:val="22"/>
          <w:szCs w:val="22"/>
        </w:rPr>
        <w:t>Table 1</w:t>
      </w:r>
      <w:r w:rsidRPr="0050424B">
        <w:rPr>
          <w:rFonts w:ascii="Arial" w:hAnsi="Arial" w:cs="Arial"/>
          <w:b/>
          <w:noProof/>
          <w:sz w:val="22"/>
          <w:szCs w:val="22"/>
        </w:rPr>
        <w:t>:</w:t>
      </w:r>
      <w:r w:rsidRPr="0050424B">
        <w:rPr>
          <w:rFonts w:ascii="Arial" w:hAnsi="Arial" w:cs="Arial"/>
          <w:b/>
          <w:sz w:val="22"/>
          <w:szCs w:val="22"/>
        </w:rPr>
        <w:t xml:space="preserve"> Effect of Monosodium Glutamate on the Chromosomes of </w:t>
      </w:r>
      <w:r w:rsidRPr="0050424B">
        <w:rPr>
          <w:rFonts w:ascii="Arial" w:hAnsi="Arial" w:cs="Arial"/>
          <w:b/>
          <w:i/>
          <w:iCs/>
          <w:sz w:val="22"/>
          <w:szCs w:val="22"/>
        </w:rPr>
        <w:t>Allium cepa</w:t>
      </w:r>
      <w:r w:rsidRPr="0050424B">
        <w:rPr>
          <w:rFonts w:ascii="Arial" w:hAnsi="Arial" w:cs="Arial"/>
          <w:b/>
          <w:sz w:val="22"/>
          <w:szCs w:val="22"/>
        </w:rPr>
        <w:t xml:space="preserve"> Cells.</w:t>
      </w:r>
    </w:p>
    <w:tbl>
      <w:tblPr>
        <w:tblStyle w:val="TableGrid"/>
        <w:tblW w:w="9576" w:type="dxa"/>
        <w:tblLook w:val="04A0" w:firstRow="1" w:lastRow="0" w:firstColumn="1" w:lastColumn="0" w:noHBand="0" w:noVBand="1"/>
      </w:tblPr>
      <w:tblGrid>
        <w:gridCol w:w="2599"/>
        <w:gridCol w:w="2411"/>
        <w:gridCol w:w="2502"/>
        <w:gridCol w:w="2064"/>
      </w:tblGrid>
      <w:tr w:rsidR="0050424B" w:rsidRPr="0050424B" w14:paraId="2A505172" w14:textId="77777777" w:rsidTr="001B39A2">
        <w:tc>
          <w:tcPr>
            <w:tcW w:w="2599" w:type="dxa"/>
          </w:tcPr>
          <w:p w14:paraId="5B706C18" w14:textId="77777777" w:rsidR="0050424B" w:rsidRPr="0050424B" w:rsidRDefault="0050424B" w:rsidP="001B39A2">
            <w:pPr>
              <w:spacing w:line="360" w:lineRule="auto"/>
              <w:rPr>
                <w:rFonts w:ascii="Arial" w:hAnsi="Arial" w:cs="Arial"/>
                <w:b/>
                <w:sz w:val="20"/>
                <w:szCs w:val="20"/>
              </w:rPr>
            </w:pPr>
            <w:r w:rsidRPr="0050424B">
              <w:rPr>
                <w:rFonts w:ascii="Arial" w:hAnsi="Arial" w:cs="Arial"/>
                <w:b/>
                <w:sz w:val="20"/>
                <w:szCs w:val="20"/>
              </w:rPr>
              <w:t>Concentration (mg/L)</w:t>
            </w:r>
          </w:p>
        </w:tc>
        <w:tc>
          <w:tcPr>
            <w:tcW w:w="2411" w:type="dxa"/>
          </w:tcPr>
          <w:p w14:paraId="02EFC57D" w14:textId="77777777" w:rsidR="0050424B" w:rsidRPr="0050424B" w:rsidRDefault="0050424B" w:rsidP="001B39A2">
            <w:pPr>
              <w:spacing w:line="360" w:lineRule="auto"/>
              <w:rPr>
                <w:rFonts w:ascii="Arial" w:hAnsi="Arial" w:cs="Arial"/>
                <w:b/>
                <w:sz w:val="20"/>
                <w:szCs w:val="20"/>
              </w:rPr>
            </w:pPr>
            <w:r w:rsidRPr="0050424B">
              <w:rPr>
                <w:rFonts w:ascii="Arial" w:hAnsi="Arial" w:cs="Arial"/>
                <w:b/>
                <w:sz w:val="20"/>
                <w:szCs w:val="20"/>
              </w:rPr>
              <w:t>Aberrant cells</w:t>
            </w:r>
          </w:p>
        </w:tc>
        <w:tc>
          <w:tcPr>
            <w:tcW w:w="2502" w:type="dxa"/>
          </w:tcPr>
          <w:p w14:paraId="43780E0C" w14:textId="77777777" w:rsidR="0050424B" w:rsidRPr="0050424B" w:rsidRDefault="0050424B" w:rsidP="001B39A2">
            <w:pPr>
              <w:spacing w:line="360" w:lineRule="auto"/>
              <w:rPr>
                <w:rFonts w:ascii="Arial" w:hAnsi="Arial" w:cs="Arial"/>
                <w:b/>
                <w:sz w:val="20"/>
                <w:szCs w:val="20"/>
              </w:rPr>
            </w:pPr>
            <w:proofErr w:type="spellStart"/>
            <w:r w:rsidRPr="0050424B">
              <w:rPr>
                <w:rFonts w:ascii="Arial" w:eastAsia="Times New Roman" w:hAnsi="Arial" w:cs="Arial"/>
                <w:b/>
                <w:bCs/>
                <w:sz w:val="20"/>
                <w:szCs w:val="20"/>
              </w:rPr>
              <w:t>Mean±SE</w:t>
            </w:r>
            <w:r w:rsidRPr="0050424B">
              <w:rPr>
                <w:rFonts w:ascii="Arial" w:eastAsia="Times New Roman" w:hAnsi="Arial" w:cs="Arial"/>
                <w:b/>
                <w:bCs/>
                <w:sz w:val="20"/>
                <w:szCs w:val="20"/>
                <w:vertAlign w:val="superscript"/>
              </w:rPr>
              <w:t>a</w:t>
            </w:r>
            <w:proofErr w:type="spellEnd"/>
          </w:p>
        </w:tc>
        <w:tc>
          <w:tcPr>
            <w:tcW w:w="2064" w:type="dxa"/>
          </w:tcPr>
          <w:p w14:paraId="6FBFC0B2" w14:textId="77777777" w:rsidR="0050424B" w:rsidRPr="0050424B" w:rsidRDefault="0050424B" w:rsidP="001B39A2">
            <w:pPr>
              <w:spacing w:line="360" w:lineRule="auto"/>
              <w:rPr>
                <w:rFonts w:ascii="Arial" w:hAnsi="Arial" w:cs="Arial"/>
                <w:b/>
                <w:sz w:val="20"/>
                <w:szCs w:val="20"/>
              </w:rPr>
            </w:pPr>
            <w:r w:rsidRPr="0050424B">
              <w:rPr>
                <w:rFonts w:ascii="Arial" w:hAnsi="Arial" w:cs="Arial"/>
                <w:b/>
                <w:sz w:val="20"/>
                <w:szCs w:val="20"/>
              </w:rPr>
              <w:t>RGI</w:t>
            </w:r>
          </w:p>
        </w:tc>
      </w:tr>
      <w:tr w:rsidR="0050424B" w:rsidRPr="0050424B" w14:paraId="7B14F623" w14:textId="77777777" w:rsidTr="001B39A2">
        <w:tc>
          <w:tcPr>
            <w:tcW w:w="2599" w:type="dxa"/>
          </w:tcPr>
          <w:p w14:paraId="665141BA"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Negative control (No additive)</w:t>
            </w:r>
          </w:p>
        </w:tc>
        <w:tc>
          <w:tcPr>
            <w:tcW w:w="2411" w:type="dxa"/>
          </w:tcPr>
          <w:p w14:paraId="56536911"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8</w:t>
            </w:r>
          </w:p>
        </w:tc>
        <w:tc>
          <w:tcPr>
            <w:tcW w:w="2502" w:type="dxa"/>
          </w:tcPr>
          <w:p w14:paraId="58F28B9D"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1.23</w:t>
            </w:r>
            <w:r w:rsidRPr="0050424B">
              <w:rPr>
                <w:rFonts w:ascii="Arial" w:eastAsia="Times New Roman" w:hAnsi="Arial" w:cs="Arial"/>
                <w:bCs/>
                <w:sz w:val="20"/>
                <w:szCs w:val="20"/>
              </w:rPr>
              <w:t>±0.01</w:t>
            </w:r>
          </w:p>
        </w:tc>
        <w:tc>
          <w:tcPr>
            <w:tcW w:w="2064" w:type="dxa"/>
          </w:tcPr>
          <w:p w14:paraId="6BE2E917"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122.30±1.42</w:t>
            </w:r>
          </w:p>
        </w:tc>
      </w:tr>
      <w:tr w:rsidR="0050424B" w:rsidRPr="0050424B" w14:paraId="756CC994" w14:textId="77777777" w:rsidTr="001B39A2">
        <w:tc>
          <w:tcPr>
            <w:tcW w:w="2599" w:type="dxa"/>
          </w:tcPr>
          <w:p w14:paraId="6E33945F" w14:textId="77777777" w:rsidR="0050424B" w:rsidRPr="0050424B" w:rsidRDefault="0050424B" w:rsidP="001B39A2">
            <w:pPr>
              <w:widowControl w:val="0"/>
              <w:pBdr>
                <w:top w:val="nil"/>
                <w:left w:val="nil"/>
                <w:bottom w:val="nil"/>
                <w:right w:val="nil"/>
                <w:between w:val="nil"/>
              </w:pBdr>
              <w:spacing w:line="360" w:lineRule="auto"/>
              <w:jc w:val="both"/>
              <w:rPr>
                <w:rFonts w:ascii="Arial" w:eastAsia="Times New Roman" w:hAnsi="Arial" w:cs="Arial"/>
                <w:sz w:val="20"/>
                <w:szCs w:val="20"/>
              </w:rPr>
            </w:pPr>
            <w:r w:rsidRPr="0050424B">
              <w:rPr>
                <w:rFonts w:ascii="Arial" w:eastAsia="Times New Roman" w:hAnsi="Arial" w:cs="Arial"/>
                <w:sz w:val="20"/>
                <w:szCs w:val="20"/>
              </w:rPr>
              <w:t>360.50</w:t>
            </w:r>
          </w:p>
        </w:tc>
        <w:tc>
          <w:tcPr>
            <w:tcW w:w="2411" w:type="dxa"/>
          </w:tcPr>
          <w:p w14:paraId="4BD003DC"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12</w:t>
            </w:r>
          </w:p>
        </w:tc>
        <w:tc>
          <w:tcPr>
            <w:tcW w:w="2502" w:type="dxa"/>
          </w:tcPr>
          <w:p w14:paraId="0630F8CD"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1.97</w:t>
            </w:r>
            <w:r w:rsidRPr="0050424B">
              <w:rPr>
                <w:rFonts w:ascii="Arial" w:eastAsia="Times New Roman" w:hAnsi="Arial" w:cs="Arial"/>
                <w:bCs/>
                <w:sz w:val="20"/>
                <w:szCs w:val="20"/>
              </w:rPr>
              <w:t>±0.05</w:t>
            </w:r>
          </w:p>
        </w:tc>
        <w:tc>
          <w:tcPr>
            <w:tcW w:w="2064" w:type="dxa"/>
          </w:tcPr>
          <w:p w14:paraId="1FC576D7"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111.53±3.01</w:t>
            </w:r>
          </w:p>
        </w:tc>
      </w:tr>
      <w:tr w:rsidR="0050424B" w:rsidRPr="0050424B" w14:paraId="55FAA05A" w14:textId="77777777" w:rsidTr="001B39A2">
        <w:tc>
          <w:tcPr>
            <w:tcW w:w="2599" w:type="dxa"/>
          </w:tcPr>
          <w:p w14:paraId="697E2ACC" w14:textId="77777777" w:rsidR="0050424B" w:rsidRPr="0050424B" w:rsidRDefault="0050424B" w:rsidP="001B39A2">
            <w:pPr>
              <w:widowControl w:val="0"/>
              <w:pBdr>
                <w:top w:val="nil"/>
                <w:left w:val="nil"/>
                <w:bottom w:val="nil"/>
                <w:right w:val="nil"/>
                <w:between w:val="nil"/>
              </w:pBdr>
              <w:spacing w:line="360" w:lineRule="auto"/>
              <w:jc w:val="both"/>
              <w:rPr>
                <w:rFonts w:ascii="Arial" w:eastAsia="Times New Roman" w:hAnsi="Arial" w:cs="Arial"/>
                <w:sz w:val="20"/>
                <w:szCs w:val="20"/>
              </w:rPr>
            </w:pPr>
            <w:r w:rsidRPr="0050424B">
              <w:rPr>
                <w:rFonts w:ascii="Arial" w:eastAsia="Times New Roman" w:hAnsi="Arial" w:cs="Arial"/>
                <w:sz w:val="20"/>
                <w:szCs w:val="20"/>
              </w:rPr>
              <w:t>540.75</w:t>
            </w:r>
          </w:p>
        </w:tc>
        <w:tc>
          <w:tcPr>
            <w:tcW w:w="2411" w:type="dxa"/>
          </w:tcPr>
          <w:p w14:paraId="283CD404"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27</w:t>
            </w:r>
          </w:p>
        </w:tc>
        <w:tc>
          <w:tcPr>
            <w:tcW w:w="2502" w:type="dxa"/>
          </w:tcPr>
          <w:p w14:paraId="409E5340"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7.20</w:t>
            </w:r>
            <w:r w:rsidRPr="0050424B">
              <w:rPr>
                <w:rFonts w:ascii="Arial" w:eastAsia="Times New Roman" w:hAnsi="Arial" w:cs="Arial"/>
                <w:bCs/>
                <w:sz w:val="20"/>
                <w:szCs w:val="20"/>
              </w:rPr>
              <w:t>±0.52</w:t>
            </w:r>
            <w:r w:rsidRPr="0050424B">
              <w:rPr>
                <w:rFonts w:ascii="Arial" w:eastAsia="Times New Roman" w:hAnsi="Arial" w:cs="Arial"/>
                <w:sz w:val="20"/>
                <w:szCs w:val="20"/>
              </w:rPr>
              <w:t>*</w:t>
            </w:r>
          </w:p>
        </w:tc>
        <w:tc>
          <w:tcPr>
            <w:tcW w:w="2064" w:type="dxa"/>
          </w:tcPr>
          <w:p w14:paraId="14ECA820"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87.59±2.00*</w:t>
            </w:r>
          </w:p>
        </w:tc>
      </w:tr>
      <w:tr w:rsidR="0050424B" w:rsidRPr="0050424B" w14:paraId="2DCC338C" w14:textId="77777777" w:rsidTr="001B39A2">
        <w:tc>
          <w:tcPr>
            <w:tcW w:w="2599" w:type="dxa"/>
          </w:tcPr>
          <w:p w14:paraId="0AE6768A" w14:textId="77777777" w:rsidR="0050424B" w:rsidRPr="0050424B" w:rsidRDefault="0050424B" w:rsidP="001B39A2">
            <w:pPr>
              <w:widowControl w:val="0"/>
              <w:pBdr>
                <w:top w:val="nil"/>
                <w:left w:val="nil"/>
                <w:bottom w:val="nil"/>
                <w:right w:val="nil"/>
                <w:between w:val="nil"/>
              </w:pBdr>
              <w:spacing w:line="360" w:lineRule="auto"/>
              <w:jc w:val="both"/>
              <w:rPr>
                <w:rFonts w:ascii="Arial" w:eastAsia="Times New Roman" w:hAnsi="Arial" w:cs="Arial"/>
                <w:sz w:val="20"/>
                <w:szCs w:val="20"/>
              </w:rPr>
            </w:pPr>
            <w:r w:rsidRPr="0050424B">
              <w:rPr>
                <w:rFonts w:ascii="Arial" w:eastAsia="Times New Roman" w:hAnsi="Arial" w:cs="Arial"/>
                <w:sz w:val="20"/>
                <w:szCs w:val="20"/>
              </w:rPr>
              <w:t xml:space="preserve">721.00mg/L </w:t>
            </w:r>
          </w:p>
        </w:tc>
        <w:tc>
          <w:tcPr>
            <w:tcW w:w="2411" w:type="dxa"/>
          </w:tcPr>
          <w:p w14:paraId="465E3771"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32</w:t>
            </w:r>
          </w:p>
        </w:tc>
        <w:tc>
          <w:tcPr>
            <w:tcW w:w="2502" w:type="dxa"/>
          </w:tcPr>
          <w:p w14:paraId="2781C371"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9.71</w:t>
            </w:r>
            <w:r w:rsidRPr="0050424B">
              <w:rPr>
                <w:rFonts w:ascii="Arial" w:eastAsia="Times New Roman" w:hAnsi="Arial" w:cs="Arial"/>
                <w:bCs/>
                <w:sz w:val="20"/>
                <w:szCs w:val="20"/>
              </w:rPr>
              <w:t>±0.01</w:t>
            </w:r>
            <w:r w:rsidRPr="0050424B">
              <w:rPr>
                <w:rFonts w:ascii="Arial" w:eastAsia="Times New Roman" w:hAnsi="Arial" w:cs="Arial"/>
                <w:sz w:val="20"/>
                <w:szCs w:val="20"/>
              </w:rPr>
              <w:t>*</w:t>
            </w:r>
          </w:p>
        </w:tc>
        <w:tc>
          <w:tcPr>
            <w:tcW w:w="2064" w:type="dxa"/>
          </w:tcPr>
          <w:p w14:paraId="38339447"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70.10±1.13*</w:t>
            </w:r>
          </w:p>
        </w:tc>
      </w:tr>
      <w:tr w:rsidR="0050424B" w:rsidRPr="0050424B" w14:paraId="56AA8D92" w14:textId="77777777" w:rsidTr="001B39A2">
        <w:tc>
          <w:tcPr>
            <w:tcW w:w="2599" w:type="dxa"/>
          </w:tcPr>
          <w:p w14:paraId="0DE24DD7"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Positive control</w:t>
            </w:r>
          </w:p>
        </w:tc>
        <w:tc>
          <w:tcPr>
            <w:tcW w:w="2411" w:type="dxa"/>
          </w:tcPr>
          <w:p w14:paraId="3DD0EBA0"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42</w:t>
            </w:r>
          </w:p>
        </w:tc>
        <w:tc>
          <w:tcPr>
            <w:tcW w:w="2502" w:type="dxa"/>
          </w:tcPr>
          <w:p w14:paraId="12EC2DA6"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11.08</w:t>
            </w:r>
            <w:r w:rsidRPr="0050424B">
              <w:rPr>
                <w:rFonts w:ascii="Arial" w:eastAsia="Times New Roman" w:hAnsi="Arial" w:cs="Arial"/>
                <w:bCs/>
                <w:sz w:val="20"/>
                <w:szCs w:val="20"/>
              </w:rPr>
              <w:t>±1.00*</w:t>
            </w:r>
          </w:p>
        </w:tc>
        <w:tc>
          <w:tcPr>
            <w:tcW w:w="2064" w:type="dxa"/>
          </w:tcPr>
          <w:p w14:paraId="099FE897"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39.54±2.71*</w:t>
            </w:r>
          </w:p>
        </w:tc>
      </w:tr>
    </w:tbl>
    <w:p w14:paraId="6805F407" w14:textId="77777777" w:rsidR="0050424B" w:rsidRPr="004157B4" w:rsidRDefault="0050424B" w:rsidP="0050424B">
      <w:pPr>
        <w:spacing w:line="360" w:lineRule="auto"/>
        <w:rPr>
          <w:rFonts w:ascii="Times New Roman" w:hAnsi="Times New Roman"/>
          <w:sz w:val="28"/>
          <w:szCs w:val="28"/>
        </w:rPr>
      </w:pPr>
      <w:r w:rsidRPr="0050424B">
        <w:rPr>
          <w:rFonts w:ascii="Arial" w:hAnsi="Arial" w:cs="Arial"/>
        </w:rPr>
        <w:t xml:space="preserve"> * The mean difference is significant at p&lt;0.05. </w:t>
      </w:r>
      <w:r w:rsidRPr="0050424B">
        <w:rPr>
          <w:rFonts w:ascii="Arial" w:hAnsi="Arial" w:cs="Arial"/>
          <w:vertAlign w:val="superscript"/>
        </w:rPr>
        <w:t>a</w:t>
      </w:r>
      <w:r w:rsidRPr="0050424B">
        <w:rPr>
          <w:rFonts w:ascii="Arial" w:hAnsi="Arial" w:cs="Arial"/>
        </w:rPr>
        <w:t xml:space="preserve"> Mean aberration </w:t>
      </w:r>
      <w:r w:rsidRPr="0050424B">
        <w:rPr>
          <w:rFonts w:ascii="Arial" w:hAnsi="Arial" w:cs="Arial"/>
          <w:bCs/>
        </w:rPr>
        <w:t>±</w:t>
      </w:r>
      <w:r w:rsidRPr="0050424B">
        <w:rPr>
          <w:rFonts w:ascii="Arial" w:hAnsi="Arial" w:cs="Arial"/>
        </w:rPr>
        <w:t>standard error of mean</w:t>
      </w:r>
      <w:r w:rsidRPr="004157B4">
        <w:rPr>
          <w:rFonts w:ascii="Times New Roman" w:hAnsi="Times New Roman"/>
          <w:sz w:val="28"/>
          <w:szCs w:val="28"/>
        </w:rPr>
        <w:t xml:space="preserve">. </w:t>
      </w:r>
    </w:p>
    <w:p w14:paraId="476F9027" w14:textId="77777777" w:rsidR="0050424B" w:rsidRPr="0050424B" w:rsidRDefault="0050424B" w:rsidP="0050424B">
      <w:pPr>
        <w:pStyle w:val="NormalWeb"/>
        <w:spacing w:line="360" w:lineRule="auto"/>
        <w:jc w:val="both"/>
        <w:rPr>
          <w:rFonts w:ascii="Arial" w:hAnsi="Arial" w:cs="Arial"/>
          <w:sz w:val="20"/>
          <w:szCs w:val="20"/>
        </w:rPr>
      </w:pPr>
      <w:r w:rsidRPr="0050424B">
        <w:rPr>
          <w:rFonts w:ascii="Arial" w:hAnsi="Arial" w:cs="Arial"/>
          <w:sz w:val="20"/>
          <w:szCs w:val="20"/>
        </w:rPr>
        <w:t xml:space="preserve">As seen in Table 2, the effect of sorbic acid on the chromosomes of Allium cepa cells showed a concentration-dependent increase in chromosomal aberrations. In the negative control group, aberrant cells were 8 in number, with a mean ± SE of 1.30 ± 0.18 and a relative growth index (RGI) of 115.99 ± 2.41. At 129.50 mg/L sorbic acid, aberrant cells increased to 10, with a mean ± SE of 1.56 ± 0.07 and an RGI of 100.47 ± 1.54. At 194.25 mg/L, aberrant cells further increased to 17, with </w:t>
      </w:r>
      <w:r w:rsidRPr="0050424B">
        <w:rPr>
          <w:rFonts w:ascii="Arial" w:hAnsi="Arial" w:cs="Arial"/>
          <w:sz w:val="20"/>
          <w:szCs w:val="20"/>
        </w:rPr>
        <w:lastRenderedPageBreak/>
        <w:t>a mean ± SE of 2.00 ± 0.53 and an RGI of 85.73 ± 2.03. A marked rise was observed at 259.00 mg/L, where aberrant cells reached 28, with a mean ± SE of 6.09 ± 0.87 (p &lt; 0.05) and an RGI of 53.53 ± 1.72 (p &lt; 0.05). The positive control group had the highest aberration frequency, recording 41 aberrant cells, a mean ± SE of 11.00 ± 2.10 (p &lt; 0.05), and an RGI of 41.20 ± 2.03 (p &lt; 0.05).</w:t>
      </w:r>
    </w:p>
    <w:p w14:paraId="1DF9F951" w14:textId="77777777" w:rsidR="0050424B" w:rsidRPr="0050424B" w:rsidRDefault="0050424B" w:rsidP="0050424B">
      <w:pPr>
        <w:pStyle w:val="Caption"/>
        <w:spacing w:after="0" w:line="360" w:lineRule="auto"/>
        <w:jc w:val="left"/>
        <w:rPr>
          <w:rFonts w:ascii="Arial" w:hAnsi="Arial" w:cs="Arial"/>
          <w:b/>
          <w:sz w:val="22"/>
          <w:szCs w:val="22"/>
        </w:rPr>
      </w:pPr>
      <w:r w:rsidRPr="0050424B">
        <w:rPr>
          <w:rFonts w:ascii="Arial" w:hAnsi="Arial" w:cs="Arial"/>
          <w:b/>
          <w:sz w:val="22"/>
          <w:szCs w:val="22"/>
        </w:rPr>
        <w:t>Table 2</w:t>
      </w:r>
      <w:r w:rsidRPr="0050424B">
        <w:rPr>
          <w:rFonts w:ascii="Arial" w:hAnsi="Arial" w:cs="Arial"/>
          <w:b/>
          <w:noProof/>
          <w:sz w:val="22"/>
          <w:szCs w:val="22"/>
        </w:rPr>
        <w:t>:</w:t>
      </w:r>
      <w:r w:rsidRPr="0050424B">
        <w:rPr>
          <w:rFonts w:ascii="Arial" w:hAnsi="Arial" w:cs="Arial"/>
          <w:b/>
          <w:sz w:val="22"/>
          <w:szCs w:val="22"/>
        </w:rPr>
        <w:t xml:space="preserve"> Effect of Sorbic Acid on the Chromosomes of </w:t>
      </w:r>
      <w:r w:rsidRPr="0050424B">
        <w:rPr>
          <w:rFonts w:ascii="Arial" w:hAnsi="Arial" w:cs="Arial"/>
          <w:b/>
          <w:i/>
          <w:iCs/>
          <w:sz w:val="22"/>
          <w:szCs w:val="22"/>
        </w:rPr>
        <w:t>Allium cepa</w:t>
      </w:r>
      <w:r w:rsidRPr="0050424B">
        <w:rPr>
          <w:rFonts w:ascii="Arial" w:hAnsi="Arial" w:cs="Arial"/>
          <w:b/>
          <w:sz w:val="22"/>
          <w:szCs w:val="22"/>
        </w:rPr>
        <w:t xml:space="preserve"> Cells.</w:t>
      </w:r>
    </w:p>
    <w:tbl>
      <w:tblPr>
        <w:tblStyle w:val="TableGrid"/>
        <w:tblW w:w="9576" w:type="dxa"/>
        <w:tblLook w:val="04A0" w:firstRow="1" w:lastRow="0" w:firstColumn="1" w:lastColumn="0" w:noHBand="0" w:noVBand="1"/>
      </w:tblPr>
      <w:tblGrid>
        <w:gridCol w:w="2599"/>
        <w:gridCol w:w="2411"/>
        <w:gridCol w:w="2502"/>
        <w:gridCol w:w="2064"/>
      </w:tblGrid>
      <w:tr w:rsidR="0050424B" w:rsidRPr="0050424B" w14:paraId="484EF7C9" w14:textId="77777777" w:rsidTr="001B39A2">
        <w:tc>
          <w:tcPr>
            <w:tcW w:w="2599" w:type="dxa"/>
          </w:tcPr>
          <w:p w14:paraId="19DE6767" w14:textId="77777777" w:rsidR="0050424B" w:rsidRPr="0050424B" w:rsidRDefault="0050424B" w:rsidP="001B39A2">
            <w:pPr>
              <w:spacing w:line="360" w:lineRule="auto"/>
              <w:rPr>
                <w:rFonts w:ascii="Arial" w:hAnsi="Arial" w:cs="Arial"/>
                <w:b/>
                <w:sz w:val="20"/>
                <w:szCs w:val="20"/>
              </w:rPr>
            </w:pPr>
            <w:r w:rsidRPr="0050424B">
              <w:rPr>
                <w:rFonts w:ascii="Arial" w:hAnsi="Arial" w:cs="Arial"/>
                <w:b/>
                <w:sz w:val="20"/>
                <w:szCs w:val="20"/>
              </w:rPr>
              <w:t>Concentration (mg/L)</w:t>
            </w:r>
          </w:p>
        </w:tc>
        <w:tc>
          <w:tcPr>
            <w:tcW w:w="2411" w:type="dxa"/>
          </w:tcPr>
          <w:p w14:paraId="04319F22" w14:textId="77777777" w:rsidR="0050424B" w:rsidRPr="0050424B" w:rsidRDefault="0050424B" w:rsidP="001B39A2">
            <w:pPr>
              <w:spacing w:line="360" w:lineRule="auto"/>
              <w:rPr>
                <w:rFonts w:ascii="Arial" w:hAnsi="Arial" w:cs="Arial"/>
                <w:b/>
                <w:sz w:val="20"/>
                <w:szCs w:val="20"/>
              </w:rPr>
            </w:pPr>
            <w:r w:rsidRPr="0050424B">
              <w:rPr>
                <w:rFonts w:ascii="Arial" w:hAnsi="Arial" w:cs="Arial"/>
                <w:b/>
                <w:sz w:val="20"/>
                <w:szCs w:val="20"/>
              </w:rPr>
              <w:t>Aberrant cells</w:t>
            </w:r>
          </w:p>
        </w:tc>
        <w:tc>
          <w:tcPr>
            <w:tcW w:w="2502" w:type="dxa"/>
          </w:tcPr>
          <w:p w14:paraId="7EB27E1D" w14:textId="77777777" w:rsidR="0050424B" w:rsidRPr="0050424B" w:rsidRDefault="0050424B" w:rsidP="001B39A2">
            <w:pPr>
              <w:spacing w:line="360" w:lineRule="auto"/>
              <w:rPr>
                <w:rFonts w:ascii="Arial" w:hAnsi="Arial" w:cs="Arial"/>
                <w:b/>
                <w:sz w:val="20"/>
                <w:szCs w:val="20"/>
              </w:rPr>
            </w:pPr>
            <w:proofErr w:type="spellStart"/>
            <w:r w:rsidRPr="0050424B">
              <w:rPr>
                <w:rFonts w:ascii="Arial" w:eastAsia="Times New Roman" w:hAnsi="Arial" w:cs="Arial"/>
                <w:b/>
                <w:bCs/>
                <w:sz w:val="20"/>
                <w:szCs w:val="20"/>
              </w:rPr>
              <w:t>Mean±SE</w:t>
            </w:r>
            <w:r w:rsidRPr="0050424B">
              <w:rPr>
                <w:rFonts w:ascii="Arial" w:eastAsia="Times New Roman" w:hAnsi="Arial" w:cs="Arial"/>
                <w:b/>
                <w:bCs/>
                <w:sz w:val="20"/>
                <w:szCs w:val="20"/>
                <w:vertAlign w:val="superscript"/>
              </w:rPr>
              <w:t>a</w:t>
            </w:r>
            <w:proofErr w:type="spellEnd"/>
          </w:p>
        </w:tc>
        <w:tc>
          <w:tcPr>
            <w:tcW w:w="2064" w:type="dxa"/>
          </w:tcPr>
          <w:p w14:paraId="209D2988" w14:textId="77777777" w:rsidR="0050424B" w:rsidRPr="0050424B" w:rsidRDefault="0050424B" w:rsidP="001B39A2">
            <w:pPr>
              <w:spacing w:line="360" w:lineRule="auto"/>
              <w:rPr>
                <w:rFonts w:ascii="Arial" w:hAnsi="Arial" w:cs="Arial"/>
                <w:b/>
                <w:sz w:val="20"/>
                <w:szCs w:val="20"/>
              </w:rPr>
            </w:pPr>
            <w:r w:rsidRPr="0050424B">
              <w:rPr>
                <w:rFonts w:ascii="Arial" w:hAnsi="Arial" w:cs="Arial"/>
                <w:b/>
                <w:sz w:val="20"/>
                <w:szCs w:val="20"/>
              </w:rPr>
              <w:t>RGI</w:t>
            </w:r>
          </w:p>
        </w:tc>
      </w:tr>
      <w:tr w:rsidR="0050424B" w:rsidRPr="0050424B" w14:paraId="1C67F1DA" w14:textId="77777777" w:rsidTr="001B39A2">
        <w:tc>
          <w:tcPr>
            <w:tcW w:w="2599" w:type="dxa"/>
          </w:tcPr>
          <w:p w14:paraId="1884A866"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Negative control</w:t>
            </w:r>
          </w:p>
        </w:tc>
        <w:tc>
          <w:tcPr>
            <w:tcW w:w="2411" w:type="dxa"/>
          </w:tcPr>
          <w:p w14:paraId="343D0462"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8</w:t>
            </w:r>
          </w:p>
        </w:tc>
        <w:tc>
          <w:tcPr>
            <w:tcW w:w="2502" w:type="dxa"/>
          </w:tcPr>
          <w:p w14:paraId="23DDE757"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1.30</w:t>
            </w:r>
            <w:r w:rsidRPr="0050424B">
              <w:rPr>
                <w:rFonts w:ascii="Arial" w:eastAsia="Times New Roman" w:hAnsi="Arial" w:cs="Arial"/>
                <w:bCs/>
                <w:sz w:val="20"/>
                <w:szCs w:val="20"/>
              </w:rPr>
              <w:t>±0.18</w:t>
            </w:r>
          </w:p>
        </w:tc>
        <w:tc>
          <w:tcPr>
            <w:tcW w:w="2064" w:type="dxa"/>
          </w:tcPr>
          <w:p w14:paraId="1300AFE0"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115.99±2.41</w:t>
            </w:r>
          </w:p>
        </w:tc>
      </w:tr>
      <w:tr w:rsidR="0050424B" w:rsidRPr="0050424B" w14:paraId="1ECB925D" w14:textId="77777777" w:rsidTr="001B39A2">
        <w:tc>
          <w:tcPr>
            <w:tcW w:w="2599" w:type="dxa"/>
          </w:tcPr>
          <w:p w14:paraId="5AB60AFD" w14:textId="77777777" w:rsidR="0050424B" w:rsidRPr="0050424B" w:rsidRDefault="0050424B" w:rsidP="001B39A2">
            <w:pPr>
              <w:widowControl w:val="0"/>
              <w:pBdr>
                <w:top w:val="nil"/>
                <w:left w:val="nil"/>
                <w:bottom w:val="nil"/>
                <w:right w:val="nil"/>
                <w:between w:val="nil"/>
              </w:pBdr>
              <w:spacing w:line="360" w:lineRule="auto"/>
              <w:jc w:val="both"/>
              <w:rPr>
                <w:rFonts w:ascii="Arial" w:eastAsia="Times New Roman" w:hAnsi="Arial" w:cs="Arial"/>
                <w:sz w:val="20"/>
                <w:szCs w:val="20"/>
              </w:rPr>
            </w:pPr>
            <w:r w:rsidRPr="0050424B">
              <w:rPr>
                <w:rFonts w:ascii="Arial" w:eastAsia="Times New Roman" w:hAnsi="Arial" w:cs="Arial"/>
                <w:sz w:val="20"/>
                <w:szCs w:val="20"/>
              </w:rPr>
              <w:t>129.50</w:t>
            </w:r>
          </w:p>
        </w:tc>
        <w:tc>
          <w:tcPr>
            <w:tcW w:w="2411" w:type="dxa"/>
          </w:tcPr>
          <w:p w14:paraId="14D0811A"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10</w:t>
            </w:r>
          </w:p>
        </w:tc>
        <w:tc>
          <w:tcPr>
            <w:tcW w:w="2502" w:type="dxa"/>
          </w:tcPr>
          <w:p w14:paraId="1DF57938"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1.56</w:t>
            </w:r>
            <w:r w:rsidRPr="0050424B">
              <w:rPr>
                <w:rFonts w:ascii="Arial" w:eastAsia="Times New Roman" w:hAnsi="Arial" w:cs="Arial"/>
                <w:bCs/>
                <w:sz w:val="20"/>
                <w:szCs w:val="20"/>
              </w:rPr>
              <w:t>±0.07</w:t>
            </w:r>
          </w:p>
        </w:tc>
        <w:tc>
          <w:tcPr>
            <w:tcW w:w="2064" w:type="dxa"/>
          </w:tcPr>
          <w:p w14:paraId="6D382AB7"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100.47±1.54</w:t>
            </w:r>
          </w:p>
        </w:tc>
      </w:tr>
      <w:tr w:rsidR="0050424B" w:rsidRPr="0050424B" w14:paraId="413BB60C" w14:textId="77777777" w:rsidTr="001B39A2">
        <w:tc>
          <w:tcPr>
            <w:tcW w:w="2599" w:type="dxa"/>
          </w:tcPr>
          <w:p w14:paraId="02BAB236" w14:textId="77777777" w:rsidR="0050424B" w:rsidRPr="0050424B" w:rsidRDefault="0050424B" w:rsidP="001B39A2">
            <w:pPr>
              <w:widowControl w:val="0"/>
              <w:pBdr>
                <w:top w:val="nil"/>
                <w:left w:val="nil"/>
                <w:bottom w:val="nil"/>
                <w:right w:val="nil"/>
                <w:between w:val="nil"/>
              </w:pBdr>
              <w:spacing w:line="360" w:lineRule="auto"/>
              <w:jc w:val="both"/>
              <w:rPr>
                <w:rFonts w:ascii="Arial" w:eastAsia="Times New Roman" w:hAnsi="Arial" w:cs="Arial"/>
                <w:sz w:val="20"/>
                <w:szCs w:val="20"/>
              </w:rPr>
            </w:pPr>
            <w:r w:rsidRPr="0050424B">
              <w:rPr>
                <w:rFonts w:ascii="Arial" w:eastAsia="Times New Roman" w:hAnsi="Arial" w:cs="Arial"/>
                <w:sz w:val="20"/>
                <w:szCs w:val="20"/>
              </w:rPr>
              <w:t>194.25</w:t>
            </w:r>
          </w:p>
        </w:tc>
        <w:tc>
          <w:tcPr>
            <w:tcW w:w="2411" w:type="dxa"/>
          </w:tcPr>
          <w:p w14:paraId="4F536C7A"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17</w:t>
            </w:r>
          </w:p>
        </w:tc>
        <w:tc>
          <w:tcPr>
            <w:tcW w:w="2502" w:type="dxa"/>
          </w:tcPr>
          <w:p w14:paraId="4E755A44"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2.00</w:t>
            </w:r>
            <w:r w:rsidRPr="0050424B">
              <w:rPr>
                <w:rFonts w:ascii="Arial" w:eastAsia="Times New Roman" w:hAnsi="Arial" w:cs="Arial"/>
                <w:bCs/>
                <w:sz w:val="20"/>
                <w:szCs w:val="20"/>
              </w:rPr>
              <w:t>±0.53</w:t>
            </w:r>
          </w:p>
        </w:tc>
        <w:tc>
          <w:tcPr>
            <w:tcW w:w="2064" w:type="dxa"/>
          </w:tcPr>
          <w:p w14:paraId="0714BA4C"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85.73±2.03</w:t>
            </w:r>
          </w:p>
        </w:tc>
      </w:tr>
      <w:tr w:rsidR="0050424B" w:rsidRPr="0050424B" w14:paraId="01D2DD31" w14:textId="77777777" w:rsidTr="001B39A2">
        <w:tc>
          <w:tcPr>
            <w:tcW w:w="2599" w:type="dxa"/>
          </w:tcPr>
          <w:p w14:paraId="2AC3CC4B" w14:textId="77777777" w:rsidR="0050424B" w:rsidRPr="0050424B" w:rsidRDefault="0050424B" w:rsidP="001B39A2">
            <w:pPr>
              <w:widowControl w:val="0"/>
              <w:pBdr>
                <w:top w:val="nil"/>
                <w:left w:val="nil"/>
                <w:bottom w:val="nil"/>
                <w:right w:val="nil"/>
                <w:between w:val="nil"/>
              </w:pBdr>
              <w:spacing w:line="360" w:lineRule="auto"/>
              <w:jc w:val="both"/>
              <w:rPr>
                <w:rFonts w:ascii="Arial" w:eastAsia="Times New Roman" w:hAnsi="Arial" w:cs="Arial"/>
                <w:sz w:val="20"/>
                <w:szCs w:val="20"/>
              </w:rPr>
            </w:pPr>
            <w:r w:rsidRPr="0050424B">
              <w:rPr>
                <w:rFonts w:ascii="Arial" w:eastAsia="Times New Roman" w:hAnsi="Arial" w:cs="Arial"/>
                <w:sz w:val="20"/>
                <w:szCs w:val="20"/>
              </w:rPr>
              <w:t xml:space="preserve">259.00 mg/L </w:t>
            </w:r>
          </w:p>
        </w:tc>
        <w:tc>
          <w:tcPr>
            <w:tcW w:w="2411" w:type="dxa"/>
          </w:tcPr>
          <w:p w14:paraId="34811C3C"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28</w:t>
            </w:r>
          </w:p>
        </w:tc>
        <w:tc>
          <w:tcPr>
            <w:tcW w:w="2502" w:type="dxa"/>
          </w:tcPr>
          <w:p w14:paraId="5824EC1B"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6.09</w:t>
            </w:r>
            <w:r w:rsidRPr="0050424B">
              <w:rPr>
                <w:rFonts w:ascii="Arial" w:eastAsia="Times New Roman" w:hAnsi="Arial" w:cs="Arial"/>
                <w:bCs/>
                <w:sz w:val="20"/>
                <w:szCs w:val="20"/>
              </w:rPr>
              <w:t>±0.87</w:t>
            </w:r>
            <w:r w:rsidRPr="0050424B">
              <w:rPr>
                <w:rFonts w:ascii="Arial" w:eastAsia="Times New Roman" w:hAnsi="Arial" w:cs="Arial"/>
                <w:sz w:val="20"/>
                <w:szCs w:val="20"/>
              </w:rPr>
              <w:t>*</w:t>
            </w:r>
          </w:p>
        </w:tc>
        <w:tc>
          <w:tcPr>
            <w:tcW w:w="2064" w:type="dxa"/>
          </w:tcPr>
          <w:p w14:paraId="1B82BE7F"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53.53±1.72*</w:t>
            </w:r>
          </w:p>
        </w:tc>
      </w:tr>
      <w:tr w:rsidR="0050424B" w:rsidRPr="0050424B" w14:paraId="1ACFA95C" w14:textId="77777777" w:rsidTr="001B39A2">
        <w:tc>
          <w:tcPr>
            <w:tcW w:w="2599" w:type="dxa"/>
          </w:tcPr>
          <w:p w14:paraId="117C461E"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Positive control</w:t>
            </w:r>
          </w:p>
        </w:tc>
        <w:tc>
          <w:tcPr>
            <w:tcW w:w="2411" w:type="dxa"/>
          </w:tcPr>
          <w:p w14:paraId="679AB1E8"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41</w:t>
            </w:r>
          </w:p>
        </w:tc>
        <w:tc>
          <w:tcPr>
            <w:tcW w:w="2502" w:type="dxa"/>
          </w:tcPr>
          <w:p w14:paraId="34A80D4A"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11.00</w:t>
            </w:r>
            <w:r w:rsidRPr="0050424B">
              <w:rPr>
                <w:rFonts w:ascii="Arial" w:eastAsia="Times New Roman" w:hAnsi="Arial" w:cs="Arial"/>
                <w:bCs/>
                <w:sz w:val="20"/>
                <w:szCs w:val="20"/>
              </w:rPr>
              <w:t>±2.10*</w:t>
            </w:r>
          </w:p>
        </w:tc>
        <w:tc>
          <w:tcPr>
            <w:tcW w:w="2064" w:type="dxa"/>
          </w:tcPr>
          <w:p w14:paraId="2E129AF6"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41.20±2.03*</w:t>
            </w:r>
          </w:p>
        </w:tc>
      </w:tr>
    </w:tbl>
    <w:p w14:paraId="2BA0E7AB" w14:textId="77777777" w:rsidR="0050424B" w:rsidRPr="0050424B" w:rsidRDefault="0050424B" w:rsidP="0050424B">
      <w:pPr>
        <w:spacing w:line="360" w:lineRule="auto"/>
        <w:rPr>
          <w:rFonts w:ascii="Arial" w:hAnsi="Arial" w:cs="Arial"/>
        </w:rPr>
      </w:pPr>
      <w:r w:rsidRPr="0050424B">
        <w:rPr>
          <w:rFonts w:ascii="Arial" w:hAnsi="Arial" w:cs="Arial"/>
        </w:rPr>
        <w:t xml:space="preserve"> * The mean difference is significant at p&lt;0.05. </w:t>
      </w:r>
      <w:r w:rsidRPr="0050424B">
        <w:rPr>
          <w:rFonts w:ascii="Arial" w:hAnsi="Arial" w:cs="Arial"/>
          <w:vertAlign w:val="superscript"/>
        </w:rPr>
        <w:t>a</w:t>
      </w:r>
      <w:r w:rsidRPr="0050424B">
        <w:rPr>
          <w:rFonts w:ascii="Arial" w:hAnsi="Arial" w:cs="Arial"/>
        </w:rPr>
        <w:t xml:space="preserve"> Mean aberration </w:t>
      </w:r>
      <w:r w:rsidRPr="0050424B">
        <w:rPr>
          <w:rFonts w:ascii="Arial" w:hAnsi="Arial" w:cs="Arial"/>
          <w:bCs/>
        </w:rPr>
        <w:t>±</w:t>
      </w:r>
      <w:r w:rsidRPr="0050424B">
        <w:rPr>
          <w:rFonts w:ascii="Arial" w:hAnsi="Arial" w:cs="Arial"/>
        </w:rPr>
        <w:t>standard error of mean. - No aberration recorded.</w:t>
      </w:r>
    </w:p>
    <w:p w14:paraId="56E45C44" w14:textId="77777777" w:rsidR="0050424B" w:rsidRPr="0050424B" w:rsidRDefault="0050424B" w:rsidP="0050424B">
      <w:pPr>
        <w:pStyle w:val="Caption"/>
        <w:spacing w:line="360" w:lineRule="auto"/>
        <w:jc w:val="both"/>
        <w:rPr>
          <w:rFonts w:ascii="Arial" w:hAnsi="Arial" w:cs="Arial"/>
          <w:sz w:val="20"/>
          <w:szCs w:val="20"/>
        </w:rPr>
      </w:pPr>
      <w:r w:rsidRPr="0050424B">
        <w:rPr>
          <w:rFonts w:ascii="Arial" w:hAnsi="Arial" w:cs="Arial"/>
          <w:sz w:val="20"/>
          <w:szCs w:val="20"/>
        </w:rPr>
        <w:t>The results in Table 3 show</w:t>
      </w:r>
      <w:r w:rsidR="006B2B68">
        <w:rPr>
          <w:rFonts w:ascii="Arial" w:hAnsi="Arial" w:cs="Arial"/>
          <w:sz w:val="20"/>
          <w:szCs w:val="20"/>
        </w:rPr>
        <w:t>s</w:t>
      </w:r>
      <w:r w:rsidRPr="0050424B">
        <w:rPr>
          <w:rFonts w:ascii="Arial" w:hAnsi="Arial" w:cs="Arial"/>
          <w:sz w:val="20"/>
          <w:szCs w:val="20"/>
        </w:rPr>
        <w:t xml:space="preserve"> that in Allium cepa cells exposed to erythrosine red, the negative control group recorded 5 aberrant cells, with a mean of 1.38 ± 0.03 and a relative growth index (RGI) of 122.31 ± 2.04. At 1.16 mg/L, there were also 5 aberrant cells, with a mean of 1.39 ± 0.01 and an RGI of 108.10 ± 1.65. Exposure to 1.74 mg/L resulted in 7 aberrant cells, a mean of 1.52 ± 0.05, and an RGI of 92.05 ± 2.07. At the highest tested concentration of 2.32 mg/L, the number of aberrant cells increased markedly to 13, with a mean of 2.49 ± 0.08 and a significantly reduced RGI of 78.62 ± 1.18 (p &lt; 0.05). The positive control exhibited the highest aberration frequency, with 40 aberrant cells, a mean of 11.00 ± 0.41, and an RGI of 38.30 ± 2.50, all of which were significantly different from the negative control (p &lt; 0.05).</w:t>
      </w:r>
    </w:p>
    <w:p w14:paraId="11B4920B" w14:textId="77777777" w:rsidR="0050424B" w:rsidRPr="0050424B" w:rsidRDefault="0050424B" w:rsidP="0050424B">
      <w:pPr>
        <w:pStyle w:val="Caption"/>
        <w:spacing w:line="360" w:lineRule="auto"/>
        <w:jc w:val="left"/>
        <w:rPr>
          <w:rFonts w:ascii="Arial" w:hAnsi="Arial" w:cs="Arial"/>
          <w:b/>
          <w:sz w:val="20"/>
          <w:szCs w:val="20"/>
        </w:rPr>
      </w:pPr>
      <w:r w:rsidRPr="0050424B">
        <w:rPr>
          <w:rFonts w:ascii="Arial" w:hAnsi="Arial" w:cs="Arial"/>
          <w:b/>
          <w:sz w:val="20"/>
          <w:szCs w:val="20"/>
        </w:rPr>
        <w:t>Table 3</w:t>
      </w:r>
      <w:r w:rsidRPr="0050424B">
        <w:rPr>
          <w:rFonts w:ascii="Arial" w:hAnsi="Arial" w:cs="Arial"/>
          <w:b/>
          <w:noProof/>
          <w:sz w:val="20"/>
          <w:szCs w:val="20"/>
        </w:rPr>
        <w:t>:</w:t>
      </w:r>
      <w:r w:rsidRPr="0050424B">
        <w:rPr>
          <w:rFonts w:ascii="Arial" w:hAnsi="Arial" w:cs="Arial"/>
          <w:b/>
          <w:sz w:val="20"/>
          <w:szCs w:val="20"/>
        </w:rPr>
        <w:t xml:space="preserve"> Effect of erythrosine red on the Chromosomes of </w:t>
      </w:r>
      <w:r w:rsidRPr="0050424B">
        <w:rPr>
          <w:rFonts w:ascii="Arial" w:hAnsi="Arial" w:cs="Arial"/>
          <w:b/>
          <w:i/>
          <w:iCs/>
          <w:sz w:val="20"/>
          <w:szCs w:val="20"/>
        </w:rPr>
        <w:t>Allium cepa</w:t>
      </w:r>
      <w:r w:rsidRPr="0050424B">
        <w:rPr>
          <w:rFonts w:ascii="Arial" w:hAnsi="Arial" w:cs="Arial"/>
          <w:b/>
          <w:sz w:val="20"/>
          <w:szCs w:val="20"/>
        </w:rPr>
        <w:t xml:space="preserve"> Cells.</w:t>
      </w:r>
    </w:p>
    <w:tbl>
      <w:tblPr>
        <w:tblStyle w:val="TableGrid"/>
        <w:tblW w:w="9576" w:type="dxa"/>
        <w:tblLook w:val="04A0" w:firstRow="1" w:lastRow="0" w:firstColumn="1" w:lastColumn="0" w:noHBand="0" w:noVBand="1"/>
      </w:tblPr>
      <w:tblGrid>
        <w:gridCol w:w="2599"/>
        <w:gridCol w:w="2411"/>
        <w:gridCol w:w="2502"/>
        <w:gridCol w:w="2064"/>
      </w:tblGrid>
      <w:tr w:rsidR="0050424B" w:rsidRPr="0050424B" w14:paraId="708FB259" w14:textId="77777777" w:rsidTr="001B39A2">
        <w:tc>
          <w:tcPr>
            <w:tcW w:w="2599" w:type="dxa"/>
          </w:tcPr>
          <w:p w14:paraId="575374B4" w14:textId="77777777" w:rsidR="0050424B" w:rsidRPr="0050424B" w:rsidRDefault="0050424B" w:rsidP="001B39A2">
            <w:pPr>
              <w:spacing w:line="360" w:lineRule="auto"/>
              <w:rPr>
                <w:rFonts w:ascii="Arial" w:hAnsi="Arial" w:cs="Arial"/>
                <w:b/>
                <w:sz w:val="20"/>
                <w:szCs w:val="20"/>
              </w:rPr>
            </w:pPr>
            <w:r w:rsidRPr="0050424B">
              <w:rPr>
                <w:rFonts w:ascii="Arial" w:hAnsi="Arial" w:cs="Arial"/>
                <w:b/>
                <w:sz w:val="20"/>
                <w:szCs w:val="20"/>
              </w:rPr>
              <w:t>Concentration (mg/L)</w:t>
            </w:r>
          </w:p>
        </w:tc>
        <w:tc>
          <w:tcPr>
            <w:tcW w:w="2411" w:type="dxa"/>
          </w:tcPr>
          <w:p w14:paraId="37B10CE2" w14:textId="77777777" w:rsidR="0050424B" w:rsidRPr="0050424B" w:rsidRDefault="0050424B" w:rsidP="001B39A2">
            <w:pPr>
              <w:spacing w:line="360" w:lineRule="auto"/>
              <w:rPr>
                <w:rFonts w:ascii="Arial" w:hAnsi="Arial" w:cs="Arial"/>
                <w:b/>
                <w:sz w:val="20"/>
                <w:szCs w:val="20"/>
              </w:rPr>
            </w:pPr>
            <w:r w:rsidRPr="0050424B">
              <w:rPr>
                <w:rFonts w:ascii="Arial" w:hAnsi="Arial" w:cs="Arial"/>
                <w:b/>
                <w:sz w:val="20"/>
                <w:szCs w:val="20"/>
              </w:rPr>
              <w:t>Aberrant cells</w:t>
            </w:r>
          </w:p>
        </w:tc>
        <w:tc>
          <w:tcPr>
            <w:tcW w:w="2502" w:type="dxa"/>
          </w:tcPr>
          <w:p w14:paraId="1E481EBC" w14:textId="77777777" w:rsidR="0050424B" w:rsidRPr="0050424B" w:rsidRDefault="0050424B" w:rsidP="001B39A2">
            <w:pPr>
              <w:spacing w:line="360" w:lineRule="auto"/>
              <w:rPr>
                <w:rFonts w:ascii="Arial" w:hAnsi="Arial" w:cs="Arial"/>
                <w:b/>
                <w:sz w:val="20"/>
                <w:szCs w:val="20"/>
              </w:rPr>
            </w:pPr>
            <w:proofErr w:type="spellStart"/>
            <w:r w:rsidRPr="0050424B">
              <w:rPr>
                <w:rFonts w:ascii="Arial" w:eastAsia="Times New Roman" w:hAnsi="Arial" w:cs="Arial"/>
                <w:b/>
                <w:bCs/>
                <w:sz w:val="20"/>
                <w:szCs w:val="20"/>
              </w:rPr>
              <w:t>Mean±SE</w:t>
            </w:r>
            <w:r w:rsidRPr="0050424B">
              <w:rPr>
                <w:rFonts w:ascii="Arial" w:eastAsia="Times New Roman" w:hAnsi="Arial" w:cs="Arial"/>
                <w:b/>
                <w:bCs/>
                <w:sz w:val="20"/>
                <w:szCs w:val="20"/>
                <w:vertAlign w:val="superscript"/>
              </w:rPr>
              <w:t>a</w:t>
            </w:r>
            <w:proofErr w:type="spellEnd"/>
          </w:p>
        </w:tc>
        <w:tc>
          <w:tcPr>
            <w:tcW w:w="2064" w:type="dxa"/>
          </w:tcPr>
          <w:p w14:paraId="4FCFC399" w14:textId="77777777" w:rsidR="0050424B" w:rsidRPr="0050424B" w:rsidRDefault="0050424B" w:rsidP="001B39A2">
            <w:pPr>
              <w:spacing w:line="360" w:lineRule="auto"/>
              <w:rPr>
                <w:rFonts w:ascii="Arial" w:hAnsi="Arial" w:cs="Arial"/>
                <w:b/>
                <w:sz w:val="20"/>
                <w:szCs w:val="20"/>
              </w:rPr>
            </w:pPr>
            <w:r w:rsidRPr="0050424B">
              <w:rPr>
                <w:rFonts w:ascii="Arial" w:hAnsi="Arial" w:cs="Arial"/>
                <w:b/>
                <w:sz w:val="20"/>
                <w:szCs w:val="20"/>
              </w:rPr>
              <w:t>RGI</w:t>
            </w:r>
          </w:p>
        </w:tc>
      </w:tr>
      <w:tr w:rsidR="0050424B" w:rsidRPr="0050424B" w14:paraId="5E52741A" w14:textId="77777777" w:rsidTr="001B39A2">
        <w:tc>
          <w:tcPr>
            <w:tcW w:w="2599" w:type="dxa"/>
          </w:tcPr>
          <w:p w14:paraId="53BA0481"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Negative control</w:t>
            </w:r>
          </w:p>
        </w:tc>
        <w:tc>
          <w:tcPr>
            <w:tcW w:w="2411" w:type="dxa"/>
          </w:tcPr>
          <w:p w14:paraId="224BB297"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5</w:t>
            </w:r>
          </w:p>
        </w:tc>
        <w:tc>
          <w:tcPr>
            <w:tcW w:w="2502" w:type="dxa"/>
          </w:tcPr>
          <w:p w14:paraId="4D0F09A5"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1.38</w:t>
            </w:r>
            <w:r w:rsidRPr="0050424B">
              <w:rPr>
                <w:rFonts w:ascii="Arial" w:eastAsia="Times New Roman" w:hAnsi="Arial" w:cs="Arial"/>
                <w:bCs/>
                <w:sz w:val="20"/>
                <w:szCs w:val="20"/>
              </w:rPr>
              <w:t>±0.03</w:t>
            </w:r>
          </w:p>
        </w:tc>
        <w:tc>
          <w:tcPr>
            <w:tcW w:w="2064" w:type="dxa"/>
          </w:tcPr>
          <w:p w14:paraId="54F1E106"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122.31±2.04</w:t>
            </w:r>
          </w:p>
        </w:tc>
      </w:tr>
      <w:tr w:rsidR="0050424B" w:rsidRPr="0050424B" w14:paraId="5A6644C4" w14:textId="77777777" w:rsidTr="001B39A2">
        <w:tc>
          <w:tcPr>
            <w:tcW w:w="2599" w:type="dxa"/>
          </w:tcPr>
          <w:p w14:paraId="1C3CE9E1" w14:textId="77777777" w:rsidR="0050424B" w:rsidRPr="0050424B" w:rsidRDefault="0050424B" w:rsidP="001B39A2">
            <w:pPr>
              <w:widowControl w:val="0"/>
              <w:pBdr>
                <w:top w:val="nil"/>
                <w:left w:val="nil"/>
                <w:bottom w:val="nil"/>
                <w:right w:val="nil"/>
                <w:between w:val="nil"/>
              </w:pBdr>
              <w:spacing w:line="360" w:lineRule="auto"/>
              <w:jc w:val="both"/>
              <w:rPr>
                <w:rFonts w:ascii="Arial" w:eastAsia="Times New Roman" w:hAnsi="Arial" w:cs="Arial"/>
                <w:sz w:val="20"/>
                <w:szCs w:val="20"/>
              </w:rPr>
            </w:pPr>
            <w:r w:rsidRPr="0050424B">
              <w:rPr>
                <w:rFonts w:ascii="Arial" w:eastAsia="Times New Roman" w:hAnsi="Arial" w:cs="Arial"/>
                <w:sz w:val="20"/>
                <w:szCs w:val="20"/>
              </w:rPr>
              <w:t>1.16</w:t>
            </w:r>
          </w:p>
        </w:tc>
        <w:tc>
          <w:tcPr>
            <w:tcW w:w="2411" w:type="dxa"/>
          </w:tcPr>
          <w:p w14:paraId="67E52DCF"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5</w:t>
            </w:r>
          </w:p>
        </w:tc>
        <w:tc>
          <w:tcPr>
            <w:tcW w:w="2502" w:type="dxa"/>
          </w:tcPr>
          <w:p w14:paraId="5E1B4C91"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1.39</w:t>
            </w:r>
            <w:r w:rsidRPr="0050424B">
              <w:rPr>
                <w:rFonts w:ascii="Arial" w:eastAsia="Times New Roman" w:hAnsi="Arial" w:cs="Arial"/>
                <w:bCs/>
                <w:sz w:val="20"/>
                <w:szCs w:val="20"/>
              </w:rPr>
              <w:t>±0.01</w:t>
            </w:r>
          </w:p>
        </w:tc>
        <w:tc>
          <w:tcPr>
            <w:tcW w:w="2064" w:type="dxa"/>
          </w:tcPr>
          <w:p w14:paraId="585545DE"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108.10±1.65</w:t>
            </w:r>
          </w:p>
        </w:tc>
      </w:tr>
      <w:tr w:rsidR="0050424B" w:rsidRPr="0050424B" w14:paraId="6E3DF127" w14:textId="77777777" w:rsidTr="001B39A2">
        <w:tc>
          <w:tcPr>
            <w:tcW w:w="2599" w:type="dxa"/>
          </w:tcPr>
          <w:p w14:paraId="2068FB5B" w14:textId="77777777" w:rsidR="0050424B" w:rsidRPr="0050424B" w:rsidRDefault="0050424B" w:rsidP="001B39A2">
            <w:pPr>
              <w:widowControl w:val="0"/>
              <w:pBdr>
                <w:top w:val="nil"/>
                <w:left w:val="nil"/>
                <w:bottom w:val="nil"/>
                <w:right w:val="nil"/>
                <w:between w:val="nil"/>
              </w:pBdr>
              <w:spacing w:line="360" w:lineRule="auto"/>
              <w:jc w:val="both"/>
              <w:rPr>
                <w:rFonts w:ascii="Arial" w:eastAsia="Times New Roman" w:hAnsi="Arial" w:cs="Arial"/>
                <w:sz w:val="20"/>
                <w:szCs w:val="20"/>
              </w:rPr>
            </w:pPr>
            <w:r w:rsidRPr="0050424B">
              <w:rPr>
                <w:rFonts w:ascii="Arial" w:eastAsia="Times New Roman" w:hAnsi="Arial" w:cs="Arial"/>
                <w:sz w:val="20"/>
                <w:szCs w:val="20"/>
              </w:rPr>
              <w:t>1.74</w:t>
            </w:r>
          </w:p>
        </w:tc>
        <w:tc>
          <w:tcPr>
            <w:tcW w:w="2411" w:type="dxa"/>
          </w:tcPr>
          <w:p w14:paraId="767F97F7"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7</w:t>
            </w:r>
          </w:p>
        </w:tc>
        <w:tc>
          <w:tcPr>
            <w:tcW w:w="2502" w:type="dxa"/>
          </w:tcPr>
          <w:p w14:paraId="17F5CAA1"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1.52</w:t>
            </w:r>
            <w:r w:rsidRPr="0050424B">
              <w:rPr>
                <w:rFonts w:ascii="Arial" w:eastAsia="Times New Roman" w:hAnsi="Arial" w:cs="Arial"/>
                <w:bCs/>
                <w:sz w:val="20"/>
                <w:szCs w:val="20"/>
              </w:rPr>
              <w:t>±0.05</w:t>
            </w:r>
          </w:p>
        </w:tc>
        <w:tc>
          <w:tcPr>
            <w:tcW w:w="2064" w:type="dxa"/>
          </w:tcPr>
          <w:p w14:paraId="4B6B4B8B"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92.05±2.07</w:t>
            </w:r>
          </w:p>
        </w:tc>
      </w:tr>
      <w:tr w:rsidR="0050424B" w:rsidRPr="0050424B" w14:paraId="7D1B7A0D" w14:textId="77777777" w:rsidTr="001B39A2">
        <w:tc>
          <w:tcPr>
            <w:tcW w:w="2599" w:type="dxa"/>
          </w:tcPr>
          <w:p w14:paraId="59596751" w14:textId="77777777" w:rsidR="0050424B" w:rsidRPr="0050424B" w:rsidRDefault="0050424B" w:rsidP="001B39A2">
            <w:pPr>
              <w:widowControl w:val="0"/>
              <w:pBdr>
                <w:top w:val="nil"/>
                <w:left w:val="nil"/>
                <w:bottom w:val="nil"/>
                <w:right w:val="nil"/>
                <w:between w:val="nil"/>
              </w:pBdr>
              <w:spacing w:line="360" w:lineRule="auto"/>
              <w:jc w:val="both"/>
              <w:rPr>
                <w:rFonts w:ascii="Arial" w:eastAsia="Times New Roman" w:hAnsi="Arial" w:cs="Arial"/>
                <w:sz w:val="20"/>
                <w:szCs w:val="20"/>
              </w:rPr>
            </w:pPr>
            <w:r w:rsidRPr="0050424B">
              <w:rPr>
                <w:rFonts w:ascii="Arial" w:eastAsia="Times New Roman" w:hAnsi="Arial" w:cs="Arial"/>
                <w:sz w:val="20"/>
                <w:szCs w:val="20"/>
              </w:rPr>
              <w:t xml:space="preserve">2.32 mg/L </w:t>
            </w:r>
          </w:p>
        </w:tc>
        <w:tc>
          <w:tcPr>
            <w:tcW w:w="2411" w:type="dxa"/>
          </w:tcPr>
          <w:p w14:paraId="55DD7BE5"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13</w:t>
            </w:r>
          </w:p>
        </w:tc>
        <w:tc>
          <w:tcPr>
            <w:tcW w:w="2502" w:type="dxa"/>
          </w:tcPr>
          <w:p w14:paraId="2CE6E87E"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2.49</w:t>
            </w:r>
            <w:r w:rsidRPr="0050424B">
              <w:rPr>
                <w:rFonts w:ascii="Arial" w:eastAsia="Times New Roman" w:hAnsi="Arial" w:cs="Arial"/>
                <w:bCs/>
                <w:sz w:val="20"/>
                <w:szCs w:val="20"/>
              </w:rPr>
              <w:t>±0.08*</w:t>
            </w:r>
          </w:p>
        </w:tc>
        <w:tc>
          <w:tcPr>
            <w:tcW w:w="2064" w:type="dxa"/>
          </w:tcPr>
          <w:p w14:paraId="3171FD9F"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78.62±1.18*</w:t>
            </w:r>
          </w:p>
        </w:tc>
      </w:tr>
      <w:tr w:rsidR="0050424B" w:rsidRPr="0050424B" w14:paraId="2C46366D" w14:textId="77777777" w:rsidTr="001B39A2">
        <w:tc>
          <w:tcPr>
            <w:tcW w:w="2599" w:type="dxa"/>
          </w:tcPr>
          <w:p w14:paraId="222634E4"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Positive control</w:t>
            </w:r>
          </w:p>
        </w:tc>
        <w:tc>
          <w:tcPr>
            <w:tcW w:w="2411" w:type="dxa"/>
          </w:tcPr>
          <w:p w14:paraId="2EC7E586"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40</w:t>
            </w:r>
          </w:p>
        </w:tc>
        <w:tc>
          <w:tcPr>
            <w:tcW w:w="2502" w:type="dxa"/>
          </w:tcPr>
          <w:p w14:paraId="45BCFF39"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11.00</w:t>
            </w:r>
            <w:r w:rsidRPr="0050424B">
              <w:rPr>
                <w:rFonts w:ascii="Arial" w:eastAsia="Times New Roman" w:hAnsi="Arial" w:cs="Arial"/>
                <w:bCs/>
                <w:sz w:val="20"/>
                <w:szCs w:val="20"/>
              </w:rPr>
              <w:t>±0.41*</w:t>
            </w:r>
          </w:p>
        </w:tc>
        <w:tc>
          <w:tcPr>
            <w:tcW w:w="2064" w:type="dxa"/>
          </w:tcPr>
          <w:p w14:paraId="7E981AB9"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38.30±2.50*</w:t>
            </w:r>
          </w:p>
        </w:tc>
      </w:tr>
    </w:tbl>
    <w:p w14:paraId="1CA2B9F5" w14:textId="77777777" w:rsidR="0050424B" w:rsidRPr="0050424B" w:rsidRDefault="0050424B" w:rsidP="0050424B">
      <w:pPr>
        <w:spacing w:line="360" w:lineRule="auto"/>
        <w:rPr>
          <w:rFonts w:ascii="Arial" w:hAnsi="Arial" w:cs="Arial"/>
        </w:rPr>
      </w:pPr>
      <w:r w:rsidRPr="0050424B">
        <w:rPr>
          <w:rFonts w:ascii="Arial" w:hAnsi="Arial" w:cs="Arial"/>
        </w:rPr>
        <w:t xml:space="preserve"> * The mean difference is significant at p&lt;0.05. </w:t>
      </w:r>
      <w:r w:rsidRPr="0050424B">
        <w:rPr>
          <w:rFonts w:ascii="Arial" w:hAnsi="Arial" w:cs="Arial"/>
          <w:vertAlign w:val="superscript"/>
        </w:rPr>
        <w:t>a</w:t>
      </w:r>
      <w:r w:rsidRPr="0050424B">
        <w:rPr>
          <w:rFonts w:ascii="Arial" w:hAnsi="Arial" w:cs="Arial"/>
        </w:rPr>
        <w:t xml:space="preserve"> Mean aberration </w:t>
      </w:r>
      <w:r w:rsidRPr="0050424B">
        <w:rPr>
          <w:rFonts w:ascii="Arial" w:hAnsi="Arial" w:cs="Arial"/>
          <w:bCs/>
        </w:rPr>
        <w:t>±</w:t>
      </w:r>
      <w:r w:rsidRPr="0050424B">
        <w:rPr>
          <w:rFonts w:ascii="Arial" w:hAnsi="Arial" w:cs="Arial"/>
        </w:rPr>
        <w:t>standard error of mean.</w:t>
      </w:r>
    </w:p>
    <w:p w14:paraId="29C4B4FC" w14:textId="77777777" w:rsidR="006B2B68" w:rsidRPr="006B2B68" w:rsidRDefault="006B2B68" w:rsidP="006B2B68">
      <w:pPr>
        <w:spacing w:before="100" w:beforeAutospacing="1" w:after="100" w:afterAutospacing="1" w:line="360" w:lineRule="auto"/>
        <w:jc w:val="both"/>
        <w:rPr>
          <w:rFonts w:ascii="Arial" w:hAnsi="Arial" w:cs="Arial"/>
        </w:rPr>
      </w:pPr>
      <w:r w:rsidRPr="006B2B68">
        <w:rPr>
          <w:rFonts w:ascii="Arial" w:hAnsi="Arial" w:cs="Arial"/>
        </w:rPr>
        <w:t xml:space="preserve">The increasing use of synthetic food additives in processed foods has amplified concerns over their potential cytotoxic and genotoxic effects. In this study, the Allium cepa assay—a widely recognized and sensitive plant bioassay—was employed to evaluate the toxicity of monosodium glutamate (MSG), sorbic acid, and erythrosine. Both chromosomal aberrations and root growth inhibition (RGI) were assessed as biological endpoints. The reliability and sensitivity of the Allium test in detecting sublethal </w:t>
      </w:r>
      <w:proofErr w:type="spellStart"/>
      <w:r w:rsidRPr="006B2B68">
        <w:rPr>
          <w:rFonts w:ascii="Arial" w:hAnsi="Arial" w:cs="Arial"/>
        </w:rPr>
        <w:t>cytogenotoxic</w:t>
      </w:r>
      <w:proofErr w:type="spellEnd"/>
      <w:r w:rsidRPr="006B2B68">
        <w:rPr>
          <w:rFonts w:ascii="Arial" w:hAnsi="Arial" w:cs="Arial"/>
        </w:rPr>
        <w:t xml:space="preserve"> damage have been widely documented (Yalçın &amp; </w:t>
      </w:r>
      <w:proofErr w:type="spellStart"/>
      <w:r w:rsidRPr="006B2B68">
        <w:rPr>
          <w:rFonts w:ascii="Arial" w:hAnsi="Arial" w:cs="Arial"/>
        </w:rPr>
        <w:t>Sevim</w:t>
      </w:r>
      <w:proofErr w:type="spellEnd"/>
      <w:r w:rsidRPr="006B2B68">
        <w:rPr>
          <w:rFonts w:ascii="Arial" w:hAnsi="Arial" w:cs="Arial"/>
        </w:rPr>
        <w:t xml:space="preserve">, 2019; </w:t>
      </w:r>
      <w:proofErr w:type="spellStart"/>
      <w:r w:rsidRPr="006B2B68">
        <w:rPr>
          <w:rFonts w:ascii="Arial" w:hAnsi="Arial" w:cs="Arial"/>
        </w:rPr>
        <w:t>Omobowale</w:t>
      </w:r>
      <w:proofErr w:type="spellEnd"/>
      <w:r w:rsidRPr="006B2B68">
        <w:rPr>
          <w:rFonts w:ascii="Arial" w:hAnsi="Arial" w:cs="Arial"/>
        </w:rPr>
        <w:t xml:space="preserve"> et al., 2020), making it a robust tool for preclinical toxicity screening.</w:t>
      </w:r>
    </w:p>
    <w:p w14:paraId="7A5FFE3C" w14:textId="77777777" w:rsidR="006B2B68" w:rsidRPr="006B2B68" w:rsidRDefault="006B2B68" w:rsidP="006B2B68">
      <w:pPr>
        <w:spacing w:before="100" w:beforeAutospacing="1" w:after="100" w:afterAutospacing="1" w:line="360" w:lineRule="auto"/>
        <w:jc w:val="both"/>
        <w:rPr>
          <w:rFonts w:ascii="Arial" w:hAnsi="Arial" w:cs="Arial"/>
        </w:rPr>
      </w:pPr>
      <w:r w:rsidRPr="006B2B68">
        <w:rPr>
          <w:rFonts w:ascii="Arial" w:hAnsi="Arial" w:cs="Arial"/>
        </w:rPr>
        <w:t xml:space="preserve">Regression analysis revealed a strong positive correlation between MSG concentration and chromosomal aberration frequency (R² = 0.871), indicating dose-dependent genotoxicity. While this relationship did not reach statistical significance (p = 0.067), the high beta coefficient (β = 0.933) and low standard error suggest strong biological relevance. These findings </w:t>
      </w:r>
      <w:r w:rsidRPr="006B2B68">
        <w:rPr>
          <w:rFonts w:ascii="Arial" w:hAnsi="Arial" w:cs="Arial"/>
        </w:rPr>
        <w:lastRenderedPageBreak/>
        <w:t>are consistent with prior studies that identified MSG-induced oxidative stress and DNA fragmentation in both plant and animal models (Tawfik &amp; Al-Badr, 2018; Ige et al., 2020). Moreover, MSG significantly inhibited root elongation (R² = 0.905; p = 0.048), with a negative regression coefficient (B = -0.073), highlighting its cytotoxic potential. This observation supports hypotheses that MSG interferes with cell respiration and mitotic spindle formation, thereby inhibiting mitotic progression (</w:t>
      </w:r>
      <w:proofErr w:type="spellStart"/>
      <w:r w:rsidRPr="006B2B68">
        <w:rPr>
          <w:rFonts w:ascii="Arial" w:hAnsi="Arial" w:cs="Arial"/>
        </w:rPr>
        <w:t>Nnamonu</w:t>
      </w:r>
      <w:proofErr w:type="spellEnd"/>
      <w:r w:rsidRPr="006B2B68">
        <w:rPr>
          <w:rFonts w:ascii="Arial" w:hAnsi="Arial" w:cs="Arial"/>
        </w:rPr>
        <w:t xml:space="preserve"> et al., 2021). Chronic MSG exposure has been linked to neurotoxicity, metabolic disturbances, and organ damage in mammalian models (Abdullahi et al., 2019), underscoring public health concerns, particularly among vulnerable populations such as children and pregnant women with high intake of ultra-processed foods.</w:t>
      </w:r>
    </w:p>
    <w:p w14:paraId="4FA94A11" w14:textId="77777777" w:rsidR="006B2B68" w:rsidRPr="006B2B68" w:rsidRDefault="006B2B68" w:rsidP="006B2B68">
      <w:pPr>
        <w:spacing w:before="100" w:beforeAutospacing="1" w:after="100" w:afterAutospacing="1" w:line="360" w:lineRule="auto"/>
        <w:jc w:val="both"/>
        <w:rPr>
          <w:rFonts w:ascii="Arial" w:hAnsi="Arial" w:cs="Arial"/>
        </w:rPr>
      </w:pPr>
      <w:r w:rsidRPr="006B2B68">
        <w:rPr>
          <w:rFonts w:ascii="Arial" w:hAnsi="Arial" w:cs="Arial"/>
        </w:rPr>
        <w:t>Sorbic Acid exhibited a similar strong correlation with chromosomal aberrations (R² = 0.795), though statistical significance was not achieved (p = 0.109). Nonetheless, the dose-dependent increase in aberrant cells (B = 0.073) suggests underlying genotoxic potential. Supporting evidence from in vitro studies using Saccharomyces cerevisiae and human lymphocyte models has identified DNA-damaging effects of sorbates, particularly under oxidative conditions (</w:t>
      </w:r>
      <w:proofErr w:type="spellStart"/>
      <w:r w:rsidRPr="006B2B68">
        <w:rPr>
          <w:rFonts w:ascii="Arial" w:hAnsi="Arial" w:cs="Arial"/>
        </w:rPr>
        <w:t>Brusick</w:t>
      </w:r>
      <w:proofErr w:type="spellEnd"/>
      <w:r w:rsidRPr="006B2B68">
        <w:rPr>
          <w:rFonts w:ascii="Arial" w:hAnsi="Arial" w:cs="Arial"/>
        </w:rPr>
        <w:t xml:space="preserve"> et al., 2018; Gao et al., 2023). Cytotoxicity data further demonstrated significant root growth inhibition (R² = 0.881; p = 0.061), with a strong negative regression coefficient (B = -0.226), indicating substantial suppression of mitotic activity. These results align with previous findings that Sorbic Acid disrupts ATP synthesis and compromises membrane integrity (Uysal et al., 2022). Though widely regarded as safe, concerns over cumulative exposure, particularly in children consuming baked goods, beverages, and snacks, necessitate caution (EFSA, 2020). The World Health Organization (WHO) has recently advocated for stricter regulatory thresholds for daily additive intake in response to accumulating evidence of systemic toxicity (WHO, 2023).</w:t>
      </w:r>
    </w:p>
    <w:p w14:paraId="2C8B5B33" w14:textId="77777777" w:rsidR="006B2B68" w:rsidRPr="006B2B68" w:rsidRDefault="006B2B68" w:rsidP="006B2B68">
      <w:pPr>
        <w:spacing w:before="100" w:beforeAutospacing="1" w:after="100" w:afterAutospacing="1" w:line="360" w:lineRule="auto"/>
        <w:jc w:val="both"/>
        <w:rPr>
          <w:rFonts w:ascii="Arial" w:hAnsi="Arial" w:cs="Arial"/>
        </w:rPr>
      </w:pPr>
      <w:r w:rsidRPr="006B2B68">
        <w:rPr>
          <w:rFonts w:ascii="Arial" w:hAnsi="Arial" w:cs="Arial"/>
        </w:rPr>
        <w:t>Among the three additives examined, Erythrosine red demonstrated the most pronounced cytotoxic effect. While its correlation with chromosomal aberrations was moderate (R² = 0.639; p = 0.201), the high unstandardized coefficient (B = 3.054) suggests a potent genotoxic impact at higher concentrations. These findings corroborate studies reporting erythrosine-induced chromosomal fragmentation and micronuclei formation in mammalian cells (Nair et al., 2019; Panda et al., 2022). Additionally, Erythrosine exhibited the strongest RGI effect (R² = 0.964; p = 0.018), with a steep regression slope (B = -18.837), confirming its high cytotoxic potential. Previous research has linked synthetic azo dyes such as erythrosine red with mitochondrial dysfunction and apoptotic induction (Mehmood et al., 2021; Ogunleye et al., 2024). Due to its synthetic nature and resistance to metabolic breakdown, erythrosine red tends to bioaccumulate, presenting significant long-term health risks. Regulatory bodies, including the EFSA and US FDA, have flagged erythrosine red for tighter oversight due to its toxicological profile even at low doses (EFSA, 2021; FDA, 2022).</w:t>
      </w:r>
    </w:p>
    <w:p w14:paraId="79367204" w14:textId="77777777" w:rsidR="006B2B68" w:rsidRPr="006B2B68" w:rsidRDefault="006B2B68" w:rsidP="006B2B68">
      <w:pPr>
        <w:spacing w:before="100" w:beforeAutospacing="1" w:after="100" w:afterAutospacing="1" w:line="360" w:lineRule="auto"/>
        <w:jc w:val="both"/>
        <w:rPr>
          <w:rFonts w:ascii="Arial" w:hAnsi="Arial" w:cs="Arial"/>
        </w:rPr>
      </w:pPr>
      <w:r w:rsidRPr="006B2B68">
        <w:rPr>
          <w:rFonts w:ascii="Arial" w:hAnsi="Arial" w:cs="Arial"/>
        </w:rPr>
        <w:t>Across all three additives, RGI emerged as a more reliable and statistically significant indicator of toxicity compared to chromosomal aberrations. This may be attributed to RGI’s integrative reflection of cellular health, encompassing disruptions in mitosis, water uptake, enzymatic activity, and oxidative homeostasis (Oyeyemi et al., 2023). The observed toxicity gradient, erythrosine &gt; sorbic acid &gt; MSG, mirrors the structural complexity and oxidative potential of the compounds (Adegoke et al., 2022). Though genotoxic effects did not attain statistical significance, strong correlations and high R² values imply biological significance. The limited sample size (n = 4) likely constrained statistical power; however, the Allium test’s known sensitivity warrants close attention to even marginal trends (</w:t>
      </w:r>
      <w:proofErr w:type="spellStart"/>
      <w:r w:rsidRPr="006B2B68">
        <w:rPr>
          <w:rFonts w:ascii="Arial" w:hAnsi="Arial" w:cs="Arial"/>
        </w:rPr>
        <w:t>Bonciu</w:t>
      </w:r>
      <w:proofErr w:type="spellEnd"/>
      <w:r w:rsidRPr="006B2B68">
        <w:rPr>
          <w:rFonts w:ascii="Arial" w:hAnsi="Arial" w:cs="Arial"/>
        </w:rPr>
        <w:t xml:space="preserve">, 2019; </w:t>
      </w:r>
      <w:proofErr w:type="spellStart"/>
      <w:r w:rsidRPr="006B2B68">
        <w:rPr>
          <w:rFonts w:ascii="Arial" w:hAnsi="Arial" w:cs="Arial"/>
        </w:rPr>
        <w:t>Kibar</w:t>
      </w:r>
      <w:proofErr w:type="spellEnd"/>
      <w:r w:rsidRPr="006B2B68">
        <w:rPr>
          <w:rFonts w:ascii="Arial" w:hAnsi="Arial" w:cs="Arial"/>
        </w:rPr>
        <w:t xml:space="preserve"> et al., 2021).</w:t>
      </w:r>
    </w:p>
    <w:p w14:paraId="38C0F006" w14:textId="77777777" w:rsidR="006B2B68" w:rsidRPr="006B2B68" w:rsidRDefault="006B2B68" w:rsidP="006B2B68">
      <w:pPr>
        <w:spacing w:before="100" w:beforeAutospacing="1" w:after="100" w:afterAutospacing="1" w:line="360" w:lineRule="auto"/>
        <w:jc w:val="both"/>
        <w:rPr>
          <w:rFonts w:ascii="Arial" w:hAnsi="Arial" w:cs="Arial"/>
        </w:rPr>
      </w:pPr>
      <w:r w:rsidRPr="006B2B68">
        <w:rPr>
          <w:rFonts w:ascii="Arial" w:hAnsi="Arial" w:cs="Arial"/>
        </w:rPr>
        <w:t xml:space="preserve">From a public health perspective, the cytotoxic effects observed in </w:t>
      </w:r>
      <w:r w:rsidRPr="006B2B68">
        <w:rPr>
          <w:rFonts w:ascii="Arial" w:hAnsi="Arial" w:cs="Arial"/>
          <w:i/>
        </w:rPr>
        <w:t>A. cepa</w:t>
      </w:r>
      <w:r w:rsidRPr="006B2B68">
        <w:rPr>
          <w:rFonts w:ascii="Arial" w:hAnsi="Arial" w:cs="Arial"/>
        </w:rPr>
        <w:t xml:space="preserve"> roots may extrapolate to adverse effects on human cells, particularly those with high proliferative rates, such as gastrointestinal epithelium, reproductive tissues, and developing neural cells. Toxicity in plant models has been consistently correlated with outcomes in mammalian systems </w:t>
      </w:r>
      <w:r w:rsidRPr="006B2B68">
        <w:rPr>
          <w:rFonts w:ascii="Arial" w:hAnsi="Arial" w:cs="Arial"/>
        </w:rPr>
        <w:lastRenderedPageBreak/>
        <w:t>(Fenech et al., 2020). Prolonged exposure to these additives could compromise intestinal barrier function, elevate reactive oxygen species (ROS), and increase susceptibility to inflammation and carcinogenesis (</w:t>
      </w:r>
      <w:proofErr w:type="spellStart"/>
      <w:r w:rsidRPr="006B2B68">
        <w:rPr>
          <w:rFonts w:ascii="Arial" w:hAnsi="Arial" w:cs="Arial"/>
        </w:rPr>
        <w:t>Nwaogazie</w:t>
      </w:r>
      <w:proofErr w:type="spellEnd"/>
      <w:r w:rsidRPr="006B2B68">
        <w:rPr>
          <w:rFonts w:ascii="Arial" w:hAnsi="Arial" w:cs="Arial"/>
        </w:rPr>
        <w:t xml:space="preserve"> et al., 2023). In low- and middle-income countries like Nigeria, where regulatory enforcement is limited, overconsumption of food additives, especially in unregulated street foods and beverages, amplifies these risks. Erythrosine red, for example, is frequently used illicitly to enhance the color of local pastries and drinks (Akinlabi et al., 2021), increasing the urgency for effective policy enforcement.</w:t>
      </w:r>
    </w:p>
    <w:p w14:paraId="5CC4F7A9" w14:textId="77777777" w:rsidR="006B2B68" w:rsidRPr="006B2B68" w:rsidRDefault="006B2B68" w:rsidP="006B2B68">
      <w:pPr>
        <w:spacing w:before="100" w:beforeAutospacing="1" w:after="100" w:afterAutospacing="1" w:line="360" w:lineRule="auto"/>
        <w:jc w:val="both"/>
        <w:rPr>
          <w:rFonts w:ascii="Arial" w:hAnsi="Arial" w:cs="Arial"/>
        </w:rPr>
      </w:pPr>
      <w:r w:rsidRPr="006B2B68">
        <w:rPr>
          <w:rFonts w:ascii="Arial" w:hAnsi="Arial" w:cs="Arial"/>
        </w:rPr>
        <w:t>In summary, this study provides compelling preliminary evidence that common food additives—particularly erythrosine—can induce cytotoxic and potential genotoxic effects at biologically relevant concentrations. These findings reinforce the value of plant bioassays as accessible, low-cost tools for early toxicity detection, and they support calls for tighter additive regulation, improved labeling, and increased consumer education.</w:t>
      </w:r>
    </w:p>
    <w:p w14:paraId="0B5DF44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E71E2A6" w14:textId="77777777" w:rsidR="006B2B68" w:rsidRPr="006B2B68" w:rsidRDefault="006B2B68" w:rsidP="006B2B68">
      <w:pPr>
        <w:spacing w:before="100" w:beforeAutospacing="1" w:after="100" w:afterAutospacing="1" w:line="360" w:lineRule="auto"/>
        <w:jc w:val="both"/>
        <w:rPr>
          <w:rFonts w:ascii="Arial" w:hAnsi="Arial" w:cs="Arial"/>
        </w:rPr>
      </w:pPr>
      <w:r w:rsidRPr="006B2B68">
        <w:rPr>
          <w:rFonts w:ascii="Arial" w:hAnsi="Arial" w:cs="Arial"/>
        </w:rPr>
        <w:t>This study presents compelling evidence linking the exposure of Allium cepa root cells to three widely used food additives: monosodium glutamate (MSG), sorbic acid, and erythrosine, with marked cytotoxic and potential genotoxic effects. The consistent, dose-dependent increase in chromosomal aberrations alongside significant inhibition of root growth across all treatments underscores the biological plausibility of additive-induced cellular stress. Among the tested compounds, erythrosine demonstrated the highest level of cytotoxicity, followed by sorbic acid and MSG, reflecting a toxicity gradient aligned with their structural complexity and oxidative potential.</w:t>
      </w:r>
    </w:p>
    <w:p w14:paraId="6210C861" w14:textId="77777777" w:rsidR="006B2B68" w:rsidRPr="006B2B68" w:rsidRDefault="006B2B68" w:rsidP="006B2B68">
      <w:pPr>
        <w:spacing w:before="100" w:beforeAutospacing="1" w:after="100" w:afterAutospacing="1" w:line="360" w:lineRule="auto"/>
        <w:jc w:val="both"/>
        <w:rPr>
          <w:rFonts w:ascii="Arial" w:hAnsi="Arial" w:cs="Arial"/>
        </w:rPr>
      </w:pPr>
      <w:r w:rsidRPr="006B2B68">
        <w:rPr>
          <w:rFonts w:ascii="Arial" w:hAnsi="Arial" w:cs="Arial"/>
        </w:rPr>
        <w:t>Root growth inhibition (RGI) emerged as a particularly sensitive and statistically robust biomarker of cytotoxicity. Its strong correlation with additive concentration suggests that physiological parameters like root elongation can serve as early indicators of systemic cellular dysfunction. These patterns are especially relevant given their analogs in human biology, where rapidly dividing cells such as those in the gastrointestinal epithelium, reproductive tissues, and bone marrow are similarly susceptible to chemical stressors. Although genotoxic effects did not achieve statistical significance in all cases, the high correlation coefficients and consistent regression trends lend weight to the biological relevance of the findings, especially considering the limitations of sample size.</w:t>
      </w:r>
    </w:p>
    <w:p w14:paraId="38E4156B" w14:textId="77777777" w:rsidR="006B2B68" w:rsidRPr="006B2B68" w:rsidRDefault="006B2B68" w:rsidP="006B2B68">
      <w:pPr>
        <w:spacing w:before="100" w:beforeAutospacing="1" w:after="100" w:afterAutospacing="1" w:line="360" w:lineRule="auto"/>
        <w:jc w:val="both"/>
        <w:rPr>
          <w:rFonts w:ascii="Arial" w:hAnsi="Arial" w:cs="Arial"/>
        </w:rPr>
      </w:pPr>
      <w:r w:rsidRPr="006B2B68">
        <w:rPr>
          <w:rFonts w:ascii="Arial" w:hAnsi="Arial" w:cs="Arial"/>
        </w:rPr>
        <w:t>The results bear significant public health implications. In low and middle-income countries such as Nigeria, where regulatory frameworks are often under-enforced and the consumption of ultra-processed foods is rapidly increasing, the risk of chronic overexposure to food additives is considerable. The widespread and, in some cases, illicit use of additives like erythrosine in local snacks and beverages elevates concerns about cumulative toxicity. Vulnerable groups, including children, pregnant women, and individuals with pre-existing health conditions, are particularly at risk due to heightened metabolic demands and developmental sensitivity.</w:t>
      </w:r>
    </w:p>
    <w:p w14:paraId="21167E18" w14:textId="77777777" w:rsidR="006B2B68" w:rsidRPr="006B2B68" w:rsidRDefault="006B2B68" w:rsidP="006B2B68">
      <w:pPr>
        <w:spacing w:before="100" w:beforeAutospacing="1" w:after="100" w:afterAutospacing="1" w:line="360" w:lineRule="auto"/>
        <w:jc w:val="both"/>
        <w:rPr>
          <w:rFonts w:ascii="Arial" w:hAnsi="Arial" w:cs="Arial"/>
        </w:rPr>
      </w:pPr>
      <w:r w:rsidRPr="006B2B68">
        <w:rPr>
          <w:rFonts w:ascii="Arial" w:hAnsi="Arial" w:cs="Arial"/>
        </w:rPr>
        <w:t>This study reaffirms the value of the Allium cepa assay as a reliable, cost-effective, and ethically sound tool for the preliminary screening of food additive toxicity. Its findings support the integration of plant-based bioassays into national regulatory and public health monitoring frameworks, particularly for early detection of environmental and dietary toxicants in community settings.</w:t>
      </w:r>
    </w:p>
    <w:p w14:paraId="76F0187C" w14:textId="77777777" w:rsidR="00315186" w:rsidRPr="006B2B68" w:rsidRDefault="006B2B68" w:rsidP="006B2B68">
      <w:pPr>
        <w:spacing w:before="100" w:beforeAutospacing="1" w:after="100" w:afterAutospacing="1" w:line="360" w:lineRule="auto"/>
        <w:jc w:val="both"/>
        <w:rPr>
          <w:rFonts w:ascii="Arial" w:hAnsi="Arial" w:cs="Arial"/>
        </w:rPr>
      </w:pPr>
      <w:r w:rsidRPr="006B2B68">
        <w:rPr>
          <w:rFonts w:ascii="Arial" w:hAnsi="Arial" w:cs="Arial"/>
        </w:rPr>
        <w:lastRenderedPageBreak/>
        <w:t>In conclusion, there is a pressing need for stricter regulation of food additive use, including enforcement of transparent labeling, limitation of permissible concentrations, and increased consumer education. The evidence warrants precautionary public health measures and encourages further in vivo and clinical research to validate these experimental findings in human populations. Protecting public health in the face of increasing exposure to synthetic additives will require a multidisciplinary, science-driven approach rooted in preventive toxicology.</w:t>
      </w:r>
    </w:p>
    <w:p w14:paraId="73E84EF8" w14:textId="77777777" w:rsidR="00315186" w:rsidRPr="00315186" w:rsidRDefault="00315186" w:rsidP="00441B6F"/>
    <w:p w14:paraId="322A7F19"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235AB76D" w14:textId="77777777" w:rsidR="00860000" w:rsidRPr="00786D36" w:rsidRDefault="00860000" w:rsidP="00441B6F">
      <w:pPr>
        <w:pStyle w:val="ReferHead"/>
        <w:spacing w:after="0"/>
        <w:jc w:val="both"/>
        <w:rPr>
          <w:rFonts w:ascii="Arial" w:hAnsi="Arial" w:cs="Arial"/>
        </w:rPr>
      </w:pPr>
    </w:p>
    <w:p w14:paraId="6A3BA62A" w14:textId="77777777" w:rsidR="00860000" w:rsidRDefault="008B726E" w:rsidP="00441B6F">
      <w:pPr>
        <w:pStyle w:val="ReferHead"/>
        <w:spacing w:after="0"/>
        <w:jc w:val="both"/>
        <w:rPr>
          <w:rFonts w:ascii="Arial" w:hAnsi="Arial" w:cs="Arial"/>
          <w:b w:val="0"/>
          <w:caps w:val="0"/>
          <w:sz w:val="20"/>
        </w:rPr>
      </w:pPr>
      <w:r>
        <w:rPr>
          <w:rFonts w:ascii="Arial" w:hAnsi="Arial" w:cs="Arial"/>
          <w:b w:val="0"/>
          <w:caps w:val="0"/>
          <w:sz w:val="20"/>
        </w:rPr>
        <w:t>Authors have declared that no competing interests exist.</w:t>
      </w:r>
    </w:p>
    <w:p w14:paraId="0D6283BC" w14:textId="77777777" w:rsidR="00371FB6" w:rsidRDefault="00371FB6" w:rsidP="00441B6F">
      <w:pPr>
        <w:pStyle w:val="ReferHead"/>
        <w:spacing w:after="0"/>
        <w:jc w:val="both"/>
        <w:rPr>
          <w:rFonts w:ascii="Arial" w:hAnsi="Arial" w:cs="Arial"/>
          <w:b w:val="0"/>
          <w:caps w:val="0"/>
          <w:sz w:val="20"/>
        </w:rPr>
      </w:pPr>
    </w:p>
    <w:p w14:paraId="17647B0C" w14:textId="77777777" w:rsidR="00860000" w:rsidRDefault="00860000" w:rsidP="00441B6F">
      <w:pPr>
        <w:pStyle w:val="ReferHead"/>
        <w:spacing w:after="0"/>
        <w:jc w:val="both"/>
        <w:rPr>
          <w:rFonts w:ascii="Arial" w:hAnsi="Arial" w:cs="Arial"/>
        </w:rPr>
      </w:pPr>
    </w:p>
    <w:p w14:paraId="04D1343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8CD901A" w14:textId="77777777" w:rsidR="008B726E" w:rsidRDefault="008B726E" w:rsidP="008B726E">
      <w:pPr>
        <w:spacing w:line="360" w:lineRule="auto"/>
        <w:ind w:left="720" w:hanging="720"/>
        <w:rPr>
          <w:rFonts w:ascii="Arial" w:hAnsi="Arial" w:cs="Arial"/>
        </w:rPr>
      </w:pPr>
    </w:p>
    <w:p w14:paraId="311E1907" w14:textId="77777777" w:rsidR="008B726E" w:rsidRPr="008B726E" w:rsidRDefault="008B726E" w:rsidP="008B726E">
      <w:pPr>
        <w:spacing w:line="360" w:lineRule="auto"/>
        <w:ind w:left="720" w:hanging="720"/>
        <w:jc w:val="both"/>
        <w:rPr>
          <w:rFonts w:ascii="Arial" w:hAnsi="Arial" w:cs="Arial"/>
        </w:rPr>
      </w:pPr>
      <w:r w:rsidRPr="008B726E">
        <w:rPr>
          <w:rFonts w:ascii="Arial" w:hAnsi="Arial" w:cs="Arial"/>
        </w:rPr>
        <w:t xml:space="preserve">Abdullahi, M. I., Zubairu, M. M., Ahmed, A., &amp; Lawal, S. A. (2019). Histopathological and biochemical effects of monosodium glutamate on the liver and kidneys of adult Wistar rats. </w:t>
      </w:r>
      <w:r w:rsidRPr="008B726E">
        <w:rPr>
          <w:rFonts w:ascii="Arial" w:hAnsi="Arial" w:cs="Arial"/>
          <w:i/>
          <w:iCs/>
        </w:rPr>
        <w:t>Journal of Toxicological Research, 35</w:t>
      </w:r>
      <w:r w:rsidRPr="008B726E">
        <w:rPr>
          <w:rFonts w:ascii="Arial" w:hAnsi="Arial" w:cs="Arial"/>
        </w:rPr>
        <w:t xml:space="preserve">(4), 310–319. </w:t>
      </w:r>
      <w:hyperlink r:id="rId14" w:tgtFrame="_new" w:history="1">
        <w:r w:rsidRPr="008B726E">
          <w:rPr>
            <w:rStyle w:val="Hyperlink"/>
            <w:rFonts w:ascii="Arial" w:hAnsi="Arial" w:cs="Arial"/>
          </w:rPr>
          <w:t>https://doi.org/10.5487/TR.2019.35.4.310</w:t>
        </w:r>
      </w:hyperlink>
    </w:p>
    <w:p w14:paraId="6AB2E460" w14:textId="77777777" w:rsidR="008B726E" w:rsidRPr="008B726E" w:rsidRDefault="008B726E" w:rsidP="008B726E">
      <w:pPr>
        <w:spacing w:line="360" w:lineRule="auto"/>
        <w:ind w:left="720" w:hanging="720"/>
        <w:jc w:val="both"/>
        <w:rPr>
          <w:rFonts w:ascii="Arial" w:hAnsi="Arial" w:cs="Arial"/>
        </w:rPr>
      </w:pPr>
      <w:r w:rsidRPr="008B726E">
        <w:rPr>
          <w:rFonts w:ascii="Arial" w:hAnsi="Arial" w:cs="Arial"/>
        </w:rPr>
        <w:t xml:space="preserve">Adegoke, G. O., Olatunde, G. O., &amp; Adebayo-Tayo, B. C. (2022). Public health implications of food additives and colorants: A review of toxicological evidence. </w:t>
      </w:r>
      <w:r w:rsidRPr="008B726E">
        <w:rPr>
          <w:rFonts w:ascii="Arial" w:hAnsi="Arial" w:cs="Arial"/>
          <w:i/>
          <w:iCs/>
        </w:rPr>
        <w:t>Food Additives and Contaminants: Part A, 39</w:t>
      </w:r>
      <w:r w:rsidRPr="008B726E">
        <w:rPr>
          <w:rFonts w:ascii="Arial" w:hAnsi="Arial" w:cs="Arial"/>
        </w:rPr>
        <w:t xml:space="preserve">(7), 1119–1131. </w:t>
      </w:r>
      <w:hyperlink r:id="rId15" w:tgtFrame="_new" w:history="1">
        <w:r w:rsidRPr="008B726E">
          <w:rPr>
            <w:rStyle w:val="Hyperlink"/>
            <w:rFonts w:ascii="Arial" w:hAnsi="Arial" w:cs="Arial"/>
          </w:rPr>
          <w:t>https://doi.org/10.1080/19440049.2022.2050556</w:t>
        </w:r>
      </w:hyperlink>
    </w:p>
    <w:p w14:paraId="6BF037F9" w14:textId="77777777" w:rsidR="008B726E" w:rsidRPr="008B726E" w:rsidRDefault="008B726E" w:rsidP="008B726E">
      <w:pPr>
        <w:spacing w:line="360" w:lineRule="auto"/>
        <w:ind w:left="720" w:hanging="720"/>
        <w:jc w:val="both"/>
        <w:rPr>
          <w:rFonts w:ascii="Arial" w:hAnsi="Arial" w:cs="Arial"/>
        </w:rPr>
      </w:pPr>
      <w:r w:rsidRPr="008B726E">
        <w:rPr>
          <w:rFonts w:ascii="Arial" w:hAnsi="Arial" w:cs="Arial"/>
        </w:rPr>
        <w:t xml:space="preserve">Akinlabi, B. A., Omotayo, O. P., &amp; Ilesanmi, O. S. (2021). Illegal use of erythrosine and tartrazine in local beverages: A public health concern. </w:t>
      </w:r>
      <w:r w:rsidRPr="008B726E">
        <w:rPr>
          <w:rFonts w:ascii="Arial" w:hAnsi="Arial" w:cs="Arial"/>
          <w:i/>
          <w:iCs/>
        </w:rPr>
        <w:t>Nigerian Journal of Public Health, 8</w:t>
      </w:r>
      <w:r w:rsidRPr="008B726E">
        <w:rPr>
          <w:rFonts w:ascii="Arial" w:hAnsi="Arial" w:cs="Arial"/>
        </w:rPr>
        <w:t>(2), 102–110.</w:t>
      </w:r>
    </w:p>
    <w:p w14:paraId="79A04A62" w14:textId="77777777" w:rsidR="008B726E" w:rsidRPr="008B726E" w:rsidRDefault="008B726E" w:rsidP="008B726E">
      <w:pPr>
        <w:spacing w:line="360" w:lineRule="auto"/>
        <w:ind w:left="720" w:hanging="720"/>
        <w:jc w:val="both"/>
        <w:rPr>
          <w:rFonts w:ascii="Arial" w:hAnsi="Arial" w:cs="Arial"/>
        </w:rPr>
      </w:pPr>
      <w:r w:rsidRPr="008B726E">
        <w:rPr>
          <w:rFonts w:ascii="Arial" w:hAnsi="Arial" w:cs="Arial"/>
        </w:rPr>
        <w:t xml:space="preserve">Aleem, Y. N., &amp; Jasmine, M. S. (2021). Genotoxic and cytotoxic effects of food additives. </w:t>
      </w:r>
      <w:r w:rsidRPr="008B726E">
        <w:rPr>
          <w:rFonts w:ascii="Arial" w:hAnsi="Arial" w:cs="Arial"/>
          <w:i/>
          <w:iCs/>
        </w:rPr>
        <w:t>Journal of Cytology and Genetics, 22</w:t>
      </w:r>
      <w:r w:rsidRPr="008B726E">
        <w:rPr>
          <w:rFonts w:ascii="Arial" w:hAnsi="Arial" w:cs="Arial"/>
        </w:rPr>
        <w:t>(NS), 67–82.</w:t>
      </w:r>
    </w:p>
    <w:p w14:paraId="1552866B" w14:textId="77777777" w:rsidR="008B726E" w:rsidRPr="008B726E" w:rsidRDefault="008B726E" w:rsidP="008B726E">
      <w:pPr>
        <w:spacing w:line="360" w:lineRule="auto"/>
        <w:ind w:left="720" w:hanging="720"/>
        <w:jc w:val="both"/>
        <w:rPr>
          <w:rFonts w:ascii="Arial" w:hAnsi="Arial" w:cs="Arial"/>
        </w:rPr>
      </w:pPr>
      <w:r w:rsidRPr="008B726E">
        <w:rPr>
          <w:rFonts w:ascii="Arial" w:hAnsi="Arial" w:cs="Arial"/>
        </w:rPr>
        <w:t xml:space="preserve">Aleem, Y. N., Joseph, T. J., &amp; Shah, J. M. (2020). Mutagenicity assessment of sunset yellow on chromosomal aberrations and whole genome DNA strand breaks in </w:t>
      </w:r>
      <w:r w:rsidRPr="008B726E">
        <w:rPr>
          <w:rFonts w:ascii="Arial" w:hAnsi="Arial" w:cs="Arial"/>
          <w:i/>
          <w:iCs/>
        </w:rPr>
        <w:t>Allium cepa</w:t>
      </w:r>
      <w:r w:rsidRPr="008B726E">
        <w:rPr>
          <w:rFonts w:ascii="Arial" w:hAnsi="Arial" w:cs="Arial"/>
        </w:rPr>
        <w:t xml:space="preserve">. </w:t>
      </w:r>
      <w:r w:rsidRPr="008B726E">
        <w:rPr>
          <w:rFonts w:ascii="Arial" w:hAnsi="Arial" w:cs="Arial"/>
          <w:i/>
          <w:iCs/>
        </w:rPr>
        <w:t>Journal of Cytology and Genetics, 21</w:t>
      </w:r>
      <w:r w:rsidRPr="008B726E">
        <w:rPr>
          <w:rFonts w:ascii="Arial" w:hAnsi="Arial" w:cs="Arial"/>
        </w:rPr>
        <w:t>(NS), 121–129.</w:t>
      </w:r>
    </w:p>
    <w:p w14:paraId="19FB713E" w14:textId="77777777" w:rsidR="008B726E" w:rsidRPr="008B726E" w:rsidRDefault="008B726E" w:rsidP="008B726E">
      <w:pPr>
        <w:spacing w:line="360" w:lineRule="auto"/>
        <w:ind w:left="720" w:hanging="720"/>
        <w:jc w:val="both"/>
        <w:rPr>
          <w:rFonts w:ascii="Arial" w:hAnsi="Arial" w:cs="Arial"/>
        </w:rPr>
      </w:pPr>
      <w:proofErr w:type="spellStart"/>
      <w:r w:rsidRPr="008B726E">
        <w:rPr>
          <w:rFonts w:ascii="Arial" w:hAnsi="Arial" w:cs="Arial"/>
        </w:rPr>
        <w:t>Aşkin</w:t>
      </w:r>
      <w:proofErr w:type="spellEnd"/>
      <w:r w:rsidRPr="008B726E">
        <w:rPr>
          <w:rFonts w:ascii="Arial" w:hAnsi="Arial" w:cs="Arial"/>
        </w:rPr>
        <w:t xml:space="preserve"> </w:t>
      </w:r>
      <w:proofErr w:type="spellStart"/>
      <w:r w:rsidRPr="008B726E">
        <w:rPr>
          <w:rFonts w:ascii="Arial" w:hAnsi="Arial" w:cs="Arial"/>
        </w:rPr>
        <w:t>Çelik</w:t>
      </w:r>
      <w:proofErr w:type="spellEnd"/>
      <w:r w:rsidRPr="008B726E">
        <w:rPr>
          <w:rFonts w:ascii="Arial" w:hAnsi="Arial" w:cs="Arial"/>
        </w:rPr>
        <w:t xml:space="preserve">, T., &amp; </w:t>
      </w:r>
      <w:proofErr w:type="spellStart"/>
      <w:r w:rsidRPr="008B726E">
        <w:rPr>
          <w:rFonts w:ascii="Arial" w:hAnsi="Arial" w:cs="Arial"/>
        </w:rPr>
        <w:t>Aslantürk</w:t>
      </w:r>
      <w:proofErr w:type="spellEnd"/>
      <w:r w:rsidRPr="008B726E">
        <w:rPr>
          <w:rFonts w:ascii="Arial" w:hAnsi="Arial" w:cs="Arial"/>
        </w:rPr>
        <w:t xml:space="preserve">, Ö. S. (2010). Evaluation of cytotoxicity and genotoxicity of </w:t>
      </w:r>
      <w:proofErr w:type="spellStart"/>
      <w:r w:rsidRPr="008B726E">
        <w:rPr>
          <w:rFonts w:ascii="Arial" w:hAnsi="Arial" w:cs="Arial"/>
          <w:i/>
          <w:iCs/>
        </w:rPr>
        <w:t>Inula</w:t>
      </w:r>
      <w:proofErr w:type="spellEnd"/>
      <w:r w:rsidRPr="008B726E">
        <w:rPr>
          <w:rFonts w:ascii="Arial" w:hAnsi="Arial" w:cs="Arial"/>
          <w:i/>
          <w:iCs/>
        </w:rPr>
        <w:t xml:space="preserve"> </w:t>
      </w:r>
      <w:proofErr w:type="spellStart"/>
      <w:r w:rsidRPr="008B726E">
        <w:rPr>
          <w:rFonts w:ascii="Arial" w:hAnsi="Arial" w:cs="Arial"/>
          <w:i/>
          <w:iCs/>
        </w:rPr>
        <w:t>viscosa</w:t>
      </w:r>
      <w:proofErr w:type="spellEnd"/>
      <w:r w:rsidRPr="008B726E">
        <w:rPr>
          <w:rFonts w:ascii="Arial" w:hAnsi="Arial" w:cs="Arial"/>
        </w:rPr>
        <w:t xml:space="preserve"> leaf extracts with </w:t>
      </w:r>
      <w:r w:rsidRPr="008B726E">
        <w:rPr>
          <w:rFonts w:ascii="Arial" w:hAnsi="Arial" w:cs="Arial"/>
          <w:i/>
          <w:iCs/>
        </w:rPr>
        <w:t>the Allium</w:t>
      </w:r>
      <w:r w:rsidRPr="008B726E">
        <w:rPr>
          <w:rFonts w:ascii="Arial" w:hAnsi="Arial" w:cs="Arial"/>
        </w:rPr>
        <w:t xml:space="preserve"> test. </w:t>
      </w:r>
      <w:r w:rsidRPr="008B726E">
        <w:rPr>
          <w:rFonts w:ascii="Arial" w:hAnsi="Arial" w:cs="Arial"/>
          <w:i/>
          <w:iCs/>
        </w:rPr>
        <w:t>Journal of Biomedicine and Biotechnology, 2010</w:t>
      </w:r>
      <w:r w:rsidRPr="008B726E">
        <w:rPr>
          <w:rFonts w:ascii="Arial" w:hAnsi="Arial" w:cs="Arial"/>
        </w:rPr>
        <w:t>, Article 189252.</w:t>
      </w:r>
    </w:p>
    <w:p w14:paraId="5E341E1B" w14:textId="77777777" w:rsidR="008B726E" w:rsidRPr="008B726E" w:rsidRDefault="008B726E" w:rsidP="008B726E">
      <w:pPr>
        <w:spacing w:line="360" w:lineRule="auto"/>
        <w:ind w:left="720" w:hanging="720"/>
        <w:jc w:val="both"/>
        <w:rPr>
          <w:rFonts w:ascii="Arial" w:hAnsi="Arial" w:cs="Arial"/>
        </w:rPr>
      </w:pPr>
      <w:proofErr w:type="spellStart"/>
      <w:r w:rsidRPr="008B726E">
        <w:rPr>
          <w:rFonts w:ascii="Arial" w:hAnsi="Arial" w:cs="Arial"/>
        </w:rPr>
        <w:t>Bonciu</w:t>
      </w:r>
      <w:proofErr w:type="spellEnd"/>
      <w:r w:rsidRPr="008B726E">
        <w:rPr>
          <w:rFonts w:ascii="Arial" w:hAnsi="Arial" w:cs="Arial"/>
        </w:rPr>
        <w:t xml:space="preserve">, E. (2019). The role of cytogenetic tests in assessing the toxic potential of environmental pollutants in plants. </w:t>
      </w:r>
      <w:r w:rsidRPr="008B726E">
        <w:rPr>
          <w:rFonts w:ascii="Arial" w:hAnsi="Arial" w:cs="Arial"/>
          <w:i/>
          <w:iCs/>
        </w:rPr>
        <w:t>Journal of Environmental Protection and Ecology, 20</w:t>
      </w:r>
      <w:r w:rsidRPr="008B726E">
        <w:rPr>
          <w:rFonts w:ascii="Arial" w:hAnsi="Arial" w:cs="Arial"/>
        </w:rPr>
        <w:t>(2), 948–957.</w:t>
      </w:r>
    </w:p>
    <w:p w14:paraId="1073CFB2" w14:textId="77777777" w:rsidR="008B726E" w:rsidRPr="008B726E" w:rsidRDefault="008B726E" w:rsidP="008B726E">
      <w:pPr>
        <w:spacing w:line="360" w:lineRule="auto"/>
        <w:ind w:left="720" w:hanging="720"/>
        <w:jc w:val="both"/>
        <w:rPr>
          <w:rFonts w:ascii="Arial" w:hAnsi="Arial" w:cs="Arial"/>
        </w:rPr>
      </w:pPr>
      <w:proofErr w:type="spellStart"/>
      <w:r w:rsidRPr="008B726E">
        <w:rPr>
          <w:rFonts w:ascii="Arial" w:hAnsi="Arial" w:cs="Arial"/>
        </w:rPr>
        <w:t>Brusick</w:t>
      </w:r>
      <w:proofErr w:type="spellEnd"/>
      <w:r w:rsidRPr="008B726E">
        <w:rPr>
          <w:rFonts w:ascii="Arial" w:hAnsi="Arial" w:cs="Arial"/>
        </w:rPr>
        <w:t xml:space="preserve">, D., Auletta, A., &amp; Tice, R. R. (2018). Safety evaluation of sorbic acid and its salts. </w:t>
      </w:r>
      <w:r w:rsidRPr="008B726E">
        <w:rPr>
          <w:rFonts w:ascii="Arial" w:hAnsi="Arial" w:cs="Arial"/>
          <w:i/>
          <w:iCs/>
        </w:rPr>
        <w:t>Regulatory Toxicology and Pharmacology, 99</w:t>
      </w:r>
      <w:r w:rsidRPr="008B726E">
        <w:rPr>
          <w:rFonts w:ascii="Arial" w:hAnsi="Arial" w:cs="Arial"/>
        </w:rPr>
        <w:t xml:space="preserve">, 31–38. </w:t>
      </w:r>
      <w:hyperlink r:id="rId16" w:tgtFrame="_new" w:history="1">
        <w:r w:rsidRPr="008B726E">
          <w:rPr>
            <w:rStyle w:val="Hyperlink"/>
            <w:rFonts w:ascii="Arial" w:hAnsi="Arial" w:cs="Arial"/>
          </w:rPr>
          <w:t>https://doi.org/10.1016/j.yrtph.2018.08.001</w:t>
        </w:r>
      </w:hyperlink>
    </w:p>
    <w:p w14:paraId="45F3A9FE" w14:textId="77777777" w:rsidR="008B726E" w:rsidRPr="008B726E" w:rsidRDefault="008B726E" w:rsidP="008B726E">
      <w:pPr>
        <w:spacing w:line="360" w:lineRule="auto"/>
        <w:ind w:left="720" w:hanging="720"/>
        <w:jc w:val="both"/>
        <w:rPr>
          <w:rFonts w:ascii="Arial" w:hAnsi="Arial" w:cs="Arial"/>
        </w:rPr>
      </w:pPr>
      <w:proofErr w:type="spellStart"/>
      <w:r w:rsidRPr="008B726E">
        <w:rPr>
          <w:rFonts w:ascii="Arial" w:hAnsi="Arial" w:cs="Arial"/>
        </w:rPr>
        <w:t>Camparoto</w:t>
      </w:r>
      <w:proofErr w:type="spellEnd"/>
      <w:r w:rsidRPr="008B726E">
        <w:rPr>
          <w:rFonts w:ascii="Arial" w:hAnsi="Arial" w:cs="Arial"/>
        </w:rPr>
        <w:t xml:space="preserve">, M. L., Teixeira, R. O., Mantovani, M. S., &amp; </w:t>
      </w:r>
      <w:proofErr w:type="spellStart"/>
      <w:r w:rsidRPr="008B726E">
        <w:rPr>
          <w:rFonts w:ascii="Arial" w:hAnsi="Arial" w:cs="Arial"/>
        </w:rPr>
        <w:t>Vicentini</w:t>
      </w:r>
      <w:proofErr w:type="spellEnd"/>
      <w:r w:rsidRPr="008B726E">
        <w:rPr>
          <w:rFonts w:ascii="Arial" w:hAnsi="Arial" w:cs="Arial"/>
        </w:rPr>
        <w:t xml:space="preserve">, V. E. P. (2002). Effects of </w:t>
      </w:r>
      <w:proofErr w:type="spellStart"/>
      <w:r w:rsidRPr="008B726E">
        <w:rPr>
          <w:rFonts w:ascii="Arial" w:hAnsi="Arial" w:cs="Arial"/>
          <w:i/>
          <w:iCs/>
        </w:rPr>
        <w:t>Maytenus</w:t>
      </w:r>
      <w:proofErr w:type="spellEnd"/>
      <w:r w:rsidRPr="008B726E">
        <w:rPr>
          <w:rFonts w:ascii="Arial" w:hAnsi="Arial" w:cs="Arial"/>
          <w:i/>
          <w:iCs/>
        </w:rPr>
        <w:t xml:space="preserve"> </w:t>
      </w:r>
      <w:proofErr w:type="spellStart"/>
      <w:r w:rsidRPr="008B726E">
        <w:rPr>
          <w:rFonts w:ascii="Arial" w:hAnsi="Arial" w:cs="Arial"/>
          <w:i/>
          <w:iCs/>
        </w:rPr>
        <w:t>ilicifolia</w:t>
      </w:r>
      <w:proofErr w:type="spellEnd"/>
      <w:r w:rsidRPr="008B726E">
        <w:rPr>
          <w:rFonts w:ascii="Arial" w:hAnsi="Arial" w:cs="Arial"/>
        </w:rPr>
        <w:t xml:space="preserve"> Mart. And </w:t>
      </w:r>
      <w:r w:rsidRPr="008B726E">
        <w:rPr>
          <w:rFonts w:ascii="Arial" w:hAnsi="Arial" w:cs="Arial"/>
          <w:i/>
          <w:iCs/>
        </w:rPr>
        <w:t xml:space="preserve">Bauhinia </w:t>
      </w:r>
      <w:proofErr w:type="spellStart"/>
      <w:r w:rsidRPr="008B726E">
        <w:rPr>
          <w:rFonts w:ascii="Arial" w:hAnsi="Arial" w:cs="Arial"/>
          <w:i/>
          <w:iCs/>
        </w:rPr>
        <w:t>candicans</w:t>
      </w:r>
      <w:proofErr w:type="spellEnd"/>
      <w:r w:rsidRPr="008B726E">
        <w:rPr>
          <w:rFonts w:ascii="Arial" w:hAnsi="Arial" w:cs="Arial"/>
        </w:rPr>
        <w:t xml:space="preserve"> </w:t>
      </w:r>
      <w:proofErr w:type="spellStart"/>
      <w:r w:rsidRPr="008B726E">
        <w:rPr>
          <w:rFonts w:ascii="Arial" w:hAnsi="Arial" w:cs="Arial"/>
        </w:rPr>
        <w:t>Benth</w:t>
      </w:r>
      <w:proofErr w:type="spellEnd"/>
      <w:r w:rsidRPr="008B726E">
        <w:rPr>
          <w:rFonts w:ascii="Arial" w:hAnsi="Arial" w:cs="Arial"/>
        </w:rPr>
        <w:t xml:space="preserve"> infusions on onion root-tip and rat bone-marrow cells. </w:t>
      </w:r>
      <w:r w:rsidRPr="008B726E">
        <w:rPr>
          <w:rFonts w:ascii="Arial" w:hAnsi="Arial" w:cs="Arial"/>
          <w:i/>
          <w:iCs/>
        </w:rPr>
        <w:t>Genetics and Molecular Biology, 25</w:t>
      </w:r>
      <w:r w:rsidRPr="008B726E">
        <w:rPr>
          <w:rFonts w:ascii="Arial" w:hAnsi="Arial" w:cs="Arial"/>
        </w:rPr>
        <w:t>(1), 85–89.</w:t>
      </w:r>
    </w:p>
    <w:p w14:paraId="2FCD564F" w14:textId="77777777" w:rsidR="008B726E" w:rsidRPr="008B726E" w:rsidRDefault="008B726E" w:rsidP="008B726E">
      <w:pPr>
        <w:spacing w:line="360" w:lineRule="auto"/>
        <w:ind w:left="720" w:hanging="720"/>
        <w:jc w:val="both"/>
        <w:rPr>
          <w:rFonts w:ascii="Arial" w:hAnsi="Arial" w:cs="Arial"/>
        </w:rPr>
      </w:pPr>
      <w:proofErr w:type="spellStart"/>
      <w:r w:rsidRPr="008B726E">
        <w:rPr>
          <w:rFonts w:ascii="Arial" w:hAnsi="Arial" w:cs="Arial"/>
        </w:rPr>
        <w:t>Carocho</w:t>
      </w:r>
      <w:proofErr w:type="spellEnd"/>
      <w:r w:rsidRPr="008B726E">
        <w:rPr>
          <w:rFonts w:ascii="Arial" w:hAnsi="Arial" w:cs="Arial"/>
        </w:rPr>
        <w:t xml:space="preserve">, M., &amp; Barreiro, M. F. (2014). Adding molecules to food: Pros and cons—A review on synthetic and natural food additives. </w:t>
      </w:r>
      <w:r w:rsidRPr="008B726E">
        <w:rPr>
          <w:rFonts w:ascii="Arial" w:hAnsi="Arial" w:cs="Arial"/>
          <w:i/>
          <w:iCs/>
        </w:rPr>
        <w:t>Comprehensive Reviews in Food Science and Food Safety, 13</w:t>
      </w:r>
      <w:r w:rsidRPr="008B726E">
        <w:rPr>
          <w:rFonts w:ascii="Arial" w:hAnsi="Arial" w:cs="Arial"/>
        </w:rPr>
        <w:t>(4), 377–399.</w:t>
      </w:r>
    </w:p>
    <w:p w14:paraId="7374D0CA" w14:textId="77777777" w:rsidR="008B726E" w:rsidRPr="008B726E" w:rsidRDefault="008B726E" w:rsidP="008B726E">
      <w:pPr>
        <w:spacing w:line="360" w:lineRule="auto"/>
        <w:ind w:left="720" w:hanging="720"/>
        <w:jc w:val="both"/>
        <w:rPr>
          <w:rFonts w:ascii="Arial" w:hAnsi="Arial" w:cs="Arial"/>
        </w:rPr>
      </w:pPr>
      <w:proofErr w:type="spellStart"/>
      <w:r w:rsidRPr="008B726E">
        <w:rPr>
          <w:rFonts w:ascii="Arial" w:hAnsi="Arial" w:cs="Arial"/>
        </w:rPr>
        <w:t>Chequer</w:t>
      </w:r>
      <w:proofErr w:type="spellEnd"/>
      <w:r w:rsidRPr="008B726E">
        <w:rPr>
          <w:rFonts w:ascii="Arial" w:hAnsi="Arial" w:cs="Arial"/>
        </w:rPr>
        <w:t xml:space="preserve">, F. M. D., Venancio, V. P., Bianchi, M. L. P., &amp; Antunes, L. M. G. (2012). Genotoxic and mutagenic effects of erythrosine B, a xanthene food dye, on HepG2 cells. </w:t>
      </w:r>
      <w:r w:rsidRPr="008B726E">
        <w:rPr>
          <w:rFonts w:ascii="Arial" w:hAnsi="Arial" w:cs="Arial"/>
          <w:i/>
          <w:iCs/>
        </w:rPr>
        <w:t>Food and Chemical Toxicology, 50</w:t>
      </w:r>
      <w:r w:rsidRPr="008B726E">
        <w:rPr>
          <w:rFonts w:ascii="Arial" w:hAnsi="Arial" w:cs="Arial"/>
        </w:rPr>
        <w:t>(10), 3447–3451.</w:t>
      </w:r>
    </w:p>
    <w:p w14:paraId="637AC925" w14:textId="77777777" w:rsidR="008B726E" w:rsidRPr="008B726E" w:rsidRDefault="008B726E" w:rsidP="008B726E">
      <w:pPr>
        <w:spacing w:line="360" w:lineRule="auto"/>
        <w:ind w:left="720" w:hanging="720"/>
        <w:jc w:val="both"/>
        <w:rPr>
          <w:rFonts w:ascii="Arial" w:hAnsi="Arial" w:cs="Arial"/>
        </w:rPr>
      </w:pPr>
      <w:r w:rsidRPr="008B726E">
        <w:rPr>
          <w:rFonts w:ascii="Arial" w:hAnsi="Arial" w:cs="Arial"/>
        </w:rPr>
        <w:t xml:space="preserve">Emmanuella, C. I., Agu, P. N., </w:t>
      </w:r>
      <w:proofErr w:type="spellStart"/>
      <w:r w:rsidRPr="008B726E">
        <w:rPr>
          <w:rFonts w:ascii="Arial" w:hAnsi="Arial" w:cs="Arial"/>
        </w:rPr>
        <w:t>Olumuji</w:t>
      </w:r>
      <w:proofErr w:type="spellEnd"/>
      <w:r w:rsidRPr="008B726E">
        <w:rPr>
          <w:rFonts w:ascii="Arial" w:hAnsi="Arial" w:cs="Arial"/>
        </w:rPr>
        <w:t xml:space="preserve">, H. B., </w:t>
      </w:r>
      <w:proofErr w:type="spellStart"/>
      <w:r w:rsidRPr="008B726E">
        <w:rPr>
          <w:rFonts w:ascii="Arial" w:hAnsi="Arial" w:cs="Arial"/>
        </w:rPr>
        <w:t>Anagboso</w:t>
      </w:r>
      <w:proofErr w:type="spellEnd"/>
      <w:r w:rsidRPr="008B726E">
        <w:rPr>
          <w:rFonts w:ascii="Arial" w:hAnsi="Arial" w:cs="Arial"/>
        </w:rPr>
        <w:t xml:space="preserve">, M. O., Johnny, I. I., </w:t>
      </w:r>
      <w:proofErr w:type="spellStart"/>
      <w:r w:rsidRPr="008B726E">
        <w:rPr>
          <w:rFonts w:ascii="Arial" w:hAnsi="Arial" w:cs="Arial"/>
        </w:rPr>
        <w:t>Okokon</w:t>
      </w:r>
      <w:proofErr w:type="spellEnd"/>
      <w:r w:rsidRPr="008B726E">
        <w:rPr>
          <w:rFonts w:ascii="Arial" w:hAnsi="Arial" w:cs="Arial"/>
        </w:rPr>
        <w:t>, J. E., &amp; Ebong, N. O. (2024). Evaluation of genotoxic and cytotoxic activities of three vegetables (</w:t>
      </w:r>
      <w:proofErr w:type="spellStart"/>
      <w:r w:rsidRPr="008B726E">
        <w:rPr>
          <w:rFonts w:ascii="Arial" w:hAnsi="Arial" w:cs="Arial"/>
          <w:i/>
          <w:iCs/>
        </w:rPr>
        <w:t>Heinsia</w:t>
      </w:r>
      <w:proofErr w:type="spellEnd"/>
      <w:r w:rsidRPr="008B726E">
        <w:rPr>
          <w:rFonts w:ascii="Arial" w:hAnsi="Arial" w:cs="Arial"/>
          <w:i/>
          <w:iCs/>
        </w:rPr>
        <w:t xml:space="preserve"> </w:t>
      </w:r>
      <w:proofErr w:type="spellStart"/>
      <w:r w:rsidRPr="008B726E">
        <w:rPr>
          <w:rFonts w:ascii="Arial" w:hAnsi="Arial" w:cs="Arial"/>
          <w:i/>
          <w:iCs/>
        </w:rPr>
        <w:t>crinata</w:t>
      </w:r>
      <w:proofErr w:type="spellEnd"/>
      <w:r w:rsidRPr="008B726E">
        <w:rPr>
          <w:rFonts w:ascii="Arial" w:hAnsi="Arial" w:cs="Arial"/>
        </w:rPr>
        <w:t xml:space="preserve">, </w:t>
      </w:r>
      <w:r w:rsidRPr="008B726E">
        <w:rPr>
          <w:rFonts w:ascii="Arial" w:hAnsi="Arial" w:cs="Arial"/>
          <w:i/>
          <w:iCs/>
        </w:rPr>
        <w:t xml:space="preserve">Justicia </w:t>
      </w:r>
      <w:proofErr w:type="spellStart"/>
      <w:r w:rsidRPr="008B726E">
        <w:rPr>
          <w:rFonts w:ascii="Arial" w:hAnsi="Arial" w:cs="Arial"/>
          <w:i/>
          <w:iCs/>
        </w:rPr>
        <w:t>insularis</w:t>
      </w:r>
      <w:proofErr w:type="spellEnd"/>
      <w:r w:rsidRPr="008B726E">
        <w:rPr>
          <w:rFonts w:ascii="Arial" w:hAnsi="Arial" w:cs="Arial"/>
        </w:rPr>
        <w:t xml:space="preserve">, and </w:t>
      </w:r>
      <w:proofErr w:type="spellStart"/>
      <w:r w:rsidRPr="008B726E">
        <w:rPr>
          <w:rFonts w:ascii="Arial" w:hAnsi="Arial" w:cs="Arial"/>
          <w:i/>
          <w:iCs/>
        </w:rPr>
        <w:lastRenderedPageBreak/>
        <w:t>Lasianthera</w:t>
      </w:r>
      <w:proofErr w:type="spellEnd"/>
      <w:r w:rsidRPr="008B726E">
        <w:rPr>
          <w:rFonts w:ascii="Arial" w:hAnsi="Arial" w:cs="Arial"/>
          <w:i/>
          <w:iCs/>
        </w:rPr>
        <w:t xml:space="preserve"> </w:t>
      </w:r>
      <w:proofErr w:type="spellStart"/>
      <w:r w:rsidRPr="008B726E">
        <w:rPr>
          <w:rFonts w:ascii="Arial" w:hAnsi="Arial" w:cs="Arial"/>
          <w:i/>
          <w:iCs/>
        </w:rPr>
        <w:t>africana</w:t>
      </w:r>
      <w:proofErr w:type="spellEnd"/>
      <w:r w:rsidRPr="008B726E">
        <w:rPr>
          <w:rFonts w:ascii="Arial" w:hAnsi="Arial" w:cs="Arial"/>
        </w:rPr>
        <w:t xml:space="preserve">) using the </w:t>
      </w:r>
      <w:r w:rsidRPr="008B726E">
        <w:rPr>
          <w:rFonts w:ascii="Arial" w:hAnsi="Arial" w:cs="Arial"/>
          <w:i/>
          <w:iCs/>
        </w:rPr>
        <w:t>Allium cepa</w:t>
      </w:r>
      <w:r w:rsidRPr="008B726E">
        <w:rPr>
          <w:rFonts w:ascii="Arial" w:hAnsi="Arial" w:cs="Arial"/>
        </w:rPr>
        <w:t xml:space="preserve"> test. </w:t>
      </w:r>
      <w:r w:rsidRPr="008B726E">
        <w:rPr>
          <w:rFonts w:ascii="Arial" w:hAnsi="Arial" w:cs="Arial"/>
          <w:i/>
          <w:iCs/>
        </w:rPr>
        <w:t>Asian Journal of Biochemistry, Genetics and Molecular Biology, 16</w:t>
      </w:r>
      <w:r w:rsidRPr="008B726E">
        <w:rPr>
          <w:rFonts w:ascii="Arial" w:hAnsi="Arial" w:cs="Arial"/>
        </w:rPr>
        <w:t>(4), 10–20.</w:t>
      </w:r>
    </w:p>
    <w:p w14:paraId="788382B4" w14:textId="77777777" w:rsidR="008B726E" w:rsidRPr="008B726E" w:rsidRDefault="008B726E" w:rsidP="008B726E">
      <w:pPr>
        <w:spacing w:line="360" w:lineRule="auto"/>
        <w:ind w:left="720" w:hanging="720"/>
        <w:jc w:val="both"/>
        <w:rPr>
          <w:rFonts w:ascii="Arial" w:hAnsi="Arial" w:cs="Arial"/>
        </w:rPr>
      </w:pPr>
      <w:r w:rsidRPr="008B726E">
        <w:rPr>
          <w:rFonts w:ascii="Arial" w:hAnsi="Arial" w:cs="Arial"/>
        </w:rPr>
        <w:t xml:space="preserve">European Food Safety Authority (EFSA). (2020). Scientific opinion on the re-evaluation of sorbic acid (E200) and potassium sorbate (E202) as food additives. </w:t>
      </w:r>
      <w:r w:rsidRPr="008B726E">
        <w:rPr>
          <w:rFonts w:ascii="Arial" w:hAnsi="Arial" w:cs="Arial"/>
          <w:i/>
          <w:iCs/>
        </w:rPr>
        <w:t>EFSA Journal, 18</w:t>
      </w:r>
      <w:r w:rsidRPr="008B726E">
        <w:rPr>
          <w:rFonts w:ascii="Arial" w:hAnsi="Arial" w:cs="Arial"/>
        </w:rPr>
        <w:t xml:space="preserve">(2), e05928. </w:t>
      </w:r>
      <w:hyperlink r:id="rId17" w:tgtFrame="_new" w:history="1">
        <w:r w:rsidRPr="008B726E">
          <w:rPr>
            <w:rStyle w:val="Hyperlink"/>
            <w:rFonts w:ascii="Arial" w:hAnsi="Arial" w:cs="Arial"/>
          </w:rPr>
          <w:t>https://doi.org/10.2903/j.efsa.2020.5928</w:t>
        </w:r>
      </w:hyperlink>
    </w:p>
    <w:p w14:paraId="683A33AA" w14:textId="77777777" w:rsidR="008B726E" w:rsidRPr="008B726E" w:rsidRDefault="008B726E" w:rsidP="008B726E">
      <w:pPr>
        <w:spacing w:line="360" w:lineRule="auto"/>
        <w:ind w:left="720" w:hanging="720"/>
        <w:jc w:val="both"/>
        <w:rPr>
          <w:rFonts w:ascii="Arial" w:hAnsi="Arial" w:cs="Arial"/>
        </w:rPr>
      </w:pPr>
      <w:r w:rsidRPr="008B726E">
        <w:rPr>
          <w:rFonts w:ascii="Arial" w:hAnsi="Arial" w:cs="Arial"/>
        </w:rPr>
        <w:t xml:space="preserve">European Food Safety Authority (EFSA). (2021). Scientific opinion on the re-evaluation of erythrosine (E127) as a food additive. </w:t>
      </w:r>
      <w:r w:rsidRPr="008B726E">
        <w:rPr>
          <w:rFonts w:ascii="Arial" w:hAnsi="Arial" w:cs="Arial"/>
          <w:i/>
          <w:iCs/>
        </w:rPr>
        <w:t>EFSA Journal, 19</w:t>
      </w:r>
      <w:r w:rsidRPr="008B726E">
        <w:rPr>
          <w:rFonts w:ascii="Arial" w:hAnsi="Arial" w:cs="Arial"/>
        </w:rPr>
        <w:t xml:space="preserve">(1), e06349. </w:t>
      </w:r>
      <w:hyperlink r:id="rId18" w:tgtFrame="_new" w:history="1">
        <w:r w:rsidRPr="008B726E">
          <w:rPr>
            <w:rStyle w:val="Hyperlink"/>
            <w:rFonts w:ascii="Arial" w:hAnsi="Arial" w:cs="Arial"/>
          </w:rPr>
          <w:t>https://doi.org/10.2903/j.efsa.2021.6349</w:t>
        </w:r>
      </w:hyperlink>
    </w:p>
    <w:p w14:paraId="1BDCFFC4" w14:textId="77777777" w:rsidR="008B726E" w:rsidRPr="008B726E" w:rsidRDefault="008B726E" w:rsidP="008B726E">
      <w:pPr>
        <w:spacing w:line="360" w:lineRule="auto"/>
        <w:ind w:left="720" w:hanging="720"/>
        <w:jc w:val="both"/>
        <w:rPr>
          <w:rFonts w:ascii="Arial" w:hAnsi="Arial" w:cs="Arial"/>
        </w:rPr>
      </w:pPr>
      <w:r w:rsidRPr="008B726E">
        <w:rPr>
          <w:rFonts w:ascii="Arial" w:hAnsi="Arial" w:cs="Arial"/>
        </w:rPr>
        <w:t>Fenech, M., Kirsch-</w:t>
      </w:r>
      <w:proofErr w:type="spellStart"/>
      <w:r w:rsidRPr="008B726E">
        <w:rPr>
          <w:rFonts w:ascii="Arial" w:hAnsi="Arial" w:cs="Arial"/>
        </w:rPr>
        <w:t>Volders</w:t>
      </w:r>
      <w:proofErr w:type="spellEnd"/>
      <w:r w:rsidRPr="008B726E">
        <w:rPr>
          <w:rFonts w:ascii="Arial" w:hAnsi="Arial" w:cs="Arial"/>
        </w:rPr>
        <w:t xml:space="preserve">, M., Natarajan, A. T., </w:t>
      </w:r>
      <w:proofErr w:type="spellStart"/>
      <w:r w:rsidRPr="008B726E">
        <w:rPr>
          <w:rFonts w:ascii="Arial" w:hAnsi="Arial" w:cs="Arial"/>
        </w:rPr>
        <w:t>Surrallés</w:t>
      </w:r>
      <w:proofErr w:type="spellEnd"/>
      <w:r w:rsidRPr="008B726E">
        <w:rPr>
          <w:rFonts w:ascii="Arial" w:hAnsi="Arial" w:cs="Arial"/>
        </w:rPr>
        <w:t xml:space="preserve">, J., </w:t>
      </w:r>
      <w:proofErr w:type="spellStart"/>
      <w:r w:rsidRPr="008B726E">
        <w:rPr>
          <w:rFonts w:ascii="Arial" w:hAnsi="Arial" w:cs="Arial"/>
        </w:rPr>
        <w:t>Crott</w:t>
      </w:r>
      <w:proofErr w:type="spellEnd"/>
      <w:r w:rsidRPr="008B726E">
        <w:rPr>
          <w:rFonts w:ascii="Arial" w:hAnsi="Arial" w:cs="Arial"/>
        </w:rPr>
        <w:t xml:space="preserve">, J. W., Parry, J., &amp; </w:t>
      </w:r>
      <w:proofErr w:type="spellStart"/>
      <w:r w:rsidRPr="008B726E">
        <w:rPr>
          <w:rFonts w:ascii="Arial" w:hAnsi="Arial" w:cs="Arial"/>
        </w:rPr>
        <w:t>Bonassi</w:t>
      </w:r>
      <w:proofErr w:type="spellEnd"/>
      <w:r w:rsidRPr="008B726E">
        <w:rPr>
          <w:rFonts w:ascii="Arial" w:hAnsi="Arial" w:cs="Arial"/>
        </w:rPr>
        <w:t xml:space="preserve">, S. (2020). Molecular mechanisms and applications of the micronucleus, chromosomal aberration, and comet assays in toxicological studies. </w:t>
      </w:r>
      <w:r w:rsidRPr="008B726E">
        <w:rPr>
          <w:rFonts w:ascii="Arial" w:hAnsi="Arial" w:cs="Arial"/>
          <w:i/>
          <w:iCs/>
        </w:rPr>
        <w:t>Mutation Research/Reviews in Mutation Research, 783</w:t>
      </w:r>
      <w:r w:rsidRPr="008B726E">
        <w:rPr>
          <w:rFonts w:ascii="Arial" w:hAnsi="Arial" w:cs="Arial"/>
        </w:rPr>
        <w:t xml:space="preserve">, 108294. </w:t>
      </w:r>
      <w:hyperlink r:id="rId19" w:tgtFrame="_new" w:history="1">
        <w:r w:rsidRPr="008B726E">
          <w:rPr>
            <w:rStyle w:val="Hyperlink"/>
            <w:rFonts w:ascii="Arial" w:hAnsi="Arial" w:cs="Arial"/>
          </w:rPr>
          <w:t>https://doi.org/10.1016/j.mrrev.2019.108294</w:t>
        </w:r>
      </w:hyperlink>
    </w:p>
    <w:p w14:paraId="084CB11D" w14:textId="77777777" w:rsidR="008B726E" w:rsidRPr="008B726E" w:rsidRDefault="008B726E" w:rsidP="008B726E">
      <w:pPr>
        <w:spacing w:line="360" w:lineRule="auto"/>
        <w:ind w:left="720" w:hanging="720"/>
        <w:jc w:val="both"/>
        <w:rPr>
          <w:rFonts w:ascii="Arial" w:hAnsi="Arial" w:cs="Arial"/>
        </w:rPr>
      </w:pPr>
      <w:r w:rsidRPr="008B726E">
        <w:rPr>
          <w:rFonts w:ascii="Arial" w:hAnsi="Arial" w:cs="Arial"/>
        </w:rPr>
        <w:t xml:space="preserve">Gao, J., Liu, X., Xu, R., Zhang, L., &amp; Liu, Y. (2023). Genotoxicity assessment of food preservatives using yeast and human lymphocyte models. </w:t>
      </w:r>
      <w:r w:rsidRPr="008B726E">
        <w:rPr>
          <w:rFonts w:ascii="Arial" w:hAnsi="Arial" w:cs="Arial"/>
          <w:i/>
          <w:iCs/>
        </w:rPr>
        <w:t>Journal of Food Science, 88</w:t>
      </w:r>
      <w:r w:rsidRPr="008B726E">
        <w:rPr>
          <w:rFonts w:ascii="Arial" w:hAnsi="Arial" w:cs="Arial"/>
        </w:rPr>
        <w:t xml:space="preserve">(2), 654–663. </w:t>
      </w:r>
      <w:hyperlink r:id="rId20" w:tgtFrame="_new" w:history="1">
        <w:r w:rsidRPr="008B726E">
          <w:rPr>
            <w:rStyle w:val="Hyperlink"/>
            <w:rFonts w:ascii="Arial" w:hAnsi="Arial" w:cs="Arial"/>
          </w:rPr>
          <w:t>https://doi.org/10.1111/1750-3841.16105</w:t>
        </w:r>
      </w:hyperlink>
    </w:p>
    <w:p w14:paraId="01334DC7" w14:textId="77777777" w:rsidR="008B726E" w:rsidRPr="008B726E" w:rsidRDefault="008B726E" w:rsidP="008B726E">
      <w:pPr>
        <w:spacing w:line="360" w:lineRule="auto"/>
        <w:ind w:left="720" w:hanging="720"/>
        <w:jc w:val="both"/>
        <w:rPr>
          <w:rFonts w:ascii="Arial" w:hAnsi="Arial" w:cs="Arial"/>
        </w:rPr>
      </w:pPr>
      <w:r w:rsidRPr="008B726E">
        <w:rPr>
          <w:rFonts w:ascii="Arial" w:hAnsi="Arial" w:cs="Arial"/>
        </w:rPr>
        <w:t xml:space="preserve">Guo, X., Liu, F., Deng, J., Dai, P., Qin, Y., Li, Z., Wang, B., Fan, A., Wang, Z., &amp; Zhao, Y. (2020). Electron-accepting micelles deplete reduced nicotinamide adenine dinucleotide phosphate and impair two antioxidant cascades for ferroptosis-induced tumor eradication. </w:t>
      </w:r>
      <w:r w:rsidRPr="008B726E">
        <w:rPr>
          <w:rFonts w:ascii="Arial" w:hAnsi="Arial" w:cs="Arial"/>
          <w:i/>
          <w:iCs/>
        </w:rPr>
        <w:t>ACS Nano, 14</w:t>
      </w:r>
      <w:r w:rsidRPr="008B726E">
        <w:rPr>
          <w:rFonts w:ascii="Arial" w:hAnsi="Arial" w:cs="Arial"/>
        </w:rPr>
        <w:t>(11), 14715–14730. https://doi.org/10.1021/acsnano.0c00764</w:t>
      </w:r>
    </w:p>
    <w:p w14:paraId="283B6D2A" w14:textId="77777777" w:rsidR="008B726E" w:rsidRPr="008B726E" w:rsidRDefault="008B726E" w:rsidP="008B726E">
      <w:pPr>
        <w:spacing w:line="360" w:lineRule="auto"/>
        <w:ind w:left="720" w:hanging="720"/>
        <w:jc w:val="both"/>
        <w:rPr>
          <w:rFonts w:ascii="Arial" w:hAnsi="Arial" w:cs="Arial"/>
        </w:rPr>
      </w:pPr>
      <w:r w:rsidRPr="008B726E">
        <w:rPr>
          <w:rFonts w:ascii="Arial" w:hAnsi="Arial" w:cs="Arial"/>
        </w:rPr>
        <w:t xml:space="preserve">Horie, M., Fukui, H., Nishio, K., </w:t>
      </w:r>
      <w:proofErr w:type="spellStart"/>
      <w:r w:rsidRPr="008B726E">
        <w:rPr>
          <w:rFonts w:ascii="Arial" w:hAnsi="Arial" w:cs="Arial"/>
        </w:rPr>
        <w:t>Endoh</w:t>
      </w:r>
      <w:proofErr w:type="spellEnd"/>
      <w:r w:rsidRPr="008B726E">
        <w:rPr>
          <w:rFonts w:ascii="Arial" w:hAnsi="Arial" w:cs="Arial"/>
        </w:rPr>
        <w:t xml:space="preserve">, S., Kato, H., Fujita, K., Miyauchi, A., Nakamura, A., </w:t>
      </w:r>
      <w:proofErr w:type="spellStart"/>
      <w:r w:rsidRPr="008B726E">
        <w:rPr>
          <w:rFonts w:ascii="Arial" w:hAnsi="Arial" w:cs="Arial"/>
        </w:rPr>
        <w:t>Shichiri</w:t>
      </w:r>
      <w:proofErr w:type="spellEnd"/>
      <w:r w:rsidRPr="008B726E">
        <w:rPr>
          <w:rFonts w:ascii="Arial" w:hAnsi="Arial" w:cs="Arial"/>
        </w:rPr>
        <w:t xml:space="preserve">, M., Ishida, N., Kinugasa, S., Morimoto, Y., Niki, E., Yoshida, Y., &amp; Iwahashi, H. (2011). Evaluation of acute oxidative stress induced by </w:t>
      </w:r>
      <w:proofErr w:type="spellStart"/>
      <w:r w:rsidRPr="008B726E">
        <w:rPr>
          <w:rFonts w:ascii="Arial" w:hAnsi="Arial" w:cs="Arial"/>
        </w:rPr>
        <w:t>NiO</w:t>
      </w:r>
      <w:proofErr w:type="spellEnd"/>
      <w:r w:rsidRPr="008B726E">
        <w:rPr>
          <w:rFonts w:ascii="Arial" w:hAnsi="Arial" w:cs="Arial"/>
        </w:rPr>
        <w:t xml:space="preserve"> nanoparticles in vivo and in vitro. </w:t>
      </w:r>
      <w:r w:rsidRPr="008B726E">
        <w:rPr>
          <w:rFonts w:ascii="Arial" w:hAnsi="Arial" w:cs="Arial"/>
          <w:i/>
          <w:iCs/>
        </w:rPr>
        <w:t>Journal of Occupational Health, 53</w:t>
      </w:r>
      <w:r w:rsidRPr="008B726E">
        <w:rPr>
          <w:rFonts w:ascii="Arial" w:hAnsi="Arial" w:cs="Arial"/>
        </w:rPr>
        <w:t>, 64–74.</w:t>
      </w:r>
    </w:p>
    <w:p w14:paraId="0AD79BA2" w14:textId="77777777" w:rsidR="008B726E" w:rsidRPr="008B726E" w:rsidRDefault="008B726E" w:rsidP="008B726E">
      <w:pPr>
        <w:spacing w:line="360" w:lineRule="auto"/>
        <w:ind w:left="720" w:hanging="720"/>
        <w:jc w:val="both"/>
        <w:rPr>
          <w:rFonts w:ascii="Arial" w:hAnsi="Arial" w:cs="Arial"/>
        </w:rPr>
      </w:pPr>
      <w:r w:rsidRPr="008B726E">
        <w:rPr>
          <w:rFonts w:ascii="Arial" w:hAnsi="Arial" w:cs="Arial"/>
        </w:rPr>
        <w:t xml:space="preserve">Ige, A. O., Oni, J. B., &amp; </w:t>
      </w:r>
      <w:proofErr w:type="spellStart"/>
      <w:r w:rsidRPr="008B726E">
        <w:rPr>
          <w:rFonts w:ascii="Arial" w:hAnsi="Arial" w:cs="Arial"/>
        </w:rPr>
        <w:t>Adefolaju</w:t>
      </w:r>
      <w:proofErr w:type="spellEnd"/>
      <w:r w:rsidRPr="008B726E">
        <w:rPr>
          <w:rFonts w:ascii="Arial" w:hAnsi="Arial" w:cs="Arial"/>
        </w:rPr>
        <w:t xml:space="preserve">, G. A. (2020). Monosodium glutamate toxicity and mitochondrial dysfunction: A biochemical and histological study in rats. </w:t>
      </w:r>
      <w:proofErr w:type="spellStart"/>
      <w:r w:rsidRPr="008B726E">
        <w:rPr>
          <w:rFonts w:ascii="Arial" w:hAnsi="Arial" w:cs="Arial"/>
          <w:i/>
          <w:iCs/>
        </w:rPr>
        <w:t>Heliyon</w:t>
      </w:r>
      <w:proofErr w:type="spellEnd"/>
      <w:r w:rsidRPr="008B726E">
        <w:rPr>
          <w:rFonts w:ascii="Arial" w:hAnsi="Arial" w:cs="Arial"/>
          <w:i/>
          <w:iCs/>
        </w:rPr>
        <w:t>, 6</w:t>
      </w:r>
      <w:r w:rsidRPr="008B726E">
        <w:rPr>
          <w:rFonts w:ascii="Arial" w:hAnsi="Arial" w:cs="Arial"/>
        </w:rPr>
        <w:t xml:space="preserve">(6), e04157. </w:t>
      </w:r>
      <w:hyperlink r:id="rId21" w:tgtFrame="_new" w:history="1">
        <w:r w:rsidRPr="008B726E">
          <w:rPr>
            <w:rStyle w:val="Hyperlink"/>
            <w:rFonts w:ascii="Arial" w:hAnsi="Arial" w:cs="Arial"/>
          </w:rPr>
          <w:t>https://doi.org/10.1016/j.heliyon.2020.e04157</w:t>
        </w:r>
      </w:hyperlink>
    </w:p>
    <w:p w14:paraId="0C7A5DC0" w14:textId="77777777" w:rsidR="008B726E" w:rsidRPr="008B726E" w:rsidRDefault="008B726E" w:rsidP="008B726E">
      <w:pPr>
        <w:spacing w:line="360" w:lineRule="auto"/>
        <w:ind w:left="720" w:hanging="720"/>
        <w:jc w:val="both"/>
        <w:rPr>
          <w:rFonts w:ascii="Arial" w:hAnsi="Arial" w:cs="Arial"/>
        </w:rPr>
      </w:pPr>
      <w:r w:rsidRPr="008B726E">
        <w:rPr>
          <w:rFonts w:ascii="Arial" w:hAnsi="Arial" w:cs="Arial"/>
        </w:rPr>
        <w:t xml:space="preserve">Kim, S., Chen, J., Cheng, T., </w:t>
      </w:r>
      <w:proofErr w:type="spellStart"/>
      <w:r w:rsidRPr="008B726E">
        <w:rPr>
          <w:rFonts w:ascii="Arial" w:hAnsi="Arial" w:cs="Arial"/>
        </w:rPr>
        <w:t>Gindulyte</w:t>
      </w:r>
      <w:proofErr w:type="spellEnd"/>
      <w:r w:rsidRPr="008B726E">
        <w:rPr>
          <w:rFonts w:ascii="Arial" w:hAnsi="Arial" w:cs="Arial"/>
        </w:rPr>
        <w:t xml:space="preserve">, A., He, J., He, S., Li, Q., Shoemaker, B. A., Thiessen, P. A., Yu, B., Zaslavsky, L., Zhang, J., &amp; Bolton, E. E. (2019). PubChem 2019 update: Improved access to chemical data. </w:t>
      </w:r>
      <w:r w:rsidRPr="008B726E">
        <w:rPr>
          <w:rFonts w:ascii="Arial" w:hAnsi="Arial" w:cs="Arial"/>
          <w:i/>
          <w:iCs/>
        </w:rPr>
        <w:t>Nucleic Acids Research, 47</w:t>
      </w:r>
      <w:r w:rsidRPr="008B726E">
        <w:rPr>
          <w:rFonts w:ascii="Arial" w:hAnsi="Arial" w:cs="Arial"/>
        </w:rPr>
        <w:t>(D1), D1102–D1109. https://doi.org/10.1093/nar/gky1033</w:t>
      </w:r>
    </w:p>
    <w:p w14:paraId="4D6B39F2" w14:textId="77777777" w:rsidR="008B726E" w:rsidRPr="008B726E" w:rsidRDefault="008B726E" w:rsidP="008B726E">
      <w:pPr>
        <w:spacing w:line="360" w:lineRule="auto"/>
        <w:ind w:left="720" w:hanging="720"/>
        <w:jc w:val="both"/>
        <w:rPr>
          <w:rFonts w:ascii="Arial" w:hAnsi="Arial" w:cs="Arial"/>
        </w:rPr>
      </w:pPr>
      <w:r w:rsidRPr="008B726E">
        <w:rPr>
          <w:rFonts w:ascii="Arial" w:hAnsi="Arial" w:cs="Arial"/>
        </w:rPr>
        <w:t xml:space="preserve">Kibar, B., Aytekin, A., &amp; Gündüz, S. (2021). Cytotoxic and genotoxic effects of synthetic food dyes evaluated in </w:t>
      </w:r>
      <w:r w:rsidRPr="008B726E">
        <w:rPr>
          <w:rFonts w:ascii="Arial" w:hAnsi="Arial" w:cs="Arial"/>
          <w:i/>
          <w:iCs/>
        </w:rPr>
        <w:t>Allium cepa</w:t>
      </w:r>
      <w:r w:rsidRPr="008B726E">
        <w:rPr>
          <w:rFonts w:ascii="Arial" w:hAnsi="Arial" w:cs="Arial"/>
        </w:rPr>
        <w:t xml:space="preserve"> root meristematic cells. </w:t>
      </w:r>
      <w:r w:rsidRPr="008B726E">
        <w:rPr>
          <w:rFonts w:ascii="Arial" w:hAnsi="Arial" w:cs="Arial"/>
          <w:i/>
          <w:iCs/>
        </w:rPr>
        <w:t>Toxicology Reports, 8</w:t>
      </w:r>
      <w:r w:rsidRPr="008B726E">
        <w:rPr>
          <w:rFonts w:ascii="Arial" w:hAnsi="Arial" w:cs="Arial"/>
        </w:rPr>
        <w:t xml:space="preserve">, 186–195. </w:t>
      </w:r>
      <w:hyperlink r:id="rId22" w:tgtFrame="_new" w:history="1">
        <w:r w:rsidRPr="008B726E">
          <w:rPr>
            <w:rStyle w:val="Hyperlink"/>
            <w:rFonts w:ascii="Arial" w:hAnsi="Arial" w:cs="Arial"/>
          </w:rPr>
          <w:t>https://doi.org/10.1016/j.toxrep.2021.01.012</w:t>
        </w:r>
      </w:hyperlink>
    </w:p>
    <w:p w14:paraId="259ADB09" w14:textId="77777777" w:rsidR="008B726E" w:rsidRPr="008B726E" w:rsidRDefault="008B726E" w:rsidP="008B726E">
      <w:pPr>
        <w:spacing w:line="360" w:lineRule="auto"/>
        <w:ind w:left="720" w:hanging="720"/>
        <w:jc w:val="both"/>
        <w:rPr>
          <w:rFonts w:ascii="Arial" w:hAnsi="Arial" w:cs="Arial"/>
        </w:rPr>
      </w:pPr>
      <w:r w:rsidRPr="008B726E">
        <w:rPr>
          <w:rFonts w:ascii="Arial" w:hAnsi="Arial" w:cs="Arial"/>
        </w:rPr>
        <w:t xml:space="preserve">Leme, D. M., &amp; Marin-Morales, M. A. (2020). </w:t>
      </w:r>
      <w:r w:rsidRPr="008B726E">
        <w:rPr>
          <w:rFonts w:ascii="Arial" w:hAnsi="Arial" w:cs="Arial"/>
          <w:i/>
          <w:iCs/>
        </w:rPr>
        <w:t>Allium cepa</w:t>
      </w:r>
      <w:r w:rsidRPr="008B726E">
        <w:rPr>
          <w:rFonts w:ascii="Arial" w:hAnsi="Arial" w:cs="Arial"/>
        </w:rPr>
        <w:t xml:space="preserve"> test in environmental monitoring: A review on its application. </w:t>
      </w:r>
      <w:r w:rsidRPr="008B726E">
        <w:rPr>
          <w:rFonts w:ascii="Arial" w:hAnsi="Arial" w:cs="Arial"/>
          <w:i/>
          <w:iCs/>
        </w:rPr>
        <w:t>Mutation Research/Reviews in Mutation Research, 682</w:t>
      </w:r>
      <w:r w:rsidRPr="008B726E">
        <w:rPr>
          <w:rFonts w:ascii="Arial" w:hAnsi="Arial" w:cs="Arial"/>
        </w:rPr>
        <w:t>, 71–81. https://doi.org/10.1016/j.mrrev.2009.06.002</w:t>
      </w:r>
    </w:p>
    <w:p w14:paraId="40D1A975" w14:textId="77777777" w:rsidR="008B726E" w:rsidRPr="008B726E" w:rsidRDefault="008B726E" w:rsidP="008B726E">
      <w:pPr>
        <w:spacing w:line="360" w:lineRule="auto"/>
        <w:ind w:left="720" w:hanging="720"/>
        <w:jc w:val="both"/>
        <w:rPr>
          <w:rFonts w:ascii="Arial" w:hAnsi="Arial" w:cs="Arial"/>
        </w:rPr>
      </w:pPr>
      <w:r w:rsidRPr="008B726E">
        <w:rPr>
          <w:rFonts w:ascii="Arial" w:hAnsi="Arial" w:cs="Arial"/>
        </w:rPr>
        <w:t xml:space="preserve">Mehmood, Z., Saleem, U., Tahir, N., &amp; Rehman, M. U. (2021). Erythrosine-induced oxidative stress and apoptosis in rat liver: Role of glutathione. </w:t>
      </w:r>
      <w:r w:rsidRPr="008B726E">
        <w:rPr>
          <w:rFonts w:ascii="Arial" w:hAnsi="Arial" w:cs="Arial"/>
          <w:i/>
          <w:iCs/>
        </w:rPr>
        <w:t>Environmental Science and Pollution Research, 28</w:t>
      </w:r>
      <w:r w:rsidRPr="008B726E">
        <w:rPr>
          <w:rFonts w:ascii="Arial" w:hAnsi="Arial" w:cs="Arial"/>
        </w:rPr>
        <w:t xml:space="preserve">, 35612–35621. </w:t>
      </w:r>
      <w:hyperlink r:id="rId23" w:tgtFrame="_new" w:history="1">
        <w:r w:rsidRPr="008B726E">
          <w:rPr>
            <w:rStyle w:val="Hyperlink"/>
            <w:rFonts w:ascii="Arial" w:hAnsi="Arial" w:cs="Arial"/>
          </w:rPr>
          <w:t>https://doi.org/10.1007/s11356-021-13470-z</w:t>
        </w:r>
      </w:hyperlink>
    </w:p>
    <w:p w14:paraId="465EC864" w14:textId="77777777" w:rsidR="008B726E" w:rsidRPr="008B726E" w:rsidRDefault="008B726E" w:rsidP="008B726E">
      <w:pPr>
        <w:spacing w:line="360" w:lineRule="auto"/>
        <w:ind w:left="720" w:hanging="720"/>
        <w:jc w:val="both"/>
        <w:rPr>
          <w:rFonts w:ascii="Arial" w:hAnsi="Arial" w:cs="Arial"/>
        </w:rPr>
      </w:pPr>
      <w:r w:rsidRPr="008B726E">
        <w:rPr>
          <w:rFonts w:ascii="Arial" w:hAnsi="Arial" w:cs="Arial"/>
        </w:rPr>
        <w:t xml:space="preserve">Nair, R. R., Sreedharan, R., &amp; Thampan, R. V. (2019). Genotoxic effects of food colorants: An assessment in mouse bone marrow cells. </w:t>
      </w:r>
      <w:r w:rsidRPr="008B726E">
        <w:rPr>
          <w:rFonts w:ascii="Arial" w:hAnsi="Arial" w:cs="Arial"/>
          <w:i/>
          <w:iCs/>
        </w:rPr>
        <w:t>Asian Pacific Journal of Cancer Prevention, 20</w:t>
      </w:r>
      <w:r w:rsidRPr="008B726E">
        <w:rPr>
          <w:rFonts w:ascii="Arial" w:hAnsi="Arial" w:cs="Arial"/>
        </w:rPr>
        <w:t xml:space="preserve">(3), 789–794. </w:t>
      </w:r>
      <w:hyperlink r:id="rId24" w:tgtFrame="_new" w:history="1">
        <w:r w:rsidRPr="008B726E">
          <w:rPr>
            <w:rStyle w:val="Hyperlink"/>
            <w:rFonts w:ascii="Arial" w:hAnsi="Arial" w:cs="Arial"/>
          </w:rPr>
          <w:t>https://doi.org/10.31557/APJCP.2019.20.3.789</w:t>
        </w:r>
      </w:hyperlink>
    </w:p>
    <w:p w14:paraId="3D3A8AD5" w14:textId="77777777" w:rsidR="008B726E" w:rsidRPr="008B726E" w:rsidRDefault="008B726E" w:rsidP="008B726E">
      <w:pPr>
        <w:spacing w:line="360" w:lineRule="auto"/>
        <w:ind w:left="720" w:hanging="720"/>
        <w:jc w:val="both"/>
        <w:rPr>
          <w:rFonts w:ascii="Arial" w:hAnsi="Arial" w:cs="Arial"/>
        </w:rPr>
      </w:pPr>
      <w:proofErr w:type="spellStart"/>
      <w:r w:rsidRPr="008B726E">
        <w:rPr>
          <w:rFonts w:ascii="Arial" w:hAnsi="Arial" w:cs="Arial"/>
        </w:rPr>
        <w:t>Nwaogazie</w:t>
      </w:r>
      <w:proofErr w:type="spellEnd"/>
      <w:r w:rsidRPr="008B726E">
        <w:rPr>
          <w:rFonts w:ascii="Arial" w:hAnsi="Arial" w:cs="Arial"/>
        </w:rPr>
        <w:t xml:space="preserve">, I. L., </w:t>
      </w:r>
      <w:proofErr w:type="spellStart"/>
      <w:r w:rsidRPr="008B726E">
        <w:rPr>
          <w:rFonts w:ascii="Arial" w:hAnsi="Arial" w:cs="Arial"/>
        </w:rPr>
        <w:t>Ezenwaka</w:t>
      </w:r>
      <w:proofErr w:type="spellEnd"/>
      <w:r w:rsidRPr="008B726E">
        <w:rPr>
          <w:rFonts w:ascii="Arial" w:hAnsi="Arial" w:cs="Arial"/>
        </w:rPr>
        <w:t xml:space="preserve">, I. O., &amp; Chima, I. N. (2023). Health risks of synthetic food additives: A biochemical analysis in children’s diet in Nigeria. </w:t>
      </w:r>
      <w:r w:rsidRPr="008B726E">
        <w:rPr>
          <w:rFonts w:ascii="Arial" w:hAnsi="Arial" w:cs="Arial"/>
          <w:i/>
          <w:iCs/>
        </w:rPr>
        <w:t>African Journal of Biochemistry Research, 17</w:t>
      </w:r>
      <w:r w:rsidRPr="008B726E">
        <w:rPr>
          <w:rFonts w:ascii="Arial" w:hAnsi="Arial" w:cs="Arial"/>
        </w:rPr>
        <w:t xml:space="preserve">(3), 45–52. </w:t>
      </w:r>
      <w:hyperlink r:id="rId25" w:tgtFrame="_new" w:history="1">
        <w:r w:rsidRPr="008B726E">
          <w:rPr>
            <w:rStyle w:val="Hyperlink"/>
            <w:rFonts w:ascii="Arial" w:hAnsi="Arial" w:cs="Arial"/>
          </w:rPr>
          <w:t>https://doi.org/10.5897/AJBR2023.1187</w:t>
        </w:r>
      </w:hyperlink>
    </w:p>
    <w:p w14:paraId="09ECD371" w14:textId="77777777" w:rsidR="008B726E" w:rsidRPr="008B726E" w:rsidRDefault="008B726E" w:rsidP="008B726E">
      <w:pPr>
        <w:spacing w:line="360" w:lineRule="auto"/>
        <w:ind w:left="720" w:hanging="720"/>
        <w:jc w:val="both"/>
        <w:rPr>
          <w:rFonts w:ascii="Arial" w:hAnsi="Arial" w:cs="Arial"/>
        </w:rPr>
      </w:pPr>
      <w:proofErr w:type="spellStart"/>
      <w:r w:rsidRPr="008B726E">
        <w:rPr>
          <w:rFonts w:ascii="Arial" w:hAnsi="Arial" w:cs="Arial"/>
        </w:rPr>
        <w:t>Okokon</w:t>
      </w:r>
      <w:proofErr w:type="spellEnd"/>
      <w:r w:rsidRPr="008B726E">
        <w:rPr>
          <w:rFonts w:ascii="Arial" w:hAnsi="Arial" w:cs="Arial"/>
        </w:rPr>
        <w:t xml:space="preserve">, J. E., </w:t>
      </w:r>
      <w:proofErr w:type="spellStart"/>
      <w:r w:rsidRPr="008B726E">
        <w:rPr>
          <w:rFonts w:ascii="Arial" w:hAnsi="Arial" w:cs="Arial"/>
        </w:rPr>
        <w:t>Ochigbo</w:t>
      </w:r>
      <w:proofErr w:type="spellEnd"/>
      <w:r w:rsidRPr="008B726E">
        <w:rPr>
          <w:rFonts w:ascii="Arial" w:hAnsi="Arial" w:cs="Arial"/>
        </w:rPr>
        <w:t xml:space="preserve">, E. B., Johnny, I. I., </w:t>
      </w:r>
      <w:proofErr w:type="spellStart"/>
      <w:r w:rsidRPr="008B726E">
        <w:rPr>
          <w:rFonts w:ascii="Arial" w:hAnsi="Arial" w:cs="Arial"/>
        </w:rPr>
        <w:t>Anagboso</w:t>
      </w:r>
      <w:proofErr w:type="spellEnd"/>
      <w:r w:rsidRPr="008B726E">
        <w:rPr>
          <w:rFonts w:ascii="Arial" w:hAnsi="Arial" w:cs="Arial"/>
        </w:rPr>
        <w:t xml:space="preserve">, M. O., &amp; Ebong, N. O. (2023). Genotoxic and cytotoxic activities of leaf extract of </w:t>
      </w:r>
      <w:proofErr w:type="spellStart"/>
      <w:r w:rsidRPr="008B726E">
        <w:rPr>
          <w:rFonts w:ascii="Arial" w:hAnsi="Arial" w:cs="Arial"/>
          <w:i/>
          <w:iCs/>
        </w:rPr>
        <w:t>Setaria</w:t>
      </w:r>
      <w:proofErr w:type="spellEnd"/>
      <w:r w:rsidRPr="008B726E">
        <w:rPr>
          <w:rFonts w:ascii="Arial" w:hAnsi="Arial" w:cs="Arial"/>
          <w:i/>
          <w:iCs/>
        </w:rPr>
        <w:t xml:space="preserve"> </w:t>
      </w:r>
      <w:proofErr w:type="spellStart"/>
      <w:r w:rsidRPr="008B726E">
        <w:rPr>
          <w:rFonts w:ascii="Arial" w:hAnsi="Arial" w:cs="Arial"/>
          <w:i/>
          <w:iCs/>
        </w:rPr>
        <w:t>megaphylla</w:t>
      </w:r>
      <w:proofErr w:type="spellEnd"/>
      <w:r w:rsidRPr="008B726E">
        <w:rPr>
          <w:rFonts w:ascii="Arial" w:hAnsi="Arial" w:cs="Arial"/>
        </w:rPr>
        <w:t xml:space="preserve">. </w:t>
      </w:r>
      <w:r w:rsidRPr="008B726E">
        <w:rPr>
          <w:rFonts w:ascii="Arial" w:hAnsi="Arial" w:cs="Arial"/>
          <w:i/>
          <w:iCs/>
        </w:rPr>
        <w:t>Asian Journal of Biochemistry, Genetics and Molecular Biology, 15</w:t>
      </w:r>
      <w:r w:rsidRPr="008B726E">
        <w:rPr>
          <w:rFonts w:ascii="Arial" w:hAnsi="Arial" w:cs="Arial"/>
        </w:rPr>
        <w:t>(3), 56–64.</w:t>
      </w:r>
    </w:p>
    <w:p w14:paraId="5D784328" w14:textId="77777777" w:rsidR="008B726E" w:rsidRPr="008B726E" w:rsidRDefault="008B726E" w:rsidP="008B726E">
      <w:pPr>
        <w:spacing w:line="360" w:lineRule="auto"/>
        <w:ind w:left="720" w:hanging="720"/>
        <w:jc w:val="both"/>
        <w:rPr>
          <w:rFonts w:ascii="Arial" w:hAnsi="Arial" w:cs="Arial"/>
        </w:rPr>
      </w:pPr>
      <w:r w:rsidRPr="008B726E">
        <w:rPr>
          <w:rFonts w:ascii="Arial" w:hAnsi="Arial" w:cs="Arial"/>
        </w:rPr>
        <w:t xml:space="preserve">Roede, J. R., &amp; Miller, G. W. (2014). Diquat. In </w:t>
      </w:r>
      <w:r w:rsidRPr="008B726E">
        <w:rPr>
          <w:rFonts w:ascii="Arial" w:hAnsi="Arial" w:cs="Arial"/>
          <w:i/>
          <w:iCs/>
        </w:rPr>
        <w:t>Encyclopedia of Toxicology</w:t>
      </w:r>
      <w:r w:rsidRPr="008B726E">
        <w:rPr>
          <w:rFonts w:ascii="Arial" w:hAnsi="Arial" w:cs="Arial"/>
        </w:rPr>
        <w:t xml:space="preserve"> (Vol. 2, pp. 202–204). Elsevier.</w:t>
      </w:r>
    </w:p>
    <w:p w14:paraId="69B53CB5" w14:textId="77777777" w:rsidR="008B726E" w:rsidRPr="008B726E" w:rsidRDefault="008B726E" w:rsidP="008B726E">
      <w:pPr>
        <w:spacing w:line="360" w:lineRule="auto"/>
        <w:ind w:left="720" w:hanging="720"/>
        <w:jc w:val="both"/>
        <w:rPr>
          <w:rFonts w:ascii="Arial" w:hAnsi="Arial" w:cs="Arial"/>
        </w:rPr>
      </w:pPr>
      <w:proofErr w:type="spellStart"/>
      <w:r w:rsidRPr="008B726E">
        <w:rPr>
          <w:rFonts w:ascii="Arial" w:hAnsi="Arial" w:cs="Arial"/>
        </w:rPr>
        <w:lastRenderedPageBreak/>
        <w:t>Soodan</w:t>
      </w:r>
      <w:proofErr w:type="spellEnd"/>
      <w:r w:rsidRPr="008B726E">
        <w:rPr>
          <w:rFonts w:ascii="Arial" w:hAnsi="Arial" w:cs="Arial"/>
        </w:rPr>
        <w:t xml:space="preserve">, R., </w:t>
      </w:r>
      <w:proofErr w:type="spellStart"/>
      <w:r w:rsidRPr="008B726E">
        <w:rPr>
          <w:rFonts w:ascii="Arial" w:hAnsi="Arial" w:cs="Arial"/>
        </w:rPr>
        <w:t>Katnoria</w:t>
      </w:r>
      <w:proofErr w:type="spellEnd"/>
      <w:r w:rsidRPr="008B726E">
        <w:rPr>
          <w:rFonts w:ascii="Arial" w:hAnsi="Arial" w:cs="Arial"/>
        </w:rPr>
        <w:t xml:space="preserve">, J., &amp; Nagpal, A. (2014). </w:t>
      </w:r>
      <w:r w:rsidRPr="008B726E">
        <w:rPr>
          <w:rFonts w:ascii="Arial" w:hAnsi="Arial" w:cs="Arial"/>
          <w:i/>
          <w:iCs/>
        </w:rPr>
        <w:t>Allium cepa</w:t>
      </w:r>
      <w:r w:rsidRPr="008B726E">
        <w:rPr>
          <w:rFonts w:ascii="Arial" w:hAnsi="Arial" w:cs="Arial"/>
        </w:rPr>
        <w:t xml:space="preserve"> root chromosomal aberration assay: An efficient test system for evaluating genotoxicity of agricultural soil. </w:t>
      </w:r>
      <w:r w:rsidRPr="008B726E">
        <w:rPr>
          <w:rFonts w:ascii="Arial" w:hAnsi="Arial" w:cs="Arial"/>
          <w:i/>
          <w:iCs/>
        </w:rPr>
        <w:t>International Journal of Science and Research, 3</w:t>
      </w:r>
      <w:r w:rsidRPr="008B726E">
        <w:rPr>
          <w:rFonts w:ascii="Arial" w:hAnsi="Arial" w:cs="Arial"/>
        </w:rPr>
        <w:t>(8), 245–250.</w:t>
      </w:r>
    </w:p>
    <w:p w14:paraId="68E6CA29" w14:textId="77777777" w:rsidR="008B726E" w:rsidRPr="008B726E" w:rsidRDefault="008B726E" w:rsidP="008B726E">
      <w:pPr>
        <w:spacing w:line="360" w:lineRule="auto"/>
        <w:ind w:left="720" w:hanging="720"/>
        <w:jc w:val="both"/>
        <w:rPr>
          <w:rFonts w:ascii="Arial" w:hAnsi="Arial" w:cs="Arial"/>
        </w:rPr>
      </w:pPr>
      <w:r w:rsidRPr="008B726E">
        <w:rPr>
          <w:rFonts w:ascii="Arial" w:hAnsi="Arial" w:cs="Arial"/>
        </w:rPr>
        <w:t xml:space="preserve">World Health Organization (WHO). (2023). </w:t>
      </w:r>
      <w:r w:rsidRPr="008B726E">
        <w:rPr>
          <w:rFonts w:ascii="Arial" w:hAnsi="Arial" w:cs="Arial"/>
          <w:i/>
          <w:iCs/>
        </w:rPr>
        <w:t>Toxicological evaluation of food additives: Report of the Joint FAO/WHO Expert Committee on Food Additives</w:t>
      </w:r>
      <w:r w:rsidRPr="008B726E">
        <w:rPr>
          <w:rFonts w:ascii="Arial" w:hAnsi="Arial" w:cs="Arial"/>
        </w:rPr>
        <w:t>. (WHO Technical Report Series No. 1056).</w:t>
      </w:r>
    </w:p>
    <w:p w14:paraId="78E68200" w14:textId="77777777" w:rsidR="00441B6F" w:rsidRDefault="00441B6F" w:rsidP="00441B6F">
      <w:pPr>
        <w:pStyle w:val="Body"/>
        <w:spacing w:after="0"/>
        <w:jc w:val="left"/>
        <w:rPr>
          <w:rFonts w:ascii="Arial" w:hAnsi="Arial" w:cs="Arial"/>
        </w:rPr>
      </w:pPr>
    </w:p>
    <w:p w14:paraId="3E16248C" w14:textId="77777777" w:rsidR="00B01FCD" w:rsidRPr="00FB3A86" w:rsidRDefault="00B01FCD" w:rsidP="00441B6F">
      <w:pPr>
        <w:pStyle w:val="Reference"/>
        <w:numPr>
          <w:ilvl w:val="0"/>
          <w:numId w:val="0"/>
        </w:numPr>
        <w:spacing w:line="240" w:lineRule="auto"/>
        <w:rPr>
          <w:rFonts w:ascii="Arial" w:hAnsi="Arial" w:cs="Arial"/>
        </w:rPr>
      </w:pPr>
    </w:p>
    <w:p w14:paraId="7284F416" w14:textId="77777777" w:rsidR="00B01FCD" w:rsidRPr="00FB3A86" w:rsidRDefault="00B01FCD" w:rsidP="00441B6F">
      <w:pPr>
        <w:pStyle w:val="Appendix"/>
        <w:spacing w:after="0"/>
        <w:jc w:val="both"/>
        <w:rPr>
          <w:rFonts w:ascii="Arial" w:hAnsi="Arial" w:cs="Arial"/>
          <w:b w:val="0"/>
        </w:rPr>
      </w:pPr>
    </w:p>
    <w:sectPr w:rsidR="00B01FCD" w:rsidRPr="00FB3A86" w:rsidSect="00674513">
      <w:headerReference w:type="even" r:id="rId26"/>
      <w:headerReference w:type="default" r:id="rId27"/>
      <w:footerReference w:type="default" r:id="rId28"/>
      <w:headerReference w:type="first" r:id="rId2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E2001" w14:textId="77777777" w:rsidR="00581571" w:rsidRDefault="00581571" w:rsidP="00C37E61">
      <w:r>
        <w:separator/>
      </w:r>
    </w:p>
  </w:endnote>
  <w:endnote w:type="continuationSeparator" w:id="0">
    <w:p w14:paraId="24A8FCC4" w14:textId="77777777" w:rsidR="00581571" w:rsidRDefault="0058157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65791" w14:textId="77777777" w:rsidR="00674513" w:rsidRDefault="006745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F7D08" w14:textId="77777777" w:rsidR="00674513" w:rsidRDefault="006745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2E0A3" w14:textId="21EE5496" w:rsidR="00754C9A" w:rsidRPr="00674513" w:rsidRDefault="00754C9A" w:rsidP="00674513">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FF53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453C8" w14:textId="77777777" w:rsidR="00581571" w:rsidRDefault="00581571" w:rsidP="00C37E61">
      <w:r>
        <w:separator/>
      </w:r>
    </w:p>
  </w:footnote>
  <w:footnote w:type="continuationSeparator" w:id="0">
    <w:p w14:paraId="6B95052E" w14:textId="77777777" w:rsidR="00581571" w:rsidRDefault="0058157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3025F" w14:textId="1B11CBFE" w:rsidR="00674513" w:rsidRDefault="00674513">
    <w:pPr>
      <w:pStyle w:val="Header"/>
    </w:pPr>
    <w:r>
      <w:rPr>
        <w:noProof/>
      </w:rPr>
      <w:pict w14:anchorId="2E15F2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52248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8DF4A" w14:textId="1DD1E903" w:rsidR="00674513" w:rsidRDefault="00674513">
    <w:pPr>
      <w:pStyle w:val="Header"/>
    </w:pPr>
    <w:r>
      <w:rPr>
        <w:noProof/>
      </w:rPr>
      <w:pict w14:anchorId="32F937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52248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45F75" w14:textId="0605205B" w:rsidR="00296529" w:rsidRPr="00296529" w:rsidRDefault="00674513" w:rsidP="00296529">
    <w:pPr>
      <w:ind w:left="2160"/>
      <w:jc w:val="center"/>
      <w:rPr>
        <w:rFonts w:ascii="Times New Roman" w:eastAsia="Calibri" w:hAnsi="Times New Roman"/>
        <w:i/>
        <w:sz w:val="18"/>
        <w:szCs w:val="22"/>
      </w:rPr>
    </w:pPr>
    <w:r>
      <w:rPr>
        <w:noProof/>
      </w:rPr>
      <w:pict w14:anchorId="49B028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522484"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3EED59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C858DC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A9DB9E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FF2ABB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BB3480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7E0052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A18A2" w14:textId="58A77518" w:rsidR="00674513" w:rsidRDefault="00674513">
    <w:pPr>
      <w:pStyle w:val="Header"/>
    </w:pPr>
    <w:r>
      <w:rPr>
        <w:noProof/>
      </w:rPr>
      <w:pict w14:anchorId="592E19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522488"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1590A" w14:textId="5575076B" w:rsidR="00674513" w:rsidRDefault="00674513">
    <w:pPr>
      <w:pStyle w:val="Header"/>
    </w:pPr>
    <w:r>
      <w:rPr>
        <w:noProof/>
      </w:rPr>
      <w:pict w14:anchorId="7518DA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522489"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BD32B" w14:textId="153D2F62" w:rsidR="00674513" w:rsidRDefault="00674513">
    <w:pPr>
      <w:pStyle w:val="Header"/>
    </w:pPr>
    <w:r>
      <w:rPr>
        <w:noProof/>
      </w:rPr>
      <w:pict w14:anchorId="41F5FE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522487"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5BA7"/>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E3BB2"/>
    <w:rsid w:val="00315186"/>
    <w:rsid w:val="0033343E"/>
    <w:rsid w:val="003512C2"/>
    <w:rsid w:val="00361A07"/>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E064D"/>
    <w:rsid w:val="00502516"/>
    <w:rsid w:val="0050424B"/>
    <w:rsid w:val="00505F06"/>
    <w:rsid w:val="00506828"/>
    <w:rsid w:val="0053056E"/>
    <w:rsid w:val="00554FDA"/>
    <w:rsid w:val="00581571"/>
    <w:rsid w:val="005C784C"/>
    <w:rsid w:val="005D17F6"/>
    <w:rsid w:val="005E5539"/>
    <w:rsid w:val="00602BF5"/>
    <w:rsid w:val="00617FDD"/>
    <w:rsid w:val="00633614"/>
    <w:rsid w:val="00633F68"/>
    <w:rsid w:val="00636EB2"/>
    <w:rsid w:val="006375B8"/>
    <w:rsid w:val="0066510A"/>
    <w:rsid w:val="00673F9F"/>
    <w:rsid w:val="006742B3"/>
    <w:rsid w:val="00674513"/>
    <w:rsid w:val="00686953"/>
    <w:rsid w:val="00687DEA"/>
    <w:rsid w:val="00687E67"/>
    <w:rsid w:val="006967F7"/>
    <w:rsid w:val="006A250C"/>
    <w:rsid w:val="006B21D3"/>
    <w:rsid w:val="006B2B68"/>
    <w:rsid w:val="006B57D0"/>
    <w:rsid w:val="006D30FF"/>
    <w:rsid w:val="006D6940"/>
    <w:rsid w:val="006F11EC"/>
    <w:rsid w:val="0070082C"/>
    <w:rsid w:val="007369E6"/>
    <w:rsid w:val="00746E59"/>
    <w:rsid w:val="00754C9A"/>
    <w:rsid w:val="0075599A"/>
    <w:rsid w:val="00761D52"/>
    <w:rsid w:val="0077749E"/>
    <w:rsid w:val="00790ADA"/>
    <w:rsid w:val="007C20B3"/>
    <w:rsid w:val="007D2288"/>
    <w:rsid w:val="007E088F"/>
    <w:rsid w:val="007F7B32"/>
    <w:rsid w:val="00804BC2"/>
    <w:rsid w:val="0081431A"/>
    <w:rsid w:val="0083216F"/>
    <w:rsid w:val="00860000"/>
    <w:rsid w:val="00863BD3"/>
    <w:rsid w:val="008641ED"/>
    <w:rsid w:val="00866D66"/>
    <w:rsid w:val="008671C6"/>
    <w:rsid w:val="00875803"/>
    <w:rsid w:val="008B459E"/>
    <w:rsid w:val="008B726E"/>
    <w:rsid w:val="008E13AE"/>
    <w:rsid w:val="008E1506"/>
    <w:rsid w:val="008E710C"/>
    <w:rsid w:val="008F69D6"/>
    <w:rsid w:val="00902823"/>
    <w:rsid w:val="00915CA6"/>
    <w:rsid w:val="00927834"/>
    <w:rsid w:val="009500A6"/>
    <w:rsid w:val="00954B6D"/>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36096"/>
    <w:rsid w:val="00B52583"/>
    <w:rsid w:val="00B52896"/>
    <w:rsid w:val="00B77AB5"/>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E7CEC"/>
    <w:rsid w:val="00CF193C"/>
    <w:rsid w:val="00D173F1"/>
    <w:rsid w:val="00D74CB0"/>
    <w:rsid w:val="00D8295D"/>
    <w:rsid w:val="00DC2A65"/>
    <w:rsid w:val="00DE15F0"/>
    <w:rsid w:val="00DE5663"/>
    <w:rsid w:val="00DE78AA"/>
    <w:rsid w:val="00E0179C"/>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D699F8E"/>
  <w15:docId w15:val="{38B9D8FA-21F4-48FD-B672-8BFFC5B1A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4">
    <w:name w:val="heading 4"/>
    <w:basedOn w:val="Normal"/>
    <w:next w:val="Normal"/>
    <w:link w:val="Heading4Char"/>
    <w:uiPriority w:val="9"/>
    <w:semiHidden/>
    <w:unhideWhenUsed/>
    <w:qFormat/>
    <w:rsid w:val="0050424B"/>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B36096"/>
    <w:pPr>
      <w:spacing w:before="100" w:beforeAutospacing="1" w:after="100" w:afterAutospacing="1"/>
    </w:pPr>
    <w:rPr>
      <w:rFonts w:ascii="Times New Roman" w:hAnsi="Times New Roman"/>
      <w:sz w:val="24"/>
      <w:szCs w:val="24"/>
    </w:rPr>
  </w:style>
  <w:style w:type="character" w:customStyle="1" w:styleId="Heading4Char">
    <w:name w:val="Heading 4 Char"/>
    <w:basedOn w:val="DefaultParagraphFont"/>
    <w:link w:val="Heading4"/>
    <w:uiPriority w:val="9"/>
    <w:semiHidden/>
    <w:rsid w:val="0050424B"/>
    <w:rPr>
      <w:rFonts w:asciiTheme="majorHAnsi" w:eastAsiaTheme="majorEastAsia" w:hAnsiTheme="majorHAnsi" w:cstheme="majorBidi"/>
      <w:b/>
      <w:bCs/>
      <w:i/>
      <w:iCs/>
      <w:color w:val="4F81BD" w:themeColor="accent1"/>
      <w:sz w:val="22"/>
      <w:szCs w:val="22"/>
    </w:rPr>
  </w:style>
  <w:style w:type="character" w:styleId="Strong">
    <w:name w:val="Strong"/>
    <w:basedOn w:val="DefaultParagraphFont"/>
    <w:uiPriority w:val="22"/>
    <w:qFormat/>
    <w:rsid w:val="0050424B"/>
    <w:rPr>
      <w:b/>
      <w:bCs/>
    </w:rPr>
  </w:style>
  <w:style w:type="paragraph" w:styleId="Caption">
    <w:name w:val="caption"/>
    <w:basedOn w:val="Normal"/>
    <w:next w:val="Normal"/>
    <w:uiPriority w:val="35"/>
    <w:unhideWhenUsed/>
    <w:qFormat/>
    <w:rsid w:val="0050424B"/>
    <w:pPr>
      <w:spacing w:after="200" w:line="480" w:lineRule="auto"/>
      <w:jc w:val="center"/>
    </w:pPr>
    <w:rPr>
      <w:rFonts w:ascii="Times New Roman" w:hAnsi="Times New Roman"/>
      <w:sz w:val="24"/>
      <w:szCs w:val="24"/>
    </w:rPr>
  </w:style>
  <w:style w:type="character" w:customStyle="1" w:styleId="y8pc0">
    <w:name w:val="y8pc0"/>
    <w:basedOn w:val="DefaultParagraphFont"/>
    <w:rsid w:val="004E0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2903/j.efsa.2021.6349"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doi.org/10.1016/j.heliyon.2020.e04157"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2903/j.efsa.2020.5928" TargetMode="External"/><Relationship Id="rId25" Type="http://schemas.openxmlformats.org/officeDocument/2006/relationships/hyperlink" Target="https://doi.org/10.5897/AJBR2023.1187" TargetMode="External"/><Relationship Id="rId2" Type="http://schemas.openxmlformats.org/officeDocument/2006/relationships/numbering" Target="numbering.xml"/><Relationship Id="rId16" Type="http://schemas.openxmlformats.org/officeDocument/2006/relationships/hyperlink" Target="https://doi.org/10.1016/j.yrtph.2018.08.001" TargetMode="External"/><Relationship Id="rId20" Type="http://schemas.openxmlformats.org/officeDocument/2006/relationships/hyperlink" Target="https://doi.org/10.1111/1750-3841.16105"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1557/APJCP.2019.20.3.789" TargetMode="External"/><Relationship Id="rId5" Type="http://schemas.openxmlformats.org/officeDocument/2006/relationships/webSettings" Target="webSettings.xml"/><Relationship Id="rId15" Type="http://schemas.openxmlformats.org/officeDocument/2006/relationships/hyperlink" Target="https://doi.org/10.1080/19440049.2022.2050556" TargetMode="External"/><Relationship Id="rId23" Type="http://schemas.openxmlformats.org/officeDocument/2006/relationships/hyperlink" Target="https://doi.org/10.1007/s11356-021-13470-z" TargetMode="Externa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oi.org/10.1016/j.mrrev.2019.108294"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5487/TR.2019.35.4.310" TargetMode="External"/><Relationship Id="rId22" Type="http://schemas.openxmlformats.org/officeDocument/2006/relationships/hyperlink" Target="https://doi.org/10.1016/j.toxrep.2021.01.012" TargetMode="External"/><Relationship Id="rId27" Type="http://schemas.openxmlformats.org/officeDocument/2006/relationships/header" Target="head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49666-19FF-4394-9817-FAE5748EB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TotalTime>
  <Pages>10</Pages>
  <Words>4859</Words>
  <Characters>27702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32497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cp:revision>
  <cp:lastPrinted>1999-07-06T11:00:00Z</cp:lastPrinted>
  <dcterms:created xsi:type="dcterms:W3CDTF">2025-08-18T21:32:00Z</dcterms:created>
  <dcterms:modified xsi:type="dcterms:W3CDTF">2025-09-03T10:25:00Z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19e08fed-beff-408d-bedf-dc8978abb44c</vt:lpwstr>
  </property>
</Properties>
</file>