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6DEEC9" w14:textId="67A4CBBC" w:rsidR="00E60047" w:rsidRPr="001B4FB2" w:rsidRDefault="006F00E8" w:rsidP="006F00E8">
      <w:pPr>
        <w:pStyle w:val="NormalWeb"/>
        <w:spacing w:before="240" w:beforeAutospacing="0" w:line="360" w:lineRule="auto"/>
        <w:jc w:val="right"/>
        <w:rPr>
          <w:rFonts w:ascii="Arial" w:hAnsi="Arial" w:cs="Arial"/>
          <w:b/>
          <w:bCs/>
        </w:rPr>
      </w:pPr>
      <w:r w:rsidRPr="001B4FB2">
        <w:rPr>
          <w:rFonts w:ascii="Arial" w:hAnsi="Arial" w:cs="Arial"/>
          <w:b/>
          <w:bCs/>
        </w:rPr>
        <w:t xml:space="preserve">Performance Evaluation of Some Tomato Genotypes Based on Multivariate Analysis </w:t>
      </w:r>
    </w:p>
    <w:p w14:paraId="13AB3AB8" w14:textId="77777777" w:rsidR="00652568" w:rsidRPr="001B4FB2" w:rsidRDefault="00652568" w:rsidP="00E60047">
      <w:pPr>
        <w:pStyle w:val="NormalWeb"/>
        <w:spacing w:before="240" w:beforeAutospacing="0" w:line="360" w:lineRule="auto"/>
        <w:jc w:val="both"/>
        <w:rPr>
          <w:rFonts w:ascii="Arial" w:hAnsi="Arial" w:cs="Arial"/>
        </w:rPr>
      </w:pPr>
      <w:bookmarkStart w:id="0" w:name="_GoBack"/>
      <w:bookmarkEnd w:id="0"/>
    </w:p>
    <w:p w14:paraId="527E0676" w14:textId="724C5B53" w:rsidR="00E60047" w:rsidRPr="001B4FB2" w:rsidRDefault="006F00E8" w:rsidP="00E60047">
      <w:pPr>
        <w:pStyle w:val="NormalWeb"/>
        <w:spacing w:before="240" w:beforeAutospacing="0" w:line="360" w:lineRule="auto"/>
        <w:jc w:val="both"/>
        <w:rPr>
          <w:rFonts w:ascii="Arial" w:hAnsi="Arial" w:cs="Arial"/>
          <w:b/>
          <w:bCs/>
        </w:rPr>
      </w:pPr>
      <w:r w:rsidRPr="001B4FB2">
        <w:rPr>
          <w:rFonts w:ascii="Arial" w:hAnsi="Arial" w:cs="Arial"/>
          <w:b/>
          <w:bCs/>
        </w:rPr>
        <w:t xml:space="preserve">ABSTRACT </w:t>
      </w:r>
    </w:p>
    <w:p w14:paraId="4ACC8184" w14:textId="55438830" w:rsidR="00E60047" w:rsidRPr="001B4FB2" w:rsidRDefault="006F00E8" w:rsidP="006F00E8">
      <w:pPr>
        <w:pStyle w:val="NormalWeb"/>
        <w:spacing w:line="360" w:lineRule="auto"/>
        <w:jc w:val="both"/>
        <w:rPr>
          <w:rFonts w:ascii="Arial" w:hAnsi="Arial" w:cs="Arial"/>
        </w:rPr>
      </w:pPr>
      <w:r w:rsidRPr="001B4FB2">
        <w:rPr>
          <w:rFonts w:ascii="Arial" w:hAnsi="Arial" w:cs="Arial"/>
        </w:rPr>
        <w:t>Tomato (</w:t>
      </w:r>
      <w:r w:rsidRPr="001B4FB2">
        <w:rPr>
          <w:rStyle w:val="Emphasis"/>
          <w:rFonts w:ascii="Arial" w:hAnsi="Arial" w:cs="Arial"/>
        </w:rPr>
        <w:t xml:space="preserve">Solanum </w:t>
      </w:r>
      <w:proofErr w:type="spellStart"/>
      <w:r w:rsidRPr="001B4FB2">
        <w:rPr>
          <w:rStyle w:val="Emphasis"/>
          <w:rFonts w:ascii="Arial" w:hAnsi="Arial" w:cs="Arial"/>
        </w:rPr>
        <w:t>lycopersicum</w:t>
      </w:r>
      <w:proofErr w:type="spellEnd"/>
      <w:r w:rsidRPr="001B4FB2">
        <w:rPr>
          <w:rFonts w:ascii="Arial" w:hAnsi="Arial" w:cs="Arial"/>
        </w:rPr>
        <w:t xml:space="preserve"> L.) is an economically important and nutritionally rich crop, serving as a key source of vitamins, minerals, and antioxidants. Enhancing genetic potential is essential to improve yield, disease resistance, and adaptability. This study evaluated fourteen diverse tomato genotypes to assess their morphological and yield performance. The experiment followed a Randomized Complete Block Design (RCBD) with three replications. Significant genotypic variability was observed across all traits, indicating broad potential for selection. PCA explained 47.2% of total variability through the first two components, grouping genotypes into three distinct clusters. Strong positive correlations were found among fruit length, weight, and yield traits, while fruit number showed a trade-off with yield per plant. Genotypes G5, G7, G10, and G11 demonstrated superior yield, desirable fruit characteristics, and low wilt incidence, making them promising for future breeding programs. The results highlight substantial genetic diversity and provide a strong basis for developing high-yielding, disease-tolerant tomato varieties.</w:t>
      </w:r>
    </w:p>
    <w:p w14:paraId="6A6E7D51" w14:textId="70E6BC6F" w:rsidR="00E60047" w:rsidRPr="001B4FB2" w:rsidRDefault="00E60047" w:rsidP="00E60047">
      <w:pPr>
        <w:pStyle w:val="NormalWeb"/>
        <w:spacing w:before="240" w:beforeAutospacing="0" w:line="360" w:lineRule="auto"/>
        <w:jc w:val="both"/>
        <w:rPr>
          <w:rFonts w:ascii="Arial" w:hAnsi="Arial" w:cs="Arial"/>
        </w:rPr>
      </w:pPr>
      <w:r w:rsidRPr="001B4FB2">
        <w:rPr>
          <w:rFonts w:ascii="Arial" w:hAnsi="Arial" w:cs="Arial"/>
          <w:b/>
          <w:bCs/>
          <w:i/>
          <w:iCs/>
        </w:rPr>
        <w:t>Keywords</w:t>
      </w:r>
      <w:r w:rsidR="00121D10" w:rsidRPr="001B4FB2">
        <w:rPr>
          <w:rFonts w:ascii="Arial" w:hAnsi="Arial" w:cs="Arial"/>
          <w:b/>
          <w:bCs/>
          <w:i/>
          <w:iCs/>
        </w:rPr>
        <w:t>:</w:t>
      </w:r>
      <w:r w:rsidRPr="001B4FB2">
        <w:rPr>
          <w:rFonts w:ascii="Arial" w:hAnsi="Arial" w:cs="Arial"/>
          <w:i/>
          <w:iCs/>
        </w:rPr>
        <w:t xml:space="preserve"> </w:t>
      </w:r>
      <w:r w:rsidRPr="001B4FB2">
        <w:rPr>
          <w:rFonts w:ascii="Arial" w:hAnsi="Arial" w:cs="Arial"/>
        </w:rPr>
        <w:t xml:space="preserve">Tomato, performance, Multivariate analysis, PCARADAR plot </w:t>
      </w:r>
    </w:p>
    <w:p w14:paraId="57A1C486" w14:textId="77777777" w:rsidR="00E60047" w:rsidRPr="001B4FB2" w:rsidRDefault="00E60047" w:rsidP="00121D10">
      <w:pPr>
        <w:pStyle w:val="NormalWeb"/>
        <w:spacing w:line="360" w:lineRule="auto"/>
        <w:jc w:val="both"/>
        <w:rPr>
          <w:rFonts w:ascii="Arial" w:hAnsi="Arial" w:cs="Arial"/>
        </w:rPr>
      </w:pPr>
    </w:p>
    <w:p w14:paraId="73FD1E8B" w14:textId="77777777" w:rsidR="00E60047" w:rsidRPr="001B4FB2" w:rsidRDefault="00E60047" w:rsidP="00E60047">
      <w:pPr>
        <w:pStyle w:val="NormalWeb"/>
        <w:numPr>
          <w:ilvl w:val="0"/>
          <w:numId w:val="1"/>
        </w:numPr>
        <w:spacing w:line="360" w:lineRule="auto"/>
        <w:jc w:val="both"/>
        <w:rPr>
          <w:rFonts w:ascii="Arial" w:hAnsi="Arial" w:cs="Arial"/>
          <w:b/>
          <w:bCs/>
        </w:rPr>
      </w:pPr>
      <w:r w:rsidRPr="001B4FB2">
        <w:rPr>
          <w:rFonts w:ascii="Arial" w:hAnsi="Arial" w:cs="Arial"/>
          <w:b/>
          <w:bCs/>
        </w:rPr>
        <w:t xml:space="preserve">INTRODUCTION </w:t>
      </w:r>
    </w:p>
    <w:p w14:paraId="5089C0D8" w14:textId="752C6B19" w:rsidR="00E60047" w:rsidRPr="001B4FB2" w:rsidRDefault="00E60047" w:rsidP="00E60047">
      <w:pPr>
        <w:pStyle w:val="NormalWeb"/>
        <w:spacing w:line="360" w:lineRule="auto"/>
        <w:jc w:val="both"/>
        <w:rPr>
          <w:rFonts w:ascii="Arial" w:hAnsi="Arial" w:cs="Arial"/>
        </w:rPr>
      </w:pPr>
      <w:r w:rsidRPr="001B4FB2">
        <w:rPr>
          <w:rFonts w:ascii="Arial" w:hAnsi="Arial" w:cs="Arial"/>
        </w:rPr>
        <w:t>Tomato (</w:t>
      </w:r>
      <w:r w:rsidRPr="001B4FB2">
        <w:rPr>
          <w:rStyle w:val="Emphasis"/>
          <w:rFonts w:ascii="Arial" w:hAnsi="Arial" w:cs="Arial"/>
        </w:rPr>
        <w:t xml:space="preserve">Solanum </w:t>
      </w:r>
      <w:proofErr w:type="spellStart"/>
      <w:r w:rsidRPr="001B4FB2">
        <w:rPr>
          <w:rStyle w:val="Emphasis"/>
          <w:rFonts w:ascii="Arial" w:hAnsi="Arial" w:cs="Arial"/>
        </w:rPr>
        <w:t>lycopersicum</w:t>
      </w:r>
      <w:proofErr w:type="spellEnd"/>
      <w:r w:rsidRPr="001B4FB2">
        <w:rPr>
          <w:rFonts w:ascii="Arial" w:hAnsi="Arial" w:cs="Arial"/>
        </w:rPr>
        <w:t xml:space="preserve"> L.) is one of the world’s most widely cultivated vegetable crops, valued for its nutritional richness, global popularity, and economic importance (Fuad et al., 2019; Kayess et al., 2016, 2020; Mahmudul et al., 2020; </w:t>
      </w:r>
      <w:proofErr w:type="spellStart"/>
      <w:r w:rsidRPr="001B4FB2">
        <w:rPr>
          <w:rFonts w:ascii="Arial" w:hAnsi="Arial" w:cs="Arial"/>
        </w:rPr>
        <w:t>Sohag</w:t>
      </w:r>
      <w:proofErr w:type="spellEnd"/>
      <w:r w:rsidRPr="001B4FB2">
        <w:rPr>
          <w:rFonts w:ascii="Arial" w:hAnsi="Arial" w:cs="Arial"/>
        </w:rPr>
        <w:t xml:space="preserve"> et al., 2023). Originating from the Andean region</w:t>
      </w:r>
      <w:r w:rsidR="00121D10" w:rsidRPr="001B4FB2">
        <w:rPr>
          <w:rFonts w:ascii="Arial" w:hAnsi="Arial" w:cs="Arial"/>
        </w:rPr>
        <w:t xml:space="preserve"> </w:t>
      </w:r>
      <w:r w:rsidRPr="001B4FB2">
        <w:rPr>
          <w:rFonts w:ascii="Arial" w:hAnsi="Arial" w:cs="Arial"/>
        </w:rPr>
        <w:t xml:space="preserve">covering parts of Bolivia, Chile, Colombia, Ecuador, and Peru—it was later domesticated in Mexico and subsequently disseminated to Europe and beyond, resulting in its present global distribution (Blanca et al., 2012). Commonly referred to as the “Golden apple” or “Love </w:t>
      </w:r>
      <w:r w:rsidRPr="001B4FB2">
        <w:rPr>
          <w:rFonts w:ascii="Arial" w:hAnsi="Arial" w:cs="Arial"/>
        </w:rPr>
        <w:lastRenderedPageBreak/>
        <w:t>apple,” tomato performs optimally at 21–24 °C in slightly acidic soils (pH 5.5–6.8) (</w:t>
      </w:r>
      <w:proofErr w:type="spellStart"/>
      <w:r w:rsidRPr="001B4FB2">
        <w:rPr>
          <w:rFonts w:ascii="Arial" w:hAnsi="Arial" w:cs="Arial"/>
        </w:rPr>
        <w:t>Polin</w:t>
      </w:r>
      <w:proofErr w:type="spellEnd"/>
      <w:r w:rsidRPr="001B4FB2">
        <w:rPr>
          <w:rFonts w:ascii="Arial" w:hAnsi="Arial" w:cs="Arial"/>
        </w:rPr>
        <w:t xml:space="preserve"> et al., 2024).</w:t>
      </w:r>
    </w:p>
    <w:p w14:paraId="48EB95E9" w14:textId="3B1960C2" w:rsidR="00456D99" w:rsidRPr="001B4FB2" w:rsidRDefault="00456D99" w:rsidP="00D57C44">
      <w:pPr>
        <w:pStyle w:val="NormalWeb"/>
        <w:spacing w:line="360" w:lineRule="auto"/>
        <w:ind w:firstLine="720"/>
        <w:jc w:val="both"/>
        <w:rPr>
          <w:rFonts w:ascii="Arial" w:hAnsi="Arial" w:cs="Arial"/>
        </w:rPr>
      </w:pPr>
      <w:r w:rsidRPr="001B4FB2">
        <w:rPr>
          <w:rFonts w:ascii="Arial" w:hAnsi="Arial" w:cs="Arial"/>
        </w:rPr>
        <w:t>Nutritionally, tomato is a rich source of vitamins, minerals, antioxidants, and bioactive compounds such as carotenoids, tocopherols, phenolics, and ascorbic acid (Hasan et al., 2024). Lycopene, its predominant carotenoid, is recognized for its potent antioxidant properties that reduce oxidative stress and lower risks of cardiovascular diseases and cancer (</w:t>
      </w:r>
      <w:proofErr w:type="spellStart"/>
      <w:r w:rsidRPr="001B4FB2">
        <w:rPr>
          <w:rFonts w:ascii="Arial" w:hAnsi="Arial" w:cs="Arial"/>
        </w:rPr>
        <w:t>Boulaajine</w:t>
      </w:r>
      <w:proofErr w:type="spellEnd"/>
      <w:r w:rsidRPr="001B4FB2">
        <w:rPr>
          <w:rFonts w:ascii="Arial" w:hAnsi="Arial" w:cs="Arial"/>
        </w:rPr>
        <w:t xml:space="preserve"> &amp; </w:t>
      </w:r>
      <w:proofErr w:type="spellStart"/>
      <w:r w:rsidRPr="001B4FB2">
        <w:rPr>
          <w:rFonts w:ascii="Arial" w:hAnsi="Arial" w:cs="Arial"/>
        </w:rPr>
        <w:t>Hajjaj</w:t>
      </w:r>
      <w:proofErr w:type="spellEnd"/>
      <w:r w:rsidRPr="001B4FB2">
        <w:rPr>
          <w:rFonts w:ascii="Arial" w:hAnsi="Arial" w:cs="Arial"/>
        </w:rPr>
        <w:t>, 2024).</w:t>
      </w:r>
    </w:p>
    <w:p w14:paraId="10E2DC7F" w14:textId="4693CAD4" w:rsidR="00456D99" w:rsidRPr="001B4FB2" w:rsidRDefault="00456D99" w:rsidP="00D57C44">
      <w:pPr>
        <w:pStyle w:val="NormalWeb"/>
        <w:spacing w:line="360" w:lineRule="auto"/>
        <w:ind w:firstLine="720"/>
        <w:jc w:val="both"/>
        <w:rPr>
          <w:rFonts w:ascii="Arial" w:hAnsi="Arial" w:cs="Arial"/>
        </w:rPr>
      </w:pPr>
      <w:r w:rsidRPr="001B4FB2">
        <w:rPr>
          <w:rFonts w:ascii="Arial" w:hAnsi="Arial" w:cs="Arial"/>
        </w:rPr>
        <w:t xml:space="preserve">Globally, tomato ranks third among vegetable crops after potato and sweet potato. In Bangladesh, the cultivated area increased from 73,000 acres in 2020–21 to 77,000 acres in 2022–23, while production rose from 448,000 to 469,000 metric tons. Despite this growth, national productivity remains below that of </w:t>
      </w:r>
      <w:proofErr w:type="spellStart"/>
      <w:r w:rsidRPr="001B4FB2">
        <w:rPr>
          <w:rFonts w:ascii="Arial" w:hAnsi="Arial" w:cs="Arial"/>
        </w:rPr>
        <w:t>neighboring</w:t>
      </w:r>
      <w:proofErr w:type="spellEnd"/>
      <w:r w:rsidRPr="001B4FB2">
        <w:rPr>
          <w:rFonts w:ascii="Arial" w:hAnsi="Arial" w:cs="Arial"/>
        </w:rPr>
        <w:t xml:space="preserve"> countries due to limited high-yielding and hybrid varieties, inadequate quality seed supply, and heavy losses from pests and diseases (Das et al., 2024).</w:t>
      </w:r>
    </w:p>
    <w:p w14:paraId="6A31A73C" w14:textId="77777777" w:rsidR="00456D99" w:rsidRPr="001B4FB2" w:rsidRDefault="00456D99" w:rsidP="00D57C44">
      <w:pPr>
        <w:pStyle w:val="NormalWeb"/>
        <w:spacing w:line="360" w:lineRule="auto"/>
        <w:ind w:firstLine="720"/>
        <w:jc w:val="both"/>
        <w:rPr>
          <w:rFonts w:ascii="Arial" w:hAnsi="Arial" w:cs="Arial"/>
        </w:rPr>
      </w:pPr>
      <w:r w:rsidRPr="001B4FB2">
        <w:rPr>
          <w:rFonts w:ascii="Arial" w:hAnsi="Arial" w:cs="Arial"/>
        </w:rPr>
        <w:t>Tomato cultivation in Bangladesh is mainly confined to the winter season, when climatic conditions are most suitable for fruit set and yield. However, consumer demand remains constant year-round. Although several heat-tolerant cultivars allow summer production, the monsoon’s excessive rainfall and windstorms often hinder establishment and yield stability (Das et al., 2024). Hence, adaptive breeding and improved management practices are necessary to ensure a steady year-round supply and enhance farmer income.</w:t>
      </w:r>
    </w:p>
    <w:p w14:paraId="0DE9A45B" w14:textId="77777777" w:rsidR="00456D99" w:rsidRPr="001B4FB2" w:rsidRDefault="00456D99" w:rsidP="00D57C44">
      <w:pPr>
        <w:pStyle w:val="NormalWeb"/>
        <w:spacing w:line="360" w:lineRule="auto"/>
        <w:ind w:firstLine="720"/>
        <w:jc w:val="both"/>
        <w:rPr>
          <w:rFonts w:ascii="Arial" w:hAnsi="Arial" w:cs="Arial"/>
        </w:rPr>
      </w:pPr>
      <w:r w:rsidRPr="001B4FB2">
        <w:rPr>
          <w:rFonts w:ascii="Arial" w:hAnsi="Arial" w:cs="Arial"/>
        </w:rPr>
        <w:t>The adoption of hybrid varieties has recently increased among Bangladeshi farmers, offering benefits such as early maturity, disease tolerance, and superior fruit quality. Successful hybrid development relies on the morphological and physiological characterization of parental lines to ensure the stability of desirable traits in subsequent generations (Das et al., 2024).</w:t>
      </w:r>
    </w:p>
    <w:p w14:paraId="5752FEB0" w14:textId="745C4D77" w:rsidR="00456D99" w:rsidRPr="001B4FB2" w:rsidRDefault="00456D99" w:rsidP="00D57C44">
      <w:pPr>
        <w:pStyle w:val="NormalWeb"/>
        <w:spacing w:line="360" w:lineRule="auto"/>
        <w:ind w:firstLine="720"/>
        <w:jc w:val="both"/>
        <w:rPr>
          <w:rFonts w:ascii="Arial" w:hAnsi="Arial" w:cs="Arial"/>
        </w:rPr>
      </w:pPr>
      <w:r w:rsidRPr="001B4FB2">
        <w:rPr>
          <w:rFonts w:ascii="Arial" w:hAnsi="Arial" w:cs="Arial"/>
        </w:rPr>
        <w:t xml:space="preserve">Bacterial wilt (BW), caused by </w:t>
      </w:r>
      <w:proofErr w:type="spellStart"/>
      <w:r w:rsidRPr="001B4FB2">
        <w:rPr>
          <w:rStyle w:val="Emphasis"/>
          <w:rFonts w:ascii="Arial" w:hAnsi="Arial" w:cs="Arial"/>
        </w:rPr>
        <w:t>Ralstonia</w:t>
      </w:r>
      <w:proofErr w:type="spellEnd"/>
      <w:r w:rsidRPr="001B4FB2">
        <w:rPr>
          <w:rStyle w:val="Emphasis"/>
          <w:rFonts w:ascii="Arial" w:hAnsi="Arial" w:cs="Arial"/>
        </w:rPr>
        <w:t xml:space="preserve"> solanacearum</w:t>
      </w:r>
      <w:r w:rsidRPr="001B4FB2">
        <w:rPr>
          <w:rFonts w:ascii="Arial" w:hAnsi="Arial" w:cs="Arial"/>
        </w:rPr>
        <w:t xml:space="preserve">, is one of the most destructive diseases affecting tomato worldwide, causing significant yield reductions (Hong et al., 2018). Although chemical, cultural, and biological control measures exist, they offer limited and inconsistent results. Thus, breeding for genetic resistance remains the most reliable, cost-effective, and environmentally sustainable approach. </w:t>
      </w:r>
      <w:r w:rsidRPr="001B4FB2">
        <w:rPr>
          <w:rFonts w:ascii="Arial" w:hAnsi="Arial" w:cs="Arial"/>
        </w:rPr>
        <w:lastRenderedPageBreak/>
        <w:t>The process requires identifying resistant sources through systematic germplasm screening, which is fundamental for maintaining genetic diversity and advancing crop improvement.</w:t>
      </w:r>
    </w:p>
    <w:p w14:paraId="260198A8" w14:textId="77777777" w:rsidR="00456D99" w:rsidRPr="001B4FB2" w:rsidRDefault="00456D99" w:rsidP="00D57C44">
      <w:pPr>
        <w:pStyle w:val="NormalWeb"/>
        <w:spacing w:line="360" w:lineRule="auto"/>
        <w:ind w:firstLine="360"/>
        <w:jc w:val="both"/>
        <w:rPr>
          <w:rFonts w:ascii="Arial" w:hAnsi="Arial" w:cs="Arial"/>
        </w:rPr>
      </w:pPr>
      <w:r w:rsidRPr="001B4FB2">
        <w:rPr>
          <w:rFonts w:ascii="Arial" w:hAnsi="Arial" w:cs="Arial"/>
        </w:rPr>
        <w:t xml:space="preserve">Accordingly, this study aimed to evaluate diverse tomato germplasm based on morphological and yield-related attributes, along with their responses to bacterial wilt infection, to identify promising genotypes suitable for sustainable tomato production under local </w:t>
      </w:r>
      <w:proofErr w:type="spellStart"/>
      <w:r w:rsidRPr="001B4FB2">
        <w:rPr>
          <w:rFonts w:ascii="Arial" w:hAnsi="Arial" w:cs="Arial"/>
        </w:rPr>
        <w:t>agro</w:t>
      </w:r>
      <w:proofErr w:type="spellEnd"/>
      <w:r w:rsidRPr="001B4FB2">
        <w:rPr>
          <w:rFonts w:ascii="Arial" w:hAnsi="Arial" w:cs="Arial"/>
        </w:rPr>
        <w:t>-climatic conditions in Bangladesh.</w:t>
      </w:r>
    </w:p>
    <w:p w14:paraId="264A1C08" w14:textId="77777777" w:rsidR="00456D99" w:rsidRPr="001B4FB2" w:rsidRDefault="00456D99" w:rsidP="00456D99">
      <w:pPr>
        <w:spacing w:line="360" w:lineRule="auto"/>
        <w:rPr>
          <w:rFonts w:ascii="Arial" w:hAnsi="Arial" w:cs="Arial"/>
          <w:szCs w:val="24"/>
        </w:rPr>
      </w:pPr>
    </w:p>
    <w:p w14:paraId="29F490FC" w14:textId="0CCF484B" w:rsidR="00456D99" w:rsidRPr="001B4FB2" w:rsidRDefault="00985B23" w:rsidP="00985B23">
      <w:pPr>
        <w:pStyle w:val="ListParagraph"/>
        <w:numPr>
          <w:ilvl w:val="0"/>
          <w:numId w:val="1"/>
        </w:numPr>
        <w:spacing w:line="360" w:lineRule="auto"/>
        <w:rPr>
          <w:rFonts w:ascii="Arial" w:hAnsi="Arial" w:cs="Arial"/>
          <w:b/>
          <w:bCs/>
          <w:szCs w:val="24"/>
        </w:rPr>
      </w:pPr>
      <w:r w:rsidRPr="001B4FB2">
        <w:rPr>
          <w:rFonts w:ascii="Arial" w:hAnsi="Arial" w:cs="Arial"/>
          <w:b/>
          <w:bCs/>
          <w:szCs w:val="24"/>
        </w:rPr>
        <w:t>MATERIALS AND METHODS</w:t>
      </w:r>
    </w:p>
    <w:p w14:paraId="38D63580" w14:textId="77777777" w:rsidR="00985B23" w:rsidRPr="001B4FB2" w:rsidRDefault="00985B23" w:rsidP="00985B23">
      <w:pPr>
        <w:pStyle w:val="ListParagraph"/>
        <w:spacing w:line="360" w:lineRule="auto"/>
        <w:rPr>
          <w:rFonts w:ascii="Arial" w:hAnsi="Arial" w:cs="Arial"/>
          <w:b/>
          <w:bCs/>
          <w:szCs w:val="24"/>
        </w:rPr>
      </w:pPr>
    </w:p>
    <w:p w14:paraId="266AD809" w14:textId="77777777" w:rsidR="00456D99" w:rsidRPr="001B4FB2" w:rsidRDefault="00456D99" w:rsidP="00456D99">
      <w:pPr>
        <w:spacing w:line="360" w:lineRule="auto"/>
        <w:rPr>
          <w:rFonts w:ascii="Arial" w:hAnsi="Arial" w:cs="Arial"/>
          <w:b/>
          <w:bCs/>
          <w:szCs w:val="24"/>
        </w:rPr>
      </w:pPr>
      <w:r w:rsidRPr="001B4FB2">
        <w:rPr>
          <w:rFonts w:ascii="Arial" w:hAnsi="Arial" w:cs="Arial"/>
          <w:b/>
          <w:bCs/>
          <w:szCs w:val="24"/>
        </w:rPr>
        <w:t>2.1. Location and Climate</w:t>
      </w:r>
    </w:p>
    <w:p w14:paraId="6BEE857E" w14:textId="77777777" w:rsidR="00456D99" w:rsidRPr="001B4FB2" w:rsidRDefault="00456D99" w:rsidP="00456D99">
      <w:pPr>
        <w:spacing w:line="360" w:lineRule="auto"/>
        <w:rPr>
          <w:rFonts w:ascii="Arial" w:hAnsi="Arial" w:cs="Arial"/>
          <w:szCs w:val="24"/>
        </w:rPr>
      </w:pPr>
      <w:r w:rsidRPr="001B4FB2">
        <w:rPr>
          <w:rFonts w:ascii="Arial" w:hAnsi="Arial" w:cs="Arial"/>
          <w:szCs w:val="24"/>
        </w:rPr>
        <w:t xml:space="preserve">The experiment was conducted from October to January at the experimental field located in Gazipur </w:t>
      </w:r>
      <w:proofErr w:type="spellStart"/>
      <w:r w:rsidRPr="001B4FB2">
        <w:rPr>
          <w:rFonts w:ascii="Arial" w:hAnsi="Arial" w:cs="Arial"/>
          <w:szCs w:val="24"/>
        </w:rPr>
        <w:t>Sadar</w:t>
      </w:r>
      <w:proofErr w:type="spellEnd"/>
      <w:r w:rsidRPr="001B4FB2">
        <w:rPr>
          <w:rFonts w:ascii="Arial" w:hAnsi="Arial" w:cs="Arial"/>
          <w:szCs w:val="24"/>
        </w:rPr>
        <w:t xml:space="preserve">, Bangladesh. The site belongs to </w:t>
      </w:r>
      <w:proofErr w:type="spellStart"/>
      <w:r w:rsidRPr="001B4FB2">
        <w:rPr>
          <w:rFonts w:ascii="Arial" w:hAnsi="Arial" w:cs="Arial"/>
          <w:szCs w:val="24"/>
        </w:rPr>
        <w:t>Agro</w:t>
      </w:r>
      <w:proofErr w:type="spellEnd"/>
      <w:r w:rsidRPr="001B4FB2">
        <w:rPr>
          <w:rFonts w:ascii="Arial" w:hAnsi="Arial" w:cs="Arial"/>
          <w:szCs w:val="24"/>
        </w:rPr>
        <w:t xml:space="preserve">-Ecological Zone 28 (Madhupur Tract) and experiences a subtropical monsoon climate, characterized by warm, humid summers and mild, dry winters. During the growing period, mean air temperatures ranged from 15.4 °C to 28.6 °C, and relative humidity varied between 72% and 82%. Occasional rainfall was recorded during the fruit development and harvesting stages. </w:t>
      </w:r>
    </w:p>
    <w:p w14:paraId="388423C4" w14:textId="77777777" w:rsidR="00456D99" w:rsidRPr="001B4FB2" w:rsidRDefault="00456D99" w:rsidP="00456D99">
      <w:pPr>
        <w:spacing w:line="360" w:lineRule="auto"/>
        <w:rPr>
          <w:rFonts w:ascii="Arial" w:hAnsi="Arial" w:cs="Arial"/>
          <w:szCs w:val="24"/>
        </w:rPr>
      </w:pPr>
    </w:p>
    <w:p w14:paraId="405CECBF" w14:textId="77777777" w:rsidR="00456D99" w:rsidRPr="001B4FB2" w:rsidRDefault="00456D99" w:rsidP="00456D99">
      <w:pPr>
        <w:spacing w:line="360" w:lineRule="auto"/>
        <w:rPr>
          <w:rFonts w:ascii="Arial" w:hAnsi="Arial" w:cs="Arial"/>
          <w:b/>
          <w:bCs/>
          <w:szCs w:val="24"/>
        </w:rPr>
      </w:pPr>
      <w:r w:rsidRPr="001B4FB2">
        <w:rPr>
          <w:rFonts w:ascii="Arial" w:hAnsi="Arial" w:cs="Arial"/>
          <w:b/>
          <w:bCs/>
          <w:szCs w:val="24"/>
        </w:rPr>
        <w:t>2.2. Experimental Materials and Design</w:t>
      </w:r>
    </w:p>
    <w:p w14:paraId="688F823D" w14:textId="77777777" w:rsidR="00121D10" w:rsidRPr="001B4FB2" w:rsidRDefault="00121D10" w:rsidP="00456D99">
      <w:pPr>
        <w:spacing w:line="360" w:lineRule="auto"/>
        <w:rPr>
          <w:rFonts w:ascii="Arial" w:hAnsi="Arial" w:cs="Arial"/>
          <w:szCs w:val="24"/>
        </w:rPr>
      </w:pPr>
    </w:p>
    <w:p w14:paraId="47F32D5C" w14:textId="1F24F9CA" w:rsidR="00456D99" w:rsidRPr="001B4FB2" w:rsidRDefault="00456D99" w:rsidP="00456D99">
      <w:pPr>
        <w:spacing w:line="360" w:lineRule="auto"/>
        <w:rPr>
          <w:rFonts w:ascii="Arial" w:hAnsi="Arial" w:cs="Arial"/>
          <w:szCs w:val="24"/>
        </w:rPr>
      </w:pPr>
      <w:r w:rsidRPr="001B4FB2">
        <w:rPr>
          <w:rFonts w:ascii="Arial" w:hAnsi="Arial" w:cs="Arial"/>
          <w:szCs w:val="24"/>
        </w:rPr>
        <w:t xml:space="preserve">A total of 14 tomato genotypes with diverse genetic backgrounds were evaluated. This germplasm obtained from the Bangladesh Agricultural Research Institute (BARI), </w:t>
      </w:r>
      <w:proofErr w:type="spellStart"/>
      <w:r w:rsidRPr="001B4FB2">
        <w:rPr>
          <w:rFonts w:ascii="Arial" w:hAnsi="Arial" w:cs="Arial"/>
          <w:szCs w:val="24"/>
        </w:rPr>
        <w:t>Joydebpur</w:t>
      </w:r>
      <w:proofErr w:type="spellEnd"/>
      <w:r w:rsidRPr="001B4FB2">
        <w:rPr>
          <w:rFonts w:ascii="Arial" w:hAnsi="Arial" w:cs="Arial"/>
          <w:szCs w:val="24"/>
        </w:rPr>
        <w:t>, Gazipur. Three released varieties BARI Tomato 8, BARI Tomato 10, and BARI Tomato 11 were used as standard checks for comparison. The experiment followed a Randomized Complete Block Design (RCBD) with three replications to ensure statistical accuracy and minimize environmental variation. Each plot measured 2.0 m × 4.0 m, accommodating 26 plants in a double-row system. The plant-to-plant spacing was 60 cm, and row spacing was 40 cm, with 55cm between blocks and 75 cm between adjacent plots to reduce border effects.</w:t>
      </w:r>
    </w:p>
    <w:p w14:paraId="5533FB09" w14:textId="77777777" w:rsidR="00121D10" w:rsidRPr="001B4FB2" w:rsidRDefault="00121D10" w:rsidP="00456D99">
      <w:pPr>
        <w:spacing w:line="360" w:lineRule="auto"/>
        <w:rPr>
          <w:rFonts w:ascii="Arial" w:hAnsi="Arial" w:cs="Arial"/>
          <w:b/>
          <w:bCs/>
          <w:szCs w:val="24"/>
        </w:rPr>
      </w:pPr>
    </w:p>
    <w:p w14:paraId="571FF152" w14:textId="5B89EC1D" w:rsidR="00456D99" w:rsidRPr="001B4FB2" w:rsidRDefault="00456D99" w:rsidP="00456D99">
      <w:pPr>
        <w:spacing w:line="360" w:lineRule="auto"/>
        <w:rPr>
          <w:rFonts w:ascii="Arial" w:hAnsi="Arial" w:cs="Arial"/>
          <w:b/>
          <w:bCs/>
          <w:szCs w:val="24"/>
        </w:rPr>
      </w:pPr>
      <w:r w:rsidRPr="001B4FB2">
        <w:rPr>
          <w:rFonts w:ascii="Arial" w:hAnsi="Arial" w:cs="Arial"/>
          <w:b/>
          <w:bCs/>
          <w:szCs w:val="24"/>
        </w:rPr>
        <w:t>2.3. Crop Husbandry</w:t>
      </w:r>
    </w:p>
    <w:p w14:paraId="2FEBAC49" w14:textId="77777777" w:rsidR="00121D10" w:rsidRPr="001B4FB2" w:rsidRDefault="00121D10" w:rsidP="00456D99">
      <w:pPr>
        <w:spacing w:line="360" w:lineRule="auto"/>
        <w:rPr>
          <w:rFonts w:ascii="Arial" w:hAnsi="Arial" w:cs="Arial"/>
          <w:szCs w:val="24"/>
        </w:rPr>
      </w:pPr>
    </w:p>
    <w:p w14:paraId="7F79BAE4" w14:textId="4715F1D7" w:rsidR="00456D99" w:rsidRPr="001B4FB2" w:rsidRDefault="00456D99" w:rsidP="00456D99">
      <w:pPr>
        <w:spacing w:line="360" w:lineRule="auto"/>
        <w:rPr>
          <w:rFonts w:ascii="Arial" w:hAnsi="Arial" w:cs="Arial"/>
          <w:szCs w:val="24"/>
        </w:rPr>
      </w:pPr>
      <w:r w:rsidRPr="001B4FB2">
        <w:rPr>
          <w:rFonts w:ascii="Arial" w:hAnsi="Arial" w:cs="Arial"/>
          <w:szCs w:val="24"/>
        </w:rPr>
        <w:t>The experiment was arranged in a Randomized Complete Block Design (RCBD) with three replications to ensure accuracy and reduce environmental variation. Three seedbeds measuring 3.0 m × 2.0 m were prepared, each representing one replication. The field layout consisted of unit plots measuring 1.5 m × 4.8 m, organized in a double-row planting system. Each row contained 12 plants, resulting in 24 plants per plot. Spacing between individual plants and rows was maintained at 50 cm and 45 cm, respectively, to promote optimal growth and ease of management. A buffer distance of 60 cm between adjacent blocks and 70 cm between plots was maintained to facilitate movement and minimize inter-plot interference.</w:t>
      </w:r>
    </w:p>
    <w:p w14:paraId="7C03B070" w14:textId="77777777" w:rsidR="00456D99" w:rsidRPr="001B4FB2" w:rsidRDefault="00456D99" w:rsidP="00D57C44">
      <w:pPr>
        <w:spacing w:line="360" w:lineRule="auto"/>
        <w:ind w:firstLine="720"/>
        <w:rPr>
          <w:rFonts w:ascii="Arial" w:hAnsi="Arial" w:cs="Arial"/>
          <w:szCs w:val="24"/>
        </w:rPr>
      </w:pPr>
      <w:r w:rsidRPr="001B4FB2">
        <w:rPr>
          <w:rFonts w:ascii="Arial" w:hAnsi="Arial" w:cs="Arial"/>
          <w:szCs w:val="24"/>
        </w:rPr>
        <w:t xml:space="preserve">Seeds were first sown in well-prepared seedbeds to ensure uniform germination and healthy seedling development. Throughout the growing period, the crop was protected under a polytunnel to safeguard against heavy rainfall and </w:t>
      </w:r>
      <w:proofErr w:type="spellStart"/>
      <w:r w:rsidRPr="001B4FB2">
        <w:rPr>
          <w:rFonts w:ascii="Arial" w:hAnsi="Arial" w:cs="Arial"/>
          <w:szCs w:val="24"/>
        </w:rPr>
        <w:t>unfavorable</w:t>
      </w:r>
      <w:proofErr w:type="spellEnd"/>
      <w:r w:rsidRPr="001B4FB2">
        <w:rPr>
          <w:rFonts w:ascii="Arial" w:hAnsi="Arial" w:cs="Arial"/>
          <w:szCs w:val="24"/>
        </w:rPr>
        <w:t xml:space="preserve"> weather conditions. Thirty-day-old seedlings were then transplanted into the main experimental field.</w:t>
      </w:r>
    </w:p>
    <w:p w14:paraId="3494C361" w14:textId="77777777" w:rsidR="00456D99" w:rsidRPr="001B4FB2" w:rsidRDefault="00456D99" w:rsidP="00D57C44">
      <w:pPr>
        <w:spacing w:line="360" w:lineRule="auto"/>
        <w:ind w:firstLine="720"/>
        <w:rPr>
          <w:rFonts w:ascii="Arial" w:hAnsi="Arial" w:cs="Arial"/>
          <w:szCs w:val="24"/>
        </w:rPr>
      </w:pPr>
      <w:r w:rsidRPr="001B4FB2">
        <w:rPr>
          <w:rFonts w:ascii="Arial" w:hAnsi="Arial" w:cs="Arial"/>
          <w:szCs w:val="24"/>
        </w:rPr>
        <w:t>Prior to transplanting, the field was enriched with 10 tons ha</w:t>
      </w:r>
      <w:r w:rsidRPr="001B4FB2">
        <w:rPr>
          <w:rFonts w:ascii="Cambria Math" w:hAnsi="Cambria Math" w:cs="Cambria Math"/>
          <w:szCs w:val="24"/>
        </w:rPr>
        <w:t>⁻</w:t>
      </w:r>
      <w:r w:rsidRPr="001B4FB2">
        <w:rPr>
          <w:rFonts w:ascii="Arial" w:hAnsi="Arial" w:cs="Arial"/>
          <w:szCs w:val="24"/>
        </w:rPr>
        <w:t>¹ of well-decomposed cow dung and a chemical fertilizer mixture supplying 100–34–104–27–1.5–1.3 kg ha</w:t>
      </w:r>
      <w:r w:rsidRPr="001B4FB2">
        <w:rPr>
          <w:rFonts w:ascii="Cambria Math" w:hAnsi="Cambria Math" w:cs="Cambria Math"/>
          <w:szCs w:val="24"/>
        </w:rPr>
        <w:t>⁻</w:t>
      </w:r>
      <w:r w:rsidRPr="001B4FB2">
        <w:rPr>
          <w:rFonts w:ascii="Arial" w:hAnsi="Arial" w:cs="Arial"/>
          <w:szCs w:val="24"/>
        </w:rPr>
        <w:t xml:space="preserve">¹ of N–P–K–S–Zn–B, using urea, triple superphosphate, muriate of potash (MOP), gypsum, zinc </w:t>
      </w:r>
      <w:proofErr w:type="spellStart"/>
      <w:r w:rsidRPr="001B4FB2">
        <w:rPr>
          <w:rFonts w:ascii="Arial" w:hAnsi="Arial" w:cs="Arial"/>
          <w:szCs w:val="24"/>
        </w:rPr>
        <w:t>sulfate</w:t>
      </w:r>
      <w:proofErr w:type="spellEnd"/>
      <w:r w:rsidRPr="001B4FB2">
        <w:rPr>
          <w:rFonts w:ascii="Arial" w:hAnsi="Arial" w:cs="Arial"/>
          <w:szCs w:val="24"/>
        </w:rPr>
        <w:t xml:space="preserve">, and boric acid as nutrient sources. The full amount of organic manure, along with complete doses of phosphorus, </w:t>
      </w:r>
      <w:proofErr w:type="spellStart"/>
      <w:r w:rsidRPr="001B4FB2">
        <w:rPr>
          <w:rFonts w:ascii="Arial" w:hAnsi="Arial" w:cs="Arial"/>
          <w:szCs w:val="24"/>
        </w:rPr>
        <w:t>sulfur</w:t>
      </w:r>
      <w:proofErr w:type="spellEnd"/>
      <w:r w:rsidRPr="001B4FB2">
        <w:rPr>
          <w:rFonts w:ascii="Arial" w:hAnsi="Arial" w:cs="Arial"/>
          <w:szCs w:val="24"/>
        </w:rPr>
        <w:t>, zinc, and boron, and one-third of MOP, was applied during the final land preparation to ensure adequate nutrient supply during early growth. The remaining urea and MOP were top-dressed in two equal splits at 27 and 42 days after transplanting (DAT), followed by light irrigation to aid nutrient absorption.</w:t>
      </w:r>
    </w:p>
    <w:p w14:paraId="4A184278" w14:textId="77777777" w:rsidR="00456D99" w:rsidRPr="001B4FB2" w:rsidRDefault="00456D99" w:rsidP="00D57C44">
      <w:pPr>
        <w:spacing w:line="360" w:lineRule="auto"/>
        <w:ind w:firstLine="720"/>
        <w:rPr>
          <w:rFonts w:ascii="Arial" w:hAnsi="Arial" w:cs="Arial"/>
          <w:szCs w:val="24"/>
        </w:rPr>
      </w:pPr>
      <w:r w:rsidRPr="001B4FB2">
        <w:rPr>
          <w:rFonts w:ascii="Arial" w:hAnsi="Arial" w:cs="Arial"/>
          <w:szCs w:val="24"/>
        </w:rPr>
        <w:t xml:space="preserve">Routine agronomic practices such as irrigation, pruning, mulching, weeding, and pest management were performed as required to maintain healthy crop growth. Occasional infections of tomato leaf curl virus and tomato mosaic virus were managed through the application of </w:t>
      </w:r>
      <w:proofErr w:type="spellStart"/>
      <w:r w:rsidRPr="001B4FB2">
        <w:rPr>
          <w:rFonts w:ascii="Arial" w:hAnsi="Arial" w:cs="Arial"/>
          <w:szCs w:val="24"/>
        </w:rPr>
        <w:t>Dithane</w:t>
      </w:r>
      <w:proofErr w:type="spellEnd"/>
      <w:r w:rsidRPr="001B4FB2">
        <w:rPr>
          <w:rFonts w:ascii="Arial" w:hAnsi="Arial" w:cs="Arial"/>
          <w:szCs w:val="24"/>
        </w:rPr>
        <w:t xml:space="preserve"> M45, followed by the removal and destruction of severely infected plants to limit disease spread. Insect pests were effectively controlled by applying Malathion 57 EC twice, at 26 and 33 DAT.</w:t>
      </w:r>
    </w:p>
    <w:p w14:paraId="1FBAD475" w14:textId="77777777" w:rsidR="00456D99" w:rsidRPr="001B4FB2" w:rsidRDefault="00456D99" w:rsidP="00D57C44">
      <w:pPr>
        <w:spacing w:line="360" w:lineRule="auto"/>
        <w:ind w:firstLine="720"/>
        <w:rPr>
          <w:rFonts w:ascii="Arial" w:hAnsi="Arial" w:cs="Arial"/>
          <w:szCs w:val="24"/>
        </w:rPr>
      </w:pPr>
      <w:r w:rsidRPr="001B4FB2">
        <w:rPr>
          <w:rFonts w:ascii="Arial" w:hAnsi="Arial" w:cs="Arial"/>
          <w:szCs w:val="24"/>
        </w:rPr>
        <w:t xml:space="preserve">Observations were recorded on a range of agronomic and yield-related traits, including days to first flowering (DFF), fruit length (FL), fruit diameter (FD), standard fruit weight (FWS), number of locules (NL), plant height (PH), days to first harvest (DHF), days to last harvest (DHL), number of fruit clusters per plant (FC), number of </w:t>
      </w:r>
      <w:r w:rsidRPr="001B4FB2">
        <w:rPr>
          <w:rFonts w:ascii="Arial" w:hAnsi="Arial" w:cs="Arial"/>
          <w:szCs w:val="24"/>
        </w:rPr>
        <w:lastRenderedPageBreak/>
        <w:t>fruits per plant (NFPP), yield per hectare (YPP), shelf life (SL), and plant damage by wilt disease (Wilt).</w:t>
      </w:r>
    </w:p>
    <w:p w14:paraId="5D753E54" w14:textId="77777777" w:rsidR="00456D99" w:rsidRPr="001B4FB2" w:rsidRDefault="00456D99" w:rsidP="00D57C44">
      <w:pPr>
        <w:spacing w:line="360" w:lineRule="auto"/>
        <w:ind w:firstLine="720"/>
        <w:rPr>
          <w:rFonts w:ascii="Arial" w:hAnsi="Arial" w:cs="Arial"/>
          <w:szCs w:val="24"/>
        </w:rPr>
      </w:pPr>
      <w:r w:rsidRPr="001B4FB2">
        <w:rPr>
          <w:rFonts w:ascii="Arial" w:hAnsi="Arial" w:cs="Arial"/>
          <w:szCs w:val="24"/>
        </w:rPr>
        <w:t>The incidence of wilt was recorded based on its natural occurrence under field conditions, as no artificial inoculation was carried out. Data for all yield-contributing traits were collected at crop maturity after harvest, and the summarized results are presented in Table 1.</w:t>
      </w:r>
    </w:p>
    <w:p w14:paraId="75E514B3" w14:textId="77777777" w:rsidR="00456D99" w:rsidRPr="001B4FB2" w:rsidRDefault="00456D99" w:rsidP="00456D99">
      <w:pPr>
        <w:spacing w:line="360" w:lineRule="auto"/>
        <w:rPr>
          <w:rFonts w:ascii="Arial" w:hAnsi="Arial" w:cs="Arial"/>
          <w:szCs w:val="24"/>
        </w:rPr>
      </w:pPr>
    </w:p>
    <w:p w14:paraId="7057FE5A" w14:textId="77777777" w:rsidR="00456D99" w:rsidRPr="001B4FB2" w:rsidRDefault="00456D99" w:rsidP="00456D99">
      <w:pPr>
        <w:spacing w:line="360" w:lineRule="auto"/>
        <w:rPr>
          <w:rFonts w:ascii="Arial" w:hAnsi="Arial" w:cs="Arial"/>
          <w:b/>
          <w:bCs/>
          <w:szCs w:val="24"/>
        </w:rPr>
      </w:pPr>
      <w:r w:rsidRPr="001B4FB2">
        <w:rPr>
          <w:rFonts w:ascii="Arial" w:hAnsi="Arial" w:cs="Arial"/>
          <w:b/>
          <w:bCs/>
          <w:szCs w:val="24"/>
        </w:rPr>
        <w:t>2.5. Statistical Analysis</w:t>
      </w:r>
    </w:p>
    <w:p w14:paraId="36B0022A" w14:textId="77777777" w:rsidR="00121D10" w:rsidRPr="001B4FB2" w:rsidRDefault="00121D10" w:rsidP="00456D99">
      <w:pPr>
        <w:spacing w:line="360" w:lineRule="auto"/>
        <w:rPr>
          <w:rFonts w:ascii="Arial" w:hAnsi="Arial" w:cs="Arial"/>
          <w:szCs w:val="24"/>
        </w:rPr>
      </w:pPr>
    </w:p>
    <w:p w14:paraId="7AC5AF1D" w14:textId="0C551269" w:rsidR="00456D99" w:rsidRPr="001B4FB2" w:rsidRDefault="00456D99" w:rsidP="00456D99">
      <w:pPr>
        <w:spacing w:line="360" w:lineRule="auto"/>
        <w:rPr>
          <w:rFonts w:ascii="Arial" w:hAnsi="Arial" w:cs="Arial"/>
          <w:szCs w:val="24"/>
        </w:rPr>
      </w:pPr>
      <w:r w:rsidRPr="001B4FB2">
        <w:rPr>
          <w:rFonts w:ascii="Arial" w:hAnsi="Arial" w:cs="Arial"/>
          <w:szCs w:val="24"/>
        </w:rPr>
        <w:t xml:space="preserve">All data were </w:t>
      </w:r>
      <w:proofErr w:type="spellStart"/>
      <w:r w:rsidRPr="001B4FB2">
        <w:rPr>
          <w:rFonts w:ascii="Arial" w:hAnsi="Arial" w:cs="Arial"/>
          <w:szCs w:val="24"/>
        </w:rPr>
        <w:t>analyzed</w:t>
      </w:r>
      <w:proofErr w:type="spellEnd"/>
      <w:r w:rsidRPr="001B4FB2">
        <w:rPr>
          <w:rFonts w:ascii="Arial" w:hAnsi="Arial" w:cs="Arial"/>
          <w:szCs w:val="24"/>
        </w:rPr>
        <w:t xml:space="preserve"> using R statistical software (version 4.2.3) and Microsoft Excel. The correlation analysis, Principal Component Analysis (PCA), hierarchical clustering, heatmap visualization, and radar graph analysis to evaluate genetic divergence and trait associations. The R packages ‘</w:t>
      </w:r>
      <w:proofErr w:type="spellStart"/>
      <w:r w:rsidRPr="001B4FB2">
        <w:rPr>
          <w:rFonts w:ascii="Arial" w:hAnsi="Arial" w:cs="Arial"/>
          <w:szCs w:val="24"/>
        </w:rPr>
        <w:t>metan</w:t>
      </w:r>
      <w:proofErr w:type="spellEnd"/>
      <w:r w:rsidRPr="001B4FB2">
        <w:rPr>
          <w:rFonts w:ascii="Arial" w:hAnsi="Arial" w:cs="Arial"/>
          <w:szCs w:val="24"/>
        </w:rPr>
        <w:t>’, ‘</w:t>
      </w:r>
      <w:proofErr w:type="spellStart"/>
      <w:r w:rsidRPr="001B4FB2">
        <w:rPr>
          <w:rFonts w:ascii="Arial" w:hAnsi="Arial" w:cs="Arial"/>
          <w:szCs w:val="24"/>
        </w:rPr>
        <w:t>FactoMineR</w:t>
      </w:r>
      <w:proofErr w:type="spellEnd"/>
      <w:r w:rsidRPr="001B4FB2">
        <w:rPr>
          <w:rFonts w:ascii="Arial" w:hAnsi="Arial" w:cs="Arial"/>
          <w:szCs w:val="24"/>
        </w:rPr>
        <w:t>’, ‘</w:t>
      </w:r>
      <w:proofErr w:type="spellStart"/>
      <w:r w:rsidRPr="001B4FB2">
        <w:rPr>
          <w:rFonts w:ascii="Arial" w:hAnsi="Arial" w:cs="Arial"/>
          <w:szCs w:val="24"/>
        </w:rPr>
        <w:t>factoextra</w:t>
      </w:r>
      <w:proofErr w:type="spellEnd"/>
      <w:r w:rsidRPr="001B4FB2">
        <w:rPr>
          <w:rFonts w:ascii="Arial" w:hAnsi="Arial" w:cs="Arial"/>
          <w:szCs w:val="24"/>
        </w:rPr>
        <w:t>’, and ‘ggplot2’ were used for statistical and graphical interpretations.</w:t>
      </w:r>
    </w:p>
    <w:p w14:paraId="0CDBE572" w14:textId="77777777" w:rsidR="00456D99" w:rsidRPr="001B4FB2" w:rsidRDefault="00456D99" w:rsidP="00456D99">
      <w:pPr>
        <w:spacing w:line="360" w:lineRule="auto"/>
        <w:rPr>
          <w:rFonts w:ascii="Arial" w:hAnsi="Arial" w:cs="Arial"/>
          <w:szCs w:val="24"/>
        </w:rPr>
      </w:pPr>
    </w:p>
    <w:p w14:paraId="543219F0" w14:textId="399C85AE" w:rsidR="00456D99" w:rsidRPr="001B4FB2" w:rsidRDefault="00D57C44" w:rsidP="00D57C44">
      <w:pPr>
        <w:pStyle w:val="ListParagraph"/>
        <w:numPr>
          <w:ilvl w:val="0"/>
          <w:numId w:val="1"/>
        </w:numPr>
        <w:spacing w:line="360" w:lineRule="auto"/>
        <w:jc w:val="left"/>
        <w:outlineLvl w:val="1"/>
        <w:rPr>
          <w:rFonts w:ascii="Arial" w:eastAsia="Times New Roman" w:hAnsi="Arial" w:cs="Arial"/>
          <w:b/>
          <w:bCs/>
          <w:szCs w:val="24"/>
          <w:lang w:eastAsia="en-GB"/>
        </w:rPr>
      </w:pPr>
      <w:r w:rsidRPr="001B4FB2">
        <w:rPr>
          <w:rFonts w:ascii="Arial" w:eastAsia="Times New Roman" w:hAnsi="Arial" w:cs="Arial"/>
          <w:b/>
          <w:bCs/>
          <w:szCs w:val="24"/>
          <w:lang w:eastAsia="en-GB"/>
        </w:rPr>
        <w:t>RESULTS AND DISCUSSION</w:t>
      </w:r>
    </w:p>
    <w:p w14:paraId="2119F337" w14:textId="77777777" w:rsidR="00456D99" w:rsidRPr="001B4FB2" w:rsidRDefault="00456D99" w:rsidP="00456D99">
      <w:pPr>
        <w:spacing w:line="360" w:lineRule="auto"/>
        <w:jc w:val="left"/>
        <w:outlineLvl w:val="1"/>
        <w:rPr>
          <w:rFonts w:ascii="Arial" w:eastAsia="Times New Roman" w:hAnsi="Arial" w:cs="Arial"/>
          <w:b/>
          <w:bCs/>
          <w:szCs w:val="24"/>
          <w:lang w:eastAsia="en-GB"/>
        </w:rPr>
      </w:pPr>
    </w:p>
    <w:p w14:paraId="7B945573" w14:textId="14086913" w:rsidR="00456D99" w:rsidRPr="001B4FB2" w:rsidRDefault="00456D99" w:rsidP="00456D99">
      <w:pPr>
        <w:spacing w:line="360" w:lineRule="auto"/>
        <w:outlineLvl w:val="1"/>
        <w:rPr>
          <w:rFonts w:ascii="Arial" w:eastAsia="Times New Roman" w:hAnsi="Arial" w:cs="Arial"/>
          <w:szCs w:val="24"/>
          <w:lang w:eastAsia="en-GB"/>
        </w:rPr>
      </w:pPr>
      <w:r w:rsidRPr="001B4FB2">
        <w:rPr>
          <w:rFonts w:ascii="Arial" w:eastAsia="Times New Roman" w:hAnsi="Arial" w:cs="Arial"/>
          <w:szCs w:val="24"/>
          <w:lang w:eastAsia="en-GB"/>
        </w:rPr>
        <w:t>Exploring genotypic diversity is essential for developing improved tomato genotypes with desirable traits, especially amid global population growth and climate change challenges (</w:t>
      </w:r>
      <w:proofErr w:type="spellStart"/>
      <w:r w:rsidRPr="001B4FB2">
        <w:rPr>
          <w:rFonts w:ascii="Arial" w:eastAsia="Times New Roman" w:hAnsi="Arial" w:cs="Arial"/>
          <w:szCs w:val="24"/>
          <w:lang w:eastAsia="en-GB"/>
        </w:rPr>
        <w:t>Zannat</w:t>
      </w:r>
      <w:proofErr w:type="spellEnd"/>
      <w:r w:rsidRPr="001B4FB2">
        <w:rPr>
          <w:rFonts w:ascii="Arial" w:eastAsia="Times New Roman" w:hAnsi="Arial" w:cs="Arial"/>
          <w:szCs w:val="24"/>
          <w:lang w:eastAsia="en-GB"/>
        </w:rPr>
        <w:t xml:space="preserve"> et al., 2023). The present study revealed substantial genetic variation among the evaluated genotypes, with high heritability and genetic advance for several key traits, indicating strong potential for effective selection and breeding. Traits with high heritability are particularly valuable because they are reliably transmitted to subsequent generations, thereby accelerating genetic improvement. These findings align with previous reports showing considerable genotypic and phenotypic variations and high heritability for important yield-related traits such as number of fruits per plant, plant height, and fruit weight (Reddy et al., 2023).</w:t>
      </w:r>
    </w:p>
    <w:p w14:paraId="049F2021" w14:textId="77777777" w:rsidR="00456D99" w:rsidRPr="001B4FB2" w:rsidRDefault="00456D99" w:rsidP="00456D99">
      <w:pPr>
        <w:spacing w:line="360" w:lineRule="auto"/>
        <w:ind w:firstLine="720"/>
        <w:rPr>
          <w:rFonts w:ascii="Arial" w:eastAsia="Times New Roman" w:hAnsi="Arial" w:cs="Arial"/>
          <w:szCs w:val="24"/>
          <w:lang w:eastAsia="en-GB"/>
        </w:rPr>
      </w:pPr>
      <w:r w:rsidRPr="001B4FB2">
        <w:rPr>
          <w:rFonts w:ascii="Arial" w:eastAsia="Times New Roman" w:hAnsi="Arial" w:cs="Arial"/>
          <w:szCs w:val="24"/>
          <w:lang w:eastAsia="en-GB"/>
        </w:rPr>
        <w:t xml:space="preserve">The Table 1 presents the morphological and yield-related performance of fourteen tomato genotypes, demonstrating substantial phenotypic variability across most traits, suggesting a wide scope for selection and genetic improvement. The days to flowering (DFF) ranged from 14 days (G11) to 24 days (G2), with a mean of 18.7 days, indicating that the experimental materials included both early- and late-flowering types. The fruit length (FL) and fruit diameter (FD) also showed noticeable diversity, varying from 4.22 cm to 8.24 cm and 4.76 cm to 6.7 cm, respectively. These variations </w:t>
      </w:r>
      <w:r w:rsidRPr="001B4FB2">
        <w:rPr>
          <w:rFonts w:ascii="Arial" w:eastAsia="Times New Roman" w:hAnsi="Arial" w:cs="Arial"/>
          <w:szCs w:val="24"/>
          <w:lang w:eastAsia="en-GB"/>
        </w:rPr>
        <w:lastRenderedPageBreak/>
        <w:t>reflect genotypic differences in fruit morphology, which are crucial for consumer preference and processing suitability.</w:t>
      </w:r>
    </w:p>
    <w:p w14:paraId="0CFCDC3B" w14:textId="44C130A3" w:rsidR="00456D99" w:rsidRPr="001B4FB2" w:rsidRDefault="00456D99" w:rsidP="00D57C44">
      <w:pPr>
        <w:spacing w:line="360" w:lineRule="auto"/>
        <w:ind w:firstLine="720"/>
        <w:rPr>
          <w:rFonts w:ascii="Arial" w:hAnsi="Arial" w:cs="Arial"/>
          <w:szCs w:val="24"/>
        </w:rPr>
      </w:pPr>
      <w:r w:rsidRPr="001B4FB2">
        <w:rPr>
          <w:rFonts w:ascii="Arial" w:eastAsia="Times New Roman" w:hAnsi="Arial" w:cs="Arial"/>
          <w:szCs w:val="24"/>
          <w:lang w:eastAsia="en-GB"/>
        </w:rPr>
        <w:t xml:space="preserve">Regarding fruit weight, the standard fruit weight (FWS) ranged between 68.0 g (BARI Tomato 4) and 163.0 g (G2), with an overall mean of 125.23 g, while plant height (PH) varied from 107.6 cm to 156.6 cm, averaging 123.68 cm. Such variations imply differing growth </w:t>
      </w:r>
      <w:proofErr w:type="spellStart"/>
      <w:r w:rsidRPr="001B4FB2">
        <w:rPr>
          <w:rFonts w:ascii="Arial" w:eastAsia="Times New Roman" w:hAnsi="Arial" w:cs="Arial"/>
          <w:szCs w:val="24"/>
          <w:lang w:eastAsia="en-GB"/>
        </w:rPr>
        <w:t>vigor</w:t>
      </w:r>
      <w:proofErr w:type="spellEnd"/>
      <w:r w:rsidRPr="001B4FB2">
        <w:rPr>
          <w:rFonts w:ascii="Arial" w:eastAsia="Times New Roman" w:hAnsi="Arial" w:cs="Arial"/>
          <w:szCs w:val="24"/>
          <w:lang w:eastAsia="en-GB"/>
        </w:rPr>
        <w:t xml:space="preserve"> and yield potential among the genotypes. The days to first and last harvest (DHF and DHL) averaged 60.77 and 89.60 days, respectively, showing moderate differences in crop duration, which is advantageous for staggered harvesting and extended market supply. The reproductive traits number of fruit clusters (FC) and fruits per plant (NFPP) also exhibited high variability, with means of 6.39 and 15.20, respectively. The yield per plant (YPP), a major economic trait, ranged widely from 0.58 kg (G2) to 1.42 kg (G11), with a mean of 0.97 kg. This finding indicates the existence of both high- and low-yielding genotypes within the tested population. Notably, BARI Tomato 10 and G11 produced comparatively higher yields, highlighting their potential for commercial production. Shelf life (SL) ranged from 6 to 8 days (mean = 7.2 days), suggesting moderate postharvest longevity among the evaluated lines. Conversely, wilt incidence (Wilt) varied markedly from 16% to 57.69%, with an average of 29.82%, revealing substantial differences in disease resistance. Genotypes with lower wilt percentages, such as BARI Tomato 10 (16%) and G5 (18.51%), can be considered more tolerant to wilt disease and hence suitable for cultivation under disease-prone conditions. The significant morphological variation observed across genotypes highlights the presence of ample genetic diversity within the studied tomato population. The wide range in flowering time indicates adaptability to different growing seasons, which is valuable for breeding programs targeting both early- and late-harvesting types. Differences in fruit dimensions and weights suggest strong genetic control of these yield components, offering opportunities to select for both consumer-preferred and processing-friendly types. The variability in wilt incidence further emphasizes the availability of resistant genotypes that can be used to strengthen disease tolerance in future breeding lines. Collectively, this diversity provides a broad genetic base for yield improvement and stress resilience in tomato.</w:t>
      </w:r>
      <w:r w:rsidRPr="001B4FB2">
        <w:rPr>
          <w:rFonts w:ascii="Arial" w:hAnsi="Arial" w:cs="Arial"/>
          <w:szCs w:val="24"/>
        </w:rPr>
        <w:t xml:space="preserve"> The significant morphological variation observed across genotypes highlights the presence of ample genetic diversity within the studied tomato population. Such diversity provides a broad genetic base for yield improvement and stress resilience in tomato, aligning with the conclusions of earlier studies (</w:t>
      </w:r>
      <w:proofErr w:type="spellStart"/>
      <w:r w:rsidRPr="001B4FB2">
        <w:rPr>
          <w:rFonts w:ascii="Arial" w:hAnsi="Arial" w:cs="Arial"/>
          <w:szCs w:val="24"/>
        </w:rPr>
        <w:t>Heiba</w:t>
      </w:r>
      <w:proofErr w:type="spellEnd"/>
      <w:r w:rsidRPr="001B4FB2">
        <w:rPr>
          <w:rFonts w:ascii="Arial" w:hAnsi="Arial" w:cs="Arial"/>
          <w:szCs w:val="24"/>
        </w:rPr>
        <w:t xml:space="preserve"> et al., 2023). The wide range in flowering time </w:t>
      </w:r>
      <w:r w:rsidRPr="001B4FB2">
        <w:rPr>
          <w:rFonts w:ascii="Arial" w:hAnsi="Arial" w:cs="Arial"/>
          <w:szCs w:val="24"/>
        </w:rPr>
        <w:lastRenderedPageBreak/>
        <w:t>indicates adaptability to different growing seasons, which is valuable for breeding both early- and late-harvesting types. Differences in fruit dimensions and weights suggest strong genetic control of yield components, offering opportunities to select for consumer-preferred and processing-friendly types. The variability in wilt incidence further emphasizes the availability of resistant genotypes that can strengthen disease tolerance in future breeding lines.</w:t>
      </w:r>
    </w:p>
    <w:p w14:paraId="5B9976E8" w14:textId="10B9ECE1" w:rsidR="00456D99" w:rsidRPr="001B4FB2" w:rsidRDefault="00456D99" w:rsidP="00456D99">
      <w:pPr>
        <w:spacing w:line="360" w:lineRule="auto"/>
        <w:ind w:firstLine="720"/>
        <w:rPr>
          <w:rFonts w:ascii="Arial" w:hAnsi="Arial" w:cs="Arial"/>
          <w:szCs w:val="24"/>
        </w:rPr>
      </w:pPr>
      <w:r w:rsidRPr="001B4FB2">
        <w:rPr>
          <w:rFonts w:ascii="Arial" w:eastAsia="Times New Roman" w:hAnsi="Arial" w:cs="Arial"/>
          <w:szCs w:val="24"/>
          <w:lang w:eastAsia="en-GB"/>
        </w:rPr>
        <w:t>The scree plot of principal components illustrated the genetic diversity among the tomato genotypes. The first principal component (PC1) accounted for 15.6% of the total variance, while the second principal component (PC2) explained 8.5%, cumulatively capturing 47.2% of the genetic variation (</w:t>
      </w:r>
      <w:r w:rsidRPr="001B4FB2">
        <w:rPr>
          <w:rFonts w:ascii="Arial" w:eastAsia="Times New Roman" w:hAnsi="Arial" w:cs="Arial"/>
          <w:b/>
          <w:bCs/>
          <w:color w:val="000000" w:themeColor="text1"/>
          <w:szCs w:val="24"/>
          <w:lang w:eastAsia="en-GB"/>
        </w:rPr>
        <w:t>Figure 1</w:t>
      </w:r>
      <w:r w:rsidRPr="001B4FB2">
        <w:rPr>
          <w:rFonts w:ascii="Arial" w:eastAsia="Times New Roman" w:hAnsi="Arial" w:cs="Arial"/>
          <w:szCs w:val="24"/>
          <w:lang w:eastAsia="en-GB"/>
        </w:rPr>
        <w:t xml:space="preserve">). </w:t>
      </w:r>
      <w:r w:rsidRPr="001B4FB2">
        <w:rPr>
          <w:rFonts w:ascii="Arial" w:hAnsi="Arial" w:cs="Arial"/>
          <w:szCs w:val="24"/>
        </w:rPr>
        <w:t>The distribution of variance among multiple components implies that the traits are polygenically controlled, with no single trait dominating variability. This balanced contribution ensures that selection can be based on multiple attributes simultaneously—enhancing breeding efficiency. Similar findings were reported by Alghamdi (2025), who emphasized the utility of PCA in reducing data dimensionality and identifying key traits driving diversity.</w:t>
      </w:r>
    </w:p>
    <w:p w14:paraId="29739A51" w14:textId="5CF207F8" w:rsidR="00456D99" w:rsidRPr="001B4FB2" w:rsidRDefault="00456D99" w:rsidP="00456D99">
      <w:pPr>
        <w:spacing w:line="360" w:lineRule="auto"/>
        <w:ind w:firstLine="720"/>
        <w:rPr>
          <w:rFonts w:ascii="Arial" w:hAnsi="Arial" w:cs="Arial"/>
          <w:szCs w:val="24"/>
        </w:rPr>
      </w:pPr>
      <w:r w:rsidRPr="001B4FB2">
        <w:rPr>
          <w:rFonts w:ascii="Arial" w:eastAsia="Times New Roman" w:hAnsi="Arial" w:cs="Arial"/>
          <w:szCs w:val="24"/>
          <w:lang w:eastAsia="en-GB"/>
        </w:rPr>
        <w:t xml:space="preserve">Three distinct genetic clusters were identified in the PCA biplot, each represented by different </w:t>
      </w:r>
      <w:proofErr w:type="spellStart"/>
      <w:r w:rsidRPr="001B4FB2">
        <w:rPr>
          <w:rFonts w:ascii="Arial" w:eastAsia="Times New Roman" w:hAnsi="Arial" w:cs="Arial"/>
          <w:szCs w:val="24"/>
          <w:lang w:eastAsia="en-GB"/>
        </w:rPr>
        <w:t>colors</w:t>
      </w:r>
      <w:proofErr w:type="spellEnd"/>
      <w:r w:rsidRPr="001B4FB2">
        <w:rPr>
          <w:rFonts w:ascii="Arial" w:eastAsia="Times New Roman" w:hAnsi="Arial" w:cs="Arial"/>
          <w:szCs w:val="24"/>
          <w:lang w:eastAsia="en-GB"/>
        </w:rPr>
        <w:t xml:space="preserve">. Cluster 1 (blue), located on the left side with negative PC1 values, comprised G1, G11, and BARI Tomato 4. This group showed distinct divergence from the rest, indicating unique genetic characteristics possibly associated with early flowering and moderate yield traits. Cluster 2 (black), positioned toward the right side of the plot with predominantly positive PC1 values, included G2, G3, G4, G6, G7, G8, G9, and G10. This cluster represented the majority of genotypes, reflecting a broad genetic base characterized by high plant </w:t>
      </w:r>
      <w:proofErr w:type="spellStart"/>
      <w:r w:rsidRPr="001B4FB2">
        <w:rPr>
          <w:rFonts w:ascii="Arial" w:eastAsia="Times New Roman" w:hAnsi="Arial" w:cs="Arial"/>
          <w:szCs w:val="24"/>
          <w:lang w:eastAsia="en-GB"/>
        </w:rPr>
        <w:t>vigor</w:t>
      </w:r>
      <w:proofErr w:type="spellEnd"/>
      <w:r w:rsidRPr="001B4FB2">
        <w:rPr>
          <w:rFonts w:ascii="Arial" w:eastAsia="Times New Roman" w:hAnsi="Arial" w:cs="Arial"/>
          <w:szCs w:val="24"/>
          <w:lang w:eastAsia="en-GB"/>
        </w:rPr>
        <w:t xml:space="preserve"> and diverse yield-related attributes. Cluster 3 (red), situated in the lower-left quadrant with slightly negative PC1 and PC2 values, consisted of BARI Tomato 10, BARI Tomato 8, BARI Tomato 11, and G5. These genotypes were closely associated, suggesting similar performance profiles in fruit yield and disease resistance. The spatial separation among the three clusters along PC1 and PC2 indicates substantial genetic differentiation among the evaluated tomato genotypes, although minor overlaps suggest some shared genetic backgrounds (</w:t>
      </w:r>
      <w:r w:rsidRPr="001B4FB2">
        <w:rPr>
          <w:rFonts w:ascii="Arial" w:eastAsia="Times New Roman" w:hAnsi="Arial" w:cs="Arial"/>
          <w:b/>
          <w:bCs/>
          <w:szCs w:val="24"/>
          <w:lang w:eastAsia="en-GB"/>
        </w:rPr>
        <w:t>Figure 2</w:t>
      </w:r>
      <w:r w:rsidRPr="001B4FB2">
        <w:rPr>
          <w:rFonts w:ascii="Arial" w:eastAsia="Times New Roman" w:hAnsi="Arial" w:cs="Arial"/>
          <w:szCs w:val="24"/>
          <w:lang w:eastAsia="en-GB"/>
        </w:rPr>
        <w:t xml:space="preserve">). </w:t>
      </w:r>
      <w:r w:rsidRPr="001B4FB2">
        <w:rPr>
          <w:rFonts w:ascii="Arial" w:hAnsi="Arial" w:cs="Arial"/>
          <w:szCs w:val="24"/>
        </w:rPr>
        <w:t xml:space="preserve">The spatial separation among clusters indicates substantial genetic differentiation, consistent with observations by </w:t>
      </w:r>
      <w:proofErr w:type="spellStart"/>
      <w:r w:rsidRPr="001B4FB2">
        <w:rPr>
          <w:rFonts w:ascii="Arial" w:hAnsi="Arial" w:cs="Arial"/>
          <w:szCs w:val="24"/>
        </w:rPr>
        <w:t>Nankar</w:t>
      </w:r>
      <w:proofErr w:type="spellEnd"/>
      <w:r w:rsidRPr="001B4FB2">
        <w:rPr>
          <w:rFonts w:ascii="Arial" w:hAnsi="Arial" w:cs="Arial"/>
          <w:szCs w:val="24"/>
        </w:rPr>
        <w:t xml:space="preserve"> et al. (2020), who demonstrated the utility of cluster analysis in classifying tomato germplasm.</w:t>
      </w:r>
    </w:p>
    <w:p w14:paraId="731D9626" w14:textId="6B59E421" w:rsidR="00456D99" w:rsidRDefault="00456D99" w:rsidP="00D57C44">
      <w:pPr>
        <w:spacing w:line="360" w:lineRule="auto"/>
        <w:ind w:firstLine="720"/>
        <w:rPr>
          <w:rFonts w:ascii="Arial" w:hAnsi="Arial" w:cs="Arial"/>
          <w:szCs w:val="24"/>
        </w:rPr>
      </w:pPr>
      <w:r w:rsidRPr="001B4FB2">
        <w:rPr>
          <w:rFonts w:ascii="Arial" w:eastAsia="Times New Roman" w:hAnsi="Arial" w:cs="Arial"/>
          <w:szCs w:val="24"/>
          <w:lang w:eastAsia="en-GB"/>
        </w:rPr>
        <w:lastRenderedPageBreak/>
        <w:t>The variable PCA biplot revealed that Dim1 (54.5%) primarily accounted for variation associated with fruit morphology and yield attributes, whereas Dim2 (15.6%) represented variation related to disease response and developmental traits (</w:t>
      </w:r>
      <w:r w:rsidRPr="001B4FB2">
        <w:rPr>
          <w:rFonts w:ascii="Arial" w:eastAsia="Times New Roman" w:hAnsi="Arial" w:cs="Arial"/>
          <w:b/>
          <w:bCs/>
          <w:szCs w:val="24"/>
          <w:lang w:eastAsia="en-GB"/>
        </w:rPr>
        <w:t>Figure 3</w:t>
      </w:r>
      <w:r w:rsidRPr="001B4FB2">
        <w:rPr>
          <w:rFonts w:ascii="Arial" w:eastAsia="Times New Roman" w:hAnsi="Arial" w:cs="Arial"/>
          <w:szCs w:val="24"/>
          <w:lang w:eastAsia="en-GB"/>
        </w:rPr>
        <w:t xml:space="preserve">). Traits such as fruit weight (FWS), fruit length (FL), and days to flowering (DFF) contributed strongly to Dim1, as indicated by their long vectors and high cos² values, reflecting their major influence on the overall genotype differentiation. Similarly, days to first harvest (DHF) and days to last harvest (DHL) were also positively aligned with Dim1, demonstrating their close relationship with fruit development and maturation patterns. On the other hand, fruit clusters per plant (FC), number of fruits per plant (NFPP), and yield per plant (YPP) were positioned on the negative side of Dim1, highlighting their contrasting influence relative to fruit size traits. Shelf life (SL) and plant height (PH) showed moderate contributions, projecting toward the lower quadrants, suggesting their limited but notable influence on Dim2. Meanwhile, fruit diameter (FD) and wilt incidence (Wilt) exhibited strong associations with Dim2, indicating that this dimension primarily captured the variation due to disease tolerance and fruit shape characteristics. The variable PCA biplot provides valuable insights into the complex interrelationships among traits influencing tomato performance. </w:t>
      </w:r>
      <w:r w:rsidRPr="001B4FB2">
        <w:rPr>
          <w:rFonts w:ascii="Arial" w:hAnsi="Arial" w:cs="Arial"/>
          <w:szCs w:val="24"/>
        </w:rPr>
        <w:t>This reflects trade-offs between yield components and stress tolerance, as also reported by Greenacre et al. (2022).</w:t>
      </w:r>
    </w:p>
    <w:p w14:paraId="28F222A1" w14:textId="7DBBE773" w:rsidR="001B4FB2" w:rsidRPr="001B4FB2" w:rsidRDefault="001B4FB2" w:rsidP="00255C67">
      <w:pPr>
        <w:spacing w:line="360" w:lineRule="auto"/>
        <w:ind w:firstLine="720"/>
        <w:rPr>
          <w:rFonts w:ascii="Arial" w:hAnsi="Arial" w:cs="Arial"/>
          <w:szCs w:val="24"/>
        </w:rPr>
      </w:pPr>
      <w:r w:rsidRPr="00255C67">
        <w:rPr>
          <w:rFonts w:ascii="Arial" w:hAnsi="Arial" w:cs="Arial"/>
          <w:b/>
          <w:bCs/>
          <w:szCs w:val="24"/>
        </w:rPr>
        <w:t xml:space="preserve">Figure </w:t>
      </w:r>
      <w:r w:rsidR="00255C67">
        <w:rPr>
          <w:rFonts w:ascii="Arial" w:hAnsi="Arial" w:cs="Arial"/>
          <w:b/>
          <w:bCs/>
          <w:szCs w:val="24"/>
        </w:rPr>
        <w:t>4</w:t>
      </w:r>
      <w:r>
        <w:rPr>
          <w:rFonts w:ascii="Arial" w:hAnsi="Arial" w:cs="Arial"/>
          <w:szCs w:val="24"/>
        </w:rPr>
        <w:t xml:space="preserve"> represents the traits and </w:t>
      </w:r>
      <w:r w:rsidR="00255C67">
        <w:rPr>
          <w:rFonts w:ascii="Arial" w:hAnsi="Arial" w:cs="Arial"/>
          <w:szCs w:val="24"/>
        </w:rPr>
        <w:t>genotype-based</w:t>
      </w:r>
      <w:r>
        <w:rPr>
          <w:rFonts w:ascii="Arial" w:hAnsi="Arial" w:cs="Arial"/>
          <w:szCs w:val="24"/>
        </w:rPr>
        <w:t xml:space="preserve"> cluster analysis and cluster 2 revealed most of the yield </w:t>
      </w:r>
      <w:r w:rsidR="00255C67">
        <w:rPr>
          <w:rFonts w:ascii="Arial" w:hAnsi="Arial" w:cs="Arial"/>
          <w:szCs w:val="24"/>
        </w:rPr>
        <w:t>related traits are associated within this cluster. But yield was mainly greatly interlinked with cluster 3.</w:t>
      </w:r>
    </w:p>
    <w:p w14:paraId="592026C9" w14:textId="347DA3A6" w:rsidR="00456D99" w:rsidRPr="001B4FB2" w:rsidRDefault="00456D99" w:rsidP="00D57C44">
      <w:pPr>
        <w:spacing w:line="360" w:lineRule="auto"/>
        <w:ind w:firstLine="720"/>
        <w:rPr>
          <w:rFonts w:ascii="Arial" w:hAnsi="Arial" w:cs="Arial"/>
          <w:szCs w:val="24"/>
        </w:rPr>
      </w:pPr>
      <w:r w:rsidRPr="001B4FB2">
        <w:rPr>
          <w:rFonts w:ascii="Arial" w:eastAsia="Times New Roman" w:hAnsi="Arial" w:cs="Arial"/>
          <w:szCs w:val="24"/>
          <w:lang w:eastAsia="en-GB"/>
        </w:rPr>
        <w:t>The correlation matrix revealed several significant associations among the studied traits (</w:t>
      </w:r>
      <w:r w:rsidRPr="001B4FB2">
        <w:rPr>
          <w:rFonts w:ascii="Arial" w:eastAsia="Times New Roman" w:hAnsi="Arial" w:cs="Arial"/>
          <w:b/>
          <w:bCs/>
          <w:szCs w:val="24"/>
          <w:lang w:eastAsia="en-GB"/>
        </w:rPr>
        <w:t xml:space="preserve">Figure </w:t>
      </w:r>
      <w:r w:rsidR="00255C67">
        <w:rPr>
          <w:rFonts w:ascii="Arial" w:eastAsia="Times New Roman" w:hAnsi="Arial" w:cs="Arial"/>
          <w:b/>
          <w:bCs/>
          <w:szCs w:val="24"/>
          <w:lang w:eastAsia="en-GB"/>
        </w:rPr>
        <w:t>5</w:t>
      </w:r>
      <w:r w:rsidRPr="001B4FB2">
        <w:rPr>
          <w:rFonts w:ascii="Arial" w:eastAsia="Times New Roman" w:hAnsi="Arial" w:cs="Arial"/>
          <w:szCs w:val="24"/>
          <w:lang w:eastAsia="en-GB"/>
        </w:rPr>
        <w:t xml:space="preserve">). DHL exhibited strong positive correlations with DHF (0.72**) and FL (0.52*). PH recorded strong association with DHF (0.64*). DHF showed a strong positive association with FL (0.83***), and FWS (0.61*) while YPP demonstrated significant negative relationships with NFPP (−0.73**), FC (−0.71**), and YPP (−0.77*). FL was significantly correlated with FWS (0.82***), while showing strong negative associations with NFPP (−0.86***), FC (−0.81***), and YPP (−0.77***). FWS exhibited strong positive correlations with FD (0.52*), while SL, wilt, and FD did not demonstrate any significant relationships with other traits. NFPP recorded significant association with FC (0.94***) and YPP (0.83***). Correlation analysis revealed strong positive and negative interrelationships among the traits, indicating potential pathways for indirect selection. The positive association between fruit length, </w:t>
      </w:r>
      <w:r w:rsidRPr="001B4FB2">
        <w:rPr>
          <w:rFonts w:ascii="Arial" w:eastAsia="Times New Roman" w:hAnsi="Arial" w:cs="Arial"/>
          <w:szCs w:val="24"/>
          <w:lang w:eastAsia="en-GB"/>
        </w:rPr>
        <w:lastRenderedPageBreak/>
        <w:t>weight, and harvest duration suggests that genotypes with extended growth periods tend to produce larger fruits. Conversely, the negative correlations of yield per plant with fruit number and clusters indicate a trade-off between fruit quantity and size, an essential consideration for optimizing yield components. The independence of wilt and shelf life from other traits implies that these can be improved without adversely affecting yield traits, enabling breeders to develop high-yielding yet disease-tolerant cultivars.</w:t>
      </w:r>
      <w:r w:rsidRPr="001B4FB2">
        <w:rPr>
          <w:rFonts w:ascii="Arial" w:hAnsi="Arial" w:cs="Arial"/>
          <w:szCs w:val="24"/>
        </w:rPr>
        <w:t xml:space="preserve"> The negative relationship between YPP and NFPP highlights the classic yield-size trade-off common in tomato breeding.</w:t>
      </w:r>
    </w:p>
    <w:p w14:paraId="6CFF3F68" w14:textId="00D06889" w:rsidR="00456D99" w:rsidRPr="001B4FB2" w:rsidRDefault="00456D99" w:rsidP="00D57C44">
      <w:pPr>
        <w:spacing w:line="360" w:lineRule="auto"/>
        <w:ind w:firstLine="720"/>
        <w:rPr>
          <w:rFonts w:ascii="Arial" w:hAnsi="Arial" w:cs="Arial"/>
          <w:szCs w:val="24"/>
        </w:rPr>
      </w:pPr>
      <w:r w:rsidRPr="001B4FB2">
        <w:rPr>
          <w:rFonts w:ascii="Arial" w:eastAsia="Times New Roman" w:hAnsi="Arial" w:cs="Arial"/>
          <w:szCs w:val="24"/>
          <w:lang w:eastAsia="en-GB"/>
        </w:rPr>
        <w:t>The dendrogram illustrated the hierarchical clustering of the tomato genotypes into three distinct groups based on trait similarity (</w:t>
      </w:r>
      <w:r w:rsidRPr="001B4FB2">
        <w:rPr>
          <w:rFonts w:ascii="Arial" w:eastAsia="Times New Roman" w:hAnsi="Arial" w:cs="Arial"/>
          <w:b/>
          <w:bCs/>
          <w:szCs w:val="24"/>
          <w:lang w:eastAsia="en-GB"/>
        </w:rPr>
        <w:t xml:space="preserve">Figure </w:t>
      </w:r>
      <w:r w:rsidR="00255C67">
        <w:rPr>
          <w:rFonts w:ascii="Arial" w:eastAsia="Times New Roman" w:hAnsi="Arial" w:cs="Arial"/>
          <w:b/>
          <w:bCs/>
          <w:szCs w:val="24"/>
          <w:lang w:eastAsia="en-GB"/>
        </w:rPr>
        <w:t>6</w:t>
      </w:r>
      <w:r w:rsidRPr="001B4FB2">
        <w:rPr>
          <w:rFonts w:ascii="Arial" w:eastAsia="Times New Roman" w:hAnsi="Arial" w:cs="Arial"/>
          <w:szCs w:val="24"/>
          <w:lang w:eastAsia="en-GB"/>
        </w:rPr>
        <w:t>). Cluster 1 included G1, G2, G3, G4, G5, G6, and G7, representing a group of genotypes with close genetic resemblance and relatively shorter linkage distance. Cluster 2 comprised G8, G9, G10, and G11, forming a moderately distant subgroup with partial overlap in trait performance. Cluster 3, the most distinct group, contained BARI Tomato 4, BARI Tomato 8, BARI Tomato 10, and BARI Tomato 11, which were clearly separated from the other genotypes, indicating unique phenotypic characteristics likely related to yield and fruit quality traits.</w:t>
      </w:r>
      <w:r w:rsidRPr="001B4FB2">
        <w:rPr>
          <w:rFonts w:ascii="Arial" w:hAnsi="Arial" w:cs="Arial"/>
          <w:szCs w:val="24"/>
        </w:rPr>
        <w:t xml:space="preserve"> These distinct clusters suggest clear genetic structuring, supporting their potential for parental selection in hybridization programs (</w:t>
      </w:r>
      <w:proofErr w:type="spellStart"/>
      <w:r w:rsidRPr="001B4FB2">
        <w:rPr>
          <w:rFonts w:ascii="Arial" w:hAnsi="Arial" w:cs="Arial"/>
          <w:szCs w:val="24"/>
        </w:rPr>
        <w:t>Nankar</w:t>
      </w:r>
      <w:proofErr w:type="spellEnd"/>
      <w:r w:rsidRPr="001B4FB2">
        <w:rPr>
          <w:rFonts w:ascii="Arial" w:hAnsi="Arial" w:cs="Arial"/>
          <w:szCs w:val="24"/>
        </w:rPr>
        <w:t xml:space="preserve"> et al., 2020).</w:t>
      </w:r>
    </w:p>
    <w:p w14:paraId="1730752A" w14:textId="09CE634F" w:rsidR="00456D99" w:rsidRPr="001B4FB2" w:rsidRDefault="00456D99" w:rsidP="00456D99">
      <w:pPr>
        <w:spacing w:line="360" w:lineRule="auto"/>
        <w:ind w:firstLine="720"/>
        <w:rPr>
          <w:rFonts w:ascii="Arial" w:eastAsia="Times New Roman" w:hAnsi="Arial" w:cs="Arial"/>
          <w:szCs w:val="24"/>
          <w:lang w:eastAsia="en-GB"/>
        </w:rPr>
      </w:pPr>
      <w:r w:rsidRPr="001B4FB2">
        <w:rPr>
          <w:rFonts w:ascii="Arial" w:eastAsia="Times New Roman" w:hAnsi="Arial" w:cs="Arial"/>
          <w:szCs w:val="24"/>
          <w:lang w:eastAsia="en-GB"/>
        </w:rPr>
        <w:t>A RADAR plot was used to evaluate the mean performance of clusters across the studied traits (</w:t>
      </w:r>
      <w:r w:rsidRPr="001B4FB2">
        <w:rPr>
          <w:rFonts w:ascii="Arial" w:eastAsia="Times New Roman" w:hAnsi="Arial" w:cs="Arial"/>
          <w:b/>
          <w:bCs/>
          <w:szCs w:val="24"/>
          <w:lang w:eastAsia="en-GB"/>
        </w:rPr>
        <w:t xml:space="preserve">Figure </w:t>
      </w:r>
      <w:r w:rsidR="00255C67">
        <w:rPr>
          <w:rFonts w:ascii="Arial" w:eastAsia="Times New Roman" w:hAnsi="Arial" w:cs="Arial"/>
          <w:b/>
          <w:bCs/>
          <w:szCs w:val="24"/>
          <w:lang w:eastAsia="en-GB"/>
        </w:rPr>
        <w:t>7</w:t>
      </w:r>
      <w:r w:rsidRPr="001B4FB2">
        <w:rPr>
          <w:rFonts w:ascii="Arial" w:eastAsia="Times New Roman" w:hAnsi="Arial" w:cs="Arial"/>
          <w:szCs w:val="24"/>
          <w:lang w:eastAsia="en-GB"/>
        </w:rPr>
        <w:t xml:space="preserve">). Cluster 1 (G2, G3, G4, G6, G8) showed relatively higher scores for FD and FWS, indicating strong fruit development and size attributes, while maintaining moderate values across most other traits. Cluster 2 (G7) occupied a distinct position with high overall area, characterized by superior values for PH, DHF, DHL, and FL, suggesting robust plant growth and late flowering </w:t>
      </w:r>
      <w:proofErr w:type="spellStart"/>
      <w:r w:rsidRPr="001B4FB2">
        <w:rPr>
          <w:rFonts w:ascii="Arial" w:eastAsia="Times New Roman" w:hAnsi="Arial" w:cs="Arial"/>
          <w:szCs w:val="24"/>
          <w:lang w:eastAsia="en-GB"/>
        </w:rPr>
        <w:t>behavior</w:t>
      </w:r>
      <w:proofErr w:type="spellEnd"/>
      <w:r w:rsidRPr="001B4FB2">
        <w:rPr>
          <w:rFonts w:ascii="Arial" w:eastAsia="Times New Roman" w:hAnsi="Arial" w:cs="Arial"/>
          <w:szCs w:val="24"/>
          <w:lang w:eastAsia="en-GB"/>
        </w:rPr>
        <w:t>. Cluster 3 (G5, BARI Tomato 8, BARI Tomato 10, BARI Tomato 11) demonstrated remarkable performance for YPP and NFPP, signifying its strong yield potential and fruit productivity. Cluster 4 (G1, G11, BARI Tomato 4) attained higher mean values for Wilt, SL, and FD, reflecting good stress tolerance and shoot development. In contrast, Cluster 5 (G9, G10) exhibited moderate to high values across most traits but performed best for DFF and FL, indicating balanced performance with relatively early flowering characteristics. Such visual integration of trait performance confirms PCA and clustering outcomes, demonstrating the power of multivariate tools in genotype evaluation (Das et al., 2024).</w:t>
      </w:r>
    </w:p>
    <w:p w14:paraId="390B93D1" w14:textId="76FC757C" w:rsidR="00456D99" w:rsidRPr="001B4FB2" w:rsidRDefault="00456D99" w:rsidP="00456D99">
      <w:pPr>
        <w:spacing w:line="360" w:lineRule="auto"/>
        <w:ind w:firstLine="720"/>
        <w:rPr>
          <w:rFonts w:ascii="Arial" w:hAnsi="Arial" w:cs="Arial"/>
          <w:szCs w:val="24"/>
        </w:rPr>
      </w:pPr>
      <w:r w:rsidRPr="001B4FB2">
        <w:rPr>
          <w:rFonts w:ascii="Arial" w:hAnsi="Arial" w:cs="Arial"/>
          <w:szCs w:val="24"/>
        </w:rPr>
        <w:lastRenderedPageBreak/>
        <w:t xml:space="preserve">Performance evaluation of tomato genotypes in Bangladesh is crucial for identifying high-yielding, disease-resistant, and climate-adapted varieties suited for local conditions. In this study, genotypes such as G5, G7, G10, and G11 exhibited strong yield potential, desirable fruit morphology, and better wilt tolerance. These results align with previous findings by Das et al. (2024) who reported significant varietal differences in yield and disease resistance among tomato lines. Particularly, G11 and BARI Tomato 10 outperformed several checks, suggesting superior genetic potential and adaptability. Similar to Phiri et al. (2024), who identified multiple resistant accessions against </w:t>
      </w:r>
      <w:proofErr w:type="spellStart"/>
      <w:r w:rsidRPr="001B4FB2">
        <w:rPr>
          <w:rFonts w:ascii="Arial" w:hAnsi="Arial" w:cs="Arial"/>
          <w:i/>
          <w:iCs/>
          <w:szCs w:val="24"/>
        </w:rPr>
        <w:t>Ralstonia</w:t>
      </w:r>
      <w:proofErr w:type="spellEnd"/>
      <w:r w:rsidRPr="001B4FB2">
        <w:rPr>
          <w:rFonts w:ascii="Arial" w:hAnsi="Arial" w:cs="Arial"/>
          <w:i/>
          <w:iCs/>
          <w:szCs w:val="24"/>
        </w:rPr>
        <w:t xml:space="preserve"> solanacearum</w:t>
      </w:r>
      <w:r w:rsidRPr="001B4FB2">
        <w:rPr>
          <w:rFonts w:ascii="Arial" w:hAnsi="Arial" w:cs="Arial"/>
          <w:szCs w:val="24"/>
        </w:rPr>
        <w:t>, this study identified genotypes (e.g., G5, BARI Tomato 10) with low wilt incidence, representing valuable breeding material for bacterial wilt resistance. The higher productivity observed in this study relative to previous reports (</w:t>
      </w:r>
      <w:proofErr w:type="spellStart"/>
      <w:r w:rsidRPr="001B4FB2">
        <w:rPr>
          <w:rFonts w:ascii="Arial" w:hAnsi="Arial" w:cs="Arial"/>
          <w:szCs w:val="24"/>
        </w:rPr>
        <w:t>Gotame</w:t>
      </w:r>
      <w:proofErr w:type="spellEnd"/>
      <w:r w:rsidRPr="001B4FB2">
        <w:rPr>
          <w:rFonts w:ascii="Arial" w:hAnsi="Arial" w:cs="Arial"/>
          <w:szCs w:val="24"/>
        </w:rPr>
        <w:t xml:space="preserve"> et al., 2021) underscores the enhanced genetic potential and improved genotype × environment interaction of the evaluated materials.</w:t>
      </w:r>
    </w:p>
    <w:p w14:paraId="0C327E50" w14:textId="77777777" w:rsidR="00456D99" w:rsidRPr="001B4FB2" w:rsidRDefault="00456D99" w:rsidP="00456D99">
      <w:pPr>
        <w:spacing w:line="360" w:lineRule="auto"/>
        <w:ind w:firstLine="720"/>
        <w:rPr>
          <w:rFonts w:ascii="Arial" w:eastAsia="Times New Roman" w:hAnsi="Arial" w:cs="Arial"/>
          <w:szCs w:val="24"/>
          <w:lang w:eastAsia="en-GB"/>
        </w:rPr>
      </w:pPr>
    </w:p>
    <w:p w14:paraId="08247E2F" w14:textId="38814389" w:rsidR="00456D99" w:rsidRPr="001B4FB2" w:rsidRDefault="00D57C44" w:rsidP="00D57C44">
      <w:pPr>
        <w:pStyle w:val="ListParagraph"/>
        <w:numPr>
          <w:ilvl w:val="0"/>
          <w:numId w:val="1"/>
        </w:numPr>
        <w:spacing w:line="360" w:lineRule="auto"/>
        <w:rPr>
          <w:rFonts w:ascii="Arial" w:hAnsi="Arial" w:cs="Arial"/>
          <w:szCs w:val="24"/>
        </w:rPr>
      </w:pPr>
      <w:r w:rsidRPr="001B4FB2">
        <w:rPr>
          <w:rStyle w:val="Strong"/>
          <w:rFonts w:ascii="Arial" w:hAnsi="Arial" w:cs="Arial"/>
          <w:szCs w:val="24"/>
        </w:rPr>
        <w:t>CONCLUSION</w:t>
      </w:r>
    </w:p>
    <w:p w14:paraId="7B09909C" w14:textId="72D2C264" w:rsidR="00456D99" w:rsidRPr="001B4FB2" w:rsidRDefault="00456D99" w:rsidP="00456D99">
      <w:pPr>
        <w:pStyle w:val="NormalWeb"/>
        <w:spacing w:before="0" w:beforeAutospacing="0" w:after="0" w:afterAutospacing="0" w:line="360" w:lineRule="auto"/>
        <w:jc w:val="both"/>
        <w:rPr>
          <w:rFonts w:ascii="Arial" w:hAnsi="Arial" w:cs="Arial"/>
        </w:rPr>
      </w:pPr>
      <w:r w:rsidRPr="001B4FB2">
        <w:rPr>
          <w:rFonts w:ascii="Arial" w:hAnsi="Arial" w:cs="Arial"/>
        </w:rPr>
        <w:t>This study aimed to evaluate the morphological and yield-related diversity among fourteen tomato (</w:t>
      </w:r>
      <w:r w:rsidRPr="001B4FB2">
        <w:rPr>
          <w:rStyle w:val="Emphasis"/>
          <w:rFonts w:ascii="Arial" w:hAnsi="Arial" w:cs="Arial"/>
        </w:rPr>
        <w:t xml:space="preserve">Solanum </w:t>
      </w:r>
      <w:proofErr w:type="spellStart"/>
      <w:r w:rsidRPr="001B4FB2">
        <w:rPr>
          <w:rStyle w:val="Emphasis"/>
          <w:rFonts w:ascii="Arial" w:hAnsi="Arial" w:cs="Arial"/>
        </w:rPr>
        <w:t>lycopersicum</w:t>
      </w:r>
      <w:proofErr w:type="spellEnd"/>
      <w:r w:rsidRPr="001B4FB2">
        <w:rPr>
          <w:rFonts w:ascii="Arial" w:hAnsi="Arial" w:cs="Arial"/>
        </w:rPr>
        <w:t xml:space="preserve"> L.) genotypes to identify superior lines for future breeding. Significant variability was observed across key traits such as days to flowering, fruit length, fruit diameter, fruit weight, number of fruits per plant, yield per plant, and wilt incidence, indicating wide phenotypic diversity. Multivariate analyses, including principal component analysis and RADAR plotting, revealed clear genotype groupings and identified several high-performing genotypes—particularly </w:t>
      </w:r>
      <w:r w:rsidRPr="001B4FB2">
        <w:rPr>
          <w:rStyle w:val="Strong"/>
          <w:rFonts w:ascii="Arial" w:hAnsi="Arial" w:cs="Arial"/>
          <w:b w:val="0"/>
          <w:bCs w:val="0"/>
        </w:rPr>
        <w:t>G5, G7, G10, and G11</w:t>
      </w:r>
      <w:r w:rsidR="00985B23" w:rsidRPr="001B4FB2">
        <w:rPr>
          <w:rFonts w:ascii="Arial" w:hAnsi="Arial" w:cs="Arial"/>
        </w:rPr>
        <w:t xml:space="preserve"> </w:t>
      </w:r>
      <w:r w:rsidRPr="001B4FB2">
        <w:rPr>
          <w:rFonts w:ascii="Arial" w:hAnsi="Arial" w:cs="Arial"/>
        </w:rPr>
        <w:t>which exhibited strong yield potential, desirable fruit morphology, and better wilt tolerance. Strong positive correlations among fruit length, fruit weight, and yield components suggest that these traits can serve as effective selection criteria in breeding programs. Overall, the findings provide a solid genetic basis for developing high-yielding, disease-tolerant, and quality-enhanced tomato varieties suitable for diverse growing conditions.</w:t>
      </w:r>
    </w:p>
    <w:p w14:paraId="1B3FA788" w14:textId="77777777" w:rsidR="00985B23" w:rsidRPr="001B4FB2" w:rsidRDefault="00985B23" w:rsidP="00985B23">
      <w:pPr>
        <w:pStyle w:val="Default"/>
        <w:rPr>
          <w:b/>
          <w:bCs/>
        </w:rPr>
      </w:pPr>
    </w:p>
    <w:p w14:paraId="5D221F3E" w14:textId="77777777" w:rsidR="00985B23" w:rsidRPr="001B4FB2" w:rsidRDefault="00985B23" w:rsidP="00985B23">
      <w:pPr>
        <w:pStyle w:val="Default"/>
        <w:rPr>
          <w:b/>
          <w:bCs/>
        </w:rPr>
      </w:pPr>
    </w:p>
    <w:p w14:paraId="52F3396D" w14:textId="740ACB31" w:rsidR="00985B23" w:rsidRPr="001B4FB2" w:rsidRDefault="00985B23" w:rsidP="00985B23">
      <w:pPr>
        <w:pStyle w:val="Default"/>
      </w:pPr>
      <w:r w:rsidRPr="001B4FB2">
        <w:rPr>
          <w:b/>
          <w:bCs/>
        </w:rPr>
        <w:t xml:space="preserve">DISCLAIMER (ARTIFICIAL INTELLIGENCE) </w:t>
      </w:r>
    </w:p>
    <w:p w14:paraId="0C17F7EA" w14:textId="77777777" w:rsidR="00985B23" w:rsidRPr="001B4FB2" w:rsidRDefault="00985B23" w:rsidP="00985B23">
      <w:pPr>
        <w:pStyle w:val="Default"/>
        <w:spacing w:line="360" w:lineRule="auto"/>
        <w:jc w:val="both"/>
      </w:pPr>
    </w:p>
    <w:p w14:paraId="57EEED0D" w14:textId="541A32B4" w:rsidR="00985B23" w:rsidRPr="001B4FB2" w:rsidRDefault="00985B23" w:rsidP="00985B23">
      <w:pPr>
        <w:pStyle w:val="Default"/>
        <w:spacing w:line="360" w:lineRule="auto"/>
        <w:jc w:val="both"/>
      </w:pPr>
      <w:r w:rsidRPr="001B4FB2">
        <w:t>Author(s) hereby declare that NO generative AI technologies such as Large Language Models (</w:t>
      </w:r>
      <w:proofErr w:type="spellStart"/>
      <w:r w:rsidRPr="001B4FB2">
        <w:t>ChatGPT</w:t>
      </w:r>
      <w:proofErr w:type="spellEnd"/>
      <w:r w:rsidRPr="001B4FB2">
        <w:t xml:space="preserve">, COPILOT, etc) and text-to-image generators have been used during writing or editing of this manuscript. </w:t>
      </w:r>
    </w:p>
    <w:p w14:paraId="55CBD6D3" w14:textId="77777777" w:rsidR="00985B23" w:rsidRPr="001B4FB2" w:rsidRDefault="00985B23" w:rsidP="00985B23">
      <w:pPr>
        <w:pStyle w:val="Default"/>
        <w:spacing w:line="360" w:lineRule="auto"/>
        <w:rPr>
          <w:b/>
          <w:bCs/>
        </w:rPr>
      </w:pPr>
    </w:p>
    <w:p w14:paraId="04E0B8B1" w14:textId="77777777" w:rsidR="00DF2EC5" w:rsidRPr="00DF2EC5" w:rsidRDefault="00DF2EC5" w:rsidP="00DF2EC5">
      <w:pPr>
        <w:spacing w:after="200" w:line="276" w:lineRule="auto"/>
        <w:outlineLvl w:val="0"/>
        <w:rPr>
          <w:rFonts w:ascii="Arial" w:eastAsia="Times New Roman" w:hAnsi="Arial" w:cs="Arial"/>
          <w:sz w:val="22"/>
          <w:lang w:eastAsia="en-GB"/>
        </w:rPr>
      </w:pPr>
      <w:r w:rsidRPr="00DF2EC5">
        <w:rPr>
          <w:rFonts w:ascii="Arial" w:eastAsia="Times New Roman" w:hAnsi="Arial" w:cs="Arial"/>
          <w:b/>
          <w:bCs/>
          <w:sz w:val="22"/>
          <w:lang w:eastAsia="en-GB"/>
        </w:rPr>
        <w:t>COMPETING INTERESTS DISCLAIMER:</w:t>
      </w:r>
    </w:p>
    <w:p w14:paraId="3C1A1752" w14:textId="77777777" w:rsidR="00DF2EC5" w:rsidRPr="00DF2EC5" w:rsidRDefault="00DF2EC5" w:rsidP="00DF2EC5">
      <w:pPr>
        <w:spacing w:after="200" w:line="276" w:lineRule="auto"/>
        <w:jc w:val="left"/>
        <w:rPr>
          <w:rFonts w:ascii="Calibri" w:eastAsia="Times New Roman" w:hAnsi="Calibri" w:cs="Times New Roman"/>
          <w:sz w:val="22"/>
          <w:lang w:eastAsia="en-GB"/>
        </w:rPr>
      </w:pPr>
      <w:r w:rsidRPr="00DF2EC5">
        <w:rPr>
          <w:rFonts w:ascii="Calibri" w:eastAsia="Times New Roman" w:hAnsi="Calibri" w:cs="Times New Roman"/>
          <w:sz w:val="22"/>
          <w:lang w:eastAsia="en-GB"/>
        </w:rPr>
        <w:t>Authors have declared that they have no known competing financial interests OR non-financial interests OR personal relationships that could have appeared to influence the work reported in this paper.</w:t>
      </w:r>
    </w:p>
    <w:p w14:paraId="313E6E67" w14:textId="431E23AF" w:rsidR="00985B23" w:rsidRPr="001B4FB2" w:rsidRDefault="00985B23" w:rsidP="00985B23">
      <w:pPr>
        <w:spacing w:line="360" w:lineRule="auto"/>
        <w:rPr>
          <w:rFonts w:ascii="Arial" w:hAnsi="Arial" w:cs="Arial"/>
          <w:szCs w:val="24"/>
        </w:rPr>
      </w:pPr>
    </w:p>
    <w:p w14:paraId="18F397FB" w14:textId="77777777" w:rsidR="00985B23" w:rsidRPr="001B4FB2" w:rsidRDefault="00985B23" w:rsidP="00456D99">
      <w:pPr>
        <w:spacing w:line="360" w:lineRule="auto"/>
        <w:rPr>
          <w:rFonts w:ascii="Arial" w:hAnsi="Arial" w:cs="Arial"/>
          <w:szCs w:val="24"/>
        </w:rPr>
      </w:pPr>
    </w:p>
    <w:p w14:paraId="3E0ED27E" w14:textId="3BB3C879" w:rsidR="00506DC6" w:rsidRPr="001B4FB2" w:rsidRDefault="00985B23">
      <w:pPr>
        <w:rPr>
          <w:rFonts w:ascii="Arial" w:hAnsi="Arial" w:cs="Arial"/>
          <w:b/>
          <w:bCs/>
          <w:szCs w:val="24"/>
        </w:rPr>
      </w:pPr>
      <w:r w:rsidRPr="001B4FB2">
        <w:rPr>
          <w:rFonts w:ascii="Arial" w:hAnsi="Arial" w:cs="Arial"/>
          <w:b/>
          <w:bCs/>
          <w:szCs w:val="24"/>
        </w:rPr>
        <w:t>REFERENCES</w:t>
      </w:r>
    </w:p>
    <w:p w14:paraId="00FF352B" w14:textId="59A766B2" w:rsidR="00985B23" w:rsidRPr="001B4FB2" w:rsidRDefault="00985B23">
      <w:pPr>
        <w:rPr>
          <w:rFonts w:ascii="Arial" w:hAnsi="Arial" w:cs="Arial"/>
          <w:szCs w:val="24"/>
        </w:rPr>
      </w:pPr>
    </w:p>
    <w:p w14:paraId="061B9DB9" w14:textId="77777777" w:rsidR="00985B23" w:rsidRPr="001B4FB2" w:rsidRDefault="00985B23">
      <w:pPr>
        <w:rPr>
          <w:rFonts w:ascii="Arial" w:hAnsi="Arial" w:cs="Arial"/>
          <w:szCs w:val="24"/>
        </w:rPr>
      </w:pPr>
    </w:p>
    <w:p w14:paraId="0C798937" w14:textId="77777777" w:rsidR="00985B23" w:rsidRPr="00F262FE" w:rsidRDefault="00985B23" w:rsidP="00985B23">
      <w:pPr>
        <w:spacing w:line="360" w:lineRule="auto"/>
        <w:ind w:left="720" w:hanging="720"/>
        <w:rPr>
          <w:rFonts w:ascii="Arial" w:eastAsia="Times New Roman" w:hAnsi="Arial" w:cs="Arial"/>
          <w:szCs w:val="24"/>
          <w:lang w:eastAsia="en-GB"/>
        </w:rPr>
      </w:pPr>
      <w:r w:rsidRPr="00F262FE">
        <w:rPr>
          <w:rFonts w:ascii="Arial" w:eastAsia="Times New Roman" w:hAnsi="Arial" w:cs="Arial"/>
          <w:szCs w:val="24"/>
          <w:lang w:eastAsia="en-GB"/>
        </w:rPr>
        <w:t xml:space="preserve">Alghamdi, A. (2025). Evaluating factors influencing learner satisfaction in massive open online course selection: A data-driven approach using machine learning. </w:t>
      </w:r>
      <w:r w:rsidRPr="00F262FE">
        <w:rPr>
          <w:rFonts w:ascii="Arial" w:eastAsia="Times New Roman" w:hAnsi="Arial" w:cs="Arial"/>
          <w:i/>
          <w:iCs/>
          <w:szCs w:val="24"/>
          <w:lang w:eastAsia="en-GB"/>
        </w:rPr>
        <w:t>Arab Journal of Science and Engineering, 50</w:t>
      </w:r>
      <w:r w:rsidRPr="00F262FE">
        <w:rPr>
          <w:rFonts w:ascii="Arial" w:eastAsia="Times New Roman" w:hAnsi="Arial" w:cs="Arial"/>
          <w:szCs w:val="24"/>
          <w:lang w:eastAsia="en-GB"/>
        </w:rPr>
        <w:t xml:space="preserve">(10), 7139–7164. </w:t>
      </w:r>
      <w:hyperlink r:id="rId7" w:history="1">
        <w:r w:rsidRPr="00F262FE">
          <w:rPr>
            <w:rFonts w:ascii="Arial" w:eastAsia="Times New Roman" w:hAnsi="Arial" w:cs="Arial"/>
            <w:color w:val="0000FF"/>
            <w:szCs w:val="24"/>
            <w:u w:val="single"/>
            <w:lang w:eastAsia="en-GB"/>
          </w:rPr>
          <w:t>https://doi.org/10.1007/s13369-024-09183-3</w:t>
        </w:r>
      </w:hyperlink>
    </w:p>
    <w:p w14:paraId="2D91CB70" w14:textId="77777777" w:rsidR="00985B23" w:rsidRPr="00F262FE" w:rsidRDefault="00985B23" w:rsidP="00985B23">
      <w:pPr>
        <w:spacing w:line="360" w:lineRule="auto"/>
        <w:ind w:left="720" w:hanging="720"/>
        <w:rPr>
          <w:rFonts w:ascii="Arial" w:eastAsia="Times New Roman" w:hAnsi="Arial" w:cs="Arial"/>
          <w:szCs w:val="24"/>
          <w:lang w:eastAsia="en-GB"/>
        </w:rPr>
      </w:pPr>
      <w:r w:rsidRPr="00F262FE">
        <w:rPr>
          <w:rFonts w:ascii="Arial" w:eastAsia="Times New Roman" w:hAnsi="Arial" w:cs="Arial"/>
          <w:szCs w:val="24"/>
          <w:lang w:eastAsia="en-GB"/>
        </w:rPr>
        <w:t xml:space="preserve">Blanca, J., </w:t>
      </w:r>
      <w:proofErr w:type="spellStart"/>
      <w:r w:rsidRPr="00F262FE">
        <w:rPr>
          <w:rFonts w:ascii="Arial" w:eastAsia="Times New Roman" w:hAnsi="Arial" w:cs="Arial"/>
          <w:szCs w:val="24"/>
          <w:lang w:eastAsia="en-GB"/>
        </w:rPr>
        <w:t>Cañizares</w:t>
      </w:r>
      <w:proofErr w:type="spellEnd"/>
      <w:r w:rsidRPr="00F262FE">
        <w:rPr>
          <w:rFonts w:ascii="Arial" w:eastAsia="Times New Roman" w:hAnsi="Arial" w:cs="Arial"/>
          <w:szCs w:val="24"/>
          <w:lang w:eastAsia="en-GB"/>
        </w:rPr>
        <w:t xml:space="preserve">, J., Cordero, L., Pascual, L., Diez, M. J., &amp; </w:t>
      </w:r>
      <w:proofErr w:type="spellStart"/>
      <w:r w:rsidRPr="00F262FE">
        <w:rPr>
          <w:rFonts w:ascii="Arial" w:eastAsia="Times New Roman" w:hAnsi="Arial" w:cs="Arial"/>
          <w:szCs w:val="24"/>
          <w:lang w:eastAsia="en-GB"/>
        </w:rPr>
        <w:t>Nuez</w:t>
      </w:r>
      <w:proofErr w:type="spellEnd"/>
      <w:r w:rsidRPr="00F262FE">
        <w:rPr>
          <w:rFonts w:ascii="Arial" w:eastAsia="Times New Roman" w:hAnsi="Arial" w:cs="Arial"/>
          <w:szCs w:val="24"/>
          <w:lang w:eastAsia="en-GB"/>
        </w:rPr>
        <w:t xml:space="preserve">, F. (2012). Variation revealed by SNP genotyping and morphology provides insight into the origin of the tomato. </w:t>
      </w:r>
      <w:proofErr w:type="spellStart"/>
      <w:r w:rsidRPr="00F262FE">
        <w:rPr>
          <w:rFonts w:ascii="Arial" w:eastAsia="Times New Roman" w:hAnsi="Arial" w:cs="Arial"/>
          <w:i/>
          <w:iCs/>
          <w:szCs w:val="24"/>
          <w:lang w:eastAsia="en-GB"/>
        </w:rPr>
        <w:t>PLoS</w:t>
      </w:r>
      <w:proofErr w:type="spellEnd"/>
      <w:r w:rsidRPr="00F262FE">
        <w:rPr>
          <w:rFonts w:ascii="Arial" w:eastAsia="Times New Roman" w:hAnsi="Arial" w:cs="Arial"/>
          <w:i/>
          <w:iCs/>
          <w:szCs w:val="24"/>
          <w:lang w:eastAsia="en-GB"/>
        </w:rPr>
        <w:t xml:space="preserve"> ONE, 7</w:t>
      </w:r>
      <w:r w:rsidRPr="00F262FE">
        <w:rPr>
          <w:rFonts w:ascii="Arial" w:eastAsia="Times New Roman" w:hAnsi="Arial" w:cs="Arial"/>
          <w:szCs w:val="24"/>
          <w:lang w:eastAsia="en-GB"/>
        </w:rPr>
        <w:t xml:space="preserve">(10), e48198. </w:t>
      </w:r>
      <w:hyperlink r:id="rId8" w:history="1">
        <w:r w:rsidRPr="00F262FE">
          <w:rPr>
            <w:rFonts w:ascii="Arial" w:eastAsia="Times New Roman" w:hAnsi="Arial" w:cs="Arial"/>
            <w:color w:val="0000FF"/>
            <w:szCs w:val="24"/>
            <w:u w:val="single"/>
            <w:lang w:eastAsia="en-GB"/>
          </w:rPr>
          <w:t>https://doi.org/10.1371/journal.pone.0048198</w:t>
        </w:r>
      </w:hyperlink>
    </w:p>
    <w:p w14:paraId="4D3653F7" w14:textId="77777777" w:rsidR="00985B23" w:rsidRPr="00F262FE" w:rsidRDefault="00985B23" w:rsidP="00985B23">
      <w:pPr>
        <w:spacing w:line="360" w:lineRule="auto"/>
        <w:ind w:left="720" w:hanging="720"/>
        <w:rPr>
          <w:rFonts w:ascii="Arial" w:eastAsia="Times New Roman" w:hAnsi="Arial" w:cs="Arial"/>
          <w:szCs w:val="24"/>
          <w:lang w:eastAsia="en-GB"/>
        </w:rPr>
      </w:pPr>
      <w:proofErr w:type="spellStart"/>
      <w:r w:rsidRPr="00F262FE">
        <w:rPr>
          <w:rFonts w:ascii="Arial" w:eastAsia="Times New Roman" w:hAnsi="Arial" w:cs="Arial"/>
          <w:szCs w:val="24"/>
          <w:lang w:eastAsia="en-GB"/>
        </w:rPr>
        <w:t>Boulaajine</w:t>
      </w:r>
      <w:proofErr w:type="spellEnd"/>
      <w:r w:rsidRPr="00F262FE">
        <w:rPr>
          <w:rFonts w:ascii="Arial" w:eastAsia="Times New Roman" w:hAnsi="Arial" w:cs="Arial"/>
          <w:szCs w:val="24"/>
          <w:lang w:eastAsia="en-GB"/>
        </w:rPr>
        <w:t xml:space="preserve">, S., &amp; </w:t>
      </w:r>
      <w:proofErr w:type="spellStart"/>
      <w:r w:rsidRPr="00F262FE">
        <w:rPr>
          <w:rFonts w:ascii="Arial" w:eastAsia="Times New Roman" w:hAnsi="Arial" w:cs="Arial"/>
          <w:szCs w:val="24"/>
          <w:lang w:eastAsia="en-GB"/>
        </w:rPr>
        <w:t>Hajjaj</w:t>
      </w:r>
      <w:proofErr w:type="spellEnd"/>
      <w:r w:rsidRPr="00F262FE">
        <w:rPr>
          <w:rFonts w:ascii="Arial" w:eastAsia="Times New Roman" w:hAnsi="Arial" w:cs="Arial"/>
          <w:szCs w:val="24"/>
          <w:lang w:eastAsia="en-GB"/>
        </w:rPr>
        <w:t xml:space="preserve">, H. (2024). Food science and technology. </w:t>
      </w:r>
      <w:r w:rsidRPr="00F262FE">
        <w:rPr>
          <w:rFonts w:ascii="Arial" w:eastAsia="Times New Roman" w:hAnsi="Arial" w:cs="Arial"/>
          <w:i/>
          <w:iCs/>
          <w:szCs w:val="24"/>
          <w:lang w:eastAsia="en-GB"/>
        </w:rPr>
        <w:t>Food Science and Technology, 12</w:t>
      </w:r>
      <w:r w:rsidRPr="00F262FE">
        <w:rPr>
          <w:rFonts w:ascii="Arial" w:eastAsia="Times New Roman" w:hAnsi="Arial" w:cs="Arial"/>
          <w:szCs w:val="24"/>
          <w:lang w:eastAsia="en-GB"/>
        </w:rPr>
        <w:t xml:space="preserve">(1), 1–14. </w:t>
      </w:r>
      <w:hyperlink r:id="rId9" w:history="1">
        <w:r w:rsidRPr="00F262FE">
          <w:rPr>
            <w:rFonts w:ascii="Arial" w:eastAsia="Times New Roman" w:hAnsi="Arial" w:cs="Arial"/>
            <w:color w:val="0000FF"/>
            <w:szCs w:val="24"/>
            <w:u w:val="single"/>
            <w:lang w:eastAsia="en-GB"/>
          </w:rPr>
          <w:t>https://doi.org/10.13189/fst.2024.120101</w:t>
        </w:r>
      </w:hyperlink>
    </w:p>
    <w:p w14:paraId="38400120" w14:textId="77777777" w:rsidR="00985B23" w:rsidRPr="00F262FE" w:rsidRDefault="00985B23" w:rsidP="00985B23">
      <w:pPr>
        <w:spacing w:line="360" w:lineRule="auto"/>
        <w:ind w:left="720" w:hanging="720"/>
        <w:rPr>
          <w:rFonts w:ascii="Arial" w:eastAsia="Times New Roman" w:hAnsi="Arial" w:cs="Arial"/>
          <w:szCs w:val="24"/>
          <w:lang w:eastAsia="en-GB"/>
        </w:rPr>
      </w:pPr>
      <w:r w:rsidRPr="00F262FE">
        <w:rPr>
          <w:rFonts w:ascii="Arial" w:eastAsia="Times New Roman" w:hAnsi="Arial" w:cs="Arial"/>
          <w:szCs w:val="24"/>
          <w:lang w:eastAsia="en-GB"/>
        </w:rPr>
        <w:t xml:space="preserve">Das, S. B., Islam, M. S., Uddin, M. N., Goswami, B. K., Abedin, S. M. S., &amp; </w:t>
      </w:r>
      <w:proofErr w:type="spellStart"/>
      <w:r w:rsidRPr="00F262FE">
        <w:rPr>
          <w:rFonts w:ascii="Arial" w:eastAsia="Times New Roman" w:hAnsi="Arial" w:cs="Arial"/>
          <w:szCs w:val="24"/>
          <w:lang w:eastAsia="en-GB"/>
        </w:rPr>
        <w:t>Baki</w:t>
      </w:r>
      <w:proofErr w:type="spellEnd"/>
      <w:r w:rsidRPr="00F262FE">
        <w:rPr>
          <w:rFonts w:ascii="Arial" w:eastAsia="Times New Roman" w:hAnsi="Arial" w:cs="Arial"/>
          <w:szCs w:val="24"/>
          <w:lang w:eastAsia="en-GB"/>
        </w:rPr>
        <w:t xml:space="preserve">, M. A. (2024). Evaluation of the performance of summer tomato lines in Bangladesh conditions. </w:t>
      </w:r>
      <w:r w:rsidRPr="00F262FE">
        <w:rPr>
          <w:rFonts w:ascii="Arial" w:eastAsia="Times New Roman" w:hAnsi="Arial" w:cs="Arial"/>
          <w:i/>
          <w:iCs/>
          <w:szCs w:val="24"/>
          <w:lang w:eastAsia="en-GB"/>
        </w:rPr>
        <w:t>Journal of Bio-Science, 31</w:t>
      </w:r>
      <w:r w:rsidRPr="00F262FE">
        <w:rPr>
          <w:rFonts w:ascii="Arial" w:eastAsia="Times New Roman" w:hAnsi="Arial" w:cs="Arial"/>
          <w:szCs w:val="24"/>
          <w:lang w:eastAsia="en-GB"/>
        </w:rPr>
        <w:t xml:space="preserve">(2), 13–23. </w:t>
      </w:r>
      <w:hyperlink r:id="rId10" w:history="1">
        <w:r w:rsidRPr="00F262FE">
          <w:rPr>
            <w:rFonts w:ascii="Arial" w:eastAsia="Times New Roman" w:hAnsi="Arial" w:cs="Arial"/>
            <w:color w:val="0000FF"/>
            <w:szCs w:val="24"/>
            <w:u w:val="single"/>
            <w:lang w:eastAsia="en-GB"/>
          </w:rPr>
          <w:t>https://doi.org/10.3329/jbs.v31i2.74142</w:t>
        </w:r>
      </w:hyperlink>
    </w:p>
    <w:p w14:paraId="0A77ECAA" w14:textId="77777777" w:rsidR="00985B23" w:rsidRPr="00F262FE" w:rsidRDefault="00985B23" w:rsidP="00985B23">
      <w:pPr>
        <w:spacing w:line="360" w:lineRule="auto"/>
        <w:ind w:left="720" w:hanging="720"/>
        <w:rPr>
          <w:rFonts w:ascii="Arial" w:eastAsia="Times New Roman" w:hAnsi="Arial" w:cs="Arial"/>
          <w:szCs w:val="24"/>
          <w:lang w:eastAsia="en-GB"/>
        </w:rPr>
      </w:pPr>
      <w:r w:rsidRPr="00F262FE">
        <w:rPr>
          <w:rFonts w:ascii="Arial" w:eastAsia="Times New Roman" w:hAnsi="Arial" w:cs="Arial"/>
          <w:szCs w:val="24"/>
          <w:lang w:eastAsia="en-GB"/>
        </w:rPr>
        <w:t xml:space="preserve">Fuad, M. A., &amp; </w:t>
      </w:r>
      <w:proofErr w:type="spellStart"/>
      <w:r w:rsidRPr="00F262FE">
        <w:rPr>
          <w:rFonts w:ascii="Arial" w:eastAsia="Times New Roman" w:hAnsi="Arial" w:cs="Arial"/>
          <w:szCs w:val="24"/>
          <w:lang w:eastAsia="en-GB"/>
        </w:rPr>
        <w:t>Nurhasan</w:t>
      </w:r>
      <w:proofErr w:type="spellEnd"/>
      <w:r w:rsidRPr="00F262FE">
        <w:rPr>
          <w:rFonts w:ascii="Arial" w:eastAsia="Times New Roman" w:hAnsi="Arial" w:cs="Arial"/>
          <w:szCs w:val="24"/>
          <w:lang w:eastAsia="en-GB"/>
        </w:rPr>
        <w:t xml:space="preserve">, M., &amp; Kayess, M. O. (2019). Impact of integrated pest management (IPM) practices on tomato cultivation in Gazipur District of Bangladesh. </w:t>
      </w:r>
      <w:r w:rsidRPr="00F262FE">
        <w:rPr>
          <w:rFonts w:ascii="Arial" w:eastAsia="Times New Roman" w:hAnsi="Arial" w:cs="Arial"/>
          <w:i/>
          <w:iCs/>
          <w:szCs w:val="24"/>
          <w:lang w:eastAsia="en-GB"/>
        </w:rPr>
        <w:t>Advances in Entomology, 7</w:t>
      </w:r>
      <w:r w:rsidRPr="00F262FE">
        <w:rPr>
          <w:rFonts w:ascii="Arial" w:eastAsia="Times New Roman" w:hAnsi="Arial" w:cs="Arial"/>
          <w:szCs w:val="24"/>
          <w:lang w:eastAsia="en-GB"/>
        </w:rPr>
        <w:t xml:space="preserve">(2), 33–46. </w:t>
      </w:r>
      <w:hyperlink r:id="rId11" w:history="1">
        <w:r w:rsidRPr="00F262FE">
          <w:rPr>
            <w:rFonts w:ascii="Arial" w:eastAsia="Times New Roman" w:hAnsi="Arial" w:cs="Arial"/>
            <w:color w:val="0000FF"/>
            <w:szCs w:val="24"/>
            <w:u w:val="single"/>
            <w:lang w:eastAsia="en-GB"/>
          </w:rPr>
          <w:t>https://doi.org/10.4236/ae.2019.72004</w:t>
        </w:r>
      </w:hyperlink>
    </w:p>
    <w:p w14:paraId="35BEE689" w14:textId="77777777" w:rsidR="00985B23" w:rsidRPr="00F262FE" w:rsidRDefault="00985B23" w:rsidP="00985B23">
      <w:pPr>
        <w:spacing w:line="360" w:lineRule="auto"/>
        <w:ind w:left="720" w:hanging="720"/>
        <w:rPr>
          <w:rFonts w:ascii="Arial" w:eastAsia="Times New Roman" w:hAnsi="Arial" w:cs="Arial"/>
          <w:szCs w:val="24"/>
          <w:lang w:eastAsia="en-GB"/>
        </w:rPr>
      </w:pPr>
      <w:proofErr w:type="spellStart"/>
      <w:r w:rsidRPr="00F262FE">
        <w:rPr>
          <w:rFonts w:ascii="Arial" w:eastAsia="Times New Roman" w:hAnsi="Arial" w:cs="Arial"/>
          <w:szCs w:val="24"/>
          <w:lang w:eastAsia="en-GB"/>
        </w:rPr>
        <w:t>Gotame</w:t>
      </w:r>
      <w:proofErr w:type="spellEnd"/>
      <w:r w:rsidRPr="00F262FE">
        <w:rPr>
          <w:rFonts w:ascii="Arial" w:eastAsia="Times New Roman" w:hAnsi="Arial" w:cs="Arial"/>
          <w:szCs w:val="24"/>
          <w:lang w:eastAsia="en-GB"/>
        </w:rPr>
        <w:t xml:space="preserve">, T. P., Gautam, I. P., Ghimire, D., &amp; Shrestha, S. L. (2021). Performance evaluation of exotic and local landraces of tomatoes for the mid-hill conditions of Nepal. </w:t>
      </w:r>
      <w:r w:rsidRPr="00F262FE">
        <w:rPr>
          <w:rFonts w:ascii="Arial" w:eastAsia="Times New Roman" w:hAnsi="Arial" w:cs="Arial"/>
          <w:i/>
          <w:iCs/>
          <w:szCs w:val="24"/>
          <w:lang w:eastAsia="en-GB"/>
        </w:rPr>
        <w:t>Turkish Journal of Agriculture - Food Science and Technology, 9</w:t>
      </w:r>
      <w:r w:rsidRPr="00F262FE">
        <w:rPr>
          <w:rFonts w:ascii="Arial" w:eastAsia="Times New Roman" w:hAnsi="Arial" w:cs="Arial"/>
          <w:szCs w:val="24"/>
          <w:lang w:eastAsia="en-GB"/>
        </w:rPr>
        <w:t xml:space="preserve">(8), 1426–1435. </w:t>
      </w:r>
      <w:hyperlink r:id="rId12" w:history="1">
        <w:r w:rsidRPr="00F262FE">
          <w:rPr>
            <w:rFonts w:ascii="Arial" w:eastAsia="Times New Roman" w:hAnsi="Arial" w:cs="Arial"/>
            <w:color w:val="0000FF"/>
            <w:szCs w:val="24"/>
            <w:u w:val="single"/>
            <w:lang w:eastAsia="en-GB"/>
          </w:rPr>
          <w:t>https://doi.org/10.24925/turjaf.v9i8.1426-1435.4250</w:t>
        </w:r>
      </w:hyperlink>
    </w:p>
    <w:p w14:paraId="779EF91F" w14:textId="77777777" w:rsidR="00985B23" w:rsidRPr="00F262FE" w:rsidRDefault="00985B23" w:rsidP="00985B23">
      <w:pPr>
        <w:spacing w:line="360" w:lineRule="auto"/>
        <w:ind w:left="720" w:hanging="720"/>
        <w:rPr>
          <w:rFonts w:ascii="Arial" w:eastAsia="Times New Roman" w:hAnsi="Arial" w:cs="Arial"/>
          <w:szCs w:val="24"/>
          <w:lang w:eastAsia="en-GB"/>
        </w:rPr>
      </w:pPr>
      <w:r w:rsidRPr="00F262FE">
        <w:rPr>
          <w:rFonts w:ascii="Arial" w:eastAsia="Times New Roman" w:hAnsi="Arial" w:cs="Arial"/>
          <w:szCs w:val="24"/>
          <w:lang w:eastAsia="en-GB"/>
        </w:rPr>
        <w:lastRenderedPageBreak/>
        <w:t xml:space="preserve">Greenacre, M., </w:t>
      </w:r>
      <w:proofErr w:type="spellStart"/>
      <w:r w:rsidRPr="00F262FE">
        <w:rPr>
          <w:rFonts w:ascii="Arial" w:eastAsia="Times New Roman" w:hAnsi="Arial" w:cs="Arial"/>
          <w:szCs w:val="24"/>
          <w:lang w:eastAsia="en-GB"/>
        </w:rPr>
        <w:t>Groenen</w:t>
      </w:r>
      <w:proofErr w:type="spellEnd"/>
      <w:r w:rsidRPr="00F262FE">
        <w:rPr>
          <w:rFonts w:ascii="Arial" w:eastAsia="Times New Roman" w:hAnsi="Arial" w:cs="Arial"/>
          <w:szCs w:val="24"/>
          <w:lang w:eastAsia="en-GB"/>
        </w:rPr>
        <w:t xml:space="preserve">, P. J. F., Hastie, T., </w:t>
      </w:r>
      <w:proofErr w:type="spellStart"/>
      <w:r w:rsidRPr="00F262FE">
        <w:rPr>
          <w:rFonts w:ascii="Arial" w:eastAsia="Times New Roman" w:hAnsi="Arial" w:cs="Arial"/>
          <w:szCs w:val="24"/>
          <w:lang w:eastAsia="en-GB"/>
        </w:rPr>
        <w:t>D’Enza</w:t>
      </w:r>
      <w:proofErr w:type="spellEnd"/>
      <w:r w:rsidRPr="00F262FE">
        <w:rPr>
          <w:rFonts w:ascii="Arial" w:eastAsia="Times New Roman" w:hAnsi="Arial" w:cs="Arial"/>
          <w:szCs w:val="24"/>
          <w:lang w:eastAsia="en-GB"/>
        </w:rPr>
        <w:t xml:space="preserve">, A. I., Markos, A., &amp; </w:t>
      </w:r>
      <w:proofErr w:type="spellStart"/>
      <w:r w:rsidRPr="00F262FE">
        <w:rPr>
          <w:rFonts w:ascii="Arial" w:eastAsia="Times New Roman" w:hAnsi="Arial" w:cs="Arial"/>
          <w:szCs w:val="24"/>
          <w:lang w:eastAsia="en-GB"/>
        </w:rPr>
        <w:t>Tuzhilina</w:t>
      </w:r>
      <w:proofErr w:type="spellEnd"/>
      <w:r w:rsidRPr="00F262FE">
        <w:rPr>
          <w:rFonts w:ascii="Arial" w:eastAsia="Times New Roman" w:hAnsi="Arial" w:cs="Arial"/>
          <w:szCs w:val="24"/>
          <w:lang w:eastAsia="en-GB"/>
        </w:rPr>
        <w:t xml:space="preserve">, E. (2022). Principal component analysis. </w:t>
      </w:r>
      <w:r w:rsidRPr="00F262FE">
        <w:rPr>
          <w:rFonts w:ascii="Arial" w:eastAsia="Times New Roman" w:hAnsi="Arial" w:cs="Arial"/>
          <w:i/>
          <w:iCs/>
          <w:szCs w:val="24"/>
          <w:lang w:eastAsia="en-GB"/>
        </w:rPr>
        <w:t>Nature Reviews Methods Primers, 2</w:t>
      </w:r>
      <w:r w:rsidRPr="00F262FE">
        <w:rPr>
          <w:rFonts w:ascii="Arial" w:eastAsia="Times New Roman" w:hAnsi="Arial" w:cs="Arial"/>
          <w:szCs w:val="24"/>
          <w:lang w:eastAsia="en-GB"/>
        </w:rPr>
        <w:t xml:space="preserve">(1), 1–21. </w:t>
      </w:r>
      <w:hyperlink r:id="rId13" w:history="1">
        <w:r w:rsidRPr="00F262FE">
          <w:rPr>
            <w:rFonts w:ascii="Arial" w:eastAsia="Times New Roman" w:hAnsi="Arial" w:cs="Arial"/>
            <w:color w:val="0000FF"/>
            <w:szCs w:val="24"/>
            <w:u w:val="single"/>
            <w:lang w:eastAsia="en-GB"/>
          </w:rPr>
          <w:t>https://doi.org/10.1038/s43586-022-00184-w</w:t>
        </w:r>
      </w:hyperlink>
    </w:p>
    <w:p w14:paraId="28C814EC" w14:textId="77777777" w:rsidR="00985B23" w:rsidRPr="00F262FE" w:rsidRDefault="00985B23" w:rsidP="00985B23">
      <w:pPr>
        <w:spacing w:line="360" w:lineRule="auto"/>
        <w:ind w:left="720" w:hanging="720"/>
        <w:rPr>
          <w:rFonts w:ascii="Arial" w:eastAsia="Times New Roman" w:hAnsi="Arial" w:cs="Arial"/>
          <w:szCs w:val="24"/>
          <w:lang w:eastAsia="en-GB"/>
        </w:rPr>
      </w:pPr>
      <w:r w:rsidRPr="00F262FE">
        <w:rPr>
          <w:rFonts w:ascii="Arial" w:eastAsia="Times New Roman" w:hAnsi="Arial" w:cs="Arial"/>
          <w:szCs w:val="24"/>
          <w:lang w:eastAsia="en-GB"/>
        </w:rPr>
        <w:t>Hasan, G. N., Mahmudul, M., Khan, H., Faisal, A. H. A., Hussain, J., Islam, M., &amp; Mahmudul, M. (2024). Mulching and drip irrigation to mitigate soil salinity on tomato (</w:t>
      </w:r>
      <w:proofErr w:type="spellStart"/>
      <w:r w:rsidRPr="00F262FE">
        <w:rPr>
          <w:rFonts w:ascii="Arial" w:eastAsia="Times New Roman" w:hAnsi="Arial" w:cs="Arial"/>
          <w:i/>
          <w:iCs/>
          <w:szCs w:val="24"/>
          <w:lang w:eastAsia="en-GB"/>
        </w:rPr>
        <w:t>Lycoperscon</w:t>
      </w:r>
      <w:proofErr w:type="spellEnd"/>
      <w:r w:rsidRPr="00F262FE">
        <w:rPr>
          <w:rFonts w:ascii="Arial" w:eastAsia="Times New Roman" w:hAnsi="Arial" w:cs="Arial"/>
          <w:i/>
          <w:iCs/>
          <w:szCs w:val="24"/>
          <w:lang w:eastAsia="en-GB"/>
        </w:rPr>
        <w:t xml:space="preserve"> </w:t>
      </w:r>
      <w:proofErr w:type="spellStart"/>
      <w:r w:rsidRPr="00F262FE">
        <w:rPr>
          <w:rFonts w:ascii="Arial" w:eastAsia="Times New Roman" w:hAnsi="Arial" w:cs="Arial"/>
          <w:i/>
          <w:iCs/>
          <w:szCs w:val="24"/>
          <w:lang w:eastAsia="en-GB"/>
        </w:rPr>
        <w:t>esculentum</w:t>
      </w:r>
      <w:proofErr w:type="spellEnd"/>
      <w:r w:rsidRPr="00F262FE">
        <w:rPr>
          <w:rFonts w:ascii="Arial" w:eastAsia="Times New Roman" w:hAnsi="Arial" w:cs="Arial"/>
          <w:szCs w:val="24"/>
          <w:lang w:eastAsia="en-GB"/>
        </w:rPr>
        <w:t xml:space="preserve"> L.) production in coastal area. </w:t>
      </w:r>
      <w:r w:rsidRPr="00F262FE">
        <w:rPr>
          <w:rFonts w:ascii="Arial" w:eastAsia="Times New Roman" w:hAnsi="Arial" w:cs="Arial"/>
          <w:i/>
          <w:iCs/>
          <w:szCs w:val="24"/>
          <w:lang w:eastAsia="en-GB"/>
        </w:rPr>
        <w:t>Trends in Horticulture, 7</w:t>
      </w:r>
      <w:r w:rsidRPr="00F262FE">
        <w:rPr>
          <w:rFonts w:ascii="Arial" w:eastAsia="Times New Roman" w:hAnsi="Arial" w:cs="Arial"/>
          <w:szCs w:val="24"/>
          <w:lang w:eastAsia="en-GB"/>
        </w:rPr>
        <w:t xml:space="preserve">(1), 3951. </w:t>
      </w:r>
      <w:hyperlink r:id="rId14" w:history="1">
        <w:r w:rsidRPr="00F262FE">
          <w:rPr>
            <w:rFonts w:ascii="Arial" w:eastAsia="Times New Roman" w:hAnsi="Arial" w:cs="Arial"/>
            <w:color w:val="0000FF"/>
            <w:szCs w:val="24"/>
            <w:u w:val="single"/>
            <w:lang w:eastAsia="en-GB"/>
          </w:rPr>
          <w:t>https://doi.org/10.24294/th.v7i1.3951</w:t>
        </w:r>
      </w:hyperlink>
    </w:p>
    <w:p w14:paraId="1ED7628D" w14:textId="77777777" w:rsidR="00985B23" w:rsidRPr="00F262FE" w:rsidRDefault="00985B23" w:rsidP="00985B23">
      <w:pPr>
        <w:spacing w:line="360" w:lineRule="auto"/>
        <w:ind w:left="720" w:hanging="720"/>
        <w:rPr>
          <w:rFonts w:ascii="Arial" w:eastAsia="Times New Roman" w:hAnsi="Arial" w:cs="Arial"/>
          <w:szCs w:val="24"/>
          <w:lang w:eastAsia="en-GB"/>
        </w:rPr>
      </w:pPr>
      <w:proofErr w:type="spellStart"/>
      <w:r w:rsidRPr="00F262FE">
        <w:rPr>
          <w:rFonts w:ascii="Arial" w:eastAsia="Times New Roman" w:hAnsi="Arial" w:cs="Arial"/>
          <w:szCs w:val="24"/>
          <w:lang w:eastAsia="en-GB"/>
        </w:rPr>
        <w:t>Heiba</w:t>
      </w:r>
      <w:proofErr w:type="spellEnd"/>
      <w:r w:rsidRPr="00F262FE">
        <w:rPr>
          <w:rFonts w:ascii="Arial" w:eastAsia="Times New Roman" w:hAnsi="Arial" w:cs="Arial"/>
          <w:szCs w:val="24"/>
          <w:lang w:eastAsia="en-GB"/>
        </w:rPr>
        <w:t xml:space="preserve">, H. E. S. S., </w:t>
      </w:r>
      <w:proofErr w:type="spellStart"/>
      <w:r w:rsidRPr="00F262FE">
        <w:rPr>
          <w:rFonts w:ascii="Arial" w:eastAsia="Times New Roman" w:hAnsi="Arial" w:cs="Arial"/>
          <w:szCs w:val="24"/>
          <w:lang w:eastAsia="en-GB"/>
        </w:rPr>
        <w:t>Mahgoub</w:t>
      </w:r>
      <w:proofErr w:type="spellEnd"/>
      <w:r w:rsidRPr="00F262FE">
        <w:rPr>
          <w:rFonts w:ascii="Arial" w:eastAsia="Times New Roman" w:hAnsi="Arial" w:cs="Arial"/>
          <w:szCs w:val="24"/>
          <w:lang w:eastAsia="en-GB"/>
        </w:rPr>
        <w:t xml:space="preserve">, E. M. I., Mahmoud, A. A. E. S., Ibrahim, M. A. E. M. M., &amp; Mansour, E. (2023). Combining ability and gene action controlling chocolate spot resistance and yield traits in </w:t>
      </w:r>
      <w:proofErr w:type="spellStart"/>
      <w:r w:rsidRPr="00F262FE">
        <w:rPr>
          <w:rFonts w:ascii="Arial" w:eastAsia="Times New Roman" w:hAnsi="Arial" w:cs="Arial"/>
          <w:szCs w:val="24"/>
          <w:lang w:eastAsia="en-GB"/>
        </w:rPr>
        <w:t>faba</w:t>
      </w:r>
      <w:proofErr w:type="spellEnd"/>
      <w:r w:rsidRPr="00F262FE">
        <w:rPr>
          <w:rFonts w:ascii="Arial" w:eastAsia="Times New Roman" w:hAnsi="Arial" w:cs="Arial"/>
          <w:szCs w:val="24"/>
          <w:lang w:eastAsia="en-GB"/>
        </w:rPr>
        <w:t xml:space="preserve"> bean (</w:t>
      </w:r>
      <w:proofErr w:type="spellStart"/>
      <w:r w:rsidRPr="00F262FE">
        <w:rPr>
          <w:rFonts w:ascii="Arial" w:eastAsia="Times New Roman" w:hAnsi="Arial" w:cs="Arial"/>
          <w:i/>
          <w:iCs/>
          <w:szCs w:val="24"/>
          <w:lang w:eastAsia="en-GB"/>
        </w:rPr>
        <w:t>Vicia</w:t>
      </w:r>
      <w:proofErr w:type="spellEnd"/>
      <w:r w:rsidRPr="00F262FE">
        <w:rPr>
          <w:rFonts w:ascii="Arial" w:eastAsia="Times New Roman" w:hAnsi="Arial" w:cs="Arial"/>
          <w:i/>
          <w:iCs/>
          <w:szCs w:val="24"/>
          <w:lang w:eastAsia="en-GB"/>
        </w:rPr>
        <w:t xml:space="preserve"> </w:t>
      </w:r>
      <w:proofErr w:type="spellStart"/>
      <w:r w:rsidRPr="00F262FE">
        <w:rPr>
          <w:rFonts w:ascii="Arial" w:eastAsia="Times New Roman" w:hAnsi="Arial" w:cs="Arial"/>
          <w:i/>
          <w:iCs/>
          <w:szCs w:val="24"/>
          <w:lang w:eastAsia="en-GB"/>
        </w:rPr>
        <w:t>faba</w:t>
      </w:r>
      <w:proofErr w:type="spellEnd"/>
      <w:r w:rsidRPr="00F262FE">
        <w:rPr>
          <w:rFonts w:ascii="Arial" w:eastAsia="Times New Roman" w:hAnsi="Arial" w:cs="Arial"/>
          <w:szCs w:val="24"/>
          <w:lang w:eastAsia="en-GB"/>
        </w:rPr>
        <w:t xml:space="preserve"> L.). </w:t>
      </w:r>
      <w:r w:rsidRPr="00F262FE">
        <w:rPr>
          <w:rFonts w:ascii="Arial" w:eastAsia="Times New Roman" w:hAnsi="Arial" w:cs="Arial"/>
          <w:i/>
          <w:iCs/>
          <w:szCs w:val="24"/>
          <w:lang w:eastAsia="en-GB"/>
        </w:rPr>
        <w:t>Journal of Agricultural Science, 29</w:t>
      </w:r>
      <w:r w:rsidRPr="00F262FE">
        <w:rPr>
          <w:rFonts w:ascii="Arial" w:eastAsia="Times New Roman" w:hAnsi="Arial" w:cs="Arial"/>
          <w:szCs w:val="24"/>
          <w:lang w:eastAsia="en-GB"/>
        </w:rPr>
        <w:t xml:space="preserve">(1), 77–88. </w:t>
      </w:r>
      <w:hyperlink r:id="rId15" w:history="1">
        <w:r w:rsidRPr="00F262FE">
          <w:rPr>
            <w:rFonts w:ascii="Arial" w:eastAsia="Times New Roman" w:hAnsi="Arial" w:cs="Arial"/>
            <w:color w:val="0000FF"/>
            <w:szCs w:val="24"/>
            <w:u w:val="single"/>
            <w:lang w:eastAsia="en-GB"/>
          </w:rPr>
          <w:t>https://doi.org/10.15832/ankutbd.973781</w:t>
        </w:r>
      </w:hyperlink>
    </w:p>
    <w:p w14:paraId="47EC7345" w14:textId="77777777" w:rsidR="00985B23" w:rsidRPr="00F262FE" w:rsidRDefault="00985B23" w:rsidP="00985B23">
      <w:pPr>
        <w:spacing w:line="360" w:lineRule="auto"/>
        <w:ind w:left="720" w:hanging="720"/>
        <w:rPr>
          <w:rFonts w:ascii="Arial" w:eastAsia="Times New Roman" w:hAnsi="Arial" w:cs="Arial"/>
          <w:szCs w:val="24"/>
          <w:lang w:eastAsia="en-GB"/>
        </w:rPr>
      </w:pPr>
      <w:r w:rsidRPr="00F262FE">
        <w:rPr>
          <w:rFonts w:ascii="Arial" w:eastAsia="Times New Roman" w:hAnsi="Arial" w:cs="Arial"/>
          <w:szCs w:val="24"/>
          <w:lang w:eastAsia="en-GB"/>
        </w:rPr>
        <w:t xml:space="preserve">Kayess, H. M., Rahman, M., Kayess, M. O., </w:t>
      </w:r>
      <w:proofErr w:type="spellStart"/>
      <w:r w:rsidRPr="00F262FE">
        <w:rPr>
          <w:rFonts w:ascii="Arial" w:eastAsia="Times New Roman" w:hAnsi="Arial" w:cs="Arial"/>
          <w:szCs w:val="24"/>
          <w:lang w:eastAsia="en-GB"/>
        </w:rPr>
        <w:t>Hasanuzzaman</w:t>
      </w:r>
      <w:proofErr w:type="spellEnd"/>
      <w:r w:rsidRPr="00F262FE">
        <w:rPr>
          <w:rFonts w:ascii="Arial" w:eastAsia="Times New Roman" w:hAnsi="Arial" w:cs="Arial"/>
          <w:szCs w:val="24"/>
          <w:lang w:eastAsia="en-GB"/>
        </w:rPr>
        <w:t>, M., Rahman, M. W., Uddin, M. J., &amp; Author, C. (2016). Identification of tomato (</w:t>
      </w:r>
      <w:r w:rsidRPr="00F262FE">
        <w:rPr>
          <w:rFonts w:ascii="Arial" w:eastAsia="Times New Roman" w:hAnsi="Arial" w:cs="Arial"/>
          <w:i/>
          <w:iCs/>
          <w:szCs w:val="24"/>
          <w:lang w:eastAsia="en-GB"/>
        </w:rPr>
        <w:t>Lycopersicon esculentum</w:t>
      </w:r>
      <w:r w:rsidRPr="00F262FE">
        <w:rPr>
          <w:rFonts w:ascii="Arial" w:eastAsia="Times New Roman" w:hAnsi="Arial" w:cs="Arial"/>
          <w:szCs w:val="24"/>
          <w:lang w:eastAsia="en-GB"/>
        </w:rPr>
        <w:t xml:space="preserve"> L.) genotypes for salt tolerance during emergence. </w:t>
      </w:r>
      <w:r w:rsidRPr="00F262FE">
        <w:rPr>
          <w:rFonts w:ascii="Arial" w:eastAsia="Times New Roman" w:hAnsi="Arial" w:cs="Arial"/>
          <w:i/>
          <w:iCs/>
          <w:szCs w:val="24"/>
          <w:lang w:eastAsia="en-GB"/>
        </w:rPr>
        <w:t>International Journal of Biosciences, 9</w:t>
      </w:r>
      <w:r w:rsidRPr="00F262FE">
        <w:rPr>
          <w:rFonts w:ascii="Arial" w:eastAsia="Times New Roman" w:hAnsi="Arial" w:cs="Arial"/>
          <w:szCs w:val="24"/>
          <w:lang w:eastAsia="en-GB"/>
        </w:rPr>
        <w:t xml:space="preserve">(4), 297–304. </w:t>
      </w:r>
      <w:hyperlink r:id="rId16" w:history="1">
        <w:r w:rsidRPr="00F262FE">
          <w:rPr>
            <w:rFonts w:ascii="Arial" w:eastAsia="Times New Roman" w:hAnsi="Arial" w:cs="Arial"/>
            <w:color w:val="0000FF"/>
            <w:szCs w:val="24"/>
            <w:u w:val="single"/>
            <w:lang w:eastAsia="en-GB"/>
          </w:rPr>
          <w:t>https://doi.org/10.12692/ijb/9.4.297-304</w:t>
        </w:r>
      </w:hyperlink>
    </w:p>
    <w:p w14:paraId="550EF2CF" w14:textId="77777777" w:rsidR="00985B23" w:rsidRPr="00F262FE" w:rsidRDefault="00985B23" w:rsidP="00985B23">
      <w:pPr>
        <w:spacing w:line="360" w:lineRule="auto"/>
        <w:ind w:left="720" w:hanging="720"/>
        <w:rPr>
          <w:rFonts w:ascii="Arial" w:eastAsia="Times New Roman" w:hAnsi="Arial" w:cs="Arial"/>
          <w:szCs w:val="24"/>
          <w:lang w:eastAsia="en-GB"/>
        </w:rPr>
      </w:pPr>
      <w:r w:rsidRPr="00F262FE">
        <w:rPr>
          <w:rFonts w:ascii="Arial" w:eastAsia="Times New Roman" w:hAnsi="Arial" w:cs="Arial"/>
          <w:szCs w:val="24"/>
          <w:lang w:eastAsia="en-GB"/>
        </w:rPr>
        <w:t xml:space="preserve">Kayess, M. O., Rahman, M. L., Ahmed, K., Khan, M. R., </w:t>
      </w:r>
      <w:proofErr w:type="spellStart"/>
      <w:r w:rsidRPr="00F262FE">
        <w:rPr>
          <w:rFonts w:ascii="Arial" w:eastAsia="Times New Roman" w:hAnsi="Arial" w:cs="Arial"/>
          <w:szCs w:val="24"/>
          <w:lang w:eastAsia="en-GB"/>
        </w:rPr>
        <w:t>Hossan</w:t>
      </w:r>
      <w:proofErr w:type="spellEnd"/>
      <w:r w:rsidRPr="00F262FE">
        <w:rPr>
          <w:rFonts w:ascii="Arial" w:eastAsia="Times New Roman" w:hAnsi="Arial" w:cs="Arial"/>
          <w:szCs w:val="24"/>
          <w:lang w:eastAsia="en-GB"/>
        </w:rPr>
        <w:t xml:space="preserve">, M. S., Hossain, M. S., &amp; Chandra Pal, D. (2020). Effect of salinity stress on different root and shoot traits of selected tomato cultivars. </w:t>
      </w:r>
      <w:r w:rsidRPr="00F262FE">
        <w:rPr>
          <w:rFonts w:ascii="Arial" w:eastAsia="Times New Roman" w:hAnsi="Arial" w:cs="Arial"/>
          <w:i/>
          <w:iCs/>
          <w:szCs w:val="24"/>
          <w:lang w:eastAsia="en-GB"/>
        </w:rPr>
        <w:t>Asian Journal of Advanced Research and Reports, 8</w:t>
      </w:r>
      <w:r w:rsidRPr="00F262FE">
        <w:rPr>
          <w:rFonts w:ascii="Arial" w:eastAsia="Times New Roman" w:hAnsi="Arial" w:cs="Arial"/>
          <w:szCs w:val="24"/>
          <w:lang w:eastAsia="en-GB"/>
        </w:rPr>
        <w:t xml:space="preserve">(1), 1–9. </w:t>
      </w:r>
      <w:hyperlink r:id="rId17" w:history="1">
        <w:r w:rsidRPr="00F262FE">
          <w:rPr>
            <w:rFonts w:ascii="Arial" w:eastAsia="Times New Roman" w:hAnsi="Arial" w:cs="Arial"/>
            <w:color w:val="0000FF"/>
            <w:szCs w:val="24"/>
            <w:u w:val="single"/>
            <w:lang w:eastAsia="en-GB"/>
          </w:rPr>
          <w:t>https://doi.org/10.9734/ajarr/2020/v8i130188</w:t>
        </w:r>
      </w:hyperlink>
    </w:p>
    <w:p w14:paraId="3985D9BF" w14:textId="77777777" w:rsidR="00985B23" w:rsidRPr="00F262FE" w:rsidRDefault="00985B23" w:rsidP="00985B23">
      <w:pPr>
        <w:spacing w:line="360" w:lineRule="auto"/>
        <w:ind w:left="720" w:hanging="720"/>
        <w:rPr>
          <w:rFonts w:ascii="Arial" w:eastAsia="Times New Roman" w:hAnsi="Arial" w:cs="Arial"/>
          <w:szCs w:val="24"/>
          <w:lang w:eastAsia="en-GB"/>
        </w:rPr>
      </w:pPr>
      <w:r w:rsidRPr="00F262FE">
        <w:rPr>
          <w:rFonts w:ascii="Arial" w:eastAsia="Times New Roman" w:hAnsi="Arial" w:cs="Arial"/>
          <w:szCs w:val="24"/>
          <w:lang w:eastAsia="en-GB"/>
        </w:rPr>
        <w:t xml:space="preserve">Mahmudul, H., </w:t>
      </w:r>
      <w:proofErr w:type="spellStart"/>
      <w:r w:rsidRPr="00F262FE">
        <w:rPr>
          <w:rFonts w:ascii="Arial" w:eastAsia="Times New Roman" w:hAnsi="Arial" w:cs="Arial"/>
          <w:szCs w:val="24"/>
          <w:lang w:eastAsia="en-GB"/>
        </w:rPr>
        <w:t>Basudeb</w:t>
      </w:r>
      <w:proofErr w:type="spellEnd"/>
      <w:r w:rsidRPr="00F262FE">
        <w:rPr>
          <w:rFonts w:ascii="Arial" w:eastAsia="Times New Roman" w:hAnsi="Arial" w:cs="Arial"/>
          <w:szCs w:val="24"/>
          <w:lang w:eastAsia="en-GB"/>
        </w:rPr>
        <w:t xml:space="preserve">, R., </w:t>
      </w:r>
      <w:proofErr w:type="spellStart"/>
      <w:r w:rsidRPr="00F262FE">
        <w:rPr>
          <w:rFonts w:ascii="Arial" w:eastAsia="Times New Roman" w:hAnsi="Arial" w:cs="Arial"/>
          <w:szCs w:val="24"/>
          <w:lang w:eastAsia="en-GB"/>
        </w:rPr>
        <w:t>Nurhasan</w:t>
      </w:r>
      <w:proofErr w:type="spellEnd"/>
      <w:r w:rsidRPr="00F262FE">
        <w:rPr>
          <w:rFonts w:ascii="Arial" w:eastAsia="Times New Roman" w:hAnsi="Arial" w:cs="Arial"/>
          <w:szCs w:val="24"/>
          <w:lang w:eastAsia="en-GB"/>
        </w:rPr>
        <w:t xml:space="preserve">, K., </w:t>
      </w:r>
      <w:proofErr w:type="spellStart"/>
      <w:r w:rsidRPr="00F262FE">
        <w:rPr>
          <w:rFonts w:ascii="Arial" w:eastAsia="Times New Roman" w:hAnsi="Arial" w:cs="Arial"/>
          <w:szCs w:val="24"/>
          <w:lang w:eastAsia="en-GB"/>
        </w:rPr>
        <w:t>Kawsar</w:t>
      </w:r>
      <w:proofErr w:type="spellEnd"/>
      <w:r w:rsidRPr="00F262FE">
        <w:rPr>
          <w:rFonts w:ascii="Arial" w:eastAsia="Times New Roman" w:hAnsi="Arial" w:cs="Arial"/>
          <w:szCs w:val="24"/>
          <w:lang w:eastAsia="en-GB"/>
        </w:rPr>
        <w:t xml:space="preserve">, A., &amp; Omar, K. (2020). Genetic diversity analysis and construction of selection index of selected tomato genotypes. </w:t>
      </w:r>
      <w:r w:rsidRPr="00F262FE">
        <w:rPr>
          <w:rFonts w:ascii="Arial" w:eastAsia="Times New Roman" w:hAnsi="Arial" w:cs="Arial"/>
          <w:i/>
          <w:iCs/>
          <w:szCs w:val="24"/>
          <w:lang w:eastAsia="en-GB"/>
        </w:rPr>
        <w:t>African Journal of Agricultural Research, 16</w:t>
      </w:r>
      <w:r w:rsidRPr="00F262FE">
        <w:rPr>
          <w:rFonts w:ascii="Arial" w:eastAsia="Times New Roman" w:hAnsi="Arial" w:cs="Arial"/>
          <w:szCs w:val="24"/>
          <w:lang w:eastAsia="en-GB"/>
        </w:rPr>
        <w:t xml:space="preserve">(10), 1437–1441. </w:t>
      </w:r>
      <w:hyperlink r:id="rId18" w:history="1">
        <w:r w:rsidRPr="00F262FE">
          <w:rPr>
            <w:rFonts w:ascii="Arial" w:eastAsia="Times New Roman" w:hAnsi="Arial" w:cs="Arial"/>
            <w:color w:val="0000FF"/>
            <w:szCs w:val="24"/>
            <w:u w:val="single"/>
            <w:lang w:eastAsia="en-GB"/>
          </w:rPr>
          <w:t>https://doi.org/10.5897/ajar2020.14907</w:t>
        </w:r>
      </w:hyperlink>
    </w:p>
    <w:p w14:paraId="5EFF5977" w14:textId="77777777" w:rsidR="00985B23" w:rsidRPr="00F262FE" w:rsidRDefault="00985B23" w:rsidP="00985B23">
      <w:pPr>
        <w:spacing w:line="360" w:lineRule="auto"/>
        <w:ind w:left="720" w:hanging="720"/>
        <w:rPr>
          <w:rFonts w:ascii="Arial" w:eastAsia="Times New Roman" w:hAnsi="Arial" w:cs="Arial"/>
          <w:szCs w:val="24"/>
          <w:lang w:eastAsia="en-GB"/>
        </w:rPr>
      </w:pPr>
      <w:proofErr w:type="spellStart"/>
      <w:r w:rsidRPr="00F262FE">
        <w:rPr>
          <w:rFonts w:ascii="Arial" w:eastAsia="Times New Roman" w:hAnsi="Arial" w:cs="Arial"/>
          <w:szCs w:val="24"/>
          <w:lang w:eastAsia="en-GB"/>
        </w:rPr>
        <w:t>Nankar</w:t>
      </w:r>
      <w:proofErr w:type="spellEnd"/>
      <w:r w:rsidRPr="00F262FE">
        <w:rPr>
          <w:rFonts w:ascii="Arial" w:eastAsia="Times New Roman" w:hAnsi="Arial" w:cs="Arial"/>
          <w:szCs w:val="24"/>
          <w:lang w:eastAsia="en-GB"/>
        </w:rPr>
        <w:t xml:space="preserve">, A. N., </w:t>
      </w:r>
      <w:proofErr w:type="spellStart"/>
      <w:r w:rsidRPr="00F262FE">
        <w:rPr>
          <w:rFonts w:ascii="Arial" w:eastAsia="Times New Roman" w:hAnsi="Arial" w:cs="Arial"/>
          <w:szCs w:val="24"/>
          <w:lang w:eastAsia="en-GB"/>
        </w:rPr>
        <w:t>Tringovska</w:t>
      </w:r>
      <w:proofErr w:type="spellEnd"/>
      <w:r w:rsidRPr="00F262FE">
        <w:rPr>
          <w:rFonts w:ascii="Arial" w:eastAsia="Times New Roman" w:hAnsi="Arial" w:cs="Arial"/>
          <w:szCs w:val="24"/>
          <w:lang w:eastAsia="en-GB"/>
        </w:rPr>
        <w:t xml:space="preserve">, I., </w:t>
      </w:r>
      <w:proofErr w:type="spellStart"/>
      <w:r w:rsidRPr="00F262FE">
        <w:rPr>
          <w:rFonts w:ascii="Arial" w:eastAsia="Times New Roman" w:hAnsi="Arial" w:cs="Arial"/>
          <w:szCs w:val="24"/>
          <w:lang w:eastAsia="en-GB"/>
        </w:rPr>
        <w:t>Grozeva</w:t>
      </w:r>
      <w:proofErr w:type="spellEnd"/>
      <w:r w:rsidRPr="00F262FE">
        <w:rPr>
          <w:rFonts w:ascii="Arial" w:eastAsia="Times New Roman" w:hAnsi="Arial" w:cs="Arial"/>
          <w:szCs w:val="24"/>
          <w:lang w:eastAsia="en-GB"/>
        </w:rPr>
        <w:t xml:space="preserve">, S., Todorova, V., &amp; </w:t>
      </w:r>
      <w:proofErr w:type="spellStart"/>
      <w:r w:rsidRPr="00F262FE">
        <w:rPr>
          <w:rFonts w:ascii="Arial" w:eastAsia="Times New Roman" w:hAnsi="Arial" w:cs="Arial"/>
          <w:szCs w:val="24"/>
          <w:lang w:eastAsia="en-GB"/>
        </w:rPr>
        <w:t>Kostova</w:t>
      </w:r>
      <w:proofErr w:type="spellEnd"/>
      <w:r w:rsidRPr="00F262FE">
        <w:rPr>
          <w:rFonts w:ascii="Arial" w:eastAsia="Times New Roman" w:hAnsi="Arial" w:cs="Arial"/>
          <w:szCs w:val="24"/>
          <w:lang w:eastAsia="en-GB"/>
        </w:rPr>
        <w:t xml:space="preserve">, D. (2020). Application of high-throughput phenotyping tool Tomato Analyzer to characterize Balkan </w:t>
      </w:r>
      <w:r w:rsidRPr="00F262FE">
        <w:rPr>
          <w:rFonts w:ascii="Arial" w:eastAsia="Times New Roman" w:hAnsi="Arial" w:cs="Arial"/>
          <w:i/>
          <w:iCs/>
          <w:szCs w:val="24"/>
          <w:lang w:eastAsia="en-GB"/>
        </w:rPr>
        <w:t>Capsicum</w:t>
      </w:r>
      <w:r w:rsidRPr="00F262FE">
        <w:rPr>
          <w:rFonts w:ascii="Arial" w:eastAsia="Times New Roman" w:hAnsi="Arial" w:cs="Arial"/>
          <w:szCs w:val="24"/>
          <w:lang w:eastAsia="en-GB"/>
        </w:rPr>
        <w:t xml:space="preserve"> fruit diversity. </w:t>
      </w:r>
      <w:r w:rsidRPr="00F262FE">
        <w:rPr>
          <w:rFonts w:ascii="Arial" w:eastAsia="Times New Roman" w:hAnsi="Arial" w:cs="Arial"/>
          <w:i/>
          <w:iCs/>
          <w:szCs w:val="24"/>
          <w:lang w:eastAsia="en-GB"/>
        </w:rPr>
        <w:t xml:space="preserve">Scientia </w:t>
      </w:r>
      <w:proofErr w:type="spellStart"/>
      <w:r w:rsidRPr="00F262FE">
        <w:rPr>
          <w:rFonts w:ascii="Arial" w:eastAsia="Times New Roman" w:hAnsi="Arial" w:cs="Arial"/>
          <w:i/>
          <w:iCs/>
          <w:szCs w:val="24"/>
          <w:lang w:eastAsia="en-GB"/>
        </w:rPr>
        <w:t>Horticulturae</w:t>
      </w:r>
      <w:proofErr w:type="spellEnd"/>
      <w:r w:rsidRPr="00F262FE">
        <w:rPr>
          <w:rFonts w:ascii="Arial" w:eastAsia="Times New Roman" w:hAnsi="Arial" w:cs="Arial"/>
          <w:i/>
          <w:iCs/>
          <w:szCs w:val="24"/>
          <w:lang w:eastAsia="en-GB"/>
        </w:rPr>
        <w:t>, 260</w:t>
      </w:r>
      <w:r w:rsidRPr="00F262FE">
        <w:rPr>
          <w:rFonts w:ascii="Arial" w:eastAsia="Times New Roman" w:hAnsi="Arial" w:cs="Arial"/>
          <w:szCs w:val="24"/>
          <w:lang w:eastAsia="en-GB"/>
        </w:rPr>
        <w:t xml:space="preserve">, 108862. </w:t>
      </w:r>
      <w:hyperlink r:id="rId19" w:history="1">
        <w:r w:rsidRPr="00F262FE">
          <w:rPr>
            <w:rFonts w:ascii="Arial" w:eastAsia="Times New Roman" w:hAnsi="Arial" w:cs="Arial"/>
            <w:color w:val="0000FF"/>
            <w:szCs w:val="24"/>
            <w:u w:val="single"/>
            <w:lang w:eastAsia="en-GB"/>
          </w:rPr>
          <w:t>https://doi.org/10.1016/j.scienta.2019.108862</w:t>
        </w:r>
      </w:hyperlink>
    </w:p>
    <w:p w14:paraId="05180559" w14:textId="77777777" w:rsidR="00985B23" w:rsidRPr="00F262FE" w:rsidRDefault="00985B23" w:rsidP="00985B23">
      <w:pPr>
        <w:spacing w:line="360" w:lineRule="auto"/>
        <w:ind w:left="720" w:hanging="720"/>
        <w:rPr>
          <w:rFonts w:ascii="Arial" w:eastAsia="Times New Roman" w:hAnsi="Arial" w:cs="Arial"/>
          <w:szCs w:val="24"/>
          <w:lang w:eastAsia="en-GB"/>
        </w:rPr>
      </w:pPr>
      <w:proofErr w:type="spellStart"/>
      <w:r w:rsidRPr="00F262FE">
        <w:rPr>
          <w:rFonts w:ascii="Arial" w:eastAsia="Times New Roman" w:hAnsi="Arial" w:cs="Arial"/>
          <w:szCs w:val="24"/>
          <w:lang w:eastAsia="en-GB"/>
        </w:rPr>
        <w:t>Nisa</w:t>
      </w:r>
      <w:proofErr w:type="spellEnd"/>
      <w:r w:rsidRPr="00F262FE">
        <w:rPr>
          <w:rFonts w:ascii="Arial" w:eastAsia="Times New Roman" w:hAnsi="Arial" w:cs="Arial"/>
          <w:szCs w:val="24"/>
          <w:lang w:eastAsia="en-GB"/>
        </w:rPr>
        <w:t xml:space="preserve">, K. U., &amp; Khan, N. (2020). Detection of heavy metals in fruits and vegetables available in the market of Quetta city. </w:t>
      </w:r>
      <w:r w:rsidRPr="00F262FE">
        <w:rPr>
          <w:rFonts w:ascii="Arial" w:eastAsia="Times New Roman" w:hAnsi="Arial" w:cs="Arial"/>
          <w:i/>
          <w:iCs/>
          <w:szCs w:val="24"/>
          <w:lang w:eastAsia="en-GB"/>
        </w:rPr>
        <w:t>Al-</w:t>
      </w:r>
      <w:proofErr w:type="spellStart"/>
      <w:r w:rsidRPr="00F262FE">
        <w:rPr>
          <w:rFonts w:ascii="Arial" w:eastAsia="Times New Roman" w:hAnsi="Arial" w:cs="Arial"/>
          <w:i/>
          <w:iCs/>
          <w:szCs w:val="24"/>
          <w:lang w:eastAsia="en-GB"/>
        </w:rPr>
        <w:t>Nahrain</w:t>
      </w:r>
      <w:proofErr w:type="spellEnd"/>
      <w:r w:rsidRPr="00F262FE">
        <w:rPr>
          <w:rFonts w:ascii="Arial" w:eastAsia="Times New Roman" w:hAnsi="Arial" w:cs="Arial"/>
          <w:i/>
          <w:iCs/>
          <w:szCs w:val="24"/>
          <w:lang w:eastAsia="en-GB"/>
        </w:rPr>
        <w:t xml:space="preserve"> Journal of Science, 23</w:t>
      </w:r>
      <w:r w:rsidRPr="00F262FE">
        <w:rPr>
          <w:rFonts w:ascii="Arial" w:eastAsia="Times New Roman" w:hAnsi="Arial" w:cs="Arial"/>
          <w:szCs w:val="24"/>
          <w:lang w:eastAsia="en-GB"/>
        </w:rPr>
        <w:t>(1), 47–56.</w:t>
      </w:r>
    </w:p>
    <w:p w14:paraId="0591D604" w14:textId="77777777" w:rsidR="00985B23" w:rsidRPr="00F262FE" w:rsidRDefault="00985B23" w:rsidP="00985B23">
      <w:pPr>
        <w:spacing w:line="360" w:lineRule="auto"/>
        <w:ind w:left="720" w:hanging="720"/>
        <w:rPr>
          <w:rFonts w:ascii="Arial" w:eastAsia="Times New Roman" w:hAnsi="Arial" w:cs="Arial"/>
          <w:szCs w:val="24"/>
          <w:lang w:eastAsia="en-GB"/>
        </w:rPr>
      </w:pPr>
      <w:r w:rsidRPr="00F262FE">
        <w:rPr>
          <w:rFonts w:ascii="Arial" w:eastAsia="Times New Roman" w:hAnsi="Arial" w:cs="Arial"/>
          <w:szCs w:val="24"/>
          <w:lang w:eastAsia="en-GB"/>
        </w:rPr>
        <w:t xml:space="preserve">Phiri, T. M., Bhattarai, G., </w:t>
      </w:r>
      <w:proofErr w:type="spellStart"/>
      <w:r w:rsidRPr="00F262FE">
        <w:rPr>
          <w:rFonts w:ascii="Arial" w:eastAsia="Times New Roman" w:hAnsi="Arial" w:cs="Arial"/>
          <w:szCs w:val="24"/>
          <w:lang w:eastAsia="en-GB"/>
        </w:rPr>
        <w:t>Chiwina</w:t>
      </w:r>
      <w:proofErr w:type="spellEnd"/>
      <w:r w:rsidRPr="00F262FE">
        <w:rPr>
          <w:rFonts w:ascii="Arial" w:eastAsia="Times New Roman" w:hAnsi="Arial" w:cs="Arial"/>
          <w:szCs w:val="24"/>
          <w:lang w:eastAsia="en-GB"/>
        </w:rPr>
        <w:t xml:space="preserve">, K. E., Fan, Q., </w:t>
      </w:r>
      <w:proofErr w:type="spellStart"/>
      <w:r w:rsidRPr="00F262FE">
        <w:rPr>
          <w:rFonts w:ascii="Arial" w:eastAsia="Times New Roman" w:hAnsi="Arial" w:cs="Arial"/>
          <w:szCs w:val="24"/>
          <w:lang w:eastAsia="en-GB"/>
        </w:rPr>
        <w:t>Xiong</w:t>
      </w:r>
      <w:proofErr w:type="spellEnd"/>
      <w:r w:rsidRPr="00F262FE">
        <w:rPr>
          <w:rFonts w:ascii="Arial" w:eastAsia="Times New Roman" w:hAnsi="Arial" w:cs="Arial"/>
          <w:szCs w:val="24"/>
          <w:lang w:eastAsia="en-GB"/>
        </w:rPr>
        <w:t xml:space="preserve">, H., </w:t>
      </w:r>
      <w:proofErr w:type="spellStart"/>
      <w:r w:rsidRPr="00F262FE">
        <w:rPr>
          <w:rFonts w:ascii="Arial" w:eastAsia="Times New Roman" w:hAnsi="Arial" w:cs="Arial"/>
          <w:szCs w:val="24"/>
          <w:lang w:eastAsia="en-GB"/>
        </w:rPr>
        <w:t>Alatawi</w:t>
      </w:r>
      <w:proofErr w:type="spellEnd"/>
      <w:r w:rsidRPr="00F262FE">
        <w:rPr>
          <w:rFonts w:ascii="Arial" w:eastAsia="Times New Roman" w:hAnsi="Arial" w:cs="Arial"/>
          <w:szCs w:val="24"/>
          <w:lang w:eastAsia="en-GB"/>
        </w:rPr>
        <w:t>, I., &amp; Shi, A. (2024). Evaluation of bacterial wilt (</w:t>
      </w:r>
      <w:proofErr w:type="spellStart"/>
      <w:r w:rsidRPr="00F262FE">
        <w:rPr>
          <w:rFonts w:ascii="Arial" w:eastAsia="Times New Roman" w:hAnsi="Arial" w:cs="Arial"/>
          <w:i/>
          <w:iCs/>
          <w:szCs w:val="24"/>
          <w:lang w:eastAsia="en-GB"/>
        </w:rPr>
        <w:t>Ralstonia</w:t>
      </w:r>
      <w:proofErr w:type="spellEnd"/>
      <w:r w:rsidRPr="00F262FE">
        <w:rPr>
          <w:rFonts w:ascii="Arial" w:eastAsia="Times New Roman" w:hAnsi="Arial" w:cs="Arial"/>
          <w:i/>
          <w:iCs/>
          <w:szCs w:val="24"/>
          <w:lang w:eastAsia="en-GB"/>
        </w:rPr>
        <w:t xml:space="preserve"> solanacearum</w:t>
      </w:r>
      <w:r w:rsidRPr="00F262FE">
        <w:rPr>
          <w:rFonts w:ascii="Arial" w:eastAsia="Times New Roman" w:hAnsi="Arial" w:cs="Arial"/>
          <w:szCs w:val="24"/>
          <w:lang w:eastAsia="en-GB"/>
        </w:rPr>
        <w:t xml:space="preserve">) resistance in tomato germplasm from USDA. </w:t>
      </w:r>
      <w:r w:rsidRPr="00F262FE">
        <w:rPr>
          <w:rFonts w:ascii="Arial" w:eastAsia="Times New Roman" w:hAnsi="Arial" w:cs="Arial"/>
          <w:i/>
          <w:iCs/>
          <w:szCs w:val="24"/>
          <w:lang w:eastAsia="en-GB"/>
        </w:rPr>
        <w:t>Agronomy, 14</w:t>
      </w:r>
      <w:r w:rsidRPr="00F262FE">
        <w:rPr>
          <w:rFonts w:ascii="Arial" w:eastAsia="Times New Roman" w:hAnsi="Arial" w:cs="Arial"/>
          <w:szCs w:val="24"/>
          <w:lang w:eastAsia="en-GB"/>
        </w:rPr>
        <w:t xml:space="preserve">(2), 350. </w:t>
      </w:r>
      <w:hyperlink r:id="rId20" w:history="1">
        <w:r w:rsidRPr="00F262FE">
          <w:rPr>
            <w:rFonts w:ascii="Arial" w:eastAsia="Times New Roman" w:hAnsi="Arial" w:cs="Arial"/>
            <w:color w:val="0000FF"/>
            <w:szCs w:val="24"/>
            <w:u w:val="single"/>
            <w:lang w:eastAsia="en-GB"/>
          </w:rPr>
          <w:t>https://doi.org/10.3390/agronomy14020350</w:t>
        </w:r>
      </w:hyperlink>
    </w:p>
    <w:p w14:paraId="46CC1126" w14:textId="77777777" w:rsidR="00985B23" w:rsidRPr="00F262FE" w:rsidRDefault="00985B23" w:rsidP="00985B23">
      <w:pPr>
        <w:spacing w:line="360" w:lineRule="auto"/>
        <w:ind w:left="720" w:hanging="720"/>
        <w:rPr>
          <w:rFonts w:ascii="Arial" w:eastAsia="Times New Roman" w:hAnsi="Arial" w:cs="Arial"/>
          <w:szCs w:val="24"/>
          <w:lang w:eastAsia="en-GB"/>
        </w:rPr>
      </w:pPr>
      <w:proofErr w:type="spellStart"/>
      <w:r w:rsidRPr="00F262FE">
        <w:rPr>
          <w:rFonts w:ascii="Arial" w:eastAsia="Times New Roman" w:hAnsi="Arial" w:cs="Arial"/>
          <w:szCs w:val="24"/>
          <w:lang w:eastAsia="en-GB"/>
        </w:rPr>
        <w:lastRenderedPageBreak/>
        <w:t>Polin</w:t>
      </w:r>
      <w:proofErr w:type="spellEnd"/>
      <w:r w:rsidRPr="00F262FE">
        <w:rPr>
          <w:rFonts w:ascii="Arial" w:eastAsia="Times New Roman" w:hAnsi="Arial" w:cs="Arial"/>
          <w:szCs w:val="24"/>
          <w:lang w:eastAsia="en-GB"/>
        </w:rPr>
        <w:t xml:space="preserve">, J. A., Hasan, N., Habib, M. T., Rahman, A., </w:t>
      </w:r>
      <w:proofErr w:type="spellStart"/>
      <w:r w:rsidRPr="00F262FE">
        <w:rPr>
          <w:rFonts w:ascii="Arial" w:eastAsia="Times New Roman" w:hAnsi="Arial" w:cs="Arial"/>
          <w:szCs w:val="24"/>
          <w:lang w:eastAsia="en-GB"/>
        </w:rPr>
        <w:t>Vasha</w:t>
      </w:r>
      <w:proofErr w:type="spellEnd"/>
      <w:r w:rsidRPr="00F262FE">
        <w:rPr>
          <w:rFonts w:ascii="Arial" w:eastAsia="Times New Roman" w:hAnsi="Arial" w:cs="Arial"/>
          <w:szCs w:val="24"/>
          <w:lang w:eastAsia="en-GB"/>
        </w:rPr>
        <w:t xml:space="preserve">, Z. N., &amp; Sharma, B. (2024). Tomato </w:t>
      </w:r>
      <w:proofErr w:type="spellStart"/>
      <w:r w:rsidRPr="00F262FE">
        <w:rPr>
          <w:rFonts w:ascii="Arial" w:eastAsia="Times New Roman" w:hAnsi="Arial" w:cs="Arial"/>
          <w:szCs w:val="24"/>
          <w:lang w:eastAsia="en-GB"/>
        </w:rPr>
        <w:t>pest</w:t>
      </w:r>
      <w:proofErr w:type="spellEnd"/>
      <w:r w:rsidRPr="00F262FE">
        <w:rPr>
          <w:rFonts w:ascii="Arial" w:eastAsia="Times New Roman" w:hAnsi="Arial" w:cs="Arial"/>
          <w:szCs w:val="24"/>
          <w:lang w:eastAsia="en-GB"/>
        </w:rPr>
        <w:t xml:space="preserve"> recognition using convolutional neural network in Bangladesh. </w:t>
      </w:r>
      <w:r w:rsidRPr="00F262FE">
        <w:rPr>
          <w:rFonts w:ascii="Arial" w:eastAsia="Times New Roman" w:hAnsi="Arial" w:cs="Arial"/>
          <w:i/>
          <w:iCs/>
          <w:szCs w:val="24"/>
          <w:lang w:eastAsia="en-GB"/>
        </w:rPr>
        <w:t>Bulletin of Electrical Engineering and Informatics, 13</w:t>
      </w:r>
      <w:r w:rsidRPr="00F262FE">
        <w:rPr>
          <w:rFonts w:ascii="Arial" w:eastAsia="Times New Roman" w:hAnsi="Arial" w:cs="Arial"/>
          <w:szCs w:val="24"/>
          <w:lang w:eastAsia="en-GB"/>
        </w:rPr>
        <w:t xml:space="preserve">(1), 619–627. </w:t>
      </w:r>
      <w:hyperlink r:id="rId21" w:history="1">
        <w:r w:rsidRPr="00F262FE">
          <w:rPr>
            <w:rFonts w:ascii="Arial" w:eastAsia="Times New Roman" w:hAnsi="Arial" w:cs="Arial"/>
            <w:color w:val="0000FF"/>
            <w:szCs w:val="24"/>
            <w:u w:val="single"/>
            <w:lang w:eastAsia="en-GB"/>
          </w:rPr>
          <w:t>https://doi.org/10.11591/eei.v13i1.6073</w:t>
        </w:r>
      </w:hyperlink>
    </w:p>
    <w:p w14:paraId="1DBAB367" w14:textId="77777777" w:rsidR="00985B23" w:rsidRPr="00F262FE" w:rsidRDefault="00985B23" w:rsidP="00985B23">
      <w:pPr>
        <w:spacing w:line="360" w:lineRule="auto"/>
        <w:ind w:left="720" w:hanging="720"/>
        <w:rPr>
          <w:rFonts w:ascii="Arial" w:eastAsia="Times New Roman" w:hAnsi="Arial" w:cs="Arial"/>
          <w:szCs w:val="24"/>
          <w:lang w:eastAsia="en-GB"/>
        </w:rPr>
      </w:pPr>
      <w:r w:rsidRPr="00F262FE">
        <w:rPr>
          <w:rFonts w:ascii="Arial" w:eastAsia="Times New Roman" w:hAnsi="Arial" w:cs="Arial"/>
          <w:szCs w:val="24"/>
          <w:lang w:eastAsia="en-GB"/>
        </w:rPr>
        <w:t>Reddy, B. R., Pratapa Reddy, M., Reddy, D. S., &amp; Begum, H. (n.d.). Correlation and path analysis studies for yield and quality traits in tomato (</w:t>
      </w:r>
      <w:r w:rsidRPr="00F262FE">
        <w:rPr>
          <w:rFonts w:ascii="Arial" w:eastAsia="Times New Roman" w:hAnsi="Arial" w:cs="Arial"/>
          <w:i/>
          <w:iCs/>
          <w:szCs w:val="24"/>
          <w:lang w:eastAsia="en-GB"/>
        </w:rPr>
        <w:t xml:space="preserve">Solanum </w:t>
      </w:r>
      <w:proofErr w:type="spellStart"/>
      <w:r w:rsidRPr="00F262FE">
        <w:rPr>
          <w:rFonts w:ascii="Arial" w:eastAsia="Times New Roman" w:hAnsi="Arial" w:cs="Arial"/>
          <w:i/>
          <w:iCs/>
          <w:szCs w:val="24"/>
          <w:lang w:eastAsia="en-GB"/>
        </w:rPr>
        <w:t>lycopersicum</w:t>
      </w:r>
      <w:proofErr w:type="spellEnd"/>
      <w:r w:rsidRPr="00F262FE">
        <w:rPr>
          <w:rFonts w:ascii="Arial" w:eastAsia="Times New Roman" w:hAnsi="Arial" w:cs="Arial"/>
          <w:szCs w:val="24"/>
          <w:lang w:eastAsia="en-GB"/>
        </w:rPr>
        <w:t xml:space="preserve"> L.). </w:t>
      </w:r>
      <w:r w:rsidRPr="00F262FE">
        <w:rPr>
          <w:rFonts w:ascii="Arial" w:eastAsia="Times New Roman" w:hAnsi="Arial" w:cs="Arial"/>
          <w:i/>
          <w:iCs/>
          <w:szCs w:val="24"/>
          <w:lang w:eastAsia="en-GB"/>
        </w:rPr>
        <w:t>IOSR Journals.</w:t>
      </w:r>
      <w:r w:rsidRPr="00F262FE">
        <w:rPr>
          <w:rFonts w:ascii="Arial" w:eastAsia="Times New Roman" w:hAnsi="Arial" w:cs="Arial"/>
          <w:szCs w:val="24"/>
          <w:lang w:eastAsia="en-GB"/>
        </w:rPr>
        <w:t xml:space="preserve"> Retrieved from </w:t>
      </w:r>
      <w:hyperlink r:id="rId22" w:history="1">
        <w:r w:rsidRPr="00F262FE">
          <w:rPr>
            <w:rFonts w:ascii="Arial" w:eastAsia="Times New Roman" w:hAnsi="Arial" w:cs="Arial"/>
            <w:color w:val="0000FF"/>
            <w:szCs w:val="24"/>
            <w:u w:val="single"/>
            <w:lang w:eastAsia="en-GB"/>
          </w:rPr>
          <w:t>www.iosrjournals.org</w:t>
        </w:r>
      </w:hyperlink>
    </w:p>
    <w:p w14:paraId="1E812CAB" w14:textId="77777777" w:rsidR="00985B23" w:rsidRPr="00F262FE" w:rsidRDefault="00985B23" w:rsidP="00985B23">
      <w:pPr>
        <w:spacing w:line="360" w:lineRule="auto"/>
        <w:ind w:left="720" w:hanging="720"/>
        <w:rPr>
          <w:rFonts w:ascii="Arial" w:eastAsia="Times New Roman" w:hAnsi="Arial" w:cs="Arial"/>
          <w:szCs w:val="24"/>
          <w:lang w:eastAsia="en-GB"/>
        </w:rPr>
      </w:pPr>
      <w:proofErr w:type="spellStart"/>
      <w:r w:rsidRPr="00F262FE">
        <w:rPr>
          <w:rFonts w:ascii="Arial" w:eastAsia="Times New Roman" w:hAnsi="Arial" w:cs="Arial"/>
          <w:szCs w:val="24"/>
          <w:lang w:eastAsia="en-GB"/>
        </w:rPr>
        <w:t>Sohag</w:t>
      </w:r>
      <w:proofErr w:type="spellEnd"/>
      <w:r w:rsidRPr="00F262FE">
        <w:rPr>
          <w:rFonts w:ascii="Arial" w:eastAsia="Times New Roman" w:hAnsi="Arial" w:cs="Arial"/>
          <w:szCs w:val="24"/>
          <w:lang w:eastAsia="en-GB"/>
        </w:rPr>
        <w:t xml:space="preserve">, M. A., Rahman, H. M., Kayess, M. O., &amp; </w:t>
      </w:r>
      <w:proofErr w:type="spellStart"/>
      <w:r w:rsidRPr="00F262FE">
        <w:rPr>
          <w:rFonts w:ascii="Arial" w:eastAsia="Times New Roman" w:hAnsi="Arial" w:cs="Arial"/>
          <w:szCs w:val="24"/>
          <w:lang w:eastAsia="en-GB"/>
        </w:rPr>
        <w:t>Ifty</w:t>
      </w:r>
      <w:proofErr w:type="spellEnd"/>
      <w:r w:rsidRPr="00F262FE">
        <w:rPr>
          <w:rFonts w:ascii="Arial" w:eastAsia="Times New Roman" w:hAnsi="Arial" w:cs="Arial"/>
          <w:szCs w:val="24"/>
          <w:lang w:eastAsia="en-GB"/>
        </w:rPr>
        <w:t>, M. F. (2023). Effect of pre-harvest fruit bagging on yield, postharvest quality and shelf life of tomato (</w:t>
      </w:r>
      <w:r w:rsidRPr="00F262FE">
        <w:rPr>
          <w:rFonts w:ascii="Arial" w:eastAsia="Times New Roman" w:hAnsi="Arial" w:cs="Arial"/>
          <w:i/>
          <w:iCs/>
          <w:szCs w:val="24"/>
          <w:lang w:eastAsia="en-GB"/>
        </w:rPr>
        <w:t xml:space="preserve">Solanum </w:t>
      </w:r>
      <w:proofErr w:type="spellStart"/>
      <w:r w:rsidRPr="00F262FE">
        <w:rPr>
          <w:rFonts w:ascii="Arial" w:eastAsia="Times New Roman" w:hAnsi="Arial" w:cs="Arial"/>
          <w:i/>
          <w:iCs/>
          <w:szCs w:val="24"/>
          <w:lang w:eastAsia="en-GB"/>
        </w:rPr>
        <w:t>lycopersicum</w:t>
      </w:r>
      <w:proofErr w:type="spellEnd"/>
      <w:r w:rsidRPr="00F262FE">
        <w:rPr>
          <w:rFonts w:ascii="Arial" w:eastAsia="Times New Roman" w:hAnsi="Arial" w:cs="Arial"/>
          <w:szCs w:val="24"/>
          <w:lang w:eastAsia="en-GB"/>
        </w:rPr>
        <w:t xml:space="preserve"> L.) cv. BARI Tomato-2. </w:t>
      </w:r>
      <w:r w:rsidRPr="00F262FE">
        <w:rPr>
          <w:rFonts w:ascii="Arial" w:eastAsia="Times New Roman" w:hAnsi="Arial" w:cs="Arial"/>
          <w:i/>
          <w:iCs/>
          <w:szCs w:val="24"/>
          <w:lang w:eastAsia="en-GB"/>
        </w:rPr>
        <w:t>Journal of Applied and Natural Science, 15</w:t>
      </w:r>
      <w:r w:rsidRPr="00F262FE">
        <w:rPr>
          <w:rFonts w:ascii="Arial" w:eastAsia="Times New Roman" w:hAnsi="Arial" w:cs="Arial"/>
          <w:szCs w:val="24"/>
          <w:lang w:eastAsia="en-GB"/>
        </w:rPr>
        <w:t xml:space="preserve">(1), 220–226. </w:t>
      </w:r>
      <w:hyperlink r:id="rId23" w:history="1">
        <w:r w:rsidRPr="00F262FE">
          <w:rPr>
            <w:rFonts w:ascii="Arial" w:eastAsia="Times New Roman" w:hAnsi="Arial" w:cs="Arial"/>
            <w:color w:val="0000FF"/>
            <w:szCs w:val="24"/>
            <w:u w:val="single"/>
            <w:lang w:eastAsia="en-GB"/>
          </w:rPr>
          <w:t>https://doi.org/10.31018/jans.v15i1.4261</w:t>
        </w:r>
      </w:hyperlink>
    </w:p>
    <w:p w14:paraId="5C9B6314" w14:textId="77777777" w:rsidR="00985B23" w:rsidRPr="00F262FE" w:rsidRDefault="00985B23" w:rsidP="00985B23">
      <w:pPr>
        <w:spacing w:line="360" w:lineRule="auto"/>
        <w:ind w:left="720" w:hanging="720"/>
        <w:rPr>
          <w:rFonts w:ascii="Arial" w:eastAsia="Times New Roman" w:hAnsi="Arial" w:cs="Arial"/>
          <w:szCs w:val="24"/>
          <w:lang w:eastAsia="en-GB"/>
        </w:rPr>
      </w:pPr>
      <w:proofErr w:type="spellStart"/>
      <w:r w:rsidRPr="00F262FE">
        <w:rPr>
          <w:rFonts w:ascii="Arial" w:eastAsia="Times New Roman" w:hAnsi="Arial" w:cs="Arial"/>
          <w:szCs w:val="24"/>
          <w:lang w:eastAsia="en-GB"/>
        </w:rPr>
        <w:t>Zannat</w:t>
      </w:r>
      <w:proofErr w:type="spellEnd"/>
      <w:r w:rsidRPr="00F262FE">
        <w:rPr>
          <w:rFonts w:ascii="Arial" w:eastAsia="Times New Roman" w:hAnsi="Arial" w:cs="Arial"/>
          <w:szCs w:val="24"/>
          <w:lang w:eastAsia="en-GB"/>
        </w:rPr>
        <w:t xml:space="preserve">, A., Hussain, M. A., Abdullah, A. H., Hossain, M. I., Saifullah, M., </w:t>
      </w:r>
      <w:proofErr w:type="spellStart"/>
      <w:r w:rsidRPr="00F262FE">
        <w:rPr>
          <w:rFonts w:ascii="Arial" w:eastAsia="Times New Roman" w:hAnsi="Arial" w:cs="Arial"/>
          <w:szCs w:val="24"/>
          <w:lang w:eastAsia="en-GB"/>
        </w:rPr>
        <w:t>Safhi</w:t>
      </w:r>
      <w:proofErr w:type="spellEnd"/>
      <w:r w:rsidRPr="00F262FE">
        <w:rPr>
          <w:rFonts w:ascii="Arial" w:eastAsia="Times New Roman" w:hAnsi="Arial" w:cs="Arial"/>
          <w:szCs w:val="24"/>
          <w:lang w:eastAsia="en-GB"/>
        </w:rPr>
        <w:t xml:space="preserve">, F. A., &amp; Hossain, M. S. (2023). Exploring genotypic variability and interrelationships among growth, yield, and quality characteristics in diverse tomato genotypes. </w:t>
      </w:r>
      <w:proofErr w:type="spellStart"/>
      <w:r w:rsidRPr="00F262FE">
        <w:rPr>
          <w:rFonts w:ascii="Arial" w:eastAsia="Times New Roman" w:hAnsi="Arial" w:cs="Arial"/>
          <w:i/>
          <w:iCs/>
          <w:szCs w:val="24"/>
          <w:lang w:eastAsia="en-GB"/>
        </w:rPr>
        <w:t>Heliyon</w:t>
      </w:r>
      <w:proofErr w:type="spellEnd"/>
      <w:r w:rsidRPr="00F262FE">
        <w:rPr>
          <w:rFonts w:ascii="Arial" w:eastAsia="Times New Roman" w:hAnsi="Arial" w:cs="Arial"/>
          <w:i/>
          <w:iCs/>
          <w:szCs w:val="24"/>
          <w:lang w:eastAsia="en-GB"/>
        </w:rPr>
        <w:t>, 9</w:t>
      </w:r>
      <w:r w:rsidRPr="00F262FE">
        <w:rPr>
          <w:rFonts w:ascii="Arial" w:eastAsia="Times New Roman" w:hAnsi="Arial" w:cs="Arial"/>
          <w:szCs w:val="24"/>
          <w:lang w:eastAsia="en-GB"/>
        </w:rPr>
        <w:t xml:space="preserve">(8), e18958. </w:t>
      </w:r>
      <w:hyperlink r:id="rId24" w:history="1">
        <w:r w:rsidRPr="00F262FE">
          <w:rPr>
            <w:rFonts w:ascii="Arial" w:eastAsia="Times New Roman" w:hAnsi="Arial" w:cs="Arial"/>
            <w:color w:val="0000FF"/>
            <w:szCs w:val="24"/>
            <w:u w:val="single"/>
            <w:lang w:eastAsia="en-GB"/>
          </w:rPr>
          <w:t>https://doi.org/10.1016/j.heliyon.2023.e18958</w:t>
        </w:r>
      </w:hyperlink>
    </w:p>
    <w:p w14:paraId="5034D0A1" w14:textId="77777777" w:rsidR="00985B23" w:rsidRPr="001B4FB2" w:rsidRDefault="00985B23" w:rsidP="00985B23">
      <w:pPr>
        <w:rPr>
          <w:rFonts w:ascii="Arial" w:hAnsi="Arial" w:cs="Arial"/>
          <w:szCs w:val="24"/>
        </w:rPr>
      </w:pPr>
    </w:p>
    <w:p w14:paraId="541D8CC4" w14:textId="1C754A86" w:rsidR="00121D10" w:rsidRPr="001B4FB2" w:rsidRDefault="00121D10">
      <w:pPr>
        <w:rPr>
          <w:rFonts w:ascii="Arial" w:hAnsi="Arial" w:cs="Arial"/>
          <w:szCs w:val="24"/>
        </w:rPr>
      </w:pPr>
    </w:p>
    <w:p w14:paraId="5AB8B2B2" w14:textId="51CD7B14" w:rsidR="00121D10" w:rsidRPr="001B4FB2" w:rsidRDefault="00121D10">
      <w:pPr>
        <w:rPr>
          <w:rFonts w:ascii="Arial" w:hAnsi="Arial" w:cs="Arial"/>
          <w:szCs w:val="24"/>
        </w:rPr>
      </w:pPr>
    </w:p>
    <w:p w14:paraId="52F78329" w14:textId="15BBF438" w:rsidR="00121D10" w:rsidRPr="001B4FB2" w:rsidRDefault="00121D10">
      <w:pPr>
        <w:rPr>
          <w:rFonts w:ascii="Arial" w:hAnsi="Arial" w:cs="Arial"/>
          <w:szCs w:val="24"/>
        </w:rPr>
      </w:pPr>
    </w:p>
    <w:p w14:paraId="6694C8A1" w14:textId="6606BF6B" w:rsidR="00121D10" w:rsidRPr="001B4FB2" w:rsidRDefault="00121D10">
      <w:pPr>
        <w:rPr>
          <w:rFonts w:ascii="Arial" w:hAnsi="Arial" w:cs="Arial"/>
          <w:szCs w:val="24"/>
        </w:rPr>
      </w:pPr>
    </w:p>
    <w:p w14:paraId="2BEA5A2B" w14:textId="5D345FD3" w:rsidR="00121D10" w:rsidRPr="001B4FB2" w:rsidRDefault="00121D10">
      <w:pPr>
        <w:rPr>
          <w:rFonts w:ascii="Arial" w:hAnsi="Arial" w:cs="Arial"/>
          <w:szCs w:val="24"/>
        </w:rPr>
      </w:pPr>
    </w:p>
    <w:p w14:paraId="3D4D0B14" w14:textId="670BAD31" w:rsidR="00121D10" w:rsidRPr="001B4FB2" w:rsidRDefault="00121D10">
      <w:pPr>
        <w:rPr>
          <w:rFonts w:ascii="Arial" w:hAnsi="Arial" w:cs="Arial"/>
          <w:szCs w:val="24"/>
        </w:rPr>
      </w:pPr>
    </w:p>
    <w:p w14:paraId="460017AD" w14:textId="4835785F" w:rsidR="00121D10" w:rsidRPr="001B4FB2" w:rsidRDefault="00121D10">
      <w:pPr>
        <w:rPr>
          <w:rFonts w:ascii="Arial" w:hAnsi="Arial" w:cs="Arial"/>
          <w:szCs w:val="24"/>
        </w:rPr>
      </w:pPr>
    </w:p>
    <w:p w14:paraId="4657A0CA" w14:textId="0B712843" w:rsidR="00121D10" w:rsidRPr="001B4FB2" w:rsidRDefault="00121D10">
      <w:pPr>
        <w:rPr>
          <w:rFonts w:ascii="Arial" w:hAnsi="Arial" w:cs="Arial"/>
          <w:szCs w:val="24"/>
        </w:rPr>
      </w:pPr>
    </w:p>
    <w:p w14:paraId="0F225315" w14:textId="1F2135CE" w:rsidR="00121D10" w:rsidRPr="001B4FB2" w:rsidRDefault="00121D10">
      <w:pPr>
        <w:rPr>
          <w:rFonts w:ascii="Arial" w:hAnsi="Arial" w:cs="Arial"/>
          <w:szCs w:val="24"/>
        </w:rPr>
      </w:pPr>
    </w:p>
    <w:p w14:paraId="5819EEE2" w14:textId="5619ED87" w:rsidR="00121D10" w:rsidRPr="001B4FB2" w:rsidRDefault="00121D10">
      <w:pPr>
        <w:rPr>
          <w:rFonts w:ascii="Arial" w:hAnsi="Arial" w:cs="Arial"/>
          <w:szCs w:val="24"/>
        </w:rPr>
      </w:pPr>
    </w:p>
    <w:p w14:paraId="3BBA341A" w14:textId="6D2E189D" w:rsidR="00121D10" w:rsidRPr="001B4FB2" w:rsidRDefault="00121D10">
      <w:pPr>
        <w:rPr>
          <w:rFonts w:ascii="Arial" w:hAnsi="Arial" w:cs="Arial"/>
          <w:szCs w:val="24"/>
        </w:rPr>
      </w:pPr>
    </w:p>
    <w:p w14:paraId="1C732FE1" w14:textId="62526765" w:rsidR="00121D10" w:rsidRPr="001B4FB2" w:rsidRDefault="00121D10">
      <w:pPr>
        <w:rPr>
          <w:rFonts w:ascii="Arial" w:hAnsi="Arial" w:cs="Arial"/>
          <w:szCs w:val="24"/>
        </w:rPr>
      </w:pPr>
    </w:p>
    <w:p w14:paraId="0E556B5B" w14:textId="2D441925" w:rsidR="00121D10" w:rsidRPr="001B4FB2" w:rsidRDefault="00121D10">
      <w:pPr>
        <w:rPr>
          <w:rFonts w:ascii="Arial" w:hAnsi="Arial" w:cs="Arial"/>
          <w:szCs w:val="24"/>
        </w:rPr>
      </w:pPr>
    </w:p>
    <w:p w14:paraId="288564B4" w14:textId="589FC49B" w:rsidR="00121D10" w:rsidRPr="001B4FB2" w:rsidRDefault="00121D10">
      <w:pPr>
        <w:rPr>
          <w:rFonts w:ascii="Arial" w:hAnsi="Arial" w:cs="Arial"/>
          <w:szCs w:val="24"/>
        </w:rPr>
      </w:pPr>
    </w:p>
    <w:p w14:paraId="04464CCC" w14:textId="2800DC63" w:rsidR="00121D10" w:rsidRPr="001B4FB2" w:rsidRDefault="00121D10">
      <w:pPr>
        <w:rPr>
          <w:rFonts w:ascii="Arial" w:hAnsi="Arial" w:cs="Arial"/>
          <w:szCs w:val="24"/>
        </w:rPr>
      </w:pPr>
    </w:p>
    <w:p w14:paraId="44137D88" w14:textId="3C90EFFA" w:rsidR="00121D10" w:rsidRPr="001B4FB2" w:rsidRDefault="00121D10">
      <w:pPr>
        <w:rPr>
          <w:rFonts w:ascii="Arial" w:hAnsi="Arial" w:cs="Arial"/>
          <w:szCs w:val="24"/>
        </w:rPr>
      </w:pPr>
    </w:p>
    <w:p w14:paraId="1F532D2D" w14:textId="7C202572" w:rsidR="00121D10" w:rsidRPr="001B4FB2" w:rsidRDefault="00121D10">
      <w:pPr>
        <w:rPr>
          <w:rFonts w:ascii="Arial" w:hAnsi="Arial" w:cs="Arial"/>
          <w:szCs w:val="24"/>
        </w:rPr>
      </w:pPr>
    </w:p>
    <w:p w14:paraId="78499141" w14:textId="0853E191" w:rsidR="00121D10" w:rsidRPr="001B4FB2" w:rsidRDefault="00121D10">
      <w:pPr>
        <w:rPr>
          <w:rFonts w:ascii="Arial" w:hAnsi="Arial" w:cs="Arial"/>
          <w:szCs w:val="24"/>
        </w:rPr>
      </w:pPr>
    </w:p>
    <w:p w14:paraId="15013E09" w14:textId="1993D26D" w:rsidR="00121D10" w:rsidRPr="001B4FB2" w:rsidRDefault="00121D10">
      <w:pPr>
        <w:rPr>
          <w:rFonts w:ascii="Arial" w:hAnsi="Arial" w:cs="Arial"/>
          <w:szCs w:val="24"/>
        </w:rPr>
      </w:pPr>
    </w:p>
    <w:p w14:paraId="56FC662E" w14:textId="19BD76BD" w:rsidR="00121D10" w:rsidRPr="001B4FB2" w:rsidRDefault="00121D10">
      <w:pPr>
        <w:rPr>
          <w:rFonts w:ascii="Arial" w:hAnsi="Arial" w:cs="Arial"/>
          <w:szCs w:val="24"/>
        </w:rPr>
      </w:pPr>
    </w:p>
    <w:p w14:paraId="1480FC91" w14:textId="253C10E9" w:rsidR="00121D10" w:rsidRPr="001B4FB2" w:rsidRDefault="00121D10">
      <w:pPr>
        <w:rPr>
          <w:rFonts w:ascii="Arial" w:hAnsi="Arial" w:cs="Arial"/>
          <w:szCs w:val="24"/>
        </w:rPr>
      </w:pPr>
    </w:p>
    <w:p w14:paraId="0C617205" w14:textId="4D4542D7" w:rsidR="00121D10" w:rsidRPr="001B4FB2" w:rsidRDefault="00121D10">
      <w:pPr>
        <w:rPr>
          <w:rFonts w:ascii="Arial" w:hAnsi="Arial" w:cs="Arial"/>
          <w:szCs w:val="24"/>
        </w:rPr>
      </w:pPr>
    </w:p>
    <w:p w14:paraId="7522014E" w14:textId="2C9DF58E" w:rsidR="00121D10" w:rsidRPr="001B4FB2" w:rsidRDefault="00121D10">
      <w:pPr>
        <w:rPr>
          <w:rFonts w:ascii="Arial" w:hAnsi="Arial" w:cs="Arial"/>
          <w:szCs w:val="24"/>
        </w:rPr>
      </w:pPr>
    </w:p>
    <w:p w14:paraId="42E22460" w14:textId="35BD1560" w:rsidR="00121D10" w:rsidRPr="001B4FB2" w:rsidRDefault="00121D10">
      <w:pPr>
        <w:rPr>
          <w:rFonts w:ascii="Arial" w:hAnsi="Arial" w:cs="Arial"/>
          <w:szCs w:val="24"/>
        </w:rPr>
      </w:pPr>
    </w:p>
    <w:p w14:paraId="31E9C91C" w14:textId="11C58FF0" w:rsidR="00121D10" w:rsidRPr="001B4FB2" w:rsidRDefault="00121D10">
      <w:pPr>
        <w:rPr>
          <w:rFonts w:ascii="Arial" w:hAnsi="Arial" w:cs="Arial"/>
          <w:szCs w:val="24"/>
        </w:rPr>
      </w:pPr>
    </w:p>
    <w:p w14:paraId="632F950B" w14:textId="75D5B525" w:rsidR="00121D10" w:rsidRPr="001B4FB2" w:rsidRDefault="00121D10">
      <w:pPr>
        <w:rPr>
          <w:rFonts w:ascii="Arial" w:hAnsi="Arial" w:cs="Arial"/>
          <w:szCs w:val="24"/>
        </w:rPr>
      </w:pPr>
    </w:p>
    <w:p w14:paraId="22933C16" w14:textId="1625E20D" w:rsidR="00121D10" w:rsidRPr="001B4FB2" w:rsidRDefault="00121D10">
      <w:pPr>
        <w:rPr>
          <w:rFonts w:ascii="Arial" w:hAnsi="Arial" w:cs="Arial"/>
          <w:szCs w:val="24"/>
        </w:rPr>
      </w:pPr>
    </w:p>
    <w:p w14:paraId="465DB8EE" w14:textId="0236FE4D" w:rsidR="00121D10" w:rsidRPr="001B4FB2" w:rsidRDefault="00121D10">
      <w:pPr>
        <w:rPr>
          <w:rFonts w:ascii="Arial" w:hAnsi="Arial" w:cs="Arial"/>
          <w:szCs w:val="24"/>
        </w:rPr>
      </w:pPr>
    </w:p>
    <w:p w14:paraId="12C68540" w14:textId="50F08E79" w:rsidR="00121D10" w:rsidRPr="001B4FB2" w:rsidRDefault="00121D10">
      <w:pPr>
        <w:rPr>
          <w:rFonts w:ascii="Arial" w:hAnsi="Arial" w:cs="Arial"/>
          <w:szCs w:val="24"/>
        </w:rPr>
      </w:pPr>
    </w:p>
    <w:p w14:paraId="37969877" w14:textId="77080189" w:rsidR="00121D10" w:rsidRPr="001B4FB2" w:rsidRDefault="00121D10">
      <w:pPr>
        <w:rPr>
          <w:rFonts w:ascii="Arial" w:hAnsi="Arial" w:cs="Arial"/>
          <w:szCs w:val="24"/>
        </w:rPr>
      </w:pPr>
    </w:p>
    <w:p w14:paraId="092FD2EB" w14:textId="4A147DCF" w:rsidR="00121D10" w:rsidRPr="001B4FB2" w:rsidRDefault="00121D10">
      <w:pPr>
        <w:rPr>
          <w:rFonts w:ascii="Arial" w:hAnsi="Arial" w:cs="Arial"/>
          <w:szCs w:val="24"/>
        </w:rPr>
      </w:pPr>
    </w:p>
    <w:p w14:paraId="0F2B5527" w14:textId="3008BAE4" w:rsidR="00121D10" w:rsidRPr="001B4FB2" w:rsidRDefault="00121D10">
      <w:pPr>
        <w:rPr>
          <w:rFonts w:ascii="Arial" w:hAnsi="Arial" w:cs="Arial"/>
          <w:szCs w:val="24"/>
        </w:rPr>
      </w:pPr>
    </w:p>
    <w:p w14:paraId="59F68C53" w14:textId="0964F43A" w:rsidR="00121D10" w:rsidRPr="001B4FB2" w:rsidRDefault="00121D10">
      <w:pPr>
        <w:rPr>
          <w:rFonts w:ascii="Arial" w:hAnsi="Arial" w:cs="Arial"/>
          <w:szCs w:val="24"/>
        </w:rPr>
      </w:pPr>
    </w:p>
    <w:p w14:paraId="00FA19A2" w14:textId="5890C389" w:rsidR="00121D10" w:rsidRPr="001B4FB2" w:rsidRDefault="00121D10">
      <w:pPr>
        <w:rPr>
          <w:rFonts w:ascii="Arial" w:hAnsi="Arial" w:cs="Arial"/>
          <w:szCs w:val="24"/>
        </w:rPr>
      </w:pPr>
    </w:p>
    <w:p w14:paraId="44AA4832" w14:textId="59A349F7" w:rsidR="00121D10" w:rsidRPr="001B4FB2" w:rsidRDefault="00121D10">
      <w:pPr>
        <w:rPr>
          <w:rFonts w:ascii="Arial" w:hAnsi="Arial" w:cs="Arial"/>
          <w:szCs w:val="24"/>
        </w:rPr>
      </w:pPr>
    </w:p>
    <w:p w14:paraId="68596F9B" w14:textId="633CE7E3" w:rsidR="00121D10" w:rsidRPr="001B4FB2" w:rsidRDefault="00121D10">
      <w:pPr>
        <w:rPr>
          <w:rFonts w:ascii="Arial" w:hAnsi="Arial" w:cs="Arial"/>
          <w:szCs w:val="24"/>
        </w:rPr>
      </w:pPr>
    </w:p>
    <w:p w14:paraId="3298E361" w14:textId="74AA8DA7" w:rsidR="00121D10" w:rsidRPr="001B4FB2" w:rsidRDefault="00121D10">
      <w:pPr>
        <w:rPr>
          <w:rFonts w:ascii="Arial" w:hAnsi="Arial" w:cs="Arial"/>
          <w:szCs w:val="24"/>
        </w:rPr>
      </w:pPr>
    </w:p>
    <w:p w14:paraId="4E09469D" w14:textId="69FA3766" w:rsidR="00121D10" w:rsidRPr="001B4FB2" w:rsidRDefault="00121D10">
      <w:pPr>
        <w:rPr>
          <w:rFonts w:ascii="Arial" w:hAnsi="Arial" w:cs="Arial"/>
          <w:szCs w:val="24"/>
        </w:rPr>
      </w:pPr>
    </w:p>
    <w:p w14:paraId="3F2C45D5" w14:textId="72B71B24" w:rsidR="00121D10" w:rsidRPr="001B4FB2" w:rsidRDefault="00121D10">
      <w:pPr>
        <w:rPr>
          <w:rFonts w:ascii="Arial" w:hAnsi="Arial" w:cs="Arial"/>
          <w:szCs w:val="24"/>
        </w:rPr>
      </w:pPr>
    </w:p>
    <w:p w14:paraId="759915EE" w14:textId="164C6192" w:rsidR="00121D10" w:rsidRPr="001B4FB2" w:rsidRDefault="00121D10">
      <w:pPr>
        <w:rPr>
          <w:rFonts w:ascii="Arial" w:hAnsi="Arial" w:cs="Arial"/>
          <w:szCs w:val="24"/>
        </w:rPr>
      </w:pPr>
    </w:p>
    <w:p w14:paraId="55417C50" w14:textId="77777777" w:rsidR="00121D10" w:rsidRPr="001B4FB2" w:rsidRDefault="00121D10" w:rsidP="00121D10">
      <w:pPr>
        <w:rPr>
          <w:rFonts w:ascii="Arial" w:hAnsi="Arial" w:cs="Arial"/>
        </w:rPr>
      </w:pPr>
    </w:p>
    <w:p w14:paraId="4C4AFC9A" w14:textId="77777777" w:rsidR="00121D10" w:rsidRPr="001B4FB2" w:rsidRDefault="00121D10" w:rsidP="00121D10">
      <w:pPr>
        <w:rPr>
          <w:rFonts w:ascii="Arial" w:hAnsi="Arial" w:cs="Arial"/>
        </w:rPr>
      </w:pPr>
      <w:r w:rsidRPr="001B4FB2">
        <w:rPr>
          <w:rFonts w:ascii="Arial" w:hAnsi="Arial" w:cs="Arial"/>
        </w:rPr>
        <w:t xml:space="preserve">Table 1. Morphological </w:t>
      </w:r>
      <w:proofErr w:type="spellStart"/>
      <w:r w:rsidRPr="001B4FB2">
        <w:rPr>
          <w:rFonts w:ascii="Arial" w:hAnsi="Arial" w:cs="Arial"/>
        </w:rPr>
        <w:t>nad</w:t>
      </w:r>
      <w:proofErr w:type="spellEnd"/>
      <w:r w:rsidRPr="001B4FB2">
        <w:rPr>
          <w:rFonts w:ascii="Arial" w:hAnsi="Arial" w:cs="Arial"/>
        </w:rPr>
        <w:t xml:space="preserve"> yield contributing performance of tomato genotypes </w:t>
      </w:r>
    </w:p>
    <w:p w14:paraId="73C97D3A" w14:textId="77777777" w:rsidR="00121D10" w:rsidRPr="001B4FB2" w:rsidRDefault="00121D10" w:rsidP="00121D10">
      <w:pPr>
        <w:rPr>
          <w:rFonts w:ascii="Arial" w:hAnsi="Arial" w:cs="Arial"/>
        </w:rPr>
      </w:pPr>
    </w:p>
    <w:tbl>
      <w:tblPr>
        <w:tblW w:w="5000" w:type="pct"/>
        <w:tblLook w:val="04A0" w:firstRow="1" w:lastRow="0" w:firstColumn="1" w:lastColumn="0" w:noHBand="0" w:noVBand="1"/>
      </w:tblPr>
      <w:tblGrid>
        <w:gridCol w:w="1399"/>
        <w:gridCol w:w="618"/>
        <w:gridCol w:w="618"/>
        <w:gridCol w:w="618"/>
        <w:gridCol w:w="709"/>
        <w:gridCol w:w="709"/>
        <w:gridCol w:w="619"/>
        <w:gridCol w:w="619"/>
        <w:gridCol w:w="619"/>
        <w:gridCol w:w="643"/>
        <w:gridCol w:w="619"/>
        <w:gridCol w:w="619"/>
        <w:gridCol w:w="617"/>
      </w:tblGrid>
      <w:tr w:rsidR="00121D10" w:rsidRPr="001B4FB2" w14:paraId="4AC54AD1" w14:textId="77777777" w:rsidTr="005D2907">
        <w:trPr>
          <w:trHeight w:val="288"/>
        </w:trPr>
        <w:tc>
          <w:tcPr>
            <w:tcW w:w="763" w:type="pct"/>
            <w:tcBorders>
              <w:top w:val="single" w:sz="4" w:space="0" w:color="auto"/>
              <w:left w:val="nil"/>
              <w:bottom w:val="single" w:sz="4" w:space="0" w:color="auto"/>
              <w:right w:val="nil"/>
            </w:tcBorders>
            <w:shd w:val="clear" w:color="auto" w:fill="auto"/>
            <w:noWrap/>
            <w:vAlign w:val="bottom"/>
            <w:hideMark/>
          </w:tcPr>
          <w:p w14:paraId="13D61FBF"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Genotype</w:t>
            </w:r>
          </w:p>
        </w:tc>
        <w:tc>
          <w:tcPr>
            <w:tcW w:w="345" w:type="pct"/>
            <w:tcBorders>
              <w:top w:val="single" w:sz="4" w:space="0" w:color="auto"/>
              <w:left w:val="nil"/>
              <w:bottom w:val="single" w:sz="4" w:space="0" w:color="auto"/>
              <w:right w:val="nil"/>
            </w:tcBorders>
            <w:shd w:val="clear" w:color="auto" w:fill="auto"/>
            <w:noWrap/>
            <w:vAlign w:val="bottom"/>
            <w:hideMark/>
          </w:tcPr>
          <w:p w14:paraId="188C97AA"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DFF</w:t>
            </w:r>
          </w:p>
        </w:tc>
        <w:tc>
          <w:tcPr>
            <w:tcW w:w="345" w:type="pct"/>
            <w:tcBorders>
              <w:top w:val="single" w:sz="4" w:space="0" w:color="auto"/>
              <w:left w:val="nil"/>
              <w:bottom w:val="single" w:sz="4" w:space="0" w:color="auto"/>
              <w:right w:val="nil"/>
            </w:tcBorders>
            <w:shd w:val="clear" w:color="auto" w:fill="auto"/>
            <w:noWrap/>
            <w:vAlign w:val="bottom"/>
            <w:hideMark/>
          </w:tcPr>
          <w:p w14:paraId="64A30DDA"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FL</w:t>
            </w:r>
          </w:p>
        </w:tc>
        <w:tc>
          <w:tcPr>
            <w:tcW w:w="345" w:type="pct"/>
            <w:tcBorders>
              <w:top w:val="single" w:sz="4" w:space="0" w:color="auto"/>
              <w:left w:val="nil"/>
              <w:bottom w:val="single" w:sz="4" w:space="0" w:color="auto"/>
              <w:right w:val="nil"/>
            </w:tcBorders>
            <w:shd w:val="clear" w:color="auto" w:fill="auto"/>
            <w:noWrap/>
            <w:vAlign w:val="bottom"/>
            <w:hideMark/>
          </w:tcPr>
          <w:p w14:paraId="5E574DC5"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FD</w:t>
            </w:r>
          </w:p>
        </w:tc>
        <w:tc>
          <w:tcPr>
            <w:tcW w:w="395" w:type="pct"/>
            <w:tcBorders>
              <w:top w:val="single" w:sz="4" w:space="0" w:color="auto"/>
              <w:left w:val="nil"/>
              <w:bottom w:val="single" w:sz="4" w:space="0" w:color="auto"/>
              <w:right w:val="nil"/>
            </w:tcBorders>
            <w:shd w:val="clear" w:color="auto" w:fill="auto"/>
            <w:noWrap/>
            <w:vAlign w:val="bottom"/>
            <w:hideMark/>
          </w:tcPr>
          <w:p w14:paraId="564F55C8"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FWS</w:t>
            </w:r>
          </w:p>
        </w:tc>
        <w:tc>
          <w:tcPr>
            <w:tcW w:w="395" w:type="pct"/>
            <w:tcBorders>
              <w:top w:val="single" w:sz="4" w:space="0" w:color="auto"/>
              <w:left w:val="nil"/>
              <w:bottom w:val="single" w:sz="4" w:space="0" w:color="auto"/>
              <w:right w:val="nil"/>
            </w:tcBorders>
            <w:shd w:val="clear" w:color="auto" w:fill="auto"/>
            <w:noWrap/>
            <w:vAlign w:val="bottom"/>
            <w:hideMark/>
          </w:tcPr>
          <w:p w14:paraId="3C9AC3FB"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PH</w:t>
            </w:r>
          </w:p>
        </w:tc>
        <w:tc>
          <w:tcPr>
            <w:tcW w:w="345" w:type="pct"/>
            <w:tcBorders>
              <w:top w:val="single" w:sz="4" w:space="0" w:color="auto"/>
              <w:left w:val="nil"/>
              <w:bottom w:val="single" w:sz="4" w:space="0" w:color="auto"/>
              <w:right w:val="nil"/>
            </w:tcBorders>
            <w:shd w:val="clear" w:color="auto" w:fill="auto"/>
            <w:noWrap/>
            <w:vAlign w:val="bottom"/>
            <w:hideMark/>
          </w:tcPr>
          <w:p w14:paraId="185D445C"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DHF</w:t>
            </w:r>
          </w:p>
        </w:tc>
        <w:tc>
          <w:tcPr>
            <w:tcW w:w="345" w:type="pct"/>
            <w:tcBorders>
              <w:top w:val="single" w:sz="4" w:space="0" w:color="auto"/>
              <w:left w:val="nil"/>
              <w:bottom w:val="single" w:sz="4" w:space="0" w:color="auto"/>
              <w:right w:val="nil"/>
            </w:tcBorders>
            <w:shd w:val="clear" w:color="auto" w:fill="auto"/>
            <w:noWrap/>
            <w:vAlign w:val="bottom"/>
            <w:hideMark/>
          </w:tcPr>
          <w:p w14:paraId="4D143E89"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DHL</w:t>
            </w:r>
          </w:p>
        </w:tc>
        <w:tc>
          <w:tcPr>
            <w:tcW w:w="345" w:type="pct"/>
            <w:tcBorders>
              <w:top w:val="single" w:sz="4" w:space="0" w:color="auto"/>
              <w:left w:val="nil"/>
              <w:bottom w:val="single" w:sz="4" w:space="0" w:color="auto"/>
              <w:right w:val="nil"/>
            </w:tcBorders>
            <w:shd w:val="clear" w:color="auto" w:fill="auto"/>
            <w:noWrap/>
            <w:vAlign w:val="bottom"/>
            <w:hideMark/>
          </w:tcPr>
          <w:p w14:paraId="1CAFE1B1"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FC</w:t>
            </w:r>
          </w:p>
        </w:tc>
        <w:tc>
          <w:tcPr>
            <w:tcW w:w="345" w:type="pct"/>
            <w:tcBorders>
              <w:top w:val="single" w:sz="4" w:space="0" w:color="auto"/>
              <w:left w:val="nil"/>
              <w:bottom w:val="single" w:sz="4" w:space="0" w:color="auto"/>
              <w:right w:val="nil"/>
            </w:tcBorders>
            <w:shd w:val="clear" w:color="auto" w:fill="auto"/>
            <w:noWrap/>
            <w:vAlign w:val="bottom"/>
            <w:hideMark/>
          </w:tcPr>
          <w:p w14:paraId="22720790"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NFPP</w:t>
            </w:r>
          </w:p>
        </w:tc>
        <w:tc>
          <w:tcPr>
            <w:tcW w:w="345" w:type="pct"/>
            <w:tcBorders>
              <w:top w:val="single" w:sz="4" w:space="0" w:color="auto"/>
              <w:left w:val="nil"/>
              <w:bottom w:val="single" w:sz="4" w:space="0" w:color="auto"/>
              <w:right w:val="nil"/>
            </w:tcBorders>
            <w:shd w:val="clear" w:color="auto" w:fill="auto"/>
            <w:noWrap/>
            <w:vAlign w:val="bottom"/>
            <w:hideMark/>
          </w:tcPr>
          <w:p w14:paraId="0B98E500"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YPP</w:t>
            </w:r>
          </w:p>
        </w:tc>
        <w:tc>
          <w:tcPr>
            <w:tcW w:w="345" w:type="pct"/>
            <w:tcBorders>
              <w:top w:val="single" w:sz="4" w:space="0" w:color="auto"/>
              <w:left w:val="nil"/>
              <w:bottom w:val="single" w:sz="4" w:space="0" w:color="auto"/>
              <w:right w:val="nil"/>
            </w:tcBorders>
            <w:shd w:val="clear" w:color="auto" w:fill="auto"/>
            <w:noWrap/>
            <w:vAlign w:val="bottom"/>
            <w:hideMark/>
          </w:tcPr>
          <w:p w14:paraId="0395E1A2"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SL</w:t>
            </w:r>
          </w:p>
        </w:tc>
        <w:tc>
          <w:tcPr>
            <w:tcW w:w="341" w:type="pct"/>
            <w:tcBorders>
              <w:top w:val="single" w:sz="4" w:space="0" w:color="auto"/>
              <w:left w:val="nil"/>
              <w:bottom w:val="single" w:sz="4" w:space="0" w:color="auto"/>
              <w:right w:val="nil"/>
            </w:tcBorders>
            <w:shd w:val="clear" w:color="auto" w:fill="auto"/>
            <w:noWrap/>
            <w:vAlign w:val="bottom"/>
            <w:hideMark/>
          </w:tcPr>
          <w:p w14:paraId="27FDB2E9"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Wilt</w:t>
            </w:r>
          </w:p>
        </w:tc>
      </w:tr>
      <w:tr w:rsidR="00121D10" w:rsidRPr="001B4FB2" w14:paraId="7193D532" w14:textId="77777777" w:rsidTr="005D2907">
        <w:trPr>
          <w:trHeight w:val="288"/>
        </w:trPr>
        <w:tc>
          <w:tcPr>
            <w:tcW w:w="763" w:type="pct"/>
            <w:tcBorders>
              <w:top w:val="single" w:sz="4" w:space="0" w:color="auto"/>
              <w:left w:val="nil"/>
              <w:bottom w:val="nil"/>
              <w:right w:val="nil"/>
            </w:tcBorders>
            <w:shd w:val="clear" w:color="auto" w:fill="auto"/>
            <w:noWrap/>
            <w:vAlign w:val="bottom"/>
            <w:hideMark/>
          </w:tcPr>
          <w:p w14:paraId="0DD41A48"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G1</w:t>
            </w:r>
          </w:p>
        </w:tc>
        <w:tc>
          <w:tcPr>
            <w:tcW w:w="345" w:type="pct"/>
            <w:tcBorders>
              <w:top w:val="single" w:sz="4" w:space="0" w:color="auto"/>
              <w:left w:val="nil"/>
              <w:bottom w:val="nil"/>
              <w:right w:val="nil"/>
            </w:tcBorders>
            <w:shd w:val="clear" w:color="auto" w:fill="auto"/>
            <w:noWrap/>
            <w:vAlign w:val="bottom"/>
            <w:hideMark/>
          </w:tcPr>
          <w:p w14:paraId="1D00F448"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17</w:t>
            </w:r>
          </w:p>
        </w:tc>
        <w:tc>
          <w:tcPr>
            <w:tcW w:w="345" w:type="pct"/>
            <w:tcBorders>
              <w:top w:val="single" w:sz="4" w:space="0" w:color="auto"/>
              <w:left w:val="nil"/>
              <w:bottom w:val="nil"/>
              <w:right w:val="nil"/>
            </w:tcBorders>
            <w:shd w:val="clear" w:color="auto" w:fill="auto"/>
            <w:noWrap/>
            <w:vAlign w:val="bottom"/>
            <w:hideMark/>
          </w:tcPr>
          <w:p w14:paraId="48A82381"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5.04</w:t>
            </w:r>
          </w:p>
        </w:tc>
        <w:tc>
          <w:tcPr>
            <w:tcW w:w="345" w:type="pct"/>
            <w:tcBorders>
              <w:top w:val="single" w:sz="4" w:space="0" w:color="auto"/>
              <w:left w:val="nil"/>
              <w:bottom w:val="nil"/>
              <w:right w:val="nil"/>
            </w:tcBorders>
            <w:shd w:val="clear" w:color="auto" w:fill="auto"/>
            <w:noWrap/>
            <w:vAlign w:val="bottom"/>
            <w:hideMark/>
          </w:tcPr>
          <w:p w14:paraId="7566F24A"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6.38</w:t>
            </w:r>
          </w:p>
        </w:tc>
        <w:tc>
          <w:tcPr>
            <w:tcW w:w="395" w:type="pct"/>
            <w:tcBorders>
              <w:top w:val="single" w:sz="4" w:space="0" w:color="auto"/>
              <w:left w:val="nil"/>
              <w:bottom w:val="nil"/>
              <w:right w:val="nil"/>
            </w:tcBorders>
            <w:shd w:val="clear" w:color="auto" w:fill="auto"/>
            <w:noWrap/>
            <w:vAlign w:val="bottom"/>
            <w:hideMark/>
          </w:tcPr>
          <w:p w14:paraId="0969E657"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132.4</w:t>
            </w:r>
          </w:p>
        </w:tc>
        <w:tc>
          <w:tcPr>
            <w:tcW w:w="395" w:type="pct"/>
            <w:tcBorders>
              <w:top w:val="single" w:sz="4" w:space="0" w:color="auto"/>
              <w:left w:val="nil"/>
              <w:bottom w:val="nil"/>
              <w:right w:val="nil"/>
            </w:tcBorders>
            <w:shd w:val="clear" w:color="auto" w:fill="auto"/>
            <w:noWrap/>
            <w:vAlign w:val="bottom"/>
            <w:hideMark/>
          </w:tcPr>
          <w:p w14:paraId="3EB648FC"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117</w:t>
            </w:r>
          </w:p>
        </w:tc>
        <w:tc>
          <w:tcPr>
            <w:tcW w:w="345" w:type="pct"/>
            <w:tcBorders>
              <w:top w:val="single" w:sz="4" w:space="0" w:color="auto"/>
              <w:left w:val="nil"/>
              <w:bottom w:val="nil"/>
              <w:right w:val="nil"/>
            </w:tcBorders>
            <w:shd w:val="clear" w:color="auto" w:fill="auto"/>
            <w:noWrap/>
            <w:vAlign w:val="bottom"/>
            <w:hideMark/>
          </w:tcPr>
          <w:p w14:paraId="721AB9EB"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50</w:t>
            </w:r>
          </w:p>
        </w:tc>
        <w:tc>
          <w:tcPr>
            <w:tcW w:w="345" w:type="pct"/>
            <w:tcBorders>
              <w:top w:val="single" w:sz="4" w:space="0" w:color="auto"/>
              <w:left w:val="nil"/>
              <w:bottom w:val="nil"/>
              <w:right w:val="nil"/>
            </w:tcBorders>
            <w:shd w:val="clear" w:color="auto" w:fill="auto"/>
            <w:noWrap/>
            <w:vAlign w:val="bottom"/>
            <w:hideMark/>
          </w:tcPr>
          <w:p w14:paraId="065B6C6D"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83</w:t>
            </w:r>
          </w:p>
        </w:tc>
        <w:tc>
          <w:tcPr>
            <w:tcW w:w="345" w:type="pct"/>
            <w:tcBorders>
              <w:top w:val="single" w:sz="4" w:space="0" w:color="auto"/>
              <w:left w:val="nil"/>
              <w:bottom w:val="nil"/>
              <w:right w:val="nil"/>
            </w:tcBorders>
            <w:shd w:val="clear" w:color="auto" w:fill="auto"/>
            <w:noWrap/>
            <w:vAlign w:val="bottom"/>
            <w:hideMark/>
          </w:tcPr>
          <w:p w14:paraId="7C5B5568"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5</w:t>
            </w:r>
          </w:p>
        </w:tc>
        <w:tc>
          <w:tcPr>
            <w:tcW w:w="345" w:type="pct"/>
            <w:tcBorders>
              <w:top w:val="single" w:sz="4" w:space="0" w:color="auto"/>
              <w:left w:val="nil"/>
              <w:bottom w:val="nil"/>
              <w:right w:val="nil"/>
            </w:tcBorders>
            <w:shd w:val="clear" w:color="auto" w:fill="auto"/>
            <w:noWrap/>
            <w:vAlign w:val="bottom"/>
            <w:hideMark/>
          </w:tcPr>
          <w:p w14:paraId="56E85F61"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16</w:t>
            </w:r>
          </w:p>
        </w:tc>
        <w:tc>
          <w:tcPr>
            <w:tcW w:w="345" w:type="pct"/>
            <w:tcBorders>
              <w:top w:val="single" w:sz="4" w:space="0" w:color="auto"/>
              <w:left w:val="nil"/>
              <w:bottom w:val="nil"/>
              <w:right w:val="nil"/>
            </w:tcBorders>
            <w:shd w:val="clear" w:color="auto" w:fill="auto"/>
            <w:noWrap/>
            <w:vAlign w:val="bottom"/>
            <w:hideMark/>
          </w:tcPr>
          <w:p w14:paraId="2B9FFBF5"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1.22</w:t>
            </w:r>
          </w:p>
        </w:tc>
        <w:tc>
          <w:tcPr>
            <w:tcW w:w="345" w:type="pct"/>
            <w:tcBorders>
              <w:top w:val="single" w:sz="4" w:space="0" w:color="auto"/>
              <w:left w:val="nil"/>
              <w:bottom w:val="nil"/>
              <w:right w:val="nil"/>
            </w:tcBorders>
            <w:shd w:val="clear" w:color="auto" w:fill="auto"/>
            <w:noWrap/>
            <w:vAlign w:val="bottom"/>
            <w:hideMark/>
          </w:tcPr>
          <w:p w14:paraId="3391B92D"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7</w:t>
            </w:r>
          </w:p>
        </w:tc>
        <w:tc>
          <w:tcPr>
            <w:tcW w:w="341" w:type="pct"/>
            <w:tcBorders>
              <w:top w:val="single" w:sz="4" w:space="0" w:color="auto"/>
              <w:left w:val="nil"/>
              <w:bottom w:val="nil"/>
              <w:right w:val="nil"/>
            </w:tcBorders>
            <w:shd w:val="clear" w:color="auto" w:fill="auto"/>
            <w:noWrap/>
            <w:vAlign w:val="bottom"/>
            <w:hideMark/>
          </w:tcPr>
          <w:p w14:paraId="7879BEA6"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40.38</w:t>
            </w:r>
          </w:p>
        </w:tc>
      </w:tr>
      <w:tr w:rsidR="00121D10" w:rsidRPr="001B4FB2" w14:paraId="2D1D1C58" w14:textId="77777777" w:rsidTr="005D2907">
        <w:trPr>
          <w:trHeight w:val="288"/>
        </w:trPr>
        <w:tc>
          <w:tcPr>
            <w:tcW w:w="763" w:type="pct"/>
            <w:tcBorders>
              <w:top w:val="nil"/>
              <w:left w:val="nil"/>
              <w:bottom w:val="nil"/>
              <w:right w:val="nil"/>
            </w:tcBorders>
            <w:shd w:val="clear" w:color="auto" w:fill="auto"/>
            <w:noWrap/>
            <w:vAlign w:val="bottom"/>
            <w:hideMark/>
          </w:tcPr>
          <w:p w14:paraId="4F66D8C6"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G2</w:t>
            </w:r>
          </w:p>
        </w:tc>
        <w:tc>
          <w:tcPr>
            <w:tcW w:w="345" w:type="pct"/>
            <w:tcBorders>
              <w:top w:val="nil"/>
              <w:left w:val="nil"/>
              <w:bottom w:val="nil"/>
              <w:right w:val="nil"/>
            </w:tcBorders>
            <w:shd w:val="clear" w:color="auto" w:fill="auto"/>
            <w:noWrap/>
            <w:vAlign w:val="bottom"/>
            <w:hideMark/>
          </w:tcPr>
          <w:p w14:paraId="3796F647"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24</w:t>
            </w:r>
          </w:p>
        </w:tc>
        <w:tc>
          <w:tcPr>
            <w:tcW w:w="345" w:type="pct"/>
            <w:tcBorders>
              <w:top w:val="nil"/>
              <w:left w:val="nil"/>
              <w:bottom w:val="nil"/>
              <w:right w:val="nil"/>
            </w:tcBorders>
            <w:shd w:val="clear" w:color="auto" w:fill="auto"/>
            <w:noWrap/>
            <w:vAlign w:val="bottom"/>
            <w:hideMark/>
          </w:tcPr>
          <w:p w14:paraId="3572CD2C"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7.26</w:t>
            </w:r>
          </w:p>
        </w:tc>
        <w:tc>
          <w:tcPr>
            <w:tcW w:w="345" w:type="pct"/>
            <w:tcBorders>
              <w:top w:val="nil"/>
              <w:left w:val="nil"/>
              <w:bottom w:val="nil"/>
              <w:right w:val="nil"/>
            </w:tcBorders>
            <w:shd w:val="clear" w:color="auto" w:fill="auto"/>
            <w:noWrap/>
            <w:vAlign w:val="bottom"/>
            <w:hideMark/>
          </w:tcPr>
          <w:p w14:paraId="1035E07D"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6.46</w:t>
            </w:r>
          </w:p>
        </w:tc>
        <w:tc>
          <w:tcPr>
            <w:tcW w:w="395" w:type="pct"/>
            <w:tcBorders>
              <w:top w:val="nil"/>
              <w:left w:val="nil"/>
              <w:bottom w:val="nil"/>
              <w:right w:val="nil"/>
            </w:tcBorders>
            <w:shd w:val="clear" w:color="auto" w:fill="auto"/>
            <w:noWrap/>
            <w:vAlign w:val="bottom"/>
            <w:hideMark/>
          </w:tcPr>
          <w:p w14:paraId="7DF1C42B"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163</w:t>
            </w:r>
          </w:p>
        </w:tc>
        <w:tc>
          <w:tcPr>
            <w:tcW w:w="395" w:type="pct"/>
            <w:tcBorders>
              <w:top w:val="nil"/>
              <w:left w:val="nil"/>
              <w:bottom w:val="nil"/>
              <w:right w:val="nil"/>
            </w:tcBorders>
            <w:shd w:val="clear" w:color="auto" w:fill="auto"/>
            <w:noWrap/>
            <w:vAlign w:val="bottom"/>
            <w:hideMark/>
          </w:tcPr>
          <w:p w14:paraId="3EFF9EA1"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127</w:t>
            </w:r>
          </w:p>
        </w:tc>
        <w:tc>
          <w:tcPr>
            <w:tcW w:w="345" w:type="pct"/>
            <w:tcBorders>
              <w:top w:val="nil"/>
              <w:left w:val="nil"/>
              <w:bottom w:val="nil"/>
              <w:right w:val="nil"/>
            </w:tcBorders>
            <w:shd w:val="clear" w:color="auto" w:fill="auto"/>
            <w:noWrap/>
            <w:vAlign w:val="bottom"/>
            <w:hideMark/>
          </w:tcPr>
          <w:p w14:paraId="6F756DD0"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69</w:t>
            </w:r>
          </w:p>
        </w:tc>
        <w:tc>
          <w:tcPr>
            <w:tcW w:w="345" w:type="pct"/>
            <w:tcBorders>
              <w:top w:val="nil"/>
              <w:left w:val="nil"/>
              <w:bottom w:val="nil"/>
              <w:right w:val="nil"/>
            </w:tcBorders>
            <w:shd w:val="clear" w:color="auto" w:fill="auto"/>
            <w:noWrap/>
            <w:vAlign w:val="bottom"/>
            <w:hideMark/>
          </w:tcPr>
          <w:p w14:paraId="0702B0EA"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93</w:t>
            </w:r>
          </w:p>
        </w:tc>
        <w:tc>
          <w:tcPr>
            <w:tcW w:w="345" w:type="pct"/>
            <w:tcBorders>
              <w:top w:val="nil"/>
              <w:left w:val="nil"/>
              <w:bottom w:val="nil"/>
              <w:right w:val="nil"/>
            </w:tcBorders>
            <w:shd w:val="clear" w:color="auto" w:fill="auto"/>
            <w:noWrap/>
            <w:vAlign w:val="bottom"/>
            <w:hideMark/>
          </w:tcPr>
          <w:p w14:paraId="0D49A74D"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3</w:t>
            </w:r>
          </w:p>
        </w:tc>
        <w:tc>
          <w:tcPr>
            <w:tcW w:w="345" w:type="pct"/>
            <w:tcBorders>
              <w:top w:val="nil"/>
              <w:left w:val="nil"/>
              <w:bottom w:val="nil"/>
              <w:right w:val="nil"/>
            </w:tcBorders>
            <w:shd w:val="clear" w:color="auto" w:fill="auto"/>
            <w:noWrap/>
            <w:vAlign w:val="bottom"/>
            <w:hideMark/>
          </w:tcPr>
          <w:p w14:paraId="5DA3E17B"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7</w:t>
            </w:r>
          </w:p>
        </w:tc>
        <w:tc>
          <w:tcPr>
            <w:tcW w:w="345" w:type="pct"/>
            <w:tcBorders>
              <w:top w:val="nil"/>
              <w:left w:val="nil"/>
              <w:bottom w:val="nil"/>
              <w:right w:val="nil"/>
            </w:tcBorders>
            <w:shd w:val="clear" w:color="auto" w:fill="auto"/>
            <w:noWrap/>
            <w:vAlign w:val="bottom"/>
            <w:hideMark/>
          </w:tcPr>
          <w:p w14:paraId="730E0179"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0.58</w:t>
            </w:r>
          </w:p>
        </w:tc>
        <w:tc>
          <w:tcPr>
            <w:tcW w:w="345" w:type="pct"/>
            <w:tcBorders>
              <w:top w:val="nil"/>
              <w:left w:val="nil"/>
              <w:bottom w:val="nil"/>
              <w:right w:val="nil"/>
            </w:tcBorders>
            <w:shd w:val="clear" w:color="auto" w:fill="auto"/>
            <w:noWrap/>
            <w:vAlign w:val="bottom"/>
            <w:hideMark/>
          </w:tcPr>
          <w:p w14:paraId="7B5B7E55"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7</w:t>
            </w:r>
          </w:p>
        </w:tc>
        <w:tc>
          <w:tcPr>
            <w:tcW w:w="341" w:type="pct"/>
            <w:tcBorders>
              <w:top w:val="nil"/>
              <w:left w:val="nil"/>
              <w:bottom w:val="nil"/>
              <w:right w:val="nil"/>
            </w:tcBorders>
            <w:shd w:val="clear" w:color="auto" w:fill="auto"/>
            <w:noWrap/>
            <w:vAlign w:val="bottom"/>
            <w:hideMark/>
          </w:tcPr>
          <w:p w14:paraId="000A7AFE"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29.62</w:t>
            </w:r>
          </w:p>
        </w:tc>
      </w:tr>
      <w:tr w:rsidR="00121D10" w:rsidRPr="001B4FB2" w14:paraId="3DA421B1" w14:textId="77777777" w:rsidTr="005D2907">
        <w:trPr>
          <w:trHeight w:val="288"/>
        </w:trPr>
        <w:tc>
          <w:tcPr>
            <w:tcW w:w="763" w:type="pct"/>
            <w:tcBorders>
              <w:top w:val="nil"/>
              <w:left w:val="nil"/>
              <w:bottom w:val="nil"/>
              <w:right w:val="nil"/>
            </w:tcBorders>
            <w:shd w:val="clear" w:color="auto" w:fill="auto"/>
            <w:noWrap/>
            <w:vAlign w:val="bottom"/>
            <w:hideMark/>
          </w:tcPr>
          <w:p w14:paraId="50D52D0B"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G3</w:t>
            </w:r>
          </w:p>
        </w:tc>
        <w:tc>
          <w:tcPr>
            <w:tcW w:w="345" w:type="pct"/>
            <w:tcBorders>
              <w:top w:val="nil"/>
              <w:left w:val="nil"/>
              <w:bottom w:val="nil"/>
              <w:right w:val="nil"/>
            </w:tcBorders>
            <w:shd w:val="clear" w:color="auto" w:fill="auto"/>
            <w:noWrap/>
            <w:vAlign w:val="bottom"/>
            <w:hideMark/>
          </w:tcPr>
          <w:p w14:paraId="1D2DD4A4"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18</w:t>
            </w:r>
          </w:p>
        </w:tc>
        <w:tc>
          <w:tcPr>
            <w:tcW w:w="345" w:type="pct"/>
            <w:tcBorders>
              <w:top w:val="nil"/>
              <w:left w:val="nil"/>
              <w:bottom w:val="nil"/>
              <w:right w:val="nil"/>
            </w:tcBorders>
            <w:shd w:val="clear" w:color="auto" w:fill="auto"/>
            <w:noWrap/>
            <w:vAlign w:val="bottom"/>
            <w:hideMark/>
          </w:tcPr>
          <w:p w14:paraId="024362A9"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6.82</w:t>
            </w:r>
          </w:p>
        </w:tc>
        <w:tc>
          <w:tcPr>
            <w:tcW w:w="345" w:type="pct"/>
            <w:tcBorders>
              <w:top w:val="nil"/>
              <w:left w:val="nil"/>
              <w:bottom w:val="nil"/>
              <w:right w:val="nil"/>
            </w:tcBorders>
            <w:shd w:val="clear" w:color="auto" w:fill="auto"/>
            <w:noWrap/>
            <w:vAlign w:val="bottom"/>
            <w:hideMark/>
          </w:tcPr>
          <w:p w14:paraId="6E2CA105"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5.86</w:t>
            </w:r>
          </w:p>
        </w:tc>
        <w:tc>
          <w:tcPr>
            <w:tcW w:w="395" w:type="pct"/>
            <w:tcBorders>
              <w:top w:val="nil"/>
              <w:left w:val="nil"/>
              <w:bottom w:val="nil"/>
              <w:right w:val="nil"/>
            </w:tcBorders>
            <w:shd w:val="clear" w:color="auto" w:fill="auto"/>
            <w:noWrap/>
            <w:vAlign w:val="bottom"/>
            <w:hideMark/>
          </w:tcPr>
          <w:p w14:paraId="412A1C6D"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143.8</w:t>
            </w:r>
          </w:p>
        </w:tc>
        <w:tc>
          <w:tcPr>
            <w:tcW w:w="395" w:type="pct"/>
            <w:tcBorders>
              <w:top w:val="nil"/>
              <w:left w:val="nil"/>
              <w:bottom w:val="nil"/>
              <w:right w:val="nil"/>
            </w:tcBorders>
            <w:shd w:val="clear" w:color="auto" w:fill="auto"/>
            <w:noWrap/>
            <w:vAlign w:val="bottom"/>
            <w:hideMark/>
          </w:tcPr>
          <w:p w14:paraId="079169D4"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135</w:t>
            </w:r>
          </w:p>
        </w:tc>
        <w:tc>
          <w:tcPr>
            <w:tcW w:w="345" w:type="pct"/>
            <w:tcBorders>
              <w:top w:val="nil"/>
              <w:left w:val="nil"/>
              <w:bottom w:val="nil"/>
              <w:right w:val="nil"/>
            </w:tcBorders>
            <w:shd w:val="clear" w:color="auto" w:fill="auto"/>
            <w:noWrap/>
            <w:vAlign w:val="bottom"/>
            <w:hideMark/>
          </w:tcPr>
          <w:p w14:paraId="70959087"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70</w:t>
            </w:r>
          </w:p>
        </w:tc>
        <w:tc>
          <w:tcPr>
            <w:tcW w:w="345" w:type="pct"/>
            <w:tcBorders>
              <w:top w:val="nil"/>
              <w:left w:val="nil"/>
              <w:bottom w:val="nil"/>
              <w:right w:val="nil"/>
            </w:tcBorders>
            <w:shd w:val="clear" w:color="auto" w:fill="auto"/>
            <w:noWrap/>
            <w:vAlign w:val="bottom"/>
            <w:hideMark/>
          </w:tcPr>
          <w:p w14:paraId="34D672D2"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95</w:t>
            </w:r>
          </w:p>
        </w:tc>
        <w:tc>
          <w:tcPr>
            <w:tcW w:w="345" w:type="pct"/>
            <w:tcBorders>
              <w:top w:val="nil"/>
              <w:left w:val="nil"/>
              <w:bottom w:val="nil"/>
              <w:right w:val="nil"/>
            </w:tcBorders>
            <w:shd w:val="clear" w:color="auto" w:fill="auto"/>
            <w:noWrap/>
            <w:vAlign w:val="bottom"/>
            <w:hideMark/>
          </w:tcPr>
          <w:p w14:paraId="21FFABCC"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3</w:t>
            </w:r>
          </w:p>
        </w:tc>
        <w:tc>
          <w:tcPr>
            <w:tcW w:w="345" w:type="pct"/>
            <w:tcBorders>
              <w:top w:val="nil"/>
              <w:left w:val="nil"/>
              <w:bottom w:val="nil"/>
              <w:right w:val="nil"/>
            </w:tcBorders>
            <w:shd w:val="clear" w:color="auto" w:fill="auto"/>
            <w:noWrap/>
            <w:vAlign w:val="bottom"/>
            <w:hideMark/>
          </w:tcPr>
          <w:p w14:paraId="686E6BDA"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8</w:t>
            </w:r>
          </w:p>
        </w:tc>
        <w:tc>
          <w:tcPr>
            <w:tcW w:w="345" w:type="pct"/>
            <w:tcBorders>
              <w:top w:val="nil"/>
              <w:left w:val="nil"/>
              <w:bottom w:val="nil"/>
              <w:right w:val="nil"/>
            </w:tcBorders>
            <w:shd w:val="clear" w:color="auto" w:fill="auto"/>
            <w:noWrap/>
            <w:vAlign w:val="bottom"/>
            <w:hideMark/>
          </w:tcPr>
          <w:p w14:paraId="6F2C739E"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0.64</w:t>
            </w:r>
          </w:p>
        </w:tc>
        <w:tc>
          <w:tcPr>
            <w:tcW w:w="345" w:type="pct"/>
            <w:tcBorders>
              <w:top w:val="nil"/>
              <w:left w:val="nil"/>
              <w:bottom w:val="nil"/>
              <w:right w:val="nil"/>
            </w:tcBorders>
            <w:shd w:val="clear" w:color="auto" w:fill="auto"/>
            <w:noWrap/>
            <w:vAlign w:val="bottom"/>
            <w:hideMark/>
          </w:tcPr>
          <w:p w14:paraId="175C640B"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8</w:t>
            </w:r>
          </w:p>
        </w:tc>
        <w:tc>
          <w:tcPr>
            <w:tcW w:w="341" w:type="pct"/>
            <w:tcBorders>
              <w:top w:val="nil"/>
              <w:left w:val="nil"/>
              <w:bottom w:val="nil"/>
              <w:right w:val="nil"/>
            </w:tcBorders>
            <w:shd w:val="clear" w:color="auto" w:fill="auto"/>
            <w:noWrap/>
            <w:vAlign w:val="bottom"/>
            <w:hideMark/>
          </w:tcPr>
          <w:p w14:paraId="4E76C659"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22.22</w:t>
            </w:r>
          </w:p>
        </w:tc>
      </w:tr>
      <w:tr w:rsidR="00121D10" w:rsidRPr="001B4FB2" w14:paraId="0E35A88E" w14:textId="77777777" w:rsidTr="005D2907">
        <w:trPr>
          <w:trHeight w:val="288"/>
        </w:trPr>
        <w:tc>
          <w:tcPr>
            <w:tcW w:w="763" w:type="pct"/>
            <w:tcBorders>
              <w:top w:val="nil"/>
              <w:left w:val="nil"/>
              <w:bottom w:val="nil"/>
              <w:right w:val="nil"/>
            </w:tcBorders>
            <w:shd w:val="clear" w:color="auto" w:fill="auto"/>
            <w:noWrap/>
            <w:vAlign w:val="bottom"/>
            <w:hideMark/>
          </w:tcPr>
          <w:p w14:paraId="5CAD6994"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G4</w:t>
            </w:r>
          </w:p>
        </w:tc>
        <w:tc>
          <w:tcPr>
            <w:tcW w:w="345" w:type="pct"/>
            <w:tcBorders>
              <w:top w:val="nil"/>
              <w:left w:val="nil"/>
              <w:bottom w:val="nil"/>
              <w:right w:val="nil"/>
            </w:tcBorders>
            <w:shd w:val="clear" w:color="auto" w:fill="auto"/>
            <w:noWrap/>
            <w:vAlign w:val="bottom"/>
            <w:hideMark/>
          </w:tcPr>
          <w:p w14:paraId="03B82A49"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19</w:t>
            </w:r>
          </w:p>
        </w:tc>
        <w:tc>
          <w:tcPr>
            <w:tcW w:w="345" w:type="pct"/>
            <w:tcBorders>
              <w:top w:val="nil"/>
              <w:left w:val="nil"/>
              <w:bottom w:val="nil"/>
              <w:right w:val="nil"/>
            </w:tcBorders>
            <w:shd w:val="clear" w:color="auto" w:fill="auto"/>
            <w:noWrap/>
            <w:vAlign w:val="bottom"/>
            <w:hideMark/>
          </w:tcPr>
          <w:p w14:paraId="4B3AEBFD"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7.48</w:t>
            </w:r>
          </w:p>
        </w:tc>
        <w:tc>
          <w:tcPr>
            <w:tcW w:w="345" w:type="pct"/>
            <w:tcBorders>
              <w:top w:val="nil"/>
              <w:left w:val="nil"/>
              <w:bottom w:val="nil"/>
              <w:right w:val="nil"/>
            </w:tcBorders>
            <w:shd w:val="clear" w:color="auto" w:fill="auto"/>
            <w:noWrap/>
            <w:vAlign w:val="bottom"/>
            <w:hideMark/>
          </w:tcPr>
          <w:p w14:paraId="2E7C2EF7"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6.38</w:t>
            </w:r>
          </w:p>
        </w:tc>
        <w:tc>
          <w:tcPr>
            <w:tcW w:w="395" w:type="pct"/>
            <w:tcBorders>
              <w:top w:val="nil"/>
              <w:left w:val="nil"/>
              <w:bottom w:val="nil"/>
              <w:right w:val="nil"/>
            </w:tcBorders>
            <w:shd w:val="clear" w:color="auto" w:fill="auto"/>
            <w:noWrap/>
            <w:vAlign w:val="bottom"/>
            <w:hideMark/>
          </w:tcPr>
          <w:p w14:paraId="6D227C57"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162.4</w:t>
            </w:r>
          </w:p>
        </w:tc>
        <w:tc>
          <w:tcPr>
            <w:tcW w:w="395" w:type="pct"/>
            <w:tcBorders>
              <w:top w:val="nil"/>
              <w:left w:val="nil"/>
              <w:bottom w:val="nil"/>
              <w:right w:val="nil"/>
            </w:tcBorders>
            <w:shd w:val="clear" w:color="auto" w:fill="auto"/>
            <w:noWrap/>
            <w:vAlign w:val="bottom"/>
            <w:hideMark/>
          </w:tcPr>
          <w:p w14:paraId="5F0901CD"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107.6</w:t>
            </w:r>
          </w:p>
        </w:tc>
        <w:tc>
          <w:tcPr>
            <w:tcW w:w="345" w:type="pct"/>
            <w:tcBorders>
              <w:top w:val="nil"/>
              <w:left w:val="nil"/>
              <w:bottom w:val="nil"/>
              <w:right w:val="nil"/>
            </w:tcBorders>
            <w:shd w:val="clear" w:color="auto" w:fill="auto"/>
            <w:noWrap/>
            <w:vAlign w:val="bottom"/>
            <w:hideMark/>
          </w:tcPr>
          <w:p w14:paraId="7796FA66"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58.5</w:t>
            </w:r>
          </w:p>
        </w:tc>
        <w:tc>
          <w:tcPr>
            <w:tcW w:w="345" w:type="pct"/>
            <w:tcBorders>
              <w:top w:val="nil"/>
              <w:left w:val="nil"/>
              <w:bottom w:val="nil"/>
              <w:right w:val="nil"/>
            </w:tcBorders>
            <w:shd w:val="clear" w:color="auto" w:fill="auto"/>
            <w:noWrap/>
            <w:vAlign w:val="bottom"/>
            <w:hideMark/>
          </w:tcPr>
          <w:p w14:paraId="76110E97"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90</w:t>
            </w:r>
          </w:p>
        </w:tc>
        <w:tc>
          <w:tcPr>
            <w:tcW w:w="345" w:type="pct"/>
            <w:tcBorders>
              <w:top w:val="nil"/>
              <w:left w:val="nil"/>
              <w:bottom w:val="nil"/>
              <w:right w:val="nil"/>
            </w:tcBorders>
            <w:shd w:val="clear" w:color="auto" w:fill="auto"/>
            <w:noWrap/>
            <w:vAlign w:val="bottom"/>
            <w:hideMark/>
          </w:tcPr>
          <w:p w14:paraId="0769BAA8"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2</w:t>
            </w:r>
          </w:p>
        </w:tc>
        <w:tc>
          <w:tcPr>
            <w:tcW w:w="345" w:type="pct"/>
            <w:tcBorders>
              <w:top w:val="nil"/>
              <w:left w:val="nil"/>
              <w:bottom w:val="nil"/>
              <w:right w:val="nil"/>
            </w:tcBorders>
            <w:shd w:val="clear" w:color="auto" w:fill="auto"/>
            <w:noWrap/>
            <w:vAlign w:val="bottom"/>
            <w:hideMark/>
          </w:tcPr>
          <w:p w14:paraId="7E2A85FC"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7</w:t>
            </w:r>
          </w:p>
        </w:tc>
        <w:tc>
          <w:tcPr>
            <w:tcW w:w="345" w:type="pct"/>
            <w:tcBorders>
              <w:top w:val="nil"/>
              <w:left w:val="nil"/>
              <w:bottom w:val="nil"/>
              <w:right w:val="nil"/>
            </w:tcBorders>
            <w:shd w:val="clear" w:color="auto" w:fill="auto"/>
            <w:noWrap/>
            <w:vAlign w:val="bottom"/>
            <w:hideMark/>
          </w:tcPr>
          <w:p w14:paraId="40631546"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0.61</w:t>
            </w:r>
          </w:p>
        </w:tc>
        <w:tc>
          <w:tcPr>
            <w:tcW w:w="345" w:type="pct"/>
            <w:tcBorders>
              <w:top w:val="nil"/>
              <w:left w:val="nil"/>
              <w:bottom w:val="nil"/>
              <w:right w:val="nil"/>
            </w:tcBorders>
            <w:shd w:val="clear" w:color="auto" w:fill="auto"/>
            <w:noWrap/>
            <w:vAlign w:val="bottom"/>
            <w:hideMark/>
          </w:tcPr>
          <w:p w14:paraId="3433FAAB"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6</w:t>
            </w:r>
          </w:p>
        </w:tc>
        <w:tc>
          <w:tcPr>
            <w:tcW w:w="341" w:type="pct"/>
            <w:tcBorders>
              <w:top w:val="nil"/>
              <w:left w:val="nil"/>
              <w:bottom w:val="nil"/>
              <w:right w:val="nil"/>
            </w:tcBorders>
            <w:shd w:val="clear" w:color="auto" w:fill="auto"/>
            <w:noWrap/>
            <w:vAlign w:val="bottom"/>
            <w:hideMark/>
          </w:tcPr>
          <w:p w14:paraId="49243C99"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27.77</w:t>
            </w:r>
          </w:p>
        </w:tc>
      </w:tr>
      <w:tr w:rsidR="00121D10" w:rsidRPr="001B4FB2" w14:paraId="107706F6" w14:textId="77777777" w:rsidTr="005D2907">
        <w:trPr>
          <w:trHeight w:val="288"/>
        </w:trPr>
        <w:tc>
          <w:tcPr>
            <w:tcW w:w="763" w:type="pct"/>
            <w:tcBorders>
              <w:top w:val="nil"/>
              <w:left w:val="nil"/>
              <w:bottom w:val="nil"/>
              <w:right w:val="nil"/>
            </w:tcBorders>
            <w:shd w:val="clear" w:color="auto" w:fill="auto"/>
            <w:noWrap/>
            <w:vAlign w:val="bottom"/>
            <w:hideMark/>
          </w:tcPr>
          <w:p w14:paraId="3B900370"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G5</w:t>
            </w:r>
          </w:p>
        </w:tc>
        <w:tc>
          <w:tcPr>
            <w:tcW w:w="345" w:type="pct"/>
            <w:tcBorders>
              <w:top w:val="nil"/>
              <w:left w:val="nil"/>
              <w:bottom w:val="nil"/>
              <w:right w:val="nil"/>
            </w:tcBorders>
            <w:shd w:val="clear" w:color="auto" w:fill="auto"/>
            <w:noWrap/>
            <w:vAlign w:val="bottom"/>
            <w:hideMark/>
          </w:tcPr>
          <w:p w14:paraId="1EE0ADD7"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18</w:t>
            </w:r>
          </w:p>
        </w:tc>
        <w:tc>
          <w:tcPr>
            <w:tcW w:w="345" w:type="pct"/>
            <w:tcBorders>
              <w:top w:val="nil"/>
              <w:left w:val="nil"/>
              <w:bottom w:val="nil"/>
              <w:right w:val="nil"/>
            </w:tcBorders>
            <w:shd w:val="clear" w:color="auto" w:fill="auto"/>
            <w:noWrap/>
            <w:vAlign w:val="bottom"/>
            <w:hideMark/>
          </w:tcPr>
          <w:p w14:paraId="2C79D5E4"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5.46</w:t>
            </w:r>
          </w:p>
        </w:tc>
        <w:tc>
          <w:tcPr>
            <w:tcW w:w="345" w:type="pct"/>
            <w:tcBorders>
              <w:top w:val="nil"/>
              <w:left w:val="nil"/>
              <w:bottom w:val="nil"/>
              <w:right w:val="nil"/>
            </w:tcBorders>
            <w:shd w:val="clear" w:color="auto" w:fill="auto"/>
            <w:noWrap/>
            <w:vAlign w:val="bottom"/>
            <w:hideMark/>
          </w:tcPr>
          <w:p w14:paraId="590F5BED"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5.04</w:t>
            </w:r>
          </w:p>
        </w:tc>
        <w:tc>
          <w:tcPr>
            <w:tcW w:w="395" w:type="pct"/>
            <w:tcBorders>
              <w:top w:val="nil"/>
              <w:left w:val="nil"/>
              <w:bottom w:val="nil"/>
              <w:right w:val="nil"/>
            </w:tcBorders>
            <w:shd w:val="clear" w:color="auto" w:fill="auto"/>
            <w:noWrap/>
            <w:vAlign w:val="bottom"/>
            <w:hideMark/>
          </w:tcPr>
          <w:p w14:paraId="3D46739B"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128.2</w:t>
            </w:r>
          </w:p>
        </w:tc>
        <w:tc>
          <w:tcPr>
            <w:tcW w:w="395" w:type="pct"/>
            <w:tcBorders>
              <w:top w:val="nil"/>
              <w:left w:val="nil"/>
              <w:bottom w:val="nil"/>
              <w:right w:val="nil"/>
            </w:tcBorders>
            <w:shd w:val="clear" w:color="auto" w:fill="auto"/>
            <w:noWrap/>
            <w:vAlign w:val="bottom"/>
            <w:hideMark/>
          </w:tcPr>
          <w:p w14:paraId="52CDD959"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128</w:t>
            </w:r>
          </w:p>
        </w:tc>
        <w:tc>
          <w:tcPr>
            <w:tcW w:w="345" w:type="pct"/>
            <w:tcBorders>
              <w:top w:val="nil"/>
              <w:left w:val="nil"/>
              <w:bottom w:val="nil"/>
              <w:right w:val="nil"/>
            </w:tcBorders>
            <w:shd w:val="clear" w:color="auto" w:fill="auto"/>
            <w:noWrap/>
            <w:vAlign w:val="bottom"/>
            <w:hideMark/>
          </w:tcPr>
          <w:p w14:paraId="3E181595"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49.5</w:t>
            </w:r>
          </w:p>
        </w:tc>
        <w:tc>
          <w:tcPr>
            <w:tcW w:w="345" w:type="pct"/>
            <w:tcBorders>
              <w:top w:val="nil"/>
              <w:left w:val="nil"/>
              <w:bottom w:val="nil"/>
              <w:right w:val="nil"/>
            </w:tcBorders>
            <w:shd w:val="clear" w:color="auto" w:fill="auto"/>
            <w:noWrap/>
            <w:vAlign w:val="bottom"/>
            <w:hideMark/>
          </w:tcPr>
          <w:p w14:paraId="3D00BE56"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88</w:t>
            </w:r>
          </w:p>
        </w:tc>
        <w:tc>
          <w:tcPr>
            <w:tcW w:w="345" w:type="pct"/>
            <w:tcBorders>
              <w:top w:val="nil"/>
              <w:left w:val="nil"/>
              <w:bottom w:val="nil"/>
              <w:right w:val="nil"/>
            </w:tcBorders>
            <w:shd w:val="clear" w:color="auto" w:fill="auto"/>
            <w:noWrap/>
            <w:vAlign w:val="bottom"/>
            <w:hideMark/>
          </w:tcPr>
          <w:p w14:paraId="6092AE79"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9</w:t>
            </w:r>
          </w:p>
        </w:tc>
        <w:tc>
          <w:tcPr>
            <w:tcW w:w="345" w:type="pct"/>
            <w:tcBorders>
              <w:top w:val="nil"/>
              <w:left w:val="nil"/>
              <w:bottom w:val="nil"/>
              <w:right w:val="nil"/>
            </w:tcBorders>
            <w:shd w:val="clear" w:color="auto" w:fill="auto"/>
            <w:noWrap/>
            <w:vAlign w:val="bottom"/>
            <w:hideMark/>
          </w:tcPr>
          <w:p w14:paraId="763C51DD"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19</w:t>
            </w:r>
          </w:p>
        </w:tc>
        <w:tc>
          <w:tcPr>
            <w:tcW w:w="345" w:type="pct"/>
            <w:tcBorders>
              <w:top w:val="nil"/>
              <w:left w:val="nil"/>
              <w:bottom w:val="nil"/>
              <w:right w:val="nil"/>
            </w:tcBorders>
            <w:shd w:val="clear" w:color="auto" w:fill="auto"/>
            <w:noWrap/>
            <w:vAlign w:val="bottom"/>
            <w:hideMark/>
          </w:tcPr>
          <w:p w14:paraId="031D796F"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1.36</w:t>
            </w:r>
          </w:p>
        </w:tc>
        <w:tc>
          <w:tcPr>
            <w:tcW w:w="345" w:type="pct"/>
            <w:tcBorders>
              <w:top w:val="nil"/>
              <w:left w:val="nil"/>
              <w:bottom w:val="nil"/>
              <w:right w:val="nil"/>
            </w:tcBorders>
            <w:shd w:val="clear" w:color="auto" w:fill="auto"/>
            <w:noWrap/>
            <w:vAlign w:val="bottom"/>
            <w:hideMark/>
          </w:tcPr>
          <w:p w14:paraId="1CC84B67"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8</w:t>
            </w:r>
          </w:p>
        </w:tc>
        <w:tc>
          <w:tcPr>
            <w:tcW w:w="341" w:type="pct"/>
            <w:tcBorders>
              <w:top w:val="nil"/>
              <w:left w:val="nil"/>
              <w:bottom w:val="nil"/>
              <w:right w:val="nil"/>
            </w:tcBorders>
            <w:shd w:val="clear" w:color="auto" w:fill="auto"/>
            <w:noWrap/>
            <w:vAlign w:val="bottom"/>
            <w:hideMark/>
          </w:tcPr>
          <w:p w14:paraId="4B016B1D"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18.51</w:t>
            </w:r>
          </w:p>
        </w:tc>
      </w:tr>
      <w:tr w:rsidR="00121D10" w:rsidRPr="001B4FB2" w14:paraId="7AA3BBCB" w14:textId="77777777" w:rsidTr="005D2907">
        <w:trPr>
          <w:trHeight w:val="288"/>
        </w:trPr>
        <w:tc>
          <w:tcPr>
            <w:tcW w:w="763" w:type="pct"/>
            <w:tcBorders>
              <w:top w:val="nil"/>
              <w:left w:val="nil"/>
              <w:bottom w:val="nil"/>
              <w:right w:val="nil"/>
            </w:tcBorders>
            <w:shd w:val="clear" w:color="auto" w:fill="auto"/>
            <w:noWrap/>
            <w:vAlign w:val="bottom"/>
            <w:hideMark/>
          </w:tcPr>
          <w:p w14:paraId="4152D386"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G6</w:t>
            </w:r>
          </w:p>
        </w:tc>
        <w:tc>
          <w:tcPr>
            <w:tcW w:w="345" w:type="pct"/>
            <w:tcBorders>
              <w:top w:val="nil"/>
              <w:left w:val="nil"/>
              <w:bottom w:val="nil"/>
              <w:right w:val="nil"/>
            </w:tcBorders>
            <w:shd w:val="clear" w:color="auto" w:fill="auto"/>
            <w:noWrap/>
            <w:vAlign w:val="bottom"/>
            <w:hideMark/>
          </w:tcPr>
          <w:p w14:paraId="21899273"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19</w:t>
            </w:r>
          </w:p>
        </w:tc>
        <w:tc>
          <w:tcPr>
            <w:tcW w:w="345" w:type="pct"/>
            <w:tcBorders>
              <w:top w:val="nil"/>
              <w:left w:val="nil"/>
              <w:bottom w:val="nil"/>
              <w:right w:val="nil"/>
            </w:tcBorders>
            <w:shd w:val="clear" w:color="auto" w:fill="auto"/>
            <w:noWrap/>
            <w:vAlign w:val="bottom"/>
            <w:hideMark/>
          </w:tcPr>
          <w:p w14:paraId="35C4064B"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6.7</w:t>
            </w:r>
          </w:p>
        </w:tc>
        <w:tc>
          <w:tcPr>
            <w:tcW w:w="345" w:type="pct"/>
            <w:tcBorders>
              <w:top w:val="nil"/>
              <w:left w:val="nil"/>
              <w:bottom w:val="nil"/>
              <w:right w:val="nil"/>
            </w:tcBorders>
            <w:shd w:val="clear" w:color="auto" w:fill="auto"/>
            <w:noWrap/>
            <w:vAlign w:val="bottom"/>
            <w:hideMark/>
          </w:tcPr>
          <w:p w14:paraId="3C322DC8"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6.08</w:t>
            </w:r>
          </w:p>
        </w:tc>
        <w:tc>
          <w:tcPr>
            <w:tcW w:w="395" w:type="pct"/>
            <w:tcBorders>
              <w:top w:val="nil"/>
              <w:left w:val="nil"/>
              <w:bottom w:val="nil"/>
              <w:right w:val="nil"/>
            </w:tcBorders>
            <w:shd w:val="clear" w:color="auto" w:fill="auto"/>
            <w:noWrap/>
            <w:vAlign w:val="bottom"/>
            <w:hideMark/>
          </w:tcPr>
          <w:p w14:paraId="6C1336E2"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158.2</w:t>
            </w:r>
          </w:p>
        </w:tc>
        <w:tc>
          <w:tcPr>
            <w:tcW w:w="395" w:type="pct"/>
            <w:tcBorders>
              <w:top w:val="nil"/>
              <w:left w:val="nil"/>
              <w:bottom w:val="nil"/>
              <w:right w:val="nil"/>
            </w:tcBorders>
            <w:shd w:val="clear" w:color="auto" w:fill="auto"/>
            <w:noWrap/>
            <w:vAlign w:val="bottom"/>
            <w:hideMark/>
          </w:tcPr>
          <w:p w14:paraId="382D6527"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130</w:t>
            </w:r>
          </w:p>
        </w:tc>
        <w:tc>
          <w:tcPr>
            <w:tcW w:w="345" w:type="pct"/>
            <w:tcBorders>
              <w:top w:val="nil"/>
              <w:left w:val="nil"/>
              <w:bottom w:val="nil"/>
              <w:right w:val="nil"/>
            </w:tcBorders>
            <w:shd w:val="clear" w:color="auto" w:fill="auto"/>
            <w:noWrap/>
            <w:vAlign w:val="bottom"/>
            <w:hideMark/>
          </w:tcPr>
          <w:p w14:paraId="408E561F"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65</w:t>
            </w:r>
          </w:p>
        </w:tc>
        <w:tc>
          <w:tcPr>
            <w:tcW w:w="345" w:type="pct"/>
            <w:tcBorders>
              <w:top w:val="nil"/>
              <w:left w:val="nil"/>
              <w:bottom w:val="nil"/>
              <w:right w:val="nil"/>
            </w:tcBorders>
            <w:shd w:val="clear" w:color="auto" w:fill="auto"/>
            <w:noWrap/>
            <w:vAlign w:val="bottom"/>
            <w:hideMark/>
          </w:tcPr>
          <w:p w14:paraId="2F8AABA5"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86</w:t>
            </w:r>
          </w:p>
        </w:tc>
        <w:tc>
          <w:tcPr>
            <w:tcW w:w="345" w:type="pct"/>
            <w:tcBorders>
              <w:top w:val="nil"/>
              <w:left w:val="nil"/>
              <w:bottom w:val="nil"/>
              <w:right w:val="nil"/>
            </w:tcBorders>
            <w:shd w:val="clear" w:color="auto" w:fill="auto"/>
            <w:noWrap/>
            <w:vAlign w:val="bottom"/>
            <w:hideMark/>
          </w:tcPr>
          <w:p w14:paraId="75E79E3F"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3</w:t>
            </w:r>
          </w:p>
        </w:tc>
        <w:tc>
          <w:tcPr>
            <w:tcW w:w="345" w:type="pct"/>
            <w:tcBorders>
              <w:top w:val="nil"/>
              <w:left w:val="nil"/>
              <w:bottom w:val="nil"/>
              <w:right w:val="nil"/>
            </w:tcBorders>
            <w:shd w:val="clear" w:color="auto" w:fill="auto"/>
            <w:noWrap/>
            <w:vAlign w:val="bottom"/>
            <w:hideMark/>
          </w:tcPr>
          <w:p w14:paraId="51AED7C3"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10</w:t>
            </w:r>
          </w:p>
        </w:tc>
        <w:tc>
          <w:tcPr>
            <w:tcW w:w="345" w:type="pct"/>
            <w:tcBorders>
              <w:top w:val="nil"/>
              <w:left w:val="nil"/>
              <w:bottom w:val="nil"/>
              <w:right w:val="nil"/>
            </w:tcBorders>
            <w:shd w:val="clear" w:color="auto" w:fill="auto"/>
            <w:noWrap/>
            <w:vAlign w:val="bottom"/>
            <w:hideMark/>
          </w:tcPr>
          <w:p w14:paraId="3B983DDD"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0.81</w:t>
            </w:r>
          </w:p>
        </w:tc>
        <w:tc>
          <w:tcPr>
            <w:tcW w:w="345" w:type="pct"/>
            <w:tcBorders>
              <w:top w:val="nil"/>
              <w:left w:val="nil"/>
              <w:bottom w:val="nil"/>
              <w:right w:val="nil"/>
            </w:tcBorders>
            <w:shd w:val="clear" w:color="auto" w:fill="auto"/>
            <w:noWrap/>
            <w:vAlign w:val="bottom"/>
            <w:hideMark/>
          </w:tcPr>
          <w:p w14:paraId="5A8A21F2"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7</w:t>
            </w:r>
          </w:p>
        </w:tc>
        <w:tc>
          <w:tcPr>
            <w:tcW w:w="341" w:type="pct"/>
            <w:tcBorders>
              <w:top w:val="nil"/>
              <w:left w:val="nil"/>
              <w:bottom w:val="nil"/>
              <w:right w:val="nil"/>
            </w:tcBorders>
            <w:shd w:val="clear" w:color="auto" w:fill="auto"/>
            <w:noWrap/>
            <w:vAlign w:val="bottom"/>
            <w:hideMark/>
          </w:tcPr>
          <w:p w14:paraId="004538E1"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24</w:t>
            </w:r>
          </w:p>
        </w:tc>
      </w:tr>
      <w:tr w:rsidR="00121D10" w:rsidRPr="001B4FB2" w14:paraId="6D815BD0" w14:textId="77777777" w:rsidTr="005D2907">
        <w:trPr>
          <w:trHeight w:val="288"/>
        </w:trPr>
        <w:tc>
          <w:tcPr>
            <w:tcW w:w="763" w:type="pct"/>
            <w:tcBorders>
              <w:top w:val="nil"/>
              <w:left w:val="nil"/>
              <w:bottom w:val="nil"/>
              <w:right w:val="nil"/>
            </w:tcBorders>
            <w:shd w:val="clear" w:color="auto" w:fill="auto"/>
            <w:noWrap/>
            <w:vAlign w:val="bottom"/>
            <w:hideMark/>
          </w:tcPr>
          <w:p w14:paraId="76685374"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G7</w:t>
            </w:r>
          </w:p>
        </w:tc>
        <w:tc>
          <w:tcPr>
            <w:tcW w:w="345" w:type="pct"/>
            <w:tcBorders>
              <w:top w:val="nil"/>
              <w:left w:val="nil"/>
              <w:bottom w:val="nil"/>
              <w:right w:val="nil"/>
            </w:tcBorders>
            <w:shd w:val="clear" w:color="auto" w:fill="auto"/>
            <w:noWrap/>
            <w:vAlign w:val="bottom"/>
            <w:hideMark/>
          </w:tcPr>
          <w:p w14:paraId="1B568958"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22</w:t>
            </w:r>
          </w:p>
        </w:tc>
        <w:tc>
          <w:tcPr>
            <w:tcW w:w="345" w:type="pct"/>
            <w:tcBorders>
              <w:top w:val="nil"/>
              <w:left w:val="nil"/>
              <w:bottom w:val="nil"/>
              <w:right w:val="nil"/>
            </w:tcBorders>
            <w:shd w:val="clear" w:color="auto" w:fill="auto"/>
            <w:noWrap/>
            <w:vAlign w:val="bottom"/>
            <w:hideMark/>
          </w:tcPr>
          <w:p w14:paraId="61DFC6B7"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8.1</w:t>
            </w:r>
          </w:p>
        </w:tc>
        <w:tc>
          <w:tcPr>
            <w:tcW w:w="345" w:type="pct"/>
            <w:tcBorders>
              <w:top w:val="nil"/>
              <w:left w:val="nil"/>
              <w:bottom w:val="nil"/>
              <w:right w:val="nil"/>
            </w:tcBorders>
            <w:shd w:val="clear" w:color="auto" w:fill="auto"/>
            <w:noWrap/>
            <w:vAlign w:val="bottom"/>
            <w:hideMark/>
          </w:tcPr>
          <w:p w14:paraId="60D73AD6"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4.76</w:t>
            </w:r>
          </w:p>
        </w:tc>
        <w:tc>
          <w:tcPr>
            <w:tcW w:w="395" w:type="pct"/>
            <w:tcBorders>
              <w:top w:val="nil"/>
              <w:left w:val="nil"/>
              <w:bottom w:val="nil"/>
              <w:right w:val="nil"/>
            </w:tcBorders>
            <w:shd w:val="clear" w:color="auto" w:fill="auto"/>
            <w:noWrap/>
            <w:vAlign w:val="bottom"/>
            <w:hideMark/>
          </w:tcPr>
          <w:p w14:paraId="3BF91436"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145</w:t>
            </w:r>
          </w:p>
        </w:tc>
        <w:tc>
          <w:tcPr>
            <w:tcW w:w="395" w:type="pct"/>
            <w:tcBorders>
              <w:top w:val="nil"/>
              <w:left w:val="nil"/>
              <w:bottom w:val="nil"/>
              <w:right w:val="nil"/>
            </w:tcBorders>
            <w:shd w:val="clear" w:color="auto" w:fill="auto"/>
            <w:noWrap/>
            <w:vAlign w:val="bottom"/>
            <w:hideMark/>
          </w:tcPr>
          <w:p w14:paraId="5D8927BE"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156.6</w:t>
            </w:r>
          </w:p>
        </w:tc>
        <w:tc>
          <w:tcPr>
            <w:tcW w:w="345" w:type="pct"/>
            <w:tcBorders>
              <w:top w:val="nil"/>
              <w:left w:val="nil"/>
              <w:bottom w:val="nil"/>
              <w:right w:val="nil"/>
            </w:tcBorders>
            <w:shd w:val="clear" w:color="auto" w:fill="auto"/>
            <w:noWrap/>
            <w:vAlign w:val="bottom"/>
            <w:hideMark/>
          </w:tcPr>
          <w:p w14:paraId="71C692D7"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81</w:t>
            </w:r>
          </w:p>
        </w:tc>
        <w:tc>
          <w:tcPr>
            <w:tcW w:w="345" w:type="pct"/>
            <w:tcBorders>
              <w:top w:val="nil"/>
              <w:left w:val="nil"/>
              <w:bottom w:val="nil"/>
              <w:right w:val="nil"/>
            </w:tcBorders>
            <w:shd w:val="clear" w:color="auto" w:fill="auto"/>
            <w:noWrap/>
            <w:vAlign w:val="bottom"/>
            <w:hideMark/>
          </w:tcPr>
          <w:p w14:paraId="69FC34BE"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96</w:t>
            </w:r>
          </w:p>
        </w:tc>
        <w:tc>
          <w:tcPr>
            <w:tcW w:w="345" w:type="pct"/>
            <w:tcBorders>
              <w:top w:val="nil"/>
              <w:left w:val="nil"/>
              <w:bottom w:val="nil"/>
              <w:right w:val="nil"/>
            </w:tcBorders>
            <w:shd w:val="clear" w:color="auto" w:fill="auto"/>
            <w:noWrap/>
            <w:vAlign w:val="bottom"/>
            <w:hideMark/>
          </w:tcPr>
          <w:p w14:paraId="0B8059EF"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3</w:t>
            </w:r>
          </w:p>
        </w:tc>
        <w:tc>
          <w:tcPr>
            <w:tcW w:w="345" w:type="pct"/>
            <w:tcBorders>
              <w:top w:val="nil"/>
              <w:left w:val="nil"/>
              <w:bottom w:val="nil"/>
              <w:right w:val="nil"/>
            </w:tcBorders>
            <w:shd w:val="clear" w:color="auto" w:fill="auto"/>
            <w:noWrap/>
            <w:vAlign w:val="bottom"/>
            <w:hideMark/>
          </w:tcPr>
          <w:p w14:paraId="5606D16E"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9</w:t>
            </w:r>
          </w:p>
        </w:tc>
        <w:tc>
          <w:tcPr>
            <w:tcW w:w="345" w:type="pct"/>
            <w:tcBorders>
              <w:top w:val="nil"/>
              <w:left w:val="nil"/>
              <w:bottom w:val="nil"/>
              <w:right w:val="nil"/>
            </w:tcBorders>
            <w:shd w:val="clear" w:color="auto" w:fill="auto"/>
            <w:noWrap/>
            <w:vAlign w:val="bottom"/>
            <w:hideMark/>
          </w:tcPr>
          <w:p w14:paraId="5E9D5E39"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0.75</w:t>
            </w:r>
          </w:p>
        </w:tc>
        <w:tc>
          <w:tcPr>
            <w:tcW w:w="345" w:type="pct"/>
            <w:tcBorders>
              <w:top w:val="nil"/>
              <w:left w:val="nil"/>
              <w:bottom w:val="nil"/>
              <w:right w:val="nil"/>
            </w:tcBorders>
            <w:shd w:val="clear" w:color="auto" w:fill="auto"/>
            <w:noWrap/>
            <w:vAlign w:val="bottom"/>
            <w:hideMark/>
          </w:tcPr>
          <w:p w14:paraId="563494CF"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7</w:t>
            </w:r>
          </w:p>
        </w:tc>
        <w:tc>
          <w:tcPr>
            <w:tcW w:w="341" w:type="pct"/>
            <w:tcBorders>
              <w:top w:val="nil"/>
              <w:left w:val="nil"/>
              <w:bottom w:val="nil"/>
              <w:right w:val="nil"/>
            </w:tcBorders>
            <w:shd w:val="clear" w:color="auto" w:fill="auto"/>
            <w:noWrap/>
            <w:vAlign w:val="bottom"/>
            <w:hideMark/>
          </w:tcPr>
          <w:p w14:paraId="3A3DBCD0"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26.47</w:t>
            </w:r>
          </w:p>
        </w:tc>
      </w:tr>
      <w:tr w:rsidR="00121D10" w:rsidRPr="001B4FB2" w14:paraId="335FAAFB" w14:textId="77777777" w:rsidTr="005D2907">
        <w:trPr>
          <w:trHeight w:val="288"/>
        </w:trPr>
        <w:tc>
          <w:tcPr>
            <w:tcW w:w="763" w:type="pct"/>
            <w:tcBorders>
              <w:top w:val="nil"/>
              <w:left w:val="nil"/>
              <w:bottom w:val="nil"/>
              <w:right w:val="nil"/>
            </w:tcBorders>
            <w:shd w:val="clear" w:color="auto" w:fill="auto"/>
            <w:noWrap/>
            <w:vAlign w:val="bottom"/>
            <w:hideMark/>
          </w:tcPr>
          <w:p w14:paraId="16AC3C1E"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G8</w:t>
            </w:r>
          </w:p>
        </w:tc>
        <w:tc>
          <w:tcPr>
            <w:tcW w:w="345" w:type="pct"/>
            <w:tcBorders>
              <w:top w:val="nil"/>
              <w:left w:val="nil"/>
              <w:bottom w:val="nil"/>
              <w:right w:val="nil"/>
            </w:tcBorders>
            <w:shd w:val="clear" w:color="auto" w:fill="auto"/>
            <w:noWrap/>
            <w:vAlign w:val="bottom"/>
            <w:hideMark/>
          </w:tcPr>
          <w:p w14:paraId="688B009F"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19</w:t>
            </w:r>
          </w:p>
        </w:tc>
        <w:tc>
          <w:tcPr>
            <w:tcW w:w="345" w:type="pct"/>
            <w:tcBorders>
              <w:top w:val="nil"/>
              <w:left w:val="nil"/>
              <w:bottom w:val="nil"/>
              <w:right w:val="nil"/>
            </w:tcBorders>
            <w:shd w:val="clear" w:color="auto" w:fill="auto"/>
            <w:noWrap/>
            <w:vAlign w:val="bottom"/>
            <w:hideMark/>
          </w:tcPr>
          <w:p w14:paraId="37A3B6AB"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6.18</w:t>
            </w:r>
          </w:p>
        </w:tc>
        <w:tc>
          <w:tcPr>
            <w:tcW w:w="345" w:type="pct"/>
            <w:tcBorders>
              <w:top w:val="nil"/>
              <w:left w:val="nil"/>
              <w:bottom w:val="nil"/>
              <w:right w:val="nil"/>
            </w:tcBorders>
            <w:shd w:val="clear" w:color="auto" w:fill="auto"/>
            <w:noWrap/>
            <w:vAlign w:val="bottom"/>
            <w:hideMark/>
          </w:tcPr>
          <w:p w14:paraId="1EA38EF9"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5.5</w:t>
            </w:r>
          </w:p>
        </w:tc>
        <w:tc>
          <w:tcPr>
            <w:tcW w:w="395" w:type="pct"/>
            <w:tcBorders>
              <w:top w:val="nil"/>
              <w:left w:val="nil"/>
              <w:bottom w:val="nil"/>
              <w:right w:val="nil"/>
            </w:tcBorders>
            <w:shd w:val="clear" w:color="auto" w:fill="auto"/>
            <w:noWrap/>
            <w:vAlign w:val="bottom"/>
            <w:hideMark/>
          </w:tcPr>
          <w:p w14:paraId="03B09990"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103.2</w:t>
            </w:r>
          </w:p>
        </w:tc>
        <w:tc>
          <w:tcPr>
            <w:tcW w:w="395" w:type="pct"/>
            <w:tcBorders>
              <w:top w:val="nil"/>
              <w:left w:val="nil"/>
              <w:bottom w:val="nil"/>
              <w:right w:val="nil"/>
            </w:tcBorders>
            <w:shd w:val="clear" w:color="auto" w:fill="auto"/>
            <w:noWrap/>
            <w:vAlign w:val="bottom"/>
            <w:hideMark/>
          </w:tcPr>
          <w:p w14:paraId="28FFD825"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134</w:t>
            </w:r>
          </w:p>
        </w:tc>
        <w:tc>
          <w:tcPr>
            <w:tcW w:w="345" w:type="pct"/>
            <w:tcBorders>
              <w:top w:val="nil"/>
              <w:left w:val="nil"/>
              <w:bottom w:val="nil"/>
              <w:right w:val="nil"/>
            </w:tcBorders>
            <w:shd w:val="clear" w:color="auto" w:fill="auto"/>
            <w:noWrap/>
            <w:vAlign w:val="bottom"/>
            <w:hideMark/>
          </w:tcPr>
          <w:p w14:paraId="7A13CB12"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66</w:t>
            </w:r>
          </w:p>
        </w:tc>
        <w:tc>
          <w:tcPr>
            <w:tcW w:w="345" w:type="pct"/>
            <w:tcBorders>
              <w:top w:val="nil"/>
              <w:left w:val="nil"/>
              <w:bottom w:val="nil"/>
              <w:right w:val="nil"/>
            </w:tcBorders>
            <w:shd w:val="clear" w:color="auto" w:fill="auto"/>
            <w:noWrap/>
            <w:vAlign w:val="bottom"/>
            <w:hideMark/>
          </w:tcPr>
          <w:p w14:paraId="64626441"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86</w:t>
            </w:r>
          </w:p>
        </w:tc>
        <w:tc>
          <w:tcPr>
            <w:tcW w:w="345" w:type="pct"/>
            <w:tcBorders>
              <w:top w:val="nil"/>
              <w:left w:val="nil"/>
              <w:bottom w:val="nil"/>
              <w:right w:val="nil"/>
            </w:tcBorders>
            <w:shd w:val="clear" w:color="auto" w:fill="auto"/>
            <w:noWrap/>
            <w:vAlign w:val="bottom"/>
            <w:hideMark/>
          </w:tcPr>
          <w:p w14:paraId="2DACEF0D"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4</w:t>
            </w:r>
          </w:p>
        </w:tc>
        <w:tc>
          <w:tcPr>
            <w:tcW w:w="345" w:type="pct"/>
            <w:tcBorders>
              <w:top w:val="nil"/>
              <w:left w:val="nil"/>
              <w:bottom w:val="nil"/>
              <w:right w:val="nil"/>
            </w:tcBorders>
            <w:shd w:val="clear" w:color="auto" w:fill="auto"/>
            <w:noWrap/>
            <w:vAlign w:val="bottom"/>
            <w:hideMark/>
          </w:tcPr>
          <w:p w14:paraId="5E5B8C9A"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13</w:t>
            </w:r>
          </w:p>
        </w:tc>
        <w:tc>
          <w:tcPr>
            <w:tcW w:w="345" w:type="pct"/>
            <w:tcBorders>
              <w:top w:val="nil"/>
              <w:left w:val="nil"/>
              <w:bottom w:val="nil"/>
              <w:right w:val="nil"/>
            </w:tcBorders>
            <w:shd w:val="clear" w:color="auto" w:fill="auto"/>
            <w:noWrap/>
            <w:vAlign w:val="bottom"/>
            <w:hideMark/>
          </w:tcPr>
          <w:p w14:paraId="792DE9B3"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0.84</w:t>
            </w:r>
          </w:p>
        </w:tc>
        <w:tc>
          <w:tcPr>
            <w:tcW w:w="345" w:type="pct"/>
            <w:tcBorders>
              <w:top w:val="nil"/>
              <w:left w:val="nil"/>
              <w:bottom w:val="nil"/>
              <w:right w:val="nil"/>
            </w:tcBorders>
            <w:shd w:val="clear" w:color="auto" w:fill="auto"/>
            <w:noWrap/>
            <w:vAlign w:val="bottom"/>
            <w:hideMark/>
          </w:tcPr>
          <w:p w14:paraId="716B7E99"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8</w:t>
            </w:r>
          </w:p>
        </w:tc>
        <w:tc>
          <w:tcPr>
            <w:tcW w:w="341" w:type="pct"/>
            <w:tcBorders>
              <w:top w:val="nil"/>
              <w:left w:val="nil"/>
              <w:bottom w:val="nil"/>
              <w:right w:val="nil"/>
            </w:tcBorders>
            <w:shd w:val="clear" w:color="auto" w:fill="auto"/>
            <w:noWrap/>
            <w:vAlign w:val="bottom"/>
            <w:hideMark/>
          </w:tcPr>
          <w:p w14:paraId="43E4961D"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23.33</w:t>
            </w:r>
          </w:p>
        </w:tc>
      </w:tr>
      <w:tr w:rsidR="00121D10" w:rsidRPr="001B4FB2" w14:paraId="553BE394" w14:textId="77777777" w:rsidTr="005D2907">
        <w:trPr>
          <w:trHeight w:val="288"/>
        </w:trPr>
        <w:tc>
          <w:tcPr>
            <w:tcW w:w="763" w:type="pct"/>
            <w:tcBorders>
              <w:top w:val="nil"/>
              <w:left w:val="nil"/>
              <w:bottom w:val="nil"/>
              <w:right w:val="nil"/>
            </w:tcBorders>
            <w:shd w:val="clear" w:color="auto" w:fill="auto"/>
            <w:noWrap/>
            <w:vAlign w:val="bottom"/>
            <w:hideMark/>
          </w:tcPr>
          <w:p w14:paraId="782F2DDB"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G9</w:t>
            </w:r>
          </w:p>
        </w:tc>
        <w:tc>
          <w:tcPr>
            <w:tcW w:w="345" w:type="pct"/>
            <w:tcBorders>
              <w:top w:val="nil"/>
              <w:left w:val="nil"/>
              <w:bottom w:val="nil"/>
              <w:right w:val="nil"/>
            </w:tcBorders>
            <w:shd w:val="clear" w:color="auto" w:fill="auto"/>
            <w:noWrap/>
            <w:vAlign w:val="bottom"/>
            <w:hideMark/>
          </w:tcPr>
          <w:p w14:paraId="44FF201F"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21</w:t>
            </w:r>
          </w:p>
        </w:tc>
        <w:tc>
          <w:tcPr>
            <w:tcW w:w="345" w:type="pct"/>
            <w:tcBorders>
              <w:top w:val="nil"/>
              <w:left w:val="nil"/>
              <w:bottom w:val="nil"/>
              <w:right w:val="nil"/>
            </w:tcBorders>
            <w:shd w:val="clear" w:color="auto" w:fill="auto"/>
            <w:noWrap/>
            <w:vAlign w:val="bottom"/>
            <w:hideMark/>
          </w:tcPr>
          <w:p w14:paraId="0A801EF4"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6.3</w:t>
            </w:r>
          </w:p>
        </w:tc>
        <w:tc>
          <w:tcPr>
            <w:tcW w:w="345" w:type="pct"/>
            <w:tcBorders>
              <w:top w:val="nil"/>
              <w:left w:val="nil"/>
              <w:bottom w:val="nil"/>
              <w:right w:val="nil"/>
            </w:tcBorders>
            <w:shd w:val="clear" w:color="auto" w:fill="auto"/>
            <w:noWrap/>
            <w:vAlign w:val="bottom"/>
            <w:hideMark/>
          </w:tcPr>
          <w:p w14:paraId="70303A60"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6.7</w:t>
            </w:r>
          </w:p>
        </w:tc>
        <w:tc>
          <w:tcPr>
            <w:tcW w:w="395" w:type="pct"/>
            <w:tcBorders>
              <w:top w:val="nil"/>
              <w:left w:val="nil"/>
              <w:bottom w:val="nil"/>
              <w:right w:val="nil"/>
            </w:tcBorders>
            <w:shd w:val="clear" w:color="auto" w:fill="auto"/>
            <w:noWrap/>
            <w:vAlign w:val="bottom"/>
            <w:hideMark/>
          </w:tcPr>
          <w:p w14:paraId="053C5683"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147.4</w:t>
            </w:r>
          </w:p>
        </w:tc>
        <w:tc>
          <w:tcPr>
            <w:tcW w:w="395" w:type="pct"/>
            <w:tcBorders>
              <w:top w:val="nil"/>
              <w:left w:val="nil"/>
              <w:bottom w:val="nil"/>
              <w:right w:val="nil"/>
            </w:tcBorders>
            <w:shd w:val="clear" w:color="auto" w:fill="auto"/>
            <w:noWrap/>
            <w:vAlign w:val="bottom"/>
            <w:hideMark/>
          </w:tcPr>
          <w:p w14:paraId="76CF86C6"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122</w:t>
            </w:r>
          </w:p>
        </w:tc>
        <w:tc>
          <w:tcPr>
            <w:tcW w:w="345" w:type="pct"/>
            <w:tcBorders>
              <w:top w:val="nil"/>
              <w:left w:val="nil"/>
              <w:bottom w:val="nil"/>
              <w:right w:val="nil"/>
            </w:tcBorders>
            <w:shd w:val="clear" w:color="auto" w:fill="auto"/>
            <w:noWrap/>
            <w:vAlign w:val="bottom"/>
            <w:hideMark/>
          </w:tcPr>
          <w:p w14:paraId="12725A0F"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71</w:t>
            </w:r>
          </w:p>
        </w:tc>
        <w:tc>
          <w:tcPr>
            <w:tcW w:w="345" w:type="pct"/>
            <w:tcBorders>
              <w:top w:val="nil"/>
              <w:left w:val="nil"/>
              <w:bottom w:val="nil"/>
              <w:right w:val="nil"/>
            </w:tcBorders>
            <w:shd w:val="clear" w:color="auto" w:fill="auto"/>
            <w:noWrap/>
            <w:vAlign w:val="bottom"/>
            <w:hideMark/>
          </w:tcPr>
          <w:p w14:paraId="47F5BC4D"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95</w:t>
            </w:r>
          </w:p>
        </w:tc>
        <w:tc>
          <w:tcPr>
            <w:tcW w:w="345" w:type="pct"/>
            <w:tcBorders>
              <w:top w:val="nil"/>
              <w:left w:val="nil"/>
              <w:bottom w:val="nil"/>
              <w:right w:val="nil"/>
            </w:tcBorders>
            <w:shd w:val="clear" w:color="auto" w:fill="auto"/>
            <w:noWrap/>
            <w:vAlign w:val="bottom"/>
            <w:hideMark/>
          </w:tcPr>
          <w:p w14:paraId="3945C16C"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4.6</w:t>
            </w:r>
          </w:p>
        </w:tc>
        <w:tc>
          <w:tcPr>
            <w:tcW w:w="345" w:type="pct"/>
            <w:tcBorders>
              <w:top w:val="nil"/>
              <w:left w:val="nil"/>
              <w:bottom w:val="nil"/>
              <w:right w:val="nil"/>
            </w:tcBorders>
            <w:shd w:val="clear" w:color="auto" w:fill="auto"/>
            <w:noWrap/>
            <w:vAlign w:val="bottom"/>
            <w:hideMark/>
          </w:tcPr>
          <w:p w14:paraId="441A11D8"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11</w:t>
            </w:r>
          </w:p>
        </w:tc>
        <w:tc>
          <w:tcPr>
            <w:tcW w:w="345" w:type="pct"/>
            <w:tcBorders>
              <w:top w:val="nil"/>
              <w:left w:val="nil"/>
              <w:bottom w:val="nil"/>
              <w:right w:val="nil"/>
            </w:tcBorders>
            <w:shd w:val="clear" w:color="auto" w:fill="auto"/>
            <w:noWrap/>
            <w:vAlign w:val="bottom"/>
            <w:hideMark/>
          </w:tcPr>
          <w:p w14:paraId="372B5B7E"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0.85</w:t>
            </w:r>
          </w:p>
        </w:tc>
        <w:tc>
          <w:tcPr>
            <w:tcW w:w="345" w:type="pct"/>
            <w:tcBorders>
              <w:top w:val="nil"/>
              <w:left w:val="nil"/>
              <w:bottom w:val="nil"/>
              <w:right w:val="nil"/>
            </w:tcBorders>
            <w:shd w:val="clear" w:color="auto" w:fill="auto"/>
            <w:noWrap/>
            <w:vAlign w:val="bottom"/>
            <w:hideMark/>
          </w:tcPr>
          <w:p w14:paraId="1561CA51"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8</w:t>
            </w:r>
          </w:p>
        </w:tc>
        <w:tc>
          <w:tcPr>
            <w:tcW w:w="341" w:type="pct"/>
            <w:tcBorders>
              <w:top w:val="nil"/>
              <w:left w:val="nil"/>
              <w:bottom w:val="nil"/>
              <w:right w:val="nil"/>
            </w:tcBorders>
            <w:shd w:val="clear" w:color="auto" w:fill="auto"/>
            <w:noWrap/>
            <w:vAlign w:val="bottom"/>
            <w:hideMark/>
          </w:tcPr>
          <w:p w14:paraId="639B3B39"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50</w:t>
            </w:r>
          </w:p>
        </w:tc>
      </w:tr>
      <w:tr w:rsidR="00121D10" w:rsidRPr="001B4FB2" w14:paraId="23341823" w14:textId="77777777" w:rsidTr="005D2907">
        <w:trPr>
          <w:trHeight w:val="288"/>
        </w:trPr>
        <w:tc>
          <w:tcPr>
            <w:tcW w:w="763" w:type="pct"/>
            <w:tcBorders>
              <w:top w:val="nil"/>
              <w:left w:val="nil"/>
              <w:bottom w:val="nil"/>
              <w:right w:val="nil"/>
            </w:tcBorders>
            <w:shd w:val="clear" w:color="auto" w:fill="auto"/>
            <w:noWrap/>
            <w:vAlign w:val="bottom"/>
            <w:hideMark/>
          </w:tcPr>
          <w:p w14:paraId="759697DA"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G10</w:t>
            </w:r>
          </w:p>
        </w:tc>
        <w:tc>
          <w:tcPr>
            <w:tcW w:w="345" w:type="pct"/>
            <w:tcBorders>
              <w:top w:val="nil"/>
              <w:left w:val="nil"/>
              <w:bottom w:val="nil"/>
              <w:right w:val="nil"/>
            </w:tcBorders>
            <w:shd w:val="clear" w:color="auto" w:fill="auto"/>
            <w:noWrap/>
            <w:vAlign w:val="bottom"/>
            <w:hideMark/>
          </w:tcPr>
          <w:p w14:paraId="2D4C8666"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21</w:t>
            </w:r>
          </w:p>
        </w:tc>
        <w:tc>
          <w:tcPr>
            <w:tcW w:w="345" w:type="pct"/>
            <w:tcBorders>
              <w:top w:val="nil"/>
              <w:left w:val="nil"/>
              <w:bottom w:val="nil"/>
              <w:right w:val="nil"/>
            </w:tcBorders>
            <w:shd w:val="clear" w:color="auto" w:fill="auto"/>
            <w:noWrap/>
            <w:vAlign w:val="bottom"/>
            <w:hideMark/>
          </w:tcPr>
          <w:p w14:paraId="6BCCC8CD"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8.24</w:t>
            </w:r>
          </w:p>
        </w:tc>
        <w:tc>
          <w:tcPr>
            <w:tcW w:w="345" w:type="pct"/>
            <w:tcBorders>
              <w:top w:val="nil"/>
              <w:left w:val="nil"/>
              <w:bottom w:val="nil"/>
              <w:right w:val="nil"/>
            </w:tcBorders>
            <w:shd w:val="clear" w:color="auto" w:fill="auto"/>
            <w:noWrap/>
            <w:vAlign w:val="bottom"/>
            <w:hideMark/>
          </w:tcPr>
          <w:p w14:paraId="2A4040D5"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5.26</w:t>
            </w:r>
          </w:p>
        </w:tc>
        <w:tc>
          <w:tcPr>
            <w:tcW w:w="395" w:type="pct"/>
            <w:tcBorders>
              <w:top w:val="nil"/>
              <w:left w:val="nil"/>
              <w:bottom w:val="nil"/>
              <w:right w:val="nil"/>
            </w:tcBorders>
            <w:shd w:val="clear" w:color="auto" w:fill="auto"/>
            <w:noWrap/>
            <w:vAlign w:val="bottom"/>
            <w:hideMark/>
          </w:tcPr>
          <w:p w14:paraId="7E03F5A1"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158.4</w:t>
            </w:r>
          </w:p>
        </w:tc>
        <w:tc>
          <w:tcPr>
            <w:tcW w:w="395" w:type="pct"/>
            <w:tcBorders>
              <w:top w:val="nil"/>
              <w:left w:val="nil"/>
              <w:bottom w:val="nil"/>
              <w:right w:val="nil"/>
            </w:tcBorders>
            <w:shd w:val="clear" w:color="auto" w:fill="auto"/>
            <w:noWrap/>
            <w:vAlign w:val="bottom"/>
            <w:hideMark/>
          </w:tcPr>
          <w:p w14:paraId="78F321EA"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118</w:t>
            </w:r>
          </w:p>
        </w:tc>
        <w:tc>
          <w:tcPr>
            <w:tcW w:w="345" w:type="pct"/>
            <w:tcBorders>
              <w:top w:val="nil"/>
              <w:left w:val="nil"/>
              <w:bottom w:val="nil"/>
              <w:right w:val="nil"/>
            </w:tcBorders>
            <w:shd w:val="clear" w:color="auto" w:fill="auto"/>
            <w:noWrap/>
            <w:vAlign w:val="bottom"/>
            <w:hideMark/>
          </w:tcPr>
          <w:p w14:paraId="2268F4BD"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70</w:t>
            </w:r>
          </w:p>
        </w:tc>
        <w:tc>
          <w:tcPr>
            <w:tcW w:w="345" w:type="pct"/>
            <w:tcBorders>
              <w:top w:val="nil"/>
              <w:left w:val="nil"/>
              <w:bottom w:val="nil"/>
              <w:right w:val="nil"/>
            </w:tcBorders>
            <w:shd w:val="clear" w:color="auto" w:fill="auto"/>
            <w:noWrap/>
            <w:vAlign w:val="bottom"/>
            <w:hideMark/>
          </w:tcPr>
          <w:p w14:paraId="2F81AB56"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90</w:t>
            </w:r>
          </w:p>
        </w:tc>
        <w:tc>
          <w:tcPr>
            <w:tcW w:w="345" w:type="pct"/>
            <w:tcBorders>
              <w:top w:val="nil"/>
              <w:left w:val="nil"/>
              <w:bottom w:val="nil"/>
              <w:right w:val="nil"/>
            </w:tcBorders>
            <w:shd w:val="clear" w:color="auto" w:fill="auto"/>
            <w:noWrap/>
            <w:vAlign w:val="bottom"/>
            <w:hideMark/>
          </w:tcPr>
          <w:p w14:paraId="1C96D052"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3</w:t>
            </w:r>
          </w:p>
        </w:tc>
        <w:tc>
          <w:tcPr>
            <w:tcW w:w="345" w:type="pct"/>
            <w:tcBorders>
              <w:top w:val="nil"/>
              <w:left w:val="nil"/>
              <w:bottom w:val="nil"/>
              <w:right w:val="nil"/>
            </w:tcBorders>
            <w:shd w:val="clear" w:color="auto" w:fill="auto"/>
            <w:noWrap/>
            <w:vAlign w:val="bottom"/>
            <w:hideMark/>
          </w:tcPr>
          <w:p w14:paraId="60C2979A"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9</w:t>
            </w:r>
          </w:p>
        </w:tc>
        <w:tc>
          <w:tcPr>
            <w:tcW w:w="345" w:type="pct"/>
            <w:tcBorders>
              <w:top w:val="nil"/>
              <w:left w:val="nil"/>
              <w:bottom w:val="nil"/>
              <w:right w:val="nil"/>
            </w:tcBorders>
            <w:shd w:val="clear" w:color="auto" w:fill="auto"/>
            <w:noWrap/>
            <w:vAlign w:val="bottom"/>
            <w:hideMark/>
          </w:tcPr>
          <w:p w14:paraId="243EE988"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0.8</w:t>
            </w:r>
          </w:p>
        </w:tc>
        <w:tc>
          <w:tcPr>
            <w:tcW w:w="345" w:type="pct"/>
            <w:tcBorders>
              <w:top w:val="nil"/>
              <w:left w:val="nil"/>
              <w:bottom w:val="nil"/>
              <w:right w:val="nil"/>
            </w:tcBorders>
            <w:shd w:val="clear" w:color="auto" w:fill="auto"/>
            <w:noWrap/>
            <w:vAlign w:val="bottom"/>
            <w:hideMark/>
          </w:tcPr>
          <w:p w14:paraId="1C91C02E"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8</w:t>
            </w:r>
          </w:p>
        </w:tc>
        <w:tc>
          <w:tcPr>
            <w:tcW w:w="341" w:type="pct"/>
            <w:tcBorders>
              <w:top w:val="nil"/>
              <w:left w:val="nil"/>
              <w:bottom w:val="nil"/>
              <w:right w:val="nil"/>
            </w:tcBorders>
            <w:shd w:val="clear" w:color="auto" w:fill="auto"/>
            <w:noWrap/>
            <w:vAlign w:val="bottom"/>
            <w:hideMark/>
          </w:tcPr>
          <w:p w14:paraId="1E8659EA"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57.69</w:t>
            </w:r>
          </w:p>
        </w:tc>
      </w:tr>
      <w:tr w:rsidR="00121D10" w:rsidRPr="001B4FB2" w14:paraId="11780693" w14:textId="77777777" w:rsidTr="005D2907">
        <w:trPr>
          <w:trHeight w:val="288"/>
        </w:trPr>
        <w:tc>
          <w:tcPr>
            <w:tcW w:w="763" w:type="pct"/>
            <w:tcBorders>
              <w:top w:val="nil"/>
              <w:left w:val="nil"/>
              <w:bottom w:val="nil"/>
              <w:right w:val="nil"/>
            </w:tcBorders>
            <w:shd w:val="clear" w:color="auto" w:fill="auto"/>
            <w:noWrap/>
            <w:vAlign w:val="bottom"/>
            <w:hideMark/>
          </w:tcPr>
          <w:p w14:paraId="208EBE0C"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G11</w:t>
            </w:r>
          </w:p>
        </w:tc>
        <w:tc>
          <w:tcPr>
            <w:tcW w:w="345" w:type="pct"/>
            <w:tcBorders>
              <w:top w:val="nil"/>
              <w:left w:val="nil"/>
              <w:bottom w:val="nil"/>
              <w:right w:val="nil"/>
            </w:tcBorders>
            <w:shd w:val="clear" w:color="auto" w:fill="auto"/>
            <w:noWrap/>
            <w:vAlign w:val="bottom"/>
            <w:hideMark/>
          </w:tcPr>
          <w:p w14:paraId="1F1DA934"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14</w:t>
            </w:r>
          </w:p>
        </w:tc>
        <w:tc>
          <w:tcPr>
            <w:tcW w:w="345" w:type="pct"/>
            <w:tcBorders>
              <w:top w:val="nil"/>
              <w:left w:val="nil"/>
              <w:bottom w:val="nil"/>
              <w:right w:val="nil"/>
            </w:tcBorders>
            <w:shd w:val="clear" w:color="auto" w:fill="auto"/>
            <w:noWrap/>
            <w:vAlign w:val="bottom"/>
            <w:hideMark/>
          </w:tcPr>
          <w:p w14:paraId="4FF0F75F"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4.26</w:t>
            </w:r>
          </w:p>
        </w:tc>
        <w:tc>
          <w:tcPr>
            <w:tcW w:w="345" w:type="pct"/>
            <w:tcBorders>
              <w:top w:val="nil"/>
              <w:left w:val="nil"/>
              <w:bottom w:val="nil"/>
              <w:right w:val="nil"/>
            </w:tcBorders>
            <w:shd w:val="clear" w:color="auto" w:fill="auto"/>
            <w:noWrap/>
            <w:vAlign w:val="bottom"/>
            <w:hideMark/>
          </w:tcPr>
          <w:p w14:paraId="6A4EDC4A"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5.64</w:t>
            </w:r>
          </w:p>
        </w:tc>
        <w:tc>
          <w:tcPr>
            <w:tcW w:w="395" w:type="pct"/>
            <w:tcBorders>
              <w:top w:val="nil"/>
              <w:left w:val="nil"/>
              <w:bottom w:val="nil"/>
              <w:right w:val="nil"/>
            </w:tcBorders>
            <w:shd w:val="clear" w:color="auto" w:fill="auto"/>
            <w:noWrap/>
            <w:vAlign w:val="bottom"/>
            <w:hideMark/>
          </w:tcPr>
          <w:p w14:paraId="6E65E87C"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109.8</w:t>
            </w:r>
          </w:p>
        </w:tc>
        <w:tc>
          <w:tcPr>
            <w:tcW w:w="395" w:type="pct"/>
            <w:tcBorders>
              <w:top w:val="nil"/>
              <w:left w:val="nil"/>
              <w:bottom w:val="nil"/>
              <w:right w:val="nil"/>
            </w:tcBorders>
            <w:shd w:val="clear" w:color="auto" w:fill="auto"/>
            <w:noWrap/>
            <w:vAlign w:val="bottom"/>
            <w:hideMark/>
          </w:tcPr>
          <w:p w14:paraId="5694C293"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120</w:t>
            </w:r>
          </w:p>
        </w:tc>
        <w:tc>
          <w:tcPr>
            <w:tcW w:w="345" w:type="pct"/>
            <w:tcBorders>
              <w:top w:val="nil"/>
              <w:left w:val="nil"/>
              <w:bottom w:val="nil"/>
              <w:right w:val="nil"/>
            </w:tcBorders>
            <w:shd w:val="clear" w:color="auto" w:fill="auto"/>
            <w:noWrap/>
            <w:vAlign w:val="bottom"/>
            <w:hideMark/>
          </w:tcPr>
          <w:p w14:paraId="23F9600A"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50</w:t>
            </w:r>
          </w:p>
        </w:tc>
        <w:tc>
          <w:tcPr>
            <w:tcW w:w="345" w:type="pct"/>
            <w:tcBorders>
              <w:top w:val="nil"/>
              <w:left w:val="nil"/>
              <w:bottom w:val="nil"/>
              <w:right w:val="nil"/>
            </w:tcBorders>
            <w:shd w:val="clear" w:color="auto" w:fill="auto"/>
            <w:noWrap/>
            <w:vAlign w:val="bottom"/>
            <w:hideMark/>
          </w:tcPr>
          <w:p w14:paraId="30E622EB"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86</w:t>
            </w:r>
          </w:p>
        </w:tc>
        <w:tc>
          <w:tcPr>
            <w:tcW w:w="345" w:type="pct"/>
            <w:tcBorders>
              <w:top w:val="nil"/>
              <w:left w:val="nil"/>
              <w:bottom w:val="nil"/>
              <w:right w:val="nil"/>
            </w:tcBorders>
            <w:shd w:val="clear" w:color="auto" w:fill="auto"/>
            <w:noWrap/>
            <w:vAlign w:val="bottom"/>
            <w:hideMark/>
          </w:tcPr>
          <w:p w14:paraId="07D66F8F"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8</w:t>
            </w:r>
          </w:p>
        </w:tc>
        <w:tc>
          <w:tcPr>
            <w:tcW w:w="345" w:type="pct"/>
            <w:tcBorders>
              <w:top w:val="nil"/>
              <w:left w:val="nil"/>
              <w:bottom w:val="nil"/>
              <w:right w:val="nil"/>
            </w:tcBorders>
            <w:shd w:val="clear" w:color="auto" w:fill="auto"/>
            <w:noWrap/>
            <w:vAlign w:val="bottom"/>
            <w:hideMark/>
          </w:tcPr>
          <w:p w14:paraId="488280CA"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20</w:t>
            </w:r>
          </w:p>
        </w:tc>
        <w:tc>
          <w:tcPr>
            <w:tcW w:w="345" w:type="pct"/>
            <w:tcBorders>
              <w:top w:val="nil"/>
              <w:left w:val="nil"/>
              <w:bottom w:val="nil"/>
              <w:right w:val="nil"/>
            </w:tcBorders>
            <w:shd w:val="clear" w:color="auto" w:fill="auto"/>
            <w:noWrap/>
            <w:vAlign w:val="bottom"/>
            <w:hideMark/>
          </w:tcPr>
          <w:p w14:paraId="519395EE"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1.42</w:t>
            </w:r>
          </w:p>
        </w:tc>
        <w:tc>
          <w:tcPr>
            <w:tcW w:w="345" w:type="pct"/>
            <w:tcBorders>
              <w:top w:val="nil"/>
              <w:left w:val="nil"/>
              <w:bottom w:val="nil"/>
              <w:right w:val="nil"/>
            </w:tcBorders>
            <w:shd w:val="clear" w:color="auto" w:fill="auto"/>
            <w:noWrap/>
            <w:vAlign w:val="bottom"/>
            <w:hideMark/>
          </w:tcPr>
          <w:p w14:paraId="25EBAF6B"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6</w:t>
            </w:r>
          </w:p>
        </w:tc>
        <w:tc>
          <w:tcPr>
            <w:tcW w:w="341" w:type="pct"/>
            <w:tcBorders>
              <w:top w:val="nil"/>
              <w:left w:val="nil"/>
              <w:bottom w:val="nil"/>
              <w:right w:val="nil"/>
            </w:tcBorders>
            <w:shd w:val="clear" w:color="auto" w:fill="auto"/>
            <w:noWrap/>
            <w:vAlign w:val="bottom"/>
            <w:hideMark/>
          </w:tcPr>
          <w:p w14:paraId="5DB55B2F"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30</w:t>
            </w:r>
          </w:p>
        </w:tc>
      </w:tr>
      <w:tr w:rsidR="00121D10" w:rsidRPr="001B4FB2" w14:paraId="49C65EBF" w14:textId="77777777" w:rsidTr="005D2907">
        <w:trPr>
          <w:trHeight w:val="288"/>
        </w:trPr>
        <w:tc>
          <w:tcPr>
            <w:tcW w:w="763" w:type="pct"/>
            <w:tcBorders>
              <w:top w:val="nil"/>
              <w:left w:val="nil"/>
              <w:bottom w:val="nil"/>
              <w:right w:val="nil"/>
            </w:tcBorders>
            <w:shd w:val="clear" w:color="auto" w:fill="auto"/>
            <w:noWrap/>
            <w:vAlign w:val="bottom"/>
            <w:hideMark/>
          </w:tcPr>
          <w:p w14:paraId="44A0E97A"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BARI Tomato 4</w:t>
            </w:r>
          </w:p>
        </w:tc>
        <w:tc>
          <w:tcPr>
            <w:tcW w:w="345" w:type="pct"/>
            <w:tcBorders>
              <w:top w:val="nil"/>
              <w:left w:val="nil"/>
              <w:bottom w:val="nil"/>
              <w:right w:val="nil"/>
            </w:tcBorders>
            <w:shd w:val="clear" w:color="auto" w:fill="auto"/>
            <w:noWrap/>
            <w:vAlign w:val="bottom"/>
            <w:hideMark/>
          </w:tcPr>
          <w:p w14:paraId="6C29D060"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16.5</w:t>
            </w:r>
          </w:p>
        </w:tc>
        <w:tc>
          <w:tcPr>
            <w:tcW w:w="345" w:type="pct"/>
            <w:tcBorders>
              <w:top w:val="nil"/>
              <w:left w:val="nil"/>
              <w:bottom w:val="nil"/>
              <w:right w:val="nil"/>
            </w:tcBorders>
            <w:shd w:val="clear" w:color="auto" w:fill="auto"/>
            <w:noWrap/>
            <w:vAlign w:val="bottom"/>
            <w:hideMark/>
          </w:tcPr>
          <w:p w14:paraId="1B2BD1A9"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4.22</w:t>
            </w:r>
          </w:p>
        </w:tc>
        <w:tc>
          <w:tcPr>
            <w:tcW w:w="345" w:type="pct"/>
            <w:tcBorders>
              <w:top w:val="nil"/>
              <w:left w:val="nil"/>
              <w:bottom w:val="nil"/>
              <w:right w:val="nil"/>
            </w:tcBorders>
            <w:shd w:val="clear" w:color="auto" w:fill="auto"/>
            <w:noWrap/>
            <w:vAlign w:val="bottom"/>
            <w:hideMark/>
          </w:tcPr>
          <w:p w14:paraId="7B1711B0"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4.94</w:t>
            </w:r>
          </w:p>
        </w:tc>
        <w:tc>
          <w:tcPr>
            <w:tcW w:w="395" w:type="pct"/>
            <w:tcBorders>
              <w:top w:val="nil"/>
              <w:left w:val="nil"/>
              <w:bottom w:val="nil"/>
              <w:right w:val="nil"/>
            </w:tcBorders>
            <w:shd w:val="clear" w:color="auto" w:fill="auto"/>
            <w:noWrap/>
            <w:vAlign w:val="bottom"/>
            <w:hideMark/>
          </w:tcPr>
          <w:p w14:paraId="3F0E9036"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68</w:t>
            </w:r>
          </w:p>
        </w:tc>
        <w:tc>
          <w:tcPr>
            <w:tcW w:w="395" w:type="pct"/>
            <w:tcBorders>
              <w:top w:val="nil"/>
              <w:left w:val="nil"/>
              <w:bottom w:val="nil"/>
              <w:right w:val="nil"/>
            </w:tcBorders>
            <w:shd w:val="clear" w:color="auto" w:fill="auto"/>
            <w:noWrap/>
            <w:vAlign w:val="bottom"/>
            <w:hideMark/>
          </w:tcPr>
          <w:p w14:paraId="2CBF4A73"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110</w:t>
            </w:r>
          </w:p>
        </w:tc>
        <w:tc>
          <w:tcPr>
            <w:tcW w:w="345" w:type="pct"/>
            <w:tcBorders>
              <w:top w:val="nil"/>
              <w:left w:val="nil"/>
              <w:bottom w:val="nil"/>
              <w:right w:val="nil"/>
            </w:tcBorders>
            <w:shd w:val="clear" w:color="auto" w:fill="auto"/>
            <w:noWrap/>
            <w:vAlign w:val="bottom"/>
            <w:hideMark/>
          </w:tcPr>
          <w:p w14:paraId="4197E7A8"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49</w:t>
            </w:r>
          </w:p>
        </w:tc>
        <w:tc>
          <w:tcPr>
            <w:tcW w:w="345" w:type="pct"/>
            <w:tcBorders>
              <w:top w:val="nil"/>
              <w:left w:val="nil"/>
              <w:bottom w:val="nil"/>
              <w:right w:val="nil"/>
            </w:tcBorders>
            <w:shd w:val="clear" w:color="auto" w:fill="auto"/>
            <w:noWrap/>
            <w:vAlign w:val="bottom"/>
            <w:hideMark/>
          </w:tcPr>
          <w:p w14:paraId="7B9EF59D"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85</w:t>
            </w:r>
          </w:p>
        </w:tc>
        <w:tc>
          <w:tcPr>
            <w:tcW w:w="345" w:type="pct"/>
            <w:tcBorders>
              <w:top w:val="nil"/>
              <w:left w:val="nil"/>
              <w:bottom w:val="nil"/>
              <w:right w:val="nil"/>
            </w:tcBorders>
            <w:shd w:val="clear" w:color="auto" w:fill="auto"/>
            <w:noWrap/>
            <w:vAlign w:val="bottom"/>
            <w:hideMark/>
          </w:tcPr>
          <w:p w14:paraId="1C418338"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12</w:t>
            </w:r>
          </w:p>
        </w:tc>
        <w:tc>
          <w:tcPr>
            <w:tcW w:w="345" w:type="pct"/>
            <w:tcBorders>
              <w:top w:val="nil"/>
              <w:left w:val="nil"/>
              <w:bottom w:val="nil"/>
              <w:right w:val="nil"/>
            </w:tcBorders>
            <w:shd w:val="clear" w:color="auto" w:fill="auto"/>
            <w:noWrap/>
            <w:vAlign w:val="bottom"/>
            <w:hideMark/>
          </w:tcPr>
          <w:p w14:paraId="1853C680"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29</w:t>
            </w:r>
          </w:p>
        </w:tc>
        <w:tc>
          <w:tcPr>
            <w:tcW w:w="345" w:type="pct"/>
            <w:tcBorders>
              <w:top w:val="nil"/>
              <w:left w:val="nil"/>
              <w:bottom w:val="nil"/>
              <w:right w:val="nil"/>
            </w:tcBorders>
            <w:shd w:val="clear" w:color="auto" w:fill="auto"/>
            <w:noWrap/>
            <w:vAlign w:val="bottom"/>
            <w:hideMark/>
          </w:tcPr>
          <w:p w14:paraId="60F2D718"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1.17</w:t>
            </w:r>
          </w:p>
        </w:tc>
        <w:tc>
          <w:tcPr>
            <w:tcW w:w="345" w:type="pct"/>
            <w:tcBorders>
              <w:top w:val="nil"/>
              <w:left w:val="nil"/>
              <w:bottom w:val="nil"/>
              <w:right w:val="nil"/>
            </w:tcBorders>
            <w:shd w:val="clear" w:color="auto" w:fill="auto"/>
            <w:noWrap/>
            <w:vAlign w:val="bottom"/>
            <w:hideMark/>
          </w:tcPr>
          <w:p w14:paraId="5F328F34"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6</w:t>
            </w:r>
          </w:p>
        </w:tc>
        <w:tc>
          <w:tcPr>
            <w:tcW w:w="341" w:type="pct"/>
            <w:tcBorders>
              <w:top w:val="nil"/>
              <w:left w:val="nil"/>
              <w:bottom w:val="nil"/>
              <w:right w:val="nil"/>
            </w:tcBorders>
            <w:shd w:val="clear" w:color="auto" w:fill="auto"/>
            <w:noWrap/>
            <w:vAlign w:val="bottom"/>
            <w:hideMark/>
          </w:tcPr>
          <w:p w14:paraId="31ACB5C7"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33.33</w:t>
            </w:r>
          </w:p>
        </w:tc>
      </w:tr>
      <w:tr w:rsidR="00121D10" w:rsidRPr="001B4FB2" w14:paraId="12F8471E" w14:textId="77777777" w:rsidTr="005D2907">
        <w:trPr>
          <w:trHeight w:val="288"/>
        </w:trPr>
        <w:tc>
          <w:tcPr>
            <w:tcW w:w="763" w:type="pct"/>
            <w:tcBorders>
              <w:top w:val="nil"/>
              <w:left w:val="nil"/>
              <w:bottom w:val="nil"/>
              <w:right w:val="nil"/>
            </w:tcBorders>
            <w:shd w:val="clear" w:color="auto" w:fill="auto"/>
            <w:noWrap/>
            <w:vAlign w:val="bottom"/>
            <w:hideMark/>
          </w:tcPr>
          <w:p w14:paraId="5A2D9BDA"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BARI Tomato 8</w:t>
            </w:r>
          </w:p>
        </w:tc>
        <w:tc>
          <w:tcPr>
            <w:tcW w:w="345" w:type="pct"/>
            <w:tcBorders>
              <w:top w:val="nil"/>
              <w:left w:val="nil"/>
              <w:bottom w:val="nil"/>
              <w:right w:val="nil"/>
            </w:tcBorders>
            <w:shd w:val="clear" w:color="auto" w:fill="auto"/>
            <w:noWrap/>
            <w:vAlign w:val="bottom"/>
            <w:hideMark/>
          </w:tcPr>
          <w:p w14:paraId="22C0EB90"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16</w:t>
            </w:r>
          </w:p>
        </w:tc>
        <w:tc>
          <w:tcPr>
            <w:tcW w:w="345" w:type="pct"/>
            <w:tcBorders>
              <w:top w:val="nil"/>
              <w:left w:val="nil"/>
              <w:bottom w:val="nil"/>
              <w:right w:val="nil"/>
            </w:tcBorders>
            <w:shd w:val="clear" w:color="auto" w:fill="auto"/>
            <w:noWrap/>
            <w:vAlign w:val="bottom"/>
            <w:hideMark/>
          </w:tcPr>
          <w:p w14:paraId="5E19C655"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4.26</w:t>
            </w:r>
          </w:p>
        </w:tc>
        <w:tc>
          <w:tcPr>
            <w:tcW w:w="345" w:type="pct"/>
            <w:tcBorders>
              <w:top w:val="nil"/>
              <w:left w:val="nil"/>
              <w:bottom w:val="nil"/>
              <w:right w:val="nil"/>
            </w:tcBorders>
            <w:shd w:val="clear" w:color="auto" w:fill="auto"/>
            <w:noWrap/>
            <w:vAlign w:val="bottom"/>
            <w:hideMark/>
          </w:tcPr>
          <w:p w14:paraId="1DDA8E9C"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5.22</w:t>
            </w:r>
          </w:p>
        </w:tc>
        <w:tc>
          <w:tcPr>
            <w:tcW w:w="395" w:type="pct"/>
            <w:tcBorders>
              <w:top w:val="nil"/>
              <w:left w:val="nil"/>
              <w:bottom w:val="nil"/>
              <w:right w:val="nil"/>
            </w:tcBorders>
            <w:shd w:val="clear" w:color="auto" w:fill="auto"/>
            <w:noWrap/>
            <w:vAlign w:val="bottom"/>
            <w:hideMark/>
          </w:tcPr>
          <w:p w14:paraId="649DC771"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94.5</w:t>
            </w:r>
          </w:p>
        </w:tc>
        <w:tc>
          <w:tcPr>
            <w:tcW w:w="395" w:type="pct"/>
            <w:tcBorders>
              <w:top w:val="nil"/>
              <w:left w:val="nil"/>
              <w:bottom w:val="nil"/>
              <w:right w:val="nil"/>
            </w:tcBorders>
            <w:shd w:val="clear" w:color="auto" w:fill="auto"/>
            <w:noWrap/>
            <w:vAlign w:val="bottom"/>
            <w:hideMark/>
          </w:tcPr>
          <w:p w14:paraId="13F932EA"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118</w:t>
            </w:r>
          </w:p>
        </w:tc>
        <w:tc>
          <w:tcPr>
            <w:tcW w:w="345" w:type="pct"/>
            <w:tcBorders>
              <w:top w:val="nil"/>
              <w:left w:val="nil"/>
              <w:bottom w:val="nil"/>
              <w:right w:val="nil"/>
            </w:tcBorders>
            <w:shd w:val="clear" w:color="auto" w:fill="auto"/>
            <w:noWrap/>
            <w:vAlign w:val="bottom"/>
            <w:hideMark/>
          </w:tcPr>
          <w:p w14:paraId="5A22EDF5"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56.5</w:t>
            </w:r>
          </w:p>
        </w:tc>
        <w:tc>
          <w:tcPr>
            <w:tcW w:w="345" w:type="pct"/>
            <w:tcBorders>
              <w:top w:val="nil"/>
              <w:left w:val="nil"/>
              <w:bottom w:val="nil"/>
              <w:right w:val="nil"/>
            </w:tcBorders>
            <w:shd w:val="clear" w:color="auto" w:fill="auto"/>
            <w:noWrap/>
            <w:vAlign w:val="bottom"/>
            <w:hideMark/>
          </w:tcPr>
          <w:p w14:paraId="090FBDA1"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91</w:t>
            </w:r>
          </w:p>
        </w:tc>
        <w:tc>
          <w:tcPr>
            <w:tcW w:w="345" w:type="pct"/>
            <w:tcBorders>
              <w:top w:val="nil"/>
              <w:left w:val="nil"/>
              <w:bottom w:val="nil"/>
              <w:right w:val="nil"/>
            </w:tcBorders>
            <w:shd w:val="clear" w:color="auto" w:fill="auto"/>
            <w:noWrap/>
            <w:vAlign w:val="bottom"/>
            <w:hideMark/>
          </w:tcPr>
          <w:p w14:paraId="3BEA7300"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10</w:t>
            </w:r>
          </w:p>
        </w:tc>
        <w:tc>
          <w:tcPr>
            <w:tcW w:w="345" w:type="pct"/>
            <w:tcBorders>
              <w:top w:val="nil"/>
              <w:left w:val="nil"/>
              <w:bottom w:val="nil"/>
              <w:right w:val="nil"/>
            </w:tcBorders>
            <w:shd w:val="clear" w:color="auto" w:fill="auto"/>
            <w:noWrap/>
            <w:vAlign w:val="bottom"/>
            <w:hideMark/>
          </w:tcPr>
          <w:p w14:paraId="2C4A929B"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21</w:t>
            </w:r>
          </w:p>
        </w:tc>
        <w:tc>
          <w:tcPr>
            <w:tcW w:w="345" w:type="pct"/>
            <w:tcBorders>
              <w:top w:val="nil"/>
              <w:left w:val="nil"/>
              <w:bottom w:val="nil"/>
              <w:right w:val="nil"/>
            </w:tcBorders>
            <w:shd w:val="clear" w:color="auto" w:fill="auto"/>
            <w:noWrap/>
            <w:vAlign w:val="bottom"/>
            <w:hideMark/>
          </w:tcPr>
          <w:p w14:paraId="43E70259"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1.27</w:t>
            </w:r>
          </w:p>
        </w:tc>
        <w:tc>
          <w:tcPr>
            <w:tcW w:w="345" w:type="pct"/>
            <w:tcBorders>
              <w:top w:val="nil"/>
              <w:left w:val="nil"/>
              <w:bottom w:val="nil"/>
              <w:right w:val="nil"/>
            </w:tcBorders>
            <w:shd w:val="clear" w:color="auto" w:fill="auto"/>
            <w:noWrap/>
            <w:vAlign w:val="bottom"/>
            <w:hideMark/>
          </w:tcPr>
          <w:p w14:paraId="1051F976"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7</w:t>
            </w:r>
          </w:p>
        </w:tc>
        <w:tc>
          <w:tcPr>
            <w:tcW w:w="341" w:type="pct"/>
            <w:tcBorders>
              <w:top w:val="nil"/>
              <w:left w:val="nil"/>
              <w:bottom w:val="nil"/>
              <w:right w:val="nil"/>
            </w:tcBorders>
            <w:shd w:val="clear" w:color="auto" w:fill="auto"/>
            <w:noWrap/>
            <w:vAlign w:val="bottom"/>
            <w:hideMark/>
          </w:tcPr>
          <w:p w14:paraId="33DBD146"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26</w:t>
            </w:r>
          </w:p>
        </w:tc>
      </w:tr>
      <w:tr w:rsidR="00121D10" w:rsidRPr="001B4FB2" w14:paraId="4454C0CA" w14:textId="77777777" w:rsidTr="005D2907">
        <w:trPr>
          <w:trHeight w:val="288"/>
        </w:trPr>
        <w:tc>
          <w:tcPr>
            <w:tcW w:w="763" w:type="pct"/>
            <w:tcBorders>
              <w:top w:val="nil"/>
              <w:left w:val="nil"/>
              <w:bottom w:val="nil"/>
              <w:right w:val="nil"/>
            </w:tcBorders>
            <w:shd w:val="clear" w:color="auto" w:fill="auto"/>
            <w:noWrap/>
            <w:vAlign w:val="bottom"/>
            <w:hideMark/>
          </w:tcPr>
          <w:p w14:paraId="59CD17D3"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BARI Tomato 10</w:t>
            </w:r>
          </w:p>
        </w:tc>
        <w:tc>
          <w:tcPr>
            <w:tcW w:w="345" w:type="pct"/>
            <w:tcBorders>
              <w:top w:val="nil"/>
              <w:left w:val="nil"/>
              <w:bottom w:val="nil"/>
              <w:right w:val="nil"/>
            </w:tcBorders>
            <w:shd w:val="clear" w:color="auto" w:fill="auto"/>
            <w:noWrap/>
            <w:vAlign w:val="bottom"/>
            <w:hideMark/>
          </w:tcPr>
          <w:p w14:paraId="2C17CFE5"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17.5</w:t>
            </w:r>
          </w:p>
        </w:tc>
        <w:tc>
          <w:tcPr>
            <w:tcW w:w="345" w:type="pct"/>
            <w:tcBorders>
              <w:top w:val="nil"/>
              <w:left w:val="nil"/>
              <w:bottom w:val="nil"/>
              <w:right w:val="nil"/>
            </w:tcBorders>
            <w:shd w:val="clear" w:color="auto" w:fill="auto"/>
            <w:noWrap/>
            <w:vAlign w:val="bottom"/>
            <w:hideMark/>
          </w:tcPr>
          <w:p w14:paraId="288F60A8"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5.06</w:t>
            </w:r>
          </w:p>
        </w:tc>
        <w:tc>
          <w:tcPr>
            <w:tcW w:w="345" w:type="pct"/>
            <w:tcBorders>
              <w:top w:val="nil"/>
              <w:left w:val="nil"/>
              <w:bottom w:val="nil"/>
              <w:right w:val="nil"/>
            </w:tcBorders>
            <w:shd w:val="clear" w:color="auto" w:fill="auto"/>
            <w:noWrap/>
            <w:vAlign w:val="bottom"/>
            <w:hideMark/>
          </w:tcPr>
          <w:p w14:paraId="1F7BC60E"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5.44</w:t>
            </w:r>
          </w:p>
        </w:tc>
        <w:tc>
          <w:tcPr>
            <w:tcW w:w="395" w:type="pct"/>
            <w:tcBorders>
              <w:top w:val="nil"/>
              <w:left w:val="nil"/>
              <w:bottom w:val="nil"/>
              <w:right w:val="nil"/>
            </w:tcBorders>
            <w:shd w:val="clear" w:color="auto" w:fill="auto"/>
            <w:noWrap/>
            <w:vAlign w:val="bottom"/>
            <w:hideMark/>
          </w:tcPr>
          <w:p w14:paraId="6A69C353"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78.4</w:t>
            </w:r>
          </w:p>
        </w:tc>
        <w:tc>
          <w:tcPr>
            <w:tcW w:w="395" w:type="pct"/>
            <w:tcBorders>
              <w:top w:val="nil"/>
              <w:left w:val="nil"/>
              <w:bottom w:val="nil"/>
              <w:right w:val="nil"/>
            </w:tcBorders>
            <w:shd w:val="clear" w:color="auto" w:fill="auto"/>
            <w:noWrap/>
            <w:vAlign w:val="bottom"/>
            <w:hideMark/>
          </w:tcPr>
          <w:p w14:paraId="767748DA"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108</w:t>
            </w:r>
          </w:p>
        </w:tc>
        <w:tc>
          <w:tcPr>
            <w:tcW w:w="345" w:type="pct"/>
            <w:tcBorders>
              <w:top w:val="nil"/>
              <w:left w:val="nil"/>
              <w:bottom w:val="nil"/>
              <w:right w:val="nil"/>
            </w:tcBorders>
            <w:shd w:val="clear" w:color="auto" w:fill="auto"/>
            <w:noWrap/>
            <w:vAlign w:val="bottom"/>
            <w:hideMark/>
          </w:tcPr>
          <w:p w14:paraId="5932BD25"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57</w:t>
            </w:r>
          </w:p>
        </w:tc>
        <w:tc>
          <w:tcPr>
            <w:tcW w:w="345" w:type="pct"/>
            <w:tcBorders>
              <w:top w:val="nil"/>
              <w:left w:val="nil"/>
              <w:bottom w:val="nil"/>
              <w:right w:val="nil"/>
            </w:tcBorders>
            <w:shd w:val="clear" w:color="auto" w:fill="auto"/>
            <w:noWrap/>
            <w:vAlign w:val="bottom"/>
            <w:hideMark/>
          </w:tcPr>
          <w:p w14:paraId="0A8F084A"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92</w:t>
            </w:r>
          </w:p>
        </w:tc>
        <w:tc>
          <w:tcPr>
            <w:tcW w:w="345" w:type="pct"/>
            <w:tcBorders>
              <w:top w:val="nil"/>
              <w:left w:val="nil"/>
              <w:bottom w:val="nil"/>
              <w:right w:val="nil"/>
            </w:tcBorders>
            <w:shd w:val="clear" w:color="auto" w:fill="auto"/>
            <w:noWrap/>
            <w:vAlign w:val="bottom"/>
            <w:hideMark/>
          </w:tcPr>
          <w:p w14:paraId="2C3DBC2D"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13</w:t>
            </w:r>
          </w:p>
        </w:tc>
        <w:tc>
          <w:tcPr>
            <w:tcW w:w="345" w:type="pct"/>
            <w:tcBorders>
              <w:top w:val="nil"/>
              <w:left w:val="nil"/>
              <w:bottom w:val="nil"/>
              <w:right w:val="nil"/>
            </w:tcBorders>
            <w:shd w:val="clear" w:color="auto" w:fill="auto"/>
            <w:noWrap/>
            <w:vAlign w:val="bottom"/>
            <w:hideMark/>
          </w:tcPr>
          <w:p w14:paraId="5768D427"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28</w:t>
            </w:r>
          </w:p>
        </w:tc>
        <w:tc>
          <w:tcPr>
            <w:tcW w:w="345" w:type="pct"/>
            <w:tcBorders>
              <w:top w:val="nil"/>
              <w:left w:val="nil"/>
              <w:bottom w:val="nil"/>
              <w:right w:val="nil"/>
            </w:tcBorders>
            <w:shd w:val="clear" w:color="auto" w:fill="auto"/>
            <w:noWrap/>
            <w:vAlign w:val="bottom"/>
            <w:hideMark/>
          </w:tcPr>
          <w:p w14:paraId="6B9FB2C8"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1.23</w:t>
            </w:r>
          </w:p>
        </w:tc>
        <w:tc>
          <w:tcPr>
            <w:tcW w:w="345" w:type="pct"/>
            <w:tcBorders>
              <w:top w:val="nil"/>
              <w:left w:val="nil"/>
              <w:bottom w:val="nil"/>
              <w:right w:val="nil"/>
            </w:tcBorders>
            <w:shd w:val="clear" w:color="auto" w:fill="auto"/>
            <w:noWrap/>
            <w:vAlign w:val="bottom"/>
            <w:hideMark/>
          </w:tcPr>
          <w:p w14:paraId="689AA1F5"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8</w:t>
            </w:r>
          </w:p>
        </w:tc>
        <w:tc>
          <w:tcPr>
            <w:tcW w:w="341" w:type="pct"/>
            <w:tcBorders>
              <w:top w:val="nil"/>
              <w:left w:val="nil"/>
              <w:bottom w:val="nil"/>
              <w:right w:val="nil"/>
            </w:tcBorders>
            <w:shd w:val="clear" w:color="auto" w:fill="auto"/>
            <w:noWrap/>
            <w:vAlign w:val="bottom"/>
            <w:hideMark/>
          </w:tcPr>
          <w:p w14:paraId="0F442539"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16</w:t>
            </w:r>
          </w:p>
        </w:tc>
      </w:tr>
      <w:tr w:rsidR="00121D10" w:rsidRPr="001B4FB2" w14:paraId="302A34F9" w14:textId="77777777" w:rsidTr="005D2907">
        <w:trPr>
          <w:trHeight w:val="288"/>
        </w:trPr>
        <w:tc>
          <w:tcPr>
            <w:tcW w:w="763" w:type="pct"/>
            <w:tcBorders>
              <w:top w:val="nil"/>
              <w:left w:val="nil"/>
              <w:bottom w:val="nil"/>
              <w:right w:val="nil"/>
            </w:tcBorders>
            <w:shd w:val="clear" w:color="auto" w:fill="auto"/>
            <w:noWrap/>
            <w:vAlign w:val="bottom"/>
            <w:hideMark/>
          </w:tcPr>
          <w:p w14:paraId="0274F15C"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BARI Tomato 11</w:t>
            </w:r>
          </w:p>
        </w:tc>
        <w:tc>
          <w:tcPr>
            <w:tcW w:w="345" w:type="pct"/>
            <w:tcBorders>
              <w:top w:val="nil"/>
              <w:left w:val="nil"/>
              <w:bottom w:val="nil"/>
              <w:right w:val="nil"/>
            </w:tcBorders>
            <w:shd w:val="clear" w:color="auto" w:fill="auto"/>
            <w:noWrap/>
            <w:vAlign w:val="bottom"/>
            <w:hideMark/>
          </w:tcPr>
          <w:p w14:paraId="5B5C0015"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18.5</w:t>
            </w:r>
          </w:p>
        </w:tc>
        <w:tc>
          <w:tcPr>
            <w:tcW w:w="345" w:type="pct"/>
            <w:tcBorders>
              <w:top w:val="nil"/>
              <w:left w:val="nil"/>
              <w:bottom w:val="nil"/>
              <w:right w:val="nil"/>
            </w:tcBorders>
            <w:shd w:val="clear" w:color="auto" w:fill="auto"/>
            <w:noWrap/>
            <w:vAlign w:val="bottom"/>
            <w:hideMark/>
          </w:tcPr>
          <w:p w14:paraId="737BFF2B"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4.9</w:t>
            </w:r>
          </w:p>
        </w:tc>
        <w:tc>
          <w:tcPr>
            <w:tcW w:w="345" w:type="pct"/>
            <w:tcBorders>
              <w:top w:val="nil"/>
              <w:left w:val="nil"/>
              <w:bottom w:val="nil"/>
              <w:right w:val="nil"/>
            </w:tcBorders>
            <w:shd w:val="clear" w:color="auto" w:fill="auto"/>
            <w:noWrap/>
            <w:vAlign w:val="bottom"/>
            <w:hideMark/>
          </w:tcPr>
          <w:p w14:paraId="76F907C8"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5.5</w:t>
            </w:r>
          </w:p>
        </w:tc>
        <w:tc>
          <w:tcPr>
            <w:tcW w:w="395" w:type="pct"/>
            <w:tcBorders>
              <w:top w:val="nil"/>
              <w:left w:val="nil"/>
              <w:bottom w:val="nil"/>
              <w:right w:val="nil"/>
            </w:tcBorders>
            <w:shd w:val="clear" w:color="auto" w:fill="auto"/>
            <w:noWrap/>
            <w:vAlign w:val="bottom"/>
            <w:hideMark/>
          </w:tcPr>
          <w:p w14:paraId="4AAC8AE7"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85.8</w:t>
            </w:r>
          </w:p>
        </w:tc>
        <w:tc>
          <w:tcPr>
            <w:tcW w:w="395" w:type="pct"/>
            <w:tcBorders>
              <w:top w:val="nil"/>
              <w:left w:val="nil"/>
              <w:bottom w:val="nil"/>
              <w:right w:val="nil"/>
            </w:tcBorders>
            <w:shd w:val="clear" w:color="auto" w:fill="auto"/>
            <w:noWrap/>
            <w:vAlign w:val="bottom"/>
            <w:hideMark/>
          </w:tcPr>
          <w:p w14:paraId="58599483"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124</w:t>
            </w:r>
          </w:p>
        </w:tc>
        <w:tc>
          <w:tcPr>
            <w:tcW w:w="345" w:type="pct"/>
            <w:tcBorders>
              <w:top w:val="nil"/>
              <w:left w:val="nil"/>
              <w:bottom w:val="nil"/>
              <w:right w:val="nil"/>
            </w:tcBorders>
            <w:shd w:val="clear" w:color="auto" w:fill="auto"/>
            <w:noWrap/>
            <w:vAlign w:val="bottom"/>
            <w:hideMark/>
          </w:tcPr>
          <w:p w14:paraId="7FA34233"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49</w:t>
            </w:r>
          </w:p>
        </w:tc>
        <w:tc>
          <w:tcPr>
            <w:tcW w:w="345" w:type="pct"/>
            <w:tcBorders>
              <w:top w:val="nil"/>
              <w:left w:val="nil"/>
              <w:bottom w:val="nil"/>
              <w:right w:val="nil"/>
            </w:tcBorders>
            <w:shd w:val="clear" w:color="auto" w:fill="auto"/>
            <w:noWrap/>
            <w:vAlign w:val="bottom"/>
            <w:hideMark/>
          </w:tcPr>
          <w:p w14:paraId="352F8BD9"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88</w:t>
            </w:r>
          </w:p>
        </w:tc>
        <w:tc>
          <w:tcPr>
            <w:tcW w:w="345" w:type="pct"/>
            <w:tcBorders>
              <w:top w:val="nil"/>
              <w:left w:val="nil"/>
              <w:bottom w:val="nil"/>
              <w:right w:val="nil"/>
            </w:tcBorders>
            <w:shd w:val="clear" w:color="auto" w:fill="auto"/>
            <w:noWrap/>
            <w:vAlign w:val="bottom"/>
            <w:hideMark/>
          </w:tcPr>
          <w:p w14:paraId="7C14DE44"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13.2</w:t>
            </w:r>
          </w:p>
        </w:tc>
        <w:tc>
          <w:tcPr>
            <w:tcW w:w="345" w:type="pct"/>
            <w:tcBorders>
              <w:top w:val="nil"/>
              <w:left w:val="nil"/>
              <w:bottom w:val="nil"/>
              <w:right w:val="nil"/>
            </w:tcBorders>
            <w:shd w:val="clear" w:color="auto" w:fill="auto"/>
            <w:noWrap/>
            <w:vAlign w:val="bottom"/>
            <w:hideMark/>
          </w:tcPr>
          <w:p w14:paraId="479FE01F"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21</w:t>
            </w:r>
          </w:p>
        </w:tc>
        <w:tc>
          <w:tcPr>
            <w:tcW w:w="345" w:type="pct"/>
            <w:tcBorders>
              <w:top w:val="nil"/>
              <w:left w:val="nil"/>
              <w:bottom w:val="nil"/>
              <w:right w:val="nil"/>
            </w:tcBorders>
            <w:shd w:val="clear" w:color="auto" w:fill="auto"/>
            <w:noWrap/>
            <w:vAlign w:val="bottom"/>
            <w:hideMark/>
          </w:tcPr>
          <w:p w14:paraId="5B65E432"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1.04</w:t>
            </w:r>
          </w:p>
        </w:tc>
        <w:tc>
          <w:tcPr>
            <w:tcW w:w="345" w:type="pct"/>
            <w:tcBorders>
              <w:top w:val="nil"/>
              <w:left w:val="nil"/>
              <w:bottom w:val="nil"/>
              <w:right w:val="nil"/>
            </w:tcBorders>
            <w:shd w:val="clear" w:color="auto" w:fill="auto"/>
            <w:noWrap/>
            <w:vAlign w:val="bottom"/>
            <w:hideMark/>
          </w:tcPr>
          <w:p w14:paraId="6EF03152"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7</w:t>
            </w:r>
          </w:p>
        </w:tc>
        <w:tc>
          <w:tcPr>
            <w:tcW w:w="341" w:type="pct"/>
            <w:tcBorders>
              <w:top w:val="nil"/>
              <w:left w:val="nil"/>
              <w:bottom w:val="nil"/>
              <w:right w:val="nil"/>
            </w:tcBorders>
            <w:shd w:val="clear" w:color="auto" w:fill="auto"/>
            <w:noWrap/>
            <w:vAlign w:val="bottom"/>
            <w:hideMark/>
          </w:tcPr>
          <w:p w14:paraId="0FA10ADB" w14:textId="77777777" w:rsidR="00121D10" w:rsidRPr="001B4FB2" w:rsidRDefault="00121D10" w:rsidP="005D2907">
            <w:pPr>
              <w:spacing w:line="240" w:lineRule="auto"/>
              <w:jc w:val="center"/>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22</w:t>
            </w:r>
          </w:p>
        </w:tc>
      </w:tr>
      <w:tr w:rsidR="00121D10" w:rsidRPr="001B4FB2" w14:paraId="468DDBE1" w14:textId="77777777" w:rsidTr="005D2907">
        <w:trPr>
          <w:trHeight w:val="288"/>
        </w:trPr>
        <w:tc>
          <w:tcPr>
            <w:tcW w:w="763" w:type="pct"/>
            <w:tcBorders>
              <w:top w:val="nil"/>
              <w:left w:val="nil"/>
              <w:right w:val="nil"/>
            </w:tcBorders>
            <w:shd w:val="clear" w:color="auto" w:fill="auto"/>
            <w:noWrap/>
            <w:vAlign w:val="bottom"/>
            <w:hideMark/>
          </w:tcPr>
          <w:p w14:paraId="5E3EFDE3" w14:textId="77777777" w:rsidR="00121D10" w:rsidRPr="001B4FB2" w:rsidRDefault="00121D10" w:rsidP="005D2907">
            <w:pPr>
              <w:spacing w:line="240" w:lineRule="auto"/>
              <w:jc w:val="left"/>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LSD</w:t>
            </w:r>
          </w:p>
        </w:tc>
        <w:tc>
          <w:tcPr>
            <w:tcW w:w="345" w:type="pct"/>
            <w:tcBorders>
              <w:top w:val="nil"/>
              <w:left w:val="nil"/>
              <w:right w:val="nil"/>
            </w:tcBorders>
            <w:shd w:val="clear" w:color="auto" w:fill="auto"/>
            <w:noWrap/>
            <w:vAlign w:val="bottom"/>
            <w:hideMark/>
          </w:tcPr>
          <w:p w14:paraId="319EC79B" w14:textId="77777777" w:rsidR="00121D10" w:rsidRPr="001B4FB2" w:rsidRDefault="00121D10" w:rsidP="005D2907">
            <w:pPr>
              <w:spacing w:line="240" w:lineRule="auto"/>
              <w:jc w:val="right"/>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2.44</w:t>
            </w:r>
          </w:p>
        </w:tc>
        <w:tc>
          <w:tcPr>
            <w:tcW w:w="345" w:type="pct"/>
            <w:tcBorders>
              <w:top w:val="nil"/>
              <w:left w:val="nil"/>
              <w:right w:val="nil"/>
            </w:tcBorders>
            <w:shd w:val="clear" w:color="auto" w:fill="auto"/>
            <w:noWrap/>
            <w:vAlign w:val="bottom"/>
            <w:hideMark/>
          </w:tcPr>
          <w:p w14:paraId="335C4C7E" w14:textId="77777777" w:rsidR="00121D10" w:rsidRPr="001B4FB2" w:rsidRDefault="00121D10" w:rsidP="005D2907">
            <w:pPr>
              <w:spacing w:line="240" w:lineRule="auto"/>
              <w:jc w:val="right"/>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1.34</w:t>
            </w:r>
          </w:p>
        </w:tc>
        <w:tc>
          <w:tcPr>
            <w:tcW w:w="345" w:type="pct"/>
            <w:tcBorders>
              <w:top w:val="nil"/>
              <w:left w:val="nil"/>
              <w:right w:val="nil"/>
            </w:tcBorders>
            <w:shd w:val="clear" w:color="auto" w:fill="auto"/>
            <w:noWrap/>
            <w:vAlign w:val="bottom"/>
            <w:hideMark/>
          </w:tcPr>
          <w:p w14:paraId="76EF46AD" w14:textId="77777777" w:rsidR="00121D10" w:rsidRPr="001B4FB2" w:rsidRDefault="00121D10" w:rsidP="005D2907">
            <w:pPr>
              <w:spacing w:line="240" w:lineRule="auto"/>
              <w:jc w:val="right"/>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0.59</w:t>
            </w:r>
          </w:p>
        </w:tc>
        <w:tc>
          <w:tcPr>
            <w:tcW w:w="395" w:type="pct"/>
            <w:tcBorders>
              <w:top w:val="nil"/>
              <w:left w:val="nil"/>
              <w:right w:val="nil"/>
            </w:tcBorders>
            <w:shd w:val="clear" w:color="auto" w:fill="auto"/>
            <w:noWrap/>
            <w:vAlign w:val="bottom"/>
            <w:hideMark/>
          </w:tcPr>
          <w:p w14:paraId="547750EF" w14:textId="77777777" w:rsidR="00121D10" w:rsidRPr="001B4FB2" w:rsidRDefault="00121D10" w:rsidP="005D2907">
            <w:pPr>
              <w:spacing w:line="240" w:lineRule="auto"/>
              <w:jc w:val="right"/>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31.60</w:t>
            </w:r>
          </w:p>
        </w:tc>
        <w:tc>
          <w:tcPr>
            <w:tcW w:w="395" w:type="pct"/>
            <w:tcBorders>
              <w:top w:val="nil"/>
              <w:left w:val="nil"/>
              <w:right w:val="nil"/>
            </w:tcBorders>
            <w:shd w:val="clear" w:color="auto" w:fill="auto"/>
            <w:noWrap/>
            <w:vAlign w:val="bottom"/>
            <w:hideMark/>
          </w:tcPr>
          <w:p w14:paraId="0068C4DC" w14:textId="77777777" w:rsidR="00121D10" w:rsidRPr="001B4FB2" w:rsidRDefault="00121D10" w:rsidP="005D2907">
            <w:pPr>
              <w:spacing w:line="240" w:lineRule="auto"/>
              <w:jc w:val="right"/>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12.12</w:t>
            </w:r>
          </w:p>
        </w:tc>
        <w:tc>
          <w:tcPr>
            <w:tcW w:w="345" w:type="pct"/>
            <w:tcBorders>
              <w:top w:val="nil"/>
              <w:left w:val="nil"/>
              <w:right w:val="nil"/>
            </w:tcBorders>
            <w:shd w:val="clear" w:color="auto" w:fill="auto"/>
            <w:noWrap/>
            <w:vAlign w:val="bottom"/>
            <w:hideMark/>
          </w:tcPr>
          <w:p w14:paraId="4E54CBD7" w14:textId="77777777" w:rsidR="00121D10" w:rsidRPr="001B4FB2" w:rsidRDefault="00121D10" w:rsidP="005D2907">
            <w:pPr>
              <w:spacing w:line="240" w:lineRule="auto"/>
              <w:jc w:val="right"/>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9.90</w:t>
            </w:r>
          </w:p>
        </w:tc>
        <w:tc>
          <w:tcPr>
            <w:tcW w:w="345" w:type="pct"/>
            <w:tcBorders>
              <w:top w:val="nil"/>
              <w:left w:val="nil"/>
              <w:right w:val="nil"/>
            </w:tcBorders>
            <w:shd w:val="clear" w:color="auto" w:fill="auto"/>
            <w:noWrap/>
            <w:vAlign w:val="bottom"/>
            <w:hideMark/>
          </w:tcPr>
          <w:p w14:paraId="261CDF7C" w14:textId="77777777" w:rsidR="00121D10" w:rsidRPr="001B4FB2" w:rsidRDefault="00121D10" w:rsidP="005D2907">
            <w:pPr>
              <w:spacing w:line="240" w:lineRule="auto"/>
              <w:jc w:val="right"/>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3.90</w:t>
            </w:r>
          </w:p>
        </w:tc>
        <w:tc>
          <w:tcPr>
            <w:tcW w:w="345" w:type="pct"/>
            <w:tcBorders>
              <w:top w:val="nil"/>
              <w:left w:val="nil"/>
              <w:right w:val="nil"/>
            </w:tcBorders>
            <w:shd w:val="clear" w:color="auto" w:fill="auto"/>
            <w:noWrap/>
            <w:vAlign w:val="bottom"/>
            <w:hideMark/>
          </w:tcPr>
          <w:p w14:paraId="3CB65AE2" w14:textId="77777777" w:rsidR="00121D10" w:rsidRPr="001B4FB2" w:rsidRDefault="00121D10" w:rsidP="005D2907">
            <w:pPr>
              <w:spacing w:line="240" w:lineRule="auto"/>
              <w:jc w:val="right"/>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3.93</w:t>
            </w:r>
          </w:p>
        </w:tc>
        <w:tc>
          <w:tcPr>
            <w:tcW w:w="345" w:type="pct"/>
            <w:tcBorders>
              <w:top w:val="nil"/>
              <w:left w:val="nil"/>
              <w:right w:val="nil"/>
            </w:tcBorders>
            <w:shd w:val="clear" w:color="auto" w:fill="auto"/>
            <w:noWrap/>
            <w:vAlign w:val="bottom"/>
            <w:hideMark/>
          </w:tcPr>
          <w:p w14:paraId="3AC96AD7" w14:textId="77777777" w:rsidR="00121D10" w:rsidRPr="001B4FB2" w:rsidRDefault="00121D10" w:rsidP="005D2907">
            <w:pPr>
              <w:spacing w:line="240" w:lineRule="auto"/>
              <w:jc w:val="right"/>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7.18</w:t>
            </w:r>
          </w:p>
        </w:tc>
        <w:tc>
          <w:tcPr>
            <w:tcW w:w="345" w:type="pct"/>
            <w:tcBorders>
              <w:top w:val="nil"/>
              <w:left w:val="nil"/>
              <w:right w:val="nil"/>
            </w:tcBorders>
            <w:shd w:val="clear" w:color="auto" w:fill="auto"/>
            <w:noWrap/>
            <w:vAlign w:val="bottom"/>
            <w:hideMark/>
          </w:tcPr>
          <w:p w14:paraId="5C1492AB" w14:textId="77777777" w:rsidR="00121D10" w:rsidRPr="001B4FB2" w:rsidRDefault="00121D10" w:rsidP="005D2907">
            <w:pPr>
              <w:spacing w:line="240" w:lineRule="auto"/>
              <w:jc w:val="right"/>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0.28</w:t>
            </w:r>
          </w:p>
        </w:tc>
        <w:tc>
          <w:tcPr>
            <w:tcW w:w="345" w:type="pct"/>
            <w:tcBorders>
              <w:top w:val="nil"/>
              <w:left w:val="nil"/>
              <w:right w:val="nil"/>
            </w:tcBorders>
            <w:shd w:val="clear" w:color="auto" w:fill="auto"/>
            <w:noWrap/>
            <w:vAlign w:val="bottom"/>
            <w:hideMark/>
          </w:tcPr>
          <w:p w14:paraId="1C4B9EC9" w14:textId="77777777" w:rsidR="00121D10" w:rsidRPr="001B4FB2" w:rsidRDefault="00121D10" w:rsidP="005D2907">
            <w:pPr>
              <w:spacing w:line="240" w:lineRule="auto"/>
              <w:jc w:val="right"/>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0.75</w:t>
            </w:r>
          </w:p>
        </w:tc>
        <w:tc>
          <w:tcPr>
            <w:tcW w:w="341" w:type="pct"/>
            <w:tcBorders>
              <w:top w:val="nil"/>
              <w:left w:val="nil"/>
              <w:right w:val="nil"/>
            </w:tcBorders>
            <w:shd w:val="clear" w:color="auto" w:fill="auto"/>
            <w:noWrap/>
            <w:vAlign w:val="bottom"/>
            <w:hideMark/>
          </w:tcPr>
          <w:p w14:paraId="1C1757BE" w14:textId="77777777" w:rsidR="00121D10" w:rsidRPr="001B4FB2" w:rsidRDefault="00121D10" w:rsidP="005D2907">
            <w:pPr>
              <w:spacing w:line="240" w:lineRule="auto"/>
              <w:jc w:val="right"/>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11.11</w:t>
            </w:r>
          </w:p>
        </w:tc>
      </w:tr>
      <w:tr w:rsidR="00121D10" w:rsidRPr="001B4FB2" w14:paraId="73302197" w14:textId="77777777" w:rsidTr="005D2907">
        <w:trPr>
          <w:trHeight w:val="288"/>
        </w:trPr>
        <w:tc>
          <w:tcPr>
            <w:tcW w:w="763" w:type="pct"/>
            <w:tcBorders>
              <w:top w:val="nil"/>
              <w:left w:val="nil"/>
              <w:bottom w:val="single" w:sz="4" w:space="0" w:color="auto"/>
              <w:right w:val="nil"/>
            </w:tcBorders>
            <w:shd w:val="clear" w:color="auto" w:fill="auto"/>
            <w:noWrap/>
            <w:vAlign w:val="bottom"/>
            <w:hideMark/>
          </w:tcPr>
          <w:p w14:paraId="4B3927FF" w14:textId="77777777" w:rsidR="00121D10" w:rsidRPr="001B4FB2" w:rsidRDefault="00121D10" w:rsidP="005D2907">
            <w:pPr>
              <w:spacing w:line="240" w:lineRule="auto"/>
              <w:jc w:val="left"/>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CV (%)</w:t>
            </w:r>
          </w:p>
        </w:tc>
        <w:tc>
          <w:tcPr>
            <w:tcW w:w="345" w:type="pct"/>
            <w:tcBorders>
              <w:top w:val="nil"/>
              <w:left w:val="nil"/>
              <w:bottom w:val="single" w:sz="4" w:space="0" w:color="auto"/>
              <w:right w:val="nil"/>
            </w:tcBorders>
            <w:shd w:val="clear" w:color="auto" w:fill="auto"/>
            <w:noWrap/>
            <w:vAlign w:val="bottom"/>
            <w:hideMark/>
          </w:tcPr>
          <w:p w14:paraId="6AC032A2" w14:textId="77777777" w:rsidR="00121D10" w:rsidRPr="001B4FB2" w:rsidRDefault="00121D10" w:rsidP="005D2907">
            <w:pPr>
              <w:spacing w:line="240" w:lineRule="auto"/>
              <w:jc w:val="right"/>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13.06</w:t>
            </w:r>
          </w:p>
        </w:tc>
        <w:tc>
          <w:tcPr>
            <w:tcW w:w="345" w:type="pct"/>
            <w:tcBorders>
              <w:top w:val="nil"/>
              <w:left w:val="nil"/>
              <w:bottom w:val="single" w:sz="4" w:space="0" w:color="auto"/>
              <w:right w:val="nil"/>
            </w:tcBorders>
            <w:shd w:val="clear" w:color="auto" w:fill="auto"/>
            <w:noWrap/>
            <w:vAlign w:val="bottom"/>
            <w:hideMark/>
          </w:tcPr>
          <w:p w14:paraId="6A635840" w14:textId="77777777" w:rsidR="00121D10" w:rsidRPr="001B4FB2" w:rsidRDefault="00121D10" w:rsidP="005D2907">
            <w:pPr>
              <w:spacing w:line="240" w:lineRule="auto"/>
              <w:jc w:val="right"/>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22.30</w:t>
            </w:r>
          </w:p>
        </w:tc>
        <w:tc>
          <w:tcPr>
            <w:tcW w:w="345" w:type="pct"/>
            <w:tcBorders>
              <w:top w:val="nil"/>
              <w:left w:val="nil"/>
              <w:bottom w:val="single" w:sz="4" w:space="0" w:color="auto"/>
              <w:right w:val="nil"/>
            </w:tcBorders>
            <w:shd w:val="clear" w:color="auto" w:fill="auto"/>
            <w:noWrap/>
            <w:vAlign w:val="bottom"/>
            <w:hideMark/>
          </w:tcPr>
          <w:p w14:paraId="003D8292" w14:textId="77777777" w:rsidR="00121D10" w:rsidRPr="001B4FB2" w:rsidRDefault="00121D10" w:rsidP="005D2907">
            <w:pPr>
              <w:spacing w:line="240" w:lineRule="auto"/>
              <w:jc w:val="right"/>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10.31</w:t>
            </w:r>
          </w:p>
        </w:tc>
        <w:tc>
          <w:tcPr>
            <w:tcW w:w="395" w:type="pct"/>
            <w:tcBorders>
              <w:top w:val="nil"/>
              <w:left w:val="nil"/>
              <w:bottom w:val="single" w:sz="4" w:space="0" w:color="auto"/>
              <w:right w:val="nil"/>
            </w:tcBorders>
            <w:shd w:val="clear" w:color="auto" w:fill="auto"/>
            <w:noWrap/>
            <w:vAlign w:val="bottom"/>
            <w:hideMark/>
          </w:tcPr>
          <w:p w14:paraId="52C6BD0E" w14:textId="77777777" w:rsidR="00121D10" w:rsidRPr="001B4FB2" w:rsidRDefault="00121D10" w:rsidP="005D2907">
            <w:pPr>
              <w:spacing w:line="240" w:lineRule="auto"/>
              <w:jc w:val="right"/>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25.23</w:t>
            </w:r>
          </w:p>
        </w:tc>
        <w:tc>
          <w:tcPr>
            <w:tcW w:w="395" w:type="pct"/>
            <w:tcBorders>
              <w:top w:val="nil"/>
              <w:left w:val="nil"/>
              <w:bottom w:val="single" w:sz="4" w:space="0" w:color="auto"/>
              <w:right w:val="nil"/>
            </w:tcBorders>
            <w:shd w:val="clear" w:color="auto" w:fill="auto"/>
            <w:noWrap/>
            <w:vAlign w:val="bottom"/>
            <w:hideMark/>
          </w:tcPr>
          <w:p w14:paraId="2D4FADC3" w14:textId="77777777" w:rsidR="00121D10" w:rsidRPr="001B4FB2" w:rsidRDefault="00121D10" w:rsidP="005D2907">
            <w:pPr>
              <w:spacing w:line="240" w:lineRule="auto"/>
              <w:jc w:val="right"/>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9.80</w:t>
            </w:r>
          </w:p>
        </w:tc>
        <w:tc>
          <w:tcPr>
            <w:tcW w:w="345" w:type="pct"/>
            <w:tcBorders>
              <w:top w:val="nil"/>
              <w:left w:val="nil"/>
              <w:bottom w:val="single" w:sz="4" w:space="0" w:color="auto"/>
              <w:right w:val="nil"/>
            </w:tcBorders>
            <w:shd w:val="clear" w:color="auto" w:fill="auto"/>
            <w:noWrap/>
            <w:vAlign w:val="bottom"/>
            <w:hideMark/>
          </w:tcPr>
          <w:p w14:paraId="64C9D460" w14:textId="77777777" w:rsidR="00121D10" w:rsidRPr="001B4FB2" w:rsidRDefault="00121D10" w:rsidP="005D2907">
            <w:pPr>
              <w:spacing w:line="240" w:lineRule="auto"/>
              <w:jc w:val="right"/>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16.30</w:t>
            </w:r>
          </w:p>
        </w:tc>
        <w:tc>
          <w:tcPr>
            <w:tcW w:w="345" w:type="pct"/>
            <w:tcBorders>
              <w:top w:val="nil"/>
              <w:left w:val="nil"/>
              <w:bottom w:val="single" w:sz="4" w:space="0" w:color="auto"/>
              <w:right w:val="nil"/>
            </w:tcBorders>
            <w:shd w:val="clear" w:color="auto" w:fill="auto"/>
            <w:noWrap/>
            <w:vAlign w:val="bottom"/>
            <w:hideMark/>
          </w:tcPr>
          <w:p w14:paraId="2DE54C1B" w14:textId="77777777" w:rsidR="00121D10" w:rsidRPr="001B4FB2" w:rsidRDefault="00121D10" w:rsidP="005D2907">
            <w:pPr>
              <w:spacing w:line="240" w:lineRule="auto"/>
              <w:jc w:val="right"/>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4.35</w:t>
            </w:r>
          </w:p>
        </w:tc>
        <w:tc>
          <w:tcPr>
            <w:tcW w:w="345" w:type="pct"/>
            <w:tcBorders>
              <w:top w:val="nil"/>
              <w:left w:val="nil"/>
              <w:bottom w:val="single" w:sz="4" w:space="0" w:color="auto"/>
              <w:right w:val="nil"/>
            </w:tcBorders>
            <w:shd w:val="clear" w:color="auto" w:fill="auto"/>
            <w:noWrap/>
            <w:vAlign w:val="bottom"/>
            <w:hideMark/>
          </w:tcPr>
          <w:p w14:paraId="50A56A7E" w14:textId="77777777" w:rsidR="00121D10" w:rsidRPr="001B4FB2" w:rsidRDefault="00121D10" w:rsidP="005D2907">
            <w:pPr>
              <w:spacing w:line="240" w:lineRule="auto"/>
              <w:jc w:val="right"/>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61.52</w:t>
            </w:r>
          </w:p>
        </w:tc>
        <w:tc>
          <w:tcPr>
            <w:tcW w:w="345" w:type="pct"/>
            <w:tcBorders>
              <w:top w:val="nil"/>
              <w:left w:val="nil"/>
              <w:bottom w:val="single" w:sz="4" w:space="0" w:color="auto"/>
              <w:right w:val="nil"/>
            </w:tcBorders>
            <w:shd w:val="clear" w:color="auto" w:fill="auto"/>
            <w:noWrap/>
            <w:vAlign w:val="bottom"/>
            <w:hideMark/>
          </w:tcPr>
          <w:p w14:paraId="74F356EF" w14:textId="77777777" w:rsidR="00121D10" w:rsidRPr="001B4FB2" w:rsidRDefault="00121D10" w:rsidP="005D2907">
            <w:pPr>
              <w:spacing w:line="240" w:lineRule="auto"/>
              <w:jc w:val="right"/>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47.21</w:t>
            </w:r>
          </w:p>
        </w:tc>
        <w:tc>
          <w:tcPr>
            <w:tcW w:w="345" w:type="pct"/>
            <w:tcBorders>
              <w:top w:val="nil"/>
              <w:left w:val="nil"/>
              <w:bottom w:val="single" w:sz="4" w:space="0" w:color="auto"/>
              <w:right w:val="nil"/>
            </w:tcBorders>
            <w:shd w:val="clear" w:color="auto" w:fill="auto"/>
            <w:noWrap/>
            <w:vAlign w:val="bottom"/>
            <w:hideMark/>
          </w:tcPr>
          <w:p w14:paraId="365B15FF" w14:textId="77777777" w:rsidR="00121D10" w:rsidRPr="001B4FB2" w:rsidRDefault="00121D10" w:rsidP="005D2907">
            <w:pPr>
              <w:spacing w:line="240" w:lineRule="auto"/>
              <w:jc w:val="right"/>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28.40</w:t>
            </w:r>
          </w:p>
        </w:tc>
        <w:tc>
          <w:tcPr>
            <w:tcW w:w="345" w:type="pct"/>
            <w:tcBorders>
              <w:top w:val="nil"/>
              <w:left w:val="nil"/>
              <w:bottom w:val="single" w:sz="4" w:space="0" w:color="auto"/>
              <w:right w:val="nil"/>
            </w:tcBorders>
            <w:shd w:val="clear" w:color="auto" w:fill="auto"/>
            <w:noWrap/>
            <w:vAlign w:val="bottom"/>
            <w:hideMark/>
          </w:tcPr>
          <w:p w14:paraId="5F67A530" w14:textId="77777777" w:rsidR="00121D10" w:rsidRPr="001B4FB2" w:rsidRDefault="00121D10" w:rsidP="005D2907">
            <w:pPr>
              <w:spacing w:line="240" w:lineRule="auto"/>
              <w:jc w:val="right"/>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10.39</w:t>
            </w:r>
          </w:p>
        </w:tc>
        <w:tc>
          <w:tcPr>
            <w:tcW w:w="341" w:type="pct"/>
            <w:tcBorders>
              <w:top w:val="nil"/>
              <w:left w:val="nil"/>
              <w:bottom w:val="single" w:sz="4" w:space="0" w:color="auto"/>
              <w:right w:val="nil"/>
            </w:tcBorders>
            <w:shd w:val="clear" w:color="auto" w:fill="auto"/>
            <w:noWrap/>
            <w:vAlign w:val="bottom"/>
            <w:hideMark/>
          </w:tcPr>
          <w:p w14:paraId="2638FC34" w14:textId="77777777" w:rsidR="00121D10" w:rsidRPr="001B4FB2" w:rsidRDefault="00121D10" w:rsidP="005D2907">
            <w:pPr>
              <w:spacing w:line="240" w:lineRule="auto"/>
              <w:jc w:val="right"/>
              <w:rPr>
                <w:rFonts w:ascii="Arial" w:eastAsia="Times New Roman" w:hAnsi="Arial" w:cs="Arial"/>
                <w:color w:val="000000"/>
                <w:sz w:val="16"/>
                <w:szCs w:val="16"/>
                <w:lang w:eastAsia="en-GB"/>
              </w:rPr>
            </w:pPr>
            <w:r w:rsidRPr="001B4FB2">
              <w:rPr>
                <w:rFonts w:ascii="Arial" w:eastAsia="Times New Roman" w:hAnsi="Arial" w:cs="Arial"/>
                <w:color w:val="000000"/>
                <w:sz w:val="16"/>
                <w:szCs w:val="16"/>
                <w:lang w:eastAsia="en-GB"/>
              </w:rPr>
              <w:t>37.26</w:t>
            </w:r>
          </w:p>
        </w:tc>
      </w:tr>
    </w:tbl>
    <w:p w14:paraId="1885A1BB" w14:textId="77777777" w:rsidR="00121D10" w:rsidRPr="001B4FB2" w:rsidRDefault="00121D10" w:rsidP="00121D10">
      <w:pPr>
        <w:rPr>
          <w:rFonts w:ascii="Arial" w:hAnsi="Arial" w:cs="Arial"/>
        </w:rPr>
      </w:pPr>
    </w:p>
    <w:p w14:paraId="599A50C8" w14:textId="77777777" w:rsidR="00121D10" w:rsidRPr="001B4FB2" w:rsidRDefault="00121D10" w:rsidP="00121D10">
      <w:pPr>
        <w:rPr>
          <w:rFonts w:ascii="Arial" w:hAnsi="Arial" w:cs="Arial"/>
          <w:color w:val="000000" w:themeColor="text1"/>
          <w:sz w:val="20"/>
          <w:szCs w:val="20"/>
        </w:rPr>
      </w:pPr>
      <w:r w:rsidRPr="001B4FB2">
        <w:rPr>
          <w:rFonts w:ascii="Arial" w:hAnsi="Arial" w:cs="Arial"/>
          <w:color w:val="000000" w:themeColor="text1"/>
          <w:sz w:val="20"/>
          <w:szCs w:val="20"/>
        </w:rPr>
        <w:t>Here, DFF: Days to flowering, FL: Fruit length (cm), FD: Fruit diameter (cm), FWS: Standard fruit weight (g), NL: Number of locules, PH: Plant height (cm), DHF: Days to first harvest, DHL: Days to last harvest, FC: Number of fruit clusters plant</w:t>
      </w:r>
      <w:r w:rsidRPr="001B4FB2">
        <w:rPr>
          <w:rFonts w:ascii="Cambria Math" w:hAnsi="Cambria Math" w:cs="Cambria Math"/>
          <w:color w:val="000000" w:themeColor="text1"/>
          <w:sz w:val="20"/>
          <w:szCs w:val="20"/>
        </w:rPr>
        <w:t>⁻</w:t>
      </w:r>
      <w:r w:rsidRPr="001B4FB2">
        <w:rPr>
          <w:rFonts w:ascii="Arial" w:hAnsi="Arial" w:cs="Arial"/>
          <w:color w:val="000000" w:themeColor="text1"/>
          <w:sz w:val="20"/>
          <w:szCs w:val="20"/>
        </w:rPr>
        <w:t>¹, NFPP: Number of fruits plant</w:t>
      </w:r>
      <w:r w:rsidRPr="001B4FB2">
        <w:rPr>
          <w:rFonts w:ascii="Cambria Math" w:hAnsi="Cambria Math" w:cs="Cambria Math"/>
          <w:color w:val="000000" w:themeColor="text1"/>
          <w:sz w:val="20"/>
          <w:szCs w:val="20"/>
        </w:rPr>
        <w:t>⁻</w:t>
      </w:r>
      <w:r w:rsidRPr="001B4FB2">
        <w:rPr>
          <w:rFonts w:ascii="Arial" w:hAnsi="Arial" w:cs="Arial"/>
          <w:color w:val="000000" w:themeColor="text1"/>
          <w:sz w:val="20"/>
          <w:szCs w:val="20"/>
        </w:rPr>
        <w:t>¹, YPP: Yield ha</w:t>
      </w:r>
      <w:r w:rsidRPr="001B4FB2">
        <w:rPr>
          <w:rFonts w:ascii="Cambria Math" w:hAnsi="Cambria Math" w:cs="Cambria Math"/>
          <w:color w:val="000000" w:themeColor="text1"/>
          <w:sz w:val="20"/>
          <w:szCs w:val="20"/>
        </w:rPr>
        <w:t>⁻</w:t>
      </w:r>
      <w:r w:rsidRPr="001B4FB2">
        <w:rPr>
          <w:rFonts w:ascii="Arial" w:hAnsi="Arial" w:cs="Arial"/>
          <w:color w:val="000000" w:themeColor="text1"/>
          <w:sz w:val="20"/>
          <w:szCs w:val="20"/>
        </w:rPr>
        <w:t>¹ (ton), SL: Shelf life (days), and Wilt: Plant damage by wilting disease (%).</w:t>
      </w:r>
    </w:p>
    <w:p w14:paraId="1019FE4C" w14:textId="77777777" w:rsidR="00121D10" w:rsidRPr="001B4FB2" w:rsidRDefault="00121D10" w:rsidP="00121D10">
      <w:pPr>
        <w:rPr>
          <w:rFonts w:ascii="Arial" w:hAnsi="Arial" w:cs="Arial"/>
        </w:rPr>
      </w:pPr>
    </w:p>
    <w:p w14:paraId="0B47E1C7" w14:textId="2BA8024B" w:rsidR="00121D10" w:rsidRPr="001B4FB2" w:rsidRDefault="00121D10">
      <w:pPr>
        <w:rPr>
          <w:rFonts w:ascii="Arial" w:hAnsi="Arial" w:cs="Arial"/>
          <w:szCs w:val="24"/>
        </w:rPr>
      </w:pPr>
    </w:p>
    <w:p w14:paraId="676CB7D5" w14:textId="487F5034" w:rsidR="001B4FB2" w:rsidRPr="001B4FB2" w:rsidRDefault="001B4FB2">
      <w:pPr>
        <w:rPr>
          <w:rFonts w:ascii="Arial" w:hAnsi="Arial" w:cs="Arial"/>
          <w:szCs w:val="24"/>
        </w:rPr>
      </w:pPr>
    </w:p>
    <w:p w14:paraId="5734C3CA" w14:textId="0592FB54" w:rsidR="001B4FB2" w:rsidRPr="001B4FB2" w:rsidRDefault="001B4FB2">
      <w:pPr>
        <w:rPr>
          <w:rFonts w:ascii="Arial" w:hAnsi="Arial" w:cs="Arial"/>
          <w:szCs w:val="24"/>
        </w:rPr>
      </w:pPr>
    </w:p>
    <w:p w14:paraId="72C06F2C" w14:textId="6EF04357" w:rsidR="001B4FB2" w:rsidRPr="001B4FB2" w:rsidRDefault="001B4FB2">
      <w:pPr>
        <w:rPr>
          <w:rFonts w:ascii="Arial" w:hAnsi="Arial" w:cs="Arial"/>
          <w:szCs w:val="24"/>
        </w:rPr>
      </w:pPr>
    </w:p>
    <w:p w14:paraId="12545F03" w14:textId="1A1F3ECA" w:rsidR="001B4FB2" w:rsidRPr="001B4FB2" w:rsidRDefault="001B4FB2">
      <w:pPr>
        <w:rPr>
          <w:rFonts w:ascii="Arial" w:hAnsi="Arial" w:cs="Arial"/>
          <w:szCs w:val="24"/>
        </w:rPr>
      </w:pPr>
    </w:p>
    <w:p w14:paraId="3BB88501" w14:textId="73626514" w:rsidR="001B4FB2" w:rsidRPr="001B4FB2" w:rsidRDefault="001B4FB2">
      <w:pPr>
        <w:rPr>
          <w:rFonts w:ascii="Arial" w:hAnsi="Arial" w:cs="Arial"/>
          <w:szCs w:val="24"/>
        </w:rPr>
      </w:pPr>
    </w:p>
    <w:p w14:paraId="20CCA994" w14:textId="08F1E36D" w:rsidR="001B4FB2" w:rsidRPr="001B4FB2" w:rsidRDefault="001B4FB2">
      <w:pPr>
        <w:rPr>
          <w:rFonts w:ascii="Arial" w:hAnsi="Arial" w:cs="Arial"/>
          <w:szCs w:val="24"/>
        </w:rPr>
      </w:pPr>
    </w:p>
    <w:p w14:paraId="42AE8B8A" w14:textId="11CC5AB2" w:rsidR="001B4FB2" w:rsidRPr="001B4FB2" w:rsidRDefault="001B4FB2">
      <w:pPr>
        <w:rPr>
          <w:rFonts w:ascii="Arial" w:hAnsi="Arial" w:cs="Arial"/>
          <w:szCs w:val="24"/>
        </w:rPr>
      </w:pPr>
    </w:p>
    <w:p w14:paraId="67C00DA4" w14:textId="4EFB0D9F" w:rsidR="001B4FB2" w:rsidRPr="001B4FB2" w:rsidRDefault="001B4FB2">
      <w:pPr>
        <w:rPr>
          <w:rFonts w:ascii="Arial" w:hAnsi="Arial" w:cs="Arial"/>
          <w:szCs w:val="24"/>
        </w:rPr>
      </w:pPr>
    </w:p>
    <w:p w14:paraId="10465B71" w14:textId="0398BE5A" w:rsidR="001B4FB2" w:rsidRPr="001B4FB2" w:rsidRDefault="001B4FB2">
      <w:pPr>
        <w:rPr>
          <w:rFonts w:ascii="Arial" w:hAnsi="Arial" w:cs="Arial"/>
          <w:szCs w:val="24"/>
        </w:rPr>
      </w:pPr>
    </w:p>
    <w:p w14:paraId="15CB2EFB" w14:textId="4F9CF1C3" w:rsidR="001B4FB2" w:rsidRPr="001B4FB2" w:rsidRDefault="001B4FB2">
      <w:pPr>
        <w:rPr>
          <w:rFonts w:ascii="Arial" w:hAnsi="Arial" w:cs="Arial"/>
          <w:szCs w:val="24"/>
        </w:rPr>
      </w:pPr>
    </w:p>
    <w:p w14:paraId="52F39317" w14:textId="2A9E6CC5" w:rsidR="001B4FB2" w:rsidRPr="001B4FB2" w:rsidRDefault="001B4FB2">
      <w:pPr>
        <w:rPr>
          <w:rFonts w:ascii="Arial" w:hAnsi="Arial" w:cs="Arial"/>
          <w:szCs w:val="24"/>
        </w:rPr>
      </w:pPr>
    </w:p>
    <w:p w14:paraId="1ABF8A2D" w14:textId="2DF700DB" w:rsidR="001B4FB2" w:rsidRPr="001B4FB2" w:rsidRDefault="001B4FB2">
      <w:pPr>
        <w:rPr>
          <w:rFonts w:ascii="Arial" w:hAnsi="Arial" w:cs="Arial"/>
          <w:szCs w:val="24"/>
        </w:rPr>
      </w:pPr>
    </w:p>
    <w:p w14:paraId="77E89CDC" w14:textId="711562B7" w:rsidR="001B4FB2" w:rsidRPr="001B4FB2" w:rsidRDefault="001B4FB2">
      <w:pPr>
        <w:rPr>
          <w:rFonts w:ascii="Arial" w:hAnsi="Arial" w:cs="Arial"/>
          <w:szCs w:val="24"/>
        </w:rPr>
      </w:pPr>
    </w:p>
    <w:p w14:paraId="5C78FC31" w14:textId="711F733C" w:rsidR="001B4FB2" w:rsidRPr="001B4FB2" w:rsidRDefault="001B4FB2">
      <w:pPr>
        <w:rPr>
          <w:rFonts w:ascii="Arial" w:hAnsi="Arial" w:cs="Arial"/>
          <w:szCs w:val="24"/>
        </w:rPr>
      </w:pPr>
    </w:p>
    <w:p w14:paraId="5E94AF1E" w14:textId="1A6230A8" w:rsidR="001B4FB2" w:rsidRPr="001B4FB2" w:rsidRDefault="001B4FB2">
      <w:pPr>
        <w:rPr>
          <w:rFonts w:ascii="Arial" w:hAnsi="Arial" w:cs="Arial"/>
          <w:szCs w:val="24"/>
        </w:rPr>
      </w:pPr>
    </w:p>
    <w:p w14:paraId="43F15E98" w14:textId="413FFD88" w:rsidR="001B4FB2" w:rsidRPr="001B4FB2" w:rsidRDefault="001B4FB2">
      <w:pPr>
        <w:rPr>
          <w:rFonts w:ascii="Arial" w:hAnsi="Arial" w:cs="Arial"/>
          <w:szCs w:val="24"/>
        </w:rPr>
      </w:pPr>
    </w:p>
    <w:p w14:paraId="4EEE1350" w14:textId="3AD5EBFF" w:rsidR="001B4FB2" w:rsidRPr="001B4FB2" w:rsidRDefault="001B4FB2">
      <w:pPr>
        <w:rPr>
          <w:rFonts w:ascii="Arial" w:hAnsi="Arial" w:cs="Arial"/>
          <w:szCs w:val="24"/>
        </w:rPr>
      </w:pPr>
    </w:p>
    <w:p w14:paraId="3BCB624A" w14:textId="13459F94" w:rsidR="001B4FB2" w:rsidRPr="001B4FB2" w:rsidRDefault="001B4FB2">
      <w:pPr>
        <w:rPr>
          <w:rFonts w:ascii="Arial" w:hAnsi="Arial" w:cs="Arial"/>
          <w:szCs w:val="24"/>
        </w:rPr>
      </w:pPr>
    </w:p>
    <w:p w14:paraId="7107A0F1" w14:textId="5FE08BE0" w:rsidR="001B4FB2" w:rsidRPr="001B4FB2" w:rsidRDefault="001B4FB2">
      <w:pPr>
        <w:rPr>
          <w:rFonts w:ascii="Arial" w:hAnsi="Arial" w:cs="Arial"/>
          <w:szCs w:val="24"/>
        </w:rPr>
      </w:pPr>
    </w:p>
    <w:p w14:paraId="44630197" w14:textId="2D3589F0" w:rsidR="001B4FB2" w:rsidRPr="001B4FB2" w:rsidRDefault="001B4FB2">
      <w:pPr>
        <w:rPr>
          <w:rFonts w:ascii="Arial" w:hAnsi="Arial" w:cs="Arial"/>
          <w:szCs w:val="24"/>
        </w:rPr>
      </w:pPr>
    </w:p>
    <w:p w14:paraId="222F55D7" w14:textId="62634C3C" w:rsidR="001B4FB2" w:rsidRPr="001B4FB2" w:rsidRDefault="001B4FB2" w:rsidP="001B4FB2">
      <w:pPr>
        <w:rPr>
          <w:rFonts w:ascii="Arial" w:hAnsi="Arial" w:cs="Arial"/>
        </w:rPr>
      </w:pPr>
      <w:r w:rsidRPr="001B4FB2">
        <w:rPr>
          <w:rFonts w:ascii="Arial" w:hAnsi="Arial" w:cs="Arial"/>
          <w:noProof/>
        </w:rPr>
        <w:drawing>
          <wp:inline distT="0" distB="0" distL="0" distR="0" wp14:anchorId="15BBFF5F" wp14:editId="7EA03021">
            <wp:extent cx="5725160" cy="4291965"/>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25160" cy="4291965"/>
                    </a:xfrm>
                    <a:prstGeom prst="rect">
                      <a:avLst/>
                    </a:prstGeom>
                    <a:noFill/>
                    <a:ln>
                      <a:noFill/>
                    </a:ln>
                  </pic:spPr>
                </pic:pic>
              </a:graphicData>
            </a:graphic>
          </wp:inline>
        </w:drawing>
      </w:r>
    </w:p>
    <w:p w14:paraId="0CFCDFFE" w14:textId="77777777" w:rsidR="001B4FB2" w:rsidRPr="001B4FB2" w:rsidRDefault="001B4FB2" w:rsidP="001B4FB2">
      <w:pPr>
        <w:rPr>
          <w:rFonts w:ascii="Arial" w:hAnsi="Arial" w:cs="Arial"/>
          <w:szCs w:val="24"/>
        </w:rPr>
      </w:pPr>
      <w:r w:rsidRPr="001B4FB2">
        <w:rPr>
          <w:rFonts w:ascii="Arial" w:hAnsi="Arial" w:cs="Arial"/>
          <w:b/>
          <w:bCs/>
          <w:szCs w:val="24"/>
        </w:rPr>
        <w:t>Fig. 1</w:t>
      </w:r>
      <w:r w:rsidRPr="001B4FB2">
        <w:rPr>
          <w:rFonts w:ascii="Arial" w:hAnsi="Arial" w:cs="Arial"/>
          <w:szCs w:val="24"/>
        </w:rPr>
        <w:t xml:space="preserve"> Scree plot of principal components</w:t>
      </w:r>
    </w:p>
    <w:p w14:paraId="5C29C04E" w14:textId="77777777" w:rsidR="001B4FB2" w:rsidRPr="001B4FB2" w:rsidRDefault="001B4FB2" w:rsidP="001B4FB2">
      <w:pPr>
        <w:rPr>
          <w:rFonts w:ascii="Arial" w:hAnsi="Arial" w:cs="Arial"/>
        </w:rPr>
      </w:pPr>
    </w:p>
    <w:p w14:paraId="48C3508B" w14:textId="77777777" w:rsidR="001B4FB2" w:rsidRPr="001B4FB2" w:rsidRDefault="001B4FB2" w:rsidP="001B4FB2">
      <w:pPr>
        <w:rPr>
          <w:rFonts w:ascii="Arial" w:hAnsi="Arial" w:cs="Arial"/>
        </w:rPr>
      </w:pPr>
    </w:p>
    <w:p w14:paraId="07F5C708" w14:textId="5BF0921E" w:rsidR="001B4FB2" w:rsidRPr="001B4FB2" w:rsidRDefault="001B4FB2" w:rsidP="001B4FB2">
      <w:pPr>
        <w:rPr>
          <w:rFonts w:ascii="Arial" w:hAnsi="Arial" w:cs="Arial"/>
        </w:rPr>
      </w:pPr>
      <w:r w:rsidRPr="001B4FB2">
        <w:rPr>
          <w:rFonts w:ascii="Arial" w:hAnsi="Arial" w:cs="Arial"/>
          <w:noProof/>
        </w:rPr>
        <w:lastRenderedPageBreak/>
        <w:drawing>
          <wp:inline distT="0" distB="0" distL="0" distR="0" wp14:anchorId="6840AEA2" wp14:editId="5F1FA457">
            <wp:extent cx="5725160" cy="4291965"/>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25160" cy="4291965"/>
                    </a:xfrm>
                    <a:prstGeom prst="rect">
                      <a:avLst/>
                    </a:prstGeom>
                    <a:noFill/>
                    <a:ln>
                      <a:noFill/>
                    </a:ln>
                  </pic:spPr>
                </pic:pic>
              </a:graphicData>
            </a:graphic>
          </wp:inline>
        </w:drawing>
      </w:r>
    </w:p>
    <w:p w14:paraId="7AE12BE9" w14:textId="77777777" w:rsidR="001B4FB2" w:rsidRPr="001B4FB2" w:rsidRDefault="001B4FB2" w:rsidP="001B4FB2">
      <w:pPr>
        <w:rPr>
          <w:rFonts w:ascii="Arial" w:hAnsi="Arial" w:cs="Arial"/>
          <w:szCs w:val="24"/>
        </w:rPr>
      </w:pPr>
      <w:r w:rsidRPr="001B4FB2">
        <w:rPr>
          <w:rFonts w:ascii="Arial" w:hAnsi="Arial" w:cs="Arial"/>
          <w:b/>
          <w:bCs/>
          <w:szCs w:val="24"/>
        </w:rPr>
        <w:t>Fig. 2</w:t>
      </w:r>
      <w:r w:rsidRPr="001B4FB2">
        <w:rPr>
          <w:rFonts w:ascii="Arial" w:hAnsi="Arial" w:cs="Arial"/>
          <w:szCs w:val="24"/>
        </w:rPr>
        <w:t xml:space="preserve"> PCA based cluster analysis of individual genotypes </w:t>
      </w:r>
    </w:p>
    <w:p w14:paraId="2B5E77B7" w14:textId="77777777" w:rsidR="001B4FB2" w:rsidRPr="001B4FB2" w:rsidRDefault="001B4FB2" w:rsidP="001B4FB2">
      <w:pPr>
        <w:rPr>
          <w:rFonts w:ascii="Arial" w:hAnsi="Arial" w:cs="Arial"/>
        </w:rPr>
      </w:pPr>
    </w:p>
    <w:p w14:paraId="62237AE0" w14:textId="77777777" w:rsidR="001B4FB2" w:rsidRPr="001B4FB2" w:rsidRDefault="001B4FB2" w:rsidP="001B4FB2">
      <w:pPr>
        <w:rPr>
          <w:rFonts w:ascii="Arial" w:hAnsi="Arial" w:cs="Arial"/>
        </w:rPr>
      </w:pPr>
    </w:p>
    <w:p w14:paraId="062DC396" w14:textId="77777777" w:rsidR="001B4FB2" w:rsidRPr="001B4FB2" w:rsidRDefault="001B4FB2" w:rsidP="001B4FB2">
      <w:pPr>
        <w:rPr>
          <w:rFonts w:ascii="Arial" w:hAnsi="Arial" w:cs="Arial"/>
        </w:rPr>
      </w:pPr>
    </w:p>
    <w:p w14:paraId="24B50DA9" w14:textId="4B8249AE" w:rsidR="001B4FB2" w:rsidRPr="001B4FB2" w:rsidRDefault="001B4FB2" w:rsidP="001B4FB2">
      <w:pPr>
        <w:rPr>
          <w:rFonts w:ascii="Arial" w:hAnsi="Arial" w:cs="Arial"/>
        </w:rPr>
      </w:pPr>
      <w:r w:rsidRPr="001B4FB2">
        <w:rPr>
          <w:rFonts w:ascii="Arial" w:hAnsi="Arial" w:cs="Arial"/>
          <w:noProof/>
        </w:rPr>
        <w:lastRenderedPageBreak/>
        <w:drawing>
          <wp:inline distT="0" distB="0" distL="0" distR="0" wp14:anchorId="147875DD" wp14:editId="21015764">
            <wp:extent cx="5725160" cy="4291965"/>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25160" cy="4291965"/>
                    </a:xfrm>
                    <a:prstGeom prst="rect">
                      <a:avLst/>
                    </a:prstGeom>
                    <a:noFill/>
                    <a:ln>
                      <a:noFill/>
                    </a:ln>
                  </pic:spPr>
                </pic:pic>
              </a:graphicData>
            </a:graphic>
          </wp:inline>
        </w:drawing>
      </w:r>
    </w:p>
    <w:p w14:paraId="50D9E0C3" w14:textId="77777777" w:rsidR="001B4FB2" w:rsidRPr="001B4FB2" w:rsidRDefault="001B4FB2" w:rsidP="001B4FB2">
      <w:pPr>
        <w:rPr>
          <w:rFonts w:ascii="Arial" w:hAnsi="Arial" w:cs="Arial"/>
          <w:b/>
          <w:bCs/>
          <w:szCs w:val="24"/>
        </w:rPr>
      </w:pPr>
    </w:p>
    <w:p w14:paraId="519086E9" w14:textId="77777777" w:rsidR="001B4FB2" w:rsidRPr="001B4FB2" w:rsidRDefault="001B4FB2" w:rsidP="001B4FB2">
      <w:pPr>
        <w:rPr>
          <w:rFonts w:ascii="Arial" w:hAnsi="Arial" w:cs="Arial"/>
          <w:color w:val="000000" w:themeColor="text1"/>
          <w:sz w:val="20"/>
          <w:szCs w:val="20"/>
        </w:rPr>
      </w:pPr>
      <w:r w:rsidRPr="001B4FB2">
        <w:rPr>
          <w:rFonts w:ascii="Arial" w:hAnsi="Arial" w:cs="Arial"/>
          <w:color w:val="000000" w:themeColor="text1"/>
          <w:sz w:val="20"/>
          <w:szCs w:val="20"/>
        </w:rPr>
        <w:t>Here, DFF: Days to flowering, FL: Fruit length (cm), FD: Fruit diameter (cm), FWS: Standard fruit weight (g), NL: Number of locules, PH: Plant height (cm), DHF: Days to first harvest, DHL: Days to last harvest, FC: Number of fruit clusters plant</w:t>
      </w:r>
      <w:r w:rsidRPr="001B4FB2">
        <w:rPr>
          <w:rFonts w:ascii="Cambria Math" w:hAnsi="Cambria Math" w:cs="Cambria Math"/>
          <w:color w:val="000000" w:themeColor="text1"/>
          <w:sz w:val="20"/>
          <w:szCs w:val="20"/>
        </w:rPr>
        <w:t>⁻</w:t>
      </w:r>
      <w:r w:rsidRPr="001B4FB2">
        <w:rPr>
          <w:rFonts w:ascii="Arial" w:hAnsi="Arial" w:cs="Arial"/>
          <w:color w:val="000000" w:themeColor="text1"/>
          <w:sz w:val="20"/>
          <w:szCs w:val="20"/>
        </w:rPr>
        <w:t>¹, NFPP: Number of fruits plant</w:t>
      </w:r>
      <w:r w:rsidRPr="001B4FB2">
        <w:rPr>
          <w:rFonts w:ascii="Cambria Math" w:hAnsi="Cambria Math" w:cs="Cambria Math"/>
          <w:color w:val="000000" w:themeColor="text1"/>
          <w:sz w:val="20"/>
          <w:szCs w:val="20"/>
        </w:rPr>
        <w:t>⁻</w:t>
      </w:r>
      <w:r w:rsidRPr="001B4FB2">
        <w:rPr>
          <w:rFonts w:ascii="Arial" w:hAnsi="Arial" w:cs="Arial"/>
          <w:color w:val="000000" w:themeColor="text1"/>
          <w:sz w:val="20"/>
          <w:szCs w:val="20"/>
        </w:rPr>
        <w:t>¹, YPP: Yield ha</w:t>
      </w:r>
      <w:r w:rsidRPr="001B4FB2">
        <w:rPr>
          <w:rFonts w:ascii="Cambria Math" w:hAnsi="Cambria Math" w:cs="Cambria Math"/>
          <w:color w:val="000000" w:themeColor="text1"/>
          <w:sz w:val="20"/>
          <w:szCs w:val="20"/>
        </w:rPr>
        <w:t>⁻</w:t>
      </w:r>
      <w:r w:rsidRPr="001B4FB2">
        <w:rPr>
          <w:rFonts w:ascii="Arial" w:hAnsi="Arial" w:cs="Arial"/>
          <w:color w:val="000000" w:themeColor="text1"/>
          <w:sz w:val="20"/>
          <w:szCs w:val="20"/>
        </w:rPr>
        <w:t>¹ (ton), SL: Shelf life (days), and Wilt: Plant damage by wilting disease (%).</w:t>
      </w:r>
    </w:p>
    <w:p w14:paraId="30946BF7" w14:textId="77777777" w:rsidR="001B4FB2" w:rsidRPr="001B4FB2" w:rsidRDefault="001B4FB2" w:rsidP="001B4FB2">
      <w:pPr>
        <w:rPr>
          <w:rFonts w:ascii="Arial" w:hAnsi="Arial" w:cs="Arial"/>
          <w:b/>
          <w:bCs/>
          <w:szCs w:val="24"/>
        </w:rPr>
      </w:pPr>
    </w:p>
    <w:p w14:paraId="48FEBBF8" w14:textId="77777777" w:rsidR="001B4FB2" w:rsidRPr="001B4FB2" w:rsidRDefault="001B4FB2" w:rsidP="001B4FB2">
      <w:pPr>
        <w:rPr>
          <w:rFonts w:ascii="Arial" w:hAnsi="Arial" w:cs="Arial"/>
          <w:szCs w:val="24"/>
        </w:rPr>
      </w:pPr>
      <w:r w:rsidRPr="001B4FB2">
        <w:rPr>
          <w:rFonts w:ascii="Arial" w:hAnsi="Arial" w:cs="Arial"/>
          <w:b/>
          <w:bCs/>
          <w:szCs w:val="24"/>
        </w:rPr>
        <w:t>Fig. 3</w:t>
      </w:r>
      <w:r w:rsidRPr="001B4FB2">
        <w:rPr>
          <w:rFonts w:ascii="Arial" w:hAnsi="Arial" w:cs="Arial"/>
          <w:szCs w:val="24"/>
        </w:rPr>
        <w:t xml:space="preserve"> PCA biplot analysis of individual traits</w:t>
      </w:r>
    </w:p>
    <w:p w14:paraId="6F7DFFBE" w14:textId="77777777" w:rsidR="001B4FB2" w:rsidRPr="001B4FB2" w:rsidRDefault="001B4FB2" w:rsidP="001B4FB2">
      <w:pPr>
        <w:rPr>
          <w:rFonts w:ascii="Arial" w:hAnsi="Arial" w:cs="Arial"/>
          <w:szCs w:val="24"/>
        </w:rPr>
      </w:pPr>
    </w:p>
    <w:p w14:paraId="4FC91661" w14:textId="77777777" w:rsidR="001B4FB2" w:rsidRPr="001B4FB2" w:rsidRDefault="001B4FB2" w:rsidP="001B4FB2">
      <w:pPr>
        <w:rPr>
          <w:rFonts w:ascii="Arial" w:hAnsi="Arial" w:cs="Arial"/>
          <w:szCs w:val="24"/>
        </w:rPr>
      </w:pPr>
    </w:p>
    <w:p w14:paraId="706C78E7" w14:textId="77777777" w:rsidR="001B4FB2" w:rsidRPr="001B4FB2" w:rsidRDefault="001B4FB2" w:rsidP="001B4FB2">
      <w:pPr>
        <w:rPr>
          <w:rFonts w:ascii="Arial" w:hAnsi="Arial" w:cs="Arial"/>
          <w:szCs w:val="24"/>
        </w:rPr>
      </w:pPr>
    </w:p>
    <w:p w14:paraId="0C6724D1" w14:textId="7EC8D45D" w:rsidR="001B4FB2" w:rsidRPr="001B4FB2" w:rsidRDefault="001B4FB2" w:rsidP="001B4FB2">
      <w:pPr>
        <w:rPr>
          <w:rFonts w:ascii="Arial" w:hAnsi="Arial" w:cs="Arial"/>
          <w:szCs w:val="24"/>
        </w:rPr>
      </w:pPr>
      <w:r w:rsidRPr="001B4FB2">
        <w:rPr>
          <w:rFonts w:ascii="Arial" w:hAnsi="Arial" w:cs="Arial"/>
          <w:noProof/>
          <w:szCs w:val="24"/>
        </w:rPr>
        <w:lastRenderedPageBreak/>
        <w:drawing>
          <wp:inline distT="0" distB="0" distL="0" distR="0" wp14:anchorId="6C4E602C" wp14:editId="5FD4B8F7">
            <wp:extent cx="5725160" cy="429196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25160" cy="4291965"/>
                    </a:xfrm>
                    <a:prstGeom prst="rect">
                      <a:avLst/>
                    </a:prstGeom>
                    <a:noFill/>
                    <a:ln>
                      <a:noFill/>
                    </a:ln>
                  </pic:spPr>
                </pic:pic>
              </a:graphicData>
            </a:graphic>
          </wp:inline>
        </w:drawing>
      </w:r>
    </w:p>
    <w:p w14:paraId="6BFC12CE" w14:textId="77777777" w:rsidR="001B4FB2" w:rsidRPr="001B4FB2" w:rsidRDefault="001B4FB2" w:rsidP="001B4FB2">
      <w:pPr>
        <w:rPr>
          <w:rFonts w:ascii="Arial" w:hAnsi="Arial" w:cs="Arial"/>
          <w:color w:val="000000" w:themeColor="text1"/>
          <w:sz w:val="20"/>
          <w:szCs w:val="20"/>
        </w:rPr>
      </w:pPr>
      <w:r w:rsidRPr="001B4FB2">
        <w:rPr>
          <w:rFonts w:ascii="Arial" w:hAnsi="Arial" w:cs="Arial"/>
          <w:color w:val="000000" w:themeColor="text1"/>
          <w:sz w:val="20"/>
          <w:szCs w:val="20"/>
        </w:rPr>
        <w:t>Here, DFF: Days to flowering, FL: Fruit length (cm), FD: Fruit diameter (cm), FWS: Standard fruit weight (g), NL: Number of locules, PH: Plant height (cm), DHF: Days to first harvest, DHL: Days to last harvest, FC: Number of fruit clusters plant</w:t>
      </w:r>
      <w:r w:rsidRPr="001B4FB2">
        <w:rPr>
          <w:rFonts w:ascii="Cambria Math" w:hAnsi="Cambria Math" w:cs="Cambria Math"/>
          <w:color w:val="000000" w:themeColor="text1"/>
          <w:sz w:val="20"/>
          <w:szCs w:val="20"/>
        </w:rPr>
        <w:t>⁻</w:t>
      </w:r>
      <w:r w:rsidRPr="001B4FB2">
        <w:rPr>
          <w:rFonts w:ascii="Arial" w:hAnsi="Arial" w:cs="Arial"/>
          <w:color w:val="000000" w:themeColor="text1"/>
          <w:sz w:val="20"/>
          <w:szCs w:val="20"/>
        </w:rPr>
        <w:t>¹, NFPP: Number of fruits plant</w:t>
      </w:r>
      <w:r w:rsidRPr="001B4FB2">
        <w:rPr>
          <w:rFonts w:ascii="Cambria Math" w:hAnsi="Cambria Math" w:cs="Cambria Math"/>
          <w:color w:val="000000" w:themeColor="text1"/>
          <w:sz w:val="20"/>
          <w:szCs w:val="20"/>
        </w:rPr>
        <w:t>⁻</w:t>
      </w:r>
      <w:r w:rsidRPr="001B4FB2">
        <w:rPr>
          <w:rFonts w:ascii="Arial" w:hAnsi="Arial" w:cs="Arial"/>
          <w:color w:val="000000" w:themeColor="text1"/>
          <w:sz w:val="20"/>
          <w:szCs w:val="20"/>
        </w:rPr>
        <w:t>¹, YPP: Yield ha</w:t>
      </w:r>
      <w:r w:rsidRPr="001B4FB2">
        <w:rPr>
          <w:rFonts w:ascii="Cambria Math" w:hAnsi="Cambria Math" w:cs="Cambria Math"/>
          <w:color w:val="000000" w:themeColor="text1"/>
          <w:sz w:val="20"/>
          <w:szCs w:val="20"/>
        </w:rPr>
        <w:t>⁻</w:t>
      </w:r>
      <w:r w:rsidRPr="001B4FB2">
        <w:rPr>
          <w:rFonts w:ascii="Arial" w:hAnsi="Arial" w:cs="Arial"/>
          <w:color w:val="000000" w:themeColor="text1"/>
          <w:sz w:val="20"/>
          <w:szCs w:val="20"/>
        </w:rPr>
        <w:t>¹ (ton), SL: Shelf life (days), and Wilt: Plant damage by wilting disease (%).</w:t>
      </w:r>
    </w:p>
    <w:p w14:paraId="406A6179" w14:textId="77777777" w:rsidR="001B4FB2" w:rsidRPr="001B4FB2" w:rsidRDefault="001B4FB2" w:rsidP="001B4FB2">
      <w:pPr>
        <w:rPr>
          <w:rFonts w:ascii="Arial" w:hAnsi="Arial" w:cs="Arial"/>
          <w:b/>
          <w:bCs/>
          <w:szCs w:val="24"/>
        </w:rPr>
      </w:pPr>
    </w:p>
    <w:p w14:paraId="4C2A2384" w14:textId="77777777" w:rsidR="001B4FB2" w:rsidRPr="001B4FB2" w:rsidRDefault="001B4FB2" w:rsidP="001B4FB2">
      <w:pPr>
        <w:rPr>
          <w:rFonts w:ascii="Arial" w:hAnsi="Arial" w:cs="Arial"/>
          <w:szCs w:val="24"/>
        </w:rPr>
      </w:pPr>
      <w:r w:rsidRPr="001B4FB2">
        <w:rPr>
          <w:rFonts w:ascii="Arial" w:hAnsi="Arial" w:cs="Arial"/>
          <w:b/>
          <w:bCs/>
          <w:szCs w:val="24"/>
        </w:rPr>
        <w:t xml:space="preserve">Fig. 4 </w:t>
      </w:r>
      <w:r w:rsidRPr="001B4FB2">
        <w:rPr>
          <w:rFonts w:ascii="Arial" w:hAnsi="Arial" w:cs="Arial"/>
          <w:szCs w:val="24"/>
        </w:rPr>
        <w:t>PCA biplot analysis of genotypes and traits with cluster</w:t>
      </w:r>
    </w:p>
    <w:p w14:paraId="07A16083" w14:textId="77777777" w:rsidR="001B4FB2" w:rsidRPr="001B4FB2" w:rsidRDefault="001B4FB2" w:rsidP="001B4FB2">
      <w:pPr>
        <w:rPr>
          <w:rFonts w:ascii="Arial" w:hAnsi="Arial" w:cs="Arial"/>
        </w:rPr>
      </w:pPr>
    </w:p>
    <w:p w14:paraId="55004819" w14:textId="77777777" w:rsidR="001B4FB2" w:rsidRPr="001B4FB2" w:rsidRDefault="001B4FB2" w:rsidP="001B4FB2">
      <w:pPr>
        <w:rPr>
          <w:rFonts w:ascii="Arial" w:hAnsi="Arial" w:cs="Arial"/>
          <w:szCs w:val="24"/>
        </w:rPr>
      </w:pPr>
    </w:p>
    <w:p w14:paraId="06DABE01" w14:textId="77777777" w:rsidR="001B4FB2" w:rsidRPr="001B4FB2" w:rsidRDefault="001B4FB2" w:rsidP="001B4FB2">
      <w:pPr>
        <w:rPr>
          <w:rFonts w:ascii="Arial" w:hAnsi="Arial" w:cs="Arial"/>
          <w:szCs w:val="24"/>
        </w:rPr>
      </w:pPr>
    </w:p>
    <w:p w14:paraId="10B7D474" w14:textId="672DB786" w:rsidR="001B4FB2" w:rsidRPr="001B4FB2" w:rsidRDefault="001B4FB2" w:rsidP="001B4FB2">
      <w:pPr>
        <w:rPr>
          <w:rFonts w:ascii="Arial" w:hAnsi="Arial" w:cs="Arial"/>
          <w:szCs w:val="24"/>
        </w:rPr>
      </w:pPr>
      <w:r w:rsidRPr="001B4FB2">
        <w:rPr>
          <w:rFonts w:ascii="Arial" w:hAnsi="Arial" w:cs="Arial"/>
          <w:noProof/>
          <w:szCs w:val="24"/>
        </w:rPr>
        <w:lastRenderedPageBreak/>
        <w:drawing>
          <wp:inline distT="0" distB="0" distL="0" distR="0" wp14:anchorId="15CC5D5E" wp14:editId="61CBEC1B">
            <wp:extent cx="5725160" cy="4291965"/>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25160" cy="4291965"/>
                    </a:xfrm>
                    <a:prstGeom prst="rect">
                      <a:avLst/>
                    </a:prstGeom>
                    <a:noFill/>
                    <a:ln>
                      <a:noFill/>
                    </a:ln>
                  </pic:spPr>
                </pic:pic>
              </a:graphicData>
            </a:graphic>
          </wp:inline>
        </w:drawing>
      </w:r>
    </w:p>
    <w:p w14:paraId="775E206F" w14:textId="77777777" w:rsidR="001B4FB2" w:rsidRPr="001B4FB2" w:rsidRDefault="001B4FB2" w:rsidP="001B4FB2">
      <w:pPr>
        <w:rPr>
          <w:rFonts w:ascii="Arial" w:hAnsi="Arial" w:cs="Arial"/>
          <w:color w:val="000000" w:themeColor="text1"/>
          <w:sz w:val="20"/>
          <w:szCs w:val="20"/>
        </w:rPr>
      </w:pPr>
      <w:r w:rsidRPr="001B4FB2">
        <w:rPr>
          <w:rFonts w:ascii="Arial" w:hAnsi="Arial" w:cs="Arial"/>
          <w:color w:val="000000" w:themeColor="text1"/>
          <w:sz w:val="20"/>
          <w:szCs w:val="20"/>
        </w:rPr>
        <w:t>Here, DFF: Days to flowering, FL: Fruit length (cm), FD: Fruit diameter (cm), FWS: Standard fruit weight (g), NL: Number of locules, PH: Plant height (cm), DHF: Days to first harvest, DHL: Days to last harvest, FC: Number of fruit clusters plant</w:t>
      </w:r>
      <w:r w:rsidRPr="001B4FB2">
        <w:rPr>
          <w:rFonts w:ascii="Cambria Math" w:hAnsi="Cambria Math" w:cs="Cambria Math"/>
          <w:color w:val="000000" w:themeColor="text1"/>
          <w:sz w:val="20"/>
          <w:szCs w:val="20"/>
        </w:rPr>
        <w:t>⁻</w:t>
      </w:r>
      <w:r w:rsidRPr="001B4FB2">
        <w:rPr>
          <w:rFonts w:ascii="Arial" w:hAnsi="Arial" w:cs="Arial"/>
          <w:color w:val="000000" w:themeColor="text1"/>
          <w:sz w:val="20"/>
          <w:szCs w:val="20"/>
        </w:rPr>
        <w:t>¹, NFPP: Number of fruits plant</w:t>
      </w:r>
      <w:r w:rsidRPr="001B4FB2">
        <w:rPr>
          <w:rFonts w:ascii="Cambria Math" w:hAnsi="Cambria Math" w:cs="Cambria Math"/>
          <w:color w:val="000000" w:themeColor="text1"/>
          <w:sz w:val="20"/>
          <w:szCs w:val="20"/>
        </w:rPr>
        <w:t>⁻</w:t>
      </w:r>
      <w:r w:rsidRPr="001B4FB2">
        <w:rPr>
          <w:rFonts w:ascii="Arial" w:hAnsi="Arial" w:cs="Arial"/>
          <w:color w:val="000000" w:themeColor="text1"/>
          <w:sz w:val="20"/>
          <w:szCs w:val="20"/>
        </w:rPr>
        <w:t>¹, YPP: Yield ha</w:t>
      </w:r>
      <w:r w:rsidRPr="001B4FB2">
        <w:rPr>
          <w:rFonts w:ascii="Cambria Math" w:hAnsi="Cambria Math" w:cs="Cambria Math"/>
          <w:color w:val="000000" w:themeColor="text1"/>
          <w:sz w:val="20"/>
          <w:szCs w:val="20"/>
        </w:rPr>
        <w:t>⁻</w:t>
      </w:r>
      <w:r w:rsidRPr="001B4FB2">
        <w:rPr>
          <w:rFonts w:ascii="Arial" w:hAnsi="Arial" w:cs="Arial"/>
          <w:color w:val="000000" w:themeColor="text1"/>
          <w:sz w:val="20"/>
          <w:szCs w:val="20"/>
        </w:rPr>
        <w:t>¹ (ton), SL: Shelf life (days), and Wilt: Plant damage by wilting disease (%).</w:t>
      </w:r>
    </w:p>
    <w:p w14:paraId="710F284D" w14:textId="77777777" w:rsidR="001B4FB2" w:rsidRPr="001B4FB2" w:rsidRDefault="001B4FB2" w:rsidP="001B4FB2">
      <w:pPr>
        <w:rPr>
          <w:rFonts w:ascii="Arial" w:hAnsi="Arial" w:cs="Arial"/>
          <w:b/>
          <w:bCs/>
          <w:szCs w:val="24"/>
        </w:rPr>
      </w:pPr>
    </w:p>
    <w:p w14:paraId="6D89F40D" w14:textId="77777777" w:rsidR="001B4FB2" w:rsidRPr="001B4FB2" w:rsidRDefault="001B4FB2" w:rsidP="001B4FB2">
      <w:pPr>
        <w:rPr>
          <w:rFonts w:ascii="Arial" w:hAnsi="Arial" w:cs="Arial"/>
          <w:szCs w:val="24"/>
        </w:rPr>
      </w:pPr>
      <w:r w:rsidRPr="001B4FB2">
        <w:rPr>
          <w:rFonts w:ascii="Arial" w:hAnsi="Arial" w:cs="Arial"/>
          <w:b/>
          <w:bCs/>
          <w:szCs w:val="24"/>
        </w:rPr>
        <w:t>Fig. 5</w:t>
      </w:r>
      <w:r w:rsidRPr="001B4FB2">
        <w:rPr>
          <w:rFonts w:ascii="Arial" w:hAnsi="Arial" w:cs="Arial"/>
          <w:szCs w:val="24"/>
        </w:rPr>
        <w:t xml:space="preserve"> Pearson’s correlation analysis of the investigated traits </w:t>
      </w:r>
    </w:p>
    <w:p w14:paraId="60648E15" w14:textId="77777777" w:rsidR="001B4FB2" w:rsidRPr="001B4FB2" w:rsidRDefault="001B4FB2" w:rsidP="001B4FB2">
      <w:pPr>
        <w:rPr>
          <w:rFonts w:ascii="Arial" w:hAnsi="Arial" w:cs="Arial"/>
        </w:rPr>
      </w:pPr>
    </w:p>
    <w:p w14:paraId="0CABA31C" w14:textId="77777777" w:rsidR="001B4FB2" w:rsidRPr="001B4FB2" w:rsidRDefault="001B4FB2" w:rsidP="001B4FB2">
      <w:pPr>
        <w:rPr>
          <w:rFonts w:ascii="Arial" w:hAnsi="Arial" w:cs="Arial"/>
        </w:rPr>
      </w:pPr>
    </w:p>
    <w:p w14:paraId="2F9D16BB" w14:textId="33F91296" w:rsidR="001B4FB2" w:rsidRPr="001B4FB2" w:rsidRDefault="001B4FB2" w:rsidP="001B4FB2">
      <w:pPr>
        <w:rPr>
          <w:rFonts w:ascii="Arial" w:hAnsi="Arial" w:cs="Arial"/>
        </w:rPr>
      </w:pPr>
      <w:r w:rsidRPr="001B4FB2">
        <w:rPr>
          <w:rFonts w:ascii="Arial" w:hAnsi="Arial" w:cs="Arial"/>
          <w:noProof/>
        </w:rPr>
        <w:lastRenderedPageBreak/>
        <w:drawing>
          <wp:inline distT="0" distB="0" distL="0" distR="0" wp14:anchorId="5C26897B" wp14:editId="08B8C8B9">
            <wp:extent cx="5486400" cy="5486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14:paraId="387DC832" w14:textId="77777777" w:rsidR="001B4FB2" w:rsidRPr="001B4FB2" w:rsidRDefault="001B4FB2" w:rsidP="001B4FB2">
      <w:pPr>
        <w:rPr>
          <w:rFonts w:ascii="Arial" w:hAnsi="Arial" w:cs="Arial"/>
        </w:rPr>
      </w:pPr>
      <w:r w:rsidRPr="001B4FB2">
        <w:rPr>
          <w:rFonts w:ascii="Arial" w:hAnsi="Arial" w:cs="Arial"/>
          <w:b/>
          <w:bCs/>
        </w:rPr>
        <w:t>Fig. 6</w:t>
      </w:r>
      <w:r w:rsidRPr="001B4FB2">
        <w:rPr>
          <w:rFonts w:ascii="Arial" w:hAnsi="Arial" w:cs="Arial"/>
        </w:rPr>
        <w:t xml:space="preserve"> Hierarchical cluster analysis depicting the grouping of the genotypes</w:t>
      </w:r>
    </w:p>
    <w:p w14:paraId="4C75EBD9" w14:textId="77777777" w:rsidR="001B4FB2" w:rsidRPr="001B4FB2" w:rsidRDefault="001B4FB2" w:rsidP="001B4FB2">
      <w:pPr>
        <w:rPr>
          <w:rFonts w:ascii="Arial" w:hAnsi="Arial" w:cs="Arial"/>
        </w:rPr>
      </w:pPr>
    </w:p>
    <w:p w14:paraId="62E5BAD2" w14:textId="77777777" w:rsidR="001B4FB2" w:rsidRPr="001B4FB2" w:rsidRDefault="001B4FB2" w:rsidP="001B4FB2">
      <w:pPr>
        <w:rPr>
          <w:rFonts w:ascii="Arial" w:hAnsi="Arial" w:cs="Arial"/>
        </w:rPr>
      </w:pPr>
    </w:p>
    <w:p w14:paraId="223D0613" w14:textId="43B5745A" w:rsidR="001B4FB2" w:rsidRPr="001B4FB2" w:rsidRDefault="001B4FB2" w:rsidP="001B4FB2">
      <w:pPr>
        <w:rPr>
          <w:rFonts w:ascii="Arial" w:hAnsi="Arial" w:cs="Arial"/>
        </w:rPr>
      </w:pPr>
      <w:r w:rsidRPr="001B4FB2">
        <w:rPr>
          <w:rFonts w:ascii="Arial" w:hAnsi="Arial" w:cs="Arial"/>
          <w:noProof/>
        </w:rPr>
        <w:lastRenderedPageBreak/>
        <w:drawing>
          <wp:inline distT="0" distB="0" distL="0" distR="0" wp14:anchorId="4D752593" wp14:editId="2FF4217D">
            <wp:extent cx="5725160" cy="5725160"/>
            <wp:effectExtent l="0" t="0" r="889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25160" cy="5725160"/>
                    </a:xfrm>
                    <a:prstGeom prst="rect">
                      <a:avLst/>
                    </a:prstGeom>
                    <a:noFill/>
                    <a:ln>
                      <a:noFill/>
                    </a:ln>
                  </pic:spPr>
                </pic:pic>
              </a:graphicData>
            </a:graphic>
          </wp:inline>
        </w:drawing>
      </w:r>
    </w:p>
    <w:p w14:paraId="1A1EBD14" w14:textId="77777777" w:rsidR="001B4FB2" w:rsidRPr="001B4FB2" w:rsidRDefault="001B4FB2" w:rsidP="001B4FB2">
      <w:pPr>
        <w:rPr>
          <w:rFonts w:ascii="Arial" w:hAnsi="Arial" w:cs="Arial"/>
          <w:color w:val="000000" w:themeColor="text1"/>
          <w:sz w:val="20"/>
          <w:szCs w:val="20"/>
        </w:rPr>
      </w:pPr>
      <w:r w:rsidRPr="001B4FB2">
        <w:rPr>
          <w:rFonts w:ascii="Arial" w:hAnsi="Arial" w:cs="Arial"/>
          <w:color w:val="000000" w:themeColor="text1"/>
          <w:sz w:val="20"/>
          <w:szCs w:val="20"/>
        </w:rPr>
        <w:t>Here, DFF: Days to flowering, FL: Fruit length (cm), FD: Fruit diameter (cm), FWS: Standard fruit weight (g), NL: Number of locules, PH: Plant height (cm), DHF: Days to first harvest, DHL: Days to last harvest, FC: Number of fruit clusters plant</w:t>
      </w:r>
      <w:r w:rsidRPr="001B4FB2">
        <w:rPr>
          <w:rFonts w:ascii="Cambria Math" w:hAnsi="Cambria Math" w:cs="Cambria Math"/>
          <w:color w:val="000000" w:themeColor="text1"/>
          <w:sz w:val="20"/>
          <w:szCs w:val="20"/>
        </w:rPr>
        <w:t>⁻</w:t>
      </w:r>
      <w:r w:rsidRPr="001B4FB2">
        <w:rPr>
          <w:rFonts w:ascii="Arial" w:hAnsi="Arial" w:cs="Arial"/>
          <w:color w:val="000000" w:themeColor="text1"/>
          <w:sz w:val="20"/>
          <w:szCs w:val="20"/>
        </w:rPr>
        <w:t>¹, NFPP: Number of fruits plant</w:t>
      </w:r>
      <w:r w:rsidRPr="001B4FB2">
        <w:rPr>
          <w:rFonts w:ascii="Cambria Math" w:hAnsi="Cambria Math" w:cs="Cambria Math"/>
          <w:color w:val="000000" w:themeColor="text1"/>
          <w:sz w:val="20"/>
          <w:szCs w:val="20"/>
        </w:rPr>
        <w:t>⁻</w:t>
      </w:r>
      <w:r w:rsidRPr="001B4FB2">
        <w:rPr>
          <w:rFonts w:ascii="Arial" w:hAnsi="Arial" w:cs="Arial"/>
          <w:color w:val="000000" w:themeColor="text1"/>
          <w:sz w:val="20"/>
          <w:szCs w:val="20"/>
        </w:rPr>
        <w:t>¹, YPP: Yield ha</w:t>
      </w:r>
      <w:r w:rsidRPr="001B4FB2">
        <w:rPr>
          <w:rFonts w:ascii="Cambria Math" w:hAnsi="Cambria Math" w:cs="Cambria Math"/>
          <w:color w:val="000000" w:themeColor="text1"/>
          <w:sz w:val="20"/>
          <w:szCs w:val="20"/>
        </w:rPr>
        <w:t>⁻</w:t>
      </w:r>
      <w:r w:rsidRPr="001B4FB2">
        <w:rPr>
          <w:rFonts w:ascii="Arial" w:hAnsi="Arial" w:cs="Arial"/>
          <w:color w:val="000000" w:themeColor="text1"/>
          <w:sz w:val="20"/>
          <w:szCs w:val="20"/>
        </w:rPr>
        <w:t>¹ (ton), SL: Shelf life (days), and Wilt: Plant damage by wilting disease (%).</w:t>
      </w:r>
    </w:p>
    <w:p w14:paraId="28486842" w14:textId="77777777" w:rsidR="001B4FB2" w:rsidRPr="001B4FB2" w:rsidRDefault="001B4FB2" w:rsidP="001B4FB2">
      <w:pPr>
        <w:rPr>
          <w:rFonts w:ascii="Arial" w:hAnsi="Arial" w:cs="Arial"/>
          <w:b/>
          <w:bCs/>
        </w:rPr>
      </w:pPr>
    </w:p>
    <w:p w14:paraId="7CD46418" w14:textId="77777777" w:rsidR="001B4FB2" w:rsidRPr="001B4FB2" w:rsidRDefault="001B4FB2" w:rsidP="001B4FB2">
      <w:pPr>
        <w:rPr>
          <w:rFonts w:ascii="Arial" w:hAnsi="Arial" w:cs="Arial"/>
        </w:rPr>
      </w:pPr>
      <w:r w:rsidRPr="001B4FB2">
        <w:rPr>
          <w:rFonts w:ascii="Arial" w:hAnsi="Arial" w:cs="Arial"/>
          <w:b/>
          <w:bCs/>
        </w:rPr>
        <w:t>Fig. 7</w:t>
      </w:r>
      <w:r w:rsidRPr="001B4FB2">
        <w:rPr>
          <w:rFonts w:ascii="Arial" w:hAnsi="Arial" w:cs="Arial"/>
        </w:rPr>
        <w:t xml:space="preserve"> RADAR plot-based cluster analysis displaying the grouping of the traits and genotypes</w:t>
      </w:r>
    </w:p>
    <w:p w14:paraId="7B10EECA" w14:textId="77777777" w:rsidR="001B4FB2" w:rsidRPr="001B4FB2" w:rsidRDefault="001B4FB2" w:rsidP="001B4FB2">
      <w:pPr>
        <w:rPr>
          <w:rFonts w:ascii="Arial" w:hAnsi="Arial" w:cs="Arial"/>
        </w:rPr>
      </w:pPr>
    </w:p>
    <w:p w14:paraId="79F98DDB" w14:textId="01C9A003" w:rsidR="001B4FB2" w:rsidRPr="001B4FB2" w:rsidRDefault="001B4FB2">
      <w:pPr>
        <w:rPr>
          <w:rFonts w:ascii="Arial" w:hAnsi="Arial" w:cs="Arial"/>
          <w:szCs w:val="24"/>
        </w:rPr>
      </w:pPr>
    </w:p>
    <w:p w14:paraId="2F0C3E8D" w14:textId="3C8F813E" w:rsidR="001B4FB2" w:rsidRPr="001B4FB2" w:rsidRDefault="001B4FB2">
      <w:pPr>
        <w:rPr>
          <w:rFonts w:ascii="Arial" w:hAnsi="Arial" w:cs="Arial"/>
          <w:szCs w:val="24"/>
        </w:rPr>
      </w:pPr>
    </w:p>
    <w:p w14:paraId="685DEC61" w14:textId="77777777" w:rsidR="001B4FB2" w:rsidRPr="001B4FB2" w:rsidRDefault="001B4FB2">
      <w:pPr>
        <w:rPr>
          <w:rFonts w:ascii="Arial" w:hAnsi="Arial" w:cs="Arial"/>
          <w:szCs w:val="24"/>
        </w:rPr>
      </w:pPr>
    </w:p>
    <w:p w14:paraId="7E3C9FA6" w14:textId="677B8F5E" w:rsidR="00121D10" w:rsidRPr="001B4FB2" w:rsidRDefault="00121D10">
      <w:pPr>
        <w:rPr>
          <w:rFonts w:ascii="Arial" w:hAnsi="Arial" w:cs="Arial"/>
          <w:szCs w:val="24"/>
        </w:rPr>
      </w:pPr>
    </w:p>
    <w:p w14:paraId="0A37F965" w14:textId="4843F594" w:rsidR="00121D10" w:rsidRPr="001B4FB2" w:rsidRDefault="00121D10">
      <w:pPr>
        <w:rPr>
          <w:rFonts w:ascii="Arial" w:hAnsi="Arial" w:cs="Arial"/>
          <w:szCs w:val="24"/>
        </w:rPr>
      </w:pPr>
    </w:p>
    <w:p w14:paraId="72310A66" w14:textId="1BA16668" w:rsidR="00121D10" w:rsidRPr="001B4FB2" w:rsidRDefault="00121D10">
      <w:pPr>
        <w:rPr>
          <w:rFonts w:ascii="Arial" w:hAnsi="Arial" w:cs="Arial"/>
          <w:szCs w:val="24"/>
        </w:rPr>
      </w:pPr>
    </w:p>
    <w:p w14:paraId="19E255C3" w14:textId="77777777" w:rsidR="00121D10" w:rsidRPr="001B4FB2" w:rsidRDefault="00121D10">
      <w:pPr>
        <w:rPr>
          <w:rFonts w:ascii="Arial" w:hAnsi="Arial" w:cs="Arial"/>
          <w:szCs w:val="24"/>
        </w:rPr>
      </w:pPr>
    </w:p>
    <w:sectPr w:rsidR="00121D10" w:rsidRPr="001B4FB2" w:rsidSect="00ED679E">
      <w:headerReference w:type="even" r:id="rId32"/>
      <w:headerReference w:type="default" r:id="rId33"/>
      <w:footerReference w:type="even" r:id="rId34"/>
      <w:footerReference w:type="default" r:id="rId35"/>
      <w:headerReference w:type="first" r:id="rId36"/>
      <w:footerReference w:type="first" r:id="rId37"/>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7C32CB" w14:textId="77777777" w:rsidR="00C01A20" w:rsidRDefault="00C01A20" w:rsidP="00ED679E">
      <w:pPr>
        <w:spacing w:line="240" w:lineRule="auto"/>
      </w:pPr>
      <w:r>
        <w:separator/>
      </w:r>
    </w:p>
  </w:endnote>
  <w:endnote w:type="continuationSeparator" w:id="0">
    <w:p w14:paraId="01E7ACCE" w14:textId="77777777" w:rsidR="00C01A20" w:rsidRDefault="00C01A20" w:rsidP="00ED67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B3F0A2" w14:textId="77777777" w:rsidR="00ED679E" w:rsidRDefault="00ED67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BDCFB8" w14:textId="77777777" w:rsidR="00ED679E" w:rsidRDefault="00ED679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615551" w14:textId="77777777" w:rsidR="00ED679E" w:rsidRDefault="00ED67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38F89D" w14:textId="77777777" w:rsidR="00C01A20" w:rsidRDefault="00C01A20" w:rsidP="00ED679E">
      <w:pPr>
        <w:spacing w:line="240" w:lineRule="auto"/>
      </w:pPr>
      <w:r>
        <w:separator/>
      </w:r>
    </w:p>
  </w:footnote>
  <w:footnote w:type="continuationSeparator" w:id="0">
    <w:p w14:paraId="179CAB54" w14:textId="77777777" w:rsidR="00C01A20" w:rsidRDefault="00C01A20" w:rsidP="00ED679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1A210" w14:textId="5EC4418F" w:rsidR="00ED679E" w:rsidRDefault="00ED679E">
    <w:pPr>
      <w:pStyle w:val="Header"/>
    </w:pPr>
    <w:r>
      <w:rPr>
        <w:noProof/>
      </w:rPr>
      <w:pict w14:anchorId="643BA2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512001" o:spid="_x0000_s2050" type="#_x0000_t136" style="position:absolute;left:0;text-align:left;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B10532" w14:textId="06734DB8" w:rsidR="00ED679E" w:rsidRDefault="00ED679E">
    <w:pPr>
      <w:pStyle w:val="Header"/>
    </w:pPr>
    <w:r>
      <w:rPr>
        <w:noProof/>
      </w:rPr>
      <w:pict w14:anchorId="573424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512002" o:spid="_x0000_s2051" type="#_x0000_t136" style="position:absolute;left:0;text-align:left;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75F42" w14:textId="3EC09CFF" w:rsidR="00ED679E" w:rsidRDefault="00ED679E">
    <w:pPr>
      <w:pStyle w:val="Header"/>
    </w:pPr>
    <w:r>
      <w:rPr>
        <w:noProof/>
      </w:rPr>
      <w:pict w14:anchorId="42407B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3512000" o:spid="_x0000_s2049" type="#_x0000_t136" style="position:absolute;left:0;text-align:left;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E333389"/>
    <w:multiLevelType w:val="hybridMultilevel"/>
    <w:tmpl w:val="B4F802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0473"/>
    <w:rsid w:val="00121D10"/>
    <w:rsid w:val="001B4FB2"/>
    <w:rsid w:val="00255C67"/>
    <w:rsid w:val="00456D99"/>
    <w:rsid w:val="00486C6E"/>
    <w:rsid w:val="00506DC6"/>
    <w:rsid w:val="00516E53"/>
    <w:rsid w:val="00652568"/>
    <w:rsid w:val="006F00E8"/>
    <w:rsid w:val="00753D87"/>
    <w:rsid w:val="008778C2"/>
    <w:rsid w:val="00985B23"/>
    <w:rsid w:val="00A9660C"/>
    <w:rsid w:val="00AD0473"/>
    <w:rsid w:val="00AD1A68"/>
    <w:rsid w:val="00C01A20"/>
    <w:rsid w:val="00CF7AEE"/>
    <w:rsid w:val="00D57C44"/>
    <w:rsid w:val="00DF2EC5"/>
    <w:rsid w:val="00E60047"/>
    <w:rsid w:val="00ED67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BE9BDE0"/>
  <w15:chartTrackingRefBased/>
  <w15:docId w15:val="{045EC705-5F82-4391-928E-4FFA6F537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GB" w:eastAsia="en-US" w:bidi="ar-SA"/>
      </w:rPr>
    </w:rPrDefault>
    <w:pPrDefault>
      <w:pPr>
        <w:spacing w:line="259"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56D9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56D99"/>
    <w:pPr>
      <w:spacing w:before="100" w:beforeAutospacing="1" w:after="100" w:afterAutospacing="1" w:line="240" w:lineRule="auto"/>
      <w:jc w:val="left"/>
    </w:pPr>
    <w:rPr>
      <w:rFonts w:eastAsia="Times New Roman" w:cs="Times New Roman"/>
      <w:szCs w:val="24"/>
      <w:lang w:eastAsia="en-GB"/>
    </w:rPr>
  </w:style>
  <w:style w:type="character" w:styleId="Emphasis">
    <w:name w:val="Emphasis"/>
    <w:basedOn w:val="DefaultParagraphFont"/>
    <w:uiPriority w:val="20"/>
    <w:qFormat/>
    <w:rsid w:val="00456D99"/>
    <w:rPr>
      <w:i/>
      <w:iCs/>
    </w:rPr>
  </w:style>
  <w:style w:type="character" w:styleId="Strong">
    <w:name w:val="Strong"/>
    <w:basedOn w:val="DefaultParagraphFont"/>
    <w:uiPriority w:val="22"/>
    <w:qFormat/>
    <w:rsid w:val="00456D99"/>
    <w:rPr>
      <w:b/>
      <w:bCs/>
    </w:rPr>
  </w:style>
  <w:style w:type="paragraph" w:customStyle="1" w:styleId="Default">
    <w:name w:val="Default"/>
    <w:rsid w:val="00985B23"/>
    <w:pPr>
      <w:autoSpaceDE w:val="0"/>
      <w:autoSpaceDN w:val="0"/>
      <w:adjustRightInd w:val="0"/>
      <w:spacing w:line="240" w:lineRule="auto"/>
      <w:jc w:val="left"/>
    </w:pPr>
    <w:rPr>
      <w:rFonts w:ascii="Arial" w:hAnsi="Arial" w:cs="Arial"/>
      <w:color w:val="000000"/>
      <w:szCs w:val="24"/>
    </w:rPr>
  </w:style>
  <w:style w:type="paragraph" w:styleId="ListParagraph">
    <w:name w:val="List Paragraph"/>
    <w:basedOn w:val="Normal"/>
    <w:uiPriority w:val="34"/>
    <w:qFormat/>
    <w:rsid w:val="00985B23"/>
    <w:pPr>
      <w:ind w:left="720"/>
      <w:contextualSpacing/>
    </w:pPr>
  </w:style>
  <w:style w:type="character" w:styleId="Hyperlink">
    <w:name w:val="Hyperlink"/>
    <w:basedOn w:val="DefaultParagraphFont"/>
    <w:uiPriority w:val="99"/>
    <w:unhideWhenUsed/>
    <w:rsid w:val="00652568"/>
    <w:rPr>
      <w:color w:val="0563C1" w:themeColor="hyperlink"/>
      <w:u w:val="single"/>
    </w:rPr>
  </w:style>
  <w:style w:type="character" w:styleId="LineNumber">
    <w:name w:val="line number"/>
    <w:basedOn w:val="DefaultParagraphFont"/>
    <w:uiPriority w:val="99"/>
    <w:semiHidden/>
    <w:unhideWhenUsed/>
    <w:rsid w:val="00121D10"/>
  </w:style>
  <w:style w:type="character" w:styleId="UnresolvedMention">
    <w:name w:val="Unresolved Mention"/>
    <w:basedOn w:val="DefaultParagraphFont"/>
    <w:uiPriority w:val="99"/>
    <w:semiHidden/>
    <w:unhideWhenUsed/>
    <w:rsid w:val="00486C6E"/>
    <w:rPr>
      <w:color w:val="605E5C"/>
      <w:shd w:val="clear" w:color="auto" w:fill="E1DFDD"/>
    </w:rPr>
  </w:style>
  <w:style w:type="paragraph" w:styleId="Header">
    <w:name w:val="header"/>
    <w:basedOn w:val="Normal"/>
    <w:link w:val="HeaderChar"/>
    <w:uiPriority w:val="99"/>
    <w:unhideWhenUsed/>
    <w:rsid w:val="00ED679E"/>
    <w:pPr>
      <w:tabs>
        <w:tab w:val="center" w:pos="4680"/>
        <w:tab w:val="right" w:pos="9360"/>
      </w:tabs>
      <w:spacing w:line="240" w:lineRule="auto"/>
    </w:pPr>
  </w:style>
  <w:style w:type="character" w:customStyle="1" w:styleId="HeaderChar">
    <w:name w:val="Header Char"/>
    <w:basedOn w:val="DefaultParagraphFont"/>
    <w:link w:val="Header"/>
    <w:uiPriority w:val="99"/>
    <w:rsid w:val="00ED679E"/>
  </w:style>
  <w:style w:type="paragraph" w:styleId="Footer">
    <w:name w:val="footer"/>
    <w:basedOn w:val="Normal"/>
    <w:link w:val="FooterChar"/>
    <w:uiPriority w:val="99"/>
    <w:unhideWhenUsed/>
    <w:rsid w:val="00ED679E"/>
    <w:pPr>
      <w:tabs>
        <w:tab w:val="center" w:pos="4680"/>
        <w:tab w:val="right" w:pos="9360"/>
      </w:tabs>
      <w:spacing w:line="240" w:lineRule="auto"/>
    </w:pPr>
  </w:style>
  <w:style w:type="character" w:customStyle="1" w:styleId="FooterChar">
    <w:name w:val="Footer Char"/>
    <w:basedOn w:val="DefaultParagraphFont"/>
    <w:link w:val="Footer"/>
    <w:uiPriority w:val="99"/>
    <w:rsid w:val="00ED67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1767813">
      <w:bodyDiv w:val="1"/>
      <w:marLeft w:val="0"/>
      <w:marRight w:val="0"/>
      <w:marTop w:val="0"/>
      <w:marBottom w:val="0"/>
      <w:divBdr>
        <w:top w:val="none" w:sz="0" w:space="0" w:color="auto"/>
        <w:left w:val="none" w:sz="0" w:space="0" w:color="auto"/>
        <w:bottom w:val="none" w:sz="0" w:space="0" w:color="auto"/>
        <w:right w:val="none" w:sz="0" w:space="0" w:color="auto"/>
      </w:divBdr>
    </w:div>
    <w:div w:id="480316146">
      <w:bodyDiv w:val="1"/>
      <w:marLeft w:val="0"/>
      <w:marRight w:val="0"/>
      <w:marTop w:val="0"/>
      <w:marBottom w:val="0"/>
      <w:divBdr>
        <w:top w:val="none" w:sz="0" w:space="0" w:color="auto"/>
        <w:left w:val="none" w:sz="0" w:space="0" w:color="auto"/>
        <w:bottom w:val="none" w:sz="0" w:space="0" w:color="auto"/>
        <w:right w:val="none" w:sz="0" w:space="0" w:color="auto"/>
      </w:divBdr>
    </w:div>
    <w:div w:id="1681663727">
      <w:bodyDiv w:val="1"/>
      <w:marLeft w:val="0"/>
      <w:marRight w:val="0"/>
      <w:marTop w:val="0"/>
      <w:marBottom w:val="0"/>
      <w:divBdr>
        <w:top w:val="none" w:sz="0" w:space="0" w:color="auto"/>
        <w:left w:val="none" w:sz="0" w:space="0" w:color="auto"/>
        <w:bottom w:val="none" w:sz="0" w:space="0" w:color="auto"/>
        <w:right w:val="none" w:sz="0" w:space="0" w:color="auto"/>
      </w:divBdr>
    </w:div>
    <w:div w:id="1755709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38/s43586-022-00184-w" TargetMode="External"/><Relationship Id="rId18" Type="http://schemas.openxmlformats.org/officeDocument/2006/relationships/hyperlink" Target="https://doi.org/10.5897/ajar2020.14907" TargetMode="External"/><Relationship Id="rId26" Type="http://schemas.openxmlformats.org/officeDocument/2006/relationships/image" Target="media/image2.jpeg"/><Relationship Id="rId39" Type="http://schemas.openxmlformats.org/officeDocument/2006/relationships/theme" Target="theme/theme1.xml"/><Relationship Id="rId21" Type="http://schemas.openxmlformats.org/officeDocument/2006/relationships/hyperlink" Target="https://doi.org/10.11591/eei.v13i1.6073" TargetMode="External"/><Relationship Id="rId34" Type="http://schemas.openxmlformats.org/officeDocument/2006/relationships/footer" Target="footer1.xml"/><Relationship Id="rId7" Type="http://schemas.openxmlformats.org/officeDocument/2006/relationships/hyperlink" Target="https://doi.org/10.1007/s13369-024-09183-3" TargetMode="External"/><Relationship Id="rId12" Type="http://schemas.openxmlformats.org/officeDocument/2006/relationships/hyperlink" Target="https://doi.org/10.24925/turjaf.v9i8.1426-1435.4250" TargetMode="External"/><Relationship Id="rId17" Type="http://schemas.openxmlformats.org/officeDocument/2006/relationships/hyperlink" Target="https://doi.org/10.9734/ajarr/2020/v8i130188" TargetMode="External"/><Relationship Id="rId25" Type="http://schemas.openxmlformats.org/officeDocument/2006/relationships/image" Target="media/image1.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12692/ijb/9.4.297-304" TargetMode="External"/><Relationship Id="rId20" Type="http://schemas.openxmlformats.org/officeDocument/2006/relationships/hyperlink" Target="https://doi.org/10.3390/agronomy14020350" TargetMode="External"/><Relationship Id="rId29"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4236/ae.2019.72004" TargetMode="External"/><Relationship Id="rId24" Type="http://schemas.openxmlformats.org/officeDocument/2006/relationships/hyperlink" Target="https://doi.org/10.1016/j.heliyon.2023.e18958"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doi.org/10.15832/ankutbd.973781" TargetMode="External"/><Relationship Id="rId23" Type="http://schemas.openxmlformats.org/officeDocument/2006/relationships/hyperlink" Target="https://doi.org/10.31018/jans.v15i1.4261" TargetMode="External"/><Relationship Id="rId28" Type="http://schemas.openxmlformats.org/officeDocument/2006/relationships/image" Target="media/image4.jpeg"/><Relationship Id="rId36" Type="http://schemas.openxmlformats.org/officeDocument/2006/relationships/header" Target="header3.xml"/><Relationship Id="rId10" Type="http://schemas.openxmlformats.org/officeDocument/2006/relationships/hyperlink" Target="https://doi.org/10.3329/jbs.v31i2.74142" TargetMode="External"/><Relationship Id="rId19" Type="http://schemas.openxmlformats.org/officeDocument/2006/relationships/hyperlink" Target="https://doi.org/10.1016/j.scienta.2019.108862" TargetMode="External"/><Relationship Id="rId31"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doi.org/10.13189/fst.2024.120101" TargetMode="External"/><Relationship Id="rId14" Type="http://schemas.openxmlformats.org/officeDocument/2006/relationships/hyperlink" Target="https://doi.org/10.24294/th.v7i1.3951" TargetMode="External"/><Relationship Id="rId22" Type="http://schemas.openxmlformats.org/officeDocument/2006/relationships/hyperlink" Target="http://www.iosrjournals.org/" TargetMode="External"/><Relationship Id="rId27" Type="http://schemas.openxmlformats.org/officeDocument/2006/relationships/image" Target="media/image3.jpeg"/><Relationship Id="rId30" Type="http://schemas.openxmlformats.org/officeDocument/2006/relationships/image" Target="media/image6.png"/><Relationship Id="rId35" Type="http://schemas.openxmlformats.org/officeDocument/2006/relationships/footer" Target="footer2.xml"/><Relationship Id="rId8" Type="http://schemas.openxmlformats.org/officeDocument/2006/relationships/hyperlink" Target="https://doi.org/10.1371/journal.pone.0048198"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21</Pages>
  <Words>5040</Words>
  <Characters>28731</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Omar Kayess</dc:creator>
  <cp:keywords/>
  <dc:description/>
  <cp:lastModifiedBy>SDI 1084</cp:lastModifiedBy>
  <cp:revision>7</cp:revision>
  <dcterms:created xsi:type="dcterms:W3CDTF">2025-10-30T11:16:00Z</dcterms:created>
  <dcterms:modified xsi:type="dcterms:W3CDTF">2025-10-31T10:38:00Z</dcterms:modified>
</cp:coreProperties>
</file>