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D6A6B" w14:textId="77777777" w:rsidR="00754C9A" w:rsidRDefault="00754C9A" w:rsidP="00441B6F">
      <w:pPr>
        <w:pStyle w:val="Title"/>
        <w:spacing w:after="0"/>
        <w:jc w:val="both"/>
        <w:rPr>
          <w:rFonts w:ascii="Arial" w:hAnsi="Arial" w:cs="Arial"/>
        </w:rPr>
      </w:pPr>
    </w:p>
    <w:p w14:paraId="1A409B3C" w14:textId="77777777" w:rsidR="00A87761" w:rsidRPr="00A87761" w:rsidRDefault="00A87761" w:rsidP="00A87761">
      <w:pPr>
        <w:pStyle w:val="Author"/>
        <w:rPr>
          <w:rFonts w:ascii="Arial" w:hAnsi="Arial" w:cs="Arial"/>
          <w:bCs/>
          <w:i/>
          <w:iCs/>
          <w:kern w:val="28"/>
          <w:sz w:val="36"/>
          <w:u w:val="single"/>
        </w:rPr>
      </w:pPr>
      <w:r w:rsidRPr="00A87761">
        <w:rPr>
          <w:rFonts w:ascii="Arial" w:hAnsi="Arial" w:cs="Arial"/>
          <w:bCs/>
          <w:i/>
          <w:iCs/>
          <w:kern w:val="28"/>
          <w:sz w:val="36"/>
          <w:u w:val="single"/>
        </w:rPr>
        <w:t>Minireview Article</w:t>
      </w:r>
    </w:p>
    <w:p w14:paraId="2A662985" w14:textId="16958E16" w:rsidR="00A258C3" w:rsidRPr="00790ADA" w:rsidRDefault="00E637B9" w:rsidP="00E637B9">
      <w:pPr>
        <w:pStyle w:val="Author"/>
        <w:spacing w:line="240" w:lineRule="auto"/>
        <w:rPr>
          <w:rFonts w:ascii="Arial" w:hAnsi="Arial" w:cs="Arial"/>
          <w:sz w:val="36"/>
        </w:rPr>
      </w:pPr>
      <w:r w:rsidRPr="00E637B9">
        <w:rPr>
          <w:rFonts w:ascii="Arial" w:hAnsi="Arial" w:cs="Arial"/>
          <w:bCs/>
          <w:iCs/>
          <w:kern w:val="28"/>
          <w:sz w:val="36"/>
        </w:rPr>
        <w:t>Boundary Drivers in Agribusiness: A Review on Market-Centered Growth and Development</w:t>
      </w:r>
    </w:p>
    <w:p w14:paraId="1D1AF41E" w14:textId="77777777" w:rsidR="00E637B9" w:rsidRDefault="00E637B9" w:rsidP="00E637B9">
      <w:pPr>
        <w:pStyle w:val="Author"/>
        <w:spacing w:line="240" w:lineRule="auto"/>
        <w:rPr>
          <w:rFonts w:ascii="Times New Roman" w:hAnsi="Times New Roman"/>
          <w:szCs w:val="24"/>
        </w:rPr>
      </w:pPr>
    </w:p>
    <w:p w14:paraId="78AEB3D2" w14:textId="6C1916F7" w:rsidR="00B01FCD" w:rsidRPr="00FB3A86" w:rsidRDefault="00B01FCD" w:rsidP="00441B6F">
      <w:pPr>
        <w:pStyle w:val="Copyright"/>
        <w:spacing w:after="0" w:line="240" w:lineRule="auto"/>
        <w:jc w:val="both"/>
        <w:rPr>
          <w:rFonts w:ascii="Arial" w:hAnsi="Arial" w:cs="Arial"/>
        </w:rPr>
        <w:sectPr w:rsidR="00B01FCD" w:rsidRPr="00FB3A86" w:rsidSect="00A166A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1357A8B" w14:textId="7157107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BAB1F0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296529" w:rsidRPr="001E44FE" w14:paraId="0A1B6B43" w14:textId="77777777" w:rsidTr="001E44FE">
        <w:tc>
          <w:tcPr>
            <w:tcW w:w="9576" w:type="dxa"/>
            <w:shd w:val="clear" w:color="auto" w:fill="F2F2F2"/>
          </w:tcPr>
          <w:p w14:paraId="27A2A98D" w14:textId="7509A73D" w:rsidR="00F21FDF" w:rsidRDefault="00F21FDF" w:rsidP="00441B6F">
            <w:pPr>
              <w:pStyle w:val="Body"/>
              <w:spacing w:after="0"/>
              <w:rPr>
                <w:rFonts w:ascii="Arial" w:eastAsia="Calibri" w:hAnsi="Arial" w:cs="Arial"/>
                <w:szCs w:val="22"/>
              </w:rPr>
            </w:pPr>
            <w:r w:rsidRPr="00F21FDF">
              <w:rPr>
                <w:rFonts w:ascii="Arial" w:eastAsia="Calibri" w:hAnsi="Arial" w:cs="Arial"/>
                <w:szCs w:val="22"/>
              </w:rPr>
              <w:t xml:space="preserve">Agribusiness today stands at the intersection of rapid technological change, evolving market demands and shifting institutional frameworks. As global food systems confront increasing pressures from sustainability challenges and economic integration, understanding the forces that expand and redefine agribusiness boundaries has become essential for ensuring long-term growth and resilience. </w:t>
            </w:r>
          </w:p>
          <w:p w14:paraId="4983C11C" w14:textId="77777777" w:rsidR="00F21FDF" w:rsidRDefault="00F21FDF" w:rsidP="00441B6F">
            <w:pPr>
              <w:pStyle w:val="Body"/>
              <w:spacing w:after="0"/>
              <w:rPr>
                <w:rFonts w:ascii="Arial" w:eastAsia="Calibri" w:hAnsi="Arial" w:cs="Arial"/>
                <w:szCs w:val="22"/>
              </w:rPr>
            </w:pPr>
          </w:p>
          <w:p w14:paraId="4192DCC1" w14:textId="77777777" w:rsidR="00F21FDF" w:rsidRDefault="00F21FDF" w:rsidP="00441B6F">
            <w:pPr>
              <w:pStyle w:val="Body"/>
              <w:spacing w:after="0"/>
              <w:rPr>
                <w:rFonts w:ascii="Arial" w:eastAsia="Calibri" w:hAnsi="Arial" w:cs="Arial"/>
                <w:szCs w:val="22"/>
              </w:rPr>
            </w:pPr>
            <w:r w:rsidRPr="00F21FDF">
              <w:rPr>
                <w:rFonts w:ascii="Arial" w:eastAsia="Calibri" w:hAnsi="Arial" w:cs="Arial"/>
                <w:szCs w:val="22"/>
              </w:rPr>
              <w:t>This study, “Boundary Drivers in Agribusiness: A Review on Market-Centered Growth and Development,” examines the evolving dynamics that shape the boundaries of modern agribusiness systems. It explores how market, technological, institutional</w:t>
            </w:r>
            <w:r>
              <w:rPr>
                <w:rFonts w:ascii="Arial" w:eastAsia="Calibri" w:hAnsi="Arial" w:cs="Arial"/>
                <w:szCs w:val="22"/>
              </w:rPr>
              <w:t xml:space="preserve"> </w:t>
            </w:r>
            <w:r w:rsidRPr="00F21FDF">
              <w:rPr>
                <w:rFonts w:ascii="Arial" w:eastAsia="Calibri" w:hAnsi="Arial" w:cs="Arial"/>
                <w:szCs w:val="22"/>
              </w:rPr>
              <w:t>and policy forces collectively influence the transformation of agribusiness from traditional production models to integrated sustainability-oriented frameworks. The review draws from rece</w:t>
            </w:r>
            <w:bookmarkStart w:id="0" w:name="_GoBack"/>
            <w:bookmarkEnd w:id="0"/>
            <w:r w:rsidRPr="00F21FDF">
              <w:rPr>
                <w:rFonts w:ascii="Arial" w:eastAsia="Calibri" w:hAnsi="Arial" w:cs="Arial"/>
                <w:szCs w:val="22"/>
              </w:rPr>
              <w:t xml:space="preserve">nt scholarly literature to analyze the conceptual foundations of boundary drivers, the historical evolution of agribusiness structures and the growing significance of market-centered expansion. </w:t>
            </w:r>
          </w:p>
          <w:p w14:paraId="5E526F51" w14:textId="77777777" w:rsidR="00F21FDF" w:rsidRDefault="00F21FDF" w:rsidP="00441B6F">
            <w:pPr>
              <w:pStyle w:val="Body"/>
              <w:spacing w:after="0"/>
              <w:rPr>
                <w:rFonts w:ascii="Arial" w:eastAsia="Calibri" w:hAnsi="Arial" w:cs="Arial"/>
                <w:szCs w:val="22"/>
              </w:rPr>
            </w:pPr>
          </w:p>
          <w:p w14:paraId="5557E2D4" w14:textId="3FFAD255" w:rsidR="00F21FDF" w:rsidRDefault="00F21FDF" w:rsidP="00441B6F">
            <w:pPr>
              <w:pStyle w:val="Body"/>
              <w:spacing w:after="0"/>
              <w:rPr>
                <w:rFonts w:ascii="Arial" w:eastAsia="Calibri" w:hAnsi="Arial" w:cs="Arial"/>
                <w:szCs w:val="22"/>
              </w:rPr>
            </w:pPr>
            <w:r w:rsidRPr="00F21FDF">
              <w:rPr>
                <w:rFonts w:ascii="Arial" w:eastAsia="Calibri" w:hAnsi="Arial" w:cs="Arial"/>
                <w:szCs w:val="22"/>
              </w:rPr>
              <w:t xml:space="preserve">Findings reveal that agribusiness boundaries are continuously reshaped by market globalization, consumer demand and digital innovation. Technological advancements particularly in artificial intelligence, blockchain and circular economy applications have enhanced operational efficiency, transparency and resource management. Institutional and policy frameworks provide critical support for innovation and sustainability though challenges such as limited access to markets, capital and technology persist. Despite these constraints, opportunities emerge through eco-innovation, inclusive participation of women and youth, and adaptive business models that align with environmental and social imperatives. </w:t>
            </w:r>
          </w:p>
          <w:p w14:paraId="67B252D8" w14:textId="77777777" w:rsidR="00F21FDF" w:rsidRDefault="00F21FDF" w:rsidP="00441B6F">
            <w:pPr>
              <w:pStyle w:val="Body"/>
              <w:spacing w:after="0"/>
              <w:rPr>
                <w:rFonts w:ascii="Arial" w:eastAsia="Calibri" w:hAnsi="Arial" w:cs="Arial"/>
                <w:szCs w:val="22"/>
              </w:rPr>
            </w:pPr>
          </w:p>
          <w:p w14:paraId="0989E4CE" w14:textId="4D131D47" w:rsidR="00505F06" w:rsidRPr="00BA1B01" w:rsidRDefault="00F21FDF" w:rsidP="00441B6F">
            <w:pPr>
              <w:pStyle w:val="Body"/>
              <w:spacing w:after="0"/>
              <w:rPr>
                <w:rFonts w:ascii="Arial" w:eastAsia="Calibri" w:hAnsi="Arial" w:cs="Arial"/>
                <w:szCs w:val="22"/>
              </w:rPr>
            </w:pPr>
            <w:r w:rsidRPr="00F21FDF">
              <w:rPr>
                <w:rFonts w:ascii="Arial" w:eastAsia="Calibri" w:hAnsi="Arial" w:cs="Arial"/>
                <w:szCs w:val="22"/>
              </w:rPr>
              <w:t>The study concludes that the future of agribusiness depends on the integration of technological innovation, market responsiveness and sound institutional governance. A collaborative and adaptive approach balancing economic growth with sustainability and inclusivity will be essential for strengthening agribusiness competitiveness and ensuring long-term food system resilience.</w:t>
            </w:r>
          </w:p>
        </w:tc>
      </w:tr>
    </w:tbl>
    <w:p w14:paraId="58EE9433" w14:textId="77777777" w:rsidR="00636EB2" w:rsidRDefault="00636EB2" w:rsidP="00441B6F">
      <w:pPr>
        <w:pStyle w:val="Body"/>
        <w:spacing w:after="0"/>
        <w:rPr>
          <w:rFonts w:ascii="Arial" w:hAnsi="Arial" w:cs="Arial"/>
          <w:i/>
        </w:rPr>
      </w:pPr>
    </w:p>
    <w:p w14:paraId="53B83E78" w14:textId="7D72890D" w:rsidR="00A24E7E" w:rsidRDefault="00A24E7E" w:rsidP="00441B6F">
      <w:pPr>
        <w:pStyle w:val="Body"/>
        <w:spacing w:after="0"/>
        <w:rPr>
          <w:rFonts w:ascii="Arial" w:hAnsi="Arial" w:cs="Arial"/>
          <w:i/>
        </w:rPr>
      </w:pPr>
      <w:r>
        <w:rPr>
          <w:rFonts w:ascii="Arial" w:hAnsi="Arial" w:cs="Arial"/>
          <w:i/>
        </w:rPr>
        <w:t>Keywords:</w:t>
      </w:r>
      <w:r w:rsidR="00F21FDF" w:rsidRPr="00F21FDF">
        <w:rPr>
          <w:rFonts w:ascii="Arial" w:hAnsi="Arial" w:cs="Arial"/>
          <w:i/>
        </w:rPr>
        <w:t xml:space="preserve"> Circular Economy, Digital Transformation, Value Chain Integration, Eco-Innovation, Inclusive Development</w:t>
      </w:r>
    </w:p>
    <w:p w14:paraId="5E41688B" w14:textId="77777777" w:rsidR="00790ADA" w:rsidRDefault="00790ADA" w:rsidP="00441B6F">
      <w:pPr>
        <w:pStyle w:val="Body"/>
        <w:spacing w:after="0"/>
        <w:rPr>
          <w:rFonts w:ascii="Arial" w:hAnsi="Arial" w:cs="Arial"/>
          <w:i/>
        </w:rPr>
      </w:pPr>
    </w:p>
    <w:p w14:paraId="74CCD6E4" w14:textId="77777777" w:rsidR="0024282C" w:rsidRDefault="0024282C" w:rsidP="00441B6F">
      <w:pPr>
        <w:pStyle w:val="Body"/>
        <w:spacing w:after="0"/>
        <w:rPr>
          <w:rFonts w:ascii="Arial" w:hAnsi="Arial" w:cs="Arial"/>
          <w:i/>
          <w:sz w:val="18"/>
        </w:rPr>
      </w:pPr>
    </w:p>
    <w:p w14:paraId="5FFC3FE1" w14:textId="77777777" w:rsidR="00F21FDF" w:rsidRDefault="00F21FDF" w:rsidP="00441B6F">
      <w:pPr>
        <w:pStyle w:val="Body"/>
        <w:spacing w:after="0"/>
        <w:rPr>
          <w:rFonts w:ascii="Arial" w:hAnsi="Arial" w:cs="Arial"/>
          <w:i/>
          <w:sz w:val="18"/>
        </w:rPr>
      </w:pPr>
    </w:p>
    <w:p w14:paraId="715CDB64" w14:textId="77777777" w:rsidR="00505F06" w:rsidRPr="00A24E7E" w:rsidRDefault="00505F06" w:rsidP="00441B6F">
      <w:pPr>
        <w:pStyle w:val="Body"/>
        <w:spacing w:after="0"/>
        <w:rPr>
          <w:rFonts w:ascii="Arial" w:hAnsi="Arial" w:cs="Arial"/>
          <w:i/>
        </w:rPr>
      </w:pPr>
    </w:p>
    <w:p w14:paraId="29375B9D" w14:textId="1176E792" w:rsidR="00F21FDF" w:rsidRDefault="00902823" w:rsidP="00F21FD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077D1AC" w14:textId="77777777" w:rsidR="00F21FDF" w:rsidRDefault="00F21FDF" w:rsidP="00F21FDF">
      <w:pPr>
        <w:pStyle w:val="AbstHead"/>
        <w:spacing w:after="0"/>
        <w:jc w:val="both"/>
        <w:rPr>
          <w:rFonts w:ascii="Arial" w:hAnsi="Arial" w:cs="Arial"/>
        </w:rPr>
      </w:pPr>
    </w:p>
    <w:p w14:paraId="7CB9F7EA" w14:textId="77777777" w:rsidR="00F21FDF" w:rsidRPr="00F21FDF" w:rsidRDefault="00F21FDF" w:rsidP="00F21FDF">
      <w:pPr>
        <w:pStyle w:val="Body"/>
        <w:rPr>
          <w:rFonts w:ascii="Arial" w:hAnsi="Arial" w:cs="Arial"/>
        </w:rPr>
      </w:pPr>
      <w:r w:rsidRPr="00F21FDF">
        <w:rPr>
          <w:rFonts w:ascii="Arial" w:hAnsi="Arial" w:cs="Arial"/>
        </w:rPr>
        <w:t xml:space="preserve">Agribusiness has evolved into a multidimensional and dynamic system that extends beyond traditional agricultural production encompassing processing, distribution, marketing, and consumption. This expansion of boundaries reflects the growing interconnectedness between agriculture and other economic sectors driven by technological advancement, market integration, and institutional transformation (Mühl et al., 2024). The concept of boundary drivers in agribusiness highlights the forces that redefine and extend the sector’s </w:t>
      </w:r>
      <w:r w:rsidRPr="00F21FDF">
        <w:rPr>
          <w:rFonts w:ascii="Arial" w:hAnsi="Arial" w:cs="Arial"/>
        </w:rPr>
        <w:lastRenderedPageBreak/>
        <w:t>operational scope, integrating economic, environmental, and social dimensions to achieve sustainable development (</w:t>
      </w:r>
      <w:proofErr w:type="spellStart"/>
      <w:r w:rsidRPr="00F21FDF">
        <w:rPr>
          <w:rFonts w:ascii="Arial" w:hAnsi="Arial" w:cs="Arial"/>
        </w:rPr>
        <w:t>Bakhuis</w:t>
      </w:r>
      <w:proofErr w:type="spellEnd"/>
      <w:r w:rsidRPr="00F21FDF">
        <w:rPr>
          <w:rFonts w:ascii="Arial" w:hAnsi="Arial" w:cs="Arial"/>
        </w:rPr>
        <w:t xml:space="preserve"> et al., 2024). As agribusiness adapts to global challenges such as climate change, resource scarcity, and shifting consumer preferences, understanding these boundary drivers becomes crucial for ensuring inclusive and sustainable growth.</w:t>
      </w:r>
    </w:p>
    <w:p w14:paraId="0568BFA0" w14:textId="77777777" w:rsidR="00F21FDF" w:rsidRPr="00F21FDF" w:rsidRDefault="00F21FDF" w:rsidP="00F21FDF">
      <w:pPr>
        <w:pStyle w:val="Body"/>
        <w:rPr>
          <w:rFonts w:ascii="Arial" w:hAnsi="Arial" w:cs="Arial"/>
        </w:rPr>
      </w:pPr>
      <w:r w:rsidRPr="00F21FDF">
        <w:rPr>
          <w:rFonts w:ascii="Arial" w:hAnsi="Arial" w:cs="Arial"/>
        </w:rPr>
        <w:t>Historically, agribusiness has transitioned from production-centered models to integrated and sustainability-oriented systems, emphasizing efficiency and circularity (Khan and Mahajan, 2024; Liu and Kringos, 2024). The emergence of the circular economy and digital transformation has transformed how enterprises operate, improving productivity, traceability and resource utilization (Fuzail and Shareef, 2025). Market-centered forces, including globalization, evolving consumer behavior and technological competitiveness have further expanded agribusiness boundaries by reshaping value chains and encouraging innovation (Migunov et al., 2023; Leitão et al., 2023). These trends illustrate the increasing need for adaptive strategies that align with economic opportunities while addressing environmental and social imperatives.</w:t>
      </w:r>
    </w:p>
    <w:p w14:paraId="1E8C1B18" w14:textId="77777777" w:rsidR="00F21FDF" w:rsidRPr="00F21FDF" w:rsidRDefault="00F21FDF" w:rsidP="00F21FDF">
      <w:pPr>
        <w:pStyle w:val="Body"/>
        <w:rPr>
          <w:rFonts w:ascii="Arial" w:hAnsi="Arial" w:cs="Arial"/>
        </w:rPr>
      </w:pPr>
      <w:r w:rsidRPr="00F21FDF">
        <w:rPr>
          <w:rFonts w:ascii="Arial" w:hAnsi="Arial" w:cs="Arial"/>
        </w:rPr>
        <w:t>Institutional and policy influences also play a vital role in shaping agribusiness development. Governance frameworks, regulations, and policy incentives determine the extent to which innovation and sustainability can thrive within the sector (</w:t>
      </w:r>
      <w:proofErr w:type="spellStart"/>
      <w:r w:rsidRPr="00F21FDF">
        <w:rPr>
          <w:rFonts w:ascii="Arial" w:hAnsi="Arial" w:cs="Arial"/>
        </w:rPr>
        <w:t>Dingkuhn</w:t>
      </w:r>
      <w:proofErr w:type="spellEnd"/>
      <w:r w:rsidRPr="00F21FDF">
        <w:rPr>
          <w:rFonts w:ascii="Arial" w:hAnsi="Arial" w:cs="Arial"/>
        </w:rPr>
        <w:t xml:space="preserve"> et al., 2025). However, the expansion of agribusiness boundaries is not without challenges. Limited access to resources, market barriers, and organizational inertia often hinder smallholder farmers and enterprises from fully participating in market-centered growth (Mahfud et al., 2024). Despite these challenges, opportunities abound through digital transformation, eco-innovation, and inclusive participation of women and youth in agribusiness systems (</w:t>
      </w:r>
      <w:proofErr w:type="spellStart"/>
      <w:r w:rsidRPr="00F21FDF">
        <w:rPr>
          <w:rFonts w:ascii="Arial" w:hAnsi="Arial" w:cs="Arial"/>
        </w:rPr>
        <w:t>Kadzamira</w:t>
      </w:r>
      <w:proofErr w:type="spellEnd"/>
      <w:r w:rsidRPr="00F21FDF">
        <w:rPr>
          <w:rFonts w:ascii="Arial" w:hAnsi="Arial" w:cs="Arial"/>
        </w:rPr>
        <w:t xml:space="preserve"> et al., 2024).</w:t>
      </w:r>
    </w:p>
    <w:p w14:paraId="2AAC4D9E" w14:textId="6D77307A" w:rsidR="00B95236" w:rsidRDefault="00F21FDF" w:rsidP="00F21FDF">
      <w:pPr>
        <w:pStyle w:val="Body"/>
        <w:spacing w:after="0"/>
        <w:rPr>
          <w:rFonts w:ascii="Arial" w:hAnsi="Arial" w:cs="Arial"/>
        </w:rPr>
      </w:pPr>
      <w:r w:rsidRPr="00F21FDF">
        <w:rPr>
          <w:rFonts w:ascii="Arial" w:hAnsi="Arial" w:cs="Arial"/>
        </w:rPr>
        <w:t xml:space="preserve">This study, titled “Boundary Drivers in Agribusiness: A Review on Market-Centered Growth and Development,” seeks to examine the key drivers that influence the expansion of agribusiness boundaries and their implications for sustainability and competitiveness. Through a comprehensive review of recent literature, it explores the conceptual foundations, historical evolution, technological innovations, policy dynamics, and market-centered forces shaping modern agribusiness. By integrating these perspectives, the study aims to provide a deeper understanding of how agribusiness can achieve balanced growth anchored in innovation, inclusivity, and environmental stewardship. </w:t>
      </w:r>
      <w:r w:rsidR="006B57D0">
        <w:rPr>
          <w:rFonts w:ascii="Arial" w:hAnsi="Arial" w:cs="Arial"/>
        </w:rPr>
        <w:t>[</w:t>
      </w:r>
      <w:r w:rsidR="0066510A" w:rsidRPr="001E44FE">
        <w:rPr>
          <w:rFonts w:ascii="Arial" w:eastAsia="Calibri" w:hAnsi="Arial" w:cs="Arial"/>
          <w:szCs w:val="22"/>
        </w:rPr>
        <w:t>(</w:t>
      </w:r>
      <w:r w:rsidR="0066510A">
        <w:rPr>
          <w:rFonts w:ascii="Arial" w:eastAsia="Calibri" w:hAnsi="Arial" w:cs="Arial"/>
          <w:szCs w:val="22"/>
        </w:rPr>
        <w:t xml:space="preserve">Arial, normal, 10 </w:t>
      </w:r>
      <w:proofErr w:type="gramStart"/>
      <w:r w:rsidR="0066510A">
        <w:rPr>
          <w:rFonts w:ascii="Arial" w:eastAsia="Calibri" w:hAnsi="Arial" w:cs="Arial"/>
          <w:szCs w:val="22"/>
        </w:rPr>
        <w:t>font</w:t>
      </w:r>
      <w:proofErr w:type="gramEnd"/>
      <w:r w:rsidR="0066510A">
        <w:rPr>
          <w:rFonts w:ascii="Arial" w:eastAsia="Calibri" w:hAnsi="Arial" w:cs="Arial"/>
          <w:szCs w:val="22"/>
        </w:rPr>
        <w:t>, justified)</w:t>
      </w:r>
      <w:r w:rsidR="0066510A" w:rsidRPr="00B95236">
        <w:rPr>
          <w:rFonts w:ascii="Arial" w:hAnsi="Arial" w:cs="Arial"/>
        </w:rPr>
        <w:t xml:space="preserve"> </w:t>
      </w:r>
      <w:r w:rsidR="00B95236" w:rsidRPr="00B95236">
        <w:rPr>
          <w:rFonts w:ascii="Arial" w:hAnsi="Arial" w:cs="Arial"/>
        </w:rPr>
        <w:t xml:space="preserve">(Detailed instruction about this section is given below. After reading these instructions, please delete this paragraph and begin typing your text here. If you are </w:t>
      </w:r>
      <w:r w:rsidR="00E66496">
        <w:rPr>
          <w:rFonts w:ascii="Arial" w:hAnsi="Arial" w:cs="Arial"/>
        </w:rPr>
        <w:t>using copy-paste option then select ‘match destination formatting’ in paste option OR use</w:t>
      </w:r>
      <w:r w:rsidR="00B95236" w:rsidRPr="00B95236">
        <w:rPr>
          <w:rFonts w:ascii="Arial" w:hAnsi="Arial" w:cs="Arial"/>
        </w:rPr>
        <w:t xml:space="preserve"> ‘paste special’ option and select ‘unformatted Unicode text’ option)</w:t>
      </w:r>
      <w:r w:rsidR="00B95236">
        <w:rPr>
          <w:rFonts w:ascii="Arial" w:hAnsi="Arial" w:cs="Arial"/>
        </w:rPr>
        <w:t>.</w:t>
      </w:r>
      <w:r w:rsidR="00B95236" w:rsidRPr="00B95236">
        <w:rPr>
          <w:rFonts w:ascii="Arial" w:hAnsi="Arial" w:cs="Arial"/>
        </w:rPr>
        <w:t xml:space="preserve"> </w:t>
      </w:r>
    </w:p>
    <w:p w14:paraId="2F2A632B" w14:textId="77777777" w:rsidR="00505F06" w:rsidRDefault="00505F06" w:rsidP="00441B6F">
      <w:pPr>
        <w:pStyle w:val="Body"/>
        <w:spacing w:after="0"/>
        <w:rPr>
          <w:rFonts w:ascii="Arial" w:hAnsi="Arial" w:cs="Arial"/>
        </w:rPr>
      </w:pPr>
    </w:p>
    <w:p w14:paraId="2BFCCB52" w14:textId="4C06EFEC" w:rsidR="00F17CED" w:rsidRDefault="00F17CED" w:rsidP="00F17CED">
      <w:pPr>
        <w:pStyle w:val="AbstHead"/>
        <w:spacing w:after="0"/>
        <w:jc w:val="both"/>
        <w:rPr>
          <w:rFonts w:ascii="Arial" w:hAnsi="Arial" w:cs="Arial"/>
        </w:rPr>
      </w:pPr>
      <w:r>
        <w:rPr>
          <w:rFonts w:ascii="Arial" w:hAnsi="Arial" w:cs="Arial"/>
        </w:rPr>
        <w:t>2. literature review</w:t>
      </w:r>
    </w:p>
    <w:p w14:paraId="089761F5" w14:textId="77777777" w:rsidR="00F17CED" w:rsidRPr="00F17CED" w:rsidRDefault="00F17CED" w:rsidP="00F17CED">
      <w:pPr>
        <w:pStyle w:val="AbstHead"/>
        <w:spacing w:after="0"/>
        <w:jc w:val="both"/>
        <w:rPr>
          <w:rFonts w:ascii="Arial" w:hAnsi="Arial" w:cs="Arial"/>
          <w:bCs/>
        </w:rPr>
      </w:pPr>
    </w:p>
    <w:p w14:paraId="7793DAFE" w14:textId="2FD5CB46" w:rsidR="00F17CED" w:rsidRPr="00F17CED" w:rsidRDefault="00F17CED" w:rsidP="00F17CED">
      <w:pPr>
        <w:pStyle w:val="Body"/>
        <w:rPr>
          <w:rFonts w:ascii="Arial" w:hAnsi="Arial" w:cs="Arial"/>
          <w:b/>
          <w:bCs/>
        </w:rPr>
      </w:pPr>
      <w:r w:rsidRPr="00F17CED">
        <w:rPr>
          <w:rFonts w:ascii="Arial" w:hAnsi="Arial" w:cs="Arial"/>
          <w:b/>
          <w:bCs/>
        </w:rPr>
        <w:t>CONCEPTUAL FOUNDATIONS OF BOUNDARY DRIVERS IN AGRIBUSINESS</w:t>
      </w:r>
    </w:p>
    <w:p w14:paraId="7E454D30" w14:textId="77777777" w:rsidR="00F17CED" w:rsidRPr="00F17CED" w:rsidRDefault="00F17CED" w:rsidP="00F17CED">
      <w:pPr>
        <w:pStyle w:val="Body"/>
        <w:rPr>
          <w:rFonts w:ascii="Arial" w:hAnsi="Arial" w:cs="Arial"/>
        </w:rPr>
      </w:pPr>
      <w:r w:rsidRPr="00F17CED">
        <w:rPr>
          <w:rFonts w:ascii="Arial" w:hAnsi="Arial" w:cs="Arial"/>
        </w:rPr>
        <w:t>Boundary drivers in agribusiness refer to the dynamic forces that expand, transform, or redefine the scope and structure of agricultural and food systems including production, processing, distribution, and consumption system (Mühl et al., 2024). These drivers act as catalysts that push the agricultural sector beyond traditional boundaries integrating it with broader industrial, economic, and technological domains. The concept draws upon interdisciplinary perspectives that view agriculture as a complex system embedded within global value chains leading to conceptual frameworks such as “agribusiness” and “</w:t>
      </w:r>
      <w:proofErr w:type="spellStart"/>
      <w:r w:rsidRPr="00F17CED">
        <w:rPr>
          <w:rFonts w:ascii="Arial" w:hAnsi="Arial" w:cs="Arial"/>
        </w:rPr>
        <w:t>filière</w:t>
      </w:r>
      <w:proofErr w:type="spellEnd"/>
      <w:r w:rsidRPr="00F17CED">
        <w:rPr>
          <w:rFonts w:ascii="Arial" w:hAnsi="Arial" w:cs="Arial"/>
        </w:rPr>
        <w:t xml:space="preserve">,” which emphasize interconnections between producers, markets, and supporting industries (Mühl et al., 2024). Analytically, the Multi-Level Perspective (MLP) and Technological Innovation Systems (TIS) frameworks provide useful lenses for understanding boundary </w:t>
      </w:r>
      <w:r w:rsidRPr="00F17CED">
        <w:rPr>
          <w:rFonts w:ascii="Arial" w:hAnsi="Arial" w:cs="Arial"/>
        </w:rPr>
        <w:lastRenderedPageBreak/>
        <w:t>drivers as multi-system innovations that transcend isolated sectors (</w:t>
      </w:r>
      <w:proofErr w:type="spellStart"/>
      <w:r w:rsidRPr="00F17CED">
        <w:rPr>
          <w:rFonts w:ascii="Arial" w:hAnsi="Arial" w:cs="Arial"/>
        </w:rPr>
        <w:t>Bakhuis</w:t>
      </w:r>
      <w:proofErr w:type="spellEnd"/>
      <w:r w:rsidRPr="00F17CED">
        <w:rPr>
          <w:rFonts w:ascii="Arial" w:hAnsi="Arial" w:cs="Arial"/>
        </w:rPr>
        <w:t xml:space="preserve"> et al., 2024). These frameworks distinguish between structural components such as actors, networks, and institutions and key system functions like knowledge development, resource mobilization, and market formation. These components and functions interact to shape the evolution of agribusiness systems enabling innovation, diffusion, and adaptation in response to changing environmental and market contexts (</w:t>
      </w:r>
      <w:proofErr w:type="spellStart"/>
      <w:r w:rsidRPr="00F17CED">
        <w:rPr>
          <w:rFonts w:ascii="Arial" w:hAnsi="Arial" w:cs="Arial"/>
        </w:rPr>
        <w:t>Bakhuis</w:t>
      </w:r>
      <w:proofErr w:type="spellEnd"/>
      <w:r w:rsidRPr="00F17CED">
        <w:rPr>
          <w:rFonts w:ascii="Arial" w:hAnsi="Arial" w:cs="Arial"/>
        </w:rPr>
        <w:t xml:space="preserve"> et al., 2024). In this sense, boundary drivers are not merely external pressures but intrinsic mechanisms that stimulate systemic transformation and resilience across the agrifood value chain.</w:t>
      </w:r>
    </w:p>
    <w:p w14:paraId="43AF21A6" w14:textId="77777777" w:rsidR="00F17CED" w:rsidRPr="00F17CED" w:rsidRDefault="00F17CED" w:rsidP="00F17CED">
      <w:pPr>
        <w:pStyle w:val="Body"/>
        <w:rPr>
          <w:rFonts w:ascii="Arial" w:hAnsi="Arial" w:cs="Arial"/>
        </w:rPr>
      </w:pPr>
      <w:r w:rsidRPr="00F17CED">
        <w:rPr>
          <w:rFonts w:ascii="Arial" w:hAnsi="Arial" w:cs="Arial"/>
        </w:rPr>
        <w:t>From a sociotechnical perspective, boundary drivers can also be examined through the interactions between landscape developments, regime structures, and niche innovations. Landscape developments comprising broad exogenous factors such as demographic shifts, environmental challenges, policy transitions and technological change exert pressures on established regimes creating “windows of opportunity” for the emergence of novel agribusiness models (</w:t>
      </w:r>
      <w:proofErr w:type="spellStart"/>
      <w:r w:rsidRPr="00F17CED">
        <w:rPr>
          <w:rFonts w:ascii="Arial" w:hAnsi="Arial" w:cs="Arial"/>
        </w:rPr>
        <w:t>Bakhuis</w:t>
      </w:r>
      <w:proofErr w:type="spellEnd"/>
      <w:r w:rsidRPr="00F17CED">
        <w:rPr>
          <w:rFonts w:ascii="Arial" w:hAnsi="Arial" w:cs="Arial"/>
        </w:rPr>
        <w:t xml:space="preserve"> et al., 2024). Within this dynamic, niche innovations often small-scale, experimental, and context-specific serve as incubators of new practices and technologies that over time challenge and reshape existing industry regimes. Consequently, agribusiness evolves as a socio-technical system influenced by an interplay of market preferences, institutional arrangements, regulatory frameworks, cultural norms, and infrastructure development (</w:t>
      </w:r>
      <w:proofErr w:type="spellStart"/>
      <w:r w:rsidRPr="00F17CED">
        <w:rPr>
          <w:rFonts w:ascii="Arial" w:hAnsi="Arial" w:cs="Arial"/>
        </w:rPr>
        <w:t>Bakhuis</w:t>
      </w:r>
      <w:proofErr w:type="spellEnd"/>
      <w:r w:rsidRPr="00F17CED">
        <w:rPr>
          <w:rFonts w:ascii="Arial" w:hAnsi="Arial" w:cs="Arial"/>
        </w:rPr>
        <w:t xml:space="preserve"> et al., 2024).</w:t>
      </w:r>
    </w:p>
    <w:p w14:paraId="30AAB6D8" w14:textId="77777777" w:rsidR="00F17CED" w:rsidRPr="00F17CED" w:rsidRDefault="00F17CED" w:rsidP="00F17CED">
      <w:pPr>
        <w:pStyle w:val="Body"/>
        <w:rPr>
          <w:rFonts w:ascii="Arial" w:hAnsi="Arial" w:cs="Arial"/>
        </w:rPr>
      </w:pPr>
      <w:r w:rsidRPr="00F17CED">
        <w:rPr>
          <w:rFonts w:ascii="Arial" w:hAnsi="Arial" w:cs="Arial"/>
        </w:rPr>
        <w:t>In parallel, the Driver–Pressure–State–Impact–Response (DPSIR) framework offers a structured and systems-oriented approach to understanding the causal pathways through which human and environmental factors interact in agribusiness systems (</w:t>
      </w:r>
      <w:proofErr w:type="spellStart"/>
      <w:r w:rsidRPr="00F17CED">
        <w:rPr>
          <w:rFonts w:ascii="Arial" w:hAnsi="Arial" w:cs="Arial"/>
        </w:rPr>
        <w:t>Shammi</w:t>
      </w:r>
      <w:proofErr w:type="spellEnd"/>
      <w:r w:rsidRPr="00F17CED">
        <w:rPr>
          <w:rFonts w:ascii="Arial" w:hAnsi="Arial" w:cs="Arial"/>
        </w:rPr>
        <w:t xml:space="preserve"> et al., 2019). In this model, drivers such as population growth, technological advancement and economic expansion generate pressures on natural and production resources leading to altered states such as land degradation, biodiversity loss or reduced soil fertility. These changes subsequently produce impacts, including food insecurity or reduced ecosystem services which in turn trigger policy, institutional, or technological responses designed to mitigate or adapt to these outcomes (</w:t>
      </w:r>
      <w:proofErr w:type="spellStart"/>
      <w:r w:rsidRPr="00F17CED">
        <w:rPr>
          <w:rFonts w:ascii="Arial" w:hAnsi="Arial" w:cs="Arial"/>
        </w:rPr>
        <w:t>Shammi</w:t>
      </w:r>
      <w:proofErr w:type="spellEnd"/>
      <w:r w:rsidRPr="00F17CED">
        <w:rPr>
          <w:rFonts w:ascii="Arial" w:hAnsi="Arial" w:cs="Arial"/>
        </w:rPr>
        <w:t xml:space="preserve"> et al., 2019).</w:t>
      </w:r>
    </w:p>
    <w:p w14:paraId="203558A2" w14:textId="77777777" w:rsidR="00F17CED" w:rsidRPr="00F17CED" w:rsidRDefault="00F17CED" w:rsidP="00F17CED">
      <w:pPr>
        <w:pStyle w:val="Body"/>
        <w:rPr>
          <w:rFonts w:ascii="Arial" w:hAnsi="Arial" w:cs="Arial"/>
        </w:rPr>
      </w:pPr>
      <w:r w:rsidRPr="00F17CED">
        <w:rPr>
          <w:rFonts w:ascii="Arial" w:hAnsi="Arial" w:cs="Arial"/>
        </w:rPr>
        <w:t>Extending this logic, both proximate and underlying factors including demographic, economic, technological, policy, institutional, and cultural dimensions function as critical boundary drivers in agribusiness (</w:t>
      </w:r>
      <w:proofErr w:type="spellStart"/>
      <w:r w:rsidRPr="00F17CED">
        <w:rPr>
          <w:rFonts w:ascii="Arial" w:hAnsi="Arial" w:cs="Arial"/>
        </w:rPr>
        <w:t>Tebkew</w:t>
      </w:r>
      <w:proofErr w:type="spellEnd"/>
      <w:r w:rsidRPr="00F17CED">
        <w:rPr>
          <w:rFonts w:ascii="Arial" w:hAnsi="Arial" w:cs="Arial"/>
        </w:rPr>
        <w:t xml:space="preserve"> and </w:t>
      </w:r>
      <w:proofErr w:type="spellStart"/>
      <w:r w:rsidRPr="00F17CED">
        <w:rPr>
          <w:rFonts w:ascii="Arial" w:hAnsi="Arial" w:cs="Arial"/>
        </w:rPr>
        <w:t>Atinkut</w:t>
      </w:r>
      <w:proofErr w:type="spellEnd"/>
      <w:r w:rsidRPr="00F17CED">
        <w:rPr>
          <w:rFonts w:ascii="Arial" w:hAnsi="Arial" w:cs="Arial"/>
        </w:rPr>
        <w:t xml:space="preserve">, 2022; </w:t>
      </w:r>
      <w:proofErr w:type="spellStart"/>
      <w:r w:rsidRPr="00F17CED">
        <w:rPr>
          <w:rFonts w:ascii="Arial" w:hAnsi="Arial" w:cs="Arial"/>
        </w:rPr>
        <w:t>Carodenuto</w:t>
      </w:r>
      <w:proofErr w:type="spellEnd"/>
      <w:r w:rsidRPr="00F17CED">
        <w:rPr>
          <w:rFonts w:ascii="Arial" w:hAnsi="Arial" w:cs="Arial"/>
        </w:rPr>
        <w:t xml:space="preserve"> et al., 2015). Proximate drivers often manifest as direct actions affecting land use, production intensity and resource allocation while underlying drivers shape the structural conditions that determine the trajectory of agribusiness growth and sustainability. The interaction of these forces underscores the complexity of agribusiness systems where local practices are continuously influenced by global market dynamics, environmental pressures, and technological evolution.</w:t>
      </w:r>
    </w:p>
    <w:p w14:paraId="3996025D" w14:textId="14CD03E3" w:rsidR="00F17CED" w:rsidRPr="00F17CED" w:rsidRDefault="00F17CED" w:rsidP="00F17CED">
      <w:pPr>
        <w:pStyle w:val="Body"/>
        <w:rPr>
          <w:rFonts w:ascii="Arial" w:hAnsi="Arial" w:cs="Arial"/>
          <w:b/>
          <w:bCs/>
        </w:rPr>
      </w:pPr>
      <w:r w:rsidRPr="00F17CED">
        <w:rPr>
          <w:rFonts w:ascii="Arial" w:hAnsi="Arial" w:cs="Arial"/>
          <w:b/>
          <w:bCs/>
        </w:rPr>
        <w:t>HISTORICAL EVOLUTION OF AGRIBUSINESS BOUNDARIES</w:t>
      </w:r>
    </w:p>
    <w:p w14:paraId="4AE57683" w14:textId="77777777" w:rsidR="00F17CED" w:rsidRPr="00F17CED" w:rsidRDefault="00F17CED" w:rsidP="00F17CED">
      <w:pPr>
        <w:pStyle w:val="Body"/>
        <w:rPr>
          <w:rFonts w:ascii="Arial" w:hAnsi="Arial" w:cs="Arial"/>
        </w:rPr>
      </w:pPr>
      <w:r w:rsidRPr="00F17CED">
        <w:rPr>
          <w:rFonts w:ascii="Arial" w:hAnsi="Arial" w:cs="Arial"/>
        </w:rPr>
        <w:t xml:space="preserve">The field of agribusiness has undergone significant conceptual and structural evolution from its initial emergence to the present, reflecting a growing interdisciplinarity and the integration of socio-environmental concerns into its core frameworks (Mühl et al., 2024). Early definitions of agribusiness primarily emphasized the integration of agriculture within industrial supply chains, focusing on production efficiency, scale, and vertical coordination among farms, processors, and distributors. However, contemporary perspectives reveal a paradigm shift toward sustainability, resilience and systemic efficiency concepts increasingly framed through the lens of the Circular Economy (CE) (Khan and Mahajan, 2024). The shift from linear “take–make–dispose” models to circular economic systems marks a transformative stage in agribusiness thinking, underscoring a broader societal movement </w:t>
      </w:r>
      <w:r w:rsidRPr="00F17CED">
        <w:rPr>
          <w:rFonts w:ascii="Arial" w:hAnsi="Arial" w:cs="Arial"/>
        </w:rPr>
        <w:lastRenderedPageBreak/>
        <w:t>toward resource efficiency and environmental stewardship. This transition, initially evident in fields such as pavement engineering, illustrates the diffusion of circularity principles across diverse sectors including agriculture and food systems (Liu and Kringos, 2024).</w:t>
      </w:r>
    </w:p>
    <w:p w14:paraId="6000596D" w14:textId="77777777" w:rsidR="00F17CED" w:rsidRPr="00F17CED" w:rsidRDefault="00F17CED" w:rsidP="00F17CED">
      <w:pPr>
        <w:pStyle w:val="Body"/>
        <w:rPr>
          <w:rFonts w:ascii="Arial" w:hAnsi="Arial" w:cs="Arial"/>
        </w:rPr>
      </w:pPr>
      <w:r w:rsidRPr="00F17CED">
        <w:rPr>
          <w:rFonts w:ascii="Arial" w:hAnsi="Arial" w:cs="Arial"/>
        </w:rPr>
        <w:t>Historically, the expansion of agribusiness boundaries mirrors a gradual progression from production-centric frameworks toward more integrated and sustainability-oriented approaches. This transformation has been shaped by global megatrends including the restructuring of value chains, the emergence of new food system models and the increasing dominance of multinational corporations in shaping agricultural markets (Migunov et al., 2023). The intensifying demand for high-value and differentiated food products such as organic, functional, and export-oriented commodities has further accelerated this evolution. These developments have opened new opportunities for specialized production, value addition, and trade diversification fundamentally transforming the role of agriculture from a primary production system into a globally interconnected agrifood network (Babu et al., 2015).</w:t>
      </w:r>
    </w:p>
    <w:p w14:paraId="0873A2A3" w14:textId="77777777" w:rsidR="00F17CED" w:rsidRPr="00F17CED" w:rsidRDefault="00F17CED" w:rsidP="00F17CED">
      <w:pPr>
        <w:pStyle w:val="Body"/>
        <w:rPr>
          <w:rFonts w:ascii="Arial" w:hAnsi="Arial" w:cs="Arial"/>
        </w:rPr>
      </w:pPr>
      <w:r w:rsidRPr="00F17CED">
        <w:rPr>
          <w:rFonts w:ascii="Arial" w:hAnsi="Arial" w:cs="Arial"/>
        </w:rPr>
        <w:t>Technological innovation has consistently acted as a key driver in redefining agribusiness boundaries. The rapid emergence of digital technologies including precision agriculture, data analytics, automation and smart farming systems has catalyzed the digital transformation of agribusiness across all stages of the value chain (Liu et al., 2024; Fuzail and Shareef, 2025). This digital shift has reshaped enterprise operations, strategic positioning and value creation processes by optimizing asset utilization, enhancing decision-making and facilitating adaptive management. Moreover, it has prompted firms to reorganize internal structures, adopt more agile business models and engage in knowledge-based innovation (Liu et al., 2024).</w:t>
      </w:r>
    </w:p>
    <w:p w14:paraId="5732FA3D" w14:textId="77777777" w:rsidR="00F17CED" w:rsidRPr="00F17CED" w:rsidRDefault="00F17CED" w:rsidP="00F17CED">
      <w:pPr>
        <w:pStyle w:val="Body"/>
        <w:rPr>
          <w:rFonts w:ascii="Arial" w:hAnsi="Arial" w:cs="Arial"/>
        </w:rPr>
      </w:pPr>
      <w:r w:rsidRPr="00F17CED">
        <w:rPr>
          <w:rFonts w:ascii="Arial" w:hAnsi="Arial" w:cs="Arial"/>
        </w:rPr>
        <w:t>The evolution of agribusiness boundaries is also closely linked to institutional and market dynamics. Historical evidence from firms expanding into foreign markets demonstrates how institutional changes and strategic adaptations often driven by global competition and cost pressures have redefined operational and organizational boundaries (Holm et al., 2024). Such transformations involve the reconfiguration of business networks, governance mechanisms and decision-making frameworks in response to institutional turbulence and policy reforms (Holm et al., 2024). These shifts underscore that agribusiness is not a static system but a continuously evolving field influenced by market globalization, technological advancement, and institutional transformation.</w:t>
      </w:r>
    </w:p>
    <w:p w14:paraId="1C919953" w14:textId="77777777" w:rsidR="00F17CED" w:rsidRDefault="00F17CED" w:rsidP="00F17CED">
      <w:pPr>
        <w:pStyle w:val="Body"/>
        <w:rPr>
          <w:rFonts w:ascii="Arial" w:hAnsi="Arial" w:cs="Arial"/>
        </w:rPr>
      </w:pPr>
      <w:r w:rsidRPr="00F17CED">
        <w:rPr>
          <w:rFonts w:ascii="Arial" w:hAnsi="Arial" w:cs="Arial"/>
        </w:rPr>
        <w:t>The historical evolution of agribusiness boundaries reflects the discipline’s ongoing transition from a narrow focus on production efficiency to a holistic model that integrates sustainability, technological innovation and institutional adaptability. This progression signifies not only the broadening of agribusiness as a field of study but also its strategic repositioning as a critical driver of sustainable and inclusive economic growth in the global agri-food landscape.</w:t>
      </w:r>
    </w:p>
    <w:p w14:paraId="22195783" w14:textId="77777777" w:rsidR="00FE02CE" w:rsidRDefault="00FE02CE" w:rsidP="00F17CED">
      <w:pPr>
        <w:pStyle w:val="Body"/>
        <w:rPr>
          <w:rFonts w:ascii="Arial" w:hAnsi="Arial" w:cs="Arial"/>
          <w:b/>
          <w:bCs/>
        </w:rPr>
      </w:pPr>
    </w:p>
    <w:p w14:paraId="50518677" w14:textId="77777777" w:rsidR="00FE02CE" w:rsidRDefault="00FE02CE" w:rsidP="00F17CED">
      <w:pPr>
        <w:pStyle w:val="Body"/>
        <w:rPr>
          <w:rFonts w:ascii="Arial" w:hAnsi="Arial" w:cs="Arial"/>
          <w:b/>
          <w:bCs/>
        </w:rPr>
      </w:pPr>
    </w:p>
    <w:p w14:paraId="59589380" w14:textId="1737BCC5" w:rsidR="00F17CED" w:rsidRPr="00F17CED" w:rsidRDefault="00F17CED" w:rsidP="00F17CED">
      <w:pPr>
        <w:pStyle w:val="Body"/>
        <w:rPr>
          <w:rFonts w:ascii="Arial" w:hAnsi="Arial" w:cs="Arial"/>
        </w:rPr>
      </w:pPr>
      <w:r w:rsidRPr="00F17CED">
        <w:rPr>
          <w:rFonts w:ascii="Arial" w:hAnsi="Arial" w:cs="Arial"/>
          <w:b/>
          <w:bCs/>
        </w:rPr>
        <w:t>MARKET-CENTERED FORCES DRIVING BOUNDARY EXPANSION</w:t>
      </w:r>
    </w:p>
    <w:p w14:paraId="361F87D7" w14:textId="77777777" w:rsidR="00F17CED" w:rsidRPr="00F17CED" w:rsidRDefault="00F17CED" w:rsidP="00F17CED">
      <w:pPr>
        <w:pStyle w:val="Body"/>
        <w:rPr>
          <w:rFonts w:ascii="Arial" w:hAnsi="Arial" w:cs="Arial"/>
        </w:rPr>
      </w:pPr>
      <w:r w:rsidRPr="00F17CED">
        <w:rPr>
          <w:rFonts w:ascii="Arial" w:hAnsi="Arial" w:cs="Arial"/>
        </w:rPr>
        <w:t xml:space="preserve">Market-centered forces constitute a critical dimension in the expansion of agribusiness boundaries, as they are largely influenced by evolving consumer behavior, technological progress and global market dynamics (Fuzail and Shareef, 2025). These forces reshape the organizational and functional limits of agribusiness systems by determining how firms respond to market signals and competitive pressures. The emergence of new food system </w:t>
      </w:r>
      <w:r w:rsidRPr="00F17CED">
        <w:rPr>
          <w:rFonts w:ascii="Arial" w:hAnsi="Arial" w:cs="Arial"/>
        </w:rPr>
        <w:lastRenderedPageBreak/>
        <w:t>models and the redistribution of global value chains further underscore the centrality of market demand in shaping the evolution of agribusiness structures (Migunov et al., 2023). Within this context, agribusiness capabilities especially in regions characterized by high technological dynamism serve as essential drivers of firm performance, competitive advantage and market expansion (Leitão et al., 2023). The ability of agribusiness enterprises to innovate, adapt and integrate technology into production and distribution processes thus becomes a decisive factor in determining their positioning within the global marketplace.</w:t>
      </w:r>
    </w:p>
    <w:p w14:paraId="72AB23FC" w14:textId="77777777" w:rsidR="00F17CED" w:rsidRPr="00F17CED" w:rsidRDefault="00F17CED" w:rsidP="00F17CED">
      <w:pPr>
        <w:pStyle w:val="Body"/>
        <w:rPr>
          <w:rFonts w:ascii="Arial" w:hAnsi="Arial" w:cs="Arial"/>
        </w:rPr>
      </w:pPr>
      <w:r w:rsidRPr="00F17CED">
        <w:rPr>
          <w:rFonts w:ascii="Arial" w:hAnsi="Arial" w:cs="Arial"/>
        </w:rPr>
        <w:t>Consumer behavior, intricately linked with technological innovation and sustainability imperatives fundamentally shapes the strategic direction of modern agribusinesses (Fuzail and Shareef, 2025). As consumers increasingly demand traceability, safety, and environmental responsibility in agricultural products firms are compelled to adopt adaptive and customer-oriented strategies to maintain relevance and competitiveness (Fuzail &amp; Shareef, 2025). A strong market orientation enables firms to better understand customer preferences, guide product development and respond to shifting consumption trends, thereby enhancing sales and customer loyalty (Yang and Yan, 2019). This consumer-driven adaptation not only increases the market size but also strengthens the competitiveness of agribusiness clusters, facilitating innovation diffusion and regional economic growth (Yang and Yan, 2019).</w:t>
      </w:r>
    </w:p>
    <w:p w14:paraId="2A90756E" w14:textId="77777777" w:rsidR="00F17CED" w:rsidRPr="00F17CED" w:rsidRDefault="00F17CED" w:rsidP="00F17CED">
      <w:pPr>
        <w:pStyle w:val="Body"/>
        <w:rPr>
          <w:rFonts w:ascii="Arial" w:hAnsi="Arial" w:cs="Arial"/>
        </w:rPr>
      </w:pPr>
      <w:r w:rsidRPr="00F17CED">
        <w:rPr>
          <w:rFonts w:ascii="Arial" w:hAnsi="Arial" w:cs="Arial"/>
        </w:rPr>
        <w:t>At the global level, market-centered forces are deeply intertwined with financial and policy-related mechanisms that influence boundary expansion. Commodity market policies for instance, affect the behavior of hedgers and speculators by altering the structure of future contracts and equity sectors prompting agribusiness firms to implement strategic risk management and investment adjustments (</w:t>
      </w:r>
      <w:proofErr w:type="spellStart"/>
      <w:r w:rsidRPr="00F17CED">
        <w:rPr>
          <w:rFonts w:ascii="Arial" w:hAnsi="Arial" w:cs="Arial"/>
        </w:rPr>
        <w:t>Smimou</w:t>
      </w:r>
      <w:proofErr w:type="spellEnd"/>
      <w:r w:rsidRPr="00F17CED">
        <w:rPr>
          <w:rFonts w:ascii="Arial" w:hAnsi="Arial" w:cs="Arial"/>
        </w:rPr>
        <w:t xml:space="preserve"> et al., 2024). Moreover, institutional ownership and managerial investment decisions exert substantial influence on commodity stock performance underscoring the role of financial markets in shaping agribusiness growth trajectories (</w:t>
      </w:r>
      <w:proofErr w:type="spellStart"/>
      <w:r w:rsidRPr="00F17CED">
        <w:rPr>
          <w:rFonts w:ascii="Arial" w:hAnsi="Arial" w:cs="Arial"/>
        </w:rPr>
        <w:t>Smimou</w:t>
      </w:r>
      <w:proofErr w:type="spellEnd"/>
      <w:r w:rsidRPr="00F17CED">
        <w:rPr>
          <w:rFonts w:ascii="Arial" w:hAnsi="Arial" w:cs="Arial"/>
        </w:rPr>
        <w:t xml:space="preserve"> et al., 2024). Beyond financial markets, macroeconomic structures such as urbanization, industrialization, and trade liberalization function as indirect drivers that reshape land use, production systems, and resource allocation—ultimately redefining agribusiness boundaries across local and global scales (</w:t>
      </w:r>
      <w:proofErr w:type="spellStart"/>
      <w:r w:rsidRPr="00F17CED">
        <w:rPr>
          <w:rFonts w:ascii="Arial" w:hAnsi="Arial" w:cs="Arial"/>
        </w:rPr>
        <w:t>Tebkew</w:t>
      </w:r>
      <w:proofErr w:type="spellEnd"/>
      <w:r w:rsidRPr="00F17CED">
        <w:rPr>
          <w:rFonts w:ascii="Arial" w:hAnsi="Arial" w:cs="Arial"/>
        </w:rPr>
        <w:t xml:space="preserve"> and </w:t>
      </w:r>
      <w:proofErr w:type="spellStart"/>
      <w:r w:rsidRPr="00F17CED">
        <w:rPr>
          <w:rFonts w:ascii="Arial" w:hAnsi="Arial" w:cs="Arial"/>
        </w:rPr>
        <w:t>Atinkut</w:t>
      </w:r>
      <w:proofErr w:type="spellEnd"/>
      <w:r w:rsidRPr="00F17CED">
        <w:rPr>
          <w:rFonts w:ascii="Arial" w:hAnsi="Arial" w:cs="Arial"/>
        </w:rPr>
        <w:t xml:space="preserve">, 2022; </w:t>
      </w:r>
      <w:proofErr w:type="spellStart"/>
      <w:r w:rsidRPr="00F17CED">
        <w:rPr>
          <w:rFonts w:ascii="Arial" w:hAnsi="Arial" w:cs="Arial"/>
        </w:rPr>
        <w:t>Carodenuto</w:t>
      </w:r>
      <w:proofErr w:type="spellEnd"/>
      <w:r w:rsidRPr="00F17CED">
        <w:rPr>
          <w:rFonts w:ascii="Arial" w:hAnsi="Arial" w:cs="Arial"/>
        </w:rPr>
        <w:t xml:space="preserve"> et al., 2015).</w:t>
      </w:r>
    </w:p>
    <w:p w14:paraId="02F5D29C" w14:textId="77777777" w:rsidR="00F17CED" w:rsidRPr="00F17CED" w:rsidRDefault="00F17CED" w:rsidP="00F17CED">
      <w:pPr>
        <w:pStyle w:val="Body"/>
        <w:rPr>
          <w:rFonts w:ascii="Arial" w:hAnsi="Arial" w:cs="Arial"/>
        </w:rPr>
      </w:pPr>
      <w:r w:rsidRPr="00F17CED">
        <w:rPr>
          <w:rFonts w:ascii="Arial" w:hAnsi="Arial" w:cs="Arial"/>
        </w:rPr>
        <w:t>The role of micro, small, and medium-sized enterprises (MSMEs) further exemplifies how market-centered forces drive innovation and competitiveness in agribusiness. A strong market orientation within MSMEs fosters a culture of innovation that enhances responsiveness to market shifts and technological opportunities (</w:t>
      </w:r>
      <w:proofErr w:type="spellStart"/>
      <w:r w:rsidRPr="00F17CED">
        <w:rPr>
          <w:rFonts w:ascii="Arial" w:hAnsi="Arial" w:cs="Arial"/>
        </w:rPr>
        <w:t>Kusnandar</w:t>
      </w:r>
      <w:proofErr w:type="spellEnd"/>
      <w:r w:rsidRPr="00F17CED">
        <w:rPr>
          <w:rFonts w:ascii="Arial" w:hAnsi="Arial" w:cs="Arial"/>
        </w:rPr>
        <w:t xml:space="preserve"> et al., 2023; Yang and Yan, 2019). Such enterprises often leverage their flexibility and local market knowledge to identify and exploit niche opportunities, thereby contributing to industry diversification and value creation. Through technological and business model innovation, MSMEs expand their operational boundaries and play a pivotal role in sustaining market dynamism and inclusivity (Yang and Yan, 2019). This interplay underscores the central role of markets not only as sites of exchange but also as evolving systems that continually redefine the spatial, technological, and institutional boundaries of agribusiness.</w:t>
      </w:r>
    </w:p>
    <w:p w14:paraId="419A1758" w14:textId="77777777" w:rsidR="00FE02CE" w:rsidRDefault="00FE02CE" w:rsidP="00F17CED">
      <w:pPr>
        <w:pStyle w:val="Body"/>
        <w:rPr>
          <w:rFonts w:ascii="Arial" w:hAnsi="Arial" w:cs="Arial"/>
          <w:b/>
          <w:bCs/>
        </w:rPr>
      </w:pPr>
    </w:p>
    <w:p w14:paraId="2B9D4F63" w14:textId="7F217533" w:rsidR="00F17CED" w:rsidRPr="00FE02CE" w:rsidRDefault="00FE02CE" w:rsidP="00F17CED">
      <w:pPr>
        <w:pStyle w:val="Body"/>
        <w:rPr>
          <w:rFonts w:ascii="Arial" w:hAnsi="Arial" w:cs="Arial"/>
          <w:b/>
          <w:bCs/>
        </w:rPr>
      </w:pPr>
      <w:r w:rsidRPr="00FE02CE">
        <w:rPr>
          <w:rFonts w:ascii="Arial" w:hAnsi="Arial" w:cs="Arial"/>
          <w:b/>
          <w:bCs/>
        </w:rPr>
        <w:t>TECHNOLOGICAL INNOVATIONS AND BOUNDARY SHIFTS</w:t>
      </w:r>
    </w:p>
    <w:p w14:paraId="4CFB62F5" w14:textId="77777777" w:rsidR="00F17CED" w:rsidRPr="00F17CED" w:rsidRDefault="00F17CED" w:rsidP="00F17CED">
      <w:pPr>
        <w:pStyle w:val="Body"/>
        <w:rPr>
          <w:rFonts w:ascii="Arial" w:hAnsi="Arial" w:cs="Arial"/>
        </w:rPr>
      </w:pPr>
      <w:r w:rsidRPr="00F17CED">
        <w:rPr>
          <w:rFonts w:ascii="Arial" w:hAnsi="Arial" w:cs="Arial"/>
        </w:rPr>
        <w:t xml:space="preserve">Technological innovations serve as critical drivers of boundary shifts in agribusiness facilitating greater efficiency, adaptability and sustainability across production and market systems (Fuzail and Shareef, 2025). Emerging technologies are transforming how </w:t>
      </w:r>
      <w:r w:rsidRPr="00F17CED">
        <w:rPr>
          <w:rFonts w:ascii="Arial" w:hAnsi="Arial" w:cs="Arial"/>
        </w:rPr>
        <w:lastRenderedPageBreak/>
        <w:t>agricultural enterprises produce, distribute, and interact within global value chains. Practices such as precision agriculture, regenerative farming and the integration of renewable energy systems exemplify this technological transformation, which redefines the operational scope and environmental footprint of modern agribusiness (Doda et al., 2025). Beyond improving productivity, these technologies promote sustainable land use, enhance resource management, and strengthen resilience against climate-related risks. The ongoing digital transformation driven by innovations in artificial intelligence (AI), blockchain, the Internet of Things (IoT) and big data analytics has fundamentally altered agribusiness models and operations (</w:t>
      </w:r>
      <w:proofErr w:type="spellStart"/>
      <w:r w:rsidRPr="00F17CED">
        <w:rPr>
          <w:rFonts w:ascii="Arial" w:hAnsi="Arial" w:cs="Arial"/>
        </w:rPr>
        <w:t>Pfnür</w:t>
      </w:r>
      <w:proofErr w:type="spellEnd"/>
      <w:r w:rsidRPr="00F17CED">
        <w:rPr>
          <w:rFonts w:ascii="Arial" w:hAnsi="Arial" w:cs="Arial"/>
        </w:rPr>
        <w:t xml:space="preserve"> and Wagner, 2020). These technological shifts reduce both vertical and horizontal technological distances among enterprises, enabling them to identify and adopt new digital opportunities while overcoming organizational inertia and structural rigidity (Liu et al., 2024).</w:t>
      </w:r>
    </w:p>
    <w:p w14:paraId="63102140" w14:textId="77777777" w:rsidR="00F17CED" w:rsidRPr="00F17CED" w:rsidRDefault="00F17CED" w:rsidP="00F17CED">
      <w:pPr>
        <w:pStyle w:val="Body"/>
        <w:rPr>
          <w:rFonts w:ascii="Arial" w:hAnsi="Arial" w:cs="Arial"/>
        </w:rPr>
      </w:pPr>
      <w:r w:rsidRPr="00F17CED">
        <w:rPr>
          <w:rFonts w:ascii="Arial" w:hAnsi="Arial" w:cs="Arial"/>
        </w:rPr>
        <w:t>A prime example of this transformation is the growing use of blockchain technology in agricultural supply chains. The transition from experimental adoption to practical application enables enhanced traceability, transparency, cost efficiency and fraud prevention (Duan et al., 2023). Blockchain-based systems create verifiable and tamper-proof data records thereby improving trust and coordination across complex supply networks. These advancements not only optimize existing processes but also facilitate the creation of new products, services, and digital business models that redefine market opportunities and value propositions (Liu et al., 2024). The iterative and cumulative nature of technological innovation where each development cycle builds upon the lessons and data from prior experiences drives continuous advancement and diffusion of technology within agribusiness systems (</w:t>
      </w:r>
      <w:proofErr w:type="spellStart"/>
      <w:r w:rsidRPr="00F17CED">
        <w:rPr>
          <w:rFonts w:ascii="Arial" w:hAnsi="Arial" w:cs="Arial"/>
        </w:rPr>
        <w:t>Bakhuis</w:t>
      </w:r>
      <w:proofErr w:type="spellEnd"/>
      <w:r w:rsidRPr="00F17CED">
        <w:rPr>
          <w:rFonts w:ascii="Arial" w:hAnsi="Arial" w:cs="Arial"/>
        </w:rPr>
        <w:t xml:space="preserve"> et al., 2024).</w:t>
      </w:r>
    </w:p>
    <w:p w14:paraId="7CD882B1" w14:textId="77777777" w:rsidR="00F17CED" w:rsidRPr="00F17CED" w:rsidRDefault="00F17CED" w:rsidP="00F17CED">
      <w:pPr>
        <w:pStyle w:val="Body"/>
        <w:rPr>
          <w:rFonts w:ascii="Arial" w:hAnsi="Arial" w:cs="Arial"/>
        </w:rPr>
      </w:pPr>
      <w:r w:rsidRPr="00F17CED">
        <w:rPr>
          <w:rFonts w:ascii="Arial" w:hAnsi="Arial" w:cs="Arial"/>
        </w:rPr>
        <w:t>Technological innovations are also instrumental in realizing the principles of the Circular Economy (CE), particularly through cross-industry collaboration and resource optimization. For instance, innovations in battery second-use storage systems exemplify how sustainable mobility and energy efficiency can be achieved through technological and business model integration (Meyer et al., 2024). Moreover, technological change in agribusiness is closely intertwined with entrepreneurial innovation where management capability and strategic foresight determine the success of technology adoption. Innovation-driven opportunities increasingly depend on the ability of enterprises to integrate high-quality technologies into business processes requiring leaders to effectively navigate the disruptions and uncertainties inherent in rapid technological change (</w:t>
      </w:r>
      <w:proofErr w:type="spellStart"/>
      <w:r w:rsidRPr="00F17CED">
        <w:rPr>
          <w:rFonts w:ascii="Arial" w:hAnsi="Arial" w:cs="Arial"/>
        </w:rPr>
        <w:t>Carayannis</w:t>
      </w:r>
      <w:proofErr w:type="spellEnd"/>
      <w:r w:rsidRPr="00F17CED">
        <w:rPr>
          <w:rFonts w:ascii="Arial" w:hAnsi="Arial" w:cs="Arial"/>
        </w:rPr>
        <w:t xml:space="preserve"> et al., 2015). As such, agribusiness organizations must cultivate innovation ecosystems that foster collaboration among technology developers, producers, and policy institutions to ensure that technological advancement translates into long-term economic and social gains.</w:t>
      </w:r>
    </w:p>
    <w:p w14:paraId="191AB677" w14:textId="68FA4F40" w:rsidR="00F17CED" w:rsidRPr="00FE02CE" w:rsidRDefault="00FE02CE" w:rsidP="00F17CED">
      <w:pPr>
        <w:pStyle w:val="Body"/>
        <w:rPr>
          <w:rFonts w:ascii="Arial" w:hAnsi="Arial" w:cs="Arial"/>
          <w:b/>
          <w:bCs/>
        </w:rPr>
      </w:pPr>
      <w:r w:rsidRPr="00FE02CE">
        <w:rPr>
          <w:rFonts w:ascii="Arial" w:hAnsi="Arial" w:cs="Arial"/>
          <w:b/>
          <w:bCs/>
        </w:rPr>
        <w:t>INSTITUTIONAL AND POLICY INFLUENCES ON BOUNDARY DRIVERS</w:t>
      </w:r>
    </w:p>
    <w:p w14:paraId="30D6B7F1" w14:textId="77777777" w:rsidR="00F17CED" w:rsidRPr="00F17CED" w:rsidRDefault="00F17CED" w:rsidP="00F17CED">
      <w:pPr>
        <w:pStyle w:val="Body"/>
        <w:rPr>
          <w:rFonts w:ascii="Arial" w:hAnsi="Arial" w:cs="Arial"/>
        </w:rPr>
      </w:pPr>
      <w:r w:rsidRPr="00F17CED">
        <w:rPr>
          <w:rFonts w:ascii="Arial" w:hAnsi="Arial" w:cs="Arial"/>
        </w:rPr>
        <w:t>Institutional frameworks and government policies play an important role in shaping the boundaries of agribusiness systems functioning simultaneously as enablers and constraints to growth, innovation and sustainability (</w:t>
      </w:r>
      <w:proofErr w:type="spellStart"/>
      <w:r w:rsidRPr="00F17CED">
        <w:rPr>
          <w:rFonts w:ascii="Arial" w:hAnsi="Arial" w:cs="Arial"/>
        </w:rPr>
        <w:t>Dingkuhn</w:t>
      </w:r>
      <w:proofErr w:type="spellEnd"/>
      <w:r w:rsidRPr="00F17CED">
        <w:rPr>
          <w:rFonts w:ascii="Arial" w:hAnsi="Arial" w:cs="Arial"/>
        </w:rPr>
        <w:t xml:space="preserve"> et al., 2025). These frameworks establish the formal and informal rules that govern agricultural production, trade and environmental management, thereby influencing how agribusiness enterprises operate within local, national, and global contexts. For example, sustainable land-use governance emerges from a complex interplay of social, market and policy forces that collectively determine how land resources are allocated, managed and conserved (</w:t>
      </w:r>
      <w:proofErr w:type="spellStart"/>
      <w:r w:rsidRPr="00F17CED">
        <w:rPr>
          <w:rFonts w:ascii="Arial" w:hAnsi="Arial" w:cs="Arial"/>
        </w:rPr>
        <w:t>Dingkuhn</w:t>
      </w:r>
      <w:proofErr w:type="spellEnd"/>
      <w:r w:rsidRPr="00F17CED">
        <w:rPr>
          <w:rFonts w:ascii="Arial" w:hAnsi="Arial" w:cs="Arial"/>
        </w:rPr>
        <w:t xml:space="preserve"> et al., 2025). Policy uncertainty on the other hand, can have destabilizing effects on commodity markets by influencing the trading behaviors of hedgers and speculators and altering investment patterns in commodity-related stocks (</w:t>
      </w:r>
      <w:proofErr w:type="spellStart"/>
      <w:r w:rsidRPr="00F17CED">
        <w:rPr>
          <w:rFonts w:ascii="Arial" w:hAnsi="Arial" w:cs="Arial"/>
        </w:rPr>
        <w:t>Smimou</w:t>
      </w:r>
      <w:proofErr w:type="spellEnd"/>
      <w:r w:rsidRPr="00F17CED">
        <w:rPr>
          <w:rFonts w:ascii="Arial" w:hAnsi="Arial" w:cs="Arial"/>
        </w:rPr>
        <w:t xml:space="preserve"> et al., 2024). Thus, institutional stability and policy </w:t>
      </w:r>
      <w:r w:rsidRPr="00F17CED">
        <w:rPr>
          <w:rFonts w:ascii="Arial" w:hAnsi="Arial" w:cs="Arial"/>
        </w:rPr>
        <w:lastRenderedPageBreak/>
        <w:t>predictability are essential for fostering confidence, reducing risks, and ensuring consistent growth across agribusiness sectors.</w:t>
      </w:r>
    </w:p>
    <w:p w14:paraId="385B61AE" w14:textId="77777777" w:rsidR="00F17CED" w:rsidRPr="00F17CED" w:rsidRDefault="00F17CED" w:rsidP="00F17CED">
      <w:pPr>
        <w:pStyle w:val="Body"/>
        <w:rPr>
          <w:rFonts w:ascii="Arial" w:hAnsi="Arial" w:cs="Arial"/>
        </w:rPr>
      </w:pPr>
      <w:r w:rsidRPr="00F17CED">
        <w:rPr>
          <w:rFonts w:ascii="Arial" w:hAnsi="Arial" w:cs="Arial"/>
        </w:rPr>
        <w:t>Government policies and regulatory frameworks are particularly crucial in creating enabling environments for innovation, entrepreneurship and market development. By setting standards, incentives and institutional mechanisms policymakers can stimulate the diffusion of new technologies and encourage organizational transformation (</w:t>
      </w:r>
      <w:proofErr w:type="spellStart"/>
      <w:r w:rsidRPr="00F17CED">
        <w:rPr>
          <w:rFonts w:ascii="Arial" w:hAnsi="Arial" w:cs="Arial"/>
        </w:rPr>
        <w:t>Bakhuis</w:t>
      </w:r>
      <w:proofErr w:type="spellEnd"/>
      <w:r w:rsidRPr="00F17CED">
        <w:rPr>
          <w:rFonts w:ascii="Arial" w:hAnsi="Arial" w:cs="Arial"/>
        </w:rPr>
        <w:t xml:space="preserve"> et al., 2024). For instance, regulatory bodies and industry norms exert coercive, normative, and cognitive pressures that drive digital transformation in state-owned enterprises, compelling them to adopt advanced digital technologies and modernize their operational systems (Liu et al., 2024). The broader policy environment including governance quality, corruption control and the protection of property rights also has profound implications for land use and resource management both of which are foundational elements of agribusiness operations (</w:t>
      </w:r>
      <w:proofErr w:type="spellStart"/>
      <w:r w:rsidRPr="00F17CED">
        <w:rPr>
          <w:rFonts w:ascii="Arial" w:hAnsi="Arial" w:cs="Arial"/>
        </w:rPr>
        <w:t>Tebkew</w:t>
      </w:r>
      <w:proofErr w:type="spellEnd"/>
      <w:r w:rsidRPr="00F17CED">
        <w:rPr>
          <w:rFonts w:ascii="Arial" w:hAnsi="Arial" w:cs="Arial"/>
        </w:rPr>
        <w:t xml:space="preserve"> and </w:t>
      </w:r>
      <w:proofErr w:type="spellStart"/>
      <w:r w:rsidRPr="00F17CED">
        <w:rPr>
          <w:rFonts w:ascii="Arial" w:hAnsi="Arial" w:cs="Arial"/>
        </w:rPr>
        <w:t>Atinkut</w:t>
      </w:r>
      <w:proofErr w:type="spellEnd"/>
      <w:r w:rsidRPr="00F17CED">
        <w:rPr>
          <w:rFonts w:ascii="Arial" w:hAnsi="Arial" w:cs="Arial"/>
        </w:rPr>
        <w:t xml:space="preserve">, 2022; </w:t>
      </w:r>
      <w:proofErr w:type="spellStart"/>
      <w:r w:rsidRPr="00F17CED">
        <w:rPr>
          <w:rFonts w:ascii="Arial" w:hAnsi="Arial" w:cs="Arial"/>
        </w:rPr>
        <w:t>Carodenuto</w:t>
      </w:r>
      <w:proofErr w:type="spellEnd"/>
      <w:r w:rsidRPr="00F17CED">
        <w:rPr>
          <w:rFonts w:ascii="Arial" w:hAnsi="Arial" w:cs="Arial"/>
        </w:rPr>
        <w:t xml:space="preserve"> et al., 2015). Weak governance structures and insecure property rights often lead to unsustainable practices, whereas strong institutional arrangements encourage transparency, accountability, and long-term investment in agricultural development.</w:t>
      </w:r>
    </w:p>
    <w:p w14:paraId="24BF34D7" w14:textId="77777777" w:rsidR="00F17CED" w:rsidRPr="00F17CED" w:rsidRDefault="00F17CED" w:rsidP="00F17CED">
      <w:pPr>
        <w:pStyle w:val="Body"/>
        <w:rPr>
          <w:rFonts w:ascii="Arial" w:hAnsi="Arial" w:cs="Arial"/>
        </w:rPr>
      </w:pPr>
      <w:r w:rsidRPr="00F17CED">
        <w:rPr>
          <w:rFonts w:ascii="Arial" w:hAnsi="Arial" w:cs="Arial"/>
        </w:rPr>
        <w:t xml:space="preserve">Environmental and sustainability-oriented policies further expand agribusiness boundaries by promoting eco-innovation and incentivizing resource-efficient production systems. The effective implementation of green public procurement policies, for example, can encourage firms to adopt environmentally friendly technologies, thereby harmonizing economic growth with ecological protection (Yu and </w:t>
      </w:r>
      <w:proofErr w:type="spellStart"/>
      <w:r w:rsidRPr="00F17CED">
        <w:rPr>
          <w:rFonts w:ascii="Arial" w:hAnsi="Arial" w:cs="Arial"/>
        </w:rPr>
        <w:t>Morotomi</w:t>
      </w:r>
      <w:proofErr w:type="spellEnd"/>
      <w:r w:rsidRPr="00F17CED">
        <w:rPr>
          <w:rFonts w:ascii="Arial" w:hAnsi="Arial" w:cs="Arial"/>
        </w:rPr>
        <w:t xml:space="preserve">, 2022). Such initiatives provide economic and regulatory incentives that complement technological advancement and market-driven innovation, leading to a more sustainable industrial ecosystem (Yu and </w:t>
      </w:r>
      <w:proofErr w:type="spellStart"/>
      <w:r w:rsidRPr="00F17CED">
        <w:rPr>
          <w:rFonts w:ascii="Arial" w:hAnsi="Arial" w:cs="Arial"/>
        </w:rPr>
        <w:t>Morotomi</w:t>
      </w:r>
      <w:proofErr w:type="spellEnd"/>
      <w:r w:rsidRPr="00F17CED">
        <w:rPr>
          <w:rFonts w:ascii="Arial" w:hAnsi="Arial" w:cs="Arial"/>
        </w:rPr>
        <w:t>, 2022). Similarly, the evolution of renewable energy price policies often analyzed through models such as the Bass diffusion model, demonstrates how strategic policy interventions can accelerate the adoption of renewable energy and sustainable practices within agribusiness (Zhao et al., 2018). These policies not only reduce production costs over time but also support the integration of agribusiness into broader sustainability transitions.</w:t>
      </w:r>
    </w:p>
    <w:p w14:paraId="565AF3C5" w14:textId="77777777" w:rsidR="00F17CED" w:rsidRPr="00F17CED" w:rsidRDefault="00F17CED" w:rsidP="00F17CED">
      <w:pPr>
        <w:pStyle w:val="Body"/>
        <w:rPr>
          <w:rFonts w:ascii="Arial" w:hAnsi="Arial" w:cs="Arial"/>
        </w:rPr>
      </w:pPr>
      <w:r w:rsidRPr="00F17CED">
        <w:rPr>
          <w:rFonts w:ascii="Arial" w:hAnsi="Arial" w:cs="Arial"/>
        </w:rPr>
        <w:t>Moreover, institutional and policy drivers extend beyond regulatory control to encompass structural reforms and cooperative governance mechanisms. National agricultural development policies, legal frameworks and the integration of emerging technologies collectively shape agricultural service provision and cooperative functioning (</w:t>
      </w:r>
      <w:proofErr w:type="spellStart"/>
      <w:r w:rsidRPr="00F17CED">
        <w:rPr>
          <w:rFonts w:ascii="Arial" w:hAnsi="Arial" w:cs="Arial"/>
        </w:rPr>
        <w:t>Kadzamira</w:t>
      </w:r>
      <w:proofErr w:type="spellEnd"/>
      <w:r w:rsidRPr="00F17CED">
        <w:rPr>
          <w:rFonts w:ascii="Arial" w:hAnsi="Arial" w:cs="Arial"/>
        </w:rPr>
        <w:t xml:space="preserve"> et al., 2024). The alignment of institutional structures with technological innovation ensures that agribusiness ecosystems remain adaptive and inclusive. Furthermore, the concept of institutional unlocking as distinguished from technological unlocking illustrates how policy and institutional reforms can overcome systemic barriers to sustainability. This concept, exemplified by carbon unlocking in the new energy vehicle industry, parallels the need for institutional reforms that enable sustainable transitions in agribusiness (Xu and Mo, 2024). </w:t>
      </w:r>
    </w:p>
    <w:p w14:paraId="7A46BA55" w14:textId="6BB6A011" w:rsidR="00F17CED" w:rsidRPr="00FE02CE" w:rsidRDefault="00FE02CE" w:rsidP="00F17CED">
      <w:pPr>
        <w:pStyle w:val="Body"/>
        <w:rPr>
          <w:rFonts w:ascii="Arial" w:hAnsi="Arial" w:cs="Arial"/>
          <w:b/>
          <w:bCs/>
        </w:rPr>
      </w:pPr>
      <w:r w:rsidRPr="00FE02CE">
        <w:rPr>
          <w:rFonts w:ascii="Arial" w:hAnsi="Arial" w:cs="Arial"/>
          <w:b/>
          <w:bCs/>
        </w:rPr>
        <w:t>CHALLENGES AND OPPORTUNITIES IN MARKET-CENTERED AGRIBUSINESS EXPANSION</w:t>
      </w:r>
    </w:p>
    <w:p w14:paraId="0667530E" w14:textId="77777777" w:rsidR="00F17CED" w:rsidRPr="00F17CED" w:rsidRDefault="00F17CED" w:rsidP="00F17CED">
      <w:pPr>
        <w:pStyle w:val="Body"/>
        <w:rPr>
          <w:rFonts w:ascii="Arial" w:hAnsi="Arial" w:cs="Arial"/>
        </w:rPr>
      </w:pPr>
      <w:r w:rsidRPr="00F17CED">
        <w:rPr>
          <w:rFonts w:ascii="Arial" w:hAnsi="Arial" w:cs="Arial"/>
        </w:rPr>
        <w:t xml:space="preserve">Market-centered agribusiness expansion operates within a complex landscape of opportunities and constraints shaped by social, economic and institutional dynamics. Among the foremost challenges are the limited knowledge, financial resources and market access faced by smallholder farmers and local producers. These barriers often restrict their capacity to participate effectively in competitive value chains and to adopt modern production technologies (Mahfud et al., 2024). Sustainable partnership models and strengthened agricultural extension services have emerged as vital mechanisms to address these limitations by fostering capacity building, technology transfer and inclusive market </w:t>
      </w:r>
      <w:r w:rsidRPr="00F17CED">
        <w:rPr>
          <w:rFonts w:ascii="Arial" w:hAnsi="Arial" w:cs="Arial"/>
        </w:rPr>
        <w:lastRenderedPageBreak/>
        <w:t>participation (Mahfud et al., 2024). At the macroeconomic level, global structural shifts such as the reconfiguration of value chains and the increasing dominance of large corporations pose additional challenges by creating competitive asymmetries and consolidating market power within a few multinational players (Migunov et al., 2023). Furthermore, organizational inertia, reflected in resource rigidity and procedural conservatism often hinders firms’ ability to adopt new technologies, restructure operations and reposition strategically in response to dynamic market forces (Liu et al., 2024).</w:t>
      </w:r>
    </w:p>
    <w:p w14:paraId="44EA0372" w14:textId="77777777" w:rsidR="00F17CED" w:rsidRPr="00F17CED" w:rsidRDefault="00F17CED" w:rsidP="00F17CED">
      <w:pPr>
        <w:pStyle w:val="Body"/>
        <w:rPr>
          <w:rFonts w:ascii="Arial" w:hAnsi="Arial" w:cs="Arial"/>
        </w:rPr>
      </w:pPr>
      <w:r w:rsidRPr="00F17CED">
        <w:rPr>
          <w:rFonts w:ascii="Arial" w:hAnsi="Arial" w:cs="Arial"/>
        </w:rPr>
        <w:t xml:space="preserve">Despite these persistent barriers, significant opportunities arise within the process of market-centered agribusiness expansion. The rising global demand for high-value food products including organic, functional and export-oriented commodities presents vast growth prospects, particularly in developing regions such as Sub-Saharan Africa, where strengthening agribusiness capacity remains crucial for economic transformation (Babu et al., 2015). Integrating sustainability principles into agribusiness operations further provides a robust strategic framework for achieving both environmental and economic goals. This integration responds to global pressures related to climate change, resource depletion, and evolving consumer preferences that increasingly favor sustainable and ethically produced food (Nyangoma et al., 2022). </w:t>
      </w:r>
    </w:p>
    <w:p w14:paraId="60931191" w14:textId="77777777" w:rsidR="00F17CED" w:rsidRPr="00F17CED" w:rsidRDefault="00F17CED" w:rsidP="00F17CED">
      <w:pPr>
        <w:pStyle w:val="Body"/>
        <w:rPr>
          <w:rFonts w:ascii="Arial" w:hAnsi="Arial" w:cs="Arial"/>
        </w:rPr>
      </w:pPr>
      <w:r w:rsidRPr="00F17CED">
        <w:rPr>
          <w:rFonts w:ascii="Arial" w:hAnsi="Arial" w:cs="Arial"/>
        </w:rPr>
        <w:t xml:space="preserve">The Circular Economy (CE) offers an innovative paradigm for addressing resource-based constraints by promoting material efficiency, waste reduction, and secondary resource utilization (Meyer et al., 2024). Within agribusiness, circular models enable firms to convert agricultural by-products into valuable inputs, enhance energy recovery and create closed-loop systems that reduce environmental footprints while generating new revenue streams. At the same time, digital transformation opens new frontiers for identifying and capitalizing on market opportunities. Technologies such as big data analytics, blockchain, and artificial intelligence allow enterprises to map emerging customer segments, personalize services, and implement data-driven operational strategies that foster competitiveness and efficiency (Liu et al., 2024). </w:t>
      </w:r>
    </w:p>
    <w:p w14:paraId="0515C9C3" w14:textId="77777777" w:rsidR="00F17CED" w:rsidRPr="00F17CED" w:rsidRDefault="00F17CED" w:rsidP="00F17CED">
      <w:pPr>
        <w:pStyle w:val="Body"/>
        <w:rPr>
          <w:rFonts w:ascii="Arial" w:hAnsi="Arial" w:cs="Arial"/>
        </w:rPr>
      </w:pPr>
      <w:r w:rsidRPr="00F17CED">
        <w:rPr>
          <w:rFonts w:ascii="Arial" w:hAnsi="Arial" w:cs="Arial"/>
        </w:rPr>
        <w:t>Inclusivity is another crucial dimension of opportunity within market-centered agribusiness expansion. The active involvement of women and young people as agricultural service providers supported by diversified business models and digital platforms can significantly enhance efficiency, innovation and social equity across the supply chain (</w:t>
      </w:r>
      <w:proofErr w:type="spellStart"/>
      <w:r w:rsidRPr="00F17CED">
        <w:rPr>
          <w:rFonts w:ascii="Arial" w:hAnsi="Arial" w:cs="Arial"/>
        </w:rPr>
        <w:t>Kadzamira</w:t>
      </w:r>
      <w:proofErr w:type="spellEnd"/>
      <w:r w:rsidRPr="00F17CED">
        <w:rPr>
          <w:rFonts w:ascii="Arial" w:hAnsi="Arial" w:cs="Arial"/>
        </w:rPr>
        <w:t xml:space="preserve"> et al., 2024). Empowering these groups contributes not only to productivity but also to community resilience reflecting a broader shift toward equitable agricultural development.</w:t>
      </w:r>
    </w:p>
    <w:p w14:paraId="2FE9E867" w14:textId="77777777" w:rsidR="00F17CED" w:rsidRPr="00F17CED" w:rsidRDefault="00F17CED" w:rsidP="00F17CED">
      <w:pPr>
        <w:pStyle w:val="Body"/>
        <w:rPr>
          <w:rFonts w:ascii="Arial" w:hAnsi="Arial" w:cs="Arial"/>
        </w:rPr>
      </w:pPr>
      <w:r w:rsidRPr="00F17CED">
        <w:rPr>
          <w:rFonts w:ascii="Arial" w:hAnsi="Arial" w:cs="Arial"/>
        </w:rPr>
        <w:t>From a policy and governance perspective, understanding the multidimensional drivers and barriers to Circular Economy adoption is essential for guiding systemic and sustainable agribusiness expansion (Khan and Mahajan, 2024). Effective frameworks that integrate technological, market/economic, regulatory and socio-environmental factors can facilitate the transition toward circular and innovation-led agrifood systems (Liu and Kringos, 2024). Moreover, the demonstrated capacity of eco-innovations to improve economic performance at regional levels reinforces the potential of sustainability-oriented strategies to achieve competitive and market-centered growth (</w:t>
      </w:r>
      <w:proofErr w:type="spellStart"/>
      <w:r w:rsidRPr="00F17CED">
        <w:rPr>
          <w:rFonts w:ascii="Arial" w:hAnsi="Arial" w:cs="Arial"/>
        </w:rPr>
        <w:t>Krupoderova</w:t>
      </w:r>
      <w:proofErr w:type="spellEnd"/>
      <w:r w:rsidRPr="00F17CED">
        <w:rPr>
          <w:rFonts w:ascii="Arial" w:hAnsi="Arial" w:cs="Arial"/>
        </w:rPr>
        <w:t xml:space="preserve"> and </w:t>
      </w:r>
      <w:proofErr w:type="spellStart"/>
      <w:r w:rsidRPr="00F17CED">
        <w:rPr>
          <w:rFonts w:ascii="Arial" w:hAnsi="Arial" w:cs="Arial"/>
        </w:rPr>
        <w:t>Portnov</w:t>
      </w:r>
      <w:proofErr w:type="spellEnd"/>
      <w:r w:rsidRPr="00F17CED">
        <w:rPr>
          <w:rFonts w:ascii="Arial" w:hAnsi="Arial" w:cs="Arial"/>
        </w:rPr>
        <w:t xml:space="preserve">, 2020). </w:t>
      </w:r>
    </w:p>
    <w:p w14:paraId="507EF546" w14:textId="77777777" w:rsidR="00FE02CE" w:rsidRDefault="00FE02CE" w:rsidP="00F17CED">
      <w:pPr>
        <w:pStyle w:val="Body"/>
        <w:rPr>
          <w:rFonts w:ascii="Arial" w:hAnsi="Arial" w:cs="Arial"/>
        </w:rPr>
      </w:pPr>
    </w:p>
    <w:p w14:paraId="5FA5518D" w14:textId="77777777" w:rsidR="00FE02CE" w:rsidRDefault="00FE02CE" w:rsidP="00F17CED">
      <w:pPr>
        <w:pStyle w:val="Body"/>
        <w:rPr>
          <w:rFonts w:ascii="Arial" w:hAnsi="Arial" w:cs="Arial"/>
        </w:rPr>
      </w:pPr>
    </w:p>
    <w:p w14:paraId="3174F98C" w14:textId="0F5C4B0E" w:rsidR="00FE02CE" w:rsidRDefault="00FE02CE" w:rsidP="00FE02CE">
      <w:pPr>
        <w:pStyle w:val="AbstHead"/>
        <w:spacing w:after="0"/>
        <w:jc w:val="both"/>
        <w:rPr>
          <w:rFonts w:ascii="Arial" w:hAnsi="Arial" w:cs="Arial"/>
        </w:rPr>
      </w:pPr>
      <w:r>
        <w:rPr>
          <w:rFonts w:ascii="Arial" w:hAnsi="Arial" w:cs="Arial"/>
        </w:rPr>
        <w:lastRenderedPageBreak/>
        <w:t xml:space="preserve">3. material and methodology </w:t>
      </w:r>
    </w:p>
    <w:p w14:paraId="242B125A" w14:textId="77777777" w:rsidR="00FE02CE" w:rsidRDefault="00FE02CE" w:rsidP="00FE02CE">
      <w:pPr>
        <w:pStyle w:val="AbstHead"/>
        <w:spacing w:after="0"/>
        <w:jc w:val="both"/>
        <w:rPr>
          <w:rFonts w:ascii="Arial" w:hAnsi="Arial" w:cs="Arial"/>
        </w:rPr>
      </w:pPr>
    </w:p>
    <w:p w14:paraId="095F997C" w14:textId="77777777" w:rsidR="00F17CED" w:rsidRPr="00F17CED" w:rsidRDefault="00F17CED" w:rsidP="00F17CED">
      <w:pPr>
        <w:pStyle w:val="Body"/>
        <w:rPr>
          <w:rFonts w:ascii="Arial" w:hAnsi="Arial" w:cs="Arial"/>
        </w:rPr>
      </w:pPr>
      <w:r w:rsidRPr="00F17CED">
        <w:rPr>
          <w:rFonts w:ascii="Arial" w:hAnsi="Arial" w:cs="Arial"/>
        </w:rPr>
        <w:t>This study utilized a systematic and integrative literature review to examine the boundary drivers influencing agribusiness in the context of market-centered growth and development. The review focused on peer-reviewed journals, policy papers and institutional reports published between 2015 and 2025 obtained from reputable databases such as Scopus, Web of Science, ScienceDirect, and Google Scholar. Keywords including “agribusiness boundaries,” “market-centered growth,” “technological innovation,” “policy drivers,” and “sustainable agribusiness” were used to identify relevant studies. The analysis employed thematic synthesis to identify patterns and relationships among studies, guided by the Multi-Level Perspective (MLP) and Technological Innovation Systems (TIS) frameworks. These analytical lenses helped explain how external forces such as policies, consumer behavior, and innovation drive agribusiness boundary expansion. All data were drawn from credible secondary sources, ensuring academic integrity and ethical compliance.</w:t>
      </w:r>
    </w:p>
    <w:p w14:paraId="338FF20E" w14:textId="119CDFF3" w:rsidR="00F17CED" w:rsidRPr="00FE02CE" w:rsidRDefault="00FE02CE" w:rsidP="00F17CED">
      <w:pPr>
        <w:pStyle w:val="Body"/>
        <w:rPr>
          <w:rFonts w:ascii="Arial" w:hAnsi="Arial" w:cs="Arial"/>
          <w:b/>
          <w:bCs/>
        </w:rPr>
      </w:pPr>
      <w:r>
        <w:rPr>
          <w:rFonts w:ascii="Arial" w:hAnsi="Arial" w:cs="Arial"/>
          <w:b/>
          <w:bCs/>
        </w:rPr>
        <w:t xml:space="preserve">4. </w:t>
      </w:r>
      <w:r w:rsidRPr="00FE02CE">
        <w:rPr>
          <w:rFonts w:ascii="Arial" w:hAnsi="Arial" w:cs="Arial"/>
          <w:b/>
          <w:bCs/>
        </w:rPr>
        <w:t>RESULTS AND DISCUSSION</w:t>
      </w:r>
    </w:p>
    <w:p w14:paraId="3445CBEB" w14:textId="77777777" w:rsidR="00F17CED" w:rsidRPr="00F17CED" w:rsidRDefault="00F17CED" w:rsidP="00F17CED">
      <w:pPr>
        <w:pStyle w:val="Body"/>
        <w:rPr>
          <w:rFonts w:ascii="Arial" w:hAnsi="Arial" w:cs="Arial"/>
        </w:rPr>
      </w:pPr>
      <w:r w:rsidRPr="00F17CED">
        <w:rPr>
          <w:rFonts w:ascii="Arial" w:hAnsi="Arial" w:cs="Arial"/>
        </w:rPr>
        <w:t>The analysis reveals that agribusiness boundaries are continuously redefined by the dynamic interaction of market, technological, institutional and policy forces. Market-centered growth is largely driven by shifting consumer preferences, globalization of value chains and the adaptive strategies of firms including micro, small, and medium enterprises. These market forces encourage innovation and competitiveness expanding the operational scope of agribusiness enterprises across local and international contexts. Technological progress particularly through digital transformation and the integration of circular economy principles plays a pivotal role in reshaping these boundaries by improving efficiency, enhancing sustainability and opening new market opportunities that align with global development trends. Institutional and policy frameworks provide the structural foundation for these transformations influencing the pace and direction of agribusiness growth through governance systems, regulatory instruments and policy incentives.</w:t>
      </w:r>
    </w:p>
    <w:p w14:paraId="74ACBF20" w14:textId="77777777" w:rsidR="00F17CED" w:rsidRPr="00F17CED" w:rsidRDefault="00F17CED" w:rsidP="00F17CED">
      <w:pPr>
        <w:pStyle w:val="Body"/>
        <w:rPr>
          <w:rFonts w:ascii="Arial" w:hAnsi="Arial" w:cs="Arial"/>
        </w:rPr>
      </w:pPr>
      <w:r w:rsidRPr="00F17CED">
        <w:rPr>
          <w:rFonts w:ascii="Arial" w:hAnsi="Arial" w:cs="Arial"/>
        </w:rPr>
        <w:t>The convergence of these drivers underscores a growing emphasis on sustainability, inclusivity and resilience within the agribusiness sector. The integration of diverse actors, networks and innovation systems strengthens the capacity of agribusiness enterprises to adapt to evolving social and environmental challenges. While constraints such as limited access to markets, capital, and technology continue to hinder smallholder participation the strategic use of digital tools and capacity-building programs offers potential pathways toward equitable growth. Embracing adaptive and inclusive business models enables agribusinesses to bridge production gaps, enhance value creation and contribute to long-term food system sustainability.</w:t>
      </w:r>
    </w:p>
    <w:p w14:paraId="222D16C7" w14:textId="361BF283" w:rsidR="00F17CED" w:rsidRPr="00F17CED" w:rsidRDefault="00F17CED" w:rsidP="00F17CED">
      <w:pPr>
        <w:pStyle w:val="Body"/>
        <w:rPr>
          <w:rFonts w:ascii="Arial" w:hAnsi="Arial" w:cs="Arial"/>
        </w:rPr>
      </w:pPr>
      <w:r w:rsidRPr="00F17CED">
        <w:rPr>
          <w:rFonts w:ascii="Arial" w:hAnsi="Arial" w:cs="Arial"/>
        </w:rPr>
        <w:t>The findings highlight the necessity of adopting an integrated and forward-looking approach to agribusiness development one that harmonizes technological innovation, market responsiveness and institutional support. By fostering collaboration between government, industry and local communities</w:t>
      </w:r>
      <w:r w:rsidR="00FE02CE">
        <w:rPr>
          <w:rFonts w:ascii="Arial" w:hAnsi="Arial" w:cs="Arial"/>
        </w:rPr>
        <w:t>,</w:t>
      </w:r>
      <w:r w:rsidRPr="00F17CED">
        <w:rPr>
          <w:rFonts w:ascii="Arial" w:hAnsi="Arial" w:cs="Arial"/>
        </w:rPr>
        <w:t xml:space="preserve"> agribusiness can effectively navigate the pressures of globalization while advancing national goals of food security, rural development, and sustainable economic growth.</w:t>
      </w:r>
    </w:p>
    <w:p w14:paraId="36CF965A" w14:textId="332F1B81" w:rsidR="00F17CED" w:rsidRPr="00FE02CE" w:rsidRDefault="00FE02CE" w:rsidP="00F17CED">
      <w:pPr>
        <w:pStyle w:val="Body"/>
        <w:rPr>
          <w:rFonts w:ascii="Arial" w:hAnsi="Arial" w:cs="Arial"/>
          <w:b/>
          <w:bCs/>
          <w:sz w:val="22"/>
          <w:szCs w:val="22"/>
        </w:rPr>
      </w:pPr>
      <w:r>
        <w:rPr>
          <w:rFonts w:ascii="Arial" w:hAnsi="Arial" w:cs="Arial"/>
          <w:b/>
          <w:bCs/>
          <w:sz w:val="22"/>
          <w:szCs w:val="22"/>
        </w:rPr>
        <w:t xml:space="preserve">5. </w:t>
      </w:r>
      <w:r w:rsidRPr="00FE02CE">
        <w:rPr>
          <w:rFonts w:ascii="Arial" w:hAnsi="Arial" w:cs="Arial"/>
          <w:b/>
          <w:bCs/>
          <w:sz w:val="22"/>
          <w:szCs w:val="22"/>
        </w:rPr>
        <w:t>CONCLUSION</w:t>
      </w:r>
    </w:p>
    <w:p w14:paraId="10A332F8" w14:textId="40A989C4" w:rsidR="00315186" w:rsidRPr="00FE02CE" w:rsidRDefault="00F17CED" w:rsidP="00FE02CE">
      <w:pPr>
        <w:pStyle w:val="Body"/>
        <w:spacing w:after="0"/>
        <w:rPr>
          <w:rFonts w:ascii="Arial" w:hAnsi="Arial" w:cs="Arial"/>
        </w:rPr>
      </w:pPr>
      <w:r w:rsidRPr="00F17CED">
        <w:rPr>
          <w:rFonts w:ascii="Arial" w:hAnsi="Arial" w:cs="Arial"/>
        </w:rPr>
        <w:t xml:space="preserve">The study concludes that agribusiness boundaries are not static but are continuously shaped by the dynamic interaction of market forces, technological innovations, institutional structures and policy interventions. The evolution of agribusiness from production-centered models to integrated, market-driven and sustainability-oriented systems reflects the sector’s </w:t>
      </w:r>
      <w:r w:rsidRPr="00F17CED">
        <w:rPr>
          <w:rFonts w:ascii="Arial" w:hAnsi="Arial" w:cs="Arial"/>
        </w:rPr>
        <w:lastRenderedPageBreak/>
        <w:t>adaptive response to global economic, environmental, and social transformations. Market-centered growth, strengthened by digital innovation and entrepreneurial strategies has expanded the operational and geographical reach of agribusiness enterprises, fostering competitiveness and inclusivity across value chains. Technological advancements, particularly in digital transformation and circular economy applications have redefined how agribusinesses operate enhancing productivity, traceability and sustainability. At the same time, institutional and policy frameworks play a crucial role in either facilitating or constraining these transformations through regulations, incentives, and governance systems. The interplay among these drivers highlights the need for a coherent and adaptive policy environment that encourages innovation while ensuring equitable access to resources and markets for all stakeholders. Ultimately, sustainable agribusiness development depends on balancing economic growth with environmental stewardship and social inclusion. Strengthening collaboration among government, private enterprises and local communities will be essential in building resilient agribusiness systems capable of addressing global challenges such as climate change, food insecurity and market volatility. By these means agribusiness can continue to serve as a key driver of rural development and national economic progress.</w:t>
      </w:r>
    </w:p>
    <w:p w14:paraId="5FE708FE" w14:textId="77777777" w:rsidR="00315186" w:rsidRPr="00315186" w:rsidRDefault="00315186" w:rsidP="00441B6F"/>
    <w:p w14:paraId="6E59A392" w14:textId="77777777" w:rsidR="00FE02CE" w:rsidRDefault="00FE02CE" w:rsidP="00441B6F">
      <w:pPr>
        <w:pStyle w:val="ReferHead"/>
        <w:spacing w:after="0"/>
        <w:jc w:val="both"/>
        <w:rPr>
          <w:rFonts w:ascii="Arial" w:hAnsi="Arial" w:cs="Arial"/>
          <w:b w:val="0"/>
          <w:caps w:val="0"/>
          <w:sz w:val="20"/>
        </w:rPr>
      </w:pPr>
    </w:p>
    <w:p w14:paraId="0E90B88F" w14:textId="03C63DC7" w:rsidR="00284C4C" w:rsidRPr="006759A6" w:rsidRDefault="00B01FCD" w:rsidP="006759A6">
      <w:pPr>
        <w:pStyle w:val="ReferHead"/>
        <w:spacing w:after="0"/>
        <w:jc w:val="both"/>
        <w:rPr>
          <w:rFonts w:ascii="Arial" w:hAnsi="Arial" w:cs="Arial"/>
        </w:rPr>
      </w:pPr>
      <w:r w:rsidRPr="00FB3A86">
        <w:rPr>
          <w:rFonts w:ascii="Arial" w:hAnsi="Arial" w:cs="Arial"/>
        </w:rPr>
        <w:t>References</w:t>
      </w:r>
    </w:p>
    <w:p w14:paraId="6133F254" w14:textId="77777777" w:rsidR="006759A6" w:rsidRDefault="006759A6" w:rsidP="00441B6F">
      <w:pPr>
        <w:pStyle w:val="Body"/>
        <w:spacing w:after="0"/>
        <w:rPr>
          <w:rFonts w:ascii="Arial" w:hAnsi="Arial" w:cs="Arial"/>
        </w:rPr>
      </w:pPr>
    </w:p>
    <w:p w14:paraId="21BDC75D" w14:textId="4A5A45B8" w:rsidR="006759A6" w:rsidRDefault="006759A6" w:rsidP="006759A6">
      <w:pPr>
        <w:pStyle w:val="Body"/>
        <w:ind w:left="720" w:hanging="720"/>
        <w:rPr>
          <w:rFonts w:ascii="Arial" w:hAnsi="Arial" w:cs="Arial"/>
        </w:rPr>
      </w:pPr>
      <w:r w:rsidRPr="006759A6">
        <w:rPr>
          <w:rFonts w:ascii="Arial" w:hAnsi="Arial" w:cs="Arial"/>
        </w:rPr>
        <w:t xml:space="preserve">Babu, S. C., </w:t>
      </w:r>
      <w:proofErr w:type="spellStart"/>
      <w:r w:rsidRPr="006759A6">
        <w:rPr>
          <w:rFonts w:ascii="Arial" w:hAnsi="Arial" w:cs="Arial"/>
        </w:rPr>
        <w:t>Manvatkar</w:t>
      </w:r>
      <w:proofErr w:type="spellEnd"/>
      <w:r w:rsidRPr="006759A6">
        <w:rPr>
          <w:rFonts w:ascii="Arial" w:hAnsi="Arial" w:cs="Arial"/>
        </w:rPr>
        <w:t xml:space="preserve">, R., &amp; </w:t>
      </w:r>
      <w:proofErr w:type="spellStart"/>
      <w:r w:rsidRPr="006759A6">
        <w:rPr>
          <w:rFonts w:ascii="Arial" w:hAnsi="Arial" w:cs="Arial"/>
        </w:rPr>
        <w:t>Kolavalli</w:t>
      </w:r>
      <w:proofErr w:type="spellEnd"/>
      <w:r w:rsidRPr="006759A6">
        <w:rPr>
          <w:rFonts w:ascii="Arial" w:hAnsi="Arial" w:cs="Arial"/>
        </w:rPr>
        <w:t xml:space="preserve">, S. (2015). Strengthening Capacity for Agribusiness Development and Management in Sub-Saharan Africa. Africa Journal of Management, 2(1), 1–30. </w:t>
      </w:r>
      <w:hyperlink r:id="rId14" w:history="1">
        <w:r w:rsidRPr="004C18A9">
          <w:rPr>
            <w:rStyle w:val="Hyperlink"/>
            <w:rFonts w:ascii="Arial" w:hAnsi="Arial" w:cs="Arial"/>
          </w:rPr>
          <w:t>https://doi.org/10.1080/23322373.2015.1112714</w:t>
        </w:r>
      </w:hyperlink>
    </w:p>
    <w:p w14:paraId="3DA61779" w14:textId="6F4086CB" w:rsidR="006759A6" w:rsidRDefault="006759A6" w:rsidP="006759A6">
      <w:pPr>
        <w:pStyle w:val="Body"/>
        <w:ind w:left="720" w:hanging="720"/>
        <w:rPr>
          <w:rFonts w:ascii="Arial" w:hAnsi="Arial" w:cs="Arial"/>
        </w:rPr>
      </w:pPr>
      <w:proofErr w:type="spellStart"/>
      <w:r w:rsidRPr="006759A6">
        <w:rPr>
          <w:rFonts w:ascii="Arial" w:hAnsi="Arial" w:cs="Arial"/>
        </w:rPr>
        <w:t>Bakhuis</w:t>
      </w:r>
      <w:proofErr w:type="spellEnd"/>
      <w:r w:rsidRPr="006759A6">
        <w:rPr>
          <w:rFonts w:ascii="Arial" w:hAnsi="Arial" w:cs="Arial"/>
        </w:rPr>
        <w:t xml:space="preserve">, J., Kamp, L. M., Barbour, N., &amp; </w:t>
      </w:r>
      <w:proofErr w:type="spellStart"/>
      <w:r w:rsidRPr="006759A6">
        <w:rPr>
          <w:rFonts w:ascii="Arial" w:hAnsi="Arial" w:cs="Arial"/>
        </w:rPr>
        <w:t>Chappin</w:t>
      </w:r>
      <w:proofErr w:type="spellEnd"/>
      <w:r w:rsidRPr="006759A6">
        <w:rPr>
          <w:rFonts w:ascii="Arial" w:hAnsi="Arial" w:cs="Arial"/>
        </w:rPr>
        <w:t xml:space="preserve">, É. J. L. (2024). Frameworks for multi-system innovation analysis from a sociotechnical perspective: A systematic literature review. Technological Forecasting and Social Change, 201, 123266. </w:t>
      </w:r>
      <w:hyperlink r:id="rId15" w:history="1">
        <w:r w:rsidRPr="004C18A9">
          <w:rPr>
            <w:rStyle w:val="Hyperlink"/>
            <w:rFonts w:ascii="Arial" w:hAnsi="Arial" w:cs="Arial"/>
          </w:rPr>
          <w:t>https://doi.org/10.1016/j.techfore.2024.123266</w:t>
        </w:r>
      </w:hyperlink>
    </w:p>
    <w:p w14:paraId="7FCE6E64" w14:textId="6189EC78" w:rsidR="006759A6" w:rsidRDefault="006759A6" w:rsidP="006759A6">
      <w:pPr>
        <w:pStyle w:val="Body"/>
        <w:ind w:left="720" w:hanging="720"/>
        <w:rPr>
          <w:rFonts w:ascii="Arial" w:hAnsi="Arial" w:cs="Arial"/>
        </w:rPr>
      </w:pPr>
      <w:proofErr w:type="spellStart"/>
      <w:r w:rsidRPr="006759A6">
        <w:rPr>
          <w:rFonts w:ascii="Arial" w:hAnsi="Arial" w:cs="Arial"/>
        </w:rPr>
        <w:t>Carayannis</w:t>
      </w:r>
      <w:proofErr w:type="spellEnd"/>
      <w:r w:rsidRPr="006759A6">
        <w:rPr>
          <w:rFonts w:ascii="Arial" w:hAnsi="Arial" w:cs="Arial"/>
        </w:rPr>
        <w:t xml:space="preserve">, E. G., Campbell, D. F. J., &amp; Rehman, S. S. (2015). “Happy accidents”: innovation-driven opportunities and perspectives for development in the knowledge economy. Journal of Innovation and Entrepreneurship, 4(1). </w:t>
      </w:r>
      <w:hyperlink r:id="rId16" w:history="1">
        <w:r w:rsidRPr="004C18A9">
          <w:rPr>
            <w:rStyle w:val="Hyperlink"/>
            <w:rFonts w:ascii="Arial" w:hAnsi="Arial" w:cs="Arial"/>
          </w:rPr>
          <w:t>https://doi.org/10.1186/s13731-015-0021-9</w:t>
        </w:r>
      </w:hyperlink>
    </w:p>
    <w:p w14:paraId="2AF74698" w14:textId="7BE0D42E" w:rsidR="006759A6" w:rsidRDefault="006759A6" w:rsidP="006759A6">
      <w:pPr>
        <w:pStyle w:val="Body"/>
        <w:ind w:left="720" w:hanging="720"/>
        <w:rPr>
          <w:rFonts w:ascii="Arial" w:hAnsi="Arial" w:cs="Arial"/>
        </w:rPr>
      </w:pPr>
      <w:proofErr w:type="spellStart"/>
      <w:r w:rsidRPr="006759A6">
        <w:rPr>
          <w:rFonts w:ascii="Arial" w:hAnsi="Arial" w:cs="Arial"/>
        </w:rPr>
        <w:t>Carodenuto</w:t>
      </w:r>
      <w:proofErr w:type="spellEnd"/>
      <w:r w:rsidRPr="006759A6">
        <w:rPr>
          <w:rFonts w:ascii="Arial" w:hAnsi="Arial" w:cs="Arial"/>
        </w:rPr>
        <w:t xml:space="preserve">, S., Merger, E., Essomba, E., Panev, M., Pistorius, T., &amp; Amougou, J. (2015). A Methodological Framework for Assessing Agents, Proximate Drivers and Underlying Causes of Deforestation: Field Test Results from Southern Cameroon. Forests, 6(1), 203–224. </w:t>
      </w:r>
      <w:hyperlink r:id="rId17" w:history="1">
        <w:r w:rsidRPr="004C18A9">
          <w:rPr>
            <w:rStyle w:val="Hyperlink"/>
            <w:rFonts w:ascii="Arial" w:hAnsi="Arial" w:cs="Arial"/>
          </w:rPr>
          <w:t>https://doi.org/10.3390/f6010203</w:t>
        </w:r>
      </w:hyperlink>
    </w:p>
    <w:p w14:paraId="175940D2" w14:textId="2B46F72F" w:rsidR="006759A6" w:rsidRDefault="006759A6" w:rsidP="006759A6">
      <w:pPr>
        <w:pStyle w:val="Body"/>
        <w:ind w:left="720" w:hanging="720"/>
        <w:rPr>
          <w:rFonts w:ascii="Arial" w:hAnsi="Arial" w:cs="Arial"/>
        </w:rPr>
      </w:pPr>
      <w:proofErr w:type="spellStart"/>
      <w:r w:rsidRPr="006759A6">
        <w:rPr>
          <w:rFonts w:ascii="Arial" w:hAnsi="Arial" w:cs="Arial"/>
        </w:rPr>
        <w:t>Dingkuhn</w:t>
      </w:r>
      <w:proofErr w:type="spellEnd"/>
      <w:r w:rsidRPr="006759A6">
        <w:rPr>
          <w:rFonts w:ascii="Arial" w:hAnsi="Arial" w:cs="Arial"/>
        </w:rPr>
        <w:t xml:space="preserve">, E. L., O’Sullivan, L., Grady, C. A., de Klerk, E., &amp; Schulte, R. P. O. (2025). Land-use governance: The interplay of social, market, and policy drivers – A global systematic review. Earth System Governance, 25, 100275. </w:t>
      </w:r>
      <w:hyperlink r:id="rId18" w:history="1">
        <w:r w:rsidRPr="004C18A9">
          <w:rPr>
            <w:rStyle w:val="Hyperlink"/>
            <w:rFonts w:ascii="Arial" w:hAnsi="Arial" w:cs="Arial"/>
          </w:rPr>
          <w:t>https://doi.org/10.1016/j.esg.2025.100275</w:t>
        </w:r>
      </w:hyperlink>
    </w:p>
    <w:p w14:paraId="08281D0E" w14:textId="308E7894" w:rsidR="006759A6" w:rsidRDefault="006759A6" w:rsidP="006759A6">
      <w:pPr>
        <w:pStyle w:val="Body"/>
        <w:ind w:left="720" w:hanging="720"/>
        <w:rPr>
          <w:rFonts w:ascii="Arial" w:hAnsi="Arial" w:cs="Arial"/>
        </w:rPr>
      </w:pPr>
      <w:r w:rsidRPr="006759A6">
        <w:rPr>
          <w:rFonts w:ascii="Arial" w:hAnsi="Arial" w:cs="Arial"/>
        </w:rPr>
        <w:t xml:space="preserve">Doda, H., Sharma, A., &amp; Thakur, N. (2025). A systematic review on sustainable practices transforming global agribusiness. Frontiers in Sustainable Food Systems, 9. </w:t>
      </w:r>
      <w:hyperlink r:id="rId19" w:history="1">
        <w:r w:rsidRPr="004C18A9">
          <w:rPr>
            <w:rStyle w:val="Hyperlink"/>
            <w:rFonts w:ascii="Arial" w:hAnsi="Arial" w:cs="Arial"/>
          </w:rPr>
          <w:t>https://doi.org/10.3389/fsufs.2025.1566708</w:t>
        </w:r>
      </w:hyperlink>
    </w:p>
    <w:p w14:paraId="0AB71187" w14:textId="5102B034" w:rsidR="006759A6" w:rsidRDefault="006759A6" w:rsidP="006759A6">
      <w:pPr>
        <w:pStyle w:val="Body"/>
        <w:ind w:left="720" w:hanging="720"/>
        <w:rPr>
          <w:rFonts w:ascii="Arial" w:hAnsi="Arial" w:cs="Arial"/>
        </w:rPr>
      </w:pPr>
      <w:r w:rsidRPr="006759A6">
        <w:rPr>
          <w:rFonts w:ascii="Arial" w:hAnsi="Arial" w:cs="Arial"/>
        </w:rPr>
        <w:t xml:space="preserve">Duan, K., Pang, G., &amp; Lin, Y. (2023). Exploring the current status and future opportunities of blockchain technology adoption and application in supply chain management. Journal of Digital Economy, 2, 244–288. </w:t>
      </w:r>
      <w:hyperlink r:id="rId20" w:history="1">
        <w:r w:rsidRPr="004C18A9">
          <w:rPr>
            <w:rStyle w:val="Hyperlink"/>
            <w:rFonts w:ascii="Arial" w:hAnsi="Arial" w:cs="Arial"/>
          </w:rPr>
          <w:t>https://doi.org/10.1016/j.jdec.2024.01.005</w:t>
        </w:r>
      </w:hyperlink>
    </w:p>
    <w:p w14:paraId="521C0EF3" w14:textId="17330E13" w:rsidR="006759A6" w:rsidRDefault="006759A6" w:rsidP="006759A6">
      <w:pPr>
        <w:pStyle w:val="Body"/>
        <w:ind w:left="720" w:hanging="720"/>
        <w:rPr>
          <w:rFonts w:ascii="Arial" w:hAnsi="Arial" w:cs="Arial"/>
        </w:rPr>
      </w:pPr>
      <w:r w:rsidRPr="006759A6">
        <w:rPr>
          <w:rFonts w:ascii="Arial" w:hAnsi="Arial" w:cs="Arial"/>
        </w:rPr>
        <w:lastRenderedPageBreak/>
        <w:t xml:space="preserve">Dunyo, S. K., &amp; </w:t>
      </w:r>
      <w:proofErr w:type="spellStart"/>
      <w:r w:rsidRPr="006759A6">
        <w:rPr>
          <w:rFonts w:ascii="Arial" w:hAnsi="Arial" w:cs="Arial"/>
        </w:rPr>
        <w:t>Odei</w:t>
      </w:r>
      <w:proofErr w:type="spellEnd"/>
      <w:r w:rsidRPr="006759A6">
        <w:rPr>
          <w:rFonts w:ascii="Arial" w:hAnsi="Arial" w:cs="Arial"/>
        </w:rPr>
        <w:t xml:space="preserve">, S. A. (2023). Firm-Level Innovations in an Emerging Economy: Do Perceived Policy Instability and Legal Institutional Conditions Matter? Sustainability, 15(2), 1570. </w:t>
      </w:r>
      <w:hyperlink r:id="rId21" w:history="1">
        <w:r w:rsidRPr="004C18A9">
          <w:rPr>
            <w:rStyle w:val="Hyperlink"/>
            <w:rFonts w:ascii="Arial" w:hAnsi="Arial" w:cs="Arial"/>
          </w:rPr>
          <w:t>https://doi.org/10.3390/su15021570</w:t>
        </w:r>
      </w:hyperlink>
    </w:p>
    <w:p w14:paraId="2527EA74" w14:textId="739CFA00" w:rsidR="006759A6" w:rsidRDefault="006759A6" w:rsidP="006759A6">
      <w:pPr>
        <w:pStyle w:val="Body"/>
        <w:ind w:left="720" w:hanging="720"/>
        <w:rPr>
          <w:rFonts w:ascii="Arial" w:hAnsi="Arial" w:cs="Arial"/>
        </w:rPr>
      </w:pPr>
      <w:r w:rsidRPr="006759A6">
        <w:rPr>
          <w:rFonts w:ascii="Arial" w:hAnsi="Arial" w:cs="Arial"/>
        </w:rPr>
        <w:t xml:space="preserve">Fuzail, M., &amp; Shareef, S. (2025). Emerging Business Paradigms in the Digital and Agribusiness Sectors: Integrative Insights from Consumer Behavior, Technological Innovation, and Sustainable Development. PROCURATIO: </w:t>
      </w:r>
      <w:proofErr w:type="spellStart"/>
      <w:r w:rsidRPr="006759A6">
        <w:rPr>
          <w:rFonts w:ascii="Arial" w:hAnsi="Arial" w:cs="Arial"/>
        </w:rPr>
        <w:t>Jurnal</w:t>
      </w:r>
      <w:proofErr w:type="spellEnd"/>
      <w:r w:rsidRPr="006759A6">
        <w:rPr>
          <w:rFonts w:ascii="Arial" w:hAnsi="Arial" w:cs="Arial"/>
        </w:rPr>
        <w:t xml:space="preserve"> </w:t>
      </w:r>
      <w:proofErr w:type="spellStart"/>
      <w:r w:rsidRPr="006759A6">
        <w:rPr>
          <w:rFonts w:ascii="Arial" w:hAnsi="Arial" w:cs="Arial"/>
        </w:rPr>
        <w:t>Manajemen</w:t>
      </w:r>
      <w:proofErr w:type="spellEnd"/>
      <w:r w:rsidRPr="006759A6">
        <w:rPr>
          <w:rFonts w:ascii="Arial" w:hAnsi="Arial" w:cs="Arial"/>
        </w:rPr>
        <w:t xml:space="preserve"> &amp; </w:t>
      </w:r>
      <w:proofErr w:type="spellStart"/>
      <w:r w:rsidRPr="006759A6">
        <w:rPr>
          <w:rFonts w:ascii="Arial" w:hAnsi="Arial" w:cs="Arial"/>
        </w:rPr>
        <w:t>Bisnis</w:t>
      </w:r>
      <w:proofErr w:type="spellEnd"/>
      <w:r w:rsidRPr="006759A6">
        <w:rPr>
          <w:rFonts w:ascii="Arial" w:hAnsi="Arial" w:cs="Arial"/>
        </w:rPr>
        <w:t xml:space="preserve">, 4(1), 1–12. </w:t>
      </w:r>
      <w:hyperlink r:id="rId22" w:history="1">
        <w:r w:rsidRPr="004C18A9">
          <w:rPr>
            <w:rStyle w:val="Hyperlink"/>
            <w:rFonts w:ascii="Arial" w:hAnsi="Arial" w:cs="Arial"/>
          </w:rPr>
          <w:t>https://doi.org/10.62394/projmb.v4i1.183</w:t>
        </w:r>
      </w:hyperlink>
    </w:p>
    <w:p w14:paraId="7E7EB4DB" w14:textId="2CC5BC35" w:rsidR="006759A6" w:rsidRDefault="006759A6" w:rsidP="006759A6">
      <w:pPr>
        <w:pStyle w:val="Body"/>
        <w:ind w:left="720" w:hanging="720"/>
        <w:rPr>
          <w:rFonts w:ascii="Arial" w:hAnsi="Arial" w:cs="Arial"/>
        </w:rPr>
      </w:pPr>
      <w:r w:rsidRPr="006759A6">
        <w:rPr>
          <w:rFonts w:ascii="Arial" w:hAnsi="Arial" w:cs="Arial"/>
        </w:rPr>
        <w:t xml:space="preserve">Holm, D. B., Johanson, M., &amp; Kao, P. T. (2024). Institutions, effectuation and network </w:t>
      </w:r>
      <w:proofErr w:type="spellStart"/>
      <w:r w:rsidRPr="006759A6">
        <w:rPr>
          <w:rFonts w:ascii="Arial" w:hAnsi="Arial" w:cs="Arial"/>
        </w:rPr>
        <w:t>outsidership</w:t>
      </w:r>
      <w:proofErr w:type="spellEnd"/>
      <w:r w:rsidRPr="006759A6">
        <w:rPr>
          <w:rFonts w:ascii="Arial" w:hAnsi="Arial" w:cs="Arial"/>
        </w:rPr>
        <w:t xml:space="preserve">: Reviews and case studies of foreign market entry. Industrial Marketing Management, 123, 88–107. </w:t>
      </w:r>
      <w:hyperlink r:id="rId23" w:history="1">
        <w:r w:rsidRPr="004C18A9">
          <w:rPr>
            <w:rStyle w:val="Hyperlink"/>
            <w:rFonts w:ascii="Arial" w:hAnsi="Arial" w:cs="Arial"/>
          </w:rPr>
          <w:t>https://doi.org/10.1016/j.indmarman.2024.09.009</w:t>
        </w:r>
      </w:hyperlink>
    </w:p>
    <w:p w14:paraId="62903A66" w14:textId="7591A21E" w:rsidR="006759A6" w:rsidRDefault="006759A6" w:rsidP="006759A6">
      <w:pPr>
        <w:pStyle w:val="Body"/>
        <w:ind w:left="720" w:hanging="720"/>
        <w:rPr>
          <w:rFonts w:ascii="Arial" w:hAnsi="Arial" w:cs="Arial"/>
        </w:rPr>
      </w:pPr>
      <w:proofErr w:type="spellStart"/>
      <w:r w:rsidRPr="006759A6">
        <w:rPr>
          <w:rFonts w:ascii="Arial" w:hAnsi="Arial" w:cs="Arial"/>
        </w:rPr>
        <w:t>Kadzamira</w:t>
      </w:r>
      <w:proofErr w:type="spellEnd"/>
      <w:r w:rsidRPr="006759A6">
        <w:rPr>
          <w:rFonts w:ascii="Arial" w:hAnsi="Arial" w:cs="Arial"/>
        </w:rPr>
        <w:t xml:space="preserve">, M., Chege, F., Suntharalingam, C., Bundi, M., </w:t>
      </w:r>
      <w:proofErr w:type="spellStart"/>
      <w:r w:rsidRPr="006759A6">
        <w:rPr>
          <w:rFonts w:ascii="Arial" w:hAnsi="Arial" w:cs="Arial"/>
        </w:rPr>
        <w:t>Likoko</w:t>
      </w:r>
      <w:proofErr w:type="spellEnd"/>
      <w:r w:rsidRPr="006759A6">
        <w:rPr>
          <w:rFonts w:ascii="Arial" w:hAnsi="Arial" w:cs="Arial"/>
        </w:rPr>
        <w:t xml:space="preserve">, L., Magero, D., Romney, D., Kansiime, M., &amp; </w:t>
      </w:r>
      <w:proofErr w:type="spellStart"/>
      <w:r w:rsidRPr="006759A6">
        <w:rPr>
          <w:rFonts w:ascii="Arial" w:hAnsi="Arial" w:cs="Arial"/>
        </w:rPr>
        <w:t>Mulema</w:t>
      </w:r>
      <w:proofErr w:type="spellEnd"/>
      <w:r w:rsidRPr="006759A6">
        <w:rPr>
          <w:rFonts w:ascii="Arial" w:hAnsi="Arial" w:cs="Arial"/>
        </w:rPr>
        <w:t xml:space="preserve">, J. (2024). African women and young people as agriculture service providers—business models, benefits, gaps and opportunities. CABI Agriculture and Bioscience. </w:t>
      </w:r>
      <w:hyperlink r:id="rId24" w:history="1">
        <w:r w:rsidRPr="004C18A9">
          <w:rPr>
            <w:rStyle w:val="Hyperlink"/>
            <w:rFonts w:ascii="Arial" w:hAnsi="Arial" w:cs="Arial"/>
          </w:rPr>
          <w:t>https://doi.org/10.1186/s43170-024-00229-y</w:t>
        </w:r>
      </w:hyperlink>
    </w:p>
    <w:p w14:paraId="3471C893" w14:textId="1C6D37B6" w:rsidR="006759A6" w:rsidRDefault="006759A6" w:rsidP="006759A6">
      <w:pPr>
        <w:pStyle w:val="Body"/>
        <w:ind w:left="720" w:hanging="720"/>
        <w:rPr>
          <w:rFonts w:ascii="Arial" w:hAnsi="Arial" w:cs="Arial"/>
        </w:rPr>
      </w:pPr>
      <w:r w:rsidRPr="006759A6">
        <w:rPr>
          <w:rFonts w:ascii="Arial" w:hAnsi="Arial" w:cs="Arial"/>
        </w:rPr>
        <w:t xml:space="preserve">Khan, M. A., &amp; Mahajan, R. (2024). Barriers and Drivers to CE in Agribusiness: A Systematic Review. Circular Economy and Sustainability, 5(1), 51–78. </w:t>
      </w:r>
      <w:hyperlink r:id="rId25" w:history="1">
        <w:r w:rsidRPr="004C18A9">
          <w:rPr>
            <w:rStyle w:val="Hyperlink"/>
            <w:rFonts w:ascii="Arial" w:hAnsi="Arial" w:cs="Arial"/>
          </w:rPr>
          <w:t>https://doi.org/10.1007/s43615-024-00391-5</w:t>
        </w:r>
      </w:hyperlink>
    </w:p>
    <w:p w14:paraId="7A8445AA" w14:textId="7604E5B3" w:rsidR="006759A6" w:rsidRDefault="006759A6" w:rsidP="006759A6">
      <w:pPr>
        <w:pStyle w:val="Body"/>
        <w:ind w:left="720" w:hanging="720"/>
        <w:rPr>
          <w:rFonts w:ascii="Arial" w:hAnsi="Arial" w:cs="Arial"/>
        </w:rPr>
      </w:pPr>
      <w:r w:rsidRPr="006759A6">
        <w:rPr>
          <w:rFonts w:ascii="Arial" w:hAnsi="Arial" w:cs="Arial"/>
        </w:rPr>
        <w:t xml:space="preserve">Krupoderova, A., &amp; Portnov, B. A. (2020). Eco-innovations and economic performance of regions: a systematic literature survey. Regional Studies, Regional Science, 7(1), 571–588. </w:t>
      </w:r>
      <w:hyperlink r:id="rId26" w:history="1">
        <w:r w:rsidRPr="004C18A9">
          <w:rPr>
            <w:rStyle w:val="Hyperlink"/>
            <w:rFonts w:ascii="Arial" w:hAnsi="Arial" w:cs="Arial"/>
          </w:rPr>
          <w:t>https://doi.org/10.1080/21681376.2020.1848613</w:t>
        </w:r>
      </w:hyperlink>
    </w:p>
    <w:p w14:paraId="54014AAB" w14:textId="1B8DD49E" w:rsidR="006759A6" w:rsidRDefault="006759A6" w:rsidP="006759A6">
      <w:pPr>
        <w:pStyle w:val="Body"/>
        <w:ind w:left="720" w:hanging="720"/>
        <w:rPr>
          <w:rFonts w:ascii="Arial" w:hAnsi="Arial" w:cs="Arial"/>
        </w:rPr>
      </w:pPr>
      <w:proofErr w:type="spellStart"/>
      <w:r w:rsidRPr="006759A6">
        <w:rPr>
          <w:rFonts w:ascii="Arial" w:hAnsi="Arial" w:cs="Arial"/>
        </w:rPr>
        <w:t>Kusnandar</w:t>
      </w:r>
      <w:proofErr w:type="spellEnd"/>
      <w:r w:rsidRPr="006759A6">
        <w:rPr>
          <w:rFonts w:ascii="Arial" w:hAnsi="Arial" w:cs="Arial"/>
        </w:rPr>
        <w:t xml:space="preserve">, </w:t>
      </w:r>
      <w:proofErr w:type="spellStart"/>
      <w:r w:rsidRPr="006759A6">
        <w:rPr>
          <w:rFonts w:ascii="Arial" w:hAnsi="Arial" w:cs="Arial"/>
        </w:rPr>
        <w:t>Setyowati</w:t>
      </w:r>
      <w:proofErr w:type="spellEnd"/>
      <w:r w:rsidRPr="006759A6">
        <w:rPr>
          <w:rFonts w:ascii="Arial" w:hAnsi="Arial" w:cs="Arial"/>
        </w:rPr>
        <w:t xml:space="preserve">, N., &amp; </w:t>
      </w:r>
      <w:proofErr w:type="spellStart"/>
      <w:r w:rsidRPr="006759A6">
        <w:rPr>
          <w:rFonts w:ascii="Arial" w:hAnsi="Arial" w:cs="Arial"/>
        </w:rPr>
        <w:t>Wida</w:t>
      </w:r>
      <w:proofErr w:type="spellEnd"/>
      <w:r w:rsidRPr="006759A6">
        <w:rPr>
          <w:rFonts w:ascii="Arial" w:hAnsi="Arial" w:cs="Arial"/>
        </w:rPr>
        <w:t xml:space="preserve"> </w:t>
      </w:r>
      <w:proofErr w:type="spellStart"/>
      <w:r w:rsidRPr="006759A6">
        <w:rPr>
          <w:rFonts w:ascii="Arial" w:hAnsi="Arial" w:cs="Arial"/>
        </w:rPr>
        <w:t>Riptanti</w:t>
      </w:r>
      <w:proofErr w:type="spellEnd"/>
      <w:r w:rsidRPr="006759A6">
        <w:rPr>
          <w:rFonts w:ascii="Arial" w:hAnsi="Arial" w:cs="Arial"/>
        </w:rPr>
        <w:t xml:space="preserve">, E. (2023). Creating an innovative culture in agribusiness of micro, small and medium-sized enterprises. Agricultural and Resource Economics: International Scientific E-Journal, 9(2). </w:t>
      </w:r>
      <w:hyperlink r:id="rId27" w:history="1">
        <w:r w:rsidRPr="004C18A9">
          <w:rPr>
            <w:rStyle w:val="Hyperlink"/>
            <w:rFonts w:ascii="Arial" w:hAnsi="Arial" w:cs="Arial"/>
          </w:rPr>
          <w:t>https://doi.org/10.51599/are.2023.09.02.09</w:t>
        </w:r>
      </w:hyperlink>
    </w:p>
    <w:p w14:paraId="1A62B197" w14:textId="24F0FC23" w:rsidR="006759A6" w:rsidRDefault="006759A6" w:rsidP="006759A6">
      <w:pPr>
        <w:pStyle w:val="Body"/>
        <w:ind w:left="720" w:hanging="720"/>
        <w:rPr>
          <w:rFonts w:ascii="Arial" w:hAnsi="Arial" w:cs="Arial"/>
        </w:rPr>
      </w:pPr>
      <w:r w:rsidRPr="006759A6">
        <w:rPr>
          <w:rFonts w:ascii="Arial" w:hAnsi="Arial" w:cs="Arial"/>
        </w:rPr>
        <w:t xml:space="preserve">KUSHNIR, O. (2023). Fundamentals of management of inclusive development of business structures of agribusiness. Herald of Khmelnytskyi National University. Economic Sciences, 320(4), 158–164. </w:t>
      </w:r>
      <w:hyperlink r:id="rId28" w:history="1">
        <w:r w:rsidRPr="004C18A9">
          <w:rPr>
            <w:rStyle w:val="Hyperlink"/>
            <w:rFonts w:ascii="Arial" w:hAnsi="Arial" w:cs="Arial"/>
          </w:rPr>
          <w:t>https://doi.org/10.31891/2307-5740-2023-320-4-23</w:t>
        </w:r>
      </w:hyperlink>
    </w:p>
    <w:p w14:paraId="28EE4C66" w14:textId="0A481EC5" w:rsidR="006759A6" w:rsidRDefault="006759A6" w:rsidP="006759A6">
      <w:pPr>
        <w:pStyle w:val="Body"/>
        <w:ind w:left="720" w:hanging="720"/>
        <w:rPr>
          <w:rFonts w:ascii="Arial" w:hAnsi="Arial" w:cs="Arial"/>
        </w:rPr>
      </w:pPr>
      <w:r w:rsidRPr="006759A6">
        <w:rPr>
          <w:rFonts w:ascii="Arial" w:hAnsi="Arial" w:cs="Arial"/>
        </w:rPr>
        <w:t xml:space="preserve">Leitão, F. O., Paiva, E. L., &amp; Thomé, K. M. (2023). Agribusiness capabilities and performance: a systematic literature review and research agenda. British Food Journal, 126(2), 595–622. </w:t>
      </w:r>
      <w:hyperlink r:id="rId29" w:history="1">
        <w:r w:rsidRPr="004C18A9">
          <w:rPr>
            <w:rStyle w:val="Hyperlink"/>
            <w:rFonts w:ascii="Arial" w:hAnsi="Arial" w:cs="Arial"/>
          </w:rPr>
          <w:t>https://doi.org/10.1108/bfj-12-2022-1143</w:t>
        </w:r>
      </w:hyperlink>
    </w:p>
    <w:p w14:paraId="52DEDF23" w14:textId="41A71C71" w:rsidR="006759A6" w:rsidRDefault="006759A6" w:rsidP="006759A6">
      <w:pPr>
        <w:pStyle w:val="Body"/>
        <w:ind w:left="720" w:hanging="720"/>
        <w:rPr>
          <w:rFonts w:ascii="Arial" w:hAnsi="Arial" w:cs="Arial"/>
        </w:rPr>
      </w:pPr>
      <w:r w:rsidRPr="006759A6">
        <w:rPr>
          <w:rFonts w:ascii="Arial" w:hAnsi="Arial" w:cs="Arial"/>
        </w:rPr>
        <w:t xml:space="preserve">Liu, G., Liu, J., Gao, P., Yu, J., &amp; Pu, Z. (2024). Understanding mechanisms of digital transformation in state-owned enterprises in China: An institutional perspective. Technological Forecasting and Social Change, 202, 123288. </w:t>
      </w:r>
      <w:hyperlink r:id="rId30" w:history="1">
        <w:r w:rsidRPr="004C18A9">
          <w:rPr>
            <w:rStyle w:val="Hyperlink"/>
            <w:rFonts w:ascii="Arial" w:hAnsi="Arial" w:cs="Arial"/>
          </w:rPr>
          <w:t>https://doi.org/10.1016/j.techfore.2024.123288</w:t>
        </w:r>
      </w:hyperlink>
    </w:p>
    <w:p w14:paraId="15E23EFE" w14:textId="28FD15E5" w:rsidR="006759A6" w:rsidRDefault="006759A6" w:rsidP="006759A6">
      <w:pPr>
        <w:pStyle w:val="Body"/>
        <w:ind w:left="720" w:hanging="720"/>
        <w:rPr>
          <w:rFonts w:ascii="Arial" w:hAnsi="Arial" w:cs="Arial"/>
        </w:rPr>
      </w:pPr>
      <w:r w:rsidRPr="006759A6">
        <w:rPr>
          <w:rFonts w:ascii="Arial" w:hAnsi="Arial" w:cs="Arial"/>
        </w:rPr>
        <w:t xml:space="preserve">Liu, Z., &amp; Kringos, N. (2024). Transition from linear to circular economy in pavement engineering: A historical review. Journal of Cleaner Production, 449, 141809. </w:t>
      </w:r>
      <w:hyperlink r:id="rId31" w:history="1">
        <w:r w:rsidRPr="004C18A9">
          <w:rPr>
            <w:rStyle w:val="Hyperlink"/>
            <w:rFonts w:ascii="Arial" w:hAnsi="Arial" w:cs="Arial"/>
          </w:rPr>
          <w:t>https://doi.org/10.1016/j.jclepro.2024.141809</w:t>
        </w:r>
      </w:hyperlink>
    </w:p>
    <w:p w14:paraId="47C2862D" w14:textId="18E1E759" w:rsidR="006759A6" w:rsidRDefault="006759A6" w:rsidP="006759A6">
      <w:pPr>
        <w:pStyle w:val="Body"/>
        <w:ind w:left="720" w:hanging="720"/>
        <w:rPr>
          <w:rFonts w:ascii="Arial" w:hAnsi="Arial" w:cs="Arial"/>
        </w:rPr>
      </w:pPr>
      <w:r w:rsidRPr="006759A6">
        <w:rPr>
          <w:rFonts w:ascii="Arial" w:hAnsi="Arial" w:cs="Arial"/>
        </w:rPr>
        <w:t xml:space="preserve">Mahfud, K., </w:t>
      </w:r>
      <w:proofErr w:type="spellStart"/>
      <w:r w:rsidRPr="006759A6">
        <w:rPr>
          <w:rFonts w:ascii="Arial" w:hAnsi="Arial" w:cs="Arial"/>
        </w:rPr>
        <w:t>Apriani</w:t>
      </w:r>
      <w:proofErr w:type="spellEnd"/>
      <w:r w:rsidRPr="006759A6">
        <w:rPr>
          <w:rFonts w:ascii="Arial" w:hAnsi="Arial" w:cs="Arial"/>
        </w:rPr>
        <w:t xml:space="preserve">, W., &amp; Yasmin. (2024). Sustainable Partnership Models Between Farmers and Agribusiness: An Extension Approach to Enhancing Competitive Advantage. Proceeding of Research and Civil Society Dissemination, 2(1), 391–395. </w:t>
      </w:r>
      <w:hyperlink r:id="rId32" w:history="1">
        <w:r w:rsidRPr="004C18A9">
          <w:rPr>
            <w:rStyle w:val="Hyperlink"/>
            <w:rFonts w:ascii="Arial" w:hAnsi="Arial" w:cs="Arial"/>
          </w:rPr>
          <w:t>https://doi.org/10.37476/presed.v2i1.83</w:t>
        </w:r>
      </w:hyperlink>
    </w:p>
    <w:p w14:paraId="3C9E42BA" w14:textId="7957A8F7" w:rsidR="006759A6" w:rsidRDefault="006759A6" w:rsidP="006759A6">
      <w:pPr>
        <w:pStyle w:val="Body"/>
        <w:ind w:left="720" w:hanging="720"/>
        <w:rPr>
          <w:rFonts w:ascii="Arial" w:hAnsi="Arial" w:cs="Arial"/>
        </w:rPr>
      </w:pPr>
      <w:r w:rsidRPr="006759A6">
        <w:rPr>
          <w:rFonts w:ascii="Arial" w:hAnsi="Arial" w:cs="Arial"/>
        </w:rPr>
        <w:lastRenderedPageBreak/>
        <w:t xml:space="preserve">Meyer, D., </w:t>
      </w:r>
      <w:proofErr w:type="spellStart"/>
      <w:r w:rsidRPr="006759A6">
        <w:rPr>
          <w:rFonts w:ascii="Arial" w:hAnsi="Arial" w:cs="Arial"/>
        </w:rPr>
        <w:t>Schaupensteiner</w:t>
      </w:r>
      <w:proofErr w:type="spellEnd"/>
      <w:r w:rsidRPr="006759A6">
        <w:rPr>
          <w:rFonts w:ascii="Arial" w:hAnsi="Arial" w:cs="Arial"/>
        </w:rPr>
        <w:t xml:space="preserve">, N., &amp; Riquel, J. (2024). Business Models and Ecosystems in the Circular Economy Using the Example of Battery Second Use Storage Systems. Sustainability, 16(5), 1906. </w:t>
      </w:r>
      <w:hyperlink r:id="rId33" w:history="1">
        <w:r w:rsidRPr="004C18A9">
          <w:rPr>
            <w:rStyle w:val="Hyperlink"/>
            <w:rFonts w:ascii="Arial" w:hAnsi="Arial" w:cs="Arial"/>
          </w:rPr>
          <w:t>https://doi.org/10.3390/su16051906</w:t>
        </w:r>
      </w:hyperlink>
    </w:p>
    <w:p w14:paraId="257AEE88" w14:textId="5224D994" w:rsidR="006759A6" w:rsidRDefault="006759A6" w:rsidP="006759A6">
      <w:pPr>
        <w:pStyle w:val="Body"/>
        <w:ind w:left="720" w:hanging="720"/>
        <w:rPr>
          <w:rFonts w:ascii="Arial" w:hAnsi="Arial" w:cs="Arial"/>
        </w:rPr>
      </w:pPr>
      <w:r w:rsidRPr="006759A6">
        <w:rPr>
          <w:rFonts w:ascii="Arial" w:hAnsi="Arial" w:cs="Arial"/>
        </w:rPr>
        <w:t xml:space="preserve">Migunov, R. A., </w:t>
      </w:r>
      <w:proofErr w:type="spellStart"/>
      <w:r w:rsidRPr="006759A6">
        <w:rPr>
          <w:rFonts w:ascii="Arial" w:hAnsi="Arial" w:cs="Arial"/>
        </w:rPr>
        <w:t>Syutkina</w:t>
      </w:r>
      <w:proofErr w:type="spellEnd"/>
      <w:r w:rsidRPr="006759A6">
        <w:rPr>
          <w:rFonts w:ascii="Arial" w:hAnsi="Arial" w:cs="Arial"/>
        </w:rPr>
        <w:t xml:space="preserve">, A. A., </w:t>
      </w:r>
      <w:proofErr w:type="spellStart"/>
      <w:r w:rsidRPr="006759A6">
        <w:rPr>
          <w:rFonts w:ascii="Arial" w:hAnsi="Arial" w:cs="Arial"/>
        </w:rPr>
        <w:t>Zaruk</w:t>
      </w:r>
      <w:proofErr w:type="spellEnd"/>
      <w:r w:rsidRPr="006759A6">
        <w:rPr>
          <w:rFonts w:ascii="Arial" w:hAnsi="Arial" w:cs="Arial"/>
        </w:rPr>
        <w:t xml:space="preserve">, N. F., </w:t>
      </w:r>
      <w:proofErr w:type="spellStart"/>
      <w:r w:rsidRPr="006759A6">
        <w:rPr>
          <w:rFonts w:ascii="Arial" w:hAnsi="Arial" w:cs="Arial"/>
        </w:rPr>
        <w:t>Kolomeeva</w:t>
      </w:r>
      <w:proofErr w:type="spellEnd"/>
      <w:r w:rsidRPr="006759A6">
        <w:rPr>
          <w:rFonts w:ascii="Arial" w:hAnsi="Arial" w:cs="Arial"/>
        </w:rPr>
        <w:t xml:space="preserve">, E. S., &amp; </w:t>
      </w:r>
      <w:proofErr w:type="spellStart"/>
      <w:r w:rsidRPr="006759A6">
        <w:rPr>
          <w:rFonts w:ascii="Arial" w:hAnsi="Arial" w:cs="Arial"/>
        </w:rPr>
        <w:t>Arzamastseva</w:t>
      </w:r>
      <w:proofErr w:type="spellEnd"/>
      <w:r w:rsidRPr="006759A6">
        <w:rPr>
          <w:rFonts w:ascii="Arial" w:hAnsi="Arial" w:cs="Arial"/>
        </w:rPr>
        <w:t xml:space="preserve">, N. V. (2023). Global Challenges and Barriers to Sustainable Economic Growth in the Agribusiness Sector. WSEAS Transactions on Business and Economics, 20, 923–930. </w:t>
      </w:r>
      <w:hyperlink r:id="rId34" w:history="1">
        <w:r w:rsidRPr="004C18A9">
          <w:rPr>
            <w:rStyle w:val="Hyperlink"/>
            <w:rFonts w:ascii="Arial" w:hAnsi="Arial" w:cs="Arial"/>
          </w:rPr>
          <w:t>https://doi.org/10.37394/23207.2023.20.85</w:t>
        </w:r>
      </w:hyperlink>
    </w:p>
    <w:p w14:paraId="157D8C49" w14:textId="6651079C" w:rsidR="006759A6" w:rsidRDefault="006759A6" w:rsidP="006759A6">
      <w:pPr>
        <w:pStyle w:val="Body"/>
        <w:ind w:left="720" w:hanging="720"/>
        <w:rPr>
          <w:rFonts w:ascii="Arial" w:hAnsi="Arial" w:cs="Arial"/>
        </w:rPr>
      </w:pPr>
      <w:r w:rsidRPr="006759A6">
        <w:rPr>
          <w:rFonts w:ascii="Arial" w:hAnsi="Arial" w:cs="Arial"/>
        </w:rPr>
        <w:t xml:space="preserve">Mühl, D. D., Schultz, G., &amp; Oliveira, L. de. (2024). The Conceptual Evolution of the Agribusiness Field of Study: From the Emergence of the Term to 2020. </w:t>
      </w:r>
      <w:proofErr w:type="spellStart"/>
      <w:r w:rsidRPr="006759A6">
        <w:rPr>
          <w:rFonts w:ascii="Arial" w:hAnsi="Arial" w:cs="Arial"/>
        </w:rPr>
        <w:t>Revista</w:t>
      </w:r>
      <w:proofErr w:type="spellEnd"/>
      <w:r w:rsidRPr="006759A6">
        <w:rPr>
          <w:rFonts w:ascii="Arial" w:hAnsi="Arial" w:cs="Arial"/>
        </w:rPr>
        <w:t xml:space="preserve"> de </w:t>
      </w:r>
      <w:proofErr w:type="spellStart"/>
      <w:r w:rsidRPr="006759A6">
        <w:rPr>
          <w:rFonts w:ascii="Arial" w:hAnsi="Arial" w:cs="Arial"/>
        </w:rPr>
        <w:t>Gestão</w:t>
      </w:r>
      <w:proofErr w:type="spellEnd"/>
      <w:r w:rsidRPr="006759A6">
        <w:rPr>
          <w:rFonts w:ascii="Arial" w:hAnsi="Arial" w:cs="Arial"/>
        </w:rPr>
        <w:t xml:space="preserve"> Social e Ambiental, 18(4), e07766. </w:t>
      </w:r>
      <w:hyperlink r:id="rId35" w:history="1">
        <w:r w:rsidRPr="004C18A9">
          <w:rPr>
            <w:rStyle w:val="Hyperlink"/>
            <w:rFonts w:ascii="Arial" w:hAnsi="Arial" w:cs="Arial"/>
          </w:rPr>
          <w:t>https://doi.org/10.24857/rgsa.v18n4-191</w:t>
        </w:r>
      </w:hyperlink>
    </w:p>
    <w:p w14:paraId="2D31144E" w14:textId="0C0412C9" w:rsidR="006759A6" w:rsidRDefault="006759A6" w:rsidP="006759A6">
      <w:pPr>
        <w:pStyle w:val="Body"/>
        <w:ind w:left="720" w:hanging="720"/>
        <w:rPr>
          <w:rFonts w:ascii="Arial" w:hAnsi="Arial" w:cs="Arial"/>
        </w:rPr>
      </w:pPr>
      <w:r w:rsidRPr="006759A6">
        <w:rPr>
          <w:rFonts w:ascii="Arial" w:hAnsi="Arial" w:cs="Arial"/>
        </w:rPr>
        <w:t xml:space="preserve">Nyangoma, D., </w:t>
      </w:r>
      <w:proofErr w:type="spellStart"/>
      <w:r w:rsidRPr="006759A6">
        <w:rPr>
          <w:rFonts w:ascii="Arial" w:hAnsi="Arial" w:cs="Arial"/>
        </w:rPr>
        <w:t>Adaga</w:t>
      </w:r>
      <w:proofErr w:type="spellEnd"/>
      <w:r w:rsidRPr="006759A6">
        <w:rPr>
          <w:rFonts w:ascii="Arial" w:hAnsi="Arial" w:cs="Arial"/>
        </w:rPr>
        <w:t xml:space="preserve">, E. M., Sam-Bulya, N. J., &amp; </w:t>
      </w:r>
      <w:proofErr w:type="spellStart"/>
      <w:r w:rsidRPr="006759A6">
        <w:rPr>
          <w:rFonts w:ascii="Arial" w:hAnsi="Arial" w:cs="Arial"/>
        </w:rPr>
        <w:t>Achumie</w:t>
      </w:r>
      <w:proofErr w:type="spellEnd"/>
      <w:r w:rsidRPr="006759A6">
        <w:rPr>
          <w:rFonts w:ascii="Arial" w:hAnsi="Arial" w:cs="Arial"/>
        </w:rPr>
        <w:t xml:space="preserve">, G. O. (2023). Integrating Sustainability Principles into Agribusiness Operations: A Strategic Framework for Environmental and Economic Viability. International Journal of Management and Organizational Research, 2(4), 43–48. </w:t>
      </w:r>
      <w:hyperlink r:id="rId36" w:history="1">
        <w:r w:rsidRPr="004C18A9">
          <w:rPr>
            <w:rStyle w:val="Hyperlink"/>
            <w:rFonts w:ascii="Arial" w:hAnsi="Arial" w:cs="Arial"/>
          </w:rPr>
          <w:t>https://doi.org/10.54660/ijmor.2023.2.4.43-50</w:t>
        </w:r>
      </w:hyperlink>
    </w:p>
    <w:p w14:paraId="535E4E5C" w14:textId="44D319AD" w:rsidR="006759A6" w:rsidRDefault="006759A6" w:rsidP="006759A6">
      <w:pPr>
        <w:pStyle w:val="Body"/>
        <w:ind w:left="720" w:hanging="720"/>
        <w:rPr>
          <w:rFonts w:ascii="Arial" w:hAnsi="Arial" w:cs="Arial"/>
        </w:rPr>
      </w:pPr>
      <w:proofErr w:type="spellStart"/>
      <w:r w:rsidRPr="006759A6">
        <w:rPr>
          <w:rFonts w:ascii="Arial" w:hAnsi="Arial" w:cs="Arial"/>
        </w:rPr>
        <w:t>Pfnür</w:t>
      </w:r>
      <w:proofErr w:type="spellEnd"/>
      <w:r w:rsidRPr="006759A6">
        <w:rPr>
          <w:rFonts w:ascii="Arial" w:hAnsi="Arial" w:cs="Arial"/>
        </w:rPr>
        <w:t xml:space="preserve">, A., &amp; Wagner, B. (2020). Transformation of the real estate and construction industry: empirical findings from Germany. Journal of Business Economics, 90(7), 975–1019. </w:t>
      </w:r>
      <w:hyperlink r:id="rId37" w:history="1">
        <w:r w:rsidRPr="004C18A9">
          <w:rPr>
            <w:rStyle w:val="Hyperlink"/>
            <w:rFonts w:ascii="Arial" w:hAnsi="Arial" w:cs="Arial"/>
          </w:rPr>
          <w:t>https://doi.org/10.1007/s11573-020-00972-4</w:t>
        </w:r>
      </w:hyperlink>
    </w:p>
    <w:p w14:paraId="50088B38" w14:textId="5F975952" w:rsidR="006759A6" w:rsidRDefault="006759A6" w:rsidP="006759A6">
      <w:pPr>
        <w:pStyle w:val="Body"/>
        <w:ind w:left="720" w:hanging="720"/>
        <w:rPr>
          <w:rFonts w:ascii="Arial" w:hAnsi="Arial" w:cs="Arial"/>
        </w:rPr>
      </w:pPr>
      <w:proofErr w:type="spellStart"/>
      <w:r w:rsidRPr="006759A6">
        <w:rPr>
          <w:rFonts w:ascii="Arial" w:hAnsi="Arial" w:cs="Arial"/>
        </w:rPr>
        <w:t>Shammi</w:t>
      </w:r>
      <w:proofErr w:type="spellEnd"/>
      <w:r w:rsidRPr="006759A6">
        <w:rPr>
          <w:rFonts w:ascii="Arial" w:hAnsi="Arial" w:cs="Arial"/>
        </w:rPr>
        <w:t xml:space="preserve">, M., Rahman, Md. M., Bondad, S. E., &amp; </w:t>
      </w:r>
      <w:proofErr w:type="spellStart"/>
      <w:r w:rsidRPr="006759A6">
        <w:rPr>
          <w:rFonts w:ascii="Arial" w:hAnsi="Arial" w:cs="Arial"/>
        </w:rPr>
        <w:t>Bodrud-Doza</w:t>
      </w:r>
      <w:proofErr w:type="spellEnd"/>
      <w:r w:rsidRPr="006759A6">
        <w:rPr>
          <w:rFonts w:ascii="Arial" w:hAnsi="Arial" w:cs="Arial"/>
        </w:rPr>
        <w:t xml:space="preserve">, Md. (2019). Impacts of Salinity Intrusion in Community Health: A Review of Experiences on Drinking Water Sodium from Coastal Areas of Bangladesh. Healthcare, 7(1), 50. </w:t>
      </w:r>
      <w:hyperlink r:id="rId38" w:history="1">
        <w:r w:rsidRPr="004C18A9">
          <w:rPr>
            <w:rStyle w:val="Hyperlink"/>
            <w:rFonts w:ascii="Arial" w:hAnsi="Arial" w:cs="Arial"/>
          </w:rPr>
          <w:t>https://doi.org/10.3390/healthcare7010050</w:t>
        </w:r>
      </w:hyperlink>
    </w:p>
    <w:p w14:paraId="6C99C804" w14:textId="2924C9D5" w:rsidR="006759A6" w:rsidRDefault="006759A6" w:rsidP="006759A6">
      <w:pPr>
        <w:pStyle w:val="Body"/>
        <w:ind w:left="720" w:hanging="720"/>
        <w:rPr>
          <w:rFonts w:ascii="Arial" w:hAnsi="Arial" w:cs="Arial"/>
        </w:rPr>
      </w:pPr>
      <w:proofErr w:type="spellStart"/>
      <w:r w:rsidRPr="006759A6">
        <w:rPr>
          <w:rFonts w:ascii="Arial" w:hAnsi="Arial" w:cs="Arial"/>
        </w:rPr>
        <w:t>Smimou</w:t>
      </w:r>
      <w:proofErr w:type="spellEnd"/>
      <w:r w:rsidRPr="006759A6">
        <w:rPr>
          <w:rFonts w:ascii="Arial" w:hAnsi="Arial" w:cs="Arial"/>
        </w:rPr>
        <w:t xml:space="preserve">, K., Bosch, D., &amp; Filbeck, G. (2024). Commodities and Policy Uncertainty Channel(s). International Review of Economics &amp; Finance, 92, 351–379. </w:t>
      </w:r>
      <w:hyperlink r:id="rId39" w:history="1">
        <w:r w:rsidRPr="004C18A9">
          <w:rPr>
            <w:rStyle w:val="Hyperlink"/>
            <w:rFonts w:ascii="Arial" w:hAnsi="Arial" w:cs="Arial"/>
          </w:rPr>
          <w:t>https://doi.org/10.1016/j.iref.2024.01.065</w:t>
        </w:r>
      </w:hyperlink>
    </w:p>
    <w:p w14:paraId="0F055478" w14:textId="52AAF2A2" w:rsidR="006759A6" w:rsidRDefault="006759A6" w:rsidP="006759A6">
      <w:pPr>
        <w:pStyle w:val="Body"/>
        <w:ind w:left="720" w:hanging="720"/>
        <w:rPr>
          <w:rFonts w:ascii="Arial" w:hAnsi="Arial" w:cs="Arial"/>
        </w:rPr>
      </w:pPr>
      <w:proofErr w:type="spellStart"/>
      <w:r w:rsidRPr="006759A6">
        <w:rPr>
          <w:rFonts w:ascii="Arial" w:hAnsi="Arial" w:cs="Arial"/>
        </w:rPr>
        <w:t>Tebkew</w:t>
      </w:r>
      <w:proofErr w:type="spellEnd"/>
      <w:r w:rsidRPr="006759A6">
        <w:rPr>
          <w:rFonts w:ascii="Arial" w:hAnsi="Arial" w:cs="Arial"/>
        </w:rPr>
        <w:t xml:space="preserve">, M., &amp; </w:t>
      </w:r>
      <w:proofErr w:type="spellStart"/>
      <w:r w:rsidRPr="006759A6">
        <w:rPr>
          <w:rFonts w:ascii="Arial" w:hAnsi="Arial" w:cs="Arial"/>
        </w:rPr>
        <w:t>Atinkut</w:t>
      </w:r>
      <w:proofErr w:type="spellEnd"/>
      <w:r w:rsidRPr="006759A6">
        <w:rPr>
          <w:rFonts w:ascii="Arial" w:hAnsi="Arial" w:cs="Arial"/>
        </w:rPr>
        <w:t xml:space="preserve">, H. B. (2022). Impact of forest decentralization on sustainable forest management and livelihoods in East Africa. Trees, Forests and People, 10, 100346. </w:t>
      </w:r>
      <w:hyperlink r:id="rId40" w:history="1">
        <w:r w:rsidRPr="004C18A9">
          <w:rPr>
            <w:rStyle w:val="Hyperlink"/>
            <w:rFonts w:ascii="Arial" w:hAnsi="Arial" w:cs="Arial"/>
          </w:rPr>
          <w:t>https://doi.org/10.1016/j.tfp.2022.100346</w:t>
        </w:r>
      </w:hyperlink>
    </w:p>
    <w:p w14:paraId="20E403FF" w14:textId="67331976" w:rsidR="006759A6" w:rsidRDefault="006759A6" w:rsidP="006759A6">
      <w:pPr>
        <w:pStyle w:val="Body"/>
        <w:ind w:left="720" w:hanging="720"/>
        <w:rPr>
          <w:rFonts w:ascii="Arial" w:hAnsi="Arial" w:cs="Arial"/>
        </w:rPr>
      </w:pPr>
      <w:r w:rsidRPr="006759A6">
        <w:rPr>
          <w:rFonts w:ascii="Arial" w:hAnsi="Arial" w:cs="Arial"/>
        </w:rPr>
        <w:t xml:space="preserve">Xu, W., &amp; Mo, W. (2024). Institutional unlocking or technological unlocking? The logic of carbon unlocking in the new energy vehicle industry in China. Energy Policy, 195, 114369. </w:t>
      </w:r>
      <w:hyperlink r:id="rId41" w:history="1">
        <w:r w:rsidRPr="004C18A9">
          <w:rPr>
            <w:rStyle w:val="Hyperlink"/>
            <w:rFonts w:ascii="Arial" w:hAnsi="Arial" w:cs="Arial"/>
          </w:rPr>
          <w:t>https://doi.org/10.1016/j.enpol.2024.114369</w:t>
        </w:r>
      </w:hyperlink>
    </w:p>
    <w:p w14:paraId="29861D43" w14:textId="7414A429" w:rsidR="006759A6" w:rsidRDefault="006759A6" w:rsidP="006759A6">
      <w:pPr>
        <w:pStyle w:val="Body"/>
        <w:ind w:left="720" w:hanging="720"/>
        <w:rPr>
          <w:rFonts w:ascii="Arial" w:hAnsi="Arial" w:cs="Arial"/>
        </w:rPr>
      </w:pPr>
      <w:r w:rsidRPr="006759A6">
        <w:rPr>
          <w:rFonts w:ascii="Arial" w:hAnsi="Arial" w:cs="Arial"/>
        </w:rPr>
        <w:t xml:space="preserve">Yang, T.-K., &amp; Yan, M.-R. (2019). Exploring the Enablers of Strategic Orientation for Technology-Driven Business Innovation Ecosystems. Sustainability, 11(20), 5779. </w:t>
      </w:r>
      <w:hyperlink r:id="rId42" w:history="1">
        <w:r w:rsidRPr="004C18A9">
          <w:rPr>
            <w:rStyle w:val="Hyperlink"/>
            <w:rFonts w:ascii="Arial" w:hAnsi="Arial" w:cs="Arial"/>
          </w:rPr>
          <w:t>https://doi.org/10.3390/su11205779</w:t>
        </w:r>
      </w:hyperlink>
    </w:p>
    <w:p w14:paraId="1210C73B" w14:textId="1AA2FFF3" w:rsidR="006759A6" w:rsidRDefault="006759A6" w:rsidP="006759A6">
      <w:pPr>
        <w:pStyle w:val="Body"/>
        <w:ind w:left="720" w:hanging="720"/>
        <w:rPr>
          <w:rFonts w:ascii="Arial" w:hAnsi="Arial" w:cs="Arial"/>
        </w:rPr>
      </w:pPr>
      <w:r w:rsidRPr="006759A6">
        <w:rPr>
          <w:rFonts w:ascii="Arial" w:hAnsi="Arial" w:cs="Arial"/>
        </w:rPr>
        <w:t xml:space="preserve">Yu, C., &amp; </w:t>
      </w:r>
      <w:proofErr w:type="spellStart"/>
      <w:r w:rsidRPr="006759A6">
        <w:rPr>
          <w:rFonts w:ascii="Arial" w:hAnsi="Arial" w:cs="Arial"/>
        </w:rPr>
        <w:t>Morotomi</w:t>
      </w:r>
      <w:proofErr w:type="spellEnd"/>
      <w:r w:rsidRPr="006759A6">
        <w:rPr>
          <w:rFonts w:ascii="Arial" w:hAnsi="Arial" w:cs="Arial"/>
        </w:rPr>
        <w:t>, T. (2022). Impacts of green public procurement on eco-innovation: evidence from EU countries. Global Public Policy and Governance, 2(2), 154–174. https://doi.org/10.1007/s43508-022-00041-2Zhao, X., Zhang, Y., &amp; Li, Y. (2018). The Evolution of Renewable Energy Price Policies Based on Improved Bass Model: A System Dynamics (SD) Analysis. Sustainability, 10(6), 1748. https://doi.org/10.3390/su10061748</w:t>
      </w:r>
    </w:p>
    <w:p w14:paraId="18404C7F" w14:textId="77777777" w:rsidR="00284C4C" w:rsidRDefault="00284C4C" w:rsidP="000D689F">
      <w:pPr>
        <w:pStyle w:val="Body"/>
        <w:spacing w:after="0"/>
      </w:pPr>
    </w:p>
    <w:p w14:paraId="1EE1F80B" w14:textId="77777777" w:rsidR="00B01FCD" w:rsidRPr="00FB3A86" w:rsidRDefault="00B01FCD" w:rsidP="00441B6F">
      <w:pPr>
        <w:pStyle w:val="Appendix"/>
        <w:spacing w:after="0"/>
        <w:jc w:val="both"/>
        <w:rPr>
          <w:rFonts w:ascii="Arial" w:hAnsi="Arial" w:cs="Arial"/>
          <w:b w:val="0"/>
        </w:rPr>
      </w:pPr>
    </w:p>
    <w:sectPr w:rsidR="00B01FCD" w:rsidRPr="00FB3A86" w:rsidSect="00A166AA">
      <w:headerReference w:type="even" r:id="rId43"/>
      <w:headerReference w:type="default" r:id="rId44"/>
      <w:footerReference w:type="default" r:id="rId45"/>
      <w:headerReference w:type="first" r:id="rId46"/>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ECAFE" w14:textId="77777777" w:rsidR="00B03330" w:rsidRDefault="00B03330" w:rsidP="00C37E61">
      <w:r>
        <w:separator/>
      </w:r>
    </w:p>
  </w:endnote>
  <w:endnote w:type="continuationSeparator" w:id="0">
    <w:p w14:paraId="42225C82" w14:textId="77777777" w:rsidR="00B03330" w:rsidRDefault="00B0333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18F65" w14:textId="77777777" w:rsidR="005F2400" w:rsidRDefault="005F2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C4427" w14:textId="77777777" w:rsidR="005F2400" w:rsidRDefault="005F2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0C62D" w14:textId="77777777" w:rsidR="009E048A" w:rsidRDefault="009E048A">
    <w:pPr>
      <w:pStyle w:val="Footer"/>
      <w:rPr>
        <w:rFonts w:ascii="Arial" w:hAnsi="Arial" w:cs="Arial"/>
        <w:sz w:val="16"/>
      </w:rPr>
    </w:pPr>
  </w:p>
  <w:p w14:paraId="5B0F919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F509D73" w14:textId="77777777" w:rsidR="009E048A" w:rsidRDefault="009E048A">
    <w:pPr>
      <w:pStyle w:val="Footer"/>
      <w:rPr>
        <w:rFonts w:ascii="Arial" w:hAnsi="Arial" w:cs="Arial"/>
        <w:sz w:val="16"/>
      </w:rPr>
    </w:pPr>
  </w:p>
  <w:p w14:paraId="52B537F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EBD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A10F2" w14:textId="77777777" w:rsidR="00B03330" w:rsidRDefault="00B03330" w:rsidP="00C37E61">
      <w:r>
        <w:separator/>
      </w:r>
    </w:p>
  </w:footnote>
  <w:footnote w:type="continuationSeparator" w:id="0">
    <w:p w14:paraId="70343A8A" w14:textId="77777777" w:rsidR="00B03330" w:rsidRDefault="00B0333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1C922" w14:textId="3A906A61" w:rsidR="005F2400" w:rsidRDefault="005F2400">
    <w:pPr>
      <w:pStyle w:val="Header"/>
    </w:pPr>
    <w:r>
      <w:rPr>
        <w:noProof/>
      </w:rPr>
      <w:pict w14:anchorId="17C6A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55532"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4A84B" w14:textId="0DEA9681" w:rsidR="005F2400" w:rsidRDefault="005F2400">
    <w:pPr>
      <w:pStyle w:val="Header"/>
    </w:pPr>
    <w:r>
      <w:rPr>
        <w:noProof/>
      </w:rPr>
      <w:pict w14:anchorId="769A0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55533"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02F3" w14:textId="26237D42" w:rsidR="00296529" w:rsidRPr="00296529" w:rsidRDefault="005F2400" w:rsidP="00296529">
    <w:pPr>
      <w:ind w:left="2160"/>
      <w:jc w:val="center"/>
      <w:rPr>
        <w:rFonts w:ascii="Times New Roman" w:eastAsia="Calibri" w:hAnsi="Times New Roman"/>
        <w:i/>
        <w:sz w:val="18"/>
        <w:szCs w:val="22"/>
      </w:rPr>
    </w:pPr>
    <w:r>
      <w:rPr>
        <w:noProof/>
      </w:rPr>
      <w:pict w14:anchorId="2E379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55531"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A1107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01D6E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9D8F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9C63D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AFF49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4746D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5B198" w14:textId="6991132D" w:rsidR="005F2400" w:rsidRDefault="005F2400">
    <w:pPr>
      <w:pStyle w:val="Header"/>
    </w:pPr>
    <w:r>
      <w:rPr>
        <w:noProof/>
      </w:rPr>
      <w:pict w14:anchorId="770A8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55535"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191F0" w14:textId="20B5E320" w:rsidR="005F2400" w:rsidRDefault="005F2400">
    <w:pPr>
      <w:pStyle w:val="Header"/>
    </w:pPr>
    <w:r>
      <w:rPr>
        <w:noProof/>
      </w:rPr>
      <w:pict w14:anchorId="4559C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55536"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E172" w14:textId="19DDF16E" w:rsidR="005F2400" w:rsidRDefault="005F2400">
    <w:pPr>
      <w:pStyle w:val="Header"/>
    </w:pPr>
    <w:r>
      <w:rPr>
        <w:noProof/>
      </w:rPr>
      <w:pict w14:anchorId="4001A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55534"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016E"/>
    <w:rsid w:val="000B1E33"/>
    <w:rsid w:val="000D689F"/>
    <w:rsid w:val="000E7B7B"/>
    <w:rsid w:val="000E7D62"/>
    <w:rsid w:val="00103357"/>
    <w:rsid w:val="00123C9F"/>
    <w:rsid w:val="00126190"/>
    <w:rsid w:val="00130F17"/>
    <w:rsid w:val="001320BF"/>
    <w:rsid w:val="001560E1"/>
    <w:rsid w:val="00163BC4"/>
    <w:rsid w:val="00191062"/>
    <w:rsid w:val="00192B72"/>
    <w:rsid w:val="001A29D8"/>
    <w:rsid w:val="001A5CAA"/>
    <w:rsid w:val="001B0427"/>
    <w:rsid w:val="001D3A51"/>
    <w:rsid w:val="001E10D2"/>
    <w:rsid w:val="001E25B4"/>
    <w:rsid w:val="001E44FE"/>
    <w:rsid w:val="00200595"/>
    <w:rsid w:val="00204835"/>
    <w:rsid w:val="00206E9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567C"/>
    <w:rsid w:val="00315186"/>
    <w:rsid w:val="0033343E"/>
    <w:rsid w:val="003512C2"/>
    <w:rsid w:val="00371FB6"/>
    <w:rsid w:val="003763C1"/>
    <w:rsid w:val="00376BBE"/>
    <w:rsid w:val="0039224F"/>
    <w:rsid w:val="003A43A4"/>
    <w:rsid w:val="003A7E18"/>
    <w:rsid w:val="003C4C86"/>
    <w:rsid w:val="003C6258"/>
    <w:rsid w:val="003E2904"/>
    <w:rsid w:val="004015F1"/>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5E6B14"/>
    <w:rsid w:val="005F2400"/>
    <w:rsid w:val="006029BD"/>
    <w:rsid w:val="00602BF5"/>
    <w:rsid w:val="00617FDD"/>
    <w:rsid w:val="00633614"/>
    <w:rsid w:val="00633F68"/>
    <w:rsid w:val="00636EB2"/>
    <w:rsid w:val="006375B8"/>
    <w:rsid w:val="0066510A"/>
    <w:rsid w:val="00673F9F"/>
    <w:rsid w:val="006759A6"/>
    <w:rsid w:val="00677E70"/>
    <w:rsid w:val="0068423F"/>
    <w:rsid w:val="00686953"/>
    <w:rsid w:val="00687DEA"/>
    <w:rsid w:val="00687E67"/>
    <w:rsid w:val="006967F7"/>
    <w:rsid w:val="006A250C"/>
    <w:rsid w:val="006B21D3"/>
    <w:rsid w:val="006B57D0"/>
    <w:rsid w:val="006C078E"/>
    <w:rsid w:val="006D30FF"/>
    <w:rsid w:val="006D5250"/>
    <w:rsid w:val="006D6940"/>
    <w:rsid w:val="006F11EC"/>
    <w:rsid w:val="0070082C"/>
    <w:rsid w:val="007040BE"/>
    <w:rsid w:val="007369E6"/>
    <w:rsid w:val="00746E59"/>
    <w:rsid w:val="007512A6"/>
    <w:rsid w:val="00754C9A"/>
    <w:rsid w:val="0075599A"/>
    <w:rsid w:val="00761D52"/>
    <w:rsid w:val="00765B4E"/>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515F"/>
    <w:rsid w:val="00A03B96"/>
    <w:rsid w:val="00A05B19"/>
    <w:rsid w:val="00A1134E"/>
    <w:rsid w:val="00A166AA"/>
    <w:rsid w:val="00A24E7E"/>
    <w:rsid w:val="00A258C3"/>
    <w:rsid w:val="00A347C0"/>
    <w:rsid w:val="00A51431"/>
    <w:rsid w:val="00A539AD"/>
    <w:rsid w:val="00A87761"/>
    <w:rsid w:val="00A94063"/>
    <w:rsid w:val="00AA6219"/>
    <w:rsid w:val="00AA74E0"/>
    <w:rsid w:val="00AB703F"/>
    <w:rsid w:val="00AC6BB8"/>
    <w:rsid w:val="00AE008F"/>
    <w:rsid w:val="00B01FCD"/>
    <w:rsid w:val="00B03330"/>
    <w:rsid w:val="00B1776C"/>
    <w:rsid w:val="00B32B7A"/>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4628"/>
    <w:rsid w:val="00CD3B28"/>
    <w:rsid w:val="00CD6755"/>
    <w:rsid w:val="00CD6856"/>
    <w:rsid w:val="00CE0089"/>
    <w:rsid w:val="00CE4924"/>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37B9"/>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17CED"/>
    <w:rsid w:val="00F21FDF"/>
    <w:rsid w:val="00F469F0"/>
    <w:rsid w:val="00F507E9"/>
    <w:rsid w:val="00F53273"/>
    <w:rsid w:val="00F755E4"/>
    <w:rsid w:val="00F77D02"/>
    <w:rsid w:val="00F8048B"/>
    <w:rsid w:val="00FB3A86"/>
    <w:rsid w:val="00FD36C8"/>
    <w:rsid w:val="00FE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2455C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esg.2025.100275" TargetMode="External"/><Relationship Id="rId26" Type="http://schemas.openxmlformats.org/officeDocument/2006/relationships/hyperlink" Target="https://doi.org/10.1080/21681376.2020.1848613" TargetMode="External"/><Relationship Id="rId39" Type="http://schemas.openxmlformats.org/officeDocument/2006/relationships/hyperlink" Target="https://doi.org/10.1016/j.iref.2024.01.065" TargetMode="External"/><Relationship Id="rId21" Type="http://schemas.openxmlformats.org/officeDocument/2006/relationships/hyperlink" Target="https://doi.org/10.3390/su15021570" TargetMode="External"/><Relationship Id="rId34" Type="http://schemas.openxmlformats.org/officeDocument/2006/relationships/hyperlink" Target="https://doi.org/10.37394/23207.2023.20.85" TargetMode="External"/><Relationship Id="rId42" Type="http://schemas.openxmlformats.org/officeDocument/2006/relationships/hyperlink" Target="https://doi.org/10.3390/su11205779"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13731-015-0021-9" TargetMode="External"/><Relationship Id="rId29" Type="http://schemas.openxmlformats.org/officeDocument/2006/relationships/hyperlink" Target="https://doi.org/10.1108/bfj-12-2022-11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86/s43170-024-00229-y" TargetMode="External"/><Relationship Id="rId32" Type="http://schemas.openxmlformats.org/officeDocument/2006/relationships/hyperlink" Target="https://doi.org/10.37476/presed.v2i1.83" TargetMode="External"/><Relationship Id="rId37" Type="http://schemas.openxmlformats.org/officeDocument/2006/relationships/hyperlink" Target="https://doi.org/10.1007/s11573-020-00972-4" TargetMode="External"/><Relationship Id="rId40" Type="http://schemas.openxmlformats.org/officeDocument/2006/relationships/hyperlink" Target="https://doi.org/10.1016/j.tfp.2022.100346"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16/j.techfore.2024.123266" TargetMode="External"/><Relationship Id="rId23" Type="http://schemas.openxmlformats.org/officeDocument/2006/relationships/hyperlink" Target="https://doi.org/10.1016/j.indmarman.2024.09.009" TargetMode="External"/><Relationship Id="rId28" Type="http://schemas.openxmlformats.org/officeDocument/2006/relationships/hyperlink" Target="https://doi.org/10.31891/2307-5740-2023-320-4-23" TargetMode="External"/><Relationship Id="rId36" Type="http://schemas.openxmlformats.org/officeDocument/2006/relationships/hyperlink" Target="https://doi.org/10.54660/ijmor.2023.2.4.43-50" TargetMode="External"/><Relationship Id="rId10" Type="http://schemas.openxmlformats.org/officeDocument/2006/relationships/footer" Target="footer1.xml"/><Relationship Id="rId19" Type="http://schemas.openxmlformats.org/officeDocument/2006/relationships/hyperlink" Target="https://doi.org/10.3389/fsufs.2025.1566708" TargetMode="External"/><Relationship Id="rId31" Type="http://schemas.openxmlformats.org/officeDocument/2006/relationships/hyperlink" Target="https://doi.org/10.1016/j.jclepro.2024.141809"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0/23322373.2015.1112714" TargetMode="External"/><Relationship Id="rId22" Type="http://schemas.openxmlformats.org/officeDocument/2006/relationships/hyperlink" Target="https://doi.org/10.62394/projmb.v4i1.183" TargetMode="External"/><Relationship Id="rId27" Type="http://schemas.openxmlformats.org/officeDocument/2006/relationships/hyperlink" Target="https://doi.org/10.51599/are.2023.09.02.09" TargetMode="External"/><Relationship Id="rId30" Type="http://schemas.openxmlformats.org/officeDocument/2006/relationships/hyperlink" Target="https://doi.org/10.1016/j.techfore.2024.123288" TargetMode="External"/><Relationship Id="rId35" Type="http://schemas.openxmlformats.org/officeDocument/2006/relationships/hyperlink" Target="https://doi.org/10.24857/rgsa.v18n4-191"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90/f6010203" TargetMode="External"/><Relationship Id="rId25" Type="http://schemas.openxmlformats.org/officeDocument/2006/relationships/hyperlink" Target="https://doi.org/10.1007/s43615-024-00391-5" TargetMode="External"/><Relationship Id="rId33" Type="http://schemas.openxmlformats.org/officeDocument/2006/relationships/hyperlink" Target="https://doi.org/10.3390/su16051906" TargetMode="External"/><Relationship Id="rId38" Type="http://schemas.openxmlformats.org/officeDocument/2006/relationships/hyperlink" Target="https://doi.org/10.3390/healthcare7010050" TargetMode="External"/><Relationship Id="rId46" Type="http://schemas.openxmlformats.org/officeDocument/2006/relationships/header" Target="header6.xml"/><Relationship Id="rId20" Type="http://schemas.openxmlformats.org/officeDocument/2006/relationships/hyperlink" Target="https://doi.org/10.1016/j.jdec.2024.01.005" TargetMode="External"/><Relationship Id="rId41" Type="http://schemas.openxmlformats.org/officeDocument/2006/relationships/hyperlink" Target="https://doi.org/10.1016/j.enpol.2024.1143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6E520-4807-4898-B434-1A0BAC6AA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102</TotalTime>
  <Pages>12</Pages>
  <Words>6612</Words>
  <Characters>37690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44214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23</cp:revision>
  <cp:lastPrinted>1999-07-06T11:00:00Z</cp:lastPrinted>
  <dcterms:created xsi:type="dcterms:W3CDTF">2014-10-25T14:34:00Z</dcterms:created>
  <dcterms:modified xsi:type="dcterms:W3CDTF">2025-10-28T10:00:00Z</dcterms:modified>
</cp:coreProperties>
</file>