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7B3DA" w14:textId="436ACD12" w:rsidR="00754C9A" w:rsidRPr="00420903" w:rsidRDefault="00420903" w:rsidP="00441B6F">
      <w:pPr>
        <w:pStyle w:val="Title"/>
        <w:spacing w:after="0"/>
        <w:jc w:val="both"/>
        <w:rPr>
          <w:rFonts w:ascii="Arial" w:hAnsi="Arial" w:cs="Arial"/>
          <w:sz w:val="32"/>
          <w:szCs w:val="18"/>
          <w:u w:val="single"/>
        </w:rPr>
      </w:pPr>
      <w:r w:rsidRPr="00420903">
        <w:rPr>
          <w:rFonts w:ascii="Arial" w:hAnsi="Arial" w:cs="Arial"/>
          <w:sz w:val="32"/>
          <w:szCs w:val="18"/>
          <w:u w:val="single"/>
        </w:rPr>
        <w:t>Original Research Article</w:t>
      </w:r>
    </w:p>
    <w:p w14:paraId="394FB718" w14:textId="77777777" w:rsidR="00420903" w:rsidRDefault="00420903" w:rsidP="00441B6F">
      <w:pPr>
        <w:pStyle w:val="Author"/>
        <w:spacing w:line="240" w:lineRule="auto"/>
        <w:rPr>
          <w:rFonts w:ascii="Arial" w:hAnsi="Arial" w:cs="Arial"/>
          <w:bCs/>
          <w:iCs/>
          <w:kern w:val="28"/>
          <w:sz w:val="36"/>
        </w:rPr>
      </w:pPr>
    </w:p>
    <w:p w14:paraId="026A2A1F" w14:textId="70CB2D2B" w:rsidR="00A258C3" w:rsidRDefault="00D40331" w:rsidP="00D40331">
      <w:pPr>
        <w:pStyle w:val="Author"/>
        <w:spacing w:line="240" w:lineRule="auto"/>
        <w:rPr>
          <w:rFonts w:ascii="Arial" w:hAnsi="Arial" w:cs="Arial"/>
          <w:bCs/>
          <w:iCs/>
          <w:kern w:val="28"/>
          <w:sz w:val="36"/>
        </w:rPr>
      </w:pPr>
      <w:r w:rsidRPr="00D40331">
        <w:rPr>
          <w:rFonts w:ascii="Arial" w:hAnsi="Arial" w:cs="Arial"/>
          <w:bCs/>
          <w:iCs/>
          <w:kern w:val="28"/>
          <w:sz w:val="36"/>
        </w:rPr>
        <w:t>THE EFFECT OF FINANCIAL VARIABELS ON FIM VELUE WITH CAPITAL STRUKTURE AS A MODERATION</w:t>
      </w:r>
    </w:p>
    <w:p w14:paraId="6D0B72D7" w14:textId="77777777" w:rsidR="00D40331" w:rsidRPr="00790ADA" w:rsidRDefault="00D40331" w:rsidP="00D40331">
      <w:pPr>
        <w:pStyle w:val="Author"/>
        <w:spacing w:line="240" w:lineRule="auto"/>
        <w:rPr>
          <w:rFonts w:ascii="Arial" w:hAnsi="Arial" w:cs="Arial"/>
          <w:sz w:val="36"/>
        </w:rPr>
      </w:pPr>
    </w:p>
    <w:p w14:paraId="7DF48B5A" w14:textId="77777777" w:rsidR="002C57D2" w:rsidRPr="00FB3A86" w:rsidRDefault="002C57D2" w:rsidP="00441B6F">
      <w:pPr>
        <w:pStyle w:val="Affiliation"/>
        <w:spacing w:after="0" w:line="240" w:lineRule="auto"/>
        <w:jc w:val="both"/>
        <w:rPr>
          <w:rFonts w:ascii="Arial" w:hAnsi="Arial" w:cs="Arial"/>
        </w:rPr>
      </w:pPr>
    </w:p>
    <w:p w14:paraId="2993080A" w14:textId="0BE8A408" w:rsidR="00B01FCD" w:rsidRPr="00FB3A86" w:rsidRDefault="00C549D9" w:rsidP="00441B6F">
      <w:pPr>
        <w:pStyle w:val="Copyright"/>
        <w:spacing w:after="0" w:line="240" w:lineRule="auto"/>
        <w:jc w:val="both"/>
        <w:rPr>
          <w:rFonts w:ascii="Arial" w:hAnsi="Arial" w:cs="Arial"/>
        </w:rPr>
        <w:sectPr w:rsidR="00B01FCD" w:rsidRPr="00FB3A86" w:rsidSect="00146B7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BA8184A" wp14:editId="4314B175">
                <wp:extent cx="5303520" cy="635"/>
                <wp:effectExtent l="13335" t="9525" r="17145" b="9525"/>
                <wp:docPr id="428426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BB157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8A8235B" w14:textId="7528072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561049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10D879E" w14:textId="77777777" w:rsidTr="001E44FE">
        <w:tc>
          <w:tcPr>
            <w:tcW w:w="9576" w:type="dxa"/>
            <w:shd w:val="clear" w:color="auto" w:fill="F2F2F2"/>
          </w:tcPr>
          <w:p w14:paraId="16A7DE72" w14:textId="291DA96C" w:rsidR="00505F06" w:rsidRPr="00BA1B01" w:rsidRDefault="00012132" w:rsidP="00441B6F">
            <w:pPr>
              <w:pStyle w:val="Body"/>
              <w:spacing w:after="0"/>
              <w:rPr>
                <w:rFonts w:ascii="Arial" w:eastAsia="Calibri" w:hAnsi="Arial" w:cs="Arial"/>
                <w:szCs w:val="22"/>
              </w:rPr>
            </w:pPr>
            <w:r w:rsidRPr="00012132">
              <w:rPr>
                <w:rFonts w:ascii="Arial" w:eastAsia="Calibri" w:hAnsi="Arial" w:cs="Arial"/>
                <w:szCs w:val="22"/>
              </w:rPr>
              <w:t>This study aims to examine the influence of investment decisions, dividend policy, and sales growth on firm value, with capital structure as a moderating variable. The fluctuation of firm value in the Food and Beverage sector listed on the Indonesia Stock Exchange (IDX) serves as the main phenomenon underlying this research. A quantitative approach is applied using secondary data derived from the annual financial statements of Food and Beverage companies listed on the IDX for the 2021–2024 period. The sample is selected through purposive sampling based on companies that consistently published financial statements during the observation period. Data analysis is conducted using multiple linear regression and moderation tests, preceded by classical assumption tests. The findings show that investment decisions have a positive but insignificant effect on firm value. Dividend policy has a significant negative effect, while sales growth has a negative but insignificant effect on firm value. Furthermore, capital structure is unable to moderate the influence of investment decisions on firm value, but it strengthens the effects of dividend policy and sales growth on firm value.</w:t>
            </w:r>
          </w:p>
        </w:tc>
      </w:tr>
    </w:tbl>
    <w:p w14:paraId="3F1887D3" w14:textId="77777777" w:rsidR="00636EB2" w:rsidRDefault="00636EB2" w:rsidP="00441B6F">
      <w:pPr>
        <w:pStyle w:val="Body"/>
        <w:spacing w:after="0"/>
        <w:rPr>
          <w:rFonts w:ascii="Arial" w:hAnsi="Arial" w:cs="Arial"/>
          <w:i/>
        </w:rPr>
      </w:pPr>
    </w:p>
    <w:p w14:paraId="7BBDF49F" w14:textId="64E52A19" w:rsidR="0024282C" w:rsidRPr="00012132" w:rsidRDefault="00A24E7E" w:rsidP="00441B6F">
      <w:pPr>
        <w:pStyle w:val="Body"/>
        <w:spacing w:after="0"/>
        <w:rPr>
          <w:rFonts w:ascii="Arial" w:hAnsi="Arial" w:cs="Arial"/>
          <w:i/>
        </w:rPr>
      </w:pPr>
      <w:r>
        <w:rPr>
          <w:rFonts w:ascii="Arial" w:hAnsi="Arial" w:cs="Arial"/>
          <w:i/>
        </w:rPr>
        <w:t xml:space="preserve">Keywords: </w:t>
      </w:r>
      <w:proofErr w:type="spellStart"/>
      <w:r w:rsidR="00012132">
        <w:rPr>
          <w:rFonts w:ascii="Arial" w:hAnsi="Arial" w:cs="Arial"/>
          <w:i/>
        </w:rPr>
        <w:t>investmen</w:t>
      </w:r>
      <w:proofErr w:type="spellEnd"/>
      <w:r w:rsidR="00012132">
        <w:rPr>
          <w:rFonts w:ascii="Arial" w:hAnsi="Arial" w:cs="Arial"/>
          <w:i/>
        </w:rPr>
        <w:t xml:space="preserve"> decisions, dividend policy, sales growth, capital structure</w:t>
      </w:r>
    </w:p>
    <w:p w14:paraId="415E6B4D" w14:textId="77777777" w:rsidR="00505F06" w:rsidRPr="00A24E7E" w:rsidRDefault="00505F06" w:rsidP="00441B6F">
      <w:pPr>
        <w:pStyle w:val="Body"/>
        <w:spacing w:after="0"/>
        <w:rPr>
          <w:rFonts w:ascii="Arial" w:hAnsi="Arial" w:cs="Arial"/>
          <w:i/>
        </w:rPr>
      </w:pPr>
    </w:p>
    <w:p w14:paraId="5E474668" w14:textId="0BE43BE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F64F106" w14:textId="77777777" w:rsidR="00790ADA" w:rsidRPr="00FB3A86" w:rsidRDefault="00790ADA" w:rsidP="00441B6F">
      <w:pPr>
        <w:pStyle w:val="AbstHead"/>
        <w:spacing w:after="0"/>
        <w:jc w:val="both"/>
        <w:rPr>
          <w:rFonts w:ascii="Arial" w:hAnsi="Arial" w:cs="Arial"/>
        </w:rPr>
      </w:pPr>
    </w:p>
    <w:p w14:paraId="1CC60A14" w14:textId="7ADB7ADF" w:rsidR="00012132" w:rsidRDefault="00012132" w:rsidP="00012132">
      <w:pPr>
        <w:pStyle w:val="Body"/>
        <w:spacing w:after="0"/>
        <w:rPr>
          <w:rFonts w:ascii="Arial" w:hAnsi="Arial" w:cs="Arial"/>
        </w:rPr>
      </w:pPr>
      <w:r w:rsidRPr="00012132">
        <w:rPr>
          <w:rFonts w:ascii="Arial" w:hAnsi="Arial" w:cs="Arial"/>
        </w:rPr>
        <w:t>The food and beverage sector is one of the industries that has shown rapid growth in the modern economy. Indonesia's growing population has driven demand for food and beverage products, which in turn has strengthened the position of this sub-sector as one of the important contributors to the national economy. Data from the Indonesia Stock Exchange (IDX) shows an increase in the number of listed food and beverage companies, which reflects both the enormous potential and the challenges in maintaining competitiveness. Tighter competition requires companies to be able to manage their financial resources optimally, including in determining investment decisions, dividend policies, and sales growth strategies, with the support of an appropriate capital structure</w:t>
      </w:r>
      <w:r>
        <w:rPr>
          <w:rFonts w:ascii="Arial" w:hAnsi="Arial" w:cs="Arial"/>
        </w:rPr>
        <w:t xml:space="preserve"> </w:t>
      </w:r>
      <w:r w:rsidR="003730CB">
        <w:rPr>
          <w:rFonts w:ascii="Arial" w:hAnsi="Arial" w:cs="Arial"/>
        </w:rPr>
        <w:fldChar w:fldCharType="begin" w:fldLock="1"/>
      </w:r>
      <w:r w:rsidR="003730CB">
        <w:rPr>
          <w:rFonts w:ascii="Arial" w:hAnsi="Arial" w:cs="Arial"/>
        </w:rPr>
        <w:instrText>ADDIN CSL_CITATION {"citationItems":[{"id":"ITEM-1","itemData":{"author":[{"dropping-particle":"","family":"Aslindar","given":"Dwi Astarani","non-dropping-particle":"","parse-names":false,"suffix":""},{"dropping-particle":"","family":"Lestari","given":"Utami Puji","non-dropping-particle":"","parse-names":false,"suffix":""}],"container-title":"Dinamika Akuntansi, Keuangan dan Perbankan","id":"ITEM-1","issue":"1","issued":{"date-parts":[["2020"]]},"page":"91-106","title":"PENGARUH PROFITABILITAS, LIKUIDITAS DAN PELUANG PERTUMBUHAN TERHADAP NILAI PERUSAHAAN DENGAN STRUKTUR MODAL SEBAGAI VARIABEL INTERVENING","type":"article-journal","volume":"9"},"uris":["http://www.mendeley.com/documents/?uuid=4eaa8384-372e-48f1-bdf8-27ed02da381c"]}],"mendeley":{"formattedCitation":"(Aslindar &amp; Lestari, 2020)","plainTextFormattedCitation":"(Aslindar &amp; Lestari, 2020)","previouslyFormattedCitation":"(Aslindar &amp; Lestari, 2020)"},"properties":{"noteIndex":0},"schema":"https://github.com/citation-style-language/schema/raw/master/csl-citation.json"}</w:instrText>
      </w:r>
      <w:r w:rsidR="003730CB">
        <w:rPr>
          <w:rFonts w:ascii="Arial" w:hAnsi="Arial" w:cs="Arial"/>
        </w:rPr>
        <w:fldChar w:fldCharType="separate"/>
      </w:r>
      <w:r w:rsidR="003730CB" w:rsidRPr="003730CB">
        <w:rPr>
          <w:rFonts w:ascii="Arial" w:hAnsi="Arial" w:cs="Arial"/>
          <w:noProof/>
        </w:rPr>
        <w:t>(Aslindar &amp; Lestari, 2020)</w:t>
      </w:r>
      <w:r w:rsidR="003730CB">
        <w:rPr>
          <w:rFonts w:ascii="Arial" w:hAnsi="Arial" w:cs="Arial"/>
        </w:rPr>
        <w:fldChar w:fldCharType="end"/>
      </w:r>
      <w:r w:rsidR="003730CB">
        <w:rPr>
          <w:rFonts w:ascii="Arial" w:hAnsi="Arial" w:cs="Arial"/>
        </w:rPr>
        <w:t>.</w:t>
      </w:r>
    </w:p>
    <w:p w14:paraId="086B2B75" w14:textId="05FA9274" w:rsidR="0006503E" w:rsidRDefault="00E41977" w:rsidP="00E41977">
      <w:pPr>
        <w:pStyle w:val="Body"/>
        <w:spacing w:after="0"/>
        <w:rPr>
          <w:rFonts w:ascii="Arial" w:hAnsi="Arial" w:cs="Arial"/>
          <w:sz w:val="16"/>
          <w:szCs w:val="16"/>
        </w:rPr>
      </w:pPr>
      <w:r w:rsidRPr="00E41977">
        <w:rPr>
          <w:rFonts w:ascii="Arial" w:hAnsi="Arial" w:cs="Arial"/>
        </w:rPr>
        <w:t>The F&amp;B sector is one of the industries that is constantly growing in Indonesia as the population and consumption demand increase. Increasingly fierce competition requires companies to be able to manage their financial resources optimally to maintain their value. Company value is an important indicator because it reflects performance and long-term prospects, where the higher the value, the greater the investor confidence and the prosperity enjoyed by shareholders</w:t>
      </w:r>
      <w:r>
        <w:rPr>
          <w:rFonts w:ascii="Arial" w:hAnsi="Arial" w:cs="Arial"/>
        </w:rPr>
        <w:t xml:space="preserve"> </w:t>
      </w:r>
      <w:r w:rsidRPr="003730CB">
        <w:rPr>
          <w:rFonts w:ascii="Arial" w:hAnsi="Arial" w:cs="Arial"/>
        </w:rPr>
        <w:fldChar w:fldCharType="begin" w:fldLock="1"/>
      </w:r>
      <w:r w:rsidRPr="003730CB">
        <w:rPr>
          <w:rFonts w:ascii="Arial" w:hAnsi="Arial" w:cs="Arial"/>
        </w:rPr>
        <w:instrText>ADDIN CSL_CITATION {"citationItems":[{"id":"ITEM-1","itemData":{"DOI":"10.46306/rev.v3i1.149","ISSN":"2723-6498","abstract":"This study aims to analyze the effect of financial performance and dividend policy on firm value with capital structure as the intervening variable. This type of research is a quantitative research using secondary data population obtained from the Indonesia Stock Exchange and related websites for the 2016-2020 period, totaling 14 companies. The sampling technique in this study was using purposive sampling method with data analysis techniques used were panel data regression analysis and path analysis by selecting a regression model, classical assumption test, and hypothesis analysis using the Eviews 9 data processing program. Based on the test results, the research it states that the t test (partial), financial performance and capital structure affect firm value, while dividend policy has no effect on firm value. Through the Sobel test, it was found that capital structure was able to mediate the effect of the relationship between financial performance on firm value, but capital structure could not mediate the effect of dividend policy on firm value","author":[{"dropping-particle":"","family":"Sriyani","given":"Egi Dwi","non-dropping-particle":"","parse-names":false,"suffix":""},{"dropping-particle":"","family":"Purwasih","given":"Desy","non-dropping-particle":"","parse-names":false,"suffix":""}],"container-title":"Jurnal Revenue : Jurnal Ilmiah Akuntansi","id":"ITEM-1","issue":"1","issued":{"date-parts":[["2022"]]},"page":"368-382","title":"Pengaruh Kinerja Keuangan Dan Kebijakan Dividen Terhadap Nilai Perusahaan Dengan Struktur Modal Sebagai Variabel Intervening","type":"article-journal","volume":"3"},"uris":["http://www.mendeley.com/documents/?uuid=fc9e4f55-c959-4180-92d4-ea986d52dec4"]}],"mendeley":{"formattedCitation":"(Sriyani &amp; Purwasih, 2022)","plainTextFormattedCitation":"(Sriyani &amp; Purwasih, 2022)","previouslyFormattedCitation":"(Sriyani &amp; Purwasih, 2022)"},"properties":{"noteIndex":0},"schema":"https://github.com/citation-style-language/schema/raw/master/csl-citation.json"}</w:instrText>
      </w:r>
      <w:r w:rsidRPr="003730CB">
        <w:rPr>
          <w:rFonts w:ascii="Arial" w:hAnsi="Arial" w:cs="Arial"/>
        </w:rPr>
        <w:fldChar w:fldCharType="separate"/>
      </w:r>
      <w:r w:rsidRPr="003730CB">
        <w:rPr>
          <w:rFonts w:ascii="Arial" w:hAnsi="Arial" w:cs="Arial"/>
          <w:noProof/>
        </w:rPr>
        <w:t>(Sriyani &amp; Purwasih, 2022)</w:t>
      </w:r>
      <w:r w:rsidRPr="003730CB">
        <w:rPr>
          <w:rFonts w:ascii="Arial" w:hAnsi="Arial" w:cs="Arial"/>
        </w:rPr>
        <w:fldChar w:fldCharType="end"/>
      </w:r>
      <w:r w:rsidRPr="003730CB">
        <w:rPr>
          <w:rFonts w:ascii="Arial" w:hAnsi="Arial" w:cs="Arial"/>
        </w:rPr>
        <w:t>.</w:t>
      </w:r>
      <w:r w:rsidRPr="00E41977">
        <w:rPr>
          <w:rFonts w:ascii="Arial" w:hAnsi="Arial" w:cs="Arial"/>
          <w:sz w:val="16"/>
          <w:szCs w:val="16"/>
        </w:rPr>
        <w:t xml:space="preserve"> </w:t>
      </w:r>
    </w:p>
    <w:p w14:paraId="78D11DE4" w14:textId="0974A50C" w:rsidR="00146B71" w:rsidRDefault="00146B71" w:rsidP="00E41977">
      <w:pPr>
        <w:pStyle w:val="Body"/>
        <w:spacing w:after="0"/>
        <w:rPr>
          <w:rFonts w:ascii="Arial" w:hAnsi="Arial" w:cs="Arial"/>
          <w:sz w:val="16"/>
          <w:szCs w:val="16"/>
        </w:rPr>
      </w:pPr>
    </w:p>
    <w:p w14:paraId="5AEC8284" w14:textId="3E57F4E5" w:rsidR="00146B71" w:rsidRDefault="00146B71" w:rsidP="00E41977">
      <w:pPr>
        <w:pStyle w:val="Body"/>
        <w:spacing w:after="0"/>
        <w:rPr>
          <w:rFonts w:ascii="Arial" w:hAnsi="Arial" w:cs="Arial"/>
          <w:sz w:val="16"/>
          <w:szCs w:val="16"/>
        </w:rPr>
      </w:pPr>
    </w:p>
    <w:p w14:paraId="4F5AC118" w14:textId="67AE8FA1" w:rsidR="00146B71" w:rsidRDefault="00146B71" w:rsidP="00E41977">
      <w:pPr>
        <w:pStyle w:val="Body"/>
        <w:spacing w:after="0"/>
        <w:rPr>
          <w:rFonts w:ascii="Arial" w:hAnsi="Arial" w:cs="Arial"/>
          <w:sz w:val="16"/>
          <w:szCs w:val="16"/>
        </w:rPr>
      </w:pPr>
    </w:p>
    <w:p w14:paraId="2EC9127E" w14:textId="72D7410A" w:rsidR="00146B71" w:rsidRDefault="00146B71" w:rsidP="00E41977">
      <w:pPr>
        <w:pStyle w:val="Body"/>
        <w:spacing w:after="0"/>
        <w:rPr>
          <w:rFonts w:ascii="Arial" w:hAnsi="Arial" w:cs="Arial"/>
          <w:sz w:val="16"/>
          <w:szCs w:val="16"/>
        </w:rPr>
      </w:pPr>
    </w:p>
    <w:p w14:paraId="46E71199" w14:textId="77777777" w:rsidR="00146B71" w:rsidRDefault="00146B71" w:rsidP="00E41977">
      <w:pPr>
        <w:pStyle w:val="Body"/>
        <w:spacing w:after="0"/>
        <w:rPr>
          <w:rFonts w:ascii="Arial" w:hAnsi="Arial" w:cs="Arial"/>
          <w:sz w:val="16"/>
          <w:szCs w:val="16"/>
        </w:rPr>
      </w:pPr>
    </w:p>
    <w:p w14:paraId="6B161022" w14:textId="77777777" w:rsidR="00FE25CD" w:rsidRDefault="00FE25CD" w:rsidP="0006503E">
      <w:pPr>
        <w:pStyle w:val="Body"/>
        <w:spacing w:after="0"/>
        <w:jc w:val="center"/>
        <w:rPr>
          <w:rFonts w:ascii="Arial" w:hAnsi="Arial"/>
          <w:b/>
        </w:rPr>
      </w:pPr>
    </w:p>
    <w:p w14:paraId="0374F329" w14:textId="276865CC" w:rsidR="0006503E" w:rsidRDefault="0006503E" w:rsidP="0006503E">
      <w:pPr>
        <w:pStyle w:val="Body"/>
        <w:spacing w:after="0"/>
        <w:jc w:val="center"/>
        <w:rPr>
          <w:rFonts w:ascii="Arial" w:hAnsi="Arial" w:cs="Arial"/>
          <w:sz w:val="16"/>
          <w:szCs w:val="16"/>
        </w:rPr>
      </w:pPr>
      <w:r w:rsidRPr="008D7703">
        <w:rPr>
          <w:rFonts w:ascii="Arial" w:hAnsi="Arial"/>
          <w:b/>
        </w:rPr>
        <w:t xml:space="preserve">Table </w:t>
      </w:r>
      <w:r>
        <w:rPr>
          <w:rFonts w:ascii="Arial" w:hAnsi="Arial"/>
          <w:b/>
        </w:rPr>
        <w:t xml:space="preserve">1. </w:t>
      </w:r>
      <w:r w:rsidR="002240D1">
        <w:rPr>
          <w:rFonts w:ascii="Arial" w:hAnsi="Arial"/>
          <w:b/>
        </w:rPr>
        <w:t xml:space="preserve">Food and Beverage Company </w:t>
      </w:r>
      <w:r>
        <w:rPr>
          <w:rFonts w:ascii="Arial" w:hAnsi="Arial"/>
          <w:b/>
        </w:rPr>
        <w:t>Data Average and PBV Growth</w:t>
      </w:r>
    </w:p>
    <w:tbl>
      <w:tblPr>
        <w:tblStyle w:val="TableGrid"/>
        <w:tblpPr w:leftFromText="180" w:rightFromText="180" w:vertAnchor="text" w:horzAnchor="margin" w:tblpXSpec="center" w:tblpY="211"/>
        <w:tblW w:w="0" w:type="auto"/>
        <w:tblLook w:val="04A0" w:firstRow="1" w:lastRow="0" w:firstColumn="1" w:lastColumn="0" w:noHBand="0" w:noVBand="1"/>
      </w:tblPr>
      <w:tblGrid>
        <w:gridCol w:w="1701"/>
        <w:gridCol w:w="2180"/>
        <w:gridCol w:w="1931"/>
      </w:tblGrid>
      <w:tr w:rsidR="0006503E" w:rsidRPr="0006503E" w14:paraId="0246AE93" w14:textId="77777777" w:rsidTr="0006503E">
        <w:tc>
          <w:tcPr>
            <w:tcW w:w="1701" w:type="dxa"/>
            <w:tcBorders>
              <w:bottom w:val="single" w:sz="4" w:space="0" w:color="000000"/>
            </w:tcBorders>
          </w:tcPr>
          <w:p w14:paraId="1EC8BD60" w14:textId="3C4C5482" w:rsidR="0006503E" w:rsidRPr="0006503E" w:rsidRDefault="0006503E" w:rsidP="0006503E">
            <w:pPr>
              <w:spacing w:line="360" w:lineRule="auto"/>
              <w:jc w:val="both"/>
              <w:rPr>
                <w:rFonts w:ascii="Arial" w:eastAsia="Times New Roman" w:hAnsi="Arial" w:cs="Arial"/>
                <w:b/>
                <w:bCs/>
                <w:sz w:val="20"/>
                <w:szCs w:val="20"/>
                <w:lang w:val="id-ID"/>
              </w:rPr>
            </w:pPr>
            <w:r>
              <w:rPr>
                <w:rFonts w:ascii="Arial" w:eastAsia="Times New Roman" w:hAnsi="Arial" w:cs="Arial"/>
                <w:b/>
                <w:bCs/>
                <w:sz w:val="20"/>
                <w:szCs w:val="20"/>
                <w:lang w:val="id-ID"/>
              </w:rPr>
              <w:t>Year</w:t>
            </w:r>
          </w:p>
        </w:tc>
        <w:tc>
          <w:tcPr>
            <w:tcW w:w="2180" w:type="dxa"/>
            <w:tcBorders>
              <w:bottom w:val="single" w:sz="4" w:space="0" w:color="000000"/>
            </w:tcBorders>
          </w:tcPr>
          <w:p w14:paraId="1615C0B4" w14:textId="537207A0" w:rsidR="0006503E" w:rsidRPr="0006503E" w:rsidRDefault="0006503E" w:rsidP="0006503E">
            <w:pPr>
              <w:spacing w:line="360" w:lineRule="auto"/>
              <w:jc w:val="both"/>
              <w:rPr>
                <w:rFonts w:ascii="Arial" w:eastAsia="Times New Roman" w:hAnsi="Arial" w:cs="Arial"/>
                <w:b/>
                <w:bCs/>
                <w:sz w:val="20"/>
                <w:szCs w:val="20"/>
                <w:lang w:val="id-ID"/>
              </w:rPr>
            </w:pPr>
            <w:r w:rsidRPr="0006503E">
              <w:rPr>
                <w:rFonts w:ascii="Arial" w:eastAsia="Times New Roman" w:hAnsi="Arial" w:cs="Arial"/>
                <w:b/>
                <w:bCs/>
                <w:sz w:val="20"/>
                <w:szCs w:val="20"/>
                <w:lang w:val="id-ID"/>
              </w:rPr>
              <w:t>PBV Average</w:t>
            </w:r>
          </w:p>
        </w:tc>
        <w:tc>
          <w:tcPr>
            <w:tcW w:w="1931" w:type="dxa"/>
            <w:tcBorders>
              <w:bottom w:val="single" w:sz="4" w:space="0" w:color="000000"/>
            </w:tcBorders>
          </w:tcPr>
          <w:p w14:paraId="5B8E6F0A" w14:textId="01F8EEC6" w:rsidR="0006503E" w:rsidRPr="0006503E" w:rsidRDefault="0006503E" w:rsidP="0006503E">
            <w:pPr>
              <w:spacing w:line="360" w:lineRule="auto"/>
              <w:jc w:val="both"/>
              <w:rPr>
                <w:rFonts w:ascii="Arial" w:eastAsia="Times New Roman" w:hAnsi="Arial" w:cs="Arial"/>
                <w:b/>
                <w:bCs/>
                <w:sz w:val="20"/>
                <w:szCs w:val="20"/>
                <w:lang w:val="id-ID"/>
              </w:rPr>
            </w:pPr>
            <w:r w:rsidRPr="0006503E">
              <w:rPr>
                <w:rFonts w:ascii="Arial" w:eastAsia="Times New Roman" w:hAnsi="Arial" w:cs="Arial"/>
                <w:b/>
                <w:bCs/>
                <w:sz w:val="20"/>
                <w:szCs w:val="20"/>
                <w:lang w:val="id-ID"/>
              </w:rPr>
              <w:t>PBV Growth</w:t>
            </w:r>
          </w:p>
        </w:tc>
      </w:tr>
      <w:tr w:rsidR="0006503E" w:rsidRPr="0006503E" w14:paraId="4C15D31D" w14:textId="77777777" w:rsidTr="0006503E">
        <w:tc>
          <w:tcPr>
            <w:tcW w:w="1701" w:type="dxa"/>
            <w:tcBorders>
              <w:bottom w:val="nil"/>
            </w:tcBorders>
          </w:tcPr>
          <w:p w14:paraId="6CA3EC01" w14:textId="77777777" w:rsidR="0006503E" w:rsidRPr="0006503E" w:rsidRDefault="0006503E" w:rsidP="0006503E">
            <w:pPr>
              <w:spacing w:line="360" w:lineRule="auto"/>
              <w:jc w:val="both"/>
              <w:rPr>
                <w:rFonts w:ascii="Arial" w:eastAsia="Times New Roman" w:hAnsi="Arial" w:cs="Arial"/>
                <w:sz w:val="20"/>
                <w:szCs w:val="20"/>
                <w:lang w:val="id-ID"/>
              </w:rPr>
            </w:pPr>
            <w:r w:rsidRPr="0006503E">
              <w:rPr>
                <w:rFonts w:ascii="Arial" w:eastAsia="Times New Roman" w:hAnsi="Arial" w:cs="Arial"/>
                <w:sz w:val="20"/>
                <w:szCs w:val="20"/>
                <w:lang w:val="id-ID"/>
              </w:rPr>
              <w:t>2021</w:t>
            </w:r>
          </w:p>
        </w:tc>
        <w:tc>
          <w:tcPr>
            <w:tcW w:w="2180" w:type="dxa"/>
            <w:tcBorders>
              <w:bottom w:val="nil"/>
            </w:tcBorders>
          </w:tcPr>
          <w:p w14:paraId="67A1E1D1" w14:textId="77777777" w:rsidR="0006503E" w:rsidRPr="0006503E" w:rsidRDefault="0006503E" w:rsidP="0006503E">
            <w:pPr>
              <w:jc w:val="both"/>
              <w:rPr>
                <w:rFonts w:ascii="Arial" w:hAnsi="Arial" w:cs="Arial"/>
                <w:color w:val="000000"/>
                <w:sz w:val="20"/>
                <w:szCs w:val="20"/>
              </w:rPr>
            </w:pPr>
            <w:r w:rsidRPr="0006503E">
              <w:rPr>
                <w:rFonts w:ascii="Arial" w:hAnsi="Arial" w:cs="Arial"/>
                <w:color w:val="000000"/>
                <w:sz w:val="20"/>
                <w:szCs w:val="20"/>
              </w:rPr>
              <w:t>2.218</w:t>
            </w:r>
          </w:p>
        </w:tc>
        <w:tc>
          <w:tcPr>
            <w:tcW w:w="1931" w:type="dxa"/>
            <w:tcBorders>
              <w:bottom w:val="nil"/>
            </w:tcBorders>
          </w:tcPr>
          <w:p w14:paraId="4860FEA5" w14:textId="77777777" w:rsidR="0006503E" w:rsidRPr="0006503E" w:rsidRDefault="0006503E" w:rsidP="0006503E">
            <w:pPr>
              <w:jc w:val="both"/>
              <w:rPr>
                <w:rFonts w:ascii="Arial" w:hAnsi="Arial" w:cs="Arial"/>
                <w:color w:val="000000"/>
                <w:sz w:val="20"/>
                <w:szCs w:val="20"/>
              </w:rPr>
            </w:pPr>
            <w:r w:rsidRPr="0006503E">
              <w:rPr>
                <w:rFonts w:ascii="Arial" w:hAnsi="Arial" w:cs="Arial"/>
                <w:color w:val="000000"/>
                <w:sz w:val="20"/>
                <w:szCs w:val="20"/>
              </w:rPr>
              <w:t>-0.06257</w:t>
            </w:r>
          </w:p>
        </w:tc>
      </w:tr>
      <w:tr w:rsidR="0006503E" w:rsidRPr="0006503E" w14:paraId="17DFB324" w14:textId="77777777" w:rsidTr="0006503E">
        <w:tc>
          <w:tcPr>
            <w:tcW w:w="1701" w:type="dxa"/>
            <w:tcBorders>
              <w:top w:val="nil"/>
              <w:bottom w:val="nil"/>
            </w:tcBorders>
          </w:tcPr>
          <w:p w14:paraId="7C50CAD6" w14:textId="77777777" w:rsidR="0006503E" w:rsidRPr="0006503E" w:rsidRDefault="0006503E" w:rsidP="0006503E">
            <w:pPr>
              <w:spacing w:line="360" w:lineRule="auto"/>
              <w:jc w:val="both"/>
              <w:rPr>
                <w:rFonts w:ascii="Arial" w:eastAsia="Times New Roman" w:hAnsi="Arial" w:cs="Arial"/>
                <w:sz w:val="20"/>
                <w:szCs w:val="20"/>
                <w:lang w:val="id-ID"/>
              </w:rPr>
            </w:pPr>
            <w:r w:rsidRPr="0006503E">
              <w:rPr>
                <w:rFonts w:ascii="Arial" w:eastAsia="Times New Roman" w:hAnsi="Arial" w:cs="Arial"/>
                <w:sz w:val="20"/>
                <w:szCs w:val="20"/>
                <w:lang w:val="id-ID"/>
              </w:rPr>
              <w:t>2022</w:t>
            </w:r>
          </w:p>
        </w:tc>
        <w:tc>
          <w:tcPr>
            <w:tcW w:w="2180" w:type="dxa"/>
            <w:tcBorders>
              <w:top w:val="nil"/>
              <w:bottom w:val="nil"/>
            </w:tcBorders>
          </w:tcPr>
          <w:p w14:paraId="428262A3" w14:textId="77777777" w:rsidR="0006503E" w:rsidRPr="0006503E" w:rsidRDefault="0006503E" w:rsidP="0006503E">
            <w:pPr>
              <w:jc w:val="both"/>
              <w:rPr>
                <w:rFonts w:ascii="Arial" w:hAnsi="Arial" w:cs="Arial"/>
                <w:color w:val="000000"/>
                <w:sz w:val="20"/>
                <w:szCs w:val="20"/>
              </w:rPr>
            </w:pPr>
            <w:r w:rsidRPr="0006503E">
              <w:rPr>
                <w:rFonts w:ascii="Arial" w:hAnsi="Arial" w:cs="Arial"/>
                <w:color w:val="000000"/>
                <w:sz w:val="20"/>
                <w:szCs w:val="20"/>
              </w:rPr>
              <w:t>2.31688</w:t>
            </w:r>
          </w:p>
        </w:tc>
        <w:tc>
          <w:tcPr>
            <w:tcW w:w="1931" w:type="dxa"/>
            <w:tcBorders>
              <w:top w:val="nil"/>
              <w:bottom w:val="nil"/>
            </w:tcBorders>
          </w:tcPr>
          <w:p w14:paraId="1F0EDA76" w14:textId="77777777" w:rsidR="0006503E" w:rsidRPr="0006503E" w:rsidRDefault="0006503E" w:rsidP="0006503E">
            <w:pPr>
              <w:jc w:val="both"/>
              <w:rPr>
                <w:rFonts w:ascii="Arial" w:hAnsi="Arial" w:cs="Arial"/>
                <w:color w:val="000000"/>
                <w:sz w:val="20"/>
                <w:szCs w:val="20"/>
              </w:rPr>
            </w:pPr>
            <w:r w:rsidRPr="0006503E">
              <w:rPr>
                <w:rFonts w:ascii="Arial" w:hAnsi="Arial" w:cs="Arial"/>
                <w:color w:val="000000"/>
                <w:sz w:val="20"/>
                <w:szCs w:val="20"/>
              </w:rPr>
              <w:t>0.04458</w:t>
            </w:r>
          </w:p>
        </w:tc>
      </w:tr>
      <w:tr w:rsidR="0006503E" w:rsidRPr="0006503E" w14:paraId="2DC59733" w14:textId="77777777" w:rsidTr="0006503E">
        <w:tc>
          <w:tcPr>
            <w:tcW w:w="1701" w:type="dxa"/>
            <w:tcBorders>
              <w:top w:val="nil"/>
              <w:bottom w:val="nil"/>
            </w:tcBorders>
          </w:tcPr>
          <w:p w14:paraId="7BE8307C" w14:textId="77777777" w:rsidR="0006503E" w:rsidRPr="0006503E" w:rsidRDefault="0006503E" w:rsidP="0006503E">
            <w:pPr>
              <w:spacing w:line="360" w:lineRule="auto"/>
              <w:jc w:val="both"/>
              <w:rPr>
                <w:rFonts w:ascii="Arial" w:eastAsia="Times New Roman" w:hAnsi="Arial" w:cs="Arial"/>
                <w:sz w:val="20"/>
                <w:szCs w:val="20"/>
                <w:lang w:val="id-ID"/>
              </w:rPr>
            </w:pPr>
            <w:r w:rsidRPr="0006503E">
              <w:rPr>
                <w:rFonts w:ascii="Arial" w:eastAsia="Times New Roman" w:hAnsi="Arial" w:cs="Arial"/>
                <w:sz w:val="20"/>
                <w:szCs w:val="20"/>
                <w:lang w:val="id-ID"/>
              </w:rPr>
              <w:t>2023</w:t>
            </w:r>
          </w:p>
        </w:tc>
        <w:tc>
          <w:tcPr>
            <w:tcW w:w="2180" w:type="dxa"/>
            <w:tcBorders>
              <w:top w:val="nil"/>
              <w:bottom w:val="nil"/>
            </w:tcBorders>
          </w:tcPr>
          <w:p w14:paraId="1598FF08" w14:textId="77777777" w:rsidR="0006503E" w:rsidRPr="0006503E" w:rsidRDefault="0006503E" w:rsidP="0006503E">
            <w:pPr>
              <w:jc w:val="both"/>
              <w:rPr>
                <w:rFonts w:ascii="Arial" w:hAnsi="Arial" w:cs="Arial"/>
                <w:color w:val="000000"/>
                <w:sz w:val="20"/>
                <w:szCs w:val="20"/>
              </w:rPr>
            </w:pPr>
            <w:r w:rsidRPr="0006503E">
              <w:rPr>
                <w:rFonts w:ascii="Arial" w:hAnsi="Arial" w:cs="Arial"/>
                <w:color w:val="000000"/>
                <w:sz w:val="20"/>
                <w:szCs w:val="20"/>
              </w:rPr>
              <w:t>2.82442</w:t>
            </w:r>
          </w:p>
        </w:tc>
        <w:tc>
          <w:tcPr>
            <w:tcW w:w="1931" w:type="dxa"/>
            <w:tcBorders>
              <w:top w:val="nil"/>
              <w:bottom w:val="nil"/>
            </w:tcBorders>
          </w:tcPr>
          <w:p w14:paraId="297CA4A8" w14:textId="77777777" w:rsidR="0006503E" w:rsidRPr="0006503E" w:rsidRDefault="0006503E" w:rsidP="0006503E">
            <w:pPr>
              <w:jc w:val="both"/>
              <w:rPr>
                <w:rFonts w:ascii="Arial" w:hAnsi="Arial" w:cs="Arial"/>
                <w:color w:val="000000"/>
                <w:sz w:val="20"/>
                <w:szCs w:val="20"/>
              </w:rPr>
            </w:pPr>
            <w:r w:rsidRPr="0006503E">
              <w:rPr>
                <w:rFonts w:ascii="Arial" w:hAnsi="Arial" w:cs="Arial"/>
                <w:color w:val="000000"/>
                <w:sz w:val="20"/>
                <w:szCs w:val="20"/>
              </w:rPr>
              <w:t>0.21906</w:t>
            </w:r>
          </w:p>
        </w:tc>
      </w:tr>
      <w:tr w:rsidR="0006503E" w:rsidRPr="0006503E" w14:paraId="6E8E3EBF" w14:textId="77777777" w:rsidTr="0006503E">
        <w:tc>
          <w:tcPr>
            <w:tcW w:w="1701" w:type="dxa"/>
            <w:tcBorders>
              <w:top w:val="nil"/>
            </w:tcBorders>
          </w:tcPr>
          <w:p w14:paraId="10465506" w14:textId="77777777" w:rsidR="0006503E" w:rsidRPr="0006503E" w:rsidRDefault="0006503E" w:rsidP="0006503E">
            <w:pPr>
              <w:spacing w:line="360" w:lineRule="auto"/>
              <w:jc w:val="both"/>
              <w:rPr>
                <w:rFonts w:ascii="Arial" w:eastAsia="Times New Roman" w:hAnsi="Arial" w:cs="Arial"/>
                <w:sz w:val="20"/>
                <w:szCs w:val="20"/>
                <w:lang w:val="id-ID"/>
              </w:rPr>
            </w:pPr>
            <w:r w:rsidRPr="0006503E">
              <w:rPr>
                <w:rFonts w:ascii="Arial" w:eastAsia="Times New Roman" w:hAnsi="Arial" w:cs="Arial"/>
                <w:sz w:val="20"/>
                <w:szCs w:val="20"/>
                <w:lang w:val="id-ID"/>
              </w:rPr>
              <w:t>2024</w:t>
            </w:r>
          </w:p>
        </w:tc>
        <w:tc>
          <w:tcPr>
            <w:tcW w:w="2180" w:type="dxa"/>
            <w:tcBorders>
              <w:top w:val="nil"/>
            </w:tcBorders>
          </w:tcPr>
          <w:p w14:paraId="75388451" w14:textId="77777777" w:rsidR="0006503E" w:rsidRPr="0006503E" w:rsidRDefault="0006503E" w:rsidP="0006503E">
            <w:pPr>
              <w:jc w:val="both"/>
              <w:rPr>
                <w:rFonts w:ascii="Arial" w:hAnsi="Arial" w:cs="Arial"/>
                <w:color w:val="000000"/>
                <w:sz w:val="20"/>
                <w:szCs w:val="20"/>
              </w:rPr>
            </w:pPr>
            <w:r w:rsidRPr="0006503E">
              <w:rPr>
                <w:rFonts w:ascii="Arial" w:hAnsi="Arial" w:cs="Arial"/>
                <w:color w:val="000000"/>
                <w:sz w:val="20"/>
                <w:szCs w:val="20"/>
              </w:rPr>
              <w:t>2.69327</w:t>
            </w:r>
          </w:p>
        </w:tc>
        <w:tc>
          <w:tcPr>
            <w:tcW w:w="1931" w:type="dxa"/>
            <w:tcBorders>
              <w:top w:val="nil"/>
            </w:tcBorders>
          </w:tcPr>
          <w:p w14:paraId="14392006" w14:textId="77777777" w:rsidR="0006503E" w:rsidRPr="0006503E" w:rsidRDefault="0006503E" w:rsidP="0006503E">
            <w:pPr>
              <w:jc w:val="both"/>
              <w:rPr>
                <w:rFonts w:ascii="Arial" w:hAnsi="Arial" w:cs="Arial"/>
                <w:color w:val="000000"/>
                <w:sz w:val="20"/>
                <w:szCs w:val="20"/>
              </w:rPr>
            </w:pPr>
            <w:r w:rsidRPr="0006503E">
              <w:rPr>
                <w:rFonts w:ascii="Arial" w:hAnsi="Arial" w:cs="Arial"/>
                <w:color w:val="000000"/>
                <w:sz w:val="20"/>
                <w:szCs w:val="20"/>
              </w:rPr>
              <w:t>-0.046433</w:t>
            </w:r>
          </w:p>
        </w:tc>
      </w:tr>
    </w:tbl>
    <w:p w14:paraId="0EC32BBB" w14:textId="77777777" w:rsidR="0006503E" w:rsidRDefault="0006503E" w:rsidP="0006503E">
      <w:pPr>
        <w:pStyle w:val="Body"/>
        <w:spacing w:after="0"/>
        <w:rPr>
          <w:rFonts w:ascii="Arial" w:hAnsi="Arial" w:cs="Arial"/>
        </w:rPr>
      </w:pPr>
    </w:p>
    <w:p w14:paraId="24FB2102" w14:textId="77777777" w:rsidR="0006503E" w:rsidRDefault="0006503E" w:rsidP="0006503E">
      <w:pPr>
        <w:pStyle w:val="Body"/>
        <w:spacing w:after="0"/>
        <w:rPr>
          <w:rFonts w:ascii="Arial" w:hAnsi="Arial" w:cs="Arial"/>
        </w:rPr>
      </w:pPr>
    </w:p>
    <w:p w14:paraId="1F04F49B" w14:textId="77777777" w:rsidR="0006503E" w:rsidRDefault="0006503E" w:rsidP="0006503E">
      <w:pPr>
        <w:pStyle w:val="Body"/>
        <w:spacing w:after="0"/>
        <w:rPr>
          <w:rFonts w:ascii="Arial" w:hAnsi="Arial" w:cs="Arial"/>
        </w:rPr>
      </w:pPr>
    </w:p>
    <w:p w14:paraId="15C9B02E" w14:textId="77777777" w:rsidR="0006503E" w:rsidRDefault="0006503E" w:rsidP="0006503E">
      <w:pPr>
        <w:pStyle w:val="Body"/>
        <w:spacing w:after="0"/>
        <w:rPr>
          <w:rFonts w:ascii="Arial" w:hAnsi="Arial" w:cs="Arial"/>
        </w:rPr>
      </w:pPr>
    </w:p>
    <w:p w14:paraId="657C1425" w14:textId="77777777" w:rsidR="0006503E" w:rsidRDefault="0006503E" w:rsidP="0006503E">
      <w:pPr>
        <w:pStyle w:val="Body"/>
        <w:spacing w:after="0"/>
        <w:rPr>
          <w:rFonts w:ascii="Arial" w:hAnsi="Arial" w:cs="Arial"/>
        </w:rPr>
      </w:pPr>
    </w:p>
    <w:p w14:paraId="2065A212" w14:textId="77777777" w:rsidR="0006503E" w:rsidRDefault="0006503E" w:rsidP="0006503E">
      <w:pPr>
        <w:pStyle w:val="Body"/>
        <w:spacing w:after="0"/>
        <w:rPr>
          <w:rFonts w:ascii="Arial" w:hAnsi="Arial" w:cs="Arial"/>
        </w:rPr>
      </w:pPr>
    </w:p>
    <w:p w14:paraId="7FFFA069" w14:textId="77777777" w:rsidR="0006503E" w:rsidRDefault="0006503E" w:rsidP="0006503E">
      <w:pPr>
        <w:pStyle w:val="Body"/>
        <w:spacing w:after="0"/>
        <w:rPr>
          <w:rFonts w:ascii="Arial" w:hAnsi="Arial" w:cs="Arial"/>
        </w:rPr>
      </w:pPr>
    </w:p>
    <w:p w14:paraId="674320B6" w14:textId="77777777" w:rsidR="0006503E" w:rsidRDefault="0006503E" w:rsidP="0006503E">
      <w:pPr>
        <w:pStyle w:val="Body"/>
        <w:spacing w:after="0"/>
        <w:rPr>
          <w:rFonts w:ascii="Arial" w:hAnsi="Arial" w:cs="Arial"/>
        </w:rPr>
      </w:pPr>
    </w:p>
    <w:p w14:paraId="794DB274" w14:textId="0AA01287" w:rsidR="0006503E" w:rsidRDefault="0006503E" w:rsidP="0006503E">
      <w:pPr>
        <w:pStyle w:val="Body"/>
        <w:spacing w:after="0"/>
        <w:rPr>
          <w:rFonts w:ascii="Arial" w:hAnsi="Arial" w:cs="Arial"/>
        </w:rPr>
      </w:pPr>
      <w:r>
        <w:rPr>
          <w:rFonts w:ascii="Arial" w:hAnsi="Arial" w:cs="Arial"/>
        </w:rPr>
        <w:tab/>
      </w:r>
      <w:r>
        <w:rPr>
          <w:rFonts w:ascii="Arial" w:hAnsi="Arial" w:cs="Arial"/>
        </w:rPr>
        <w:tab/>
        <w:t xml:space="preserve"> </w:t>
      </w:r>
    </w:p>
    <w:p w14:paraId="65BB088E" w14:textId="52FAC468" w:rsidR="0006503E" w:rsidRPr="0006503E" w:rsidRDefault="0006503E" w:rsidP="0006503E">
      <w:pPr>
        <w:pStyle w:val="Body"/>
        <w:spacing w:after="0"/>
        <w:rPr>
          <w:rFonts w:ascii="Arial" w:hAnsi="Arial" w:cs="Arial"/>
        </w:rPr>
      </w:pPr>
      <w:r w:rsidRPr="0006503E">
        <w:rPr>
          <w:rFonts w:ascii="Arial" w:hAnsi="Arial" w:cs="Arial"/>
        </w:rPr>
        <w:t xml:space="preserve">Based on Table 1, the growth of the Price to Book Value (PBV) of companies in the food and beverage sector shows a fluctuating trend during the 2021–2024 period. In 2021, PBV decreased by -0.06257 or around 6.26% compared to the previous year, with an average PBV of 2.218. This decline indicates a decrease in market confidence in the company's value, which is most likely due to unstable economic conditions after the pandemic, as well as weakening purchasing power. In 2022, PBV rose by 4.46% to 2.31688, signaling the beginning of recovery. A significant increase occurred in 2023 of 21.91% with an average PBV reaching 2.82442, indicating increased investor confidence. However, in 2024, PBV declined again by -0.046433 or around 4.64%. This decline in growth indicates that although demand for food and beverage products continues to exist, the performance and financial management of companies are still not optimal in facing external economic pressures. </w:t>
      </w:r>
    </w:p>
    <w:p w14:paraId="7FFBD84B" w14:textId="56AF92B9" w:rsidR="00E41977" w:rsidRPr="00E41977" w:rsidRDefault="00E41977" w:rsidP="00E41977">
      <w:pPr>
        <w:pStyle w:val="Body"/>
        <w:spacing w:after="0"/>
        <w:rPr>
          <w:rFonts w:ascii="Arial" w:hAnsi="Arial" w:cs="Arial"/>
        </w:rPr>
      </w:pPr>
      <w:r w:rsidRPr="00E41977">
        <w:rPr>
          <w:rFonts w:ascii="Arial" w:hAnsi="Arial" w:cs="Arial"/>
        </w:rPr>
        <w:t>For investors, this phenomenon is a signal to be more cautious in investing capital if a company does not have a clear strategy for maintaining value. Several studies have found that company value is influenced by profitability, liquidity, company size, and dividend policy (</w:t>
      </w:r>
      <w:proofErr w:type="spellStart"/>
      <w:r w:rsidRPr="00E41977">
        <w:rPr>
          <w:rFonts w:ascii="Arial" w:hAnsi="Arial" w:cs="Arial"/>
        </w:rPr>
        <w:t>Sriyani</w:t>
      </w:r>
      <w:proofErr w:type="spellEnd"/>
      <w:r w:rsidRPr="00E41977">
        <w:rPr>
          <w:rFonts w:ascii="Arial" w:hAnsi="Arial" w:cs="Arial"/>
        </w:rPr>
        <w:t xml:space="preserve"> &amp; </w:t>
      </w:r>
      <w:proofErr w:type="spellStart"/>
      <w:r w:rsidRPr="00E41977">
        <w:rPr>
          <w:rFonts w:ascii="Arial" w:hAnsi="Arial" w:cs="Arial"/>
        </w:rPr>
        <w:t>Purwasih</w:t>
      </w:r>
      <w:proofErr w:type="spellEnd"/>
      <w:r w:rsidRPr="00E41977">
        <w:rPr>
          <w:rFonts w:ascii="Arial" w:hAnsi="Arial" w:cs="Arial"/>
        </w:rPr>
        <w:t xml:space="preserve">, 2022), while other studies show the influence of investment decisions, sales growth, liquidity, and capital structure </w:t>
      </w:r>
      <w:r w:rsidR="003730CB">
        <w:rPr>
          <w:rFonts w:ascii="Arial" w:hAnsi="Arial" w:cs="Arial"/>
        </w:rPr>
        <w:fldChar w:fldCharType="begin" w:fldLock="1"/>
      </w:r>
      <w:r w:rsidR="001C0744">
        <w:rPr>
          <w:rFonts w:ascii="Arial" w:hAnsi="Arial" w:cs="Arial"/>
        </w:rPr>
        <w:instrText>ADDIN CSL_CITATION {"citationItems":[{"id":"ITEM-1","itemData":{"DOI":"10.46306/rev.v3i1.149","ISSN":"2723-6498","abstract":"This study aims to analyze the effect of financial performance and dividend policy on firm value with capital structure as the intervening variable. This type of research is a quantitative research using secondary data population obtained from the Indonesia Stock Exchange and related websites for the 2016-2020 period, totaling 14 companies. The sampling technique in this study was using purposive sampling method with data analysis techniques used were panel data regression analysis and path analysis by selecting a regression model, classical assumption test, and hypothesis analysis using the Eviews 9 data processing program. Based on the test results, the research it states that the t test (partial), financial performance and capital structure affect firm value, while dividend policy has no effect on firm value. Through the Sobel test, it was found that capital structure was able to mediate the effect of the relationship between financial performance on firm value, but capital structure could not mediate the effect of dividend policy on firm value","author":[{"dropping-particle":"","family":"Sriyani","given":"Egi Dwi","non-dropping-particle":"","parse-names":false,"suffix":""},{"dropping-particle":"","family":"Purwasih","given":"Desy","non-dropping-particle":"","parse-names":false,"suffix":""}],"container-title":"Jurnal Revenue : Jurnal Ilmiah Akuntansi","id":"ITEM-1","issue":"1","issued":{"date-parts":[["2022"]]},"page":"368-382","title":"Pengaruh Kinerja Keuangan Dan Kebijakan Dividen Terhadap Nilai Perusahaan Dengan Struktur Modal Sebagai Variabel Intervening","type":"article-journal","volume":"3"},"uris":["http://www.mendeley.com/documents/?uuid=fc9e4f55-c959-4180-92d4-ea986d52dec4"]}],"mendeley":{"formattedCitation":"(Sriyani &amp; Purwasih, 2022)","plainTextFormattedCitation":"(Sriyani &amp; Purwasih, 2022)","previouslyFormattedCitation":"(Sriyani &amp; Purwasih, 2022)"},"properties":{"noteIndex":0},"schema":"https://github.com/citation-style-language/schema/raw/master/csl-citation.json"}</w:instrText>
      </w:r>
      <w:r w:rsidR="003730CB">
        <w:rPr>
          <w:rFonts w:ascii="Arial" w:hAnsi="Arial" w:cs="Arial"/>
        </w:rPr>
        <w:fldChar w:fldCharType="separate"/>
      </w:r>
      <w:r w:rsidR="003730CB" w:rsidRPr="003730CB">
        <w:rPr>
          <w:rFonts w:ascii="Arial" w:hAnsi="Arial" w:cs="Arial"/>
          <w:noProof/>
        </w:rPr>
        <w:t>(Sriyani &amp; Purwasih, 2022)</w:t>
      </w:r>
      <w:r w:rsidR="003730CB">
        <w:rPr>
          <w:rFonts w:ascii="Arial" w:hAnsi="Arial" w:cs="Arial"/>
        </w:rPr>
        <w:fldChar w:fldCharType="end"/>
      </w:r>
      <w:r w:rsidR="003730CB">
        <w:rPr>
          <w:rFonts w:ascii="Arial" w:hAnsi="Arial" w:cs="Arial"/>
        </w:rPr>
        <w:t>.</w:t>
      </w:r>
      <w:r w:rsidRPr="00E41977">
        <w:rPr>
          <w:rFonts w:ascii="Arial" w:hAnsi="Arial" w:cs="Arial"/>
        </w:rPr>
        <w:t>Therefore, this study focuses on investment decisions, dividend policy, sales growth, and capital structure as determinants of company value.</w:t>
      </w:r>
    </w:p>
    <w:p w14:paraId="14DCC42E" w14:textId="345C07C8" w:rsidR="00F32CE9" w:rsidRDefault="00F32CE9" w:rsidP="00F32CE9">
      <w:pPr>
        <w:pStyle w:val="Body"/>
        <w:spacing w:after="0"/>
        <w:rPr>
          <w:rFonts w:ascii="Arial" w:hAnsi="Arial" w:cs="Arial"/>
        </w:rPr>
      </w:pPr>
      <w:r w:rsidRPr="00F32CE9">
        <w:rPr>
          <w:rFonts w:ascii="Arial" w:hAnsi="Arial" w:cs="Arial"/>
        </w:rPr>
        <w:t xml:space="preserve">Company value is influenced by various factors such as profitability, liquidity, company size, dividend policy, investment decisions, sales growth, and capital structure. This study focuses on four main factors, namely investment decisions, dividend policy, sales growth, and capital structure, based on Signaling Theory (Spence, 1973), which explains that corporate financial decisions can serve as signals to reduce information asymmetry and increase investor confidence. Investment decisions play a role in the allocation of funds to productive assets and can increase company value if done correctly </w:t>
      </w:r>
      <w:r w:rsidR="001C0744" w:rsidRPr="001C0744">
        <w:rPr>
          <w:rFonts w:ascii="Arial" w:hAnsi="Arial" w:cs="Arial"/>
        </w:rPr>
        <w:fldChar w:fldCharType="begin" w:fldLock="1"/>
      </w:r>
      <w:r w:rsidR="001C0744">
        <w:rPr>
          <w:rFonts w:ascii="Arial" w:hAnsi="Arial" w:cs="Arial"/>
        </w:rPr>
        <w:instrText>ADDIN CSL_CITATION {"citationItems":[{"id":"ITEM-1","itemData":{"DOI":"10.47467/reslaj.v5i6.3804","ISSN":"2656-274X","abstract":" \r Company value is a certain condition of the company after several years of operation, which is an indicator of public trust in the company. The purpose of the study is to determine whether investment decisions in food and beverage companies listed on the IDX for the 2018-2021 period can affect company value through capital structure as an intervening variable. In this study using quantitative research. For the study, only 24 companies were selected from 32 food and beverage companies. Purposive sampling is the sampling method used in this study. Path Analysis is the method of analysis used. The results of the study show that Investment Decisions contribute to Company Value. Capital Structure is not able to be an intervening variable in the influence of investment decisions on Company Value.\r  Keywords: Investation decision; Capital Structure; The value of the company.","author":[{"dropping-particle":"","family":"Rizkiwati","given":"Nadila","non-dropping-particle":"","parse-names":false,"suffix":""},{"dropping-particle":"","family":"Anwar","given":"Muhadjir","non-dropping-particle":"","parse-names":false,"suffix":""}],"container-title":"Reslaj : Religion Education Social Laa Roiba Journal","id":"ITEM-1","issue":"6","issued":{"date-parts":[["2023"]]},"page":"3271-3282","title":"Pengaruh Keputusan Investasi terhadap Nilai Perusahaan dengan Struktur Modal sebagai Variabel Intervening pada Perusahaan Food &amp; Beverage yang Terdaftar di BEI","type":"article-journal","volume":"5"},"uris":["http://www.mendeley.com/documents/?uuid=323dbab5-1a04-401e-8cb2-3707de70c16b"]}],"mendeley":{"formattedCitation":"(Rizkiwati &amp; Anwar, 2023)","plainTextFormattedCitation":"(Rizkiwati &amp; Anwar, 2023)","previouslyFormattedCitation":"(Rizkiwati &amp; Anwar, 2023)"},"properties":{"noteIndex":0},"schema":"https://github.com/citation-style-language/schema/raw/master/csl-citation.json"}</w:instrText>
      </w:r>
      <w:r w:rsidR="001C0744" w:rsidRPr="001C0744">
        <w:rPr>
          <w:rFonts w:ascii="Arial" w:hAnsi="Arial" w:cs="Arial"/>
        </w:rPr>
        <w:fldChar w:fldCharType="separate"/>
      </w:r>
      <w:r w:rsidR="001C0744" w:rsidRPr="001C0744">
        <w:rPr>
          <w:rFonts w:ascii="Arial" w:hAnsi="Arial" w:cs="Arial"/>
          <w:noProof/>
        </w:rPr>
        <w:t>(Rizkiwati &amp; Anwar, 2023)</w:t>
      </w:r>
      <w:r w:rsidR="001C0744" w:rsidRPr="001C0744">
        <w:rPr>
          <w:rFonts w:ascii="Arial" w:hAnsi="Arial" w:cs="Arial"/>
        </w:rPr>
        <w:fldChar w:fldCharType="end"/>
      </w:r>
      <w:r w:rsidR="001C0744">
        <w:rPr>
          <w:rFonts w:ascii="Arial" w:hAnsi="Arial" w:cs="Arial"/>
        </w:rPr>
        <w:t>,</w:t>
      </w:r>
      <w:r w:rsidRPr="00F32CE9">
        <w:rPr>
          <w:rFonts w:ascii="Arial" w:hAnsi="Arial" w:cs="Arial"/>
        </w:rPr>
        <w:t xml:space="preserve"> although previous studies have shown inconsistent findings</w:t>
      </w:r>
      <w:r w:rsidR="001C0744">
        <w:rPr>
          <w:rFonts w:ascii="Arial" w:hAnsi="Arial" w:cs="Arial"/>
        </w:rPr>
        <w:t xml:space="preserve"> </w:t>
      </w:r>
      <w:r w:rsidR="001C0744">
        <w:rPr>
          <w:rFonts w:ascii="Arial" w:hAnsi="Arial" w:cs="Arial"/>
        </w:rPr>
        <w:fldChar w:fldCharType="begin" w:fldLock="1"/>
      </w:r>
      <w:r w:rsidR="001C0744">
        <w:rPr>
          <w:rFonts w:ascii="Arial" w:hAnsi="Arial" w:cs="Arial"/>
        </w:rPr>
        <w:instrText>ADDIN CSL_CITATION {"citationItems":[{"id":"ITEM-1","itemData":{"DOI":"10.33395/owner.v6i2.785","ISSN":"2548-7507","abstract":"The purpose of this study is to determine the influence of company size, profitability, and investment decisions on the value of the company by presenting the capital structure as a moderation variable. This study used the population of food and beverage sub-sector manufacturing companies listed on the Indonesia Stock Exchange in 2017-2019. Sampling techniques using Purposive Sampling techniques using the criteria of food and beverage sub-sector manufacturing companies listed consecutively on the Indonesia Stock Exchange from the period from 2017-2019 so that as many as 24 samples of companies with the number of analysis units as many as 72. The method used in this study is regression moderation analysis with interaction tests. Secondary data in the form of financial statements used in this study. The IBM SPSS Statistics 21 application is used as an analysis tool. Results from research show that the size of the company, and profitability have a significant effect on the value of the company. Investment decisions have no significant effect on the value of the company. The capital structure is also unable to moderate significantly the influence of the size of the company on the value of the company. But the capital structure can significantly moderate profitability and investment decisions to the value of the company. Suggestions for researchers can further increase or replace the sample of companies in other sectors. In addition, it can also add other variables that can affect the value of the company, so it is expected that research into the value of the company continues to grow.","author":[{"dropping-particle":"","family":"Arsyada","given":"Adam Bangkit","non-dropping-particle":"","parse-names":false,"suffix":""},{"dropping-particle":"","family":"Sukirman","given":"Sukirman","non-dropping-particle":"","parse-names":false,"suffix":""},{"dropping-particle":"","family":"Wahyuningrum","given":"Indah Fajarini Sri","non-dropping-particle":"","parse-names":false,"suffix":""}],"container-title":"Owner","id":"ITEM-1","issue":"2","issued":{"date-parts":[["2022"]]},"page":"1648-1663","title":"Pengaruh Ukuran Perusahaan, Profitabilitas, Dan Keputusan Investasi Terhadap Nilai Perusahaan Dengan Struktur Modal Sebagai Variabel Moderating","type":"article-journal","volume":"6"},"uris":["http://www.mendeley.com/documents/?uuid=4eb8501a-90e0-4076-a10c-9d6645011e93"]}],"mendeley":{"formattedCitation":"(Arsyada et al., 2022)","plainTextFormattedCitation":"(Arsyada et al., 2022)","previouslyFormattedCitation":"(Arsyada et al., 2022)"},"properties":{"noteIndex":0},"schema":"https://github.com/citation-style-language/schema/raw/master/csl-citation.json"}</w:instrText>
      </w:r>
      <w:r w:rsidR="001C0744">
        <w:rPr>
          <w:rFonts w:ascii="Arial" w:hAnsi="Arial" w:cs="Arial"/>
        </w:rPr>
        <w:fldChar w:fldCharType="separate"/>
      </w:r>
      <w:r w:rsidR="001C0744" w:rsidRPr="001C0744">
        <w:rPr>
          <w:rFonts w:ascii="Arial" w:hAnsi="Arial" w:cs="Arial"/>
          <w:noProof/>
        </w:rPr>
        <w:t>(Arsyada et al., 2022)</w:t>
      </w:r>
      <w:r w:rsidR="001C0744">
        <w:rPr>
          <w:rFonts w:ascii="Arial" w:hAnsi="Arial" w:cs="Arial"/>
        </w:rPr>
        <w:fldChar w:fldCharType="end"/>
      </w:r>
      <w:r w:rsidR="001C0744">
        <w:rPr>
          <w:rFonts w:ascii="Arial" w:hAnsi="Arial" w:cs="Arial"/>
        </w:rPr>
        <w:t>.</w:t>
      </w:r>
      <w:r w:rsidRPr="00F32CE9">
        <w:rPr>
          <w:rFonts w:ascii="Arial" w:hAnsi="Arial" w:cs="Arial"/>
        </w:rPr>
        <w:t xml:space="preserve"> Dividend policy reflects signals of financial health and the company's commitment to shareholders</w:t>
      </w:r>
      <w:r w:rsidR="001C0744">
        <w:rPr>
          <w:rFonts w:ascii="Arial" w:hAnsi="Arial" w:cs="Arial"/>
        </w:rPr>
        <w:fldChar w:fldCharType="begin" w:fldLock="1"/>
      </w:r>
      <w:r w:rsidR="001C0744">
        <w:rPr>
          <w:rFonts w:ascii="Arial" w:hAnsi="Arial" w:cs="Arial"/>
        </w:rPr>
        <w:instrText>ADDIN CSL_CITATION {"citationItems":[{"id":"ITEM-1","itemData":{"DOI":"10.47467/elmal.v5i7.3384","ISSN":"2620-2956","abstract":"This research aims to examine the effect of dividend policy on company value and examine the effect of dividend policy on company value which is moderated by capital structure, company size and profitability. The population of this research is hotels, restaurants and tourism sub-sector companies listed on the IDX with a research period of 2018-2022. The number of samples is 4 companies with total data of 20 observations. The data source uses secondary data, namely in the form of company annual reports which can be accessed via the website www.idx.co.id. The data analysis technique uses SEM PLS analysis, with the help of Smart-PLS version 3. Conclusions from this research (1) Dividend policy has a positive and significant effect on company value in hotel, restaurant and tourism sub-sector companies listed on the BEI for the 2018-2022 period. (2) Capital structure cannot moderate the influence of dividend policy on company value. (3) Company size cannot moderate the influence of dividend policy on company value (4) Profitability cannot moderate the influence of dividend policy on company value.","author":[{"dropping-particle":"","family":"Indro Purnomo","given":"","non-dropping-particle":"","parse-names":false,"suffix":""},{"dropping-particle":"","family":"Hwihanus","given":"","non-dropping-particle":"","parse-names":false,"suffix":""}],"container-title":"El-Mal: Jurnal Kajian Ekonomi &amp; Bisnis Islam","id":"ITEM-1","issue":"7","issued":{"date-parts":[["2024"]]},"page":"3543-3563","title":"Kebijakan Dividen Terhadap Nilai Perusahaan Listed BEI 2018-2022: Peran Moderasi Struktur Modal, Size, Profitabilitas","type":"article-journal","volume":"5"},"uris":["http://www.mendeley.com/documents/?uuid=74302afb-5a4b-44ee-b34f-f3c45173b2e7"]}],"mendeley":{"formattedCitation":"(Indro Purnomo &amp; Hwihanus, 2024)","plainTextFormattedCitation":"(Indro Purnomo &amp; Hwihanus, 2024)","previouslyFormattedCitation":"(Indro Purnomo &amp; Hwihanus, 2024)"},"properties":{"noteIndex":0},"schema":"https://github.com/citation-style-language/schema/raw/master/csl-citation.json"}</w:instrText>
      </w:r>
      <w:r w:rsidR="001C0744">
        <w:rPr>
          <w:rFonts w:ascii="Arial" w:hAnsi="Arial" w:cs="Arial"/>
        </w:rPr>
        <w:fldChar w:fldCharType="separate"/>
      </w:r>
      <w:r w:rsidR="001C0744" w:rsidRPr="001C0744">
        <w:rPr>
          <w:rFonts w:ascii="Arial" w:hAnsi="Arial" w:cs="Arial"/>
          <w:noProof/>
        </w:rPr>
        <w:t>(Indro Purnomo &amp; Hwihanus, 2024)</w:t>
      </w:r>
      <w:r w:rsidR="001C0744">
        <w:rPr>
          <w:rFonts w:ascii="Arial" w:hAnsi="Arial" w:cs="Arial"/>
        </w:rPr>
        <w:fldChar w:fldCharType="end"/>
      </w:r>
      <w:r w:rsidRPr="00F32CE9">
        <w:rPr>
          <w:rFonts w:ascii="Arial" w:hAnsi="Arial" w:cs="Arial"/>
        </w:rPr>
        <w:t xml:space="preserve">, reflecting the company's strategic decisions in managing profits for the benefit of shareholders as well as the sustainability of the company's operations. However, others have found different results </w:t>
      </w:r>
      <w:r w:rsidR="001C0744">
        <w:rPr>
          <w:rFonts w:ascii="Arial" w:hAnsi="Arial" w:cs="Arial"/>
        </w:rPr>
        <w:fldChar w:fldCharType="begin" w:fldLock="1"/>
      </w:r>
      <w:r w:rsidR="001C0744">
        <w:rPr>
          <w:rFonts w:ascii="Arial" w:hAnsi="Arial" w:cs="Arial"/>
        </w:rPr>
        <w:instrText>ADDIN CSL_CITATION {"citationItems":[{"id":"ITEM-1","itemData":{"DOI":"10.37338/jaab.v3i1.71","ISSN":"2685-5569","abstract":"Penelitian ini bertujuan untuk mengetahui pengaruh: (1) Kebijakan dividen, (2) Keputusan Investasi, terhadap Nilai Perusahaan pada perusahaan sektor pertambangan yang terdaftar di Bursa Efek Indonesia. Periode penelitian yang digunakan adalah 2009-2018. Penelitian ini tergolong sebagai penelitian ex post facto, bersifat asosiatif kausal, dan pendekatan kuantitatif. Populasi dalam penelitian ini adalah perusahaan pertambangan yang terdaftar dalam Bursa Efek Indonesia (BEI) periode 2009-2018. Teknik pengambilan sampel menggunakan purposive sampling. Teknik analisis data menggunakan regresi linier berganda. Hasil penelitian menunjukkan bahwa: (1) Kebijakan dividen tidak berpengaruh terhadap Nilai Perusahaan dengan nilai koefisien regresi sebesar-0.626 dan tingkat signifikan 0,221. (2) Keputusan Investasi berpengaruh positif terhadap Nilai Perusahaan dengan nilai koefisien regresi sebesar 0.048 dan tingkat signifikan 0,038 (3) dan Kebijakan Dividen dan Keputusan Investasi tidak berpengaruh terhadap Nilai Perusahaan manufaktur yang perusahaan pertambangan yang terdaftar dalam Bursa Efek Indonesia (BEI) periode 2009-2018 dengan nilai F hitung sebesar 2,313 dan nilai signifikansi 0,108. Hasil uji adjusted R2 pada penelitian ini diperoleh nilai sebesar 0,075. Hal ini menunjukkan bahwa Nilai Perusahaan dipengaruhi oleh Keputusan Investasi, Keputusan Pendanaan, dan Kebijakan Dividen sebesar 7,5%, sedangkan sisanya sebesar92,5% dipengaruhi oleh faktor lain yang tidak diteliti dalam penelitian ini.","author":[{"dropping-particle":"","family":"Pramurza","given":"","non-dropping-particle":"","parse-names":false,"suffix":""}],"container-title":"Journal of Applied Accounting And Business","id":"ITEM-1","issue":"1","issued":{"date-parts":[["2021"]]},"page":"33-40","title":"Pengaruh Kebijakan Deviden Dan Keputusan Investasi Terhadap Nilai Perusahaan Pada Perusahaan Sektor Pertambangan Di Bursa Efek Indonesia Periode 2009-2018","type":"article-journal","volume":"3"},"uris":["http://www.mendeley.com/documents/?uuid=0d11b17a-4ec8-45d5-bb8d-980caee041b8"]}],"mendeley":{"formattedCitation":"(Pramurza, 2021)","plainTextFormattedCitation":"(Pramurza, 2021)","previouslyFormattedCitation":"(Pramurza, 2021)"},"properties":{"noteIndex":0},"schema":"https://github.com/citation-style-language/schema/raw/master/csl-citation.json"}</w:instrText>
      </w:r>
      <w:r w:rsidR="001C0744">
        <w:rPr>
          <w:rFonts w:ascii="Arial" w:hAnsi="Arial" w:cs="Arial"/>
        </w:rPr>
        <w:fldChar w:fldCharType="separate"/>
      </w:r>
      <w:r w:rsidR="001C0744" w:rsidRPr="001C0744">
        <w:rPr>
          <w:rFonts w:ascii="Arial" w:hAnsi="Arial" w:cs="Arial"/>
          <w:noProof/>
        </w:rPr>
        <w:t>(Pramurza, 2021)</w:t>
      </w:r>
      <w:r w:rsidR="001C0744">
        <w:rPr>
          <w:rFonts w:ascii="Arial" w:hAnsi="Arial" w:cs="Arial"/>
        </w:rPr>
        <w:fldChar w:fldCharType="end"/>
      </w:r>
      <w:r w:rsidR="001C0744">
        <w:rPr>
          <w:rFonts w:ascii="Arial" w:hAnsi="Arial" w:cs="Arial"/>
        </w:rPr>
        <w:t xml:space="preserve">. </w:t>
      </w:r>
      <w:r w:rsidRPr="00F32CE9">
        <w:rPr>
          <w:rFonts w:ascii="Arial" w:hAnsi="Arial" w:cs="Arial"/>
        </w:rPr>
        <w:t xml:space="preserve">Sales growth is also considered an important indicator of business sustainability and future prospects </w:t>
      </w:r>
      <w:r w:rsidR="001C0744">
        <w:rPr>
          <w:rFonts w:ascii="Arial" w:hAnsi="Arial" w:cs="Arial"/>
        </w:rPr>
        <w:fldChar w:fldCharType="begin" w:fldLock="1"/>
      </w:r>
      <w:r w:rsidR="001C0744">
        <w:rPr>
          <w:rFonts w:ascii="Arial" w:hAnsi="Arial" w:cs="Arial"/>
        </w:rPr>
        <w:instrText>ADDIN CSL_CITATION {"citationItems":[{"id":"ITEM-1","itemData":{"author":[{"dropping-particle":"","family":"Wijaya","given":"","non-dropping-particle":"","parse-names":false,"suffix":""}],"container-title":"JUIMA","id":"ITEM-1","issue":"2","issued":{"date-parts":[["2019"]]},"title":"PENGARUH PERTUMBUHAN PENJUALAN TERHADAP NILAI PERUSAHAAN DENGAN STRUKTUR MODAL SEBAGAI VARIABEL INTERVENING","type":"article-journal","volume":"9"},"uris":["http://www.mendeley.com/documents/?uuid=483dd43d-222d-4bfb-9568-b26ed0bf7ad2"]}],"mendeley":{"formattedCitation":"(Wijaya, 2019)","plainTextFormattedCitation":"(Wijaya, 2019)","previouslyFormattedCitation":"(Wijaya, 2019)"},"properties":{"noteIndex":0},"schema":"https://github.com/citation-style-language/schema/raw/master/csl-citation.json"}</w:instrText>
      </w:r>
      <w:r w:rsidR="001C0744">
        <w:rPr>
          <w:rFonts w:ascii="Arial" w:hAnsi="Arial" w:cs="Arial"/>
        </w:rPr>
        <w:fldChar w:fldCharType="separate"/>
      </w:r>
      <w:r w:rsidR="001C0744" w:rsidRPr="001C0744">
        <w:rPr>
          <w:rFonts w:ascii="Arial" w:hAnsi="Arial" w:cs="Arial"/>
          <w:noProof/>
        </w:rPr>
        <w:t>(Wijaya, 2019)</w:t>
      </w:r>
      <w:r w:rsidR="001C0744">
        <w:rPr>
          <w:rFonts w:ascii="Arial" w:hAnsi="Arial" w:cs="Arial"/>
        </w:rPr>
        <w:fldChar w:fldCharType="end"/>
      </w:r>
      <w:r w:rsidRPr="00F32CE9">
        <w:rPr>
          <w:rFonts w:ascii="Arial" w:hAnsi="Arial" w:cs="Arial"/>
        </w:rPr>
        <w:t xml:space="preserve"> High sales indicate strong demand for products, which can increase cash inflows, strengthen liquidity, and support the overall financial health of the company. Although the results of the study show differences in the effect on company value </w:t>
      </w:r>
      <w:r w:rsidR="001C0744">
        <w:rPr>
          <w:rFonts w:ascii="Arial" w:hAnsi="Arial" w:cs="Arial"/>
        </w:rPr>
        <w:fldChar w:fldCharType="begin" w:fldLock="1"/>
      </w:r>
      <w:r w:rsidR="006C3422">
        <w:rPr>
          <w:rFonts w:ascii="Arial" w:hAnsi="Arial" w:cs="Arial"/>
        </w:rPr>
        <w:instrText>ADDIN CSL_CITATION {"citationItems":[{"id":"ITEM-1","itemData":{"abstract":"This research aimed to find out the effect of profitability and investment decisions on the firm value with capital structure as a moderating variable. The research was quantitative. Moreover, the data collection technique used purposive sampling. In line with that, there were 130 samples from 26 companies. The population was Food and Beverage companies listed on the Indonesia Stock Exchange (IDX) 2017-2021. Furthermore, profitability was referred to as ROA, investment decisions was referred to as CPB/BVA, firm value was referred to as PBV, and capital structure was referred to as DER. The data analysis technique used Moderated Regression Analysis (MRA) with SPSS 26. The result concluded that (1) profitability had a positive effect on firm value. It meant the rise of profitability changed firm value with a significance of 0.000, (2) investment decisions did not affect firm value. This meant investment decisions had insignificant effect on firm value with a significance of 0.592, (3) capital structure moderated the effect of profitability on firm value with a significance of 0.001, and (4) capital structure moderated the effect of investment decisions on firm value with a significance of 0.007.","author":[{"dropping-particle":"","family":"Fitriani","given":"Shalsabila","non-dropping-particle":"","parse-names":false,"suffix":""},{"dropping-particle":"","family":"Asyik","given":"Nur Fadjrih","non-dropping-particle":"","parse-names":false,"suffix":""}],"id":"ITEM-1","issued":{"date-parts":[["2023"]]},"page":"2-19","title":"Pengaruh Profitabilitas Dan Keputusan Investasi Terhadap Nilai Perusahaan Dengan Struktur Modal Sebagai Variabel Pemoderasi","type":"article-journal"},"uris":["http://www.mendeley.com/documents/?uuid=a158555a-e0af-4df6-87a8-3b9191b8a804"]}],"mendeley":{"formattedCitation":"(Fitriani &amp; Asyik, 2023)","plainTextFormattedCitation":"(Fitriani &amp; Asyik, 2023)","previouslyFormattedCitation":"(Fitriani &amp; Asyik, 2023)"},"properties":{"noteIndex":0},"schema":"https://github.com/citation-style-language/schema/raw/master/csl-citation.json"}</w:instrText>
      </w:r>
      <w:r w:rsidR="001C0744">
        <w:rPr>
          <w:rFonts w:ascii="Arial" w:hAnsi="Arial" w:cs="Arial"/>
        </w:rPr>
        <w:fldChar w:fldCharType="separate"/>
      </w:r>
      <w:r w:rsidR="001C0744" w:rsidRPr="001C0744">
        <w:rPr>
          <w:rFonts w:ascii="Arial" w:hAnsi="Arial" w:cs="Arial"/>
          <w:noProof/>
        </w:rPr>
        <w:t>(Fitriani &amp; Asyik, 2023)</w:t>
      </w:r>
      <w:r w:rsidR="001C0744">
        <w:rPr>
          <w:rFonts w:ascii="Arial" w:hAnsi="Arial" w:cs="Arial"/>
        </w:rPr>
        <w:fldChar w:fldCharType="end"/>
      </w:r>
      <w:r w:rsidR="001C0744">
        <w:rPr>
          <w:rFonts w:ascii="Arial" w:hAnsi="Arial" w:cs="Arial"/>
        </w:rPr>
        <w:t>.</w:t>
      </w:r>
    </w:p>
    <w:p w14:paraId="7FF4456E" w14:textId="2D619D50" w:rsidR="00F32CE9" w:rsidRPr="00F32CE9" w:rsidRDefault="00F32CE9" w:rsidP="00F32CE9">
      <w:pPr>
        <w:pStyle w:val="Body"/>
        <w:spacing w:after="0"/>
        <w:rPr>
          <w:rFonts w:ascii="Arial" w:hAnsi="Arial" w:cs="Arial"/>
        </w:rPr>
      </w:pPr>
      <w:r w:rsidRPr="00F32CE9">
        <w:rPr>
          <w:rFonts w:ascii="Arial" w:hAnsi="Arial" w:cs="Arial"/>
        </w:rPr>
        <w:t>These differences open up further research opportunities, particularly by considering the role of capital structure as a moderating variable to clarify the strength of the relationship between these variables and company value. In addition, these findings open up further research by placing capital structure as a moderating variable, whether it can strengthen or weaken the relationship between these factors and company value. This study is based on signaling theory (Spence, 1973) to explain how financial decisions become signals for investors in reducing information asymmetry and increasing company value.</w:t>
      </w:r>
    </w:p>
    <w:p w14:paraId="353884F8" w14:textId="77777777" w:rsidR="00790ADA" w:rsidRPr="00FB3A86" w:rsidRDefault="00790ADA" w:rsidP="00441B6F">
      <w:pPr>
        <w:pStyle w:val="Body"/>
        <w:spacing w:after="0"/>
        <w:rPr>
          <w:rFonts w:ascii="Arial" w:hAnsi="Arial" w:cs="Arial"/>
        </w:rPr>
      </w:pPr>
    </w:p>
    <w:p w14:paraId="0B2EA22C" w14:textId="71975186" w:rsidR="00790ADA" w:rsidRPr="00FB3A86" w:rsidRDefault="00902823" w:rsidP="00F32CE9">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r w:rsidR="007F7B32">
        <w:rPr>
          <w:rFonts w:ascii="Arial" w:hAnsi="Arial" w:cs="Arial"/>
        </w:rPr>
        <w:t xml:space="preserve"> </w:t>
      </w:r>
    </w:p>
    <w:p w14:paraId="0DE2A285" w14:textId="77777777" w:rsidR="00FE25CD" w:rsidRDefault="00FE25CD" w:rsidP="00F32CE9">
      <w:pPr>
        <w:tabs>
          <w:tab w:val="left" w:pos="360"/>
        </w:tabs>
        <w:jc w:val="both"/>
        <w:rPr>
          <w:rFonts w:ascii="Arial" w:hAnsi="Arial" w:cs="Arial"/>
          <w:b/>
          <w:caps/>
          <w:sz w:val="22"/>
          <w:szCs w:val="22"/>
        </w:rPr>
      </w:pPr>
    </w:p>
    <w:p w14:paraId="60A53B1C" w14:textId="67BB0CB0" w:rsidR="00505F06" w:rsidRDefault="00AA74E0" w:rsidP="00F32CE9">
      <w:pPr>
        <w:tabs>
          <w:tab w:val="left" w:pos="360"/>
        </w:tabs>
        <w:jc w:val="both"/>
        <w:rPr>
          <w:rFonts w:ascii="Arial" w:hAnsi="Arial" w:cs="Arial"/>
          <w:b/>
          <w:sz w:val="22"/>
          <w:szCs w:val="22"/>
        </w:rPr>
      </w:pPr>
      <w:r w:rsidRPr="00F32CE9">
        <w:rPr>
          <w:rFonts w:ascii="Arial" w:hAnsi="Arial" w:cs="Arial"/>
          <w:b/>
          <w:caps/>
          <w:sz w:val="22"/>
          <w:szCs w:val="22"/>
        </w:rPr>
        <w:t xml:space="preserve">2.1 </w:t>
      </w:r>
      <w:r w:rsidR="00F4361D" w:rsidRPr="00F4361D">
        <w:rPr>
          <w:rFonts w:ascii="Arial" w:hAnsi="Arial" w:cs="Arial"/>
          <w:b/>
          <w:sz w:val="22"/>
          <w:szCs w:val="22"/>
        </w:rPr>
        <w:t>GRAND THEORY</w:t>
      </w:r>
    </w:p>
    <w:p w14:paraId="62AC7A22" w14:textId="2BB7799B" w:rsidR="00F32CE9" w:rsidRPr="00F32CE9" w:rsidRDefault="00AA74E0" w:rsidP="00441B6F">
      <w:pPr>
        <w:pStyle w:val="Body"/>
        <w:spacing w:after="0"/>
        <w:rPr>
          <w:rFonts w:ascii="Arial" w:hAnsi="Arial" w:cs="Arial"/>
          <w:i/>
          <w:iCs/>
        </w:rPr>
      </w:pPr>
      <w:r w:rsidRPr="00F32CE9">
        <w:rPr>
          <w:rFonts w:ascii="Arial" w:hAnsi="Arial" w:cs="Arial"/>
          <w:b/>
        </w:rPr>
        <w:t>2.1.1</w:t>
      </w:r>
      <w:r w:rsidR="00F32CE9" w:rsidRPr="00F32CE9">
        <w:rPr>
          <w:rFonts w:ascii="Arial" w:hAnsi="Arial" w:cs="Arial"/>
          <w:b/>
        </w:rPr>
        <w:t xml:space="preserve"> </w:t>
      </w:r>
      <w:r w:rsidR="00F32CE9" w:rsidRPr="00F32CE9">
        <w:rPr>
          <w:rFonts w:ascii="Arial" w:hAnsi="Arial" w:cs="Arial"/>
          <w:b/>
          <w:i/>
          <w:iCs/>
        </w:rPr>
        <w:t>Signaling Theory</w:t>
      </w:r>
    </w:p>
    <w:p w14:paraId="1175F42C" w14:textId="041FE5D7" w:rsidR="00790ADA" w:rsidRDefault="000C522A" w:rsidP="00441B6F">
      <w:pPr>
        <w:pStyle w:val="Body"/>
        <w:spacing w:after="0"/>
        <w:rPr>
          <w:rFonts w:ascii="Arial" w:hAnsi="Arial" w:cs="Arial"/>
        </w:rPr>
      </w:pPr>
      <w:r w:rsidRPr="000C522A">
        <w:rPr>
          <w:rFonts w:ascii="Arial" w:hAnsi="Arial" w:cs="Arial"/>
        </w:rPr>
        <w:t>Signaling Theory (Spence, 1973) states that this theory is divided into two parties. The first party is management, which acts as the signal sender, and the second party is investors, who act as signal receivers. Spence's signaling theory (1973) defines a signal as an effort by the sender of information to accurately convey conditions to the other party so that the other party is interested in</w:t>
      </w:r>
      <w:r w:rsidR="006C3422">
        <w:rPr>
          <w:rFonts w:ascii="Arial" w:hAnsi="Arial" w:cs="Arial"/>
        </w:rPr>
        <w:t xml:space="preserve">. </w:t>
      </w:r>
      <w:r w:rsidRPr="000C522A">
        <w:rPr>
          <w:rFonts w:ascii="Arial" w:hAnsi="Arial" w:cs="Arial"/>
        </w:rPr>
        <w:t>Signaling theory explains that company management can send signals to shareholders about the company's future prospects through the information presented in financial reports.</w:t>
      </w:r>
    </w:p>
    <w:p w14:paraId="7C1C8B53" w14:textId="77777777" w:rsidR="002240D1" w:rsidRDefault="002240D1" w:rsidP="00441B6F">
      <w:pPr>
        <w:pStyle w:val="Body"/>
        <w:spacing w:after="0"/>
        <w:rPr>
          <w:rFonts w:ascii="Arial" w:hAnsi="Arial" w:cs="Arial"/>
          <w:b/>
          <w:caps/>
          <w:sz w:val="22"/>
          <w:szCs w:val="22"/>
        </w:rPr>
      </w:pPr>
    </w:p>
    <w:p w14:paraId="3951F126" w14:textId="2D283F99" w:rsidR="003730CB" w:rsidRPr="003730CB" w:rsidRDefault="000C522A" w:rsidP="00441B6F">
      <w:pPr>
        <w:pStyle w:val="Body"/>
        <w:spacing w:after="0"/>
        <w:rPr>
          <w:rFonts w:ascii="Arial" w:hAnsi="Arial" w:cs="Arial"/>
          <w:b/>
          <w:sz w:val="22"/>
          <w:szCs w:val="22"/>
        </w:rPr>
      </w:pPr>
      <w:r w:rsidRPr="00F32CE9">
        <w:rPr>
          <w:rFonts w:ascii="Arial" w:hAnsi="Arial" w:cs="Arial"/>
          <w:b/>
          <w:caps/>
          <w:sz w:val="22"/>
          <w:szCs w:val="22"/>
        </w:rPr>
        <w:t>2.</w:t>
      </w:r>
      <w:r>
        <w:rPr>
          <w:rFonts w:ascii="Arial" w:hAnsi="Arial" w:cs="Arial"/>
          <w:b/>
          <w:caps/>
          <w:sz w:val="22"/>
          <w:szCs w:val="22"/>
        </w:rPr>
        <w:t>2 R</w:t>
      </w:r>
      <w:r>
        <w:rPr>
          <w:rFonts w:ascii="Arial" w:hAnsi="Arial" w:cs="Arial"/>
          <w:b/>
          <w:sz w:val="22"/>
          <w:szCs w:val="22"/>
        </w:rPr>
        <w:t>elationship Between Variables</w:t>
      </w:r>
    </w:p>
    <w:p w14:paraId="2A592CA5" w14:textId="150D4663" w:rsidR="000C522A" w:rsidRPr="000C522A" w:rsidRDefault="000C522A" w:rsidP="00441B6F">
      <w:pPr>
        <w:pStyle w:val="Body"/>
        <w:spacing w:after="0"/>
        <w:rPr>
          <w:rFonts w:ascii="Arial" w:hAnsi="Arial" w:cs="Arial"/>
        </w:rPr>
      </w:pPr>
      <w:r w:rsidRPr="00F32CE9">
        <w:rPr>
          <w:rFonts w:ascii="Arial" w:hAnsi="Arial" w:cs="Arial"/>
          <w:b/>
        </w:rPr>
        <w:t>2.</w:t>
      </w:r>
      <w:r>
        <w:rPr>
          <w:rFonts w:ascii="Arial" w:hAnsi="Arial" w:cs="Arial"/>
          <w:b/>
        </w:rPr>
        <w:t>2</w:t>
      </w:r>
      <w:r w:rsidRPr="00F32CE9">
        <w:rPr>
          <w:rFonts w:ascii="Arial" w:hAnsi="Arial" w:cs="Arial"/>
          <w:b/>
        </w:rPr>
        <w:t xml:space="preserve">.1 </w:t>
      </w:r>
      <w:r w:rsidRPr="000C522A">
        <w:rPr>
          <w:rFonts w:ascii="Arial" w:hAnsi="Arial" w:cs="Arial"/>
          <w:b/>
          <w:bCs/>
        </w:rPr>
        <w:t>The Effect of Investment Decisions on Company Value</w:t>
      </w:r>
    </w:p>
    <w:p w14:paraId="3C816A6A" w14:textId="03AFFAC1" w:rsidR="000C522A" w:rsidRPr="000C522A" w:rsidRDefault="000C522A" w:rsidP="000C522A">
      <w:pPr>
        <w:pStyle w:val="Body"/>
        <w:spacing w:after="0"/>
        <w:rPr>
          <w:rFonts w:ascii="Arial" w:hAnsi="Arial" w:cs="Arial"/>
        </w:rPr>
      </w:pPr>
      <w:r w:rsidRPr="000C522A">
        <w:rPr>
          <w:rFonts w:ascii="Arial" w:hAnsi="Arial" w:cs="Arial"/>
        </w:rPr>
        <w:t>Investment decisions are the determination of fund allocation to various assets or projects to obtain future profits. According to Signaling Theory (Spence, 1973), investment decisions can be a positive signal to investors regarding the company's future growth prospects and performance. Appropriate investments reflect management's ability to optimize resources to create added value, thereby increasing investor confidence in the</w:t>
      </w:r>
      <w:r w:rsidR="006C3422">
        <w:rPr>
          <w:rFonts w:ascii="Arial" w:hAnsi="Arial" w:cs="Arial"/>
        </w:rPr>
        <w:fldChar w:fldCharType="begin" w:fldLock="1"/>
      </w:r>
      <w:r w:rsidR="006C3422">
        <w:rPr>
          <w:rFonts w:ascii="Arial" w:hAnsi="Arial" w:cs="Arial"/>
        </w:rPr>
        <w:instrText>ADDIN CSL_CITATION {"citationItems":[{"id":"ITEM-1","itemData":{"DOI":"10.47467/reslaj.v5i6.3804","ISSN":"2656-274X","abstract":" \r Company value is a certain condition of the company after several years of operation, which is an indicator of public trust in the company. The purpose of the study is to determine whether investment decisions in food and beverage companies listed on the IDX for the 2018-2021 period can affect company value through capital structure as an intervening variable. In this study using quantitative research. For the study, only 24 companies were selected from 32 food and beverage companies. Purposive sampling is the sampling method used in this study. Path Analysis is the method of analysis used. The results of the study show that Investment Decisions contribute to Company Value. Capital Structure is not able to be an intervening variable in the influence of investment decisions on Company Value.\r  Keywords: Investation decision; Capital Structure; The value of the company.","author":[{"dropping-particle":"","family":"Rizkiwati","given":"Nadila","non-dropping-particle":"","parse-names":false,"suffix":""},{"dropping-particle":"","family":"Anwar","given":"Muhadjir","non-dropping-particle":"","parse-names":false,"suffix":""}],"container-title":"Reslaj : Religion Education Social Laa Roiba Journal","id":"ITEM-1","issue":"6","issued":{"date-parts":[["2023"]]},"page":"3271-3282","title":"Pengaruh Keputusan Investasi terhadap Nilai Perusahaan dengan Struktur Modal sebagai Variabel Intervening pada Perusahaan Food &amp; Beverage yang Terdaftar di BEI","type":"article-journal","volume":"5"},"uris":["http://www.mendeley.com/documents/?uuid=323dbab5-1a04-401e-8cb2-3707de70c16b"]}],"mendeley":{"formattedCitation":"(Rizkiwati &amp; Anwar, 2023)","plainTextFormattedCitation":"(Rizkiwati &amp; Anwar, 2023)","previouslyFormattedCitation":"(Rizkiwati &amp; Anwar, 2023)"},"properties":{"noteIndex":0},"schema":"https://github.com/citation-style-language/schema/raw/master/csl-citation.json"}</w:instrText>
      </w:r>
      <w:r w:rsidR="006C3422">
        <w:rPr>
          <w:rFonts w:ascii="Arial" w:hAnsi="Arial" w:cs="Arial"/>
        </w:rPr>
        <w:fldChar w:fldCharType="separate"/>
      </w:r>
      <w:r w:rsidR="006C3422" w:rsidRPr="006C3422">
        <w:rPr>
          <w:rFonts w:ascii="Arial" w:hAnsi="Arial" w:cs="Arial"/>
          <w:noProof/>
        </w:rPr>
        <w:t>(Rizkiwati &amp; Anwar, 2023)</w:t>
      </w:r>
      <w:r w:rsidR="006C3422">
        <w:rPr>
          <w:rFonts w:ascii="Arial" w:hAnsi="Arial" w:cs="Arial"/>
        </w:rPr>
        <w:fldChar w:fldCharType="end"/>
      </w:r>
      <w:r w:rsidRPr="000C522A">
        <w:rPr>
          <w:rFonts w:ascii="Arial" w:hAnsi="Arial" w:cs="Arial"/>
        </w:rPr>
        <w:t>. This can increase market confidence, drive up stock prices, and ultimately increase company value. Previous studies</w:t>
      </w:r>
      <w:r w:rsidR="006C3422">
        <w:rPr>
          <w:rFonts w:ascii="Arial" w:hAnsi="Arial" w:cs="Arial"/>
        </w:rPr>
        <w:fldChar w:fldCharType="begin" w:fldLock="1"/>
      </w:r>
      <w:r w:rsidR="006C3422">
        <w:rPr>
          <w:rFonts w:ascii="Arial" w:hAnsi="Arial" w:cs="Arial"/>
        </w:rPr>
        <w:instrText>ADDIN CSL_CITATION {"citationItems":[{"id":"ITEM-1","itemData":{"abstract":"This research, aims to find out how the influence of Investment Decision, Sales Growth and Liquidity on Firm Value with Capital Structure as a Moderating Variable. This study uses a population of property and real estate companies listed on the Indonesia Stock Exchange from 2018 to 2021 which found 192 samples, according to the criteria needed in this study. This study used regression analysis. multiple linear with the results of research that investment decision has a positive effect on firm value, sales growth has a positive effect on firm value and liquidity has no positive effect on firm value. For the moderating variable, the capital structure cannot weaken the positive influence investment decision and liquidity on firm value. Capital structure can only weaken the positive influence of sales growth on firm value.","author":[{"dropping-particle":"","family":"Ningrum","given":"Garnis Mulya","non-dropping-particle":"","parse-names":false,"suffix":""},{"dropping-particle":"","family":"Ulfa","given":"","non-dropping-particle":"","parse-names":false,"suffix":""}],"container-title":"KLASSEN","id":"ITEM-1","issue":"2","issued":{"date-parts":[["2024"]]},"page":"77-90","title":"Pengaruh keputusan investasi, pertumbuhan penjualan dan likuiditas terhadap nilai perusahaan dengan struktur modal sebagai variabel moderasi","type":"article-journal","volume":"04"},"uris":["http://www.mendeley.com/documents/?uuid=c2de40fa-82ba-4ee3-b17a-8f872fc66d31"]}],"mendeley":{"formattedCitation":"(Ningrum &amp; Ulfa, 2024)","plainTextFormattedCitation":"(Ningrum &amp; Ulfa, 2024)","previouslyFormattedCitation":"(Ningrum &amp; Ulfa, 2024)"},"properties":{"noteIndex":0},"schema":"https://github.com/citation-style-language/schema/raw/master/csl-citation.json"}</w:instrText>
      </w:r>
      <w:r w:rsidR="006C3422">
        <w:rPr>
          <w:rFonts w:ascii="Arial" w:hAnsi="Arial" w:cs="Arial"/>
        </w:rPr>
        <w:fldChar w:fldCharType="separate"/>
      </w:r>
      <w:r w:rsidR="006C3422" w:rsidRPr="006C3422">
        <w:rPr>
          <w:rFonts w:ascii="Arial" w:hAnsi="Arial" w:cs="Arial"/>
          <w:noProof/>
        </w:rPr>
        <w:t>(Ningrum &amp; Ulfa, 2024)</w:t>
      </w:r>
      <w:r w:rsidR="006C3422">
        <w:rPr>
          <w:rFonts w:ascii="Arial" w:hAnsi="Arial" w:cs="Arial"/>
        </w:rPr>
        <w:fldChar w:fldCharType="end"/>
      </w:r>
      <w:r w:rsidRPr="000C522A">
        <w:rPr>
          <w:rFonts w:ascii="Arial" w:hAnsi="Arial" w:cs="Arial"/>
        </w:rPr>
        <w:t xml:space="preserve"> and </w:t>
      </w:r>
      <w:r w:rsidR="006C3422">
        <w:rPr>
          <w:rFonts w:ascii="Arial" w:hAnsi="Arial" w:cs="Arial"/>
        </w:rPr>
        <w:fldChar w:fldCharType="begin" w:fldLock="1"/>
      </w:r>
      <w:r w:rsidR="006C3422">
        <w:rPr>
          <w:rFonts w:ascii="Arial" w:hAnsi="Arial" w:cs="Arial"/>
        </w:rPr>
        <w:instrText>ADDIN CSL_CITATION {"citationItems":[{"id":"ITEM-1","itemData":{"author":[{"dropping-particle":"","family":"Mesrawati","given":"","non-dropping-particle":"","parse-names":false,"suffix":""},{"dropping-particle":"","family":"Clairine","given":"","non-dropping-particle":"","parse-names":false,"suffix":""},{"dropping-particle":"","family":"Benua","given":"Katrynie Mutiara","non-dropping-particle":"","parse-names":false,"suffix":""},{"dropping-particle":"","family":"Jonaltan","given":"Aprialdi","non-dropping-particle":"","parse-names":false,"suffix":""}],"id":"ITEM-1","issued":{"date-parts":[["2021"]]},"page":"157-165","title":"PENGARUH KEPUTUSAN INVESTASI, KEPUTUSAN PENDANAAN, DAN KEBIJAKAN DIVIDEN TERHADAP NILAI PERUSAHAAN KONSUMSI YANG TERDAFTAR DI BURSA EFEK INDONESIA PERIODE 2016-2018","type":"article-journal","volume":"15"},"uris":["http://www.mendeley.com/documents/?uuid=12192238-a882-4a6b-a495-8b62ea7754cd"]}],"mendeley":{"formattedCitation":"(Mesrawati et al., 2021)","plainTextFormattedCitation":"(Mesrawati et al., 2021)","previouslyFormattedCitation":"(Mesrawati et al., 2021)"},"properties":{"noteIndex":0},"schema":"https://github.com/citation-style-language/schema/raw/master/csl-citation.json"}</w:instrText>
      </w:r>
      <w:r w:rsidR="006C3422">
        <w:rPr>
          <w:rFonts w:ascii="Arial" w:hAnsi="Arial" w:cs="Arial"/>
        </w:rPr>
        <w:fldChar w:fldCharType="separate"/>
      </w:r>
      <w:r w:rsidR="006C3422" w:rsidRPr="006C3422">
        <w:rPr>
          <w:rFonts w:ascii="Arial" w:hAnsi="Arial" w:cs="Arial"/>
          <w:noProof/>
        </w:rPr>
        <w:t>(Mesrawati et al., 2021)</w:t>
      </w:r>
      <w:r w:rsidR="006C3422">
        <w:rPr>
          <w:rFonts w:ascii="Arial" w:hAnsi="Arial" w:cs="Arial"/>
        </w:rPr>
        <w:fldChar w:fldCharType="end"/>
      </w:r>
      <w:r w:rsidR="006C3422">
        <w:rPr>
          <w:rFonts w:ascii="Arial" w:hAnsi="Arial" w:cs="Arial"/>
        </w:rPr>
        <w:t xml:space="preserve"> </w:t>
      </w:r>
      <w:r w:rsidRPr="000C522A">
        <w:rPr>
          <w:rFonts w:ascii="Arial" w:hAnsi="Arial" w:cs="Arial"/>
        </w:rPr>
        <w:t>show that investment decisions have a significant positive effect on company value.</w:t>
      </w:r>
    </w:p>
    <w:p w14:paraId="4BDC4A7C" w14:textId="6718F172" w:rsidR="000C522A" w:rsidRPr="000C522A" w:rsidRDefault="000C522A" w:rsidP="000C522A">
      <w:pPr>
        <w:pStyle w:val="Body"/>
        <w:spacing w:after="0"/>
        <w:rPr>
          <w:rFonts w:ascii="Arial" w:hAnsi="Arial" w:cs="Arial"/>
        </w:rPr>
      </w:pPr>
      <w:r w:rsidRPr="000C522A">
        <w:rPr>
          <w:rFonts w:ascii="Arial" w:hAnsi="Arial" w:cs="Arial"/>
        </w:rPr>
        <w:t>H1: Investment decisions have a positive effect on company value.</w:t>
      </w:r>
    </w:p>
    <w:p w14:paraId="3B99E11E" w14:textId="77777777" w:rsidR="000C522A" w:rsidRDefault="000C522A" w:rsidP="00441B6F">
      <w:pPr>
        <w:pStyle w:val="Body"/>
        <w:spacing w:after="0"/>
        <w:rPr>
          <w:rFonts w:ascii="Arial" w:hAnsi="Arial" w:cs="Arial"/>
        </w:rPr>
      </w:pPr>
    </w:p>
    <w:p w14:paraId="581E2DA6" w14:textId="22EBC550" w:rsidR="000C522A" w:rsidRPr="000C522A" w:rsidRDefault="000C522A" w:rsidP="000C522A">
      <w:pPr>
        <w:pStyle w:val="Body"/>
        <w:spacing w:after="0"/>
        <w:rPr>
          <w:rFonts w:ascii="Arial" w:hAnsi="Arial" w:cs="Arial"/>
          <w:b/>
        </w:rPr>
      </w:pPr>
      <w:r w:rsidRPr="00F32CE9">
        <w:rPr>
          <w:rFonts w:ascii="Arial" w:hAnsi="Arial" w:cs="Arial"/>
          <w:b/>
        </w:rPr>
        <w:t>2.</w:t>
      </w:r>
      <w:r>
        <w:rPr>
          <w:rFonts w:ascii="Arial" w:hAnsi="Arial" w:cs="Arial"/>
          <w:b/>
        </w:rPr>
        <w:t>2</w:t>
      </w:r>
      <w:r w:rsidRPr="00F32CE9">
        <w:rPr>
          <w:rFonts w:ascii="Arial" w:hAnsi="Arial" w:cs="Arial"/>
          <w:b/>
        </w:rPr>
        <w:t>.</w:t>
      </w:r>
      <w:r>
        <w:rPr>
          <w:rFonts w:ascii="Arial" w:hAnsi="Arial" w:cs="Arial"/>
          <w:b/>
        </w:rPr>
        <w:t xml:space="preserve">2 </w:t>
      </w:r>
      <w:r w:rsidRPr="000C522A">
        <w:rPr>
          <w:rFonts w:ascii="Arial" w:hAnsi="Arial" w:cs="Arial"/>
          <w:b/>
          <w:bCs/>
        </w:rPr>
        <w:t>The Effect of Dividend Policy on Company Value</w:t>
      </w:r>
    </w:p>
    <w:p w14:paraId="18CA2EA5" w14:textId="61F27550" w:rsidR="000C522A" w:rsidRPr="000C522A" w:rsidRDefault="000C522A" w:rsidP="000C522A">
      <w:pPr>
        <w:pStyle w:val="Body"/>
        <w:spacing w:after="0"/>
        <w:rPr>
          <w:rFonts w:ascii="Arial" w:hAnsi="Arial" w:cs="Arial"/>
        </w:rPr>
      </w:pPr>
      <w:r w:rsidRPr="000C522A">
        <w:rPr>
          <w:rFonts w:ascii="Arial" w:hAnsi="Arial" w:cs="Arial"/>
        </w:rPr>
        <w:t xml:space="preserve">Dividend policy is a management decision regarding the distribution of profits to shareholders. Stable dividend payments are a positive signal that the company is healthy and capable of maintaining its performance. Based on Signaling Theory (Spence, 1973), dividend distribution is seen as a positive signal that indicates the company's stable financial condition and ability to generate sustainable cash flow. Research </w:t>
      </w:r>
      <w:r w:rsidR="006C3422">
        <w:rPr>
          <w:rFonts w:ascii="Arial" w:hAnsi="Arial" w:cs="Arial"/>
        </w:rPr>
        <w:fldChar w:fldCharType="begin" w:fldLock="1"/>
      </w:r>
      <w:r w:rsidR="006C3422">
        <w:rPr>
          <w:rFonts w:ascii="Arial" w:hAnsi="Arial" w:cs="Arial"/>
        </w:rPr>
        <w:instrText>ADDIN CSL_CITATION {"citationItems":[{"id":"ITEM-1","itemData":{"ISSN":"2548-7507","abstract":"This study intends to check the impact of sales growth, profitability, liquidity, and dividend policy on firm value on manufacturing companies listed on the IDX. The sample of 36 research companies listed on the Indonesia Stock Exchange 2015-2017. The independent variable is sales growth, profitability, liquidity, dividend policy. While the dependent variable is firm value. The way to choose samples is purposive sampling. Analysis of data with multiple linear regression, the results of this study prove that sales growth partially has no impact and is not significant to the value of the company with a significant amount of 0.176. Profitability is partially positive and significant impact on the value of the company with a significant amount of 0,000. Liquidity partially has no impact and is not significant in firm value with a significant amount of 0.108. Dividend policy is partially positive and significant impact on the value of the company with a significant amount of 0,000","author":[{"dropping-particle":"","family":"Tamba","given":"Elyda Crisna","non-dropping-particle":"","parse-names":false,"suffix":""},{"dropping-particle":"","family":"Pandiangan","given":"Lasmian","non-dropping-particle":"","parse-names":false,"suffix":""},{"dropping-particle":"","family":"Ginting","given":"Riva Novia","non-dropping-particle":"","parse-names":false,"suffix":""},{"dropping-particle":"","family":"Sitepu","given":"Wilsa Road Betterment","non-dropping-particle":"","parse-names":false,"suffix":""}],"container-title":"Owner (Riset dan Jurnal Akuntansi)","id":"ITEM-1","issue":"2","issued":{"date-parts":[["2020"]]},"page":"485","title":"Pengaruh Pertumbuhan Penjualan, Profitabilitas, Likuiditas dan Kebijakan Dividen terhadap Nilai Perusahaan Manufaktur di BEI","type":"article-journal","volume":"4"},"uris":["http://www.mendeley.com/documents/?uuid=b2b7051b-c939-4ef3-a98d-1f96e1f50c54"]}],"mendeley":{"formattedCitation":"(Tamba et al., 2020)","plainTextFormattedCitation":"(Tamba et al., 2020)","previouslyFormattedCitation":"(Tamba et al., 2020)"},"properties":{"noteIndex":0},"schema":"https://github.com/citation-style-language/schema/raw/master/csl-citation.json"}</w:instrText>
      </w:r>
      <w:r w:rsidR="006C3422">
        <w:rPr>
          <w:rFonts w:ascii="Arial" w:hAnsi="Arial" w:cs="Arial"/>
        </w:rPr>
        <w:fldChar w:fldCharType="separate"/>
      </w:r>
      <w:r w:rsidR="006C3422" w:rsidRPr="006C3422">
        <w:rPr>
          <w:rFonts w:ascii="Arial" w:hAnsi="Arial" w:cs="Arial"/>
          <w:noProof/>
        </w:rPr>
        <w:t>(Tamba et al., 2020)</w:t>
      </w:r>
      <w:r w:rsidR="006C3422">
        <w:rPr>
          <w:rFonts w:ascii="Arial" w:hAnsi="Arial" w:cs="Arial"/>
        </w:rPr>
        <w:fldChar w:fldCharType="end"/>
      </w:r>
      <w:r w:rsidRPr="000C522A">
        <w:rPr>
          <w:rFonts w:ascii="Arial" w:hAnsi="Arial" w:cs="Arial"/>
        </w:rPr>
        <w:t xml:space="preserve"> and </w:t>
      </w:r>
      <w:r w:rsidR="006C3422">
        <w:rPr>
          <w:rFonts w:ascii="Arial" w:hAnsi="Arial" w:cs="Arial"/>
        </w:rPr>
        <w:fldChar w:fldCharType="begin" w:fldLock="1"/>
      </w:r>
      <w:r w:rsidR="006C3422">
        <w:rPr>
          <w:rFonts w:ascii="Arial" w:hAnsi="Arial" w:cs="Arial"/>
        </w:rPr>
        <w:instrText>ADDIN CSL_CITATION {"citationItems":[{"id":"ITEM-1","itemData":{"author":[{"dropping-particle":"","family":"Nugraha","given":"Nugi Mohammad","non-dropping-particle":"","parse-names":false,"suffix":""},{"dropping-particle":"","family":"Novan","given":"Deden","non-dropping-particle":"","parse-names":false,"suffix":""},{"dropping-particle":"","family":"Nugraha","given":"Setiawan","non-dropping-particle":"","parse-names":false,"suffix":""},{"dropping-particle":"","family":"Sapitri","given":"Sela","non-dropping-particle":"","parse-names":false,"suffix":""}],"id":"ITEM-1","issued":{"date-parts":[["2020"]]},"title":"The Effect of Funding , Investment and Dividend Policies on Firm Value in the Manufacturing Industry Sectors","type":"article-journal"},"uris":["http://www.mendeley.com/documents/?uuid=eabe202e-9a5e-49da-b48e-45555097748f"]}],"mendeley":{"formattedCitation":"(Nugraha et al., 2020)","plainTextFormattedCitation":"(Nugraha et al., 2020)","previouslyFormattedCitation":"(Nugraha et al., 2020)"},"properties":{"noteIndex":0},"schema":"https://github.com/citation-style-language/schema/raw/master/csl-citation.json"}</w:instrText>
      </w:r>
      <w:r w:rsidR="006C3422">
        <w:rPr>
          <w:rFonts w:ascii="Arial" w:hAnsi="Arial" w:cs="Arial"/>
        </w:rPr>
        <w:fldChar w:fldCharType="separate"/>
      </w:r>
      <w:r w:rsidR="006C3422" w:rsidRPr="006C3422">
        <w:rPr>
          <w:rFonts w:ascii="Arial" w:hAnsi="Arial" w:cs="Arial"/>
          <w:noProof/>
        </w:rPr>
        <w:t>(Nugraha et al., 2020)</w:t>
      </w:r>
      <w:r w:rsidR="006C3422">
        <w:rPr>
          <w:rFonts w:ascii="Arial" w:hAnsi="Arial" w:cs="Arial"/>
        </w:rPr>
        <w:fldChar w:fldCharType="end"/>
      </w:r>
      <w:r w:rsidRPr="000C522A">
        <w:rPr>
          <w:rFonts w:ascii="Arial" w:hAnsi="Arial" w:cs="Arial"/>
        </w:rPr>
        <w:t xml:space="preserve"> found that dividend policy has a significant positive effect on company value. Companies with stable dividend policies signal confidence to the market regarding management performance and financial health.</w:t>
      </w:r>
    </w:p>
    <w:p w14:paraId="1F6C34A7" w14:textId="513725F4" w:rsidR="000C522A" w:rsidRPr="000C522A" w:rsidRDefault="000C522A" w:rsidP="000C522A">
      <w:pPr>
        <w:pStyle w:val="Body"/>
        <w:spacing w:after="0"/>
        <w:rPr>
          <w:rFonts w:ascii="Arial" w:hAnsi="Arial" w:cs="Arial"/>
        </w:rPr>
      </w:pPr>
      <w:r w:rsidRPr="000C522A">
        <w:rPr>
          <w:rFonts w:ascii="Arial" w:hAnsi="Arial" w:cs="Arial"/>
        </w:rPr>
        <w:t>H2: Dividend policy has a positive effect on company value.</w:t>
      </w:r>
    </w:p>
    <w:p w14:paraId="17DCD71F" w14:textId="77777777" w:rsidR="000C522A" w:rsidRDefault="000C522A" w:rsidP="00441B6F">
      <w:pPr>
        <w:pStyle w:val="Body"/>
        <w:spacing w:after="0"/>
        <w:rPr>
          <w:rFonts w:ascii="Arial" w:hAnsi="Arial" w:cs="Arial"/>
        </w:rPr>
      </w:pPr>
    </w:p>
    <w:p w14:paraId="73490AAE" w14:textId="5E0C12FF" w:rsidR="000C522A" w:rsidRPr="000C522A" w:rsidRDefault="000C522A" w:rsidP="000C522A">
      <w:pPr>
        <w:pStyle w:val="Body"/>
        <w:spacing w:after="0"/>
        <w:rPr>
          <w:rFonts w:ascii="Arial" w:hAnsi="Arial" w:cs="Arial"/>
          <w:b/>
        </w:rPr>
      </w:pPr>
      <w:r w:rsidRPr="00F32CE9">
        <w:rPr>
          <w:rFonts w:ascii="Arial" w:hAnsi="Arial" w:cs="Arial"/>
          <w:b/>
        </w:rPr>
        <w:t>2.</w:t>
      </w:r>
      <w:r>
        <w:rPr>
          <w:rFonts w:ascii="Arial" w:hAnsi="Arial" w:cs="Arial"/>
          <w:b/>
        </w:rPr>
        <w:t>2</w:t>
      </w:r>
      <w:r w:rsidRPr="00F32CE9">
        <w:rPr>
          <w:rFonts w:ascii="Arial" w:hAnsi="Arial" w:cs="Arial"/>
          <w:b/>
        </w:rPr>
        <w:t>.</w:t>
      </w:r>
      <w:r>
        <w:rPr>
          <w:rFonts w:ascii="Arial" w:hAnsi="Arial" w:cs="Arial"/>
          <w:b/>
        </w:rPr>
        <w:t xml:space="preserve">3 </w:t>
      </w:r>
      <w:r w:rsidRPr="000C522A">
        <w:rPr>
          <w:rFonts w:ascii="Arial" w:hAnsi="Arial" w:cs="Arial"/>
          <w:b/>
          <w:bCs/>
        </w:rPr>
        <w:t>The Effect of Sales Growth on Company Value</w:t>
      </w:r>
    </w:p>
    <w:p w14:paraId="542BA740" w14:textId="2143C0E2" w:rsidR="000C522A" w:rsidRPr="000C522A" w:rsidRDefault="000C522A" w:rsidP="000C522A">
      <w:pPr>
        <w:pStyle w:val="Body"/>
        <w:spacing w:after="0"/>
        <w:rPr>
          <w:rFonts w:ascii="Arial" w:hAnsi="Arial" w:cs="Arial"/>
        </w:rPr>
      </w:pPr>
      <w:r w:rsidRPr="000C522A">
        <w:rPr>
          <w:rFonts w:ascii="Arial" w:hAnsi="Arial" w:cs="Arial"/>
        </w:rPr>
        <w:t xml:space="preserve">Sales growth reflects a company's success in improving its operational performance and competitiveness in the market. Increased sales indicate that the products or services offered are well received by consumers, which ultimately strengthens the company's financial position. According to Signaling Theory (Spence, 1973), sales growth can be a positive signal to investors regarding the company's long-term prospects. The higher the sales growth rate, the greater the potential for increased profits and company value </w:t>
      </w:r>
      <w:r w:rsidR="006C3422">
        <w:rPr>
          <w:rFonts w:ascii="Arial" w:hAnsi="Arial" w:cs="Arial"/>
        </w:rPr>
        <w:fldChar w:fldCharType="begin" w:fldLock="1"/>
      </w:r>
      <w:r w:rsidR="006C3422">
        <w:rPr>
          <w:rFonts w:ascii="Arial" w:hAnsi="Arial" w:cs="Arial"/>
        </w:rPr>
        <w:instrText>ADDIN CSL_CITATION {"citationItems":[{"id":"ITEM-1","itemData":{"author":[{"dropping-particle":"","family":"Wijaya","given":"","non-dropping-particle":"","parse-names":false,"suffix":""}],"container-title":"JUIMA","id":"ITEM-1","issue":"2","issued":{"date-parts":[["2019"]]},"title":"PENGARUH PERTUMBUHAN PENJUALAN TERHADAP NILAI PERUSAHAAN DENGAN STRUKTUR MODAL SEBAGAI VARIABEL INTERVENING","type":"article-journal","volume":"9"},"uris":["http://www.mendeley.com/documents/?uuid=483dd43d-222d-4bfb-9568-b26ed0bf7ad2"]}],"mendeley":{"formattedCitation":"(Wijaya, 2019)","plainTextFormattedCitation":"(Wijaya, 2019)","previouslyFormattedCitation":"(Wijaya, 2019)"},"properties":{"noteIndex":0},"schema":"https://github.com/citation-style-language/schema/raw/master/csl-citation.json"}</w:instrText>
      </w:r>
      <w:r w:rsidR="006C3422">
        <w:rPr>
          <w:rFonts w:ascii="Arial" w:hAnsi="Arial" w:cs="Arial"/>
        </w:rPr>
        <w:fldChar w:fldCharType="separate"/>
      </w:r>
      <w:r w:rsidR="006C3422" w:rsidRPr="006C3422">
        <w:rPr>
          <w:rFonts w:ascii="Arial" w:hAnsi="Arial" w:cs="Arial"/>
          <w:noProof/>
        </w:rPr>
        <w:t>(Wijaya, 2019)</w:t>
      </w:r>
      <w:r w:rsidR="006C3422">
        <w:rPr>
          <w:rFonts w:ascii="Arial" w:hAnsi="Arial" w:cs="Arial"/>
        </w:rPr>
        <w:fldChar w:fldCharType="end"/>
      </w:r>
      <w:r w:rsidR="006C3422">
        <w:rPr>
          <w:rFonts w:ascii="Arial" w:hAnsi="Arial" w:cs="Arial"/>
        </w:rPr>
        <w:t xml:space="preserve">. </w:t>
      </w:r>
      <w:r w:rsidRPr="000C522A">
        <w:rPr>
          <w:rFonts w:ascii="Arial" w:hAnsi="Arial" w:cs="Arial"/>
        </w:rPr>
        <w:t xml:space="preserve">Research </w:t>
      </w:r>
      <w:r w:rsidR="006C3422" w:rsidRPr="006C3422">
        <w:rPr>
          <w:rFonts w:ascii="Arial" w:hAnsi="Arial" w:cs="Arial"/>
        </w:rPr>
        <w:fldChar w:fldCharType="begin" w:fldLock="1"/>
      </w:r>
      <w:r w:rsidR="006C3422">
        <w:rPr>
          <w:rFonts w:ascii="Arial" w:hAnsi="Arial" w:cs="Arial"/>
        </w:rPr>
        <w:instrText>ADDIN CSL_CITATION {"citationItems":[{"id":"ITEM-1","itemData":{"abstract":"This research aimed to find out the effect of profitability and investment decisions on the firm value with capital structure as a moderating variable. The research was quantitative. Moreover, the data collection technique used purposive sampling. In line with that, there were 130 samples from 26 companies. The population was Food and Beverage companies listed on the Indonesia Stock Exchange (IDX) 2017-2021. Furthermore, profitability was referred to as ROA, investment decisions was referred to as CPB/BVA, firm value was referred to as PBV, and capital structure was referred to as DER. The data analysis technique used Moderated Regression Analysis (MRA) with SPSS 26. The result concluded that (1) profitability had a positive effect on firm value. It meant the rise of profitability changed firm value with a significance of 0.000, (2) investment decisions did not affect firm value. This meant investment decisions had insignificant effect on firm value with a significance of 0.592, (3) capital structure moderated the effect of profitability on firm value with a significance of 0.001, and (4) capital structure moderated the effect of investment decisions on firm value with a significance of 0.007.","author":[{"dropping-particle":"","family":"Fitriani","given":"Shalsabila","non-dropping-particle":"","parse-names":false,"suffix":""},{"dropping-particle":"","family":"Asyik","given":"Nur Fadjrih","non-dropping-particle":"","parse-names":false,"suffix":""}],"id":"ITEM-1","issued":{"date-parts":[["2023"]]},"page":"2-19","title":"Pengaruh Profitabilitas Dan Keputusan Investasi Terhadap Nilai Perusahaan Dengan Struktur Modal Sebagai Variabel Pemoderasi","type":"article-journal"},"uris":["http://www.mendeley.com/documents/?uuid=a158555a-e0af-4df6-87a8-3b9191b8a804"]}],"mendeley":{"formattedCitation":"(Fitriani &amp; Asyik, 2023)","plainTextFormattedCitation":"(Fitriani &amp; Asyik, 2023)","previouslyFormattedCitation":"(Fitriani &amp; Asyik, 2023)"},"properties":{"noteIndex":0},"schema":"https://github.com/citation-style-language/schema/raw/master/csl-citation.json"}</w:instrText>
      </w:r>
      <w:r w:rsidR="006C3422" w:rsidRPr="006C3422">
        <w:rPr>
          <w:rFonts w:ascii="Arial" w:hAnsi="Arial" w:cs="Arial"/>
        </w:rPr>
        <w:fldChar w:fldCharType="separate"/>
      </w:r>
      <w:r w:rsidR="006C3422" w:rsidRPr="006C3422">
        <w:rPr>
          <w:rFonts w:ascii="Arial" w:hAnsi="Arial" w:cs="Arial"/>
          <w:noProof/>
        </w:rPr>
        <w:t>(Fitriani &amp; Asyik, 2023)</w:t>
      </w:r>
      <w:r w:rsidR="006C3422" w:rsidRPr="006C3422">
        <w:rPr>
          <w:rFonts w:ascii="Arial" w:hAnsi="Arial" w:cs="Arial"/>
        </w:rPr>
        <w:fldChar w:fldCharType="end"/>
      </w:r>
      <w:r w:rsidRPr="000C522A">
        <w:rPr>
          <w:rFonts w:ascii="Arial" w:hAnsi="Arial" w:cs="Arial"/>
        </w:rPr>
        <w:t xml:space="preserve"> and </w:t>
      </w:r>
      <w:r w:rsidR="006C3422">
        <w:rPr>
          <w:rFonts w:ascii="Arial" w:hAnsi="Arial" w:cs="Arial"/>
        </w:rPr>
        <w:fldChar w:fldCharType="begin" w:fldLock="1"/>
      </w:r>
      <w:r w:rsidR="006C3422">
        <w:rPr>
          <w:rFonts w:ascii="Arial" w:hAnsi="Arial" w:cs="Arial"/>
        </w:rPr>
        <w:instrText>ADDIN CSL_CITATION {"citationItems":[{"id":"ITEM-1","itemData":{"author":[{"dropping-particle":"","family":"Elisa","given":"siti nur","non-dropping-particle":"","parse-names":false,"suffix":""},{"dropping-particle":"","family":"Amanah","given":"Lailatul","non-dropping-particle":"","parse-names":false,"suffix":""}],"container-title":"jurnal Ilmu dan Riset Akuntansi","id":"ITEM-1","issued":{"date-parts":[["2019"]]},"title":"Pengaruh kinerja keuangan , ukuran perusahaan dan pertumbuhan penjualan terhadap nilai perusahaan","type":"article-journal"},"uris":["http://www.mendeley.com/documents/?uuid=ce1231dd-2faa-40f3-ab03-1d574a9c1814"]}],"mendeley":{"formattedCitation":"(Elisa &amp; Amanah, 2019)","plainTextFormattedCitation":"(Elisa &amp; Amanah, 2019)","previouslyFormattedCitation":"(Elisa &amp; Amanah, 2019)"},"properties":{"noteIndex":0},"schema":"https://github.com/citation-style-language/schema/raw/master/csl-citation.json"}</w:instrText>
      </w:r>
      <w:r w:rsidR="006C3422">
        <w:rPr>
          <w:rFonts w:ascii="Arial" w:hAnsi="Arial" w:cs="Arial"/>
        </w:rPr>
        <w:fldChar w:fldCharType="separate"/>
      </w:r>
      <w:r w:rsidR="006C3422" w:rsidRPr="006C3422">
        <w:rPr>
          <w:rFonts w:ascii="Arial" w:hAnsi="Arial" w:cs="Arial"/>
          <w:noProof/>
        </w:rPr>
        <w:t>(Elisa &amp; Amanah, 2019)</w:t>
      </w:r>
      <w:r w:rsidR="006C3422">
        <w:rPr>
          <w:rFonts w:ascii="Arial" w:hAnsi="Arial" w:cs="Arial"/>
        </w:rPr>
        <w:fldChar w:fldCharType="end"/>
      </w:r>
      <w:r w:rsidRPr="000C522A">
        <w:rPr>
          <w:rFonts w:ascii="Arial" w:hAnsi="Arial" w:cs="Arial"/>
        </w:rPr>
        <w:t xml:space="preserve"> proves that there is a significant positive influence between sales growth and company value. Quality sales growth, which is accompanied by increased profitability and operational efficiency, will be more capable of increasing company value.</w:t>
      </w:r>
    </w:p>
    <w:p w14:paraId="29BC2DC6" w14:textId="4F1C24D2" w:rsidR="000C522A" w:rsidRPr="000C522A" w:rsidRDefault="000C522A" w:rsidP="000C522A">
      <w:pPr>
        <w:pStyle w:val="Body"/>
        <w:spacing w:after="0"/>
        <w:rPr>
          <w:rFonts w:ascii="Arial" w:hAnsi="Arial" w:cs="Arial"/>
        </w:rPr>
      </w:pPr>
      <w:r w:rsidRPr="000C522A">
        <w:rPr>
          <w:rFonts w:ascii="Arial" w:hAnsi="Arial" w:cs="Arial"/>
        </w:rPr>
        <w:t>H3: Sales growth has a positive effect on company value.</w:t>
      </w:r>
    </w:p>
    <w:p w14:paraId="3334D182" w14:textId="77777777" w:rsidR="000C522A" w:rsidRPr="000C522A" w:rsidRDefault="000C522A" w:rsidP="000C522A">
      <w:pPr>
        <w:pStyle w:val="Body"/>
        <w:spacing w:after="0"/>
        <w:rPr>
          <w:rFonts w:ascii="Arial" w:hAnsi="Arial" w:cs="Arial"/>
        </w:rPr>
      </w:pPr>
    </w:p>
    <w:p w14:paraId="1FAADDE2" w14:textId="77777777" w:rsidR="00FE25CD" w:rsidRDefault="00FE25CD" w:rsidP="00441B6F">
      <w:pPr>
        <w:pStyle w:val="Body"/>
        <w:spacing w:after="0"/>
        <w:rPr>
          <w:rFonts w:ascii="Arial" w:hAnsi="Arial" w:cs="Arial"/>
          <w:b/>
        </w:rPr>
      </w:pPr>
    </w:p>
    <w:p w14:paraId="62B0EBA7" w14:textId="74EC133C" w:rsidR="000C522A" w:rsidRPr="000C522A" w:rsidRDefault="000C522A" w:rsidP="00441B6F">
      <w:pPr>
        <w:pStyle w:val="Body"/>
        <w:spacing w:after="0"/>
        <w:rPr>
          <w:rFonts w:ascii="Arial" w:hAnsi="Arial" w:cs="Arial"/>
          <w:b/>
          <w:bCs/>
        </w:rPr>
      </w:pPr>
      <w:r w:rsidRPr="00F32CE9">
        <w:rPr>
          <w:rFonts w:ascii="Arial" w:hAnsi="Arial" w:cs="Arial"/>
          <w:b/>
        </w:rPr>
        <w:t>2.</w:t>
      </w:r>
      <w:r>
        <w:rPr>
          <w:rFonts w:ascii="Arial" w:hAnsi="Arial" w:cs="Arial"/>
          <w:b/>
        </w:rPr>
        <w:t>2</w:t>
      </w:r>
      <w:r w:rsidRPr="00F32CE9">
        <w:rPr>
          <w:rFonts w:ascii="Arial" w:hAnsi="Arial" w:cs="Arial"/>
          <w:b/>
        </w:rPr>
        <w:t>.</w:t>
      </w:r>
      <w:r>
        <w:rPr>
          <w:rFonts w:ascii="Arial" w:hAnsi="Arial" w:cs="Arial"/>
          <w:b/>
        </w:rPr>
        <w:t xml:space="preserve">4 </w:t>
      </w:r>
      <w:r w:rsidRPr="000C522A">
        <w:rPr>
          <w:rFonts w:ascii="Arial" w:hAnsi="Arial" w:cs="Arial"/>
          <w:b/>
          <w:bCs/>
        </w:rPr>
        <w:t>Investment Decisions on Company Value with Capital Structure as a Moderator</w:t>
      </w:r>
    </w:p>
    <w:p w14:paraId="6B6D678F" w14:textId="77926F00" w:rsidR="000C522A" w:rsidRPr="000C522A" w:rsidRDefault="000C522A" w:rsidP="000C522A">
      <w:pPr>
        <w:pStyle w:val="Body"/>
        <w:spacing w:after="0"/>
        <w:rPr>
          <w:rFonts w:ascii="Arial" w:hAnsi="Arial" w:cs="Arial"/>
        </w:rPr>
      </w:pPr>
      <w:r w:rsidRPr="000C522A">
        <w:rPr>
          <w:rFonts w:ascii="Arial" w:hAnsi="Arial" w:cs="Arial"/>
        </w:rPr>
        <w:t xml:space="preserve">Capital structure refers to the composition of debt and equity used by companies to finance operational activities and business development. Through optimal capital structure management, companies can obtain funds to increase productive assets, expand business </w:t>
      </w:r>
      <w:r w:rsidRPr="000C522A">
        <w:rPr>
          <w:rFonts w:ascii="Arial" w:hAnsi="Arial" w:cs="Arial"/>
        </w:rPr>
        <w:lastRenderedPageBreak/>
        <w:t>activities, and increase company value. Based on the Signaling Theory proposed by Spence (1973), a company's capital structure and investment decisions serve as signals to investors regarding management's confidence in the company's prospects. When a company is able to maintain a stable capital structure and allocate its investments efficiently to value-added assets, this reflects management's ability to manage resources to support future growth and increase company value. Research</w:t>
      </w:r>
      <w:r w:rsidR="006C3422">
        <w:rPr>
          <w:rFonts w:ascii="Arial" w:hAnsi="Arial" w:cs="Arial"/>
        </w:rPr>
        <w:t xml:space="preserve"> </w:t>
      </w:r>
      <w:r w:rsidRPr="000C522A">
        <w:rPr>
          <w:rFonts w:ascii="Arial" w:hAnsi="Arial" w:cs="Arial"/>
        </w:rPr>
        <w:t xml:space="preserve"> </w:t>
      </w:r>
      <w:r w:rsidR="006C3422">
        <w:rPr>
          <w:rFonts w:ascii="Arial" w:hAnsi="Arial" w:cs="Arial"/>
        </w:rPr>
        <w:fldChar w:fldCharType="begin" w:fldLock="1"/>
      </w:r>
      <w:r w:rsidR="006C3422">
        <w:rPr>
          <w:rFonts w:ascii="Arial" w:hAnsi="Arial" w:cs="Arial"/>
        </w:rPr>
        <w:instrText>ADDIN CSL_CITATION {"citationItems":[{"id":"ITEM-1","itemData":{"DOI":"10.33395/owner.v6i2.785","ISSN":"2548-7507","abstract":"The purpose of this study is to determine the influence of company size, profitability, and investment decisions on the value of the company by presenting the capital structure as a moderation variable. This study used the population of food and beverage sub-sector manufacturing companies listed on the Indonesia Stock Exchange in 2017-2019. Sampling techniques using Purposive Sampling techniques using the criteria of food and beverage sub-sector manufacturing companies listed consecutively on the Indonesia Stock Exchange from the period from 2017-2019 so that as many as 24 samples of companies with the number of analysis units as many as 72. The method used in this study is regression moderation analysis with interaction tests. Secondary data in the form of financial statements used in this study. The IBM SPSS Statistics 21 application is used as an analysis tool. Results from research show that the size of the company, and profitability have a significant effect on the value of the company. Investment decisions have no significant effect on the value of the company. The capital structure is also unable to moderate significantly the influence of the size of the company on the value of the company. But the capital structure can significantly moderate profitability and investment decisions to the value of the company. Suggestions for researchers can further increase or replace the sample of companies in other sectors. In addition, it can also add other variables that can affect the value of the company, so it is expected that research into the value of the company continues to grow.","author":[{"dropping-particle":"","family":"Arsyada","given":"Adam Bangkit","non-dropping-particle":"","parse-names":false,"suffix":""},{"dropping-particle":"","family":"Sukirman","given":"Sukirman","non-dropping-particle":"","parse-names":false,"suffix":""},{"dropping-particle":"","family":"Wahyuningrum","given":"Indah Fajarini Sri","non-dropping-particle":"","parse-names":false,"suffix":""}],"container-title":"Owner","id":"ITEM-1","issue":"2","issued":{"date-parts":[["2022"]]},"page":"1648-1663","title":"Pengaruh Ukuran Perusahaan, Profitabilitas, Dan Keputusan Investasi Terhadap Nilai Perusahaan Dengan Struktur Modal Sebagai Variabel Moderating","type":"article-journal","volume":"6"},"uris":["http://www.mendeley.com/documents/?uuid=4eb8501a-90e0-4076-a10c-9d6645011e93"]}],"mendeley":{"formattedCitation":"(Arsyada et al., 2022)","plainTextFormattedCitation":"(Arsyada et al., 2022)","previouslyFormattedCitation":"(Arsyada et al., 2022)"},"properties":{"noteIndex":0},"schema":"https://github.com/citation-style-language/schema/raw/master/csl-citation.json"}</w:instrText>
      </w:r>
      <w:r w:rsidR="006C3422">
        <w:rPr>
          <w:rFonts w:ascii="Arial" w:hAnsi="Arial" w:cs="Arial"/>
        </w:rPr>
        <w:fldChar w:fldCharType="separate"/>
      </w:r>
      <w:r w:rsidR="006C3422" w:rsidRPr="006C3422">
        <w:rPr>
          <w:rFonts w:ascii="Arial" w:hAnsi="Arial" w:cs="Arial"/>
          <w:noProof/>
        </w:rPr>
        <w:t>(Arsyada et al., 2022)</w:t>
      </w:r>
      <w:r w:rsidR="006C3422">
        <w:rPr>
          <w:rFonts w:ascii="Arial" w:hAnsi="Arial" w:cs="Arial"/>
        </w:rPr>
        <w:fldChar w:fldCharType="end"/>
      </w:r>
      <w:r w:rsidR="006C3422">
        <w:rPr>
          <w:rFonts w:ascii="Arial" w:hAnsi="Arial" w:cs="Arial"/>
        </w:rPr>
        <w:t xml:space="preserve"> </w:t>
      </w:r>
      <w:r w:rsidRPr="000C522A">
        <w:rPr>
          <w:rFonts w:ascii="Arial" w:hAnsi="Arial" w:cs="Arial"/>
        </w:rPr>
        <w:t>proves that capital structure strengthens the relationship between investment and company value.</w:t>
      </w:r>
    </w:p>
    <w:p w14:paraId="5F2AB70F" w14:textId="62878971" w:rsidR="000C522A" w:rsidRPr="000C522A" w:rsidRDefault="000C522A" w:rsidP="000C522A">
      <w:pPr>
        <w:pStyle w:val="Body"/>
        <w:spacing w:after="0"/>
        <w:rPr>
          <w:rFonts w:ascii="Arial" w:hAnsi="Arial" w:cs="Arial"/>
        </w:rPr>
      </w:pPr>
      <w:r w:rsidRPr="000C522A">
        <w:rPr>
          <w:rFonts w:ascii="Arial" w:hAnsi="Arial" w:cs="Arial"/>
        </w:rPr>
        <w:t>H4: Capital structure can moderate investment decisions on company value.</w:t>
      </w:r>
    </w:p>
    <w:p w14:paraId="04BD99B0" w14:textId="77777777" w:rsidR="000C522A" w:rsidRDefault="000C522A" w:rsidP="000C522A">
      <w:pPr>
        <w:pStyle w:val="Body"/>
        <w:spacing w:after="0"/>
        <w:rPr>
          <w:rFonts w:ascii="Arial" w:hAnsi="Arial" w:cs="Arial"/>
        </w:rPr>
      </w:pPr>
    </w:p>
    <w:p w14:paraId="56B4D0C7" w14:textId="5718AA3C" w:rsidR="000C522A" w:rsidRPr="000C522A" w:rsidRDefault="000C522A" w:rsidP="000C522A">
      <w:pPr>
        <w:pStyle w:val="Body"/>
        <w:spacing w:after="0"/>
        <w:rPr>
          <w:rFonts w:ascii="Arial" w:hAnsi="Arial" w:cs="Arial"/>
        </w:rPr>
      </w:pPr>
      <w:r w:rsidRPr="00F32CE9">
        <w:rPr>
          <w:rFonts w:ascii="Arial" w:hAnsi="Arial" w:cs="Arial"/>
          <w:b/>
        </w:rPr>
        <w:t>2.</w:t>
      </w:r>
      <w:r>
        <w:rPr>
          <w:rFonts w:ascii="Arial" w:hAnsi="Arial" w:cs="Arial"/>
          <w:b/>
        </w:rPr>
        <w:t>2</w:t>
      </w:r>
      <w:r w:rsidRPr="00F32CE9">
        <w:rPr>
          <w:rFonts w:ascii="Arial" w:hAnsi="Arial" w:cs="Arial"/>
          <w:b/>
        </w:rPr>
        <w:t>.</w:t>
      </w:r>
      <w:r>
        <w:rPr>
          <w:rFonts w:ascii="Arial" w:hAnsi="Arial" w:cs="Arial"/>
          <w:b/>
        </w:rPr>
        <w:t xml:space="preserve">5 </w:t>
      </w:r>
      <w:r w:rsidRPr="000C522A">
        <w:rPr>
          <w:rFonts w:ascii="Arial" w:hAnsi="Arial" w:cs="Arial"/>
          <w:b/>
          <w:bCs/>
        </w:rPr>
        <w:t>Dividend Policy on Company Value with Capital Structure as a Moderator</w:t>
      </w:r>
    </w:p>
    <w:p w14:paraId="48FBECB8" w14:textId="62CA401C" w:rsidR="000C522A" w:rsidRPr="000C522A" w:rsidRDefault="000C522A" w:rsidP="000C522A">
      <w:pPr>
        <w:pStyle w:val="Body"/>
        <w:spacing w:after="0"/>
        <w:rPr>
          <w:rFonts w:ascii="Arial" w:hAnsi="Arial" w:cs="Arial"/>
          <w:b/>
        </w:rPr>
      </w:pPr>
      <w:r w:rsidRPr="000C522A">
        <w:rPr>
          <w:rFonts w:ascii="Arial" w:hAnsi="Arial" w:cs="Arial"/>
        </w:rPr>
        <w:t xml:space="preserve">Dividend payments can encourage companies to utilize debt as a source of external funding, while low dividend payouts increase retained earnings and reduce dependence on external funding </w:t>
      </w:r>
      <w:r w:rsidR="006C3422">
        <w:rPr>
          <w:rFonts w:ascii="Arial" w:hAnsi="Arial" w:cs="Arial"/>
        </w:rPr>
        <w:fldChar w:fldCharType="begin" w:fldLock="1"/>
      </w:r>
      <w:r w:rsidR="006C3422">
        <w:rPr>
          <w:rFonts w:ascii="Arial" w:hAnsi="Arial" w:cs="Arial"/>
        </w:rPr>
        <w:instrText>ADDIN CSL_CITATION {"citationItems":[{"id":"ITEM-1","itemData":{"author":[{"dropping-particle":"","family":"Suharti","given":"","non-dropping-particle":"","parse-names":false,"suffix":""},{"dropping-particle":"","family":"Hendra","given":"","non-dropping-particle":"","parse-names":false,"suffix":""},{"dropping-particle":"","family":"Hanif","given":"rheny afriana","non-dropping-particle":"","parse-names":false,"suffix":""}],"id":"ITEM-1","issued":{"date-parts":[["2022"]]},"page":"68-84","title":"PENGARUH UKURAN PERUSAHAAN, KEBUJAKAN DIVIDEN, RESIKO BISNIS, PROFITABILITAS, TERHADAP STRUKTUR MODAL DAN NILAI PERUSAHAAN","type":"article"},"uris":["http://www.mendeley.com/documents/?uuid=a5a2c06d-ab7e-4c36-a92c-99af20229a28"]}],"mendeley":{"formattedCitation":"(Suharti et al., 2022)","plainTextFormattedCitation":"(Suharti et al., 2022)","previouslyFormattedCitation":"(Suharti et al., 2022)"},"properties":{"noteIndex":0},"schema":"https://github.com/citation-style-language/schema/raw/master/csl-citation.json"}</w:instrText>
      </w:r>
      <w:r w:rsidR="006C3422">
        <w:rPr>
          <w:rFonts w:ascii="Arial" w:hAnsi="Arial" w:cs="Arial"/>
        </w:rPr>
        <w:fldChar w:fldCharType="separate"/>
      </w:r>
      <w:r w:rsidR="006C3422" w:rsidRPr="006C3422">
        <w:rPr>
          <w:rFonts w:ascii="Arial" w:hAnsi="Arial" w:cs="Arial"/>
          <w:noProof/>
        </w:rPr>
        <w:t>(Suharti et al., 2022)</w:t>
      </w:r>
      <w:r w:rsidR="006C3422">
        <w:rPr>
          <w:rFonts w:ascii="Arial" w:hAnsi="Arial" w:cs="Arial"/>
        </w:rPr>
        <w:fldChar w:fldCharType="end"/>
      </w:r>
      <w:r w:rsidR="006C3422">
        <w:rPr>
          <w:rFonts w:ascii="Arial" w:hAnsi="Arial" w:cs="Arial"/>
        </w:rPr>
        <w:t xml:space="preserve">. </w:t>
      </w:r>
      <w:r w:rsidRPr="000C522A">
        <w:rPr>
          <w:rFonts w:ascii="Arial" w:hAnsi="Arial" w:cs="Arial"/>
        </w:rPr>
        <w:t xml:space="preserve">The impact of dividend policy on company value depends not only on the size of the dividend, but also on the company's ability to manage its capital structure efficiently and in a balanced manner. Based on Signaling Theory (Spence, 1973), a consistent dividend policy sends a positive signal to investors regarding the company's financial stability and growth prospects. Therefore, through proper capital structure management and a balanced dividend policy, companies can strengthen their positive image and increase their value in the eyes of investors. Research </w:t>
      </w:r>
      <w:r w:rsidR="006C3422">
        <w:rPr>
          <w:rFonts w:ascii="Arial" w:hAnsi="Arial" w:cs="Arial"/>
        </w:rPr>
        <w:fldChar w:fldCharType="begin" w:fldLock="1"/>
      </w:r>
      <w:r w:rsidR="00C549D9">
        <w:rPr>
          <w:rFonts w:ascii="Arial" w:hAnsi="Arial" w:cs="Arial"/>
        </w:rPr>
        <w:instrText>ADDIN CSL_CITATION {"citationItems":[{"id":"ITEM-1","itemData":{"DOI":"10.29303/alexandria.v4i2.458","ISSN":"2774-6453","abstract":"This study aims to analyze the effect of Profitability, Liquidity, Company Size and Dividend Policy on Firm Value with Capital Structure as a moderating variable in property and real estate sector companies listed on the IDX for the 2017-2021 period. The type of research used is associative research with a quantitative approach. The population in this study are all property and real estate sector companies listed on the Indonesia Stock Exchange totaling 83 companies. Sampling in this study using the method purposive sampling with certain criteria, namely as many as 8 companies. The analytical tools used are descriptive statistical tests, classic assumption tests, hypothesis testing and Moderated Regression Analysis (MRA). The results of this study indicate that Profitability (ROA) and Dividend Policy (DPR) have a not significant positive effect on Firm Value (PBV), Liquidity (CR) have an insignificant negative effect on Firm Value and Firm Size (SIZE) have a significant negative effect on firm value. Capital Structure (DER) is not able to moderate the effect of Profitability, Liquidity and Firm Size on Firm Value. However, it is able to moderate the effect of dividend policy on firm value","author":[{"dropping-particle":"","family":"Sagita","given":"Rani Miranda","non-dropping-particle":"","parse-names":false,"suffix":""},{"dropping-particle":"","family":"Negara","given":"Iwan Kusuma","non-dropping-particle":"","parse-names":false,"suffix":""},{"dropping-particle":"","family":"Kusmayadi","given":"Iwan","non-dropping-particle":"","parse-names":false,"suffix":""}],"container-title":"ALEXANDRIA (Journal of Economics, Business, &amp; Entrepreneurship)","id":"ITEM-1","issue":"2","issued":{"date-parts":[["2023"]]},"page":"60-66","title":"Analisis Pengaruh Profitabilitas, Likuiditas, Ukuran Perusahaan dan Kebijakan Dividen Terhadap Nilai Perusahaan Dengan Struktur Modal Sebagai Variabel Moderasi","type":"article-journal","volume":"4"},"uris":["http://www.mendeley.com/documents/?uuid=d7445180-7194-4d7f-ba33-3c3842a8bb06"]}],"mendeley":{"formattedCitation":"(Sagita et al., 2023)","plainTextFormattedCitation":"(Sagita et al., 2023)","previouslyFormattedCitation":"(Sagita et al., 2023)"},"properties":{"noteIndex":0},"schema":"https://github.com/citation-style-language/schema/raw/master/csl-citation.json"}</w:instrText>
      </w:r>
      <w:r w:rsidR="006C3422">
        <w:rPr>
          <w:rFonts w:ascii="Arial" w:hAnsi="Arial" w:cs="Arial"/>
        </w:rPr>
        <w:fldChar w:fldCharType="separate"/>
      </w:r>
      <w:r w:rsidR="006C3422" w:rsidRPr="006C3422">
        <w:rPr>
          <w:rFonts w:ascii="Arial" w:hAnsi="Arial" w:cs="Arial"/>
          <w:noProof/>
        </w:rPr>
        <w:t>(Sagita et al., 2023)</w:t>
      </w:r>
      <w:r w:rsidR="006C3422">
        <w:rPr>
          <w:rFonts w:ascii="Arial" w:hAnsi="Arial" w:cs="Arial"/>
        </w:rPr>
        <w:fldChar w:fldCharType="end"/>
      </w:r>
      <w:r w:rsidR="006C3422">
        <w:rPr>
          <w:rFonts w:ascii="Arial" w:hAnsi="Arial" w:cs="Arial"/>
        </w:rPr>
        <w:t xml:space="preserve"> </w:t>
      </w:r>
      <w:r w:rsidRPr="000C522A">
        <w:rPr>
          <w:rFonts w:ascii="Arial" w:hAnsi="Arial" w:cs="Arial"/>
        </w:rPr>
        <w:t>states that capital structure strengthens the influence of dividend policy on company value.</w:t>
      </w:r>
    </w:p>
    <w:p w14:paraId="03B53D11" w14:textId="4C4DD717" w:rsidR="000C522A" w:rsidRPr="000C522A" w:rsidRDefault="000C522A" w:rsidP="000C522A">
      <w:pPr>
        <w:pStyle w:val="Body"/>
        <w:spacing w:after="0"/>
        <w:rPr>
          <w:rFonts w:ascii="Arial" w:hAnsi="Arial" w:cs="Arial"/>
        </w:rPr>
      </w:pPr>
      <w:r w:rsidRPr="000C522A">
        <w:rPr>
          <w:rFonts w:ascii="Arial" w:hAnsi="Arial" w:cs="Arial"/>
        </w:rPr>
        <w:t>H5: Capital structure can moderate dividend policy on company value.</w:t>
      </w:r>
    </w:p>
    <w:p w14:paraId="5AF47011" w14:textId="77777777" w:rsidR="000C522A" w:rsidRPr="000C522A" w:rsidRDefault="000C522A" w:rsidP="000C522A">
      <w:pPr>
        <w:pStyle w:val="Body"/>
        <w:spacing w:after="0"/>
        <w:rPr>
          <w:rFonts w:ascii="Arial" w:hAnsi="Arial" w:cs="Arial"/>
        </w:rPr>
      </w:pPr>
    </w:p>
    <w:p w14:paraId="2E4FC773" w14:textId="7D446B33" w:rsidR="000C522A" w:rsidRPr="00027CD1" w:rsidRDefault="00027CD1" w:rsidP="000C522A">
      <w:pPr>
        <w:pStyle w:val="Body"/>
        <w:spacing w:after="0"/>
        <w:rPr>
          <w:rFonts w:ascii="Arial" w:hAnsi="Arial" w:cs="Arial"/>
        </w:rPr>
      </w:pPr>
      <w:r w:rsidRPr="00F32CE9">
        <w:rPr>
          <w:rFonts w:ascii="Arial" w:hAnsi="Arial" w:cs="Arial"/>
          <w:b/>
        </w:rPr>
        <w:t>2.</w:t>
      </w:r>
      <w:r>
        <w:rPr>
          <w:rFonts w:ascii="Arial" w:hAnsi="Arial" w:cs="Arial"/>
          <w:b/>
        </w:rPr>
        <w:t>2</w:t>
      </w:r>
      <w:r w:rsidRPr="00F32CE9">
        <w:rPr>
          <w:rFonts w:ascii="Arial" w:hAnsi="Arial" w:cs="Arial"/>
          <w:b/>
        </w:rPr>
        <w:t>.</w:t>
      </w:r>
      <w:r>
        <w:rPr>
          <w:rFonts w:ascii="Arial" w:hAnsi="Arial" w:cs="Arial"/>
          <w:b/>
        </w:rPr>
        <w:t xml:space="preserve">6 </w:t>
      </w:r>
      <w:r w:rsidRPr="00027CD1">
        <w:rPr>
          <w:rFonts w:ascii="Arial" w:hAnsi="Arial" w:cs="Arial"/>
          <w:b/>
          <w:bCs/>
        </w:rPr>
        <w:t>Sales Growth on Company Value with Capital Structure as Moderator</w:t>
      </w:r>
    </w:p>
    <w:p w14:paraId="1AA9F280" w14:textId="1BAC6322" w:rsidR="00C549D9" w:rsidRDefault="00027CD1" w:rsidP="00C549D9">
      <w:pPr>
        <w:pStyle w:val="Body"/>
        <w:spacing w:after="0"/>
        <w:rPr>
          <w:rFonts w:ascii="Arial" w:hAnsi="Arial" w:cs="Arial"/>
        </w:rPr>
      </w:pPr>
      <w:r w:rsidRPr="00027CD1">
        <w:rPr>
          <w:rFonts w:ascii="Arial" w:hAnsi="Arial" w:cs="Arial"/>
        </w:rPr>
        <w:t xml:space="preserve">Stable sales growth reflects good company performance and future profit potential. Sustained sales growth demonstrates the company's ability to maintain competitiveness and gives </w:t>
      </w:r>
      <w:proofErr w:type="spellStart"/>
      <w:r w:rsidRPr="00027CD1">
        <w:rPr>
          <w:rFonts w:ascii="Arial" w:hAnsi="Arial" w:cs="Arial"/>
        </w:rPr>
        <w:t>investors</w:t>
      </w:r>
      <w:proofErr w:type="spellEnd"/>
      <w:r w:rsidRPr="00027CD1">
        <w:rPr>
          <w:rFonts w:ascii="Arial" w:hAnsi="Arial" w:cs="Arial"/>
        </w:rPr>
        <w:t xml:space="preserve"> confidence in its long-term prospects. Based on Signaling Theory (Spence, 1973), positive sales growth provides a strong signal about the company's condition and prospects. However, the strength of this signal depends on optimal capital structure management. If the proportion of debt and equity is managed in a balanced manner, sales growth will further strengthen the company's value because it reflects the company's ability to increase revenue while managing financing effectively. </w:t>
      </w:r>
      <w:r w:rsidR="00C549D9" w:rsidRPr="00C549D9">
        <w:rPr>
          <w:rFonts w:ascii="Arial" w:hAnsi="Arial" w:cs="Arial"/>
        </w:rPr>
        <w:t xml:space="preserve">This finding is supported by research </w:t>
      </w:r>
      <w:r w:rsidR="00C549D9">
        <w:rPr>
          <w:rFonts w:ascii="Arial" w:hAnsi="Arial" w:cs="Arial"/>
        </w:rPr>
        <w:fldChar w:fldCharType="begin" w:fldLock="1"/>
      </w:r>
      <w:r w:rsidR="00C549D9">
        <w:rPr>
          <w:rFonts w:ascii="Arial" w:hAnsi="Arial" w:cs="Arial"/>
        </w:rPr>
        <w:instrText>ADDIN CSL_CITATION {"citationItems":[{"id":"ITEM-1","itemData":{"abstract":"The purpose of this study is to determine the effect of growth rate on the value of the company as well as knowing the ability of capital structure in moderating the influence of growth rate to the value of the company. This study was conducted at an insurance company listed on the Indonesia Stock Exchange. The approach used in this research is causality approach. The population in this study are all insurance companies listed on the Indonesia Stock Exchange period 2011-2014, amounting to 11 companies, the sample collection is done by purposive sampling technique with a sample of 6 companies. Analysis technique in this research is moderate regression analysis (MRA). The result of classical and simultaneous assumption test shows that the regression model used is appropriate and the independent variable and the moderating variable have an effect on the company value. The result of research by using moderation regression analysis showed that growth rate had negative effect to company value. Capital structure is able to moderate by weakening the negative effect of growth rate on firm value.","author":[{"dropping-particle":"","family":"Widayanthi","given":"Ni Made Dewi Gita","non-dropping-particle":"","parse-names":false,"suffix":""},{"dropping-particle":"","family":"Sudiartha","given":"Gede Merta","non-dropping-particle":"","parse-names":false,"suffix":""}],"container-title":"E-Jurnal Manajemen Unud","id":"ITEM-1","issue":"4","issued":{"date-parts":[["2018"]]},"page":"2196-2225","title":"PENGARUH TINGKAT PERTUMBUHAN TERHADAP NILAI PERUSAHAAN DENGAN STRUKTUR MODAL SEBAGAI VARIABEL MODERASI","type":"article-journal","volume":"7"},"uris":["http://www.mendeley.com/documents/?uuid=cc48019e-4036-4ccb-875c-bde8401c7a9b"]}],"mendeley":{"formattedCitation":"(Widayanthi &amp; Sudiartha, 2018)","plainTextFormattedCitation":"(Widayanthi &amp; Sudiartha, 2018)","previouslyFormattedCitation":"(Widayanthi &amp; Sudiartha, 2018)"},"properties":{"noteIndex":0},"schema":"https://github.com/citation-style-language/schema/raw/master/csl-citation.json"}</w:instrText>
      </w:r>
      <w:r w:rsidR="00C549D9">
        <w:rPr>
          <w:rFonts w:ascii="Arial" w:hAnsi="Arial" w:cs="Arial"/>
        </w:rPr>
        <w:fldChar w:fldCharType="separate"/>
      </w:r>
      <w:r w:rsidR="00C549D9" w:rsidRPr="00C549D9">
        <w:rPr>
          <w:rFonts w:ascii="Arial" w:hAnsi="Arial" w:cs="Arial"/>
          <w:noProof/>
        </w:rPr>
        <w:t>(Widayanthi &amp; Sudiartha, 2018)</w:t>
      </w:r>
      <w:r w:rsidR="00C549D9">
        <w:rPr>
          <w:rFonts w:ascii="Arial" w:hAnsi="Arial" w:cs="Arial"/>
        </w:rPr>
        <w:fldChar w:fldCharType="end"/>
      </w:r>
      <w:r w:rsidR="00C549D9" w:rsidRPr="00C549D9">
        <w:rPr>
          <w:rFonts w:ascii="Arial" w:hAnsi="Arial" w:cs="Arial"/>
        </w:rPr>
        <w:t xml:space="preserve"> which shows that capital structure can significantly moderate the effect of growth on company value. </w:t>
      </w:r>
    </w:p>
    <w:p w14:paraId="76DA7B7B" w14:textId="46A09CBE" w:rsidR="00027CD1" w:rsidRPr="00027CD1" w:rsidRDefault="00027CD1" w:rsidP="00C549D9">
      <w:pPr>
        <w:pStyle w:val="Body"/>
        <w:spacing w:after="0"/>
        <w:rPr>
          <w:rFonts w:ascii="Arial" w:hAnsi="Arial" w:cs="Arial"/>
        </w:rPr>
      </w:pPr>
      <w:r w:rsidRPr="00027CD1">
        <w:rPr>
          <w:rFonts w:ascii="Arial" w:hAnsi="Arial" w:cs="Arial"/>
        </w:rPr>
        <w:t>H6: Capital structure can moderate sales growth on company value.</w:t>
      </w:r>
    </w:p>
    <w:p w14:paraId="24099841" w14:textId="3BD35CF7" w:rsidR="00027CD1" w:rsidRDefault="00027CD1" w:rsidP="000C522A">
      <w:pPr>
        <w:pStyle w:val="Body"/>
        <w:spacing w:after="0"/>
        <w:rPr>
          <w:rFonts w:ascii="Arial" w:hAnsi="Arial" w:cs="Arial"/>
        </w:rPr>
      </w:pPr>
    </w:p>
    <w:p w14:paraId="02A220D2" w14:textId="6CE033C5" w:rsidR="00F4361D" w:rsidRDefault="00F4361D" w:rsidP="000C522A">
      <w:pPr>
        <w:pStyle w:val="Body"/>
        <w:spacing w:after="0"/>
        <w:rPr>
          <w:rFonts w:ascii="Arial" w:hAnsi="Arial" w:cs="Arial"/>
          <w:b/>
          <w:caps/>
          <w:sz w:val="22"/>
          <w:szCs w:val="22"/>
        </w:rPr>
      </w:pPr>
      <w:r w:rsidRPr="00F32CE9">
        <w:rPr>
          <w:rFonts w:ascii="Arial" w:hAnsi="Arial" w:cs="Arial"/>
          <w:b/>
          <w:caps/>
          <w:sz w:val="22"/>
          <w:szCs w:val="22"/>
        </w:rPr>
        <w:t>2.</w:t>
      </w:r>
      <w:r>
        <w:rPr>
          <w:rFonts w:ascii="Arial" w:hAnsi="Arial" w:cs="Arial"/>
          <w:b/>
          <w:caps/>
          <w:sz w:val="22"/>
          <w:szCs w:val="22"/>
        </w:rPr>
        <w:t>3 Research method</w:t>
      </w:r>
    </w:p>
    <w:p w14:paraId="248868FA" w14:textId="70CBD1DF" w:rsidR="00F4361D" w:rsidRDefault="00F4361D" w:rsidP="000C522A">
      <w:pPr>
        <w:pStyle w:val="Body"/>
        <w:spacing w:after="0"/>
        <w:rPr>
          <w:rFonts w:ascii="Arial" w:hAnsi="Arial" w:cs="Arial"/>
        </w:rPr>
      </w:pPr>
      <w:r w:rsidRPr="00F4361D">
        <w:rPr>
          <w:rFonts w:ascii="Arial" w:hAnsi="Arial" w:cs="Arial"/>
        </w:rPr>
        <w:t>This research is quantitative in nature with an explanatory approach. The data used is secondary data in the form of annual financial reports of banking companies listed on the Indonesia Stock Exchange (IDX) for the period 2021–2024. The sample was determined based on purposive sampling technique, which resulted in 26 food and beverage companies, thus there were 104 samples. Path Analysis was used as the analysis method in this study with the SPSS program.</w:t>
      </w:r>
      <w:r>
        <w:rPr>
          <w:rFonts w:ascii="Arial" w:hAnsi="Arial" w:cs="Arial"/>
        </w:rPr>
        <w:t xml:space="preserve"> </w:t>
      </w:r>
      <w:r w:rsidRPr="00F4361D">
        <w:rPr>
          <w:rFonts w:ascii="Arial" w:hAnsi="Arial" w:cs="Arial"/>
        </w:rPr>
        <w:t xml:space="preserve">The indicators used in this study to measure each variable are presented as </w:t>
      </w:r>
      <w:proofErr w:type="gramStart"/>
      <w:r w:rsidRPr="00F4361D">
        <w:rPr>
          <w:rFonts w:ascii="Arial" w:hAnsi="Arial" w:cs="Arial"/>
        </w:rPr>
        <w:t>follows</w:t>
      </w:r>
      <w:r>
        <w:rPr>
          <w:rFonts w:ascii="Arial" w:hAnsi="Arial" w:cs="Arial"/>
        </w:rPr>
        <w:t xml:space="preserve"> :</w:t>
      </w:r>
      <w:proofErr w:type="gramEnd"/>
    </w:p>
    <w:p w14:paraId="4865EF78" w14:textId="4901FEA8" w:rsidR="00DC25AB" w:rsidRPr="000C522A" w:rsidRDefault="00DC25AB" w:rsidP="00FE25CD">
      <w:pPr>
        <w:pStyle w:val="Body"/>
        <w:spacing w:after="0" w:line="276" w:lineRule="auto"/>
        <w:jc w:val="center"/>
        <w:rPr>
          <w:rFonts w:ascii="Arial" w:hAnsi="Arial" w:cs="Arial"/>
          <w:b/>
        </w:rPr>
      </w:pPr>
      <w:r w:rsidRPr="008D7703">
        <w:rPr>
          <w:rFonts w:ascii="Arial" w:hAnsi="Arial"/>
          <w:b/>
        </w:rPr>
        <w:t xml:space="preserve">Table </w:t>
      </w:r>
      <w:r w:rsidR="0006503E">
        <w:rPr>
          <w:rFonts w:ascii="Arial" w:hAnsi="Arial"/>
          <w:b/>
        </w:rPr>
        <w:t>2</w:t>
      </w:r>
      <w:r w:rsidRPr="008D7703">
        <w:rPr>
          <w:rFonts w:ascii="Arial" w:hAnsi="Arial"/>
          <w:b/>
        </w:rPr>
        <w:t>.</w:t>
      </w:r>
      <w:r w:rsidR="00A5232F" w:rsidRPr="008D7703">
        <w:rPr>
          <w:rFonts w:ascii="Arial" w:hAnsi="Arial"/>
          <w:b/>
        </w:rPr>
        <w:t xml:space="preserve"> Variable and Indicator</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4520"/>
        <w:gridCol w:w="1671"/>
      </w:tblGrid>
      <w:tr w:rsidR="002240D1" w:rsidRPr="00DC3180" w14:paraId="75C9B6A7" w14:textId="77777777" w:rsidTr="002240D1">
        <w:trPr>
          <w:jc w:val="center"/>
        </w:trPr>
        <w:tc>
          <w:tcPr>
            <w:tcW w:w="2143" w:type="dxa"/>
          </w:tcPr>
          <w:p w14:paraId="340E69C6" w14:textId="123DC461" w:rsidR="00F4361D" w:rsidRPr="00DC3180" w:rsidRDefault="009B07EE" w:rsidP="002240D1">
            <w:pPr>
              <w:spacing w:line="276" w:lineRule="auto"/>
              <w:jc w:val="both"/>
              <w:rPr>
                <w:rFonts w:ascii="Arial" w:hAnsi="Arial"/>
                <w:b/>
                <w:bCs/>
              </w:rPr>
            </w:pPr>
            <w:r>
              <w:rPr>
                <w:rFonts w:ascii="Arial" w:hAnsi="Arial"/>
                <w:b/>
                <w:bCs/>
              </w:rPr>
              <w:t>Variab</w:t>
            </w:r>
            <w:r w:rsidR="00A5232F">
              <w:rPr>
                <w:rFonts w:ascii="Arial" w:hAnsi="Arial"/>
                <w:b/>
                <w:bCs/>
              </w:rPr>
              <w:t>le</w:t>
            </w:r>
          </w:p>
        </w:tc>
        <w:tc>
          <w:tcPr>
            <w:tcW w:w="4520" w:type="dxa"/>
          </w:tcPr>
          <w:p w14:paraId="27FCA11B" w14:textId="776F145D" w:rsidR="00F4361D" w:rsidRPr="00DC3180" w:rsidRDefault="009B07EE" w:rsidP="002240D1">
            <w:pPr>
              <w:spacing w:line="276" w:lineRule="auto"/>
              <w:jc w:val="both"/>
              <w:rPr>
                <w:rFonts w:ascii="Arial" w:hAnsi="Arial"/>
                <w:b/>
                <w:bCs/>
              </w:rPr>
            </w:pPr>
            <w:r>
              <w:rPr>
                <w:rFonts w:ascii="Arial" w:hAnsi="Arial"/>
                <w:b/>
                <w:bCs/>
              </w:rPr>
              <w:t>Indicator/ Measurement</w:t>
            </w:r>
          </w:p>
        </w:tc>
        <w:tc>
          <w:tcPr>
            <w:tcW w:w="1671" w:type="dxa"/>
          </w:tcPr>
          <w:p w14:paraId="21BD49EC" w14:textId="787AF487" w:rsidR="00F4361D" w:rsidRPr="00DC25AB" w:rsidRDefault="009B07EE" w:rsidP="002240D1">
            <w:pPr>
              <w:spacing w:line="276" w:lineRule="auto"/>
              <w:jc w:val="both"/>
              <w:rPr>
                <w:rFonts w:ascii="Arial" w:hAnsi="Arial" w:cs="Arial"/>
                <w:b/>
                <w:bCs/>
              </w:rPr>
            </w:pPr>
            <w:r w:rsidRPr="00DC25AB">
              <w:rPr>
                <w:rFonts w:ascii="Arial" w:hAnsi="Arial" w:cs="Arial"/>
                <w:b/>
                <w:bCs/>
              </w:rPr>
              <w:t>Source(s)</w:t>
            </w:r>
          </w:p>
        </w:tc>
      </w:tr>
      <w:tr w:rsidR="002240D1" w:rsidRPr="00DC3180" w14:paraId="362D9A71" w14:textId="77777777" w:rsidTr="002240D1">
        <w:trPr>
          <w:trHeight w:val="287"/>
          <w:jc w:val="center"/>
          <w:hidden/>
        </w:trPr>
        <w:tc>
          <w:tcPr>
            <w:tcW w:w="2143" w:type="dxa"/>
          </w:tcPr>
          <w:p w14:paraId="56710F4A" w14:textId="28CD95F2" w:rsidR="00F4361D" w:rsidRPr="00DC3180" w:rsidRDefault="009B07EE" w:rsidP="002240D1">
            <w:pPr>
              <w:spacing w:line="276" w:lineRule="auto"/>
              <w:jc w:val="both"/>
              <w:rPr>
                <w:rFonts w:ascii="Arial" w:hAnsi="Arial"/>
                <w:vanish/>
              </w:rPr>
            </w:pPr>
            <w:r>
              <w:rPr>
                <w:rFonts w:ascii="Arial" w:hAnsi="Arial"/>
                <w:vanish/>
              </w:rPr>
              <w:t>Investmen decisions</w:t>
            </w:r>
          </w:p>
          <w:p w14:paraId="3A4327B0" w14:textId="6035DCBE" w:rsidR="00F4361D" w:rsidRPr="003979F8" w:rsidRDefault="003979F8" w:rsidP="002240D1">
            <w:pPr>
              <w:tabs>
                <w:tab w:val="center" w:pos="767"/>
              </w:tabs>
              <w:spacing w:line="276" w:lineRule="auto"/>
              <w:jc w:val="both"/>
              <w:rPr>
                <w:rFonts w:ascii="Arial" w:hAnsi="Arial"/>
              </w:rPr>
            </w:pPr>
            <w:r>
              <w:rPr>
                <w:rFonts w:ascii="Arial" w:hAnsi="Arial"/>
              </w:rPr>
              <w:t>Investment decisions</w:t>
            </w:r>
          </w:p>
        </w:tc>
        <w:tc>
          <w:tcPr>
            <w:tcW w:w="4520" w:type="dxa"/>
          </w:tcPr>
          <w:p w14:paraId="0B8B3B01" w14:textId="2CB1F477" w:rsidR="00F4361D" w:rsidRPr="003979F8" w:rsidRDefault="003979F8" w:rsidP="002240D1">
            <w:pPr>
              <w:spacing w:line="276" w:lineRule="auto"/>
              <w:jc w:val="both"/>
              <w:rPr>
                <w:rFonts w:ascii="Arial" w:hAnsi="Arial"/>
                <w:b/>
                <w:bCs/>
              </w:rPr>
            </w:pPr>
            <w:r>
              <w:rPr>
                <w:rFonts w:ascii="Arial" w:hAnsi="Arial"/>
              </w:rPr>
              <w:t xml:space="preserve">CPA/BVA = </w:t>
            </w:r>
            <w:r w:rsidRPr="003979F8">
              <w:rPr>
                <w:rFonts w:ascii="Arial" w:hAnsi="Arial"/>
              </w:rPr>
              <w:t>asset growth</w:t>
            </w:r>
            <w:r>
              <w:rPr>
                <w:rFonts w:ascii="Arial" w:hAnsi="Arial"/>
              </w:rPr>
              <w:t xml:space="preserve"> </w:t>
            </w:r>
            <w:r w:rsidRPr="003979F8">
              <w:rPr>
                <w:rFonts w:ascii="Arial" w:hAnsi="Arial"/>
              </w:rPr>
              <w:t>/</w:t>
            </w:r>
            <w:r>
              <w:rPr>
                <w:rFonts w:ascii="Arial" w:hAnsi="Arial"/>
              </w:rPr>
              <w:t xml:space="preserve"> </w:t>
            </w:r>
            <w:r w:rsidRPr="003979F8">
              <w:rPr>
                <w:rFonts w:ascii="Arial" w:hAnsi="Arial"/>
              </w:rPr>
              <w:t>total assets</w:t>
            </w:r>
          </w:p>
        </w:tc>
        <w:tc>
          <w:tcPr>
            <w:tcW w:w="1671" w:type="dxa"/>
          </w:tcPr>
          <w:p w14:paraId="776343D1" w14:textId="3D69DC61" w:rsidR="00F4361D" w:rsidRPr="00DC25AB" w:rsidRDefault="00DC25AB" w:rsidP="002240D1">
            <w:pPr>
              <w:spacing w:line="276" w:lineRule="auto"/>
              <w:jc w:val="both"/>
              <w:rPr>
                <w:rFonts w:ascii="Arial" w:hAnsi="Arial" w:cs="Arial"/>
                <w:b/>
                <w:bCs/>
              </w:rPr>
            </w:pPr>
            <w:r w:rsidRPr="00DC25AB">
              <w:rPr>
                <w:rFonts w:ascii="Arial" w:hAnsi="Arial" w:cs="Arial"/>
                <w:lang w:val="id-ID"/>
              </w:rPr>
              <w:fldChar w:fldCharType="begin" w:fldLock="1"/>
            </w:r>
            <w:r w:rsidRPr="00DC25AB">
              <w:rPr>
                <w:rFonts w:ascii="Arial" w:hAnsi="Arial" w:cs="Arial"/>
                <w:lang w:val="id-ID"/>
              </w:rPr>
              <w:instrText>ADDIN CSL_CITATION {"citationItems":[{"id":"ITEM-1","itemData":{"abstract":"Penelitian ini bertujuan untuk menguji pengaruh struktur modal, profitabilitas, dan keputusan investasi terhadap nilai perusahaan sektor pertambangan batubara yang terdaftar di Bursa Efek Indonesia (BEI) selama tahun 2013 - 2017. Populasi yang digunakan dalam penelitian ini sebanyak 22 perusahaan sektor pertambangan batubara. Teknik pengambilan sampel menggunakan metode purposive sampling dan diperoleh 7 perusahaan sampel. Jenis penelitian ini merupakan penelitian kuantitatif, dengan menggunakan metode analisis regresi linier berganda. Hasil penelitian menunjukkan bahwa struktur modal berpengaruh negatif signifikan terhadap nilai perusahaan, semakin besar hutang perusahaan maka semakin tinggi risiko dan biaya yang ditanggung, sehingga mempengaruhi persepsi investor dalam berinvestasi. Profitabilitas berpengaruh negatif signifikan terhadap nilai perusahaan, peningkatan laba yang dihasilkan belum mampu memberikan kemakmuran investor, tetapi untuk menutupi tingginya biaya operasional. Keputusan investasi berpengaruh positif signifikan terhadap nilai perusahaan, peningkatan investasi yang dilakukan memiliki prospek positif dimasa mendatang sehingga dapat meningkatkan nilai perusahaan. Sebaiknya perusahaan lebih memperhatikan hutang, peningkatan profitabilitas, dan peningkatan investasinya agar dapat memaksimalkan nilai perusahaan dimata investor.","author":[{"dropping-particle":"","family":"Vina","given":"Irtiah Amalia","non-dropping-particle":"","parse-names":false,"suffix":""}],"container-title":"Pengaruh Struktur Modal, Profitabilitas, Dan Keputusan Investasi Terhadap Nilai Perusahaan","id":"ITEM-1","issue":"12","issued":{"date-parts":[["2019"]]},"page":"2042-2054","title":"Price to Book Value ( PBV )","type":"article-journal","volume":"8"},"uris":["http://www.mendeley.com/documents/?uuid=d33c9f2b-e0ff-4241-af32-55793126bee9"]}],"mendeley":{"formattedCitation":"(Vina, 2019)","plainTextFormattedCitation":"(Vina, 2019)","previouslyFormattedCitation":"(Vina, 2019)"},"properties":{"noteIndex":0},"schema":"https://github.com/citation-style-language/schema/raw/master/csl-citation.json"}</w:instrText>
            </w:r>
            <w:r w:rsidRPr="00DC25AB">
              <w:rPr>
                <w:rFonts w:ascii="Arial" w:hAnsi="Arial" w:cs="Arial"/>
                <w:lang w:val="id-ID"/>
              </w:rPr>
              <w:fldChar w:fldCharType="separate"/>
            </w:r>
            <w:r w:rsidRPr="00DC25AB">
              <w:rPr>
                <w:rFonts w:ascii="Arial" w:hAnsi="Arial" w:cs="Arial"/>
                <w:noProof/>
                <w:lang w:val="id-ID"/>
              </w:rPr>
              <w:t>(Vina, 2019)</w:t>
            </w:r>
            <w:r w:rsidRPr="00DC25AB">
              <w:rPr>
                <w:rFonts w:ascii="Arial" w:hAnsi="Arial" w:cs="Arial"/>
                <w:lang w:val="id-ID"/>
              </w:rPr>
              <w:fldChar w:fldCharType="end"/>
            </w:r>
          </w:p>
        </w:tc>
      </w:tr>
      <w:tr w:rsidR="002240D1" w:rsidRPr="00DC3180" w14:paraId="210CCF82" w14:textId="77777777" w:rsidTr="002240D1">
        <w:trPr>
          <w:trHeight w:val="429"/>
          <w:jc w:val="center"/>
        </w:trPr>
        <w:tc>
          <w:tcPr>
            <w:tcW w:w="2143" w:type="dxa"/>
          </w:tcPr>
          <w:p w14:paraId="5783DA47" w14:textId="6F2580C8" w:rsidR="009B07EE" w:rsidRPr="00DC3180" w:rsidRDefault="003979F8" w:rsidP="002240D1">
            <w:pPr>
              <w:spacing w:line="276" w:lineRule="auto"/>
              <w:jc w:val="both"/>
              <w:rPr>
                <w:rFonts w:ascii="Arial" w:hAnsi="Arial" w:cs="Arial"/>
                <w:vanish/>
              </w:rPr>
            </w:pPr>
            <w:r>
              <w:rPr>
                <w:rFonts w:ascii="Arial" w:hAnsi="Arial" w:cs="Arial"/>
              </w:rPr>
              <w:t>Dividend policy</w:t>
            </w:r>
            <w:r w:rsidR="009B07EE">
              <w:rPr>
                <w:rFonts w:ascii="Arial" w:hAnsi="Arial" w:cs="Arial"/>
                <w:vanish/>
              </w:rPr>
              <w:t>Devidend policy</w:t>
            </w:r>
          </w:p>
          <w:p w14:paraId="7859ABE2" w14:textId="77777777" w:rsidR="009B07EE" w:rsidRPr="00DC3180" w:rsidRDefault="009B07EE" w:rsidP="002240D1">
            <w:pPr>
              <w:spacing w:line="276" w:lineRule="auto"/>
              <w:jc w:val="both"/>
              <w:rPr>
                <w:rFonts w:ascii="Arial" w:hAnsi="Arial" w:cs="Arial"/>
              </w:rPr>
            </w:pPr>
          </w:p>
        </w:tc>
        <w:tc>
          <w:tcPr>
            <w:tcW w:w="4520" w:type="dxa"/>
          </w:tcPr>
          <w:p w14:paraId="2323F1FE" w14:textId="623053BD" w:rsidR="009B07EE" w:rsidRPr="00DC3180" w:rsidRDefault="003979F8" w:rsidP="002240D1">
            <w:pPr>
              <w:spacing w:line="276" w:lineRule="auto"/>
              <w:jc w:val="both"/>
              <w:rPr>
                <w:rFonts w:ascii="Arial" w:hAnsi="Arial" w:cs="Arial"/>
              </w:rPr>
            </w:pPr>
            <w:r>
              <w:rPr>
                <w:rFonts w:ascii="Arial" w:hAnsi="Arial" w:cs="Arial"/>
              </w:rPr>
              <w:t xml:space="preserve">DPR = </w:t>
            </w:r>
            <w:r w:rsidR="00DC25AB" w:rsidRPr="00DC25AB">
              <w:rPr>
                <w:rFonts w:ascii="Arial" w:hAnsi="Arial" w:cs="Arial"/>
              </w:rPr>
              <w:t>dividend per share</w:t>
            </w:r>
            <w:r w:rsidR="00DC25AB">
              <w:rPr>
                <w:rFonts w:ascii="Arial" w:hAnsi="Arial" w:cs="Arial"/>
              </w:rPr>
              <w:t xml:space="preserve"> </w:t>
            </w:r>
            <w:r w:rsidR="00DC25AB" w:rsidRPr="00DC25AB">
              <w:rPr>
                <w:rFonts w:ascii="Arial" w:hAnsi="Arial" w:cs="Arial"/>
              </w:rPr>
              <w:t>/</w:t>
            </w:r>
            <w:r w:rsidR="00DC25AB">
              <w:rPr>
                <w:rFonts w:ascii="Arial" w:hAnsi="Arial" w:cs="Arial"/>
              </w:rPr>
              <w:t xml:space="preserve"> </w:t>
            </w:r>
            <w:r w:rsidR="00DC25AB" w:rsidRPr="00DC25AB">
              <w:rPr>
                <w:rFonts w:ascii="Arial" w:hAnsi="Arial" w:cs="Arial"/>
              </w:rPr>
              <w:t>earnings per share</w:t>
            </w:r>
          </w:p>
        </w:tc>
        <w:tc>
          <w:tcPr>
            <w:tcW w:w="1671" w:type="dxa"/>
          </w:tcPr>
          <w:p w14:paraId="35075E89" w14:textId="5D7DADD8" w:rsidR="009B07EE" w:rsidRPr="00DC25AB" w:rsidRDefault="00DC25AB" w:rsidP="002240D1">
            <w:pPr>
              <w:spacing w:line="276" w:lineRule="auto"/>
              <w:jc w:val="both"/>
              <w:rPr>
                <w:rFonts w:ascii="Arial" w:hAnsi="Arial" w:cs="Arial"/>
                <w:vanish/>
              </w:rPr>
            </w:pPr>
            <w:r w:rsidRPr="00DC25AB">
              <w:rPr>
                <w:rFonts w:ascii="Arial" w:hAnsi="Arial" w:cs="Arial"/>
                <w:lang w:val="id-ID"/>
              </w:rPr>
              <w:fldChar w:fldCharType="begin" w:fldLock="1"/>
            </w:r>
            <w:r w:rsidRPr="00DC25AB">
              <w:rPr>
                <w:rFonts w:ascii="Arial" w:hAnsi="Arial" w:cs="Arial"/>
                <w:lang w:val="id-ID"/>
              </w:rPr>
              <w:instrText>ADDIN CSL_CITATION {"citationItems":[{"id":"ITEM-1","itemData":{"DOI":"10.35313/jaief.v3i1.3848","abstract":"This study aims to identify and examine the factors that influence the company's value through the company's internal, including Company Policy, Debt Policy, and Company Size on Company Value in property and real estate listed on the Indonesian Sharia Stock Index (ISSI). This study uses a quantitative approach with secondary data, the number of samples is 10 companies that meet the research criteria using the purposive sampling method with annual financial reports for 2016-2020, so that 50 observational data are obtained. The data analysis technique used is panel data regression analysis with EViews version 9 analysis tool. The results of this study indicate that dividend policy does not affect firm value. Furthermore, debt policy has a significant effect in a positive direction on firm value. While the size of the company has a significant effect in a negative direction.","author":[{"dropping-particle":"","family":"Nuryatin","given":"Sri Hartanti","non-dropping-particle":"","parse-names":false,"suffix":""},{"dropping-particle":"","family":"Pratiwi","given":"Leni Nur","non-dropping-particle":"","parse-names":false,"suffix":""},{"dropping-particle":"","family":"Setiawan","given":"Setiawan","non-dropping-particle":"","parse-names":false,"suffix":""},{"dropping-particle":"","family":"Dhonal","given":"Rama","non-dropping-particle":"","parse-names":false,"suffix":""}],"container-title":"Journal of Applied Islamic Economics and Finance","id":"ITEM-1","issue":"1","issued":{"date-parts":[["2022"]]},"page":"108-116","title":"Pengaruh Kebijakan Utang, Ukuran Perusahaan, dan Kebijakan Dividen Terhadap Nilai Perusahaan","type":"article-journal","volume":"3"},"uris":["http://www.mendeley.com/documents/?uuid=bf69395a-49e6-4ada-9a88-a48e024d18e8"]}],"mendeley":{"formattedCitation":"(Nuryatin et al., 2022)","plainTextFormattedCitation":"(Nuryatin et al., 2022)","previouslyFormattedCitation":"(Nuryatin et al., 2022)"},"properties":{"noteIndex":0},"schema":"https://github.com/citation-style-language/schema/raw/master/csl-citation.json"}</w:instrText>
            </w:r>
            <w:r w:rsidRPr="00DC25AB">
              <w:rPr>
                <w:rFonts w:ascii="Arial" w:hAnsi="Arial" w:cs="Arial"/>
                <w:lang w:val="id-ID"/>
              </w:rPr>
              <w:fldChar w:fldCharType="separate"/>
            </w:r>
            <w:r w:rsidRPr="00DC25AB">
              <w:rPr>
                <w:rFonts w:ascii="Arial" w:hAnsi="Arial" w:cs="Arial"/>
                <w:noProof/>
                <w:lang w:val="id-ID"/>
              </w:rPr>
              <w:t>(Nuryatin et al., 2022)</w:t>
            </w:r>
            <w:r w:rsidRPr="00DC25AB">
              <w:rPr>
                <w:rFonts w:ascii="Arial" w:hAnsi="Arial" w:cs="Arial"/>
                <w:lang w:val="id-ID"/>
              </w:rPr>
              <w:fldChar w:fldCharType="end"/>
            </w:r>
          </w:p>
          <w:p w14:paraId="76C28F9F" w14:textId="77777777" w:rsidR="009B07EE" w:rsidRPr="00DC25AB" w:rsidRDefault="009B07EE" w:rsidP="002240D1">
            <w:pPr>
              <w:spacing w:line="276" w:lineRule="auto"/>
              <w:jc w:val="both"/>
              <w:rPr>
                <w:rFonts w:ascii="Arial" w:hAnsi="Arial" w:cs="Arial"/>
              </w:rPr>
            </w:pPr>
          </w:p>
        </w:tc>
      </w:tr>
      <w:tr w:rsidR="002240D1" w:rsidRPr="00DC3180" w14:paraId="3ED9F00C" w14:textId="77777777" w:rsidTr="002240D1">
        <w:trPr>
          <w:trHeight w:val="369"/>
          <w:jc w:val="center"/>
        </w:trPr>
        <w:tc>
          <w:tcPr>
            <w:tcW w:w="2143" w:type="dxa"/>
          </w:tcPr>
          <w:p w14:paraId="6EB5376E" w14:textId="020817B0" w:rsidR="009B07EE" w:rsidRPr="00DC3180" w:rsidRDefault="003979F8" w:rsidP="002240D1">
            <w:pPr>
              <w:spacing w:line="276" w:lineRule="auto"/>
              <w:jc w:val="both"/>
              <w:rPr>
                <w:rFonts w:ascii="Arial" w:hAnsi="Arial" w:cs="Arial"/>
                <w:vanish/>
              </w:rPr>
            </w:pPr>
            <w:r>
              <w:rPr>
                <w:rFonts w:ascii="Arial" w:hAnsi="Arial" w:cs="Arial"/>
              </w:rPr>
              <w:t xml:space="preserve">Sales growth </w:t>
            </w:r>
            <w:r w:rsidR="009B07EE">
              <w:rPr>
                <w:rFonts w:ascii="Arial" w:hAnsi="Arial" w:cs="Arial"/>
                <w:vanish/>
              </w:rPr>
              <w:t>Sales growth</w:t>
            </w:r>
          </w:p>
          <w:p w14:paraId="391C579F" w14:textId="77777777" w:rsidR="009B07EE" w:rsidRPr="00DC3180" w:rsidRDefault="009B07EE" w:rsidP="002240D1">
            <w:pPr>
              <w:spacing w:line="276" w:lineRule="auto"/>
              <w:jc w:val="both"/>
              <w:rPr>
                <w:rFonts w:ascii="Arial" w:hAnsi="Arial" w:cs="Arial"/>
              </w:rPr>
            </w:pPr>
          </w:p>
        </w:tc>
        <w:tc>
          <w:tcPr>
            <w:tcW w:w="4520" w:type="dxa"/>
          </w:tcPr>
          <w:p w14:paraId="0F5A2E87" w14:textId="1A3532B4" w:rsidR="009B07EE" w:rsidRPr="002240D1" w:rsidRDefault="00DC25AB" w:rsidP="002240D1">
            <w:pPr>
              <w:spacing w:line="276" w:lineRule="auto"/>
              <w:jc w:val="both"/>
              <w:rPr>
                <w:rFonts w:ascii="Arial" w:hAnsi="Arial" w:cs="Arial"/>
                <w:lang w:val="id-ID"/>
              </w:rPr>
            </w:pPr>
            <m:oMath>
              <m:r>
                <m:rPr>
                  <m:sty m:val="p"/>
                </m:rPr>
                <w:rPr>
                  <w:rFonts w:ascii="Cambria Math" w:hAnsi="Cambria Math" w:cs="Arial"/>
                  <w:lang w:val="id-ID"/>
                </w:rPr>
                <m:t xml:space="preserve">Sales growth= </m:t>
              </m:r>
              <m:f>
                <m:fPr>
                  <m:ctrlPr>
                    <w:rPr>
                      <w:rFonts w:ascii="Cambria Math" w:hAnsi="Cambria Math" w:cs="Arial"/>
                      <w:iCs/>
                      <w:lang w:val="id-ID"/>
                    </w:rPr>
                  </m:ctrlPr>
                </m:fPr>
                <m:num>
                  <m:r>
                    <m:rPr>
                      <m:sty m:val="p"/>
                    </m:rPr>
                    <w:rPr>
                      <w:rFonts w:ascii="Cambria Math" w:hAnsi="Cambria Math" w:cs="Arial"/>
                      <w:lang w:val="id-ID"/>
                    </w:rPr>
                    <m:t xml:space="preserve">Total Sales </m:t>
                  </m:r>
                  <m:d>
                    <m:dPr>
                      <m:ctrlPr>
                        <w:rPr>
                          <w:rFonts w:ascii="Cambria Math" w:hAnsi="Cambria Math" w:cs="Arial"/>
                          <w:iCs/>
                          <w:lang w:val="id-ID"/>
                        </w:rPr>
                      </m:ctrlPr>
                    </m:dPr>
                    <m:e>
                      <m:r>
                        <m:rPr>
                          <m:sty m:val="p"/>
                        </m:rPr>
                        <w:rPr>
                          <w:rFonts w:ascii="Cambria Math" w:hAnsi="Cambria Math" w:cs="Arial"/>
                          <w:lang w:val="id-ID"/>
                        </w:rPr>
                        <m:t>t</m:t>
                      </m:r>
                    </m:e>
                  </m:d>
                  <m:r>
                    <m:rPr>
                      <m:sty m:val="p"/>
                    </m:rPr>
                    <w:rPr>
                      <w:rFonts w:ascii="Cambria Math" w:hAnsi="Cambria Math" w:cs="Arial"/>
                      <w:lang w:val="id-ID"/>
                    </w:rPr>
                    <m:t>-Total Sales (t-1)</m:t>
                  </m:r>
                </m:num>
                <m:den>
                  <m:r>
                    <m:rPr>
                      <m:sty m:val="p"/>
                    </m:rPr>
                    <w:rPr>
                      <w:rFonts w:ascii="Cambria Math" w:hAnsi="Cambria Math" w:cs="Arial"/>
                      <w:lang w:val="id-ID"/>
                    </w:rPr>
                    <m:t>Total Asset (t-1)</m:t>
                  </m:r>
                </m:den>
              </m:f>
              <m:r>
                <w:rPr>
                  <w:rFonts w:ascii="Cambria Math" w:hAnsi="Cambria Math" w:cs="Arial"/>
                  <w:lang w:val="id-ID"/>
                </w:rPr>
                <m:t>x100%</m:t>
              </m:r>
            </m:oMath>
            <w:r w:rsidR="003979F8" w:rsidRPr="003979F8">
              <w:rPr>
                <w:rFonts w:ascii="Arial" w:hAnsi="Arial" w:cs="Arial"/>
                <w:b/>
                <w:bCs/>
                <w:lang w:val="id-ID"/>
              </w:rPr>
              <w:t xml:space="preserve"> </w:t>
            </w:r>
          </w:p>
        </w:tc>
        <w:tc>
          <w:tcPr>
            <w:tcW w:w="1671" w:type="dxa"/>
          </w:tcPr>
          <w:p w14:paraId="11B7BAA0" w14:textId="4D8AFDF1" w:rsidR="009B07EE" w:rsidRPr="00DC25AB" w:rsidRDefault="00DC25AB" w:rsidP="002240D1">
            <w:pPr>
              <w:spacing w:line="276" w:lineRule="auto"/>
              <w:jc w:val="both"/>
              <w:rPr>
                <w:rFonts w:ascii="Arial" w:hAnsi="Arial" w:cs="Arial"/>
                <w:vanish/>
              </w:rPr>
            </w:pPr>
            <w:r w:rsidRPr="00DC25AB">
              <w:rPr>
                <w:rFonts w:ascii="Arial" w:hAnsi="Arial" w:cs="Arial"/>
                <w:lang w:val="id-ID"/>
              </w:rPr>
              <w:fldChar w:fldCharType="begin" w:fldLock="1"/>
            </w:r>
            <w:r w:rsidRPr="00DC25AB">
              <w:rPr>
                <w:rFonts w:ascii="Arial" w:hAnsi="Arial" w:cs="Arial"/>
                <w:lang w:val="id-ID"/>
              </w:rPr>
              <w:instrText>ADDIN CSL_CITATION {"citationItems":[{"id":"ITEM-1","itemData":{"abstract":"Penelitian ini bertujuan mengetahui pengaruh profitabilitas, kebijakan hutang dan pertumbuhan penjualan terhadap nilai perusahaan ritel di BEI pada periode 2015-2019. Populasi pada penelitian ini sebanyak 25 perusahaan ritel di BEI selama periode pengamatan tahun 2015-2019. Berdasarkan kriteria yang ditentukan, diperoleh sampel perusahaan sebanyak 8 perusahaan dengan menggunakan metode purposive sampling yaitu pemilihan sampel dengan kriteria-kriteria yang telah ditentukan. Metode analisis yang digunakan adalah analisis regresi linier berganda dengan menggunakan aplikasi SPSS 25 (Statistical Product and Service Solution). Hasil analisis data, variabel yang digunakan meliputi variabel dependen adalah nilai perusahaan PBV (Price to Book Value) dan variabel independen adalah profitabilitas menggunakan rasio ROA (Return On Asset), kebijakan hutang menggunakan rasio DER (Debt to Equity Rasio) dan pertumbuhan pertumbuhan (PP). Hasil penelitian ini menujukkan bahwa profitabilitas berpengaruh positif dan signifikan terhadap nilai perusahaan, kebijakan hutang berpengaruh positif dan signifikan terhadap nilai perusahaan dan pertumbuhan penjualan berpengaruh negatif dan tidak signifikan terhadap nilai perusahaan. Kata Kunci : profitabilitas, kebijakan hutang, pertumbuhan penjualan, nilai perusahaan","author":[{"dropping-particle":"","family":"Triyonowati","given":"Riswanda Imawan ;","non-dropping-particle":"","parse-names":false,"suffix":""}],"container-title":"Jurnal Ilmu dan Riset Manajemen","id":"ITEM-1","issued":{"date-parts":[["2019"]]},"page":"1-17","title":"PENGARUH PROFITABILITAS, KEBIJAKAN HUTANG DAN PERTUMBUHAN PENJUALAN TERHADAP NILAI PERUSAHAAN RITEL DI BEI","type":"article-journal"},"uris":["http://www.mendeley.com/documents/?uuid=79ebb50f-e65e-489f-9886-01ba6655e5a9"]}],"mendeley":{"formattedCitation":"(Triyonowati, 2019)","plainTextFormattedCitation":"(Triyonowati, 2019)","previouslyFormattedCitation":"(Triyonowati, 2019)"},"properties":{"noteIndex":0},"schema":"https://github.com/citation-style-language/schema/raw/master/csl-citation.json"}</w:instrText>
            </w:r>
            <w:r w:rsidRPr="00DC25AB">
              <w:rPr>
                <w:rFonts w:ascii="Arial" w:hAnsi="Arial" w:cs="Arial"/>
                <w:lang w:val="id-ID"/>
              </w:rPr>
              <w:fldChar w:fldCharType="separate"/>
            </w:r>
            <w:r w:rsidRPr="00DC25AB">
              <w:rPr>
                <w:rFonts w:ascii="Arial" w:hAnsi="Arial" w:cs="Arial"/>
                <w:noProof/>
                <w:lang w:val="id-ID"/>
              </w:rPr>
              <w:t>(Triyonowati, 2019)</w:t>
            </w:r>
            <w:r w:rsidRPr="00DC25AB">
              <w:rPr>
                <w:rFonts w:ascii="Arial" w:hAnsi="Arial" w:cs="Arial"/>
                <w:lang w:val="id-ID"/>
              </w:rPr>
              <w:fldChar w:fldCharType="end"/>
            </w:r>
          </w:p>
          <w:p w14:paraId="2AEB630F" w14:textId="77777777" w:rsidR="009B07EE" w:rsidRPr="00DC25AB" w:rsidRDefault="009B07EE" w:rsidP="002240D1">
            <w:pPr>
              <w:spacing w:line="276" w:lineRule="auto"/>
              <w:jc w:val="both"/>
              <w:rPr>
                <w:rFonts w:ascii="Arial" w:hAnsi="Arial" w:cs="Arial"/>
              </w:rPr>
            </w:pPr>
          </w:p>
          <w:p w14:paraId="507F4DD6" w14:textId="77777777" w:rsidR="00DC25AB" w:rsidRPr="00DC25AB" w:rsidRDefault="00DC25AB" w:rsidP="002240D1">
            <w:pPr>
              <w:spacing w:line="276" w:lineRule="auto"/>
              <w:jc w:val="center"/>
              <w:rPr>
                <w:rFonts w:ascii="Arial" w:hAnsi="Arial" w:cs="Arial"/>
              </w:rPr>
            </w:pPr>
          </w:p>
        </w:tc>
      </w:tr>
      <w:tr w:rsidR="002240D1" w:rsidRPr="00DC3180" w14:paraId="1BBF9E2C" w14:textId="77777777" w:rsidTr="002240D1">
        <w:trPr>
          <w:trHeight w:val="429"/>
          <w:jc w:val="center"/>
        </w:trPr>
        <w:tc>
          <w:tcPr>
            <w:tcW w:w="2143" w:type="dxa"/>
          </w:tcPr>
          <w:p w14:paraId="667096CC" w14:textId="7BA0287C" w:rsidR="009B07EE" w:rsidRPr="00DC3180" w:rsidRDefault="003979F8" w:rsidP="002240D1">
            <w:pPr>
              <w:spacing w:line="276" w:lineRule="auto"/>
              <w:jc w:val="both"/>
              <w:rPr>
                <w:rFonts w:ascii="Arial" w:hAnsi="Arial" w:cs="Arial"/>
                <w:vanish/>
              </w:rPr>
            </w:pPr>
            <w:r>
              <w:rPr>
                <w:rFonts w:ascii="Arial" w:hAnsi="Arial" w:cs="Arial"/>
              </w:rPr>
              <w:lastRenderedPageBreak/>
              <w:t>C</w:t>
            </w:r>
            <w:r>
              <w:rPr>
                <w:rFonts w:ascii="Arial" w:hAnsi="Arial" w:cs="Arial"/>
                <w:vanish/>
              </w:rPr>
              <w:t>Capital Structure Capitl structure</w:t>
            </w:r>
          </w:p>
          <w:p w14:paraId="0855FBA3" w14:textId="3EAC108F" w:rsidR="009B07EE" w:rsidRPr="00DC3180" w:rsidRDefault="003979F8" w:rsidP="002240D1">
            <w:pPr>
              <w:tabs>
                <w:tab w:val="center" w:pos="767"/>
              </w:tabs>
              <w:spacing w:line="276" w:lineRule="auto"/>
              <w:jc w:val="both"/>
              <w:rPr>
                <w:rFonts w:ascii="Arial" w:hAnsi="Arial" w:cs="Arial"/>
              </w:rPr>
            </w:pPr>
            <w:proofErr w:type="spellStart"/>
            <w:r w:rsidRPr="003979F8">
              <w:rPr>
                <w:rFonts w:ascii="Arial" w:hAnsi="Arial" w:cs="Arial"/>
                <w:lang w:val="en"/>
              </w:rPr>
              <w:t>apital</w:t>
            </w:r>
            <w:proofErr w:type="spellEnd"/>
            <w:r w:rsidRPr="003979F8">
              <w:rPr>
                <w:rFonts w:ascii="Arial" w:hAnsi="Arial" w:cs="Arial"/>
                <w:lang w:val="en"/>
              </w:rPr>
              <w:t xml:space="preserve"> structure</w:t>
            </w:r>
          </w:p>
        </w:tc>
        <w:tc>
          <w:tcPr>
            <w:tcW w:w="4520" w:type="dxa"/>
          </w:tcPr>
          <w:p w14:paraId="65A3426D" w14:textId="38A54D9E" w:rsidR="009B07EE" w:rsidRPr="00DC3180" w:rsidRDefault="003979F8" w:rsidP="002240D1">
            <w:pPr>
              <w:spacing w:line="276" w:lineRule="auto"/>
              <w:jc w:val="both"/>
              <w:rPr>
                <w:rFonts w:ascii="Arial" w:hAnsi="Arial" w:cs="Arial"/>
              </w:rPr>
            </w:pPr>
            <w:r>
              <w:rPr>
                <w:rFonts w:ascii="Arial" w:hAnsi="Arial" w:cs="Arial"/>
              </w:rPr>
              <w:t>DER</w:t>
            </w:r>
            <w:r w:rsidR="00DC25AB">
              <w:rPr>
                <w:rFonts w:ascii="Arial" w:hAnsi="Arial" w:cs="Arial"/>
              </w:rPr>
              <w:t xml:space="preserve"> = total debt / total equity</w:t>
            </w:r>
          </w:p>
        </w:tc>
        <w:tc>
          <w:tcPr>
            <w:tcW w:w="1671" w:type="dxa"/>
          </w:tcPr>
          <w:p w14:paraId="433841DD" w14:textId="7B07ACE3" w:rsidR="009B07EE" w:rsidRPr="00DC25AB" w:rsidRDefault="00DC25AB" w:rsidP="002240D1">
            <w:pPr>
              <w:spacing w:line="276" w:lineRule="auto"/>
              <w:jc w:val="both"/>
              <w:rPr>
                <w:rFonts w:ascii="Arial" w:hAnsi="Arial" w:cs="Arial"/>
                <w:vanish/>
              </w:rPr>
            </w:pPr>
            <w:r w:rsidRPr="00DC25AB">
              <w:rPr>
                <w:rFonts w:ascii="Arial" w:hAnsi="Arial" w:cs="Arial"/>
                <w:lang w:val="id-ID"/>
              </w:rPr>
              <w:fldChar w:fldCharType="begin" w:fldLock="1"/>
            </w:r>
            <w:r w:rsidRPr="00DC25AB">
              <w:rPr>
                <w:rFonts w:ascii="Arial" w:hAnsi="Arial" w:cs="Arial"/>
                <w:lang w:val="id-ID"/>
              </w:rPr>
              <w:instrText>ADDIN CSL_CITATION {"citationItems":[{"id":"ITEM-1","itemData":{"author":[{"dropping-particle":"","family":"Mursad","given":"Iksmi","non-dropping-particle":"","parse-names":false,"suffix":""}],"id":"ITEM-1","issue":"April","issued":{"date-parts":[["2019"]]},"title":"Jurnal, 30 April 2019","type":"article-journal"},"uris":["http://www.mendeley.com/documents/?uuid=fcbfd67f-60ea-4235-9ddb-4ec939b572b2"]}],"mendeley":{"formattedCitation":"(Mursad, 2019)","plainTextFormattedCitation":"(Mursad, 2019)","previouslyFormattedCitation":"(Mursad, 2019)"},"properties":{"noteIndex":0},"schema":"https://github.com/citation-style-language/schema/raw/master/csl-citation.json"}</w:instrText>
            </w:r>
            <w:r w:rsidRPr="00DC25AB">
              <w:rPr>
                <w:rFonts w:ascii="Arial" w:hAnsi="Arial" w:cs="Arial"/>
                <w:lang w:val="id-ID"/>
              </w:rPr>
              <w:fldChar w:fldCharType="separate"/>
            </w:r>
            <w:r w:rsidRPr="00DC25AB">
              <w:rPr>
                <w:rFonts w:ascii="Arial" w:hAnsi="Arial" w:cs="Arial"/>
                <w:noProof/>
                <w:lang w:val="id-ID"/>
              </w:rPr>
              <w:t>(Mursad, 2019)</w:t>
            </w:r>
            <w:r w:rsidRPr="00DC25AB">
              <w:rPr>
                <w:rFonts w:ascii="Arial" w:hAnsi="Arial" w:cs="Arial"/>
                <w:lang w:val="id-ID"/>
              </w:rPr>
              <w:fldChar w:fldCharType="end"/>
            </w:r>
          </w:p>
          <w:p w14:paraId="60439533" w14:textId="77777777" w:rsidR="009B07EE" w:rsidRPr="00DC25AB" w:rsidRDefault="009B07EE" w:rsidP="002240D1">
            <w:pPr>
              <w:spacing w:line="276" w:lineRule="auto"/>
              <w:jc w:val="both"/>
              <w:rPr>
                <w:rFonts w:ascii="Arial" w:hAnsi="Arial" w:cs="Arial"/>
              </w:rPr>
            </w:pPr>
          </w:p>
        </w:tc>
      </w:tr>
      <w:tr w:rsidR="002240D1" w:rsidRPr="00DC3180" w14:paraId="05E6E3C7" w14:textId="77777777" w:rsidTr="002240D1">
        <w:trPr>
          <w:trHeight w:val="560"/>
          <w:jc w:val="center"/>
        </w:trPr>
        <w:tc>
          <w:tcPr>
            <w:tcW w:w="2143" w:type="dxa"/>
          </w:tcPr>
          <w:p w14:paraId="560D8729" w14:textId="5BE51701" w:rsidR="00F4361D" w:rsidRPr="00DC3180" w:rsidRDefault="003979F8" w:rsidP="002240D1">
            <w:pPr>
              <w:spacing w:line="276" w:lineRule="auto"/>
              <w:jc w:val="both"/>
              <w:rPr>
                <w:rFonts w:ascii="Arial" w:hAnsi="Arial"/>
              </w:rPr>
            </w:pPr>
            <w:r>
              <w:rPr>
                <w:rFonts w:ascii="Arial" w:hAnsi="Arial"/>
              </w:rPr>
              <w:t>Firm value</w:t>
            </w:r>
          </w:p>
        </w:tc>
        <w:tc>
          <w:tcPr>
            <w:tcW w:w="4520" w:type="dxa"/>
          </w:tcPr>
          <w:p w14:paraId="60070C81" w14:textId="10C689BF" w:rsidR="00F4361D" w:rsidRPr="00DC3180" w:rsidRDefault="003979F8" w:rsidP="002240D1">
            <w:pPr>
              <w:spacing w:line="276" w:lineRule="auto"/>
              <w:jc w:val="both"/>
              <w:rPr>
                <w:rFonts w:ascii="Arial" w:hAnsi="Arial"/>
              </w:rPr>
            </w:pPr>
            <w:r>
              <w:rPr>
                <w:rFonts w:ascii="Arial" w:hAnsi="Arial"/>
              </w:rPr>
              <w:t>PBV</w:t>
            </w:r>
            <w:r w:rsidR="00DC25AB">
              <w:rPr>
                <w:rFonts w:ascii="Arial" w:hAnsi="Arial"/>
              </w:rPr>
              <w:t xml:space="preserve"> = </w:t>
            </w:r>
            <w:r w:rsidR="00DC25AB" w:rsidRPr="00DC25AB">
              <w:rPr>
                <w:rFonts w:ascii="Arial" w:hAnsi="Arial"/>
              </w:rPr>
              <w:t>Market Price per share / Book Value per share</w:t>
            </w:r>
          </w:p>
        </w:tc>
        <w:tc>
          <w:tcPr>
            <w:tcW w:w="1671" w:type="dxa"/>
          </w:tcPr>
          <w:p w14:paraId="4CFC4B70" w14:textId="45B4F5F1" w:rsidR="00F4361D" w:rsidRPr="00DC25AB" w:rsidRDefault="00DC25AB" w:rsidP="002240D1">
            <w:pPr>
              <w:spacing w:line="276" w:lineRule="auto"/>
              <w:rPr>
                <w:rFonts w:ascii="Arial" w:hAnsi="Arial" w:cs="Arial"/>
              </w:rPr>
            </w:pPr>
            <w:r w:rsidRPr="00DC25AB">
              <w:rPr>
                <w:rFonts w:ascii="Arial" w:hAnsi="Arial" w:cs="Arial"/>
                <w:lang w:val="id-ID"/>
              </w:rPr>
              <w:fldChar w:fldCharType="begin" w:fldLock="1"/>
            </w:r>
            <w:r w:rsidRPr="00DC25AB">
              <w:rPr>
                <w:rFonts w:ascii="Arial" w:hAnsi="Arial" w:cs="Arial"/>
                <w:lang w:val="id-ID"/>
              </w:rPr>
              <w:instrText>ADDIN CSL_CITATION {"citationItems":[{"id":"ITEM-1","itemData":{"DOI":"10.47467/reslaj.v5i6.3804","ISSN":"2656-274X","abstract":" \r Company value is a certain condition of the company after several years of operation, which is an indicator of public trust in the company. The purpose of the study is to determine whether investment decisions in food and beverage companies listed on the IDX for the 2018-2021 period can affect company value through capital structure as an intervening variable. In this study using quantitative research. For the study, only 24 companies were selected from 32 food and beverage companies. Purposive sampling is the sampling method used in this study. Path Analysis is the method of analysis used. The results of the study show that Investment Decisions contribute to Company Value. Capital Structure is not able to be an intervening variable in the influence of investment decisions on Company Value.\r  Keywords: Investation decision; Capital Structure; The value of the company.","author":[{"dropping-particle":"","family":"Rizkiwati","given":"Nadila","non-dropping-particle":"","parse-names":false,"suffix":""},{"dropping-particle":"","family":"Anwar","given":"Muhadjir","non-dropping-particle":"","parse-names":false,"suffix":""}],"container-title":"Reslaj : Religion Education Social Laa Roiba Journal","id":"ITEM-1","issue":"6","issued":{"date-parts":[["2023"]]},"page":"3271-3282","title":"Pengaruh Keputusan Investasi terhadap Nilai Perusahaan dengan Struktur Modal sebagai Variabel Intervening pada Perusahaan Food &amp; Beverage yang Terdaftar di BEI","type":"article-journal","volume":"5"},"uris":["http://www.mendeley.com/documents/?uuid=323dbab5-1a04-401e-8cb2-3707de70c16b"]}],"mendeley":{"formattedCitation":"(Rizkiwati &amp; Anwar, 2023)","plainTextFormattedCitation":"(Rizkiwati &amp; Anwar, 2023)","previouslyFormattedCitation":"(Rizkiwati &amp; Anwar, 2023)"},"properties":{"noteIndex":0},"schema":"https://github.com/citation-style-language/schema/raw/master/csl-citation.json"}</w:instrText>
            </w:r>
            <w:r w:rsidRPr="00DC25AB">
              <w:rPr>
                <w:rFonts w:ascii="Arial" w:hAnsi="Arial" w:cs="Arial"/>
                <w:lang w:val="id-ID"/>
              </w:rPr>
              <w:fldChar w:fldCharType="separate"/>
            </w:r>
            <w:r w:rsidRPr="00DC25AB">
              <w:rPr>
                <w:rFonts w:ascii="Arial" w:hAnsi="Arial" w:cs="Arial"/>
                <w:noProof/>
                <w:lang w:val="id-ID"/>
              </w:rPr>
              <w:t>(Rizkiwati &amp; Anwar, 2023)</w:t>
            </w:r>
            <w:r w:rsidRPr="00DC25AB">
              <w:rPr>
                <w:rFonts w:ascii="Arial" w:hAnsi="Arial" w:cs="Arial"/>
                <w:lang w:val="id-ID"/>
              </w:rPr>
              <w:fldChar w:fldCharType="end"/>
            </w:r>
            <w:r w:rsidRPr="00DC25AB">
              <w:rPr>
                <w:rFonts w:ascii="Arial" w:hAnsi="Arial" w:cs="Arial"/>
                <w:lang w:val="id-ID"/>
              </w:rPr>
              <w:t xml:space="preserve"> </w:t>
            </w:r>
          </w:p>
        </w:tc>
      </w:tr>
    </w:tbl>
    <w:p w14:paraId="1AA75196" w14:textId="77777777" w:rsidR="000C522A" w:rsidRPr="00FB3A86" w:rsidRDefault="000C522A" w:rsidP="00441B6F">
      <w:pPr>
        <w:pStyle w:val="Body"/>
        <w:spacing w:after="0"/>
        <w:rPr>
          <w:rFonts w:ascii="Arial" w:hAnsi="Arial" w:cs="Arial"/>
        </w:rPr>
      </w:pPr>
    </w:p>
    <w:p w14:paraId="7525055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84AC4C8" w14:textId="77777777" w:rsidR="00790ADA" w:rsidRPr="00FB3A86" w:rsidRDefault="00790ADA" w:rsidP="00441B6F">
      <w:pPr>
        <w:pStyle w:val="Head1"/>
        <w:spacing w:after="0"/>
        <w:jc w:val="both"/>
        <w:rPr>
          <w:rFonts w:ascii="Arial" w:hAnsi="Arial" w:cs="Arial"/>
        </w:rPr>
      </w:pPr>
    </w:p>
    <w:p w14:paraId="7E9E572B" w14:textId="09161490" w:rsidR="007E7ED2" w:rsidRDefault="00A5232F" w:rsidP="007E7ED2">
      <w:pPr>
        <w:pStyle w:val="Body"/>
        <w:spacing w:after="0"/>
        <w:rPr>
          <w:rFonts w:ascii="Arial" w:hAnsi="Arial" w:cs="Arial"/>
          <w:b/>
          <w:bCs/>
          <w:sz w:val="22"/>
          <w:szCs w:val="22"/>
        </w:rPr>
      </w:pPr>
      <w:r w:rsidRPr="00A5232F">
        <w:rPr>
          <w:rFonts w:ascii="Arial" w:hAnsi="Arial" w:cs="Arial"/>
          <w:b/>
          <w:bCs/>
          <w:sz w:val="22"/>
          <w:szCs w:val="22"/>
        </w:rPr>
        <w:t xml:space="preserve">3.1 </w:t>
      </w:r>
      <w:r w:rsidR="007E7ED2" w:rsidRPr="007E7ED2">
        <w:rPr>
          <w:rFonts w:ascii="Arial" w:hAnsi="Arial" w:cs="Arial"/>
          <w:b/>
          <w:bCs/>
          <w:sz w:val="22"/>
          <w:szCs w:val="22"/>
        </w:rPr>
        <w:t>Descriptive Statistical Analysis</w:t>
      </w:r>
    </w:p>
    <w:p w14:paraId="6446B263" w14:textId="1EF0D23E" w:rsidR="00673E41" w:rsidRDefault="002240D1" w:rsidP="002240D1">
      <w:pPr>
        <w:pStyle w:val="Body"/>
        <w:spacing w:after="0"/>
        <w:jc w:val="center"/>
        <w:rPr>
          <w:rFonts w:ascii="Arial" w:hAnsi="Arial" w:cs="Arial"/>
          <w:b/>
          <w:bCs/>
          <w:sz w:val="22"/>
          <w:szCs w:val="22"/>
        </w:rPr>
      </w:pPr>
      <w:r w:rsidRPr="008D7703">
        <w:rPr>
          <w:rFonts w:ascii="Arial" w:hAnsi="Arial"/>
          <w:b/>
        </w:rPr>
        <w:t xml:space="preserve">Table </w:t>
      </w:r>
      <w:r>
        <w:rPr>
          <w:rFonts w:ascii="Arial" w:hAnsi="Arial"/>
          <w:b/>
        </w:rPr>
        <w:t>3</w:t>
      </w:r>
      <w:r w:rsidRPr="008D7703">
        <w:rPr>
          <w:rFonts w:ascii="Arial" w:hAnsi="Arial"/>
          <w:b/>
        </w:rPr>
        <w:t>.</w:t>
      </w:r>
      <w:r w:rsidRPr="002240D1">
        <w:rPr>
          <w:rFonts w:ascii="Arial" w:hAnsi="Arial" w:cs="Arial"/>
          <w:sz w:val="18"/>
          <w:szCs w:val="18"/>
          <w:shd w:val="clear" w:color="auto" w:fill="FFFFFF"/>
        </w:rPr>
        <w:t xml:space="preserve"> </w:t>
      </w:r>
      <w:r w:rsidRPr="002240D1">
        <w:rPr>
          <w:rFonts w:ascii="Arial" w:hAnsi="Arial"/>
          <w:b/>
        </w:rPr>
        <w:t>Results of descriptive statistical analysis</w:t>
      </w:r>
    </w:p>
    <w:tbl>
      <w:tblPr>
        <w:tblStyle w:val="TableGrid"/>
        <w:tblW w:w="7654" w:type="dxa"/>
        <w:tblInd w:w="534"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2251"/>
        <w:gridCol w:w="698"/>
        <w:gridCol w:w="1161"/>
        <w:gridCol w:w="1134"/>
        <w:gridCol w:w="851"/>
        <w:gridCol w:w="1559"/>
      </w:tblGrid>
      <w:tr w:rsidR="00673E41" w:rsidRPr="00673E41" w14:paraId="275E3617" w14:textId="77777777" w:rsidTr="00673E41">
        <w:trPr>
          <w:trHeight w:val="253"/>
        </w:trPr>
        <w:tc>
          <w:tcPr>
            <w:tcW w:w="7654" w:type="dxa"/>
            <w:gridSpan w:val="6"/>
          </w:tcPr>
          <w:p w14:paraId="702DC7FD" w14:textId="77777777" w:rsidR="00673E41" w:rsidRPr="00673E41" w:rsidRDefault="00673E41" w:rsidP="00673E41">
            <w:pPr>
              <w:pStyle w:val="ListParagraph"/>
              <w:spacing w:after="0" w:line="240" w:lineRule="auto"/>
              <w:ind w:left="0"/>
              <w:jc w:val="center"/>
              <w:rPr>
                <w:rFonts w:ascii="Arial" w:hAnsi="Arial" w:cs="Arial"/>
                <w:sz w:val="20"/>
                <w:szCs w:val="20"/>
              </w:rPr>
            </w:pPr>
            <w:bookmarkStart w:id="1" w:name="_Hlk209219815"/>
            <w:r w:rsidRPr="00673E41">
              <w:rPr>
                <w:rFonts w:ascii="Arial" w:hAnsi="Arial" w:cs="Arial"/>
                <w:b/>
                <w:bCs/>
                <w:sz w:val="20"/>
                <w:szCs w:val="20"/>
              </w:rPr>
              <w:t>Descriptive Statistics</w:t>
            </w:r>
          </w:p>
        </w:tc>
      </w:tr>
      <w:tr w:rsidR="00673E41" w:rsidRPr="00673E41" w14:paraId="2DCCBC15" w14:textId="77777777" w:rsidTr="00673E41">
        <w:trPr>
          <w:trHeight w:val="507"/>
        </w:trPr>
        <w:tc>
          <w:tcPr>
            <w:tcW w:w="2251" w:type="dxa"/>
            <w:tcBorders>
              <w:bottom w:val="single" w:sz="4" w:space="0" w:color="auto"/>
              <w:right w:val="nil"/>
            </w:tcBorders>
          </w:tcPr>
          <w:p w14:paraId="644DC986" w14:textId="77777777" w:rsidR="00673E41" w:rsidRPr="00673E41" w:rsidRDefault="00673E41" w:rsidP="00673E41">
            <w:pPr>
              <w:pStyle w:val="ListParagraph"/>
              <w:spacing w:after="0" w:line="240" w:lineRule="auto"/>
              <w:ind w:left="0"/>
              <w:rPr>
                <w:rFonts w:ascii="Arial" w:hAnsi="Arial" w:cs="Arial"/>
                <w:sz w:val="20"/>
                <w:szCs w:val="20"/>
              </w:rPr>
            </w:pPr>
          </w:p>
        </w:tc>
        <w:tc>
          <w:tcPr>
            <w:tcW w:w="698" w:type="dxa"/>
            <w:tcBorders>
              <w:left w:val="nil"/>
              <w:bottom w:val="single" w:sz="4" w:space="0" w:color="auto"/>
              <w:right w:val="nil"/>
            </w:tcBorders>
          </w:tcPr>
          <w:p w14:paraId="17390A3A"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N</w:t>
            </w:r>
          </w:p>
        </w:tc>
        <w:tc>
          <w:tcPr>
            <w:tcW w:w="1161" w:type="dxa"/>
            <w:tcBorders>
              <w:left w:val="nil"/>
              <w:bottom w:val="single" w:sz="4" w:space="0" w:color="auto"/>
              <w:right w:val="nil"/>
            </w:tcBorders>
          </w:tcPr>
          <w:p w14:paraId="0249FFCE"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Minimum</w:t>
            </w:r>
          </w:p>
        </w:tc>
        <w:tc>
          <w:tcPr>
            <w:tcW w:w="1134" w:type="dxa"/>
            <w:tcBorders>
              <w:left w:val="nil"/>
              <w:bottom w:val="single" w:sz="4" w:space="0" w:color="auto"/>
              <w:right w:val="nil"/>
            </w:tcBorders>
          </w:tcPr>
          <w:p w14:paraId="6BE7462B"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Maximum</w:t>
            </w:r>
          </w:p>
        </w:tc>
        <w:tc>
          <w:tcPr>
            <w:tcW w:w="851" w:type="dxa"/>
            <w:tcBorders>
              <w:left w:val="nil"/>
              <w:bottom w:val="single" w:sz="4" w:space="0" w:color="auto"/>
              <w:right w:val="nil"/>
            </w:tcBorders>
          </w:tcPr>
          <w:p w14:paraId="227BD2A4"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Mean</w:t>
            </w:r>
          </w:p>
        </w:tc>
        <w:tc>
          <w:tcPr>
            <w:tcW w:w="1559" w:type="dxa"/>
            <w:tcBorders>
              <w:left w:val="nil"/>
              <w:bottom w:val="single" w:sz="4" w:space="0" w:color="auto"/>
            </w:tcBorders>
          </w:tcPr>
          <w:p w14:paraId="034CA118"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Std. Deviation</w:t>
            </w:r>
          </w:p>
        </w:tc>
      </w:tr>
      <w:tr w:rsidR="00673E41" w:rsidRPr="00673E41" w14:paraId="6BBE233D" w14:textId="77777777" w:rsidTr="00673E41">
        <w:trPr>
          <w:trHeight w:val="207"/>
        </w:trPr>
        <w:tc>
          <w:tcPr>
            <w:tcW w:w="2251" w:type="dxa"/>
            <w:tcBorders>
              <w:bottom w:val="nil"/>
              <w:right w:val="nil"/>
            </w:tcBorders>
          </w:tcPr>
          <w:p w14:paraId="22584B79" w14:textId="3D3F9E7B" w:rsidR="00673E41" w:rsidRPr="00673E41" w:rsidRDefault="00673E41" w:rsidP="00673E41">
            <w:pPr>
              <w:pStyle w:val="ListParagraph"/>
              <w:spacing w:after="0" w:line="240" w:lineRule="auto"/>
              <w:ind w:left="0"/>
              <w:rPr>
                <w:rFonts w:ascii="Arial" w:hAnsi="Arial" w:cs="Arial"/>
                <w:sz w:val="20"/>
                <w:szCs w:val="20"/>
              </w:rPr>
            </w:pPr>
            <w:r>
              <w:rPr>
                <w:rFonts w:ascii="Arial" w:hAnsi="Arial" w:cs="Arial"/>
                <w:sz w:val="20"/>
                <w:szCs w:val="20"/>
              </w:rPr>
              <w:t xml:space="preserve">Investment </w:t>
            </w:r>
            <w:proofErr w:type="spellStart"/>
            <w:r>
              <w:rPr>
                <w:rFonts w:ascii="Arial" w:hAnsi="Arial" w:cs="Arial"/>
                <w:sz w:val="20"/>
                <w:szCs w:val="20"/>
              </w:rPr>
              <w:t>Desision</w:t>
            </w:r>
            <w:proofErr w:type="spellEnd"/>
          </w:p>
        </w:tc>
        <w:tc>
          <w:tcPr>
            <w:tcW w:w="698" w:type="dxa"/>
            <w:tcBorders>
              <w:left w:val="nil"/>
              <w:bottom w:val="nil"/>
              <w:right w:val="nil"/>
            </w:tcBorders>
          </w:tcPr>
          <w:p w14:paraId="30542345"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104</w:t>
            </w:r>
          </w:p>
        </w:tc>
        <w:tc>
          <w:tcPr>
            <w:tcW w:w="1161" w:type="dxa"/>
            <w:tcBorders>
              <w:left w:val="nil"/>
              <w:bottom w:val="nil"/>
              <w:right w:val="nil"/>
            </w:tcBorders>
          </w:tcPr>
          <w:p w14:paraId="26D9DE64"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-0,47</w:t>
            </w:r>
          </w:p>
        </w:tc>
        <w:tc>
          <w:tcPr>
            <w:tcW w:w="1134" w:type="dxa"/>
            <w:tcBorders>
              <w:left w:val="nil"/>
              <w:bottom w:val="nil"/>
              <w:right w:val="nil"/>
            </w:tcBorders>
          </w:tcPr>
          <w:p w14:paraId="0F357161"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4,00</w:t>
            </w:r>
          </w:p>
        </w:tc>
        <w:tc>
          <w:tcPr>
            <w:tcW w:w="851" w:type="dxa"/>
            <w:tcBorders>
              <w:left w:val="nil"/>
              <w:bottom w:val="nil"/>
              <w:right w:val="nil"/>
            </w:tcBorders>
          </w:tcPr>
          <w:p w14:paraId="104B61EB"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0,0727</w:t>
            </w:r>
          </w:p>
        </w:tc>
        <w:tc>
          <w:tcPr>
            <w:tcW w:w="1559" w:type="dxa"/>
            <w:tcBorders>
              <w:left w:val="nil"/>
              <w:bottom w:val="nil"/>
              <w:right w:val="nil"/>
            </w:tcBorders>
          </w:tcPr>
          <w:p w14:paraId="36F83962"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0,468</w:t>
            </w:r>
          </w:p>
        </w:tc>
      </w:tr>
      <w:tr w:rsidR="00673E41" w:rsidRPr="00673E41" w14:paraId="171D12DE" w14:textId="77777777" w:rsidTr="00673E41">
        <w:trPr>
          <w:trHeight w:val="137"/>
        </w:trPr>
        <w:tc>
          <w:tcPr>
            <w:tcW w:w="2251" w:type="dxa"/>
            <w:tcBorders>
              <w:top w:val="nil"/>
              <w:bottom w:val="nil"/>
              <w:right w:val="nil"/>
            </w:tcBorders>
          </w:tcPr>
          <w:p w14:paraId="785AD5AA" w14:textId="049CB327" w:rsidR="00673E41" w:rsidRPr="00673E41" w:rsidRDefault="00673E41" w:rsidP="00673E41">
            <w:pPr>
              <w:pStyle w:val="ListParagraph"/>
              <w:spacing w:after="0" w:line="240" w:lineRule="auto"/>
              <w:ind w:left="0"/>
              <w:rPr>
                <w:rFonts w:ascii="Arial" w:hAnsi="Arial" w:cs="Arial"/>
                <w:sz w:val="20"/>
                <w:szCs w:val="20"/>
              </w:rPr>
            </w:pPr>
            <w:r>
              <w:rPr>
                <w:rFonts w:ascii="Arial" w:hAnsi="Arial" w:cs="Arial"/>
                <w:sz w:val="20"/>
                <w:szCs w:val="20"/>
              </w:rPr>
              <w:t>Dividend Policy</w:t>
            </w:r>
          </w:p>
        </w:tc>
        <w:tc>
          <w:tcPr>
            <w:tcW w:w="698" w:type="dxa"/>
            <w:tcBorders>
              <w:top w:val="nil"/>
              <w:left w:val="nil"/>
              <w:bottom w:val="nil"/>
              <w:right w:val="nil"/>
            </w:tcBorders>
          </w:tcPr>
          <w:p w14:paraId="4FC3DA5C"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104</w:t>
            </w:r>
          </w:p>
        </w:tc>
        <w:tc>
          <w:tcPr>
            <w:tcW w:w="1161" w:type="dxa"/>
            <w:tcBorders>
              <w:top w:val="nil"/>
              <w:left w:val="nil"/>
              <w:bottom w:val="nil"/>
              <w:right w:val="nil"/>
            </w:tcBorders>
          </w:tcPr>
          <w:p w14:paraId="279CE226"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7,25</w:t>
            </w:r>
          </w:p>
        </w:tc>
        <w:tc>
          <w:tcPr>
            <w:tcW w:w="1134" w:type="dxa"/>
            <w:tcBorders>
              <w:top w:val="nil"/>
              <w:left w:val="nil"/>
              <w:bottom w:val="nil"/>
              <w:right w:val="nil"/>
            </w:tcBorders>
          </w:tcPr>
          <w:p w14:paraId="489CA6C4"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739,91</w:t>
            </w:r>
          </w:p>
        </w:tc>
        <w:tc>
          <w:tcPr>
            <w:tcW w:w="851" w:type="dxa"/>
            <w:tcBorders>
              <w:top w:val="nil"/>
              <w:left w:val="nil"/>
              <w:bottom w:val="nil"/>
              <w:right w:val="nil"/>
            </w:tcBorders>
          </w:tcPr>
          <w:p w14:paraId="3CB69AAD"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71,399</w:t>
            </w:r>
          </w:p>
        </w:tc>
        <w:tc>
          <w:tcPr>
            <w:tcW w:w="1559" w:type="dxa"/>
            <w:tcBorders>
              <w:top w:val="nil"/>
              <w:left w:val="nil"/>
              <w:bottom w:val="nil"/>
              <w:right w:val="nil"/>
            </w:tcBorders>
          </w:tcPr>
          <w:p w14:paraId="4458A0C9"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88,198</w:t>
            </w:r>
          </w:p>
        </w:tc>
      </w:tr>
      <w:tr w:rsidR="00673E41" w:rsidRPr="00673E41" w14:paraId="6F19119A" w14:textId="77777777" w:rsidTr="00673E41">
        <w:trPr>
          <w:trHeight w:val="131"/>
        </w:trPr>
        <w:tc>
          <w:tcPr>
            <w:tcW w:w="2251" w:type="dxa"/>
            <w:tcBorders>
              <w:top w:val="nil"/>
              <w:bottom w:val="nil"/>
              <w:right w:val="nil"/>
            </w:tcBorders>
          </w:tcPr>
          <w:p w14:paraId="51698BF0" w14:textId="336F1BAA" w:rsidR="00673E41" w:rsidRPr="00673E41" w:rsidRDefault="00673E41" w:rsidP="00673E41">
            <w:pPr>
              <w:pStyle w:val="ListParagraph"/>
              <w:spacing w:after="0" w:line="240" w:lineRule="auto"/>
              <w:ind w:left="0"/>
              <w:rPr>
                <w:rFonts w:ascii="Arial" w:hAnsi="Arial" w:cs="Arial"/>
                <w:sz w:val="20"/>
                <w:szCs w:val="20"/>
              </w:rPr>
            </w:pPr>
            <w:r>
              <w:rPr>
                <w:rFonts w:ascii="Arial" w:hAnsi="Arial" w:cs="Arial"/>
                <w:sz w:val="20"/>
                <w:szCs w:val="20"/>
              </w:rPr>
              <w:t>Sales Growth</w:t>
            </w:r>
          </w:p>
        </w:tc>
        <w:tc>
          <w:tcPr>
            <w:tcW w:w="698" w:type="dxa"/>
            <w:tcBorders>
              <w:top w:val="nil"/>
              <w:left w:val="nil"/>
              <w:bottom w:val="nil"/>
              <w:right w:val="nil"/>
            </w:tcBorders>
          </w:tcPr>
          <w:p w14:paraId="592A665B"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104</w:t>
            </w:r>
          </w:p>
        </w:tc>
        <w:tc>
          <w:tcPr>
            <w:tcW w:w="1161" w:type="dxa"/>
            <w:tcBorders>
              <w:top w:val="nil"/>
              <w:left w:val="nil"/>
              <w:bottom w:val="nil"/>
              <w:right w:val="nil"/>
            </w:tcBorders>
          </w:tcPr>
          <w:p w14:paraId="4AA587AD"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-0,35</w:t>
            </w:r>
          </w:p>
        </w:tc>
        <w:tc>
          <w:tcPr>
            <w:tcW w:w="1134" w:type="dxa"/>
            <w:tcBorders>
              <w:top w:val="nil"/>
              <w:left w:val="nil"/>
              <w:bottom w:val="nil"/>
              <w:right w:val="nil"/>
            </w:tcBorders>
          </w:tcPr>
          <w:p w14:paraId="4B52D0CA"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1,18</w:t>
            </w:r>
          </w:p>
        </w:tc>
        <w:tc>
          <w:tcPr>
            <w:tcW w:w="851" w:type="dxa"/>
            <w:tcBorders>
              <w:top w:val="nil"/>
              <w:left w:val="nil"/>
              <w:bottom w:val="nil"/>
              <w:right w:val="nil"/>
            </w:tcBorders>
          </w:tcPr>
          <w:p w14:paraId="4320A029"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0,119</w:t>
            </w:r>
          </w:p>
        </w:tc>
        <w:tc>
          <w:tcPr>
            <w:tcW w:w="1559" w:type="dxa"/>
            <w:tcBorders>
              <w:top w:val="nil"/>
              <w:left w:val="nil"/>
              <w:bottom w:val="nil"/>
              <w:right w:val="nil"/>
            </w:tcBorders>
          </w:tcPr>
          <w:p w14:paraId="55AD295F"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0,221</w:t>
            </w:r>
          </w:p>
        </w:tc>
      </w:tr>
      <w:tr w:rsidR="00673E41" w:rsidRPr="00673E41" w14:paraId="212372DC" w14:textId="77777777" w:rsidTr="00673E41">
        <w:trPr>
          <w:trHeight w:val="80"/>
        </w:trPr>
        <w:tc>
          <w:tcPr>
            <w:tcW w:w="2251" w:type="dxa"/>
            <w:tcBorders>
              <w:top w:val="nil"/>
              <w:bottom w:val="nil"/>
              <w:right w:val="nil"/>
            </w:tcBorders>
          </w:tcPr>
          <w:p w14:paraId="2FC536F5" w14:textId="02C61364" w:rsidR="00673E41" w:rsidRPr="00673E41" w:rsidRDefault="00673E41" w:rsidP="00673E41">
            <w:pPr>
              <w:pStyle w:val="ListParagraph"/>
              <w:spacing w:after="0" w:line="240" w:lineRule="auto"/>
              <w:ind w:left="0"/>
              <w:rPr>
                <w:rFonts w:ascii="Arial" w:hAnsi="Arial" w:cs="Arial"/>
                <w:sz w:val="20"/>
                <w:szCs w:val="20"/>
              </w:rPr>
            </w:pPr>
            <w:r>
              <w:rPr>
                <w:rFonts w:ascii="Arial" w:hAnsi="Arial" w:cs="Arial"/>
                <w:sz w:val="20"/>
                <w:szCs w:val="20"/>
              </w:rPr>
              <w:t>Capital Structure</w:t>
            </w:r>
          </w:p>
        </w:tc>
        <w:tc>
          <w:tcPr>
            <w:tcW w:w="698" w:type="dxa"/>
            <w:tcBorders>
              <w:top w:val="nil"/>
              <w:left w:val="nil"/>
              <w:bottom w:val="nil"/>
              <w:right w:val="nil"/>
            </w:tcBorders>
          </w:tcPr>
          <w:p w14:paraId="3BDA3224"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104</w:t>
            </w:r>
          </w:p>
        </w:tc>
        <w:tc>
          <w:tcPr>
            <w:tcW w:w="1161" w:type="dxa"/>
            <w:tcBorders>
              <w:top w:val="nil"/>
              <w:left w:val="nil"/>
              <w:bottom w:val="nil"/>
              <w:right w:val="nil"/>
            </w:tcBorders>
          </w:tcPr>
          <w:p w14:paraId="3CC26073"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0,01</w:t>
            </w:r>
          </w:p>
        </w:tc>
        <w:tc>
          <w:tcPr>
            <w:tcW w:w="1134" w:type="dxa"/>
            <w:tcBorders>
              <w:top w:val="nil"/>
              <w:left w:val="nil"/>
              <w:bottom w:val="nil"/>
              <w:right w:val="nil"/>
            </w:tcBorders>
          </w:tcPr>
          <w:p w14:paraId="07FAFFA9"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3,07</w:t>
            </w:r>
          </w:p>
        </w:tc>
        <w:tc>
          <w:tcPr>
            <w:tcW w:w="851" w:type="dxa"/>
            <w:tcBorders>
              <w:top w:val="nil"/>
              <w:left w:val="nil"/>
              <w:bottom w:val="nil"/>
              <w:right w:val="nil"/>
            </w:tcBorders>
          </w:tcPr>
          <w:p w14:paraId="432EAEBE"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0,773</w:t>
            </w:r>
          </w:p>
        </w:tc>
        <w:tc>
          <w:tcPr>
            <w:tcW w:w="1559" w:type="dxa"/>
            <w:tcBorders>
              <w:top w:val="nil"/>
              <w:left w:val="nil"/>
              <w:bottom w:val="nil"/>
              <w:right w:val="nil"/>
            </w:tcBorders>
          </w:tcPr>
          <w:p w14:paraId="70F27946"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0,621</w:t>
            </w:r>
          </w:p>
        </w:tc>
      </w:tr>
      <w:tr w:rsidR="00673E41" w:rsidRPr="00673E41" w14:paraId="5B021635" w14:textId="77777777" w:rsidTr="00673E41">
        <w:trPr>
          <w:trHeight w:val="199"/>
        </w:trPr>
        <w:tc>
          <w:tcPr>
            <w:tcW w:w="2251" w:type="dxa"/>
            <w:tcBorders>
              <w:top w:val="nil"/>
              <w:right w:val="nil"/>
            </w:tcBorders>
          </w:tcPr>
          <w:p w14:paraId="67FA2248" w14:textId="34DDE1D0" w:rsidR="00673E41" w:rsidRPr="00673E41" w:rsidRDefault="00673E41" w:rsidP="00673E41">
            <w:pPr>
              <w:pStyle w:val="ListParagraph"/>
              <w:spacing w:after="0" w:line="240" w:lineRule="auto"/>
              <w:ind w:left="0"/>
              <w:rPr>
                <w:rFonts w:ascii="Arial" w:hAnsi="Arial" w:cs="Arial"/>
                <w:sz w:val="20"/>
                <w:szCs w:val="20"/>
              </w:rPr>
            </w:pPr>
            <w:r>
              <w:rPr>
                <w:rFonts w:ascii="Arial" w:hAnsi="Arial" w:cs="Arial"/>
                <w:sz w:val="20"/>
                <w:szCs w:val="20"/>
              </w:rPr>
              <w:t>Firm Value</w:t>
            </w:r>
          </w:p>
        </w:tc>
        <w:tc>
          <w:tcPr>
            <w:tcW w:w="698" w:type="dxa"/>
            <w:tcBorders>
              <w:top w:val="nil"/>
              <w:left w:val="nil"/>
              <w:right w:val="nil"/>
            </w:tcBorders>
          </w:tcPr>
          <w:p w14:paraId="0202257D"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104</w:t>
            </w:r>
          </w:p>
        </w:tc>
        <w:tc>
          <w:tcPr>
            <w:tcW w:w="1161" w:type="dxa"/>
            <w:tcBorders>
              <w:top w:val="nil"/>
              <w:left w:val="nil"/>
              <w:right w:val="nil"/>
            </w:tcBorders>
          </w:tcPr>
          <w:p w14:paraId="2764CD28"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0,33</w:t>
            </w:r>
          </w:p>
        </w:tc>
        <w:tc>
          <w:tcPr>
            <w:tcW w:w="1134" w:type="dxa"/>
            <w:tcBorders>
              <w:top w:val="nil"/>
              <w:left w:val="nil"/>
              <w:right w:val="nil"/>
            </w:tcBorders>
          </w:tcPr>
          <w:p w14:paraId="611F3978"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22,08</w:t>
            </w:r>
          </w:p>
        </w:tc>
        <w:tc>
          <w:tcPr>
            <w:tcW w:w="851" w:type="dxa"/>
            <w:tcBorders>
              <w:top w:val="nil"/>
              <w:left w:val="nil"/>
              <w:right w:val="nil"/>
            </w:tcBorders>
          </w:tcPr>
          <w:p w14:paraId="05EC9B72"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2,794</w:t>
            </w:r>
          </w:p>
        </w:tc>
        <w:tc>
          <w:tcPr>
            <w:tcW w:w="1559" w:type="dxa"/>
            <w:tcBorders>
              <w:top w:val="nil"/>
              <w:left w:val="nil"/>
              <w:right w:val="nil"/>
            </w:tcBorders>
          </w:tcPr>
          <w:p w14:paraId="611418A3" w14:textId="77777777" w:rsidR="00673E41" w:rsidRPr="00673E41" w:rsidRDefault="00673E41" w:rsidP="00673E41">
            <w:pPr>
              <w:pStyle w:val="ListParagraph"/>
              <w:spacing w:after="0" w:line="240" w:lineRule="auto"/>
              <w:ind w:left="0"/>
              <w:jc w:val="right"/>
              <w:rPr>
                <w:rFonts w:ascii="Arial" w:hAnsi="Arial" w:cs="Arial"/>
                <w:sz w:val="20"/>
                <w:szCs w:val="20"/>
              </w:rPr>
            </w:pPr>
            <w:r w:rsidRPr="00673E41">
              <w:rPr>
                <w:rFonts w:ascii="Arial" w:hAnsi="Arial" w:cs="Arial"/>
                <w:sz w:val="20"/>
                <w:szCs w:val="20"/>
              </w:rPr>
              <w:t>3,519</w:t>
            </w:r>
          </w:p>
        </w:tc>
      </w:tr>
    </w:tbl>
    <w:bookmarkEnd w:id="1"/>
    <w:p w14:paraId="598ADD52" w14:textId="3862500C" w:rsidR="007E7ED2" w:rsidRPr="007E7ED2" w:rsidRDefault="007E7ED2" w:rsidP="007E7ED2">
      <w:pPr>
        <w:pStyle w:val="Body"/>
        <w:spacing w:after="0"/>
        <w:rPr>
          <w:rFonts w:ascii="Arial" w:hAnsi="Arial" w:cs="Arial"/>
        </w:rPr>
      </w:pPr>
      <w:r w:rsidRPr="007E7ED2">
        <w:rPr>
          <w:rFonts w:ascii="Arial" w:hAnsi="Arial" w:cs="Arial"/>
        </w:rPr>
        <w:t>Based on descriptive statistical analysis of 104 samples, the Investment Decision variable has an average of 0.0727 with a standard deviation of 0.468, indicating uneven data distribution because the standard deviation is greater than the average. The values range from -0.47 to 4.00. The Dividend Policy variable shows an average of 71.399 with a standard deviation of 88.198, also indicating a poor data distribution, with a minimum value of 7.25 and a maximum of 739.91. The Company Growth variable has an average of 0.119 and a standard deviation of 0.221, indicating an uneven distribution with a range of -0.35 to 1.18. Meanwhile, Capital Structure has an average of 0.773 with a standard deviation of 0.621, indicating fairly good data quality because the average is greater than the standard deviation, with a minimum value of 0.01 and a maximum of 3.07. Company Value shows an average of 2.794 and a standard deviation of 3.519, indicating a poor distribution with a minimum value of 0.33 and a maximum of 22.08.</w:t>
      </w:r>
    </w:p>
    <w:p w14:paraId="2FAA6B82" w14:textId="707A315F" w:rsidR="00231920" w:rsidRDefault="00231920" w:rsidP="00441B6F">
      <w:pPr>
        <w:pStyle w:val="Body"/>
        <w:spacing w:after="0"/>
        <w:rPr>
          <w:rFonts w:ascii="Arial" w:hAnsi="Arial" w:cs="Arial"/>
        </w:rPr>
      </w:pPr>
    </w:p>
    <w:p w14:paraId="37EB2C20" w14:textId="366B73B1" w:rsidR="00790ADA" w:rsidRPr="00A5232F" w:rsidRDefault="00A5232F" w:rsidP="00441B6F">
      <w:pPr>
        <w:pStyle w:val="Body"/>
        <w:spacing w:after="0"/>
        <w:rPr>
          <w:rFonts w:ascii="Arial" w:hAnsi="Arial" w:cs="Arial"/>
          <w:b/>
          <w:bCs/>
          <w:sz w:val="22"/>
          <w:szCs w:val="22"/>
        </w:rPr>
      </w:pPr>
      <w:r w:rsidRPr="00A5232F">
        <w:rPr>
          <w:rFonts w:ascii="Arial" w:hAnsi="Arial" w:cs="Arial"/>
          <w:b/>
          <w:bCs/>
          <w:sz w:val="22"/>
          <w:szCs w:val="22"/>
        </w:rPr>
        <w:t xml:space="preserve">3.2 </w:t>
      </w:r>
      <w:r w:rsidR="007E7ED2" w:rsidRPr="00A5232F">
        <w:rPr>
          <w:rFonts w:ascii="Arial" w:hAnsi="Arial" w:cs="Arial"/>
          <w:b/>
          <w:bCs/>
          <w:sz w:val="22"/>
          <w:szCs w:val="22"/>
        </w:rPr>
        <w:t>Classic Assumption</w:t>
      </w:r>
    </w:p>
    <w:p w14:paraId="515816BD" w14:textId="57F841E7" w:rsidR="007E7ED2" w:rsidRDefault="003730CB" w:rsidP="00441B6F">
      <w:pPr>
        <w:pStyle w:val="Body"/>
        <w:spacing w:after="0"/>
        <w:rPr>
          <w:rFonts w:ascii="Arial" w:hAnsi="Arial" w:cs="Arial"/>
          <w:b/>
          <w:bCs/>
          <w:lang w:val="id-ID"/>
        </w:rPr>
      </w:pPr>
      <w:r>
        <w:rPr>
          <w:rFonts w:ascii="Arial" w:hAnsi="Arial" w:cs="Arial"/>
          <w:b/>
          <w:bCs/>
          <w:lang w:val="id-ID"/>
        </w:rPr>
        <w:t xml:space="preserve">3.2.1 </w:t>
      </w:r>
      <w:r w:rsidR="007E7ED2" w:rsidRPr="007E7ED2">
        <w:rPr>
          <w:rFonts w:ascii="Arial" w:hAnsi="Arial" w:cs="Arial"/>
          <w:b/>
          <w:bCs/>
          <w:lang w:val="id-ID"/>
        </w:rPr>
        <w:t>Normalitas test</w:t>
      </w:r>
    </w:p>
    <w:p w14:paraId="3E2A0B5A" w14:textId="422D009E" w:rsidR="008D7703" w:rsidRPr="007E7ED2" w:rsidRDefault="00691D33" w:rsidP="002240D1">
      <w:pPr>
        <w:pStyle w:val="Body"/>
        <w:spacing w:after="0"/>
        <w:jc w:val="center"/>
        <w:rPr>
          <w:rFonts w:ascii="Arial" w:hAnsi="Arial" w:cs="Arial"/>
          <w:b/>
          <w:bCs/>
        </w:rPr>
      </w:pPr>
      <w:r>
        <w:rPr>
          <w:rFonts w:ascii="Arial" w:hAnsi="Arial" w:cs="Arial"/>
          <w:b/>
          <w:bCs/>
        </w:rPr>
        <w:t>Table</w:t>
      </w:r>
      <w:r w:rsidR="002240D1">
        <w:rPr>
          <w:rFonts w:ascii="Arial" w:hAnsi="Arial" w:cs="Arial"/>
          <w:b/>
          <w:bCs/>
        </w:rPr>
        <w:t xml:space="preserve"> 4. </w:t>
      </w:r>
      <w:r w:rsidR="002240D1" w:rsidRPr="002240D1">
        <w:rPr>
          <w:rFonts w:ascii="Arial" w:hAnsi="Arial" w:cs="Arial"/>
          <w:b/>
          <w:bCs/>
        </w:rPr>
        <w:t>Kolmogorov–Smirnov Test Results (KS)</w:t>
      </w:r>
    </w:p>
    <w:tbl>
      <w:tblPr>
        <w:tblStyle w:val="TableGrid"/>
        <w:tblpPr w:leftFromText="180" w:rightFromText="180" w:vertAnchor="text" w:horzAnchor="margin" w:tblpXSpec="center" w:tblpY="82"/>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839"/>
        <w:gridCol w:w="1701"/>
        <w:gridCol w:w="2120"/>
      </w:tblGrid>
      <w:tr w:rsidR="008D7703" w:rsidRPr="008D7703" w14:paraId="510E2370" w14:textId="77777777" w:rsidTr="008D7703">
        <w:tc>
          <w:tcPr>
            <w:tcW w:w="5660" w:type="dxa"/>
            <w:gridSpan w:val="3"/>
          </w:tcPr>
          <w:p w14:paraId="1485189E" w14:textId="77777777" w:rsidR="008D7703" w:rsidRPr="008D7703" w:rsidRDefault="008D7703" w:rsidP="008D7703">
            <w:pPr>
              <w:jc w:val="center"/>
              <w:rPr>
                <w:rFonts w:ascii="Arial" w:hAnsi="Arial" w:cs="Arial"/>
                <w:b/>
                <w:bCs/>
                <w:sz w:val="20"/>
                <w:szCs w:val="20"/>
              </w:rPr>
            </w:pPr>
            <w:bookmarkStart w:id="2" w:name="_Hlk209220143"/>
            <w:r w:rsidRPr="008D7703">
              <w:rPr>
                <w:rFonts w:ascii="Arial" w:hAnsi="Arial" w:cs="Arial"/>
                <w:b/>
                <w:bCs/>
                <w:sz w:val="20"/>
                <w:szCs w:val="20"/>
              </w:rPr>
              <w:t>One-Sample Kolmogorov-Smirnov Test</w:t>
            </w:r>
          </w:p>
        </w:tc>
      </w:tr>
      <w:tr w:rsidR="008D7703" w:rsidRPr="008D7703" w14:paraId="2B6F5C9A" w14:textId="77777777" w:rsidTr="001167E5">
        <w:trPr>
          <w:trHeight w:val="463"/>
        </w:trPr>
        <w:tc>
          <w:tcPr>
            <w:tcW w:w="3540" w:type="dxa"/>
            <w:gridSpan w:val="2"/>
            <w:tcBorders>
              <w:bottom w:val="single" w:sz="4" w:space="0" w:color="auto"/>
            </w:tcBorders>
          </w:tcPr>
          <w:p w14:paraId="267268D0" w14:textId="77777777" w:rsidR="008D7703" w:rsidRPr="008D7703" w:rsidRDefault="008D7703" w:rsidP="008D7703">
            <w:pPr>
              <w:jc w:val="both"/>
              <w:rPr>
                <w:rFonts w:ascii="Arial" w:hAnsi="Arial" w:cs="Arial"/>
                <w:sz w:val="20"/>
                <w:szCs w:val="20"/>
              </w:rPr>
            </w:pPr>
          </w:p>
        </w:tc>
        <w:tc>
          <w:tcPr>
            <w:tcW w:w="2120" w:type="dxa"/>
            <w:tcBorders>
              <w:bottom w:val="single" w:sz="4" w:space="0" w:color="auto"/>
            </w:tcBorders>
          </w:tcPr>
          <w:p w14:paraId="0E2BC756"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Unstandardized</w:t>
            </w:r>
          </w:p>
          <w:p w14:paraId="408AE491"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Residual</w:t>
            </w:r>
          </w:p>
        </w:tc>
      </w:tr>
      <w:tr w:rsidR="008D7703" w:rsidRPr="008D7703" w14:paraId="7DEFFACA" w14:textId="77777777" w:rsidTr="001167E5">
        <w:tc>
          <w:tcPr>
            <w:tcW w:w="1839" w:type="dxa"/>
            <w:tcBorders>
              <w:bottom w:val="single" w:sz="4" w:space="0" w:color="auto"/>
              <w:right w:val="nil"/>
            </w:tcBorders>
          </w:tcPr>
          <w:p w14:paraId="6A40562F"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N</w:t>
            </w:r>
          </w:p>
        </w:tc>
        <w:tc>
          <w:tcPr>
            <w:tcW w:w="1701" w:type="dxa"/>
            <w:tcBorders>
              <w:left w:val="nil"/>
              <w:bottom w:val="single" w:sz="4" w:space="0" w:color="auto"/>
              <w:right w:val="nil"/>
            </w:tcBorders>
          </w:tcPr>
          <w:p w14:paraId="41374BE6" w14:textId="77777777" w:rsidR="008D7703" w:rsidRPr="008D7703" w:rsidRDefault="008D7703" w:rsidP="008D7703">
            <w:pPr>
              <w:jc w:val="center"/>
              <w:rPr>
                <w:rFonts w:ascii="Arial" w:hAnsi="Arial" w:cs="Arial"/>
                <w:sz w:val="20"/>
                <w:szCs w:val="20"/>
              </w:rPr>
            </w:pPr>
          </w:p>
        </w:tc>
        <w:tc>
          <w:tcPr>
            <w:tcW w:w="2120" w:type="dxa"/>
            <w:tcBorders>
              <w:left w:val="nil"/>
              <w:bottom w:val="single" w:sz="4" w:space="0" w:color="auto"/>
            </w:tcBorders>
          </w:tcPr>
          <w:p w14:paraId="016795F1"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104</w:t>
            </w:r>
          </w:p>
        </w:tc>
      </w:tr>
      <w:tr w:rsidR="008D7703" w:rsidRPr="008D7703" w14:paraId="34212296" w14:textId="77777777" w:rsidTr="001167E5">
        <w:trPr>
          <w:trHeight w:val="587"/>
        </w:trPr>
        <w:tc>
          <w:tcPr>
            <w:tcW w:w="1839" w:type="dxa"/>
            <w:vMerge w:val="restart"/>
            <w:tcBorders>
              <w:bottom w:val="nil"/>
              <w:right w:val="nil"/>
            </w:tcBorders>
          </w:tcPr>
          <w:p w14:paraId="7A751915"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 xml:space="preserve">Normal </w:t>
            </w:r>
            <w:proofErr w:type="spellStart"/>
            <w:proofErr w:type="gramStart"/>
            <w:r w:rsidRPr="008D7703">
              <w:rPr>
                <w:rFonts w:ascii="Arial" w:hAnsi="Arial" w:cs="Arial"/>
                <w:sz w:val="20"/>
                <w:szCs w:val="20"/>
              </w:rPr>
              <w:t>Parameters</w:t>
            </w:r>
            <w:r w:rsidRPr="008D7703">
              <w:rPr>
                <w:rFonts w:ascii="Arial" w:hAnsi="Arial" w:cs="Arial"/>
                <w:sz w:val="20"/>
                <w:szCs w:val="20"/>
                <w:vertAlign w:val="superscript"/>
              </w:rPr>
              <w:t>a,b</w:t>
            </w:r>
            <w:proofErr w:type="spellEnd"/>
            <w:proofErr w:type="gramEnd"/>
          </w:p>
        </w:tc>
        <w:tc>
          <w:tcPr>
            <w:tcW w:w="1701" w:type="dxa"/>
            <w:tcBorders>
              <w:left w:val="nil"/>
              <w:bottom w:val="nil"/>
              <w:right w:val="nil"/>
            </w:tcBorders>
          </w:tcPr>
          <w:p w14:paraId="79503030"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Mean</w:t>
            </w:r>
          </w:p>
        </w:tc>
        <w:tc>
          <w:tcPr>
            <w:tcW w:w="2120" w:type="dxa"/>
            <w:tcBorders>
              <w:left w:val="nil"/>
              <w:bottom w:val="nil"/>
            </w:tcBorders>
          </w:tcPr>
          <w:p w14:paraId="1455A17E"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0,0000000</w:t>
            </w:r>
          </w:p>
        </w:tc>
      </w:tr>
      <w:tr w:rsidR="008D7703" w:rsidRPr="008D7703" w14:paraId="0AA63B57" w14:textId="77777777" w:rsidTr="001167E5">
        <w:tc>
          <w:tcPr>
            <w:tcW w:w="1839" w:type="dxa"/>
            <w:vMerge/>
            <w:tcBorders>
              <w:top w:val="nil"/>
              <w:bottom w:val="nil"/>
              <w:right w:val="nil"/>
            </w:tcBorders>
          </w:tcPr>
          <w:p w14:paraId="763896BA" w14:textId="77777777" w:rsidR="008D7703" w:rsidRPr="008D7703" w:rsidRDefault="008D7703" w:rsidP="008D7703">
            <w:pPr>
              <w:jc w:val="center"/>
              <w:rPr>
                <w:rFonts w:ascii="Arial" w:hAnsi="Arial" w:cs="Arial"/>
                <w:sz w:val="20"/>
                <w:szCs w:val="20"/>
              </w:rPr>
            </w:pPr>
          </w:p>
        </w:tc>
        <w:tc>
          <w:tcPr>
            <w:tcW w:w="1701" w:type="dxa"/>
            <w:tcBorders>
              <w:top w:val="nil"/>
              <w:left w:val="nil"/>
              <w:bottom w:val="nil"/>
              <w:right w:val="nil"/>
            </w:tcBorders>
          </w:tcPr>
          <w:p w14:paraId="73FB4D49"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Std. Deviation</w:t>
            </w:r>
          </w:p>
        </w:tc>
        <w:tc>
          <w:tcPr>
            <w:tcW w:w="2120" w:type="dxa"/>
            <w:tcBorders>
              <w:top w:val="nil"/>
              <w:left w:val="nil"/>
              <w:bottom w:val="nil"/>
            </w:tcBorders>
          </w:tcPr>
          <w:p w14:paraId="0AD0E322"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0,73495129</w:t>
            </w:r>
          </w:p>
        </w:tc>
      </w:tr>
      <w:tr w:rsidR="008D7703" w:rsidRPr="008D7703" w14:paraId="44A008E0" w14:textId="77777777" w:rsidTr="001167E5">
        <w:tc>
          <w:tcPr>
            <w:tcW w:w="1839" w:type="dxa"/>
            <w:vMerge w:val="restart"/>
            <w:tcBorders>
              <w:top w:val="nil"/>
              <w:bottom w:val="nil"/>
              <w:right w:val="nil"/>
            </w:tcBorders>
          </w:tcPr>
          <w:p w14:paraId="263F1D9F"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Most Extreme Differences</w:t>
            </w:r>
          </w:p>
        </w:tc>
        <w:tc>
          <w:tcPr>
            <w:tcW w:w="1701" w:type="dxa"/>
            <w:tcBorders>
              <w:top w:val="nil"/>
              <w:left w:val="nil"/>
              <w:bottom w:val="nil"/>
              <w:right w:val="nil"/>
            </w:tcBorders>
          </w:tcPr>
          <w:p w14:paraId="5E602C42" w14:textId="77777777" w:rsidR="008D7703" w:rsidRPr="008D7703" w:rsidRDefault="008D7703" w:rsidP="008D7703">
            <w:pPr>
              <w:jc w:val="center"/>
              <w:rPr>
                <w:rFonts w:ascii="Arial" w:hAnsi="Arial" w:cs="Arial"/>
                <w:sz w:val="20"/>
                <w:szCs w:val="20"/>
              </w:rPr>
            </w:pPr>
            <w:proofErr w:type="spellStart"/>
            <w:r w:rsidRPr="008D7703">
              <w:rPr>
                <w:rFonts w:ascii="Arial" w:hAnsi="Arial" w:cs="Arial"/>
                <w:sz w:val="20"/>
                <w:szCs w:val="20"/>
              </w:rPr>
              <w:t>Adsolute</w:t>
            </w:r>
            <w:proofErr w:type="spellEnd"/>
          </w:p>
        </w:tc>
        <w:tc>
          <w:tcPr>
            <w:tcW w:w="2120" w:type="dxa"/>
            <w:tcBorders>
              <w:top w:val="nil"/>
              <w:left w:val="nil"/>
              <w:bottom w:val="nil"/>
            </w:tcBorders>
          </w:tcPr>
          <w:p w14:paraId="2A8ED577"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0,082</w:t>
            </w:r>
          </w:p>
        </w:tc>
      </w:tr>
      <w:tr w:rsidR="008D7703" w:rsidRPr="008D7703" w14:paraId="4C67E7F8" w14:textId="77777777" w:rsidTr="001167E5">
        <w:tc>
          <w:tcPr>
            <w:tcW w:w="1839" w:type="dxa"/>
            <w:vMerge/>
            <w:tcBorders>
              <w:top w:val="nil"/>
              <w:bottom w:val="nil"/>
              <w:right w:val="nil"/>
            </w:tcBorders>
          </w:tcPr>
          <w:p w14:paraId="4A8160A0" w14:textId="77777777" w:rsidR="008D7703" w:rsidRPr="008D7703" w:rsidRDefault="008D7703" w:rsidP="008D7703">
            <w:pPr>
              <w:jc w:val="center"/>
              <w:rPr>
                <w:rFonts w:ascii="Arial" w:hAnsi="Arial" w:cs="Arial"/>
                <w:sz w:val="20"/>
                <w:szCs w:val="20"/>
              </w:rPr>
            </w:pPr>
          </w:p>
        </w:tc>
        <w:tc>
          <w:tcPr>
            <w:tcW w:w="1701" w:type="dxa"/>
            <w:tcBorders>
              <w:top w:val="nil"/>
              <w:left w:val="nil"/>
              <w:bottom w:val="nil"/>
              <w:right w:val="nil"/>
            </w:tcBorders>
          </w:tcPr>
          <w:p w14:paraId="6064BF80" w14:textId="77777777" w:rsidR="008D7703" w:rsidRPr="008D7703" w:rsidRDefault="008D7703" w:rsidP="008D7703">
            <w:pPr>
              <w:jc w:val="center"/>
              <w:rPr>
                <w:rFonts w:ascii="Arial" w:hAnsi="Arial" w:cs="Arial"/>
                <w:sz w:val="20"/>
                <w:szCs w:val="20"/>
              </w:rPr>
            </w:pPr>
            <w:proofErr w:type="spellStart"/>
            <w:r w:rsidRPr="008D7703">
              <w:rPr>
                <w:rFonts w:ascii="Arial" w:hAnsi="Arial" w:cs="Arial"/>
                <w:sz w:val="20"/>
                <w:szCs w:val="20"/>
              </w:rPr>
              <w:t>Positif</w:t>
            </w:r>
            <w:proofErr w:type="spellEnd"/>
          </w:p>
        </w:tc>
        <w:tc>
          <w:tcPr>
            <w:tcW w:w="2120" w:type="dxa"/>
            <w:tcBorders>
              <w:top w:val="nil"/>
              <w:left w:val="nil"/>
              <w:bottom w:val="nil"/>
            </w:tcBorders>
          </w:tcPr>
          <w:p w14:paraId="1413887D"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0,082</w:t>
            </w:r>
          </w:p>
        </w:tc>
      </w:tr>
      <w:tr w:rsidR="008D7703" w:rsidRPr="008D7703" w14:paraId="45AFE327" w14:textId="77777777" w:rsidTr="001167E5">
        <w:tc>
          <w:tcPr>
            <w:tcW w:w="1839" w:type="dxa"/>
            <w:vMerge/>
            <w:tcBorders>
              <w:top w:val="nil"/>
              <w:bottom w:val="nil"/>
              <w:right w:val="nil"/>
            </w:tcBorders>
          </w:tcPr>
          <w:p w14:paraId="493AF6A6" w14:textId="77777777" w:rsidR="008D7703" w:rsidRPr="008D7703" w:rsidRDefault="008D7703" w:rsidP="008D7703">
            <w:pPr>
              <w:jc w:val="center"/>
              <w:rPr>
                <w:rFonts w:ascii="Arial" w:hAnsi="Arial" w:cs="Arial"/>
                <w:sz w:val="20"/>
                <w:szCs w:val="20"/>
              </w:rPr>
            </w:pPr>
          </w:p>
        </w:tc>
        <w:tc>
          <w:tcPr>
            <w:tcW w:w="1701" w:type="dxa"/>
            <w:tcBorders>
              <w:top w:val="nil"/>
              <w:left w:val="nil"/>
              <w:bottom w:val="nil"/>
              <w:right w:val="nil"/>
            </w:tcBorders>
          </w:tcPr>
          <w:p w14:paraId="76152B2C"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Negative</w:t>
            </w:r>
          </w:p>
        </w:tc>
        <w:tc>
          <w:tcPr>
            <w:tcW w:w="2120" w:type="dxa"/>
            <w:tcBorders>
              <w:top w:val="nil"/>
              <w:left w:val="nil"/>
              <w:bottom w:val="nil"/>
            </w:tcBorders>
          </w:tcPr>
          <w:p w14:paraId="25263444"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-0,078</w:t>
            </w:r>
          </w:p>
        </w:tc>
      </w:tr>
      <w:tr w:rsidR="008D7703" w:rsidRPr="008D7703" w14:paraId="7D501B16" w14:textId="77777777" w:rsidTr="001167E5">
        <w:tc>
          <w:tcPr>
            <w:tcW w:w="1839" w:type="dxa"/>
            <w:tcBorders>
              <w:top w:val="nil"/>
              <w:bottom w:val="nil"/>
              <w:right w:val="nil"/>
            </w:tcBorders>
          </w:tcPr>
          <w:p w14:paraId="07AA2FD4"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Test Statistic</w:t>
            </w:r>
          </w:p>
        </w:tc>
        <w:tc>
          <w:tcPr>
            <w:tcW w:w="1701" w:type="dxa"/>
            <w:tcBorders>
              <w:top w:val="nil"/>
              <w:left w:val="nil"/>
              <w:bottom w:val="nil"/>
              <w:right w:val="nil"/>
            </w:tcBorders>
          </w:tcPr>
          <w:p w14:paraId="26F997A2" w14:textId="77777777" w:rsidR="008D7703" w:rsidRPr="008D7703" w:rsidRDefault="008D7703" w:rsidP="008D7703">
            <w:pPr>
              <w:jc w:val="center"/>
              <w:rPr>
                <w:rFonts w:ascii="Arial" w:hAnsi="Arial" w:cs="Arial"/>
                <w:sz w:val="20"/>
                <w:szCs w:val="20"/>
              </w:rPr>
            </w:pPr>
          </w:p>
        </w:tc>
        <w:tc>
          <w:tcPr>
            <w:tcW w:w="2120" w:type="dxa"/>
            <w:tcBorders>
              <w:top w:val="nil"/>
              <w:left w:val="nil"/>
              <w:bottom w:val="nil"/>
            </w:tcBorders>
          </w:tcPr>
          <w:p w14:paraId="503ADD7E"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0,082</w:t>
            </w:r>
          </w:p>
        </w:tc>
      </w:tr>
      <w:tr w:rsidR="008D7703" w:rsidRPr="008D7703" w14:paraId="01F88EB2" w14:textId="77777777" w:rsidTr="001167E5">
        <w:tc>
          <w:tcPr>
            <w:tcW w:w="1839" w:type="dxa"/>
            <w:tcBorders>
              <w:top w:val="nil"/>
              <w:right w:val="nil"/>
            </w:tcBorders>
          </w:tcPr>
          <w:p w14:paraId="052C25EA" w14:textId="77777777" w:rsidR="008D7703" w:rsidRPr="008D7703" w:rsidRDefault="008D7703" w:rsidP="008D7703">
            <w:pPr>
              <w:jc w:val="center"/>
              <w:rPr>
                <w:rFonts w:ascii="Arial" w:hAnsi="Arial" w:cs="Arial"/>
                <w:sz w:val="20"/>
                <w:szCs w:val="20"/>
              </w:rPr>
            </w:pPr>
            <w:proofErr w:type="spellStart"/>
            <w:r w:rsidRPr="008D7703">
              <w:rPr>
                <w:rFonts w:ascii="Arial" w:hAnsi="Arial" w:cs="Arial"/>
                <w:sz w:val="20"/>
                <w:szCs w:val="20"/>
              </w:rPr>
              <w:t>Asymp</w:t>
            </w:r>
            <w:proofErr w:type="spellEnd"/>
            <w:r w:rsidRPr="008D7703">
              <w:rPr>
                <w:rFonts w:ascii="Arial" w:hAnsi="Arial" w:cs="Arial"/>
                <w:sz w:val="20"/>
                <w:szCs w:val="20"/>
              </w:rPr>
              <w:t>. Sig.</w:t>
            </w:r>
          </w:p>
          <w:p w14:paraId="09B72C7F"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(2-tailed)</w:t>
            </w:r>
          </w:p>
        </w:tc>
        <w:tc>
          <w:tcPr>
            <w:tcW w:w="1701" w:type="dxa"/>
            <w:tcBorders>
              <w:top w:val="nil"/>
              <w:left w:val="nil"/>
              <w:right w:val="nil"/>
            </w:tcBorders>
          </w:tcPr>
          <w:p w14:paraId="5332B73D" w14:textId="77777777" w:rsidR="008D7703" w:rsidRPr="008D7703" w:rsidRDefault="008D7703" w:rsidP="008D7703">
            <w:pPr>
              <w:jc w:val="center"/>
              <w:rPr>
                <w:rFonts w:ascii="Arial" w:hAnsi="Arial" w:cs="Arial"/>
                <w:sz w:val="20"/>
                <w:szCs w:val="20"/>
              </w:rPr>
            </w:pPr>
          </w:p>
        </w:tc>
        <w:tc>
          <w:tcPr>
            <w:tcW w:w="2120" w:type="dxa"/>
            <w:tcBorders>
              <w:top w:val="nil"/>
              <w:left w:val="nil"/>
            </w:tcBorders>
          </w:tcPr>
          <w:p w14:paraId="5BAC745A" w14:textId="77777777" w:rsidR="008D7703" w:rsidRPr="008D7703" w:rsidRDefault="008D7703" w:rsidP="008D7703">
            <w:pPr>
              <w:jc w:val="center"/>
              <w:rPr>
                <w:rFonts w:ascii="Arial" w:hAnsi="Arial" w:cs="Arial"/>
                <w:sz w:val="20"/>
                <w:szCs w:val="20"/>
              </w:rPr>
            </w:pPr>
            <w:r w:rsidRPr="008D7703">
              <w:rPr>
                <w:rFonts w:ascii="Arial" w:hAnsi="Arial" w:cs="Arial"/>
                <w:sz w:val="20"/>
                <w:szCs w:val="20"/>
              </w:rPr>
              <w:t>0,200</w:t>
            </w:r>
            <w:r w:rsidRPr="008D7703">
              <w:rPr>
                <w:rFonts w:ascii="Arial" w:hAnsi="Arial" w:cs="Arial"/>
                <w:sz w:val="20"/>
                <w:szCs w:val="20"/>
                <w:vertAlign w:val="superscript"/>
              </w:rPr>
              <w:t>d</w:t>
            </w:r>
          </w:p>
        </w:tc>
      </w:tr>
      <w:bookmarkEnd w:id="2"/>
    </w:tbl>
    <w:p w14:paraId="5AF27945" w14:textId="77777777" w:rsidR="008D7703" w:rsidRDefault="008D7703" w:rsidP="007E7ED2">
      <w:pPr>
        <w:pStyle w:val="Body"/>
        <w:spacing w:after="0"/>
        <w:rPr>
          <w:rFonts w:ascii="Arial" w:hAnsi="Arial" w:cs="Arial"/>
        </w:rPr>
      </w:pPr>
    </w:p>
    <w:p w14:paraId="4FD654CC" w14:textId="77777777" w:rsidR="008D7703" w:rsidRDefault="008D7703" w:rsidP="007E7ED2">
      <w:pPr>
        <w:pStyle w:val="Body"/>
        <w:spacing w:after="0"/>
        <w:rPr>
          <w:rFonts w:ascii="Arial" w:hAnsi="Arial" w:cs="Arial"/>
        </w:rPr>
      </w:pPr>
    </w:p>
    <w:p w14:paraId="270AFFFD" w14:textId="77777777" w:rsidR="008D7703" w:rsidRDefault="008D7703" w:rsidP="007E7ED2">
      <w:pPr>
        <w:pStyle w:val="Body"/>
        <w:spacing w:after="0"/>
        <w:rPr>
          <w:rFonts w:ascii="Arial" w:hAnsi="Arial" w:cs="Arial"/>
        </w:rPr>
      </w:pPr>
    </w:p>
    <w:p w14:paraId="1D1B5052" w14:textId="77777777" w:rsidR="008D7703" w:rsidRDefault="008D7703" w:rsidP="007E7ED2">
      <w:pPr>
        <w:pStyle w:val="Body"/>
        <w:spacing w:after="0"/>
        <w:rPr>
          <w:rFonts w:ascii="Arial" w:hAnsi="Arial" w:cs="Arial"/>
        </w:rPr>
      </w:pPr>
    </w:p>
    <w:p w14:paraId="5EECC7D8" w14:textId="77777777" w:rsidR="008D7703" w:rsidRDefault="008D7703" w:rsidP="007E7ED2">
      <w:pPr>
        <w:pStyle w:val="Body"/>
        <w:spacing w:after="0"/>
        <w:rPr>
          <w:rFonts w:ascii="Arial" w:hAnsi="Arial" w:cs="Arial"/>
        </w:rPr>
      </w:pPr>
    </w:p>
    <w:p w14:paraId="334963F3" w14:textId="77777777" w:rsidR="008D7703" w:rsidRDefault="008D7703" w:rsidP="007E7ED2">
      <w:pPr>
        <w:pStyle w:val="Body"/>
        <w:spacing w:after="0"/>
        <w:rPr>
          <w:rFonts w:ascii="Arial" w:hAnsi="Arial" w:cs="Arial"/>
        </w:rPr>
      </w:pPr>
    </w:p>
    <w:p w14:paraId="196E4D23" w14:textId="77777777" w:rsidR="008D7703" w:rsidRDefault="008D7703" w:rsidP="007E7ED2">
      <w:pPr>
        <w:pStyle w:val="Body"/>
        <w:spacing w:after="0"/>
        <w:rPr>
          <w:rFonts w:ascii="Arial" w:hAnsi="Arial" w:cs="Arial"/>
        </w:rPr>
      </w:pPr>
    </w:p>
    <w:p w14:paraId="621E9C69" w14:textId="77777777" w:rsidR="008D7703" w:rsidRDefault="008D7703" w:rsidP="007E7ED2">
      <w:pPr>
        <w:pStyle w:val="Body"/>
        <w:spacing w:after="0"/>
        <w:rPr>
          <w:rFonts w:ascii="Arial" w:hAnsi="Arial" w:cs="Arial"/>
        </w:rPr>
      </w:pPr>
    </w:p>
    <w:p w14:paraId="62BF9CE0" w14:textId="77777777" w:rsidR="008D7703" w:rsidRDefault="008D7703" w:rsidP="007E7ED2">
      <w:pPr>
        <w:pStyle w:val="Body"/>
        <w:spacing w:after="0"/>
        <w:rPr>
          <w:rFonts w:ascii="Arial" w:hAnsi="Arial" w:cs="Arial"/>
        </w:rPr>
      </w:pPr>
    </w:p>
    <w:p w14:paraId="4AC60CAA" w14:textId="77777777" w:rsidR="008D7703" w:rsidRDefault="008D7703" w:rsidP="007E7ED2">
      <w:pPr>
        <w:pStyle w:val="Body"/>
        <w:spacing w:after="0"/>
        <w:rPr>
          <w:rFonts w:ascii="Arial" w:hAnsi="Arial" w:cs="Arial"/>
        </w:rPr>
      </w:pPr>
    </w:p>
    <w:p w14:paraId="0BA01105" w14:textId="77777777" w:rsidR="008D7703" w:rsidRDefault="008D7703" w:rsidP="007E7ED2">
      <w:pPr>
        <w:pStyle w:val="Body"/>
        <w:spacing w:after="0"/>
        <w:rPr>
          <w:rFonts w:ascii="Arial" w:hAnsi="Arial" w:cs="Arial"/>
        </w:rPr>
      </w:pPr>
    </w:p>
    <w:p w14:paraId="3CEA959D" w14:textId="77777777" w:rsidR="008D7703" w:rsidRDefault="008D7703" w:rsidP="007E7ED2">
      <w:pPr>
        <w:pStyle w:val="Body"/>
        <w:spacing w:after="0"/>
        <w:rPr>
          <w:rFonts w:ascii="Arial" w:hAnsi="Arial" w:cs="Arial"/>
        </w:rPr>
      </w:pPr>
    </w:p>
    <w:p w14:paraId="09D2E2B6" w14:textId="77777777" w:rsidR="008D7703" w:rsidRDefault="008D7703" w:rsidP="007E7ED2">
      <w:pPr>
        <w:pStyle w:val="Body"/>
        <w:spacing w:after="0"/>
        <w:rPr>
          <w:rFonts w:ascii="Arial" w:hAnsi="Arial" w:cs="Arial"/>
        </w:rPr>
      </w:pPr>
    </w:p>
    <w:p w14:paraId="0F7F8C6B" w14:textId="77777777" w:rsidR="008D7703" w:rsidRDefault="008D7703" w:rsidP="007E7ED2">
      <w:pPr>
        <w:pStyle w:val="Body"/>
        <w:spacing w:after="0"/>
        <w:rPr>
          <w:rFonts w:ascii="Arial" w:hAnsi="Arial" w:cs="Arial"/>
        </w:rPr>
      </w:pPr>
    </w:p>
    <w:p w14:paraId="27F46DCD" w14:textId="77777777" w:rsidR="002240D1" w:rsidRDefault="002240D1" w:rsidP="007E7ED2">
      <w:pPr>
        <w:pStyle w:val="Body"/>
        <w:spacing w:after="0"/>
        <w:rPr>
          <w:rFonts w:ascii="Arial" w:hAnsi="Arial" w:cs="Arial"/>
        </w:rPr>
      </w:pPr>
    </w:p>
    <w:p w14:paraId="7D71A8C1" w14:textId="79FADCC5" w:rsidR="007E7ED2" w:rsidRPr="007E7ED2" w:rsidRDefault="007E7ED2" w:rsidP="007E7ED2">
      <w:pPr>
        <w:pStyle w:val="Body"/>
        <w:spacing w:after="0"/>
        <w:rPr>
          <w:rFonts w:ascii="Arial" w:hAnsi="Arial" w:cs="Arial"/>
        </w:rPr>
      </w:pPr>
      <w:r w:rsidRPr="007E7ED2">
        <w:rPr>
          <w:rFonts w:ascii="Arial" w:hAnsi="Arial" w:cs="Arial"/>
        </w:rPr>
        <w:t xml:space="preserve">Based on Table </w:t>
      </w:r>
      <w:r w:rsidR="002240D1">
        <w:rPr>
          <w:rFonts w:ascii="Arial" w:hAnsi="Arial" w:cs="Arial"/>
        </w:rPr>
        <w:t>4,</w:t>
      </w:r>
      <w:r w:rsidRPr="007E7ED2">
        <w:rPr>
          <w:rFonts w:ascii="Arial" w:hAnsi="Arial" w:cs="Arial"/>
        </w:rPr>
        <w:t xml:space="preserve"> it is known that the </w:t>
      </w:r>
      <w:proofErr w:type="spellStart"/>
      <w:r w:rsidRPr="007E7ED2">
        <w:rPr>
          <w:rFonts w:ascii="Arial" w:hAnsi="Arial" w:cs="Arial"/>
        </w:rPr>
        <w:t>Asymp</w:t>
      </w:r>
      <w:proofErr w:type="spellEnd"/>
      <w:r w:rsidRPr="007E7ED2">
        <w:rPr>
          <w:rFonts w:ascii="Arial" w:hAnsi="Arial" w:cs="Arial"/>
        </w:rPr>
        <w:t>. Sig (2 tailed) value is 0.305. Because this value is greater than the significance level of 0.05, it can be concluded that the data in this study is normally distributed. This shows that the assumption of normality is fulfilled, so the data is suitable for use in linear regression analysis.</w:t>
      </w:r>
    </w:p>
    <w:p w14:paraId="0ADFF37A" w14:textId="77777777" w:rsidR="007E7ED2" w:rsidRDefault="007E7ED2" w:rsidP="00441B6F">
      <w:pPr>
        <w:pStyle w:val="Body"/>
        <w:spacing w:after="0"/>
        <w:rPr>
          <w:rFonts w:ascii="Arial" w:hAnsi="Arial" w:cs="Arial"/>
          <w:b/>
          <w:bCs/>
        </w:rPr>
      </w:pPr>
    </w:p>
    <w:p w14:paraId="50A63005" w14:textId="77777777" w:rsidR="002240D1" w:rsidRDefault="002240D1" w:rsidP="00441B6F">
      <w:pPr>
        <w:pStyle w:val="Body"/>
        <w:spacing w:after="0"/>
        <w:rPr>
          <w:rFonts w:ascii="Arial" w:hAnsi="Arial" w:cs="Arial"/>
          <w:b/>
          <w:bCs/>
        </w:rPr>
      </w:pPr>
    </w:p>
    <w:p w14:paraId="7C9317B9" w14:textId="51F21F43" w:rsidR="007E7ED2" w:rsidRDefault="003730CB" w:rsidP="00441B6F">
      <w:pPr>
        <w:pStyle w:val="Body"/>
        <w:spacing w:after="0"/>
        <w:rPr>
          <w:rFonts w:ascii="Arial" w:hAnsi="Arial" w:cs="Arial"/>
          <w:b/>
          <w:bCs/>
        </w:rPr>
      </w:pPr>
      <w:r>
        <w:rPr>
          <w:rFonts w:ascii="Arial" w:hAnsi="Arial" w:cs="Arial"/>
          <w:b/>
          <w:bCs/>
        </w:rPr>
        <w:t xml:space="preserve">3.2.2 </w:t>
      </w:r>
      <w:proofErr w:type="spellStart"/>
      <w:r w:rsidR="007E7ED2">
        <w:rPr>
          <w:rFonts w:ascii="Arial" w:hAnsi="Arial" w:cs="Arial"/>
          <w:b/>
          <w:bCs/>
        </w:rPr>
        <w:t>Multikolinearitas</w:t>
      </w:r>
      <w:proofErr w:type="spellEnd"/>
      <w:r w:rsidR="007E7ED2">
        <w:rPr>
          <w:rFonts w:ascii="Arial" w:hAnsi="Arial" w:cs="Arial"/>
          <w:b/>
          <w:bCs/>
        </w:rPr>
        <w:t xml:space="preserve"> test</w:t>
      </w:r>
    </w:p>
    <w:p w14:paraId="10B067B2" w14:textId="0D499320" w:rsidR="002240D1" w:rsidRDefault="002240D1" w:rsidP="00E208CC">
      <w:pPr>
        <w:pStyle w:val="Body"/>
        <w:spacing w:after="0"/>
        <w:jc w:val="center"/>
        <w:rPr>
          <w:rFonts w:ascii="Arial" w:hAnsi="Arial" w:cs="Arial"/>
          <w:b/>
          <w:bCs/>
        </w:rPr>
      </w:pPr>
      <w:r>
        <w:rPr>
          <w:rFonts w:ascii="Arial" w:hAnsi="Arial" w:cs="Arial"/>
          <w:b/>
          <w:bCs/>
        </w:rPr>
        <w:t xml:space="preserve">Tabel 5. </w:t>
      </w:r>
      <w:r w:rsidR="00E208CC" w:rsidRPr="00E208CC">
        <w:rPr>
          <w:rFonts w:ascii="Arial" w:hAnsi="Arial" w:cs="Arial"/>
          <w:b/>
          <w:bCs/>
        </w:rPr>
        <w:t>Multicollinearity test results</w:t>
      </w:r>
    </w:p>
    <w:tbl>
      <w:tblPr>
        <w:tblStyle w:val="TableGrid"/>
        <w:tblW w:w="5805" w:type="dxa"/>
        <w:tblInd w:w="1201" w:type="dxa"/>
        <w:tblBorders>
          <w:left w:val="none" w:sz="0" w:space="0" w:color="auto"/>
          <w:right w:val="none" w:sz="0" w:space="0" w:color="auto"/>
        </w:tblBorders>
        <w:tblLook w:val="04A0" w:firstRow="1" w:lastRow="0" w:firstColumn="1" w:lastColumn="0" w:noHBand="0" w:noVBand="1"/>
      </w:tblPr>
      <w:tblGrid>
        <w:gridCol w:w="850"/>
        <w:gridCol w:w="2525"/>
        <w:gridCol w:w="1296"/>
        <w:gridCol w:w="1134"/>
      </w:tblGrid>
      <w:tr w:rsidR="001167E5" w:rsidRPr="001167E5" w14:paraId="2EF6CD1C" w14:textId="77777777" w:rsidTr="001167E5">
        <w:tc>
          <w:tcPr>
            <w:tcW w:w="5805" w:type="dxa"/>
            <w:gridSpan w:val="4"/>
          </w:tcPr>
          <w:p w14:paraId="61D7CD96" w14:textId="77777777" w:rsidR="001167E5" w:rsidRPr="001167E5" w:rsidRDefault="001167E5" w:rsidP="00E55377">
            <w:pPr>
              <w:spacing w:line="276" w:lineRule="auto"/>
              <w:jc w:val="center"/>
              <w:rPr>
                <w:rFonts w:ascii="Arial" w:hAnsi="Arial" w:cs="Arial"/>
                <w:b/>
                <w:bCs/>
                <w:sz w:val="20"/>
                <w:szCs w:val="20"/>
                <w:vertAlign w:val="superscript"/>
                <w:lang w:val="id-ID"/>
              </w:rPr>
            </w:pPr>
            <w:bookmarkStart w:id="3" w:name="_Hlk209220513"/>
            <w:r w:rsidRPr="001167E5">
              <w:rPr>
                <w:rFonts w:ascii="Arial" w:hAnsi="Arial" w:cs="Arial"/>
                <w:b/>
                <w:bCs/>
                <w:sz w:val="20"/>
                <w:szCs w:val="20"/>
                <w:lang w:val="id-ID"/>
              </w:rPr>
              <w:t>Coefficients</w:t>
            </w:r>
            <w:r w:rsidRPr="001167E5">
              <w:rPr>
                <w:rFonts w:ascii="Arial" w:hAnsi="Arial" w:cs="Arial"/>
                <w:b/>
                <w:bCs/>
                <w:sz w:val="20"/>
                <w:szCs w:val="20"/>
                <w:vertAlign w:val="superscript"/>
                <w:lang w:val="id-ID"/>
              </w:rPr>
              <w:t>a</w:t>
            </w:r>
          </w:p>
        </w:tc>
      </w:tr>
      <w:tr w:rsidR="001167E5" w:rsidRPr="001167E5" w14:paraId="4093B5A7" w14:textId="77777777" w:rsidTr="001167E5">
        <w:tc>
          <w:tcPr>
            <w:tcW w:w="3375" w:type="dxa"/>
            <w:gridSpan w:val="2"/>
            <w:vMerge w:val="restart"/>
          </w:tcPr>
          <w:p w14:paraId="4D2767F0" w14:textId="77777777" w:rsidR="001167E5" w:rsidRPr="001167E5" w:rsidRDefault="001167E5" w:rsidP="00E55377">
            <w:pPr>
              <w:spacing w:line="276" w:lineRule="auto"/>
              <w:rPr>
                <w:rFonts w:ascii="Arial" w:hAnsi="Arial" w:cs="Arial"/>
                <w:sz w:val="20"/>
                <w:szCs w:val="20"/>
                <w:lang w:val="id-ID"/>
              </w:rPr>
            </w:pPr>
            <w:r w:rsidRPr="001167E5">
              <w:rPr>
                <w:rFonts w:ascii="Arial" w:hAnsi="Arial" w:cs="Arial"/>
                <w:sz w:val="20"/>
                <w:szCs w:val="20"/>
                <w:lang w:val="id-ID"/>
              </w:rPr>
              <w:t xml:space="preserve">Model </w:t>
            </w:r>
          </w:p>
        </w:tc>
        <w:tc>
          <w:tcPr>
            <w:tcW w:w="2430" w:type="dxa"/>
            <w:gridSpan w:val="2"/>
            <w:tcBorders>
              <w:bottom w:val="single" w:sz="4" w:space="0" w:color="auto"/>
            </w:tcBorders>
          </w:tcPr>
          <w:p w14:paraId="7BCB47F0" w14:textId="77777777" w:rsidR="001167E5" w:rsidRPr="001167E5" w:rsidRDefault="001167E5" w:rsidP="00E55377">
            <w:pPr>
              <w:spacing w:line="276" w:lineRule="auto"/>
              <w:jc w:val="center"/>
              <w:rPr>
                <w:rFonts w:ascii="Arial" w:hAnsi="Arial" w:cs="Arial"/>
                <w:sz w:val="20"/>
                <w:szCs w:val="20"/>
                <w:lang w:val="id-ID"/>
              </w:rPr>
            </w:pPr>
            <w:r w:rsidRPr="001167E5">
              <w:rPr>
                <w:rFonts w:ascii="Arial" w:hAnsi="Arial" w:cs="Arial"/>
                <w:sz w:val="20"/>
                <w:szCs w:val="20"/>
                <w:lang w:val="id-ID"/>
              </w:rPr>
              <w:t>Collinearity Statistics</w:t>
            </w:r>
          </w:p>
        </w:tc>
      </w:tr>
      <w:tr w:rsidR="001167E5" w:rsidRPr="001167E5" w14:paraId="472989D0" w14:textId="77777777" w:rsidTr="001167E5">
        <w:tc>
          <w:tcPr>
            <w:tcW w:w="3375" w:type="dxa"/>
            <w:gridSpan w:val="2"/>
            <w:vMerge/>
            <w:tcBorders>
              <w:top w:val="single" w:sz="4" w:space="0" w:color="auto"/>
            </w:tcBorders>
          </w:tcPr>
          <w:p w14:paraId="7DAC9E0F" w14:textId="77777777" w:rsidR="001167E5" w:rsidRPr="001167E5" w:rsidRDefault="001167E5" w:rsidP="00E55377">
            <w:pPr>
              <w:spacing w:line="276" w:lineRule="auto"/>
              <w:rPr>
                <w:rFonts w:ascii="Arial" w:hAnsi="Arial" w:cs="Arial"/>
                <w:sz w:val="20"/>
                <w:szCs w:val="20"/>
                <w:lang w:val="id-ID"/>
              </w:rPr>
            </w:pPr>
          </w:p>
        </w:tc>
        <w:tc>
          <w:tcPr>
            <w:tcW w:w="1296" w:type="dxa"/>
            <w:tcBorders>
              <w:top w:val="single" w:sz="4" w:space="0" w:color="auto"/>
              <w:right w:val="nil"/>
            </w:tcBorders>
          </w:tcPr>
          <w:p w14:paraId="62388FD8" w14:textId="77777777" w:rsidR="001167E5" w:rsidRPr="001167E5" w:rsidRDefault="001167E5" w:rsidP="00E55377">
            <w:pPr>
              <w:spacing w:line="276" w:lineRule="auto"/>
              <w:jc w:val="center"/>
              <w:rPr>
                <w:rFonts w:ascii="Arial" w:hAnsi="Arial" w:cs="Arial"/>
                <w:sz w:val="20"/>
                <w:szCs w:val="20"/>
                <w:lang w:val="id-ID"/>
              </w:rPr>
            </w:pPr>
            <w:r w:rsidRPr="001167E5">
              <w:rPr>
                <w:rFonts w:ascii="Arial" w:hAnsi="Arial" w:cs="Arial"/>
                <w:sz w:val="20"/>
                <w:szCs w:val="20"/>
                <w:lang w:val="id-ID"/>
              </w:rPr>
              <w:t>Tolerance</w:t>
            </w:r>
          </w:p>
        </w:tc>
        <w:tc>
          <w:tcPr>
            <w:tcW w:w="1134" w:type="dxa"/>
            <w:tcBorders>
              <w:top w:val="single" w:sz="4" w:space="0" w:color="auto"/>
              <w:left w:val="nil"/>
            </w:tcBorders>
          </w:tcPr>
          <w:p w14:paraId="2EF34EFA" w14:textId="77777777" w:rsidR="001167E5" w:rsidRPr="001167E5" w:rsidRDefault="001167E5" w:rsidP="00E55377">
            <w:pPr>
              <w:spacing w:line="276" w:lineRule="auto"/>
              <w:jc w:val="center"/>
              <w:rPr>
                <w:rFonts w:ascii="Arial" w:hAnsi="Arial" w:cs="Arial"/>
                <w:sz w:val="20"/>
                <w:szCs w:val="20"/>
                <w:lang w:val="id-ID"/>
              </w:rPr>
            </w:pPr>
            <w:r w:rsidRPr="001167E5">
              <w:rPr>
                <w:rFonts w:ascii="Arial" w:hAnsi="Arial" w:cs="Arial"/>
                <w:sz w:val="20"/>
                <w:szCs w:val="20"/>
                <w:lang w:val="id-ID"/>
              </w:rPr>
              <w:t>VIF</w:t>
            </w:r>
          </w:p>
        </w:tc>
      </w:tr>
      <w:tr w:rsidR="001167E5" w:rsidRPr="001167E5" w14:paraId="2362BC7C" w14:textId="77777777" w:rsidTr="001167E5">
        <w:tc>
          <w:tcPr>
            <w:tcW w:w="850" w:type="dxa"/>
            <w:vMerge w:val="restart"/>
          </w:tcPr>
          <w:p w14:paraId="1F98C4DC" w14:textId="77777777" w:rsidR="001167E5" w:rsidRPr="001167E5" w:rsidRDefault="001167E5" w:rsidP="00E55377">
            <w:pPr>
              <w:spacing w:line="276" w:lineRule="auto"/>
              <w:rPr>
                <w:rFonts w:ascii="Arial" w:hAnsi="Arial" w:cs="Arial"/>
                <w:sz w:val="20"/>
                <w:szCs w:val="20"/>
                <w:lang w:val="id-ID"/>
              </w:rPr>
            </w:pPr>
            <w:r w:rsidRPr="001167E5">
              <w:rPr>
                <w:rFonts w:ascii="Arial" w:hAnsi="Arial" w:cs="Arial"/>
                <w:sz w:val="20"/>
                <w:szCs w:val="20"/>
                <w:lang w:val="id-ID"/>
              </w:rPr>
              <w:t>1</w:t>
            </w:r>
          </w:p>
        </w:tc>
        <w:tc>
          <w:tcPr>
            <w:tcW w:w="2525" w:type="dxa"/>
            <w:tcBorders>
              <w:bottom w:val="nil"/>
              <w:right w:val="nil"/>
            </w:tcBorders>
          </w:tcPr>
          <w:p w14:paraId="42C4ECA9" w14:textId="77777777" w:rsidR="001167E5" w:rsidRPr="001167E5" w:rsidRDefault="001167E5" w:rsidP="00E55377">
            <w:pPr>
              <w:spacing w:line="276" w:lineRule="auto"/>
              <w:rPr>
                <w:rFonts w:ascii="Arial" w:hAnsi="Arial" w:cs="Arial"/>
                <w:sz w:val="20"/>
                <w:szCs w:val="20"/>
                <w:lang w:val="id-ID"/>
              </w:rPr>
            </w:pPr>
            <w:r w:rsidRPr="001167E5">
              <w:rPr>
                <w:rFonts w:ascii="Arial" w:hAnsi="Arial" w:cs="Arial"/>
                <w:sz w:val="20"/>
                <w:szCs w:val="20"/>
                <w:lang w:val="id-ID"/>
              </w:rPr>
              <w:t>(constant)</w:t>
            </w:r>
          </w:p>
        </w:tc>
        <w:tc>
          <w:tcPr>
            <w:tcW w:w="1296" w:type="dxa"/>
            <w:tcBorders>
              <w:left w:val="nil"/>
              <w:bottom w:val="nil"/>
              <w:right w:val="nil"/>
            </w:tcBorders>
          </w:tcPr>
          <w:p w14:paraId="17B7E6D7" w14:textId="77777777" w:rsidR="001167E5" w:rsidRPr="001167E5" w:rsidRDefault="001167E5" w:rsidP="00E55377">
            <w:pPr>
              <w:spacing w:line="276" w:lineRule="auto"/>
              <w:jc w:val="center"/>
              <w:rPr>
                <w:rFonts w:ascii="Arial" w:hAnsi="Arial" w:cs="Arial"/>
                <w:sz w:val="20"/>
                <w:szCs w:val="20"/>
                <w:lang w:val="id-ID"/>
              </w:rPr>
            </w:pPr>
          </w:p>
        </w:tc>
        <w:tc>
          <w:tcPr>
            <w:tcW w:w="1134" w:type="dxa"/>
            <w:tcBorders>
              <w:left w:val="nil"/>
              <w:bottom w:val="nil"/>
            </w:tcBorders>
          </w:tcPr>
          <w:p w14:paraId="051F789C" w14:textId="77777777" w:rsidR="001167E5" w:rsidRPr="001167E5" w:rsidRDefault="001167E5" w:rsidP="00E55377">
            <w:pPr>
              <w:spacing w:line="276" w:lineRule="auto"/>
              <w:jc w:val="center"/>
              <w:rPr>
                <w:rFonts w:ascii="Arial" w:hAnsi="Arial" w:cs="Arial"/>
                <w:sz w:val="20"/>
                <w:szCs w:val="20"/>
                <w:lang w:val="id-ID"/>
              </w:rPr>
            </w:pPr>
          </w:p>
        </w:tc>
      </w:tr>
      <w:tr w:rsidR="001167E5" w:rsidRPr="001167E5" w14:paraId="650A35C9" w14:textId="77777777" w:rsidTr="001167E5">
        <w:tc>
          <w:tcPr>
            <w:tcW w:w="850" w:type="dxa"/>
            <w:vMerge/>
          </w:tcPr>
          <w:p w14:paraId="1DE5A349" w14:textId="77777777" w:rsidR="001167E5" w:rsidRPr="001167E5" w:rsidRDefault="001167E5" w:rsidP="00E55377">
            <w:pPr>
              <w:spacing w:line="276" w:lineRule="auto"/>
              <w:rPr>
                <w:rFonts w:ascii="Arial" w:hAnsi="Arial" w:cs="Arial"/>
                <w:sz w:val="20"/>
                <w:szCs w:val="20"/>
                <w:lang w:val="id-ID"/>
              </w:rPr>
            </w:pPr>
          </w:p>
        </w:tc>
        <w:tc>
          <w:tcPr>
            <w:tcW w:w="2525" w:type="dxa"/>
            <w:tcBorders>
              <w:top w:val="nil"/>
              <w:bottom w:val="nil"/>
              <w:right w:val="nil"/>
            </w:tcBorders>
          </w:tcPr>
          <w:p w14:paraId="0DB5F0E1" w14:textId="06BE7275" w:rsidR="001167E5" w:rsidRPr="001167E5" w:rsidRDefault="001167E5" w:rsidP="00E55377">
            <w:pPr>
              <w:spacing w:line="276" w:lineRule="auto"/>
              <w:rPr>
                <w:rFonts w:ascii="Arial" w:hAnsi="Arial" w:cs="Arial"/>
                <w:sz w:val="20"/>
                <w:szCs w:val="20"/>
                <w:lang w:val="id-ID"/>
              </w:rPr>
            </w:pPr>
            <w:r>
              <w:rPr>
                <w:rFonts w:ascii="Arial" w:hAnsi="Arial" w:cs="Arial"/>
                <w:sz w:val="20"/>
                <w:szCs w:val="20"/>
                <w:lang w:val="id-ID"/>
              </w:rPr>
              <w:t>Investmen Desisison</w:t>
            </w:r>
          </w:p>
        </w:tc>
        <w:tc>
          <w:tcPr>
            <w:tcW w:w="1296" w:type="dxa"/>
            <w:tcBorders>
              <w:top w:val="nil"/>
              <w:left w:val="nil"/>
              <w:bottom w:val="nil"/>
              <w:right w:val="nil"/>
            </w:tcBorders>
          </w:tcPr>
          <w:p w14:paraId="17E6948C" w14:textId="77777777" w:rsidR="001167E5" w:rsidRPr="001167E5" w:rsidRDefault="001167E5" w:rsidP="00E55377">
            <w:pPr>
              <w:spacing w:line="276" w:lineRule="auto"/>
              <w:jc w:val="center"/>
              <w:rPr>
                <w:rFonts w:ascii="Arial" w:hAnsi="Arial" w:cs="Arial"/>
                <w:sz w:val="20"/>
                <w:szCs w:val="20"/>
                <w:lang w:val="id-ID"/>
              </w:rPr>
            </w:pPr>
            <w:r w:rsidRPr="001167E5">
              <w:rPr>
                <w:rFonts w:ascii="Arial" w:hAnsi="Arial" w:cs="Arial"/>
                <w:sz w:val="20"/>
                <w:szCs w:val="20"/>
                <w:lang w:val="id-ID"/>
              </w:rPr>
              <w:t>0,992</w:t>
            </w:r>
          </w:p>
        </w:tc>
        <w:tc>
          <w:tcPr>
            <w:tcW w:w="1134" w:type="dxa"/>
            <w:tcBorders>
              <w:top w:val="nil"/>
              <w:left w:val="nil"/>
              <w:bottom w:val="nil"/>
            </w:tcBorders>
          </w:tcPr>
          <w:p w14:paraId="03DD8A2B" w14:textId="77777777" w:rsidR="001167E5" w:rsidRPr="001167E5" w:rsidRDefault="001167E5" w:rsidP="00E55377">
            <w:pPr>
              <w:spacing w:line="276" w:lineRule="auto"/>
              <w:jc w:val="center"/>
              <w:rPr>
                <w:rFonts w:ascii="Arial" w:hAnsi="Arial" w:cs="Arial"/>
                <w:sz w:val="20"/>
                <w:szCs w:val="20"/>
                <w:lang w:val="id-ID"/>
              </w:rPr>
            </w:pPr>
            <w:r w:rsidRPr="001167E5">
              <w:rPr>
                <w:rFonts w:ascii="Arial" w:hAnsi="Arial" w:cs="Arial"/>
                <w:sz w:val="20"/>
                <w:szCs w:val="20"/>
                <w:lang w:val="id-ID"/>
              </w:rPr>
              <w:t>1,008</w:t>
            </w:r>
          </w:p>
        </w:tc>
      </w:tr>
      <w:tr w:rsidR="001167E5" w:rsidRPr="001167E5" w14:paraId="4BCDC3C3" w14:textId="77777777" w:rsidTr="001167E5">
        <w:tc>
          <w:tcPr>
            <w:tcW w:w="850" w:type="dxa"/>
            <w:vMerge/>
          </w:tcPr>
          <w:p w14:paraId="53BE59A1" w14:textId="77777777" w:rsidR="001167E5" w:rsidRPr="001167E5" w:rsidRDefault="001167E5" w:rsidP="00E55377">
            <w:pPr>
              <w:spacing w:line="276" w:lineRule="auto"/>
              <w:rPr>
                <w:rFonts w:ascii="Arial" w:hAnsi="Arial" w:cs="Arial"/>
                <w:sz w:val="20"/>
                <w:szCs w:val="20"/>
                <w:lang w:val="id-ID"/>
              </w:rPr>
            </w:pPr>
          </w:p>
        </w:tc>
        <w:tc>
          <w:tcPr>
            <w:tcW w:w="2525" w:type="dxa"/>
            <w:tcBorders>
              <w:top w:val="nil"/>
              <w:bottom w:val="nil"/>
              <w:right w:val="nil"/>
            </w:tcBorders>
          </w:tcPr>
          <w:p w14:paraId="488147C2" w14:textId="38440223" w:rsidR="001167E5" w:rsidRPr="001167E5" w:rsidRDefault="001167E5" w:rsidP="00E55377">
            <w:pPr>
              <w:spacing w:line="276" w:lineRule="auto"/>
              <w:rPr>
                <w:rFonts w:ascii="Arial" w:hAnsi="Arial" w:cs="Arial"/>
                <w:sz w:val="20"/>
                <w:szCs w:val="20"/>
                <w:lang w:val="id-ID"/>
              </w:rPr>
            </w:pPr>
            <w:r>
              <w:rPr>
                <w:rFonts w:ascii="Arial" w:hAnsi="Arial" w:cs="Arial"/>
                <w:sz w:val="20"/>
                <w:szCs w:val="20"/>
                <w:lang w:val="id-ID"/>
              </w:rPr>
              <w:t>Dividend Policy</w:t>
            </w:r>
          </w:p>
        </w:tc>
        <w:tc>
          <w:tcPr>
            <w:tcW w:w="1296" w:type="dxa"/>
            <w:tcBorders>
              <w:top w:val="nil"/>
              <w:left w:val="nil"/>
              <w:bottom w:val="nil"/>
              <w:right w:val="nil"/>
            </w:tcBorders>
          </w:tcPr>
          <w:p w14:paraId="22AAC840" w14:textId="77777777" w:rsidR="001167E5" w:rsidRPr="001167E5" w:rsidRDefault="001167E5" w:rsidP="00E55377">
            <w:pPr>
              <w:spacing w:line="276" w:lineRule="auto"/>
              <w:jc w:val="center"/>
              <w:rPr>
                <w:rFonts w:ascii="Arial" w:hAnsi="Arial" w:cs="Arial"/>
                <w:sz w:val="20"/>
                <w:szCs w:val="20"/>
                <w:lang w:val="id-ID"/>
              </w:rPr>
            </w:pPr>
            <w:r w:rsidRPr="001167E5">
              <w:rPr>
                <w:rFonts w:ascii="Arial" w:hAnsi="Arial" w:cs="Arial"/>
                <w:sz w:val="20"/>
                <w:szCs w:val="20"/>
                <w:lang w:val="id-ID"/>
              </w:rPr>
              <w:t>0,951</w:t>
            </w:r>
          </w:p>
        </w:tc>
        <w:tc>
          <w:tcPr>
            <w:tcW w:w="1134" w:type="dxa"/>
            <w:tcBorders>
              <w:top w:val="nil"/>
              <w:left w:val="nil"/>
              <w:bottom w:val="nil"/>
            </w:tcBorders>
          </w:tcPr>
          <w:p w14:paraId="0CD112E0" w14:textId="77777777" w:rsidR="001167E5" w:rsidRPr="001167E5" w:rsidRDefault="001167E5" w:rsidP="00E55377">
            <w:pPr>
              <w:spacing w:line="276" w:lineRule="auto"/>
              <w:jc w:val="center"/>
              <w:rPr>
                <w:rFonts w:ascii="Arial" w:hAnsi="Arial" w:cs="Arial"/>
                <w:sz w:val="20"/>
                <w:szCs w:val="20"/>
                <w:lang w:val="id-ID"/>
              </w:rPr>
            </w:pPr>
            <w:r w:rsidRPr="001167E5">
              <w:rPr>
                <w:rFonts w:ascii="Arial" w:hAnsi="Arial" w:cs="Arial"/>
                <w:sz w:val="20"/>
                <w:szCs w:val="20"/>
                <w:lang w:val="id-ID"/>
              </w:rPr>
              <w:t>1,051</w:t>
            </w:r>
          </w:p>
        </w:tc>
      </w:tr>
      <w:tr w:rsidR="001167E5" w:rsidRPr="001167E5" w14:paraId="45D9DEAC" w14:textId="77777777" w:rsidTr="001167E5">
        <w:tc>
          <w:tcPr>
            <w:tcW w:w="850" w:type="dxa"/>
            <w:vMerge/>
          </w:tcPr>
          <w:p w14:paraId="2FDBE602" w14:textId="77777777" w:rsidR="001167E5" w:rsidRPr="001167E5" w:rsidRDefault="001167E5" w:rsidP="00E55377">
            <w:pPr>
              <w:spacing w:line="276" w:lineRule="auto"/>
              <w:rPr>
                <w:rFonts w:ascii="Arial" w:hAnsi="Arial" w:cs="Arial"/>
                <w:sz w:val="20"/>
                <w:szCs w:val="20"/>
                <w:lang w:val="id-ID"/>
              </w:rPr>
            </w:pPr>
          </w:p>
        </w:tc>
        <w:tc>
          <w:tcPr>
            <w:tcW w:w="2525" w:type="dxa"/>
            <w:tcBorders>
              <w:top w:val="nil"/>
              <w:bottom w:val="nil"/>
              <w:right w:val="nil"/>
            </w:tcBorders>
          </w:tcPr>
          <w:p w14:paraId="2213B039" w14:textId="173C2794" w:rsidR="001167E5" w:rsidRPr="001167E5" w:rsidRDefault="001167E5" w:rsidP="00E55377">
            <w:pPr>
              <w:spacing w:line="276" w:lineRule="auto"/>
              <w:rPr>
                <w:rFonts w:ascii="Arial" w:hAnsi="Arial" w:cs="Arial"/>
                <w:sz w:val="20"/>
                <w:szCs w:val="20"/>
                <w:lang w:val="id-ID"/>
              </w:rPr>
            </w:pPr>
            <w:r>
              <w:rPr>
                <w:rFonts w:ascii="Arial" w:hAnsi="Arial" w:cs="Arial"/>
                <w:sz w:val="20"/>
                <w:szCs w:val="20"/>
                <w:lang w:val="id-ID"/>
              </w:rPr>
              <w:t>Sales Growth</w:t>
            </w:r>
          </w:p>
        </w:tc>
        <w:tc>
          <w:tcPr>
            <w:tcW w:w="1296" w:type="dxa"/>
            <w:tcBorders>
              <w:top w:val="nil"/>
              <w:left w:val="nil"/>
              <w:bottom w:val="nil"/>
              <w:right w:val="nil"/>
            </w:tcBorders>
          </w:tcPr>
          <w:p w14:paraId="685C37D9" w14:textId="77777777" w:rsidR="001167E5" w:rsidRPr="001167E5" w:rsidRDefault="001167E5" w:rsidP="00E55377">
            <w:pPr>
              <w:spacing w:line="276" w:lineRule="auto"/>
              <w:jc w:val="center"/>
              <w:rPr>
                <w:rFonts w:ascii="Arial" w:hAnsi="Arial" w:cs="Arial"/>
                <w:sz w:val="20"/>
                <w:szCs w:val="20"/>
                <w:lang w:val="id-ID"/>
              </w:rPr>
            </w:pPr>
            <w:r w:rsidRPr="001167E5">
              <w:rPr>
                <w:rFonts w:ascii="Arial" w:hAnsi="Arial" w:cs="Arial"/>
                <w:sz w:val="20"/>
                <w:szCs w:val="20"/>
                <w:lang w:val="id-ID"/>
              </w:rPr>
              <w:t>0,951</w:t>
            </w:r>
          </w:p>
        </w:tc>
        <w:tc>
          <w:tcPr>
            <w:tcW w:w="1134" w:type="dxa"/>
            <w:tcBorders>
              <w:top w:val="nil"/>
              <w:left w:val="nil"/>
              <w:bottom w:val="nil"/>
            </w:tcBorders>
          </w:tcPr>
          <w:p w14:paraId="34D76210" w14:textId="77777777" w:rsidR="001167E5" w:rsidRPr="001167E5" w:rsidRDefault="001167E5" w:rsidP="00E55377">
            <w:pPr>
              <w:spacing w:line="276" w:lineRule="auto"/>
              <w:jc w:val="center"/>
              <w:rPr>
                <w:rFonts w:ascii="Arial" w:hAnsi="Arial" w:cs="Arial"/>
                <w:sz w:val="20"/>
                <w:szCs w:val="20"/>
                <w:lang w:val="id-ID"/>
              </w:rPr>
            </w:pPr>
            <w:r w:rsidRPr="001167E5">
              <w:rPr>
                <w:rFonts w:ascii="Arial" w:hAnsi="Arial" w:cs="Arial"/>
                <w:sz w:val="20"/>
                <w:szCs w:val="20"/>
                <w:lang w:val="id-ID"/>
              </w:rPr>
              <w:t>1,051</w:t>
            </w:r>
          </w:p>
        </w:tc>
      </w:tr>
      <w:tr w:rsidR="001167E5" w:rsidRPr="001167E5" w14:paraId="4D269B7E" w14:textId="77777777" w:rsidTr="001167E5">
        <w:tc>
          <w:tcPr>
            <w:tcW w:w="850" w:type="dxa"/>
            <w:vMerge/>
          </w:tcPr>
          <w:p w14:paraId="524044AD" w14:textId="77777777" w:rsidR="001167E5" w:rsidRPr="001167E5" w:rsidRDefault="001167E5" w:rsidP="00E55377">
            <w:pPr>
              <w:spacing w:line="276" w:lineRule="auto"/>
              <w:rPr>
                <w:rFonts w:ascii="Arial" w:hAnsi="Arial" w:cs="Arial"/>
                <w:sz w:val="20"/>
                <w:szCs w:val="20"/>
                <w:lang w:val="id-ID"/>
              </w:rPr>
            </w:pPr>
          </w:p>
        </w:tc>
        <w:tc>
          <w:tcPr>
            <w:tcW w:w="2525" w:type="dxa"/>
            <w:tcBorders>
              <w:top w:val="nil"/>
              <w:right w:val="nil"/>
            </w:tcBorders>
          </w:tcPr>
          <w:p w14:paraId="069772AC" w14:textId="0A67BE37" w:rsidR="001167E5" w:rsidRPr="001167E5" w:rsidRDefault="001167E5" w:rsidP="00E55377">
            <w:pPr>
              <w:spacing w:line="276" w:lineRule="auto"/>
              <w:rPr>
                <w:rFonts w:ascii="Arial" w:hAnsi="Arial" w:cs="Arial"/>
                <w:sz w:val="20"/>
                <w:szCs w:val="20"/>
                <w:lang w:val="id-ID"/>
              </w:rPr>
            </w:pPr>
            <w:r>
              <w:rPr>
                <w:rFonts w:ascii="Arial" w:hAnsi="Arial" w:cs="Arial"/>
                <w:sz w:val="20"/>
                <w:szCs w:val="20"/>
                <w:lang w:val="id-ID"/>
              </w:rPr>
              <w:t>Capital Structure</w:t>
            </w:r>
          </w:p>
        </w:tc>
        <w:tc>
          <w:tcPr>
            <w:tcW w:w="1296" w:type="dxa"/>
            <w:tcBorders>
              <w:top w:val="nil"/>
              <w:left w:val="nil"/>
              <w:right w:val="nil"/>
            </w:tcBorders>
          </w:tcPr>
          <w:p w14:paraId="7B16F172" w14:textId="77777777" w:rsidR="001167E5" w:rsidRPr="001167E5" w:rsidRDefault="001167E5" w:rsidP="00E55377">
            <w:pPr>
              <w:spacing w:line="276" w:lineRule="auto"/>
              <w:jc w:val="center"/>
              <w:rPr>
                <w:rFonts w:ascii="Arial" w:hAnsi="Arial" w:cs="Arial"/>
                <w:sz w:val="20"/>
                <w:szCs w:val="20"/>
                <w:lang w:val="id-ID"/>
              </w:rPr>
            </w:pPr>
            <w:r w:rsidRPr="001167E5">
              <w:rPr>
                <w:rFonts w:ascii="Arial" w:hAnsi="Arial" w:cs="Arial"/>
                <w:sz w:val="20"/>
                <w:szCs w:val="20"/>
                <w:lang w:val="id-ID"/>
              </w:rPr>
              <w:t>0,978</w:t>
            </w:r>
          </w:p>
        </w:tc>
        <w:tc>
          <w:tcPr>
            <w:tcW w:w="1134" w:type="dxa"/>
            <w:tcBorders>
              <w:top w:val="nil"/>
              <w:left w:val="nil"/>
            </w:tcBorders>
          </w:tcPr>
          <w:p w14:paraId="3A398EC3" w14:textId="77777777" w:rsidR="001167E5" w:rsidRPr="001167E5" w:rsidRDefault="001167E5" w:rsidP="00E55377">
            <w:pPr>
              <w:spacing w:line="276" w:lineRule="auto"/>
              <w:jc w:val="center"/>
              <w:rPr>
                <w:rFonts w:ascii="Arial" w:hAnsi="Arial" w:cs="Arial"/>
                <w:sz w:val="20"/>
                <w:szCs w:val="20"/>
                <w:lang w:val="id-ID"/>
              </w:rPr>
            </w:pPr>
            <w:r w:rsidRPr="001167E5">
              <w:rPr>
                <w:rFonts w:ascii="Arial" w:hAnsi="Arial" w:cs="Arial"/>
                <w:sz w:val="20"/>
                <w:szCs w:val="20"/>
                <w:lang w:val="id-ID"/>
              </w:rPr>
              <w:t>1,023</w:t>
            </w:r>
          </w:p>
        </w:tc>
      </w:tr>
      <w:bookmarkEnd w:id="3"/>
    </w:tbl>
    <w:p w14:paraId="4018C7CA" w14:textId="77777777" w:rsidR="001167E5" w:rsidRDefault="001167E5" w:rsidP="00441B6F">
      <w:pPr>
        <w:pStyle w:val="Body"/>
        <w:spacing w:after="0"/>
        <w:rPr>
          <w:rFonts w:ascii="Arial" w:hAnsi="Arial" w:cs="Arial"/>
          <w:b/>
          <w:bCs/>
        </w:rPr>
      </w:pPr>
    </w:p>
    <w:p w14:paraId="583E776F" w14:textId="309CF2C7" w:rsidR="007E7ED2" w:rsidRPr="007E7ED2" w:rsidRDefault="007E7ED2" w:rsidP="007E7ED2">
      <w:pPr>
        <w:pStyle w:val="Body"/>
        <w:spacing w:after="0"/>
        <w:rPr>
          <w:rFonts w:ascii="Arial" w:hAnsi="Arial" w:cs="Arial"/>
        </w:rPr>
      </w:pPr>
      <w:r w:rsidRPr="007E7ED2">
        <w:rPr>
          <w:rFonts w:ascii="Arial" w:hAnsi="Arial" w:cs="Arial"/>
        </w:rPr>
        <w:t xml:space="preserve">Based on Table </w:t>
      </w:r>
      <w:r w:rsidR="00E208CC">
        <w:rPr>
          <w:rFonts w:ascii="Arial" w:hAnsi="Arial" w:cs="Arial"/>
        </w:rPr>
        <w:t>5</w:t>
      </w:r>
      <w:r w:rsidRPr="007E7ED2">
        <w:rPr>
          <w:rFonts w:ascii="Arial" w:hAnsi="Arial" w:cs="Arial"/>
        </w:rPr>
        <w:t>, all variables have a Tolerance value greater than 0.10 and a VIF value less than 10.00. This indicates that there is no multicollinearity problem among these variables, so that they can be used reliably in linear regression analysis.</w:t>
      </w:r>
    </w:p>
    <w:p w14:paraId="7164E8E9" w14:textId="77777777" w:rsidR="007E7ED2" w:rsidRDefault="007E7ED2" w:rsidP="00441B6F">
      <w:pPr>
        <w:pStyle w:val="Body"/>
        <w:spacing w:after="0"/>
        <w:rPr>
          <w:rFonts w:ascii="Arial" w:hAnsi="Arial" w:cs="Arial"/>
        </w:rPr>
      </w:pPr>
    </w:p>
    <w:p w14:paraId="18988388" w14:textId="592010F6" w:rsidR="007E7ED2" w:rsidRDefault="003730CB" w:rsidP="00441B6F">
      <w:pPr>
        <w:pStyle w:val="Body"/>
        <w:spacing w:after="0"/>
        <w:rPr>
          <w:rFonts w:ascii="Arial" w:hAnsi="Arial" w:cs="Arial"/>
          <w:b/>
          <w:bCs/>
        </w:rPr>
      </w:pPr>
      <w:r>
        <w:rPr>
          <w:rFonts w:ascii="Arial" w:hAnsi="Arial" w:cs="Arial"/>
          <w:b/>
          <w:bCs/>
        </w:rPr>
        <w:t xml:space="preserve">3.2.3 </w:t>
      </w:r>
      <w:proofErr w:type="spellStart"/>
      <w:r w:rsidR="007E7ED2">
        <w:rPr>
          <w:rFonts w:ascii="Arial" w:hAnsi="Arial" w:cs="Arial"/>
          <w:b/>
          <w:bCs/>
        </w:rPr>
        <w:t>Heteroskedastisitas</w:t>
      </w:r>
      <w:proofErr w:type="spellEnd"/>
      <w:r w:rsidR="007E7ED2">
        <w:rPr>
          <w:rFonts w:ascii="Arial" w:hAnsi="Arial" w:cs="Arial"/>
          <w:b/>
          <w:bCs/>
        </w:rPr>
        <w:t xml:space="preserve"> test</w:t>
      </w:r>
    </w:p>
    <w:p w14:paraId="35182249" w14:textId="65BED72E" w:rsidR="00E208CC" w:rsidRDefault="00E208CC" w:rsidP="00E208CC">
      <w:pPr>
        <w:pStyle w:val="Body"/>
        <w:spacing w:after="0"/>
        <w:jc w:val="center"/>
        <w:rPr>
          <w:rFonts w:ascii="Arial" w:hAnsi="Arial" w:cs="Arial"/>
          <w:b/>
          <w:bCs/>
        </w:rPr>
      </w:pPr>
      <w:r>
        <w:rPr>
          <w:rFonts w:ascii="Arial" w:hAnsi="Arial" w:cs="Arial"/>
          <w:b/>
          <w:bCs/>
        </w:rPr>
        <w:t>Tabl</w:t>
      </w:r>
      <w:r w:rsidR="00F07DDE">
        <w:rPr>
          <w:rFonts w:ascii="Arial" w:hAnsi="Arial" w:cs="Arial"/>
          <w:b/>
          <w:bCs/>
        </w:rPr>
        <w:t>e</w:t>
      </w:r>
      <w:r>
        <w:rPr>
          <w:rFonts w:ascii="Arial" w:hAnsi="Arial" w:cs="Arial"/>
          <w:b/>
          <w:bCs/>
        </w:rPr>
        <w:t xml:space="preserve"> 6. </w:t>
      </w:r>
      <w:r w:rsidRPr="00E208CC">
        <w:rPr>
          <w:rFonts w:ascii="Arial" w:hAnsi="Arial" w:cs="Arial"/>
          <w:b/>
          <w:bCs/>
        </w:rPr>
        <w:t>Heteroscedasticity</w:t>
      </w:r>
      <w:r>
        <w:rPr>
          <w:rFonts w:ascii="Arial" w:hAnsi="Arial" w:cs="Arial"/>
          <w:b/>
          <w:bCs/>
        </w:rPr>
        <w:t xml:space="preserve"> </w:t>
      </w:r>
      <w:r w:rsidRPr="00E208CC">
        <w:rPr>
          <w:rFonts w:ascii="Arial" w:hAnsi="Arial" w:cs="Arial"/>
          <w:b/>
          <w:bCs/>
        </w:rPr>
        <w:t>test results</w:t>
      </w:r>
    </w:p>
    <w:tbl>
      <w:tblPr>
        <w:tblStyle w:val="TableGrid"/>
        <w:tblW w:w="0" w:type="auto"/>
        <w:tblInd w:w="1413" w:type="dxa"/>
        <w:tblBorders>
          <w:left w:val="none" w:sz="0" w:space="0" w:color="auto"/>
          <w:right w:val="none" w:sz="0" w:space="0" w:color="auto"/>
        </w:tblBorders>
        <w:tblLayout w:type="fixed"/>
        <w:tblLook w:val="04A0" w:firstRow="1" w:lastRow="0" w:firstColumn="1" w:lastColumn="0" w:noHBand="0" w:noVBand="1"/>
      </w:tblPr>
      <w:tblGrid>
        <w:gridCol w:w="792"/>
        <w:gridCol w:w="1145"/>
        <w:gridCol w:w="808"/>
        <w:gridCol w:w="799"/>
        <w:gridCol w:w="1417"/>
        <w:gridCol w:w="798"/>
        <w:gridCol w:w="755"/>
      </w:tblGrid>
      <w:tr w:rsidR="001167E5" w:rsidRPr="001167E5" w14:paraId="0C41FFA2" w14:textId="77777777" w:rsidTr="001167E5">
        <w:tc>
          <w:tcPr>
            <w:tcW w:w="6514" w:type="dxa"/>
            <w:gridSpan w:val="7"/>
          </w:tcPr>
          <w:p w14:paraId="7FEB9863" w14:textId="77777777" w:rsidR="001167E5" w:rsidRPr="001167E5" w:rsidRDefault="001167E5" w:rsidP="00E208CC">
            <w:pPr>
              <w:spacing w:line="276" w:lineRule="auto"/>
              <w:jc w:val="center"/>
              <w:rPr>
                <w:rFonts w:ascii="Arial" w:hAnsi="Arial" w:cs="Arial"/>
                <w:b/>
                <w:bCs/>
                <w:sz w:val="18"/>
                <w:szCs w:val="18"/>
                <w:vertAlign w:val="superscript"/>
                <w:lang w:val="id-ID"/>
              </w:rPr>
            </w:pPr>
            <w:bookmarkStart w:id="4" w:name="_Hlk209220659"/>
            <w:r w:rsidRPr="001167E5">
              <w:rPr>
                <w:rFonts w:ascii="Arial" w:hAnsi="Arial" w:cs="Arial"/>
                <w:b/>
                <w:bCs/>
                <w:sz w:val="18"/>
                <w:szCs w:val="18"/>
                <w:lang w:val="id-ID"/>
              </w:rPr>
              <w:t>Coefficients</w:t>
            </w:r>
            <w:r w:rsidRPr="001167E5">
              <w:rPr>
                <w:rFonts w:ascii="Arial" w:hAnsi="Arial" w:cs="Arial"/>
                <w:b/>
                <w:bCs/>
                <w:sz w:val="18"/>
                <w:szCs w:val="18"/>
                <w:vertAlign w:val="superscript"/>
                <w:lang w:val="id-ID"/>
              </w:rPr>
              <w:t>a</w:t>
            </w:r>
          </w:p>
        </w:tc>
      </w:tr>
      <w:tr w:rsidR="001167E5" w:rsidRPr="001167E5" w14:paraId="1DADB93E" w14:textId="77777777" w:rsidTr="001167E5">
        <w:trPr>
          <w:trHeight w:val="516"/>
        </w:trPr>
        <w:tc>
          <w:tcPr>
            <w:tcW w:w="792" w:type="dxa"/>
            <w:vMerge w:val="restart"/>
            <w:tcBorders>
              <w:right w:val="nil"/>
            </w:tcBorders>
          </w:tcPr>
          <w:p w14:paraId="5AF8B275" w14:textId="77777777" w:rsidR="001167E5" w:rsidRPr="001167E5" w:rsidRDefault="001167E5" w:rsidP="00E55377">
            <w:pPr>
              <w:spacing w:line="276" w:lineRule="auto"/>
              <w:rPr>
                <w:rFonts w:ascii="Arial" w:hAnsi="Arial" w:cs="Arial"/>
                <w:b/>
                <w:bCs/>
                <w:sz w:val="18"/>
                <w:szCs w:val="18"/>
                <w:lang w:val="id-ID"/>
              </w:rPr>
            </w:pPr>
            <w:r w:rsidRPr="001167E5">
              <w:rPr>
                <w:rFonts w:ascii="Arial" w:hAnsi="Arial" w:cs="Arial"/>
                <w:sz w:val="18"/>
                <w:szCs w:val="18"/>
                <w:lang w:val="id-ID"/>
              </w:rPr>
              <w:t xml:space="preserve">Model </w:t>
            </w:r>
          </w:p>
        </w:tc>
        <w:tc>
          <w:tcPr>
            <w:tcW w:w="2752" w:type="dxa"/>
            <w:gridSpan w:val="3"/>
            <w:vMerge w:val="restart"/>
            <w:tcBorders>
              <w:left w:val="nil"/>
            </w:tcBorders>
          </w:tcPr>
          <w:p w14:paraId="11E30CB9" w14:textId="77777777" w:rsidR="001167E5" w:rsidRPr="001167E5" w:rsidRDefault="001167E5" w:rsidP="00E55377">
            <w:pPr>
              <w:spacing w:line="276" w:lineRule="auto"/>
              <w:rPr>
                <w:rFonts w:ascii="Arial" w:hAnsi="Arial" w:cs="Arial"/>
                <w:b/>
                <w:bCs/>
                <w:sz w:val="18"/>
                <w:szCs w:val="18"/>
                <w:lang w:val="id-ID"/>
              </w:rPr>
            </w:pPr>
          </w:p>
        </w:tc>
        <w:tc>
          <w:tcPr>
            <w:tcW w:w="1417" w:type="dxa"/>
            <w:tcBorders>
              <w:right w:val="nil"/>
            </w:tcBorders>
          </w:tcPr>
          <w:p w14:paraId="4E6BBCFE"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lang w:val="id-ID"/>
              </w:rPr>
              <w:t>Standardized</w:t>
            </w:r>
          </w:p>
          <w:p w14:paraId="163E476C"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lang w:val="id-ID"/>
              </w:rPr>
              <w:t>Coefficients</w:t>
            </w:r>
          </w:p>
        </w:tc>
        <w:tc>
          <w:tcPr>
            <w:tcW w:w="798" w:type="dxa"/>
            <w:vMerge w:val="restart"/>
            <w:tcBorders>
              <w:left w:val="nil"/>
              <w:right w:val="nil"/>
            </w:tcBorders>
          </w:tcPr>
          <w:p w14:paraId="6E46CA55" w14:textId="77777777" w:rsidR="001167E5" w:rsidRPr="001167E5" w:rsidRDefault="001167E5" w:rsidP="00E55377">
            <w:pPr>
              <w:spacing w:line="276" w:lineRule="auto"/>
              <w:jc w:val="center"/>
              <w:rPr>
                <w:rFonts w:ascii="Arial" w:hAnsi="Arial" w:cs="Arial"/>
                <w:b/>
                <w:bCs/>
                <w:sz w:val="18"/>
                <w:szCs w:val="18"/>
                <w:lang w:val="id-ID"/>
              </w:rPr>
            </w:pPr>
          </w:p>
          <w:p w14:paraId="2CCCFF63"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lang w:val="id-ID"/>
              </w:rPr>
              <w:t>t</w:t>
            </w:r>
          </w:p>
        </w:tc>
        <w:tc>
          <w:tcPr>
            <w:tcW w:w="755" w:type="dxa"/>
            <w:vMerge w:val="restart"/>
            <w:tcBorders>
              <w:left w:val="nil"/>
            </w:tcBorders>
          </w:tcPr>
          <w:p w14:paraId="4F6E5101" w14:textId="77777777" w:rsidR="001167E5" w:rsidRPr="001167E5" w:rsidRDefault="001167E5" w:rsidP="00E55377">
            <w:pPr>
              <w:spacing w:line="276" w:lineRule="auto"/>
              <w:jc w:val="center"/>
              <w:rPr>
                <w:rFonts w:ascii="Arial" w:hAnsi="Arial" w:cs="Arial"/>
                <w:b/>
                <w:bCs/>
                <w:sz w:val="18"/>
                <w:szCs w:val="18"/>
                <w:lang w:val="id-ID"/>
              </w:rPr>
            </w:pPr>
          </w:p>
          <w:p w14:paraId="56267D9C"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lang w:val="id-ID"/>
              </w:rPr>
              <w:t>Sig.</w:t>
            </w:r>
          </w:p>
        </w:tc>
      </w:tr>
      <w:tr w:rsidR="001167E5" w:rsidRPr="001167E5" w14:paraId="6B331CD4" w14:textId="77777777" w:rsidTr="001167E5">
        <w:tc>
          <w:tcPr>
            <w:tcW w:w="792" w:type="dxa"/>
            <w:vMerge/>
            <w:tcBorders>
              <w:right w:val="nil"/>
            </w:tcBorders>
          </w:tcPr>
          <w:p w14:paraId="2CA844C2" w14:textId="77777777" w:rsidR="001167E5" w:rsidRPr="001167E5" w:rsidRDefault="001167E5" w:rsidP="00E55377">
            <w:pPr>
              <w:spacing w:line="276" w:lineRule="auto"/>
              <w:rPr>
                <w:rFonts w:ascii="Arial" w:hAnsi="Arial" w:cs="Arial"/>
                <w:sz w:val="18"/>
                <w:szCs w:val="18"/>
                <w:lang w:val="id-ID"/>
              </w:rPr>
            </w:pPr>
          </w:p>
        </w:tc>
        <w:tc>
          <w:tcPr>
            <w:tcW w:w="2752" w:type="dxa"/>
            <w:gridSpan w:val="3"/>
            <w:vMerge/>
            <w:tcBorders>
              <w:left w:val="nil"/>
              <w:bottom w:val="single" w:sz="4" w:space="0" w:color="000000"/>
            </w:tcBorders>
          </w:tcPr>
          <w:p w14:paraId="4E629A05" w14:textId="77777777" w:rsidR="001167E5" w:rsidRPr="001167E5" w:rsidRDefault="001167E5" w:rsidP="00E55377">
            <w:pPr>
              <w:spacing w:line="276" w:lineRule="auto"/>
              <w:rPr>
                <w:rFonts w:ascii="Arial" w:hAnsi="Arial" w:cs="Arial"/>
                <w:b/>
                <w:bCs/>
                <w:sz w:val="18"/>
                <w:szCs w:val="18"/>
                <w:lang w:val="id-ID"/>
              </w:rPr>
            </w:pPr>
          </w:p>
        </w:tc>
        <w:tc>
          <w:tcPr>
            <w:tcW w:w="1417" w:type="dxa"/>
            <w:tcBorders>
              <w:bottom w:val="single" w:sz="4" w:space="0" w:color="000000"/>
              <w:right w:val="nil"/>
            </w:tcBorders>
          </w:tcPr>
          <w:p w14:paraId="37BB9FF6"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lang w:val="id-ID"/>
              </w:rPr>
              <w:t>Beta</w:t>
            </w:r>
          </w:p>
        </w:tc>
        <w:tc>
          <w:tcPr>
            <w:tcW w:w="798" w:type="dxa"/>
            <w:vMerge/>
            <w:tcBorders>
              <w:left w:val="nil"/>
              <w:bottom w:val="single" w:sz="4" w:space="0" w:color="000000"/>
              <w:right w:val="nil"/>
            </w:tcBorders>
          </w:tcPr>
          <w:p w14:paraId="33F47AA8" w14:textId="77777777" w:rsidR="001167E5" w:rsidRPr="001167E5" w:rsidRDefault="001167E5" w:rsidP="00E55377">
            <w:pPr>
              <w:spacing w:line="276" w:lineRule="auto"/>
              <w:rPr>
                <w:rFonts w:ascii="Arial" w:hAnsi="Arial" w:cs="Arial"/>
                <w:b/>
                <w:bCs/>
                <w:sz w:val="18"/>
                <w:szCs w:val="18"/>
                <w:lang w:val="id-ID"/>
              </w:rPr>
            </w:pPr>
          </w:p>
        </w:tc>
        <w:tc>
          <w:tcPr>
            <w:tcW w:w="755" w:type="dxa"/>
            <w:vMerge/>
            <w:tcBorders>
              <w:left w:val="nil"/>
              <w:bottom w:val="single" w:sz="4" w:space="0" w:color="000000"/>
            </w:tcBorders>
          </w:tcPr>
          <w:p w14:paraId="45125426" w14:textId="77777777" w:rsidR="001167E5" w:rsidRPr="001167E5" w:rsidRDefault="001167E5" w:rsidP="00E55377">
            <w:pPr>
              <w:spacing w:line="276" w:lineRule="auto"/>
              <w:rPr>
                <w:rFonts w:ascii="Arial" w:hAnsi="Arial" w:cs="Arial"/>
                <w:b/>
                <w:bCs/>
                <w:sz w:val="18"/>
                <w:szCs w:val="18"/>
                <w:lang w:val="id-ID"/>
              </w:rPr>
            </w:pPr>
          </w:p>
        </w:tc>
      </w:tr>
      <w:tr w:rsidR="001167E5" w:rsidRPr="001167E5" w14:paraId="0FC22FCB" w14:textId="77777777" w:rsidTr="001167E5">
        <w:tc>
          <w:tcPr>
            <w:tcW w:w="792" w:type="dxa"/>
            <w:vMerge w:val="restart"/>
          </w:tcPr>
          <w:p w14:paraId="22E5E7DB" w14:textId="77777777" w:rsidR="001167E5" w:rsidRPr="001167E5" w:rsidRDefault="001167E5" w:rsidP="00E55377">
            <w:pPr>
              <w:spacing w:line="276" w:lineRule="auto"/>
              <w:rPr>
                <w:rFonts w:ascii="Arial" w:hAnsi="Arial" w:cs="Arial"/>
                <w:sz w:val="18"/>
                <w:szCs w:val="18"/>
                <w:lang w:val="id-ID"/>
              </w:rPr>
            </w:pPr>
            <w:r w:rsidRPr="001167E5">
              <w:rPr>
                <w:rFonts w:ascii="Arial" w:hAnsi="Arial" w:cs="Arial"/>
                <w:sz w:val="18"/>
                <w:szCs w:val="18"/>
                <w:lang w:val="id-ID"/>
              </w:rPr>
              <w:t>1</w:t>
            </w:r>
          </w:p>
        </w:tc>
        <w:tc>
          <w:tcPr>
            <w:tcW w:w="1145" w:type="dxa"/>
            <w:tcBorders>
              <w:bottom w:val="nil"/>
              <w:right w:val="nil"/>
            </w:tcBorders>
          </w:tcPr>
          <w:p w14:paraId="68FC7354" w14:textId="77777777" w:rsidR="001167E5" w:rsidRPr="001167E5" w:rsidRDefault="001167E5" w:rsidP="00E55377">
            <w:pPr>
              <w:spacing w:line="276" w:lineRule="auto"/>
              <w:rPr>
                <w:rFonts w:ascii="Arial" w:hAnsi="Arial" w:cs="Arial"/>
                <w:sz w:val="18"/>
                <w:szCs w:val="18"/>
                <w:lang w:val="id-ID"/>
              </w:rPr>
            </w:pPr>
            <w:r w:rsidRPr="001167E5">
              <w:rPr>
                <w:rFonts w:ascii="Arial" w:hAnsi="Arial" w:cs="Arial"/>
                <w:sz w:val="18"/>
                <w:szCs w:val="18"/>
                <w:lang w:val="id-ID"/>
              </w:rPr>
              <w:t>(Constant)</w:t>
            </w:r>
          </w:p>
        </w:tc>
        <w:tc>
          <w:tcPr>
            <w:tcW w:w="808" w:type="dxa"/>
            <w:tcBorders>
              <w:left w:val="nil"/>
              <w:bottom w:val="nil"/>
              <w:right w:val="nil"/>
            </w:tcBorders>
          </w:tcPr>
          <w:p w14:paraId="37E15540"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-0,065</w:t>
            </w:r>
          </w:p>
        </w:tc>
        <w:tc>
          <w:tcPr>
            <w:tcW w:w="799" w:type="dxa"/>
            <w:tcBorders>
              <w:left w:val="nil"/>
              <w:bottom w:val="nil"/>
              <w:right w:val="nil"/>
            </w:tcBorders>
          </w:tcPr>
          <w:p w14:paraId="5A905C21"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0,493</w:t>
            </w:r>
          </w:p>
        </w:tc>
        <w:tc>
          <w:tcPr>
            <w:tcW w:w="1417" w:type="dxa"/>
            <w:tcBorders>
              <w:left w:val="nil"/>
              <w:bottom w:val="nil"/>
              <w:right w:val="nil"/>
            </w:tcBorders>
            <w:vAlign w:val="center"/>
          </w:tcPr>
          <w:p w14:paraId="6F2B3CB2" w14:textId="77777777" w:rsidR="001167E5" w:rsidRPr="001167E5" w:rsidRDefault="001167E5" w:rsidP="00E55377">
            <w:pPr>
              <w:spacing w:line="276" w:lineRule="auto"/>
              <w:jc w:val="center"/>
              <w:rPr>
                <w:rFonts w:ascii="Arial" w:hAnsi="Arial" w:cs="Arial"/>
                <w:sz w:val="18"/>
                <w:szCs w:val="18"/>
                <w:lang w:val="id-ID"/>
              </w:rPr>
            </w:pPr>
          </w:p>
        </w:tc>
        <w:tc>
          <w:tcPr>
            <w:tcW w:w="798" w:type="dxa"/>
            <w:tcBorders>
              <w:left w:val="nil"/>
              <w:bottom w:val="nil"/>
              <w:right w:val="nil"/>
            </w:tcBorders>
          </w:tcPr>
          <w:p w14:paraId="68C46947"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-0,131</w:t>
            </w:r>
          </w:p>
        </w:tc>
        <w:tc>
          <w:tcPr>
            <w:tcW w:w="755" w:type="dxa"/>
            <w:tcBorders>
              <w:left w:val="nil"/>
              <w:bottom w:val="nil"/>
            </w:tcBorders>
          </w:tcPr>
          <w:p w14:paraId="5207C94B"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0,896</w:t>
            </w:r>
          </w:p>
        </w:tc>
      </w:tr>
      <w:tr w:rsidR="001167E5" w:rsidRPr="001167E5" w14:paraId="13E7132B" w14:textId="77777777" w:rsidTr="001167E5">
        <w:tc>
          <w:tcPr>
            <w:tcW w:w="792" w:type="dxa"/>
            <w:vMerge/>
          </w:tcPr>
          <w:p w14:paraId="27B047A7" w14:textId="77777777" w:rsidR="001167E5" w:rsidRPr="001167E5" w:rsidRDefault="001167E5" w:rsidP="00E55377">
            <w:pPr>
              <w:spacing w:line="276" w:lineRule="auto"/>
              <w:rPr>
                <w:rFonts w:ascii="Arial" w:hAnsi="Arial" w:cs="Arial"/>
                <w:sz w:val="18"/>
                <w:szCs w:val="18"/>
                <w:lang w:val="id-ID"/>
              </w:rPr>
            </w:pPr>
          </w:p>
        </w:tc>
        <w:tc>
          <w:tcPr>
            <w:tcW w:w="1145" w:type="dxa"/>
            <w:tcBorders>
              <w:top w:val="nil"/>
              <w:bottom w:val="nil"/>
              <w:right w:val="nil"/>
            </w:tcBorders>
          </w:tcPr>
          <w:p w14:paraId="30B9A165" w14:textId="77777777" w:rsidR="001167E5" w:rsidRPr="001167E5" w:rsidRDefault="001167E5" w:rsidP="00E55377">
            <w:pPr>
              <w:spacing w:line="276" w:lineRule="auto"/>
              <w:rPr>
                <w:rFonts w:ascii="Arial" w:hAnsi="Arial" w:cs="Arial"/>
                <w:sz w:val="18"/>
                <w:szCs w:val="18"/>
                <w:lang w:val="id-ID"/>
              </w:rPr>
            </w:pPr>
            <w:r w:rsidRPr="001167E5">
              <w:rPr>
                <w:rFonts w:ascii="Arial" w:hAnsi="Arial" w:cs="Arial"/>
                <w:sz w:val="18"/>
                <w:szCs w:val="18"/>
                <w:lang w:val="id-ID"/>
              </w:rPr>
              <w:t>X1</w:t>
            </w:r>
          </w:p>
        </w:tc>
        <w:tc>
          <w:tcPr>
            <w:tcW w:w="808" w:type="dxa"/>
            <w:tcBorders>
              <w:top w:val="nil"/>
              <w:left w:val="nil"/>
              <w:bottom w:val="nil"/>
              <w:right w:val="nil"/>
            </w:tcBorders>
          </w:tcPr>
          <w:p w14:paraId="5C715D5B"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-0,242</w:t>
            </w:r>
          </w:p>
        </w:tc>
        <w:tc>
          <w:tcPr>
            <w:tcW w:w="799" w:type="dxa"/>
            <w:tcBorders>
              <w:top w:val="nil"/>
              <w:left w:val="nil"/>
              <w:bottom w:val="nil"/>
              <w:right w:val="nil"/>
            </w:tcBorders>
          </w:tcPr>
          <w:p w14:paraId="041758B5"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0,518</w:t>
            </w:r>
          </w:p>
        </w:tc>
        <w:tc>
          <w:tcPr>
            <w:tcW w:w="1417" w:type="dxa"/>
            <w:tcBorders>
              <w:top w:val="nil"/>
              <w:left w:val="nil"/>
              <w:bottom w:val="nil"/>
              <w:right w:val="nil"/>
            </w:tcBorders>
          </w:tcPr>
          <w:p w14:paraId="0EB2D9C5"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-0,042</w:t>
            </w:r>
          </w:p>
        </w:tc>
        <w:tc>
          <w:tcPr>
            <w:tcW w:w="798" w:type="dxa"/>
            <w:tcBorders>
              <w:top w:val="nil"/>
              <w:left w:val="nil"/>
              <w:bottom w:val="nil"/>
              <w:right w:val="nil"/>
            </w:tcBorders>
          </w:tcPr>
          <w:p w14:paraId="7E590F03"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-0,466</w:t>
            </w:r>
          </w:p>
        </w:tc>
        <w:tc>
          <w:tcPr>
            <w:tcW w:w="755" w:type="dxa"/>
            <w:tcBorders>
              <w:top w:val="nil"/>
              <w:left w:val="nil"/>
              <w:bottom w:val="nil"/>
            </w:tcBorders>
          </w:tcPr>
          <w:p w14:paraId="39A1EBFD"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0,642</w:t>
            </w:r>
          </w:p>
        </w:tc>
      </w:tr>
      <w:tr w:rsidR="001167E5" w:rsidRPr="001167E5" w14:paraId="00FEE93B" w14:textId="77777777" w:rsidTr="001167E5">
        <w:tc>
          <w:tcPr>
            <w:tcW w:w="792" w:type="dxa"/>
            <w:vMerge/>
          </w:tcPr>
          <w:p w14:paraId="22D70C53" w14:textId="77777777" w:rsidR="001167E5" w:rsidRPr="001167E5" w:rsidRDefault="001167E5" w:rsidP="00E55377">
            <w:pPr>
              <w:spacing w:line="276" w:lineRule="auto"/>
              <w:rPr>
                <w:rFonts w:ascii="Arial" w:hAnsi="Arial" w:cs="Arial"/>
                <w:sz w:val="18"/>
                <w:szCs w:val="18"/>
                <w:lang w:val="id-ID"/>
              </w:rPr>
            </w:pPr>
          </w:p>
        </w:tc>
        <w:tc>
          <w:tcPr>
            <w:tcW w:w="1145" w:type="dxa"/>
            <w:tcBorders>
              <w:top w:val="nil"/>
              <w:bottom w:val="nil"/>
              <w:right w:val="nil"/>
            </w:tcBorders>
          </w:tcPr>
          <w:p w14:paraId="2F008C5E" w14:textId="77777777" w:rsidR="001167E5" w:rsidRPr="001167E5" w:rsidRDefault="001167E5" w:rsidP="00E55377">
            <w:pPr>
              <w:spacing w:line="276" w:lineRule="auto"/>
              <w:rPr>
                <w:rFonts w:ascii="Arial" w:hAnsi="Arial" w:cs="Arial"/>
                <w:sz w:val="18"/>
                <w:szCs w:val="18"/>
                <w:lang w:val="id-ID"/>
              </w:rPr>
            </w:pPr>
            <w:r w:rsidRPr="001167E5">
              <w:rPr>
                <w:rFonts w:ascii="Arial" w:hAnsi="Arial" w:cs="Arial"/>
                <w:sz w:val="18"/>
                <w:szCs w:val="18"/>
                <w:lang w:val="id-ID"/>
              </w:rPr>
              <w:t>X2</w:t>
            </w:r>
          </w:p>
        </w:tc>
        <w:tc>
          <w:tcPr>
            <w:tcW w:w="808" w:type="dxa"/>
            <w:tcBorders>
              <w:top w:val="nil"/>
              <w:left w:val="nil"/>
              <w:bottom w:val="nil"/>
              <w:right w:val="nil"/>
            </w:tcBorders>
          </w:tcPr>
          <w:p w14:paraId="4315BF2D"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0,011</w:t>
            </w:r>
          </w:p>
        </w:tc>
        <w:tc>
          <w:tcPr>
            <w:tcW w:w="799" w:type="dxa"/>
            <w:tcBorders>
              <w:top w:val="nil"/>
              <w:left w:val="nil"/>
              <w:bottom w:val="nil"/>
              <w:right w:val="nil"/>
            </w:tcBorders>
          </w:tcPr>
          <w:p w14:paraId="3453F0B3"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0,003</w:t>
            </w:r>
          </w:p>
        </w:tc>
        <w:tc>
          <w:tcPr>
            <w:tcW w:w="1417" w:type="dxa"/>
            <w:tcBorders>
              <w:top w:val="nil"/>
              <w:left w:val="nil"/>
              <w:bottom w:val="nil"/>
              <w:right w:val="nil"/>
            </w:tcBorders>
          </w:tcPr>
          <w:p w14:paraId="1345C438"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0,356</w:t>
            </w:r>
          </w:p>
        </w:tc>
        <w:tc>
          <w:tcPr>
            <w:tcW w:w="798" w:type="dxa"/>
            <w:tcBorders>
              <w:top w:val="nil"/>
              <w:left w:val="nil"/>
              <w:bottom w:val="nil"/>
              <w:right w:val="nil"/>
            </w:tcBorders>
          </w:tcPr>
          <w:p w14:paraId="76854CDE"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3,894</w:t>
            </w:r>
          </w:p>
        </w:tc>
        <w:tc>
          <w:tcPr>
            <w:tcW w:w="755" w:type="dxa"/>
            <w:tcBorders>
              <w:top w:val="nil"/>
              <w:left w:val="nil"/>
              <w:bottom w:val="nil"/>
            </w:tcBorders>
          </w:tcPr>
          <w:p w14:paraId="72E2C726"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0,077</w:t>
            </w:r>
          </w:p>
        </w:tc>
      </w:tr>
      <w:tr w:rsidR="001167E5" w:rsidRPr="001167E5" w14:paraId="6535F066" w14:textId="77777777" w:rsidTr="001167E5">
        <w:tc>
          <w:tcPr>
            <w:tcW w:w="792" w:type="dxa"/>
            <w:vMerge/>
          </w:tcPr>
          <w:p w14:paraId="4E46299D" w14:textId="77777777" w:rsidR="001167E5" w:rsidRPr="001167E5" w:rsidRDefault="001167E5" w:rsidP="00E55377">
            <w:pPr>
              <w:spacing w:line="276" w:lineRule="auto"/>
              <w:rPr>
                <w:rFonts w:ascii="Arial" w:hAnsi="Arial" w:cs="Arial"/>
                <w:sz w:val="18"/>
                <w:szCs w:val="18"/>
                <w:lang w:val="id-ID"/>
              </w:rPr>
            </w:pPr>
          </w:p>
        </w:tc>
        <w:tc>
          <w:tcPr>
            <w:tcW w:w="1145" w:type="dxa"/>
            <w:tcBorders>
              <w:top w:val="nil"/>
              <w:bottom w:val="nil"/>
              <w:right w:val="nil"/>
            </w:tcBorders>
          </w:tcPr>
          <w:p w14:paraId="74B75A2E" w14:textId="77777777" w:rsidR="001167E5" w:rsidRPr="001167E5" w:rsidRDefault="001167E5" w:rsidP="00E55377">
            <w:pPr>
              <w:spacing w:line="276" w:lineRule="auto"/>
              <w:rPr>
                <w:rFonts w:ascii="Arial" w:hAnsi="Arial" w:cs="Arial"/>
                <w:sz w:val="18"/>
                <w:szCs w:val="18"/>
                <w:lang w:val="id-ID"/>
              </w:rPr>
            </w:pPr>
            <w:r w:rsidRPr="001167E5">
              <w:rPr>
                <w:rFonts w:ascii="Arial" w:hAnsi="Arial" w:cs="Arial"/>
                <w:sz w:val="18"/>
                <w:szCs w:val="18"/>
                <w:lang w:val="id-ID"/>
              </w:rPr>
              <w:t>X3</w:t>
            </w:r>
          </w:p>
        </w:tc>
        <w:tc>
          <w:tcPr>
            <w:tcW w:w="808" w:type="dxa"/>
            <w:tcBorders>
              <w:top w:val="nil"/>
              <w:left w:val="nil"/>
              <w:bottom w:val="nil"/>
              <w:right w:val="nil"/>
            </w:tcBorders>
          </w:tcPr>
          <w:p w14:paraId="390B7C77"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2,731</w:t>
            </w:r>
          </w:p>
        </w:tc>
        <w:tc>
          <w:tcPr>
            <w:tcW w:w="799" w:type="dxa"/>
            <w:tcBorders>
              <w:top w:val="nil"/>
              <w:left w:val="nil"/>
              <w:bottom w:val="nil"/>
              <w:right w:val="nil"/>
            </w:tcBorders>
          </w:tcPr>
          <w:p w14:paraId="08B2AE7C"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1,117</w:t>
            </w:r>
          </w:p>
        </w:tc>
        <w:tc>
          <w:tcPr>
            <w:tcW w:w="1417" w:type="dxa"/>
            <w:tcBorders>
              <w:top w:val="nil"/>
              <w:left w:val="nil"/>
              <w:bottom w:val="nil"/>
              <w:right w:val="nil"/>
            </w:tcBorders>
          </w:tcPr>
          <w:p w14:paraId="49DC88F0"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0,223</w:t>
            </w:r>
          </w:p>
        </w:tc>
        <w:tc>
          <w:tcPr>
            <w:tcW w:w="798" w:type="dxa"/>
            <w:tcBorders>
              <w:top w:val="nil"/>
              <w:left w:val="nil"/>
              <w:bottom w:val="nil"/>
              <w:right w:val="nil"/>
            </w:tcBorders>
          </w:tcPr>
          <w:p w14:paraId="2C7E3A60"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2,444</w:t>
            </w:r>
          </w:p>
        </w:tc>
        <w:tc>
          <w:tcPr>
            <w:tcW w:w="755" w:type="dxa"/>
            <w:tcBorders>
              <w:top w:val="nil"/>
              <w:left w:val="nil"/>
              <w:bottom w:val="nil"/>
            </w:tcBorders>
          </w:tcPr>
          <w:p w14:paraId="019250E4"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0,086</w:t>
            </w:r>
          </w:p>
        </w:tc>
      </w:tr>
      <w:tr w:rsidR="001167E5" w:rsidRPr="001167E5" w14:paraId="7CDB62F5" w14:textId="77777777" w:rsidTr="001167E5">
        <w:tc>
          <w:tcPr>
            <w:tcW w:w="792" w:type="dxa"/>
            <w:vMerge/>
          </w:tcPr>
          <w:p w14:paraId="61547463" w14:textId="77777777" w:rsidR="001167E5" w:rsidRPr="001167E5" w:rsidRDefault="001167E5" w:rsidP="00E55377">
            <w:pPr>
              <w:spacing w:line="276" w:lineRule="auto"/>
              <w:rPr>
                <w:rFonts w:ascii="Arial" w:hAnsi="Arial" w:cs="Arial"/>
                <w:sz w:val="18"/>
                <w:szCs w:val="18"/>
                <w:lang w:val="id-ID"/>
              </w:rPr>
            </w:pPr>
          </w:p>
        </w:tc>
        <w:tc>
          <w:tcPr>
            <w:tcW w:w="1145" w:type="dxa"/>
            <w:tcBorders>
              <w:top w:val="nil"/>
              <w:right w:val="nil"/>
            </w:tcBorders>
          </w:tcPr>
          <w:p w14:paraId="0001DE86" w14:textId="77777777" w:rsidR="001167E5" w:rsidRPr="001167E5" w:rsidRDefault="001167E5" w:rsidP="00E55377">
            <w:pPr>
              <w:spacing w:line="276" w:lineRule="auto"/>
              <w:rPr>
                <w:rFonts w:ascii="Arial" w:hAnsi="Arial" w:cs="Arial"/>
                <w:sz w:val="18"/>
                <w:szCs w:val="18"/>
                <w:lang w:val="id-ID"/>
              </w:rPr>
            </w:pPr>
            <w:r w:rsidRPr="001167E5">
              <w:rPr>
                <w:rFonts w:ascii="Arial" w:hAnsi="Arial" w:cs="Arial"/>
                <w:sz w:val="18"/>
                <w:szCs w:val="18"/>
                <w:lang w:val="id-ID"/>
              </w:rPr>
              <w:t>Z</w:t>
            </w:r>
          </w:p>
        </w:tc>
        <w:tc>
          <w:tcPr>
            <w:tcW w:w="808" w:type="dxa"/>
            <w:tcBorders>
              <w:top w:val="nil"/>
              <w:left w:val="nil"/>
              <w:right w:val="nil"/>
            </w:tcBorders>
          </w:tcPr>
          <w:p w14:paraId="62C26503"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1,341</w:t>
            </w:r>
          </w:p>
        </w:tc>
        <w:tc>
          <w:tcPr>
            <w:tcW w:w="799" w:type="dxa"/>
            <w:tcBorders>
              <w:top w:val="nil"/>
              <w:left w:val="nil"/>
              <w:right w:val="nil"/>
            </w:tcBorders>
          </w:tcPr>
          <w:p w14:paraId="56AA15FB"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0,394</w:t>
            </w:r>
          </w:p>
        </w:tc>
        <w:tc>
          <w:tcPr>
            <w:tcW w:w="1417" w:type="dxa"/>
            <w:tcBorders>
              <w:top w:val="nil"/>
              <w:left w:val="nil"/>
              <w:right w:val="nil"/>
            </w:tcBorders>
          </w:tcPr>
          <w:p w14:paraId="561A297B"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0,307</w:t>
            </w:r>
          </w:p>
        </w:tc>
        <w:tc>
          <w:tcPr>
            <w:tcW w:w="798" w:type="dxa"/>
            <w:tcBorders>
              <w:top w:val="nil"/>
              <w:left w:val="nil"/>
              <w:right w:val="nil"/>
            </w:tcBorders>
          </w:tcPr>
          <w:p w14:paraId="44B631B8"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3,406</w:t>
            </w:r>
          </w:p>
        </w:tc>
        <w:tc>
          <w:tcPr>
            <w:tcW w:w="755" w:type="dxa"/>
            <w:tcBorders>
              <w:top w:val="nil"/>
              <w:left w:val="nil"/>
            </w:tcBorders>
          </w:tcPr>
          <w:p w14:paraId="1C9E381D" w14:textId="77777777" w:rsidR="001167E5" w:rsidRPr="001167E5" w:rsidRDefault="001167E5" w:rsidP="00E55377">
            <w:pPr>
              <w:spacing w:line="276" w:lineRule="auto"/>
              <w:jc w:val="center"/>
              <w:rPr>
                <w:rFonts w:ascii="Arial" w:hAnsi="Arial" w:cs="Arial"/>
                <w:sz w:val="18"/>
                <w:szCs w:val="18"/>
                <w:lang w:val="id-ID"/>
              </w:rPr>
            </w:pPr>
            <w:r w:rsidRPr="001167E5">
              <w:rPr>
                <w:rFonts w:ascii="Arial" w:hAnsi="Arial" w:cs="Arial"/>
                <w:sz w:val="18"/>
                <w:szCs w:val="18"/>
              </w:rPr>
              <w:t>0,061</w:t>
            </w:r>
          </w:p>
        </w:tc>
      </w:tr>
    </w:tbl>
    <w:bookmarkEnd w:id="4"/>
    <w:p w14:paraId="776EE3F4" w14:textId="77777777" w:rsidR="007E7ED2" w:rsidRDefault="007E7ED2" w:rsidP="007E7ED2">
      <w:pPr>
        <w:pStyle w:val="Body"/>
        <w:spacing w:after="0"/>
        <w:rPr>
          <w:rFonts w:ascii="Arial" w:hAnsi="Arial" w:cs="Arial"/>
        </w:rPr>
      </w:pPr>
      <w:r w:rsidRPr="007E7ED2">
        <w:rPr>
          <w:rFonts w:ascii="Arial" w:hAnsi="Arial" w:cs="Arial"/>
        </w:rPr>
        <w:t xml:space="preserve">Based on the results of the heteroscedasticity test shown in </w:t>
      </w:r>
      <w:proofErr w:type="gramStart"/>
      <w:r w:rsidRPr="007E7ED2">
        <w:rPr>
          <w:rFonts w:ascii="Arial" w:hAnsi="Arial" w:cs="Arial"/>
        </w:rPr>
        <w:t>Table ,</w:t>
      </w:r>
      <w:proofErr w:type="gramEnd"/>
      <w:r w:rsidRPr="007E7ED2">
        <w:rPr>
          <w:rFonts w:ascii="Arial" w:hAnsi="Arial" w:cs="Arial"/>
        </w:rPr>
        <w:t xml:space="preserve"> all variables in this study show significance values above 0.05. This indicates that there are no symptoms of heteroscedasticity in the regression model, so the model is considered to meet the classical assumptions.</w:t>
      </w:r>
    </w:p>
    <w:p w14:paraId="3252F8F0" w14:textId="77777777" w:rsidR="007E7ED2" w:rsidRDefault="007E7ED2" w:rsidP="007E7ED2">
      <w:pPr>
        <w:pStyle w:val="Body"/>
        <w:spacing w:after="0"/>
        <w:rPr>
          <w:rFonts w:ascii="Arial" w:hAnsi="Arial" w:cs="Arial"/>
        </w:rPr>
      </w:pPr>
    </w:p>
    <w:p w14:paraId="6F63FA42" w14:textId="398F123F" w:rsidR="007E7ED2" w:rsidRDefault="003730CB" w:rsidP="007E7ED2">
      <w:pPr>
        <w:pStyle w:val="Body"/>
        <w:spacing w:after="0"/>
        <w:rPr>
          <w:rFonts w:ascii="Arial" w:hAnsi="Arial" w:cs="Arial"/>
          <w:b/>
          <w:bCs/>
        </w:rPr>
      </w:pPr>
      <w:r>
        <w:rPr>
          <w:rFonts w:ascii="Arial" w:hAnsi="Arial" w:cs="Arial"/>
          <w:b/>
          <w:bCs/>
        </w:rPr>
        <w:t xml:space="preserve">3.2.4 </w:t>
      </w:r>
      <w:proofErr w:type="spellStart"/>
      <w:r w:rsidR="007E7ED2">
        <w:rPr>
          <w:rFonts w:ascii="Arial" w:hAnsi="Arial" w:cs="Arial"/>
          <w:b/>
          <w:bCs/>
        </w:rPr>
        <w:t>Autokorelasi</w:t>
      </w:r>
      <w:proofErr w:type="spellEnd"/>
      <w:r w:rsidR="007E7ED2">
        <w:rPr>
          <w:rFonts w:ascii="Arial" w:hAnsi="Arial" w:cs="Arial"/>
          <w:b/>
          <w:bCs/>
        </w:rPr>
        <w:t xml:space="preserve"> test</w:t>
      </w:r>
    </w:p>
    <w:tbl>
      <w:tblPr>
        <w:tblStyle w:val="TableGrid"/>
        <w:tblpPr w:leftFromText="180" w:rightFromText="180" w:vertAnchor="text" w:horzAnchor="margin" w:tblpXSpec="center" w:tblpY="609"/>
        <w:tblW w:w="6805"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1172"/>
        <w:gridCol w:w="1275"/>
        <w:gridCol w:w="1414"/>
        <w:gridCol w:w="1276"/>
      </w:tblGrid>
      <w:tr w:rsidR="007E7ED2" w:rsidRPr="007E7ED2" w14:paraId="7A88DE36" w14:textId="77777777" w:rsidTr="003730CB">
        <w:tc>
          <w:tcPr>
            <w:tcW w:w="6805" w:type="dxa"/>
            <w:gridSpan w:val="6"/>
          </w:tcPr>
          <w:p w14:paraId="77D9D337" w14:textId="77777777" w:rsidR="007E7ED2" w:rsidRPr="007E7ED2" w:rsidRDefault="007E7ED2" w:rsidP="003730CB">
            <w:pPr>
              <w:spacing w:line="360" w:lineRule="auto"/>
              <w:jc w:val="center"/>
              <w:rPr>
                <w:rFonts w:ascii="Arial" w:hAnsi="Arial" w:cs="Arial"/>
                <w:b/>
                <w:bCs/>
                <w:sz w:val="20"/>
                <w:szCs w:val="20"/>
                <w:vertAlign w:val="superscript"/>
                <w:lang w:val="id-ID"/>
              </w:rPr>
            </w:pPr>
            <w:r w:rsidRPr="007E7ED2">
              <w:rPr>
                <w:rFonts w:ascii="Arial" w:hAnsi="Arial" w:cs="Arial"/>
                <w:b/>
                <w:bCs/>
                <w:sz w:val="20"/>
                <w:szCs w:val="20"/>
                <w:lang w:val="id-ID"/>
              </w:rPr>
              <w:t>Model summary</w:t>
            </w:r>
            <w:r w:rsidRPr="007E7ED2">
              <w:rPr>
                <w:rFonts w:ascii="Arial" w:hAnsi="Arial" w:cs="Arial"/>
                <w:b/>
                <w:bCs/>
                <w:sz w:val="20"/>
                <w:szCs w:val="20"/>
                <w:vertAlign w:val="superscript"/>
                <w:lang w:val="id-ID"/>
              </w:rPr>
              <w:t>b</w:t>
            </w:r>
          </w:p>
        </w:tc>
      </w:tr>
      <w:tr w:rsidR="007E7ED2" w:rsidRPr="007E7ED2" w14:paraId="3678DDF6" w14:textId="77777777" w:rsidTr="003730CB">
        <w:tc>
          <w:tcPr>
            <w:tcW w:w="817" w:type="dxa"/>
            <w:tcBorders>
              <w:bottom w:val="nil"/>
            </w:tcBorders>
          </w:tcPr>
          <w:p w14:paraId="6FC1B9EC" w14:textId="77777777" w:rsidR="007E7ED2" w:rsidRPr="007E7ED2" w:rsidRDefault="007E7ED2" w:rsidP="003730CB">
            <w:pPr>
              <w:spacing w:line="360" w:lineRule="auto"/>
              <w:jc w:val="both"/>
              <w:rPr>
                <w:rFonts w:ascii="Arial" w:hAnsi="Arial" w:cs="Arial"/>
                <w:sz w:val="20"/>
                <w:szCs w:val="20"/>
                <w:lang w:val="id-ID"/>
              </w:rPr>
            </w:pPr>
          </w:p>
        </w:tc>
        <w:tc>
          <w:tcPr>
            <w:tcW w:w="851" w:type="dxa"/>
            <w:tcBorders>
              <w:bottom w:val="nil"/>
              <w:right w:val="nil"/>
            </w:tcBorders>
          </w:tcPr>
          <w:p w14:paraId="760679C2" w14:textId="77777777" w:rsidR="007E7ED2" w:rsidRPr="007E7ED2" w:rsidRDefault="007E7ED2" w:rsidP="003730CB">
            <w:pPr>
              <w:spacing w:line="360" w:lineRule="auto"/>
              <w:jc w:val="both"/>
              <w:rPr>
                <w:rFonts w:ascii="Arial" w:hAnsi="Arial" w:cs="Arial"/>
                <w:sz w:val="20"/>
                <w:szCs w:val="20"/>
                <w:lang w:val="id-ID"/>
              </w:rPr>
            </w:pPr>
          </w:p>
        </w:tc>
        <w:tc>
          <w:tcPr>
            <w:tcW w:w="1172" w:type="dxa"/>
            <w:tcBorders>
              <w:left w:val="nil"/>
              <w:bottom w:val="nil"/>
              <w:right w:val="nil"/>
            </w:tcBorders>
          </w:tcPr>
          <w:p w14:paraId="7179FE63" w14:textId="77777777" w:rsidR="007E7ED2" w:rsidRPr="007E7ED2" w:rsidRDefault="007E7ED2" w:rsidP="003730CB">
            <w:pPr>
              <w:spacing w:line="360" w:lineRule="auto"/>
              <w:jc w:val="both"/>
              <w:rPr>
                <w:rFonts w:ascii="Arial" w:hAnsi="Arial" w:cs="Arial"/>
                <w:sz w:val="20"/>
                <w:szCs w:val="20"/>
                <w:lang w:val="id-ID"/>
              </w:rPr>
            </w:pPr>
          </w:p>
        </w:tc>
        <w:tc>
          <w:tcPr>
            <w:tcW w:w="1275" w:type="dxa"/>
            <w:tcBorders>
              <w:left w:val="nil"/>
              <w:bottom w:val="nil"/>
              <w:right w:val="nil"/>
            </w:tcBorders>
          </w:tcPr>
          <w:p w14:paraId="7020FFFE"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Adjusred R</w:t>
            </w:r>
          </w:p>
        </w:tc>
        <w:tc>
          <w:tcPr>
            <w:tcW w:w="1414" w:type="dxa"/>
            <w:tcBorders>
              <w:left w:val="nil"/>
              <w:bottom w:val="nil"/>
              <w:right w:val="nil"/>
            </w:tcBorders>
          </w:tcPr>
          <w:p w14:paraId="3D099FFF"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 xml:space="preserve">Std. Error ot </w:t>
            </w:r>
          </w:p>
        </w:tc>
        <w:tc>
          <w:tcPr>
            <w:tcW w:w="1276" w:type="dxa"/>
            <w:tcBorders>
              <w:left w:val="nil"/>
              <w:bottom w:val="nil"/>
            </w:tcBorders>
          </w:tcPr>
          <w:p w14:paraId="354BC2B1"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Durbin-</w:t>
            </w:r>
          </w:p>
        </w:tc>
      </w:tr>
      <w:tr w:rsidR="007E7ED2" w:rsidRPr="007E7ED2" w14:paraId="43D77538" w14:textId="77777777" w:rsidTr="003730CB">
        <w:tc>
          <w:tcPr>
            <w:tcW w:w="817" w:type="dxa"/>
            <w:tcBorders>
              <w:top w:val="nil"/>
            </w:tcBorders>
          </w:tcPr>
          <w:p w14:paraId="55E80227"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 xml:space="preserve">Model </w:t>
            </w:r>
          </w:p>
        </w:tc>
        <w:tc>
          <w:tcPr>
            <w:tcW w:w="851" w:type="dxa"/>
            <w:tcBorders>
              <w:top w:val="nil"/>
              <w:bottom w:val="single" w:sz="4" w:space="0" w:color="auto"/>
              <w:right w:val="nil"/>
            </w:tcBorders>
          </w:tcPr>
          <w:p w14:paraId="40A77F90"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R</w:t>
            </w:r>
          </w:p>
        </w:tc>
        <w:tc>
          <w:tcPr>
            <w:tcW w:w="1172" w:type="dxa"/>
            <w:tcBorders>
              <w:top w:val="nil"/>
              <w:left w:val="nil"/>
              <w:bottom w:val="single" w:sz="4" w:space="0" w:color="auto"/>
              <w:right w:val="nil"/>
            </w:tcBorders>
          </w:tcPr>
          <w:p w14:paraId="74D598A4"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R Square</w:t>
            </w:r>
          </w:p>
        </w:tc>
        <w:tc>
          <w:tcPr>
            <w:tcW w:w="1275" w:type="dxa"/>
            <w:tcBorders>
              <w:top w:val="nil"/>
              <w:left w:val="nil"/>
              <w:bottom w:val="single" w:sz="4" w:space="0" w:color="auto"/>
              <w:right w:val="nil"/>
            </w:tcBorders>
          </w:tcPr>
          <w:p w14:paraId="414DC9E8"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Square</w:t>
            </w:r>
          </w:p>
        </w:tc>
        <w:tc>
          <w:tcPr>
            <w:tcW w:w="1414" w:type="dxa"/>
            <w:tcBorders>
              <w:top w:val="nil"/>
              <w:left w:val="nil"/>
              <w:bottom w:val="single" w:sz="4" w:space="0" w:color="auto"/>
              <w:right w:val="nil"/>
            </w:tcBorders>
          </w:tcPr>
          <w:p w14:paraId="6047ACB6"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the Estimate</w:t>
            </w:r>
          </w:p>
        </w:tc>
        <w:tc>
          <w:tcPr>
            <w:tcW w:w="1276" w:type="dxa"/>
            <w:tcBorders>
              <w:top w:val="nil"/>
              <w:left w:val="nil"/>
              <w:bottom w:val="single" w:sz="4" w:space="0" w:color="auto"/>
            </w:tcBorders>
          </w:tcPr>
          <w:p w14:paraId="38B99D61"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watson</w:t>
            </w:r>
          </w:p>
        </w:tc>
      </w:tr>
      <w:tr w:rsidR="007E7ED2" w:rsidRPr="007E7ED2" w14:paraId="686E9FAA" w14:textId="77777777" w:rsidTr="003730CB">
        <w:tc>
          <w:tcPr>
            <w:tcW w:w="817" w:type="dxa"/>
          </w:tcPr>
          <w:p w14:paraId="3BB8BD29"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1</w:t>
            </w:r>
          </w:p>
        </w:tc>
        <w:tc>
          <w:tcPr>
            <w:tcW w:w="851" w:type="dxa"/>
            <w:tcBorders>
              <w:right w:val="nil"/>
            </w:tcBorders>
          </w:tcPr>
          <w:p w14:paraId="393DA33D" w14:textId="77777777" w:rsidR="007E7ED2" w:rsidRPr="007E7ED2" w:rsidRDefault="007E7ED2" w:rsidP="003730CB">
            <w:pPr>
              <w:spacing w:line="360" w:lineRule="auto"/>
              <w:jc w:val="both"/>
              <w:rPr>
                <w:rFonts w:ascii="Arial" w:hAnsi="Arial" w:cs="Arial"/>
                <w:sz w:val="20"/>
                <w:szCs w:val="20"/>
                <w:vertAlign w:val="superscript"/>
                <w:lang w:val="id-ID"/>
              </w:rPr>
            </w:pPr>
            <w:r w:rsidRPr="007E7ED2">
              <w:rPr>
                <w:rFonts w:ascii="Arial" w:hAnsi="Arial" w:cs="Arial"/>
                <w:sz w:val="20"/>
                <w:szCs w:val="20"/>
                <w:lang w:val="id-ID"/>
              </w:rPr>
              <w:t>0,241</w:t>
            </w:r>
            <w:r w:rsidRPr="007E7ED2">
              <w:rPr>
                <w:rFonts w:ascii="Arial" w:hAnsi="Arial" w:cs="Arial"/>
                <w:sz w:val="20"/>
                <w:szCs w:val="20"/>
                <w:vertAlign w:val="superscript"/>
                <w:lang w:val="id-ID"/>
              </w:rPr>
              <w:t>a</w:t>
            </w:r>
          </w:p>
        </w:tc>
        <w:tc>
          <w:tcPr>
            <w:tcW w:w="1172" w:type="dxa"/>
            <w:tcBorders>
              <w:left w:val="nil"/>
              <w:right w:val="nil"/>
            </w:tcBorders>
          </w:tcPr>
          <w:p w14:paraId="0CAC30BB"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0,058</w:t>
            </w:r>
          </w:p>
        </w:tc>
        <w:tc>
          <w:tcPr>
            <w:tcW w:w="1275" w:type="dxa"/>
            <w:tcBorders>
              <w:left w:val="nil"/>
              <w:right w:val="nil"/>
            </w:tcBorders>
          </w:tcPr>
          <w:p w14:paraId="44D63A0B"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0,020</w:t>
            </w:r>
          </w:p>
        </w:tc>
        <w:tc>
          <w:tcPr>
            <w:tcW w:w="1414" w:type="dxa"/>
            <w:tcBorders>
              <w:left w:val="nil"/>
              <w:right w:val="nil"/>
            </w:tcBorders>
          </w:tcPr>
          <w:p w14:paraId="697D961B"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3,4837710</w:t>
            </w:r>
          </w:p>
        </w:tc>
        <w:tc>
          <w:tcPr>
            <w:tcW w:w="1276" w:type="dxa"/>
            <w:tcBorders>
              <w:left w:val="nil"/>
            </w:tcBorders>
          </w:tcPr>
          <w:p w14:paraId="11F4690C" w14:textId="77777777" w:rsidR="007E7ED2" w:rsidRPr="007E7ED2" w:rsidRDefault="007E7ED2" w:rsidP="003730CB">
            <w:pPr>
              <w:spacing w:line="360" w:lineRule="auto"/>
              <w:jc w:val="both"/>
              <w:rPr>
                <w:rFonts w:ascii="Arial" w:hAnsi="Arial" w:cs="Arial"/>
                <w:sz w:val="20"/>
                <w:szCs w:val="20"/>
                <w:lang w:val="id-ID"/>
              </w:rPr>
            </w:pPr>
            <w:r w:rsidRPr="007E7ED2">
              <w:rPr>
                <w:rFonts w:ascii="Arial" w:hAnsi="Arial" w:cs="Arial"/>
                <w:sz w:val="20"/>
                <w:szCs w:val="20"/>
                <w:lang w:val="id-ID"/>
              </w:rPr>
              <w:t>1,879</w:t>
            </w:r>
          </w:p>
        </w:tc>
      </w:tr>
    </w:tbl>
    <w:p w14:paraId="404375DC" w14:textId="77777777" w:rsidR="007E7ED2" w:rsidRDefault="007E7ED2" w:rsidP="007E7ED2">
      <w:pPr>
        <w:pStyle w:val="Body"/>
        <w:spacing w:after="0"/>
        <w:rPr>
          <w:rFonts w:ascii="Arial" w:hAnsi="Arial" w:cs="Arial"/>
        </w:rPr>
      </w:pPr>
    </w:p>
    <w:p w14:paraId="1C51BA14" w14:textId="3FC133F6" w:rsidR="003730CB" w:rsidRDefault="003730CB" w:rsidP="00E208CC">
      <w:pPr>
        <w:pStyle w:val="Body"/>
        <w:spacing w:after="0"/>
        <w:jc w:val="center"/>
        <w:rPr>
          <w:rFonts w:ascii="Arial" w:hAnsi="Arial" w:cs="Arial"/>
        </w:rPr>
      </w:pPr>
      <w:r>
        <w:rPr>
          <w:rFonts w:ascii="Arial" w:hAnsi="Arial"/>
          <w:b/>
        </w:rPr>
        <w:t xml:space="preserve">Table </w:t>
      </w:r>
      <w:r w:rsidR="00E208CC">
        <w:rPr>
          <w:rFonts w:ascii="Arial" w:hAnsi="Arial"/>
          <w:b/>
        </w:rPr>
        <w:t>7</w:t>
      </w:r>
      <w:r>
        <w:rPr>
          <w:rFonts w:ascii="Arial" w:hAnsi="Arial"/>
          <w:b/>
        </w:rPr>
        <w:t>.</w:t>
      </w:r>
      <w:r w:rsidR="00E208CC">
        <w:rPr>
          <w:rFonts w:ascii="Arial" w:hAnsi="Arial"/>
          <w:b/>
        </w:rPr>
        <w:t xml:space="preserve"> </w:t>
      </w:r>
      <w:r w:rsidR="00E208CC" w:rsidRPr="00E208CC">
        <w:rPr>
          <w:rFonts w:ascii="Arial" w:hAnsi="Arial"/>
          <w:b/>
        </w:rPr>
        <w:t>Autocorrelation test results (Durbin-Watson statistics)</w:t>
      </w:r>
    </w:p>
    <w:p w14:paraId="6BD24B57" w14:textId="1E10A800" w:rsidR="00E208CC" w:rsidRPr="00FE25CD" w:rsidRDefault="007E7ED2" w:rsidP="00FE25CD">
      <w:pPr>
        <w:pStyle w:val="Body"/>
        <w:spacing w:after="0"/>
        <w:rPr>
          <w:rFonts w:ascii="Arial" w:hAnsi="Arial" w:cs="Arial"/>
        </w:rPr>
      </w:pPr>
      <w:r w:rsidRPr="007E7ED2">
        <w:rPr>
          <w:rFonts w:ascii="Arial" w:hAnsi="Arial" w:cs="Arial"/>
        </w:rPr>
        <w:t>Based on the results of the autocorrelation test with a Durbin-Watson (d) value of 1.879, a lower limit value (</w:t>
      </w:r>
      <w:proofErr w:type="spellStart"/>
      <w:r w:rsidRPr="007E7ED2">
        <w:rPr>
          <w:rFonts w:ascii="Arial" w:hAnsi="Arial" w:cs="Arial"/>
        </w:rPr>
        <w:t>dU</w:t>
      </w:r>
      <w:proofErr w:type="spellEnd"/>
      <w:r w:rsidRPr="007E7ED2">
        <w:rPr>
          <w:rFonts w:ascii="Arial" w:hAnsi="Arial" w:cs="Arial"/>
        </w:rPr>
        <w:t xml:space="preserve">) of 1.761, and a value of 4 - </w:t>
      </w:r>
      <w:proofErr w:type="spellStart"/>
      <w:r w:rsidRPr="007E7ED2">
        <w:rPr>
          <w:rFonts w:ascii="Arial" w:hAnsi="Arial" w:cs="Arial"/>
        </w:rPr>
        <w:t>dU</w:t>
      </w:r>
      <w:proofErr w:type="spellEnd"/>
      <w:r w:rsidRPr="007E7ED2">
        <w:rPr>
          <w:rFonts w:ascii="Arial" w:hAnsi="Arial" w:cs="Arial"/>
        </w:rPr>
        <w:t xml:space="preserve"> of 2.239, it can be concluded that </w:t>
      </w:r>
      <w:proofErr w:type="spellStart"/>
      <w:r w:rsidRPr="007E7ED2">
        <w:rPr>
          <w:rFonts w:ascii="Arial" w:hAnsi="Arial" w:cs="Arial"/>
        </w:rPr>
        <w:t>dU</w:t>
      </w:r>
      <w:proofErr w:type="spellEnd"/>
      <w:r w:rsidRPr="007E7ED2">
        <w:rPr>
          <w:rFonts w:ascii="Arial" w:hAnsi="Arial" w:cs="Arial"/>
        </w:rPr>
        <w:t xml:space="preserve"> &lt; d &lt; 4 - </w:t>
      </w:r>
      <w:proofErr w:type="spellStart"/>
      <w:r w:rsidRPr="007E7ED2">
        <w:rPr>
          <w:rFonts w:ascii="Arial" w:hAnsi="Arial" w:cs="Arial"/>
        </w:rPr>
        <w:t>dU</w:t>
      </w:r>
      <w:proofErr w:type="spellEnd"/>
      <w:r w:rsidRPr="007E7ED2">
        <w:rPr>
          <w:rFonts w:ascii="Arial" w:hAnsi="Arial" w:cs="Arial"/>
        </w:rPr>
        <w:t xml:space="preserve"> or 1.761 &lt; 1.879 &lt; 2.239. This indicates that there is no autocorrelation in this regression model. Thus, the classical assumption of no serial correlation among residuals has been satisfied, and the regression model is deemed suitable for further analysis.</w:t>
      </w:r>
    </w:p>
    <w:p w14:paraId="392AB9E0" w14:textId="77777777" w:rsidR="00E208CC" w:rsidRDefault="00E208CC" w:rsidP="007E7ED2">
      <w:pPr>
        <w:rPr>
          <w:rFonts w:ascii="Arial" w:hAnsi="Arial" w:cs="Arial"/>
          <w:b/>
          <w:bCs/>
          <w:sz w:val="22"/>
          <w:szCs w:val="22"/>
          <w:lang w:val="id-ID"/>
        </w:rPr>
      </w:pPr>
    </w:p>
    <w:p w14:paraId="2701EF90" w14:textId="37C5C531" w:rsidR="007E7ED2" w:rsidRDefault="00A5232F" w:rsidP="00E208CC">
      <w:pPr>
        <w:spacing w:line="276" w:lineRule="auto"/>
        <w:rPr>
          <w:rFonts w:ascii="Arial" w:hAnsi="Arial" w:cs="Arial"/>
          <w:b/>
          <w:bCs/>
          <w:sz w:val="22"/>
          <w:szCs w:val="22"/>
          <w:lang w:val="id-ID"/>
        </w:rPr>
      </w:pPr>
      <w:r w:rsidRPr="00A5232F">
        <w:rPr>
          <w:rFonts w:ascii="Arial" w:hAnsi="Arial" w:cs="Arial"/>
          <w:b/>
          <w:bCs/>
          <w:sz w:val="22"/>
          <w:szCs w:val="22"/>
          <w:lang w:val="id-ID"/>
        </w:rPr>
        <w:t xml:space="preserve">3.5 </w:t>
      </w:r>
      <w:r w:rsidR="007E7ED2" w:rsidRPr="00A5232F">
        <w:rPr>
          <w:rFonts w:ascii="Arial" w:hAnsi="Arial" w:cs="Arial"/>
          <w:b/>
          <w:bCs/>
          <w:sz w:val="22"/>
          <w:szCs w:val="22"/>
          <w:lang w:val="id-ID"/>
        </w:rPr>
        <w:t>Moderated Regression Analysis (MRA)</w:t>
      </w:r>
    </w:p>
    <w:p w14:paraId="01DB40C5" w14:textId="21F99EEF" w:rsidR="00610A7C" w:rsidRPr="00E208CC" w:rsidRDefault="00E208CC" w:rsidP="00E208CC">
      <w:pPr>
        <w:spacing w:line="276" w:lineRule="auto"/>
        <w:jc w:val="center"/>
        <w:rPr>
          <w:rFonts w:ascii="Arial" w:hAnsi="Arial" w:cs="Arial"/>
          <w:b/>
          <w:bCs/>
          <w:lang w:val="id-ID"/>
        </w:rPr>
      </w:pPr>
      <w:r>
        <w:rPr>
          <w:rFonts w:ascii="Arial" w:hAnsi="Arial" w:cs="Arial"/>
          <w:b/>
          <w:bCs/>
          <w:lang w:val="id-ID"/>
        </w:rPr>
        <w:t>Tabl</w:t>
      </w:r>
      <w:r w:rsidR="00F07DDE">
        <w:rPr>
          <w:rFonts w:ascii="Arial" w:hAnsi="Arial" w:cs="Arial"/>
          <w:b/>
          <w:bCs/>
          <w:lang w:val="id-ID"/>
        </w:rPr>
        <w:t>e</w:t>
      </w:r>
      <w:r>
        <w:rPr>
          <w:rFonts w:ascii="Arial" w:hAnsi="Arial" w:cs="Arial"/>
          <w:b/>
          <w:bCs/>
          <w:lang w:val="id-ID"/>
        </w:rPr>
        <w:t xml:space="preserve"> 8. </w:t>
      </w:r>
      <w:r w:rsidRPr="00E208CC">
        <w:rPr>
          <w:rFonts w:ascii="Arial" w:hAnsi="Arial" w:cs="Arial"/>
          <w:b/>
          <w:bCs/>
          <w:lang w:val="id-ID"/>
        </w:rPr>
        <w:t xml:space="preserve">Moderated Regression Analysis Test </w:t>
      </w:r>
    </w:p>
    <w:tbl>
      <w:tblPr>
        <w:tblStyle w:val="TableGrid"/>
        <w:tblpPr w:leftFromText="180" w:rightFromText="180" w:vertAnchor="text" w:horzAnchor="margin" w:tblpXSpec="center" w:tblpY="104"/>
        <w:tblW w:w="7905" w:type="dxa"/>
        <w:tblLayout w:type="fixed"/>
        <w:tblLook w:val="04A0" w:firstRow="1" w:lastRow="0" w:firstColumn="1" w:lastColumn="0" w:noHBand="0" w:noVBand="1"/>
      </w:tblPr>
      <w:tblGrid>
        <w:gridCol w:w="817"/>
        <w:gridCol w:w="2477"/>
        <w:gridCol w:w="851"/>
        <w:gridCol w:w="850"/>
        <w:gridCol w:w="1276"/>
        <w:gridCol w:w="850"/>
        <w:gridCol w:w="784"/>
      </w:tblGrid>
      <w:tr w:rsidR="00E208CC" w:rsidRPr="00610A7C" w14:paraId="5F3A2935" w14:textId="77777777" w:rsidTr="00E208CC">
        <w:trPr>
          <w:trHeight w:val="370"/>
        </w:trPr>
        <w:tc>
          <w:tcPr>
            <w:tcW w:w="7905" w:type="dxa"/>
            <w:gridSpan w:val="7"/>
          </w:tcPr>
          <w:p w14:paraId="468108C4" w14:textId="77777777" w:rsidR="00E208CC" w:rsidRPr="00610A7C" w:rsidRDefault="00E208CC" w:rsidP="00E208CC">
            <w:pPr>
              <w:jc w:val="center"/>
              <w:rPr>
                <w:rFonts w:ascii="Arial" w:hAnsi="Arial" w:cs="Arial"/>
                <w:b/>
                <w:bCs/>
                <w:sz w:val="20"/>
                <w:szCs w:val="20"/>
              </w:rPr>
            </w:pPr>
            <w:proofErr w:type="spellStart"/>
            <w:r w:rsidRPr="00610A7C">
              <w:rPr>
                <w:rFonts w:ascii="Arial" w:hAnsi="Arial" w:cs="Arial"/>
                <w:b/>
                <w:bCs/>
                <w:sz w:val="20"/>
                <w:szCs w:val="20"/>
              </w:rPr>
              <w:lastRenderedPageBreak/>
              <w:t>Coefficients</w:t>
            </w:r>
            <w:r w:rsidRPr="00610A7C">
              <w:rPr>
                <w:rFonts w:ascii="Arial" w:hAnsi="Arial" w:cs="Arial"/>
                <w:b/>
                <w:bCs/>
                <w:sz w:val="20"/>
                <w:szCs w:val="20"/>
                <w:vertAlign w:val="superscript"/>
              </w:rPr>
              <w:t>a</w:t>
            </w:r>
            <w:proofErr w:type="spellEnd"/>
          </w:p>
        </w:tc>
      </w:tr>
      <w:tr w:rsidR="00E208CC" w:rsidRPr="00610A7C" w14:paraId="1C6E0EDE" w14:textId="77777777" w:rsidTr="00E208CC">
        <w:tc>
          <w:tcPr>
            <w:tcW w:w="817" w:type="dxa"/>
            <w:vMerge w:val="restart"/>
          </w:tcPr>
          <w:p w14:paraId="554BC692"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Model</w:t>
            </w:r>
          </w:p>
        </w:tc>
        <w:tc>
          <w:tcPr>
            <w:tcW w:w="2477" w:type="dxa"/>
            <w:vMerge w:val="restart"/>
          </w:tcPr>
          <w:p w14:paraId="570DB397" w14:textId="77777777" w:rsidR="00E208CC" w:rsidRPr="00610A7C" w:rsidRDefault="00E208CC" w:rsidP="00E208CC">
            <w:pPr>
              <w:jc w:val="center"/>
              <w:rPr>
                <w:rFonts w:ascii="Arial" w:hAnsi="Arial" w:cs="Arial"/>
                <w:b/>
                <w:bCs/>
                <w:sz w:val="20"/>
                <w:szCs w:val="20"/>
              </w:rPr>
            </w:pPr>
          </w:p>
        </w:tc>
        <w:tc>
          <w:tcPr>
            <w:tcW w:w="1701" w:type="dxa"/>
            <w:gridSpan w:val="2"/>
          </w:tcPr>
          <w:p w14:paraId="43AF9EEB"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Unstandardized Coefficients</w:t>
            </w:r>
          </w:p>
        </w:tc>
        <w:tc>
          <w:tcPr>
            <w:tcW w:w="1276" w:type="dxa"/>
          </w:tcPr>
          <w:p w14:paraId="437068E6"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Standardized Coefficients</w:t>
            </w:r>
          </w:p>
        </w:tc>
        <w:tc>
          <w:tcPr>
            <w:tcW w:w="850" w:type="dxa"/>
            <w:vMerge w:val="restart"/>
          </w:tcPr>
          <w:p w14:paraId="4A751CFD" w14:textId="77777777" w:rsidR="00E208CC" w:rsidRPr="00610A7C" w:rsidRDefault="00E208CC" w:rsidP="00E208CC">
            <w:pPr>
              <w:jc w:val="center"/>
              <w:rPr>
                <w:rFonts w:ascii="Arial" w:hAnsi="Arial" w:cs="Arial"/>
                <w:sz w:val="20"/>
                <w:szCs w:val="20"/>
                <w:lang w:val="id-ID"/>
              </w:rPr>
            </w:pPr>
          </w:p>
          <w:p w14:paraId="09E60329"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t</w:t>
            </w:r>
          </w:p>
        </w:tc>
        <w:tc>
          <w:tcPr>
            <w:tcW w:w="784" w:type="dxa"/>
            <w:vMerge w:val="restart"/>
          </w:tcPr>
          <w:p w14:paraId="5813E8ED" w14:textId="77777777" w:rsidR="00E208CC" w:rsidRPr="00610A7C" w:rsidRDefault="00E208CC" w:rsidP="00E208CC">
            <w:pPr>
              <w:jc w:val="center"/>
              <w:rPr>
                <w:rFonts w:ascii="Arial" w:hAnsi="Arial" w:cs="Arial"/>
                <w:sz w:val="20"/>
                <w:szCs w:val="20"/>
                <w:lang w:val="id-ID"/>
              </w:rPr>
            </w:pPr>
          </w:p>
          <w:p w14:paraId="0EDBAC4F"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Sig.</w:t>
            </w:r>
          </w:p>
        </w:tc>
      </w:tr>
      <w:tr w:rsidR="00E208CC" w:rsidRPr="00610A7C" w14:paraId="472FBF46" w14:textId="77777777" w:rsidTr="00E208CC">
        <w:tc>
          <w:tcPr>
            <w:tcW w:w="817" w:type="dxa"/>
            <w:vMerge/>
          </w:tcPr>
          <w:p w14:paraId="453D2F05" w14:textId="77777777" w:rsidR="00E208CC" w:rsidRPr="00610A7C" w:rsidRDefault="00E208CC" w:rsidP="00E208CC">
            <w:pPr>
              <w:jc w:val="both"/>
              <w:rPr>
                <w:rFonts w:ascii="Arial" w:hAnsi="Arial" w:cs="Arial"/>
                <w:b/>
                <w:bCs/>
                <w:sz w:val="20"/>
                <w:szCs w:val="20"/>
              </w:rPr>
            </w:pPr>
          </w:p>
        </w:tc>
        <w:tc>
          <w:tcPr>
            <w:tcW w:w="2477" w:type="dxa"/>
            <w:vMerge/>
          </w:tcPr>
          <w:p w14:paraId="57419A86" w14:textId="77777777" w:rsidR="00E208CC" w:rsidRPr="00610A7C" w:rsidRDefault="00E208CC" w:rsidP="00E208CC">
            <w:pPr>
              <w:jc w:val="both"/>
              <w:rPr>
                <w:rFonts w:ascii="Arial" w:hAnsi="Arial" w:cs="Arial"/>
                <w:b/>
                <w:bCs/>
                <w:sz w:val="20"/>
                <w:szCs w:val="20"/>
              </w:rPr>
            </w:pPr>
          </w:p>
        </w:tc>
        <w:tc>
          <w:tcPr>
            <w:tcW w:w="851" w:type="dxa"/>
          </w:tcPr>
          <w:p w14:paraId="0AD1DA01"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B</w:t>
            </w:r>
          </w:p>
        </w:tc>
        <w:tc>
          <w:tcPr>
            <w:tcW w:w="850" w:type="dxa"/>
          </w:tcPr>
          <w:p w14:paraId="2FA50B3E"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Std, Error</w:t>
            </w:r>
          </w:p>
        </w:tc>
        <w:tc>
          <w:tcPr>
            <w:tcW w:w="1276" w:type="dxa"/>
          </w:tcPr>
          <w:p w14:paraId="69AD09CF"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Beta</w:t>
            </w:r>
          </w:p>
        </w:tc>
        <w:tc>
          <w:tcPr>
            <w:tcW w:w="850" w:type="dxa"/>
            <w:vMerge/>
          </w:tcPr>
          <w:p w14:paraId="2E5E448F" w14:textId="77777777" w:rsidR="00E208CC" w:rsidRPr="00610A7C" w:rsidRDefault="00E208CC" w:rsidP="00E208CC">
            <w:pPr>
              <w:jc w:val="both"/>
              <w:rPr>
                <w:rFonts w:ascii="Arial" w:hAnsi="Arial" w:cs="Arial"/>
                <w:b/>
                <w:bCs/>
                <w:sz w:val="20"/>
                <w:szCs w:val="20"/>
              </w:rPr>
            </w:pPr>
          </w:p>
        </w:tc>
        <w:tc>
          <w:tcPr>
            <w:tcW w:w="784" w:type="dxa"/>
            <w:vMerge/>
          </w:tcPr>
          <w:p w14:paraId="7178ED2D" w14:textId="77777777" w:rsidR="00E208CC" w:rsidRPr="00610A7C" w:rsidRDefault="00E208CC" w:rsidP="00E208CC">
            <w:pPr>
              <w:jc w:val="both"/>
              <w:rPr>
                <w:rFonts w:ascii="Arial" w:hAnsi="Arial" w:cs="Arial"/>
                <w:b/>
                <w:bCs/>
                <w:sz w:val="20"/>
                <w:szCs w:val="20"/>
              </w:rPr>
            </w:pPr>
          </w:p>
        </w:tc>
      </w:tr>
      <w:tr w:rsidR="00E208CC" w:rsidRPr="00610A7C" w14:paraId="09822288" w14:textId="77777777" w:rsidTr="00E208CC">
        <w:tc>
          <w:tcPr>
            <w:tcW w:w="817" w:type="dxa"/>
            <w:vMerge w:val="restart"/>
          </w:tcPr>
          <w:p w14:paraId="0DC9B7E0"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1</w:t>
            </w:r>
          </w:p>
        </w:tc>
        <w:tc>
          <w:tcPr>
            <w:tcW w:w="2477" w:type="dxa"/>
          </w:tcPr>
          <w:p w14:paraId="0E9FBEE1"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(Constant)</w:t>
            </w:r>
          </w:p>
        </w:tc>
        <w:tc>
          <w:tcPr>
            <w:tcW w:w="851" w:type="dxa"/>
          </w:tcPr>
          <w:p w14:paraId="216A818D"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5.394</w:t>
            </w:r>
          </w:p>
        </w:tc>
        <w:tc>
          <w:tcPr>
            <w:tcW w:w="850" w:type="dxa"/>
          </w:tcPr>
          <w:p w14:paraId="0DF8C076"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0,806</w:t>
            </w:r>
          </w:p>
        </w:tc>
        <w:tc>
          <w:tcPr>
            <w:tcW w:w="1276" w:type="dxa"/>
          </w:tcPr>
          <w:p w14:paraId="1AFC3839" w14:textId="77777777" w:rsidR="00E208CC" w:rsidRPr="00610A7C" w:rsidRDefault="00E208CC" w:rsidP="00E208CC">
            <w:pPr>
              <w:jc w:val="center"/>
              <w:rPr>
                <w:rFonts w:ascii="Arial" w:hAnsi="Arial" w:cs="Arial"/>
                <w:b/>
                <w:bCs/>
                <w:sz w:val="20"/>
                <w:szCs w:val="20"/>
              </w:rPr>
            </w:pPr>
          </w:p>
        </w:tc>
        <w:tc>
          <w:tcPr>
            <w:tcW w:w="850" w:type="dxa"/>
          </w:tcPr>
          <w:p w14:paraId="5905B5E0"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6,692</w:t>
            </w:r>
          </w:p>
        </w:tc>
        <w:tc>
          <w:tcPr>
            <w:tcW w:w="784" w:type="dxa"/>
          </w:tcPr>
          <w:p w14:paraId="4B1F440A"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0,000</w:t>
            </w:r>
          </w:p>
        </w:tc>
      </w:tr>
      <w:tr w:rsidR="00E208CC" w:rsidRPr="00610A7C" w14:paraId="383C92B6" w14:textId="77777777" w:rsidTr="00E208CC">
        <w:tc>
          <w:tcPr>
            <w:tcW w:w="817" w:type="dxa"/>
            <w:vMerge/>
          </w:tcPr>
          <w:p w14:paraId="60736849" w14:textId="77777777" w:rsidR="00E208CC" w:rsidRPr="00610A7C" w:rsidRDefault="00E208CC" w:rsidP="00E208CC">
            <w:pPr>
              <w:jc w:val="both"/>
              <w:rPr>
                <w:rFonts w:ascii="Arial" w:hAnsi="Arial" w:cs="Arial"/>
                <w:b/>
                <w:bCs/>
                <w:sz w:val="20"/>
                <w:szCs w:val="20"/>
              </w:rPr>
            </w:pPr>
          </w:p>
        </w:tc>
        <w:tc>
          <w:tcPr>
            <w:tcW w:w="2477" w:type="dxa"/>
          </w:tcPr>
          <w:p w14:paraId="4674B127" w14:textId="77777777" w:rsidR="00E208CC" w:rsidRPr="00610A7C" w:rsidRDefault="00E208CC" w:rsidP="00E208CC">
            <w:pPr>
              <w:jc w:val="both"/>
              <w:rPr>
                <w:rFonts w:ascii="Arial" w:hAnsi="Arial" w:cs="Arial"/>
                <w:b/>
                <w:bCs/>
                <w:sz w:val="20"/>
                <w:szCs w:val="20"/>
              </w:rPr>
            </w:pPr>
            <w:r>
              <w:rPr>
                <w:rFonts w:ascii="Arial" w:hAnsi="Arial" w:cs="Arial"/>
                <w:sz w:val="20"/>
                <w:szCs w:val="20"/>
                <w:lang w:val="id-ID"/>
              </w:rPr>
              <w:t>Investment Desision</w:t>
            </w:r>
          </w:p>
        </w:tc>
        <w:tc>
          <w:tcPr>
            <w:tcW w:w="851" w:type="dxa"/>
          </w:tcPr>
          <w:p w14:paraId="05BD0FF2"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2.345</w:t>
            </w:r>
          </w:p>
        </w:tc>
        <w:tc>
          <w:tcPr>
            <w:tcW w:w="850" w:type="dxa"/>
          </w:tcPr>
          <w:p w14:paraId="4119642C"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1,193</w:t>
            </w:r>
          </w:p>
        </w:tc>
        <w:tc>
          <w:tcPr>
            <w:tcW w:w="1276" w:type="dxa"/>
          </w:tcPr>
          <w:p w14:paraId="0624BABD"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-0,312</w:t>
            </w:r>
          </w:p>
        </w:tc>
        <w:tc>
          <w:tcPr>
            <w:tcW w:w="850" w:type="dxa"/>
          </w:tcPr>
          <w:p w14:paraId="4A1C9477"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1,966</w:t>
            </w:r>
          </w:p>
        </w:tc>
        <w:tc>
          <w:tcPr>
            <w:tcW w:w="784" w:type="dxa"/>
          </w:tcPr>
          <w:p w14:paraId="45786EB9"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0,052</w:t>
            </w:r>
          </w:p>
        </w:tc>
      </w:tr>
      <w:tr w:rsidR="00E208CC" w:rsidRPr="00610A7C" w14:paraId="3FBAE0E4" w14:textId="77777777" w:rsidTr="00E208CC">
        <w:tc>
          <w:tcPr>
            <w:tcW w:w="817" w:type="dxa"/>
            <w:vMerge/>
          </w:tcPr>
          <w:p w14:paraId="06D5325A" w14:textId="77777777" w:rsidR="00E208CC" w:rsidRPr="00610A7C" w:rsidRDefault="00E208CC" w:rsidP="00E208CC">
            <w:pPr>
              <w:jc w:val="both"/>
              <w:rPr>
                <w:rFonts w:ascii="Arial" w:hAnsi="Arial" w:cs="Arial"/>
                <w:b/>
                <w:bCs/>
                <w:sz w:val="20"/>
                <w:szCs w:val="20"/>
              </w:rPr>
            </w:pPr>
          </w:p>
        </w:tc>
        <w:tc>
          <w:tcPr>
            <w:tcW w:w="2477" w:type="dxa"/>
          </w:tcPr>
          <w:p w14:paraId="3BF95F31" w14:textId="77777777" w:rsidR="00E208CC" w:rsidRPr="00610A7C" w:rsidRDefault="00E208CC" w:rsidP="00E208CC">
            <w:pPr>
              <w:jc w:val="both"/>
              <w:rPr>
                <w:rFonts w:ascii="Arial" w:hAnsi="Arial" w:cs="Arial"/>
                <w:b/>
                <w:bCs/>
                <w:sz w:val="20"/>
                <w:szCs w:val="20"/>
              </w:rPr>
            </w:pPr>
            <w:r>
              <w:rPr>
                <w:rFonts w:ascii="Arial" w:hAnsi="Arial" w:cs="Arial"/>
                <w:sz w:val="20"/>
                <w:szCs w:val="20"/>
                <w:lang w:val="id-ID"/>
              </w:rPr>
              <w:t>Dividend Policy</w:t>
            </w:r>
          </w:p>
        </w:tc>
        <w:tc>
          <w:tcPr>
            <w:tcW w:w="851" w:type="dxa"/>
          </w:tcPr>
          <w:p w14:paraId="68C5B2FD"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-0,040</w:t>
            </w:r>
          </w:p>
        </w:tc>
        <w:tc>
          <w:tcPr>
            <w:tcW w:w="850" w:type="dxa"/>
          </w:tcPr>
          <w:p w14:paraId="03708C19"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0,007</w:t>
            </w:r>
          </w:p>
        </w:tc>
        <w:tc>
          <w:tcPr>
            <w:tcW w:w="1276" w:type="dxa"/>
          </w:tcPr>
          <w:p w14:paraId="0FBB5C0C"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-1,009</w:t>
            </w:r>
          </w:p>
        </w:tc>
        <w:tc>
          <w:tcPr>
            <w:tcW w:w="850" w:type="dxa"/>
          </w:tcPr>
          <w:p w14:paraId="21C6FE58"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-5,425</w:t>
            </w:r>
          </w:p>
        </w:tc>
        <w:tc>
          <w:tcPr>
            <w:tcW w:w="784" w:type="dxa"/>
          </w:tcPr>
          <w:p w14:paraId="6A184278" w14:textId="77777777" w:rsidR="00E208CC" w:rsidRPr="00610A7C" w:rsidRDefault="00E208CC" w:rsidP="00E208CC">
            <w:pPr>
              <w:jc w:val="both"/>
              <w:rPr>
                <w:rFonts w:ascii="Arial" w:hAnsi="Arial" w:cs="Arial"/>
                <w:b/>
                <w:bCs/>
                <w:sz w:val="20"/>
                <w:szCs w:val="20"/>
              </w:rPr>
            </w:pPr>
            <w:r w:rsidRPr="00610A7C">
              <w:rPr>
                <w:rFonts w:ascii="Arial" w:hAnsi="Arial" w:cs="Arial"/>
                <w:sz w:val="20"/>
                <w:szCs w:val="20"/>
                <w:lang w:val="id-ID"/>
              </w:rPr>
              <w:t>0,000</w:t>
            </w:r>
          </w:p>
        </w:tc>
      </w:tr>
      <w:tr w:rsidR="00E208CC" w:rsidRPr="00610A7C" w14:paraId="6D7D8E03" w14:textId="77777777" w:rsidTr="00E208CC">
        <w:tc>
          <w:tcPr>
            <w:tcW w:w="817" w:type="dxa"/>
            <w:vMerge/>
          </w:tcPr>
          <w:p w14:paraId="7F5268DC" w14:textId="77777777" w:rsidR="00E208CC" w:rsidRPr="00610A7C" w:rsidRDefault="00E208CC" w:rsidP="00E208CC">
            <w:pPr>
              <w:jc w:val="both"/>
              <w:rPr>
                <w:rFonts w:ascii="Arial" w:hAnsi="Arial" w:cs="Arial"/>
                <w:sz w:val="20"/>
                <w:szCs w:val="20"/>
                <w:lang w:val="id-ID"/>
              </w:rPr>
            </w:pPr>
          </w:p>
        </w:tc>
        <w:tc>
          <w:tcPr>
            <w:tcW w:w="2477" w:type="dxa"/>
          </w:tcPr>
          <w:p w14:paraId="178DBE8E" w14:textId="77777777" w:rsidR="00E208CC" w:rsidRPr="00610A7C" w:rsidRDefault="00E208CC" w:rsidP="00E208CC">
            <w:pPr>
              <w:jc w:val="both"/>
              <w:rPr>
                <w:rFonts w:ascii="Arial" w:hAnsi="Arial" w:cs="Arial"/>
                <w:sz w:val="20"/>
                <w:szCs w:val="20"/>
                <w:lang w:val="id-ID"/>
              </w:rPr>
            </w:pPr>
            <w:r>
              <w:rPr>
                <w:rFonts w:ascii="Arial" w:hAnsi="Arial" w:cs="Arial"/>
                <w:sz w:val="20"/>
                <w:szCs w:val="20"/>
                <w:lang w:val="id-ID"/>
              </w:rPr>
              <w:t>Sales Growth</w:t>
            </w:r>
          </w:p>
        </w:tc>
        <w:tc>
          <w:tcPr>
            <w:tcW w:w="851" w:type="dxa"/>
          </w:tcPr>
          <w:p w14:paraId="33D4002A"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-2,247</w:t>
            </w:r>
          </w:p>
        </w:tc>
        <w:tc>
          <w:tcPr>
            <w:tcW w:w="850" w:type="dxa"/>
          </w:tcPr>
          <w:p w14:paraId="67171609"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1,1746</w:t>
            </w:r>
          </w:p>
        </w:tc>
        <w:tc>
          <w:tcPr>
            <w:tcW w:w="1276" w:type="dxa"/>
          </w:tcPr>
          <w:p w14:paraId="7BB53BBF"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-0,142</w:t>
            </w:r>
          </w:p>
        </w:tc>
        <w:tc>
          <w:tcPr>
            <w:tcW w:w="850" w:type="dxa"/>
          </w:tcPr>
          <w:p w14:paraId="72C1FE7A"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-1,287</w:t>
            </w:r>
          </w:p>
        </w:tc>
        <w:tc>
          <w:tcPr>
            <w:tcW w:w="784" w:type="dxa"/>
          </w:tcPr>
          <w:p w14:paraId="174C8456"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0,201</w:t>
            </w:r>
          </w:p>
        </w:tc>
      </w:tr>
      <w:tr w:rsidR="00E208CC" w:rsidRPr="00610A7C" w14:paraId="5F23418E" w14:textId="77777777" w:rsidTr="00E208CC">
        <w:tc>
          <w:tcPr>
            <w:tcW w:w="817" w:type="dxa"/>
            <w:vMerge/>
          </w:tcPr>
          <w:p w14:paraId="04BE00D4" w14:textId="77777777" w:rsidR="00E208CC" w:rsidRPr="00610A7C" w:rsidRDefault="00E208CC" w:rsidP="00E208CC">
            <w:pPr>
              <w:jc w:val="both"/>
              <w:rPr>
                <w:rFonts w:ascii="Arial" w:hAnsi="Arial" w:cs="Arial"/>
                <w:sz w:val="20"/>
                <w:szCs w:val="20"/>
                <w:lang w:val="id-ID"/>
              </w:rPr>
            </w:pPr>
          </w:p>
        </w:tc>
        <w:tc>
          <w:tcPr>
            <w:tcW w:w="2477" w:type="dxa"/>
          </w:tcPr>
          <w:p w14:paraId="083282AF" w14:textId="77777777" w:rsidR="00E208CC" w:rsidRPr="00610A7C" w:rsidRDefault="00E208CC" w:rsidP="00E208CC">
            <w:pPr>
              <w:rPr>
                <w:rFonts w:ascii="Arial" w:hAnsi="Arial" w:cs="Arial"/>
                <w:sz w:val="20"/>
                <w:szCs w:val="20"/>
                <w:lang w:val="id-ID"/>
              </w:rPr>
            </w:pPr>
            <w:r>
              <w:rPr>
                <w:rFonts w:ascii="Arial" w:hAnsi="Arial" w:cs="Arial"/>
                <w:sz w:val="20"/>
                <w:szCs w:val="20"/>
                <w:lang w:val="id-ID"/>
              </w:rPr>
              <w:t>Investment Desision</w:t>
            </w:r>
            <w:r w:rsidRPr="00610A7C">
              <w:rPr>
                <w:rFonts w:ascii="Arial" w:hAnsi="Arial" w:cs="Arial"/>
                <w:sz w:val="20"/>
                <w:szCs w:val="20"/>
                <w:lang w:val="id-ID"/>
              </w:rPr>
              <w:t xml:space="preserve"> (X1)*</w:t>
            </w:r>
            <w:r>
              <w:rPr>
                <w:rFonts w:ascii="Arial" w:hAnsi="Arial" w:cs="Arial"/>
                <w:sz w:val="20"/>
                <w:szCs w:val="20"/>
                <w:lang w:val="id-ID"/>
              </w:rPr>
              <w:t>Capital Structure</w:t>
            </w:r>
            <w:r w:rsidRPr="00610A7C">
              <w:rPr>
                <w:rFonts w:ascii="Arial" w:hAnsi="Arial" w:cs="Arial"/>
                <w:sz w:val="20"/>
                <w:szCs w:val="20"/>
                <w:lang w:val="id-ID"/>
              </w:rPr>
              <w:t>(Z)</w:t>
            </w:r>
          </w:p>
        </w:tc>
        <w:tc>
          <w:tcPr>
            <w:tcW w:w="851" w:type="dxa"/>
          </w:tcPr>
          <w:p w14:paraId="14CC39DC"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-1852</w:t>
            </w:r>
          </w:p>
        </w:tc>
        <w:tc>
          <w:tcPr>
            <w:tcW w:w="850" w:type="dxa"/>
          </w:tcPr>
          <w:p w14:paraId="79D46EEE"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1,544</w:t>
            </w:r>
          </w:p>
        </w:tc>
        <w:tc>
          <w:tcPr>
            <w:tcW w:w="1276" w:type="dxa"/>
          </w:tcPr>
          <w:p w14:paraId="65B0A1A3"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-0,187</w:t>
            </w:r>
          </w:p>
        </w:tc>
        <w:tc>
          <w:tcPr>
            <w:tcW w:w="850" w:type="dxa"/>
          </w:tcPr>
          <w:p w14:paraId="4435C9C0"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-1,199</w:t>
            </w:r>
          </w:p>
        </w:tc>
        <w:tc>
          <w:tcPr>
            <w:tcW w:w="784" w:type="dxa"/>
          </w:tcPr>
          <w:p w14:paraId="5E8994ED"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0,233</w:t>
            </w:r>
          </w:p>
        </w:tc>
      </w:tr>
      <w:tr w:rsidR="00E208CC" w:rsidRPr="00610A7C" w14:paraId="6D586B0B" w14:textId="77777777" w:rsidTr="00E208CC">
        <w:tc>
          <w:tcPr>
            <w:tcW w:w="817" w:type="dxa"/>
            <w:vMerge/>
          </w:tcPr>
          <w:p w14:paraId="6696CF48" w14:textId="77777777" w:rsidR="00E208CC" w:rsidRPr="00610A7C" w:rsidRDefault="00E208CC" w:rsidP="00E208CC">
            <w:pPr>
              <w:jc w:val="both"/>
              <w:rPr>
                <w:rFonts w:ascii="Arial" w:hAnsi="Arial" w:cs="Arial"/>
                <w:sz w:val="20"/>
                <w:szCs w:val="20"/>
                <w:lang w:val="id-ID"/>
              </w:rPr>
            </w:pPr>
          </w:p>
        </w:tc>
        <w:tc>
          <w:tcPr>
            <w:tcW w:w="2477" w:type="dxa"/>
          </w:tcPr>
          <w:p w14:paraId="429AF02C" w14:textId="77777777" w:rsidR="00E208CC" w:rsidRPr="00610A7C" w:rsidRDefault="00E208CC" w:rsidP="00E208CC">
            <w:pPr>
              <w:rPr>
                <w:rFonts w:ascii="Arial" w:hAnsi="Arial" w:cs="Arial"/>
                <w:sz w:val="20"/>
                <w:szCs w:val="20"/>
                <w:lang w:val="id-ID"/>
              </w:rPr>
            </w:pPr>
            <w:r>
              <w:rPr>
                <w:rFonts w:ascii="Arial" w:hAnsi="Arial" w:cs="Arial"/>
                <w:sz w:val="20"/>
                <w:szCs w:val="20"/>
                <w:lang w:val="id-ID"/>
              </w:rPr>
              <w:t>Dividen Policy</w:t>
            </w:r>
            <w:r w:rsidRPr="00610A7C">
              <w:rPr>
                <w:rFonts w:ascii="Arial" w:hAnsi="Arial" w:cs="Arial"/>
                <w:sz w:val="20"/>
                <w:szCs w:val="20"/>
                <w:lang w:val="id-ID"/>
              </w:rPr>
              <w:t>(X2)*</w:t>
            </w:r>
            <w:r>
              <w:rPr>
                <w:rFonts w:ascii="Arial" w:hAnsi="Arial" w:cs="Arial"/>
                <w:sz w:val="20"/>
                <w:szCs w:val="20"/>
                <w:lang w:val="id-ID"/>
              </w:rPr>
              <w:t xml:space="preserve"> Capital Structure</w:t>
            </w:r>
            <w:r w:rsidRPr="00610A7C">
              <w:rPr>
                <w:rFonts w:ascii="Arial" w:hAnsi="Arial" w:cs="Arial"/>
                <w:sz w:val="20"/>
                <w:szCs w:val="20"/>
                <w:lang w:val="id-ID"/>
              </w:rPr>
              <w:t>(Z)</w:t>
            </w:r>
          </w:p>
        </w:tc>
        <w:tc>
          <w:tcPr>
            <w:tcW w:w="851" w:type="dxa"/>
          </w:tcPr>
          <w:p w14:paraId="4CFC9ADB"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0,095</w:t>
            </w:r>
          </w:p>
        </w:tc>
        <w:tc>
          <w:tcPr>
            <w:tcW w:w="850" w:type="dxa"/>
          </w:tcPr>
          <w:p w14:paraId="11CD995B"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0,013</w:t>
            </w:r>
          </w:p>
        </w:tc>
        <w:tc>
          <w:tcPr>
            <w:tcW w:w="1276" w:type="dxa"/>
          </w:tcPr>
          <w:p w14:paraId="1780EAB7"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1,714</w:t>
            </w:r>
          </w:p>
        </w:tc>
        <w:tc>
          <w:tcPr>
            <w:tcW w:w="850" w:type="dxa"/>
          </w:tcPr>
          <w:p w14:paraId="47B919DD"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7,191</w:t>
            </w:r>
          </w:p>
        </w:tc>
        <w:tc>
          <w:tcPr>
            <w:tcW w:w="784" w:type="dxa"/>
          </w:tcPr>
          <w:p w14:paraId="232213A5"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0,000</w:t>
            </w:r>
          </w:p>
        </w:tc>
      </w:tr>
      <w:tr w:rsidR="00E208CC" w:rsidRPr="00610A7C" w14:paraId="149B1E0D" w14:textId="77777777" w:rsidTr="00E208CC">
        <w:tc>
          <w:tcPr>
            <w:tcW w:w="817" w:type="dxa"/>
            <w:vMerge/>
          </w:tcPr>
          <w:p w14:paraId="740F777C" w14:textId="77777777" w:rsidR="00E208CC" w:rsidRPr="00610A7C" w:rsidRDefault="00E208CC" w:rsidP="00E208CC">
            <w:pPr>
              <w:jc w:val="both"/>
              <w:rPr>
                <w:rFonts w:ascii="Arial" w:hAnsi="Arial" w:cs="Arial"/>
                <w:sz w:val="20"/>
                <w:szCs w:val="20"/>
                <w:lang w:val="id-ID"/>
              </w:rPr>
            </w:pPr>
          </w:p>
        </w:tc>
        <w:tc>
          <w:tcPr>
            <w:tcW w:w="2477" w:type="dxa"/>
          </w:tcPr>
          <w:p w14:paraId="1067BEDE" w14:textId="77777777" w:rsidR="00E208CC" w:rsidRPr="00610A7C" w:rsidRDefault="00E208CC" w:rsidP="00E208CC">
            <w:pPr>
              <w:rPr>
                <w:rFonts w:ascii="Arial" w:hAnsi="Arial" w:cs="Arial"/>
                <w:sz w:val="20"/>
                <w:szCs w:val="20"/>
                <w:lang w:val="id-ID"/>
              </w:rPr>
            </w:pPr>
            <w:r>
              <w:rPr>
                <w:rFonts w:ascii="Arial" w:hAnsi="Arial" w:cs="Arial"/>
                <w:sz w:val="20"/>
                <w:szCs w:val="20"/>
                <w:lang w:val="id-ID"/>
              </w:rPr>
              <w:t>Sales Growth</w:t>
            </w:r>
            <w:r w:rsidRPr="00610A7C">
              <w:rPr>
                <w:rFonts w:ascii="Arial" w:hAnsi="Arial" w:cs="Arial"/>
                <w:sz w:val="20"/>
                <w:szCs w:val="20"/>
                <w:lang w:val="id-ID"/>
              </w:rPr>
              <w:t>(X3)*</w:t>
            </w:r>
            <w:r>
              <w:rPr>
                <w:rFonts w:ascii="Arial" w:hAnsi="Arial" w:cs="Arial"/>
                <w:sz w:val="20"/>
                <w:szCs w:val="20"/>
                <w:lang w:val="id-ID"/>
              </w:rPr>
              <w:t xml:space="preserve"> Capital Structure</w:t>
            </w:r>
            <w:r w:rsidRPr="00610A7C">
              <w:rPr>
                <w:rFonts w:ascii="Arial" w:hAnsi="Arial" w:cs="Arial"/>
                <w:sz w:val="20"/>
                <w:szCs w:val="20"/>
                <w:lang w:val="id-ID"/>
              </w:rPr>
              <w:t>(Z)</w:t>
            </w:r>
          </w:p>
        </w:tc>
        <w:tc>
          <w:tcPr>
            <w:tcW w:w="851" w:type="dxa"/>
          </w:tcPr>
          <w:p w14:paraId="771216FF"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6,595</w:t>
            </w:r>
          </w:p>
        </w:tc>
        <w:tc>
          <w:tcPr>
            <w:tcW w:w="850" w:type="dxa"/>
          </w:tcPr>
          <w:p w14:paraId="0C09385D"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2,004</w:t>
            </w:r>
          </w:p>
        </w:tc>
        <w:tc>
          <w:tcPr>
            <w:tcW w:w="1276" w:type="dxa"/>
          </w:tcPr>
          <w:p w14:paraId="58C407D9" w14:textId="77777777" w:rsidR="00E208CC" w:rsidRPr="00610A7C" w:rsidRDefault="00E208CC" w:rsidP="00E208CC">
            <w:pPr>
              <w:jc w:val="center"/>
              <w:rPr>
                <w:rFonts w:ascii="Arial" w:hAnsi="Arial" w:cs="Arial"/>
                <w:b/>
                <w:bCs/>
                <w:sz w:val="20"/>
                <w:szCs w:val="20"/>
              </w:rPr>
            </w:pPr>
            <w:r w:rsidRPr="00610A7C">
              <w:rPr>
                <w:rFonts w:ascii="Arial" w:hAnsi="Arial" w:cs="Arial"/>
                <w:sz w:val="20"/>
                <w:szCs w:val="20"/>
                <w:lang w:val="id-ID"/>
              </w:rPr>
              <w:t>0,384</w:t>
            </w:r>
          </w:p>
        </w:tc>
        <w:tc>
          <w:tcPr>
            <w:tcW w:w="850" w:type="dxa"/>
          </w:tcPr>
          <w:p w14:paraId="736DF548"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3,292</w:t>
            </w:r>
          </w:p>
        </w:tc>
        <w:tc>
          <w:tcPr>
            <w:tcW w:w="784" w:type="dxa"/>
          </w:tcPr>
          <w:p w14:paraId="5C67C91C" w14:textId="77777777" w:rsidR="00E208CC" w:rsidRPr="00610A7C" w:rsidRDefault="00E208CC" w:rsidP="00E208CC">
            <w:pPr>
              <w:jc w:val="both"/>
              <w:rPr>
                <w:rFonts w:ascii="Arial" w:hAnsi="Arial" w:cs="Arial"/>
                <w:sz w:val="20"/>
                <w:szCs w:val="20"/>
                <w:lang w:val="id-ID"/>
              </w:rPr>
            </w:pPr>
            <w:r w:rsidRPr="00610A7C">
              <w:rPr>
                <w:rFonts w:ascii="Arial" w:hAnsi="Arial" w:cs="Arial"/>
                <w:sz w:val="20"/>
                <w:szCs w:val="20"/>
                <w:lang w:val="id-ID"/>
              </w:rPr>
              <w:t>0,001</w:t>
            </w:r>
          </w:p>
        </w:tc>
      </w:tr>
    </w:tbl>
    <w:p w14:paraId="1B1F9144" w14:textId="77777777" w:rsidR="00FE25CD" w:rsidRDefault="00FE25CD" w:rsidP="0073377E">
      <w:pPr>
        <w:pStyle w:val="Body"/>
        <w:spacing w:after="0"/>
        <w:rPr>
          <w:rFonts w:ascii="Arial" w:hAnsi="Arial" w:cs="Arial"/>
        </w:rPr>
      </w:pPr>
    </w:p>
    <w:p w14:paraId="54C05A09" w14:textId="6A1993EA" w:rsidR="0073377E" w:rsidRPr="0073377E" w:rsidRDefault="0073377E" w:rsidP="0073377E">
      <w:pPr>
        <w:pStyle w:val="Body"/>
        <w:spacing w:after="0"/>
        <w:rPr>
          <w:rFonts w:ascii="Arial" w:hAnsi="Arial" w:cs="Arial"/>
        </w:rPr>
      </w:pPr>
      <w:r w:rsidRPr="0073377E">
        <w:rPr>
          <w:rFonts w:ascii="Arial" w:hAnsi="Arial" w:cs="Arial"/>
        </w:rPr>
        <w:t xml:space="preserve">Based on the regression results in Table </w:t>
      </w:r>
      <w:r w:rsidR="00F07DDE">
        <w:rPr>
          <w:rFonts w:ascii="Arial" w:hAnsi="Arial" w:cs="Arial"/>
        </w:rPr>
        <w:t>8</w:t>
      </w:r>
      <w:r w:rsidRPr="0073377E">
        <w:rPr>
          <w:rFonts w:ascii="Arial" w:hAnsi="Arial" w:cs="Arial"/>
        </w:rPr>
        <w:t>, the investment decision variable has a positive coefficient (2.345) with a significance close to 0.05, indicating the potential to increase company value even though the effect is not yet significant. Dividend policy has a significant negative effect (-0.040; Sig. 0.000), so that high dividend distribution tends to reduce company value. Sales growth shows a negative but insignificant coefficient (Sig. 0.201), indicating that its effect is still weak. Capital structure itself has a significant negative effect (Sig. 0.000), which means that a high proportion of debt can reduce company value. For the moderating variables, the interaction between investment decisions and capital structure is not significant (Sig. 0.233), while dividend policy and capital structure have a significant positive effect (Sig. 0.000), indicating that capital structure strengthens the effect of dividends on company value. Similarly, sales growth*capital structure is positively significant (Sig. 0.001), meaning that capital structure can strengthen the relationship between sales growth and company value.</w:t>
      </w:r>
    </w:p>
    <w:p w14:paraId="17D9FB13" w14:textId="77777777" w:rsidR="007E7ED2" w:rsidRDefault="007E7ED2" w:rsidP="00441B6F">
      <w:pPr>
        <w:pStyle w:val="Body"/>
        <w:spacing w:after="0"/>
        <w:rPr>
          <w:rFonts w:ascii="Arial" w:hAnsi="Arial" w:cs="Arial"/>
          <w:b/>
          <w:bCs/>
        </w:rPr>
      </w:pPr>
    </w:p>
    <w:p w14:paraId="1BDC1CEF" w14:textId="2DF28039" w:rsidR="00A5232F" w:rsidRPr="00E208CC" w:rsidRDefault="003730CB" w:rsidP="00441B6F">
      <w:pPr>
        <w:pStyle w:val="Body"/>
        <w:spacing w:after="0"/>
        <w:rPr>
          <w:rFonts w:ascii="Arial" w:hAnsi="Arial" w:cs="Arial"/>
          <w:b/>
          <w:bCs/>
        </w:rPr>
      </w:pPr>
      <w:r w:rsidRPr="003730CB">
        <w:rPr>
          <w:rFonts w:ascii="Arial" w:hAnsi="Arial" w:cs="Arial"/>
          <w:b/>
          <w:bCs/>
          <w:sz w:val="22"/>
          <w:szCs w:val="22"/>
        </w:rPr>
        <w:t xml:space="preserve">3.6 </w:t>
      </w:r>
      <w:r w:rsidR="00A5232F" w:rsidRPr="003730CB">
        <w:rPr>
          <w:rFonts w:ascii="Arial" w:hAnsi="Arial" w:cs="Arial"/>
          <w:b/>
          <w:bCs/>
          <w:sz w:val="22"/>
          <w:szCs w:val="22"/>
        </w:rPr>
        <w:t>F test</w:t>
      </w:r>
    </w:p>
    <w:p w14:paraId="7A524C18" w14:textId="77777777" w:rsidR="00FE25CD" w:rsidRDefault="00FE25CD" w:rsidP="00E208CC">
      <w:pPr>
        <w:pStyle w:val="Body"/>
        <w:spacing w:after="0"/>
        <w:jc w:val="center"/>
        <w:rPr>
          <w:rFonts w:ascii="Arial" w:hAnsi="Arial" w:cs="Arial"/>
          <w:b/>
          <w:bCs/>
        </w:rPr>
      </w:pPr>
    </w:p>
    <w:p w14:paraId="4FC1F476" w14:textId="1FF0F777" w:rsidR="00E208CC" w:rsidRPr="00E208CC" w:rsidRDefault="00E208CC" w:rsidP="00E208CC">
      <w:pPr>
        <w:pStyle w:val="Body"/>
        <w:spacing w:after="0"/>
        <w:jc w:val="center"/>
        <w:rPr>
          <w:rFonts w:ascii="Arial" w:hAnsi="Arial" w:cs="Arial"/>
          <w:b/>
          <w:bCs/>
        </w:rPr>
      </w:pPr>
      <w:r w:rsidRPr="00E208CC">
        <w:rPr>
          <w:rFonts w:ascii="Arial" w:hAnsi="Arial" w:cs="Arial"/>
          <w:b/>
          <w:bCs/>
        </w:rPr>
        <w:t>Tabel 9. F-Test Results</w:t>
      </w:r>
    </w:p>
    <w:tbl>
      <w:tblPr>
        <w:tblStyle w:val="TableGrid"/>
        <w:tblW w:w="0" w:type="auto"/>
        <w:tblInd w:w="426" w:type="dxa"/>
        <w:tblLook w:val="04A0" w:firstRow="1" w:lastRow="0" w:firstColumn="1" w:lastColumn="0" w:noHBand="0" w:noVBand="1"/>
      </w:tblPr>
      <w:tblGrid>
        <w:gridCol w:w="761"/>
        <w:gridCol w:w="1537"/>
        <w:gridCol w:w="1394"/>
        <w:gridCol w:w="576"/>
        <w:gridCol w:w="1637"/>
        <w:gridCol w:w="844"/>
        <w:gridCol w:w="964"/>
      </w:tblGrid>
      <w:tr w:rsidR="00610A7C" w:rsidRPr="00610A7C" w14:paraId="428360E1" w14:textId="77777777" w:rsidTr="00E55377">
        <w:tc>
          <w:tcPr>
            <w:tcW w:w="7511" w:type="dxa"/>
            <w:gridSpan w:val="7"/>
            <w:tcBorders>
              <w:left w:val="nil"/>
              <w:bottom w:val="single" w:sz="4" w:space="0" w:color="auto"/>
              <w:right w:val="nil"/>
            </w:tcBorders>
          </w:tcPr>
          <w:p w14:paraId="45860BE6" w14:textId="77777777" w:rsidR="00610A7C" w:rsidRPr="00610A7C" w:rsidRDefault="00610A7C" w:rsidP="00610A7C">
            <w:pPr>
              <w:autoSpaceDE w:val="0"/>
              <w:autoSpaceDN w:val="0"/>
              <w:adjustRightInd w:val="0"/>
              <w:jc w:val="center"/>
              <w:rPr>
                <w:rFonts w:ascii="Arial" w:hAnsi="Arial" w:cs="Arial"/>
                <w:b/>
                <w:bCs/>
                <w:sz w:val="20"/>
                <w:szCs w:val="20"/>
              </w:rPr>
            </w:pPr>
            <w:bookmarkStart w:id="5" w:name="_Hlk209222390"/>
            <w:proofErr w:type="spellStart"/>
            <w:r w:rsidRPr="00610A7C">
              <w:rPr>
                <w:rFonts w:ascii="Arial" w:hAnsi="Arial" w:cs="Arial"/>
                <w:b/>
                <w:bCs/>
                <w:sz w:val="20"/>
                <w:szCs w:val="20"/>
              </w:rPr>
              <w:t>ANOVA</w:t>
            </w:r>
            <w:r w:rsidRPr="00610A7C">
              <w:rPr>
                <w:rFonts w:ascii="Arial" w:hAnsi="Arial" w:cs="Arial"/>
                <w:b/>
                <w:bCs/>
                <w:sz w:val="20"/>
                <w:szCs w:val="20"/>
                <w:vertAlign w:val="superscript"/>
              </w:rPr>
              <w:t>a</w:t>
            </w:r>
            <w:proofErr w:type="spellEnd"/>
          </w:p>
        </w:tc>
      </w:tr>
      <w:tr w:rsidR="00610A7C" w:rsidRPr="00610A7C" w14:paraId="357D8BC6" w14:textId="77777777" w:rsidTr="00E55377">
        <w:tc>
          <w:tcPr>
            <w:tcW w:w="559" w:type="dxa"/>
            <w:tcBorders>
              <w:left w:val="nil"/>
              <w:bottom w:val="single" w:sz="4" w:space="0" w:color="auto"/>
            </w:tcBorders>
          </w:tcPr>
          <w:p w14:paraId="452867E9"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Model</w:t>
            </w:r>
          </w:p>
        </w:tc>
        <w:tc>
          <w:tcPr>
            <w:tcW w:w="2931" w:type="dxa"/>
            <w:gridSpan w:val="2"/>
            <w:tcBorders>
              <w:bottom w:val="single" w:sz="4" w:space="0" w:color="auto"/>
              <w:right w:val="nil"/>
            </w:tcBorders>
          </w:tcPr>
          <w:p w14:paraId="3A273D1F"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Sum of Squares</w:t>
            </w:r>
          </w:p>
        </w:tc>
        <w:tc>
          <w:tcPr>
            <w:tcW w:w="576" w:type="dxa"/>
            <w:tcBorders>
              <w:left w:val="nil"/>
              <w:bottom w:val="single" w:sz="4" w:space="0" w:color="auto"/>
              <w:right w:val="nil"/>
            </w:tcBorders>
          </w:tcPr>
          <w:p w14:paraId="0E60A22F"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df</w:t>
            </w:r>
          </w:p>
        </w:tc>
        <w:tc>
          <w:tcPr>
            <w:tcW w:w="1637" w:type="dxa"/>
            <w:tcBorders>
              <w:left w:val="nil"/>
              <w:bottom w:val="single" w:sz="4" w:space="0" w:color="auto"/>
              <w:right w:val="nil"/>
            </w:tcBorders>
          </w:tcPr>
          <w:p w14:paraId="2C3AA956"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Mean Square</w:t>
            </w:r>
          </w:p>
        </w:tc>
        <w:tc>
          <w:tcPr>
            <w:tcW w:w="844" w:type="dxa"/>
            <w:tcBorders>
              <w:left w:val="nil"/>
              <w:bottom w:val="single" w:sz="4" w:space="0" w:color="auto"/>
              <w:right w:val="nil"/>
            </w:tcBorders>
          </w:tcPr>
          <w:p w14:paraId="617F0DEC"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F</w:t>
            </w:r>
          </w:p>
        </w:tc>
        <w:tc>
          <w:tcPr>
            <w:tcW w:w="964" w:type="dxa"/>
            <w:tcBorders>
              <w:left w:val="nil"/>
              <w:bottom w:val="single" w:sz="4" w:space="0" w:color="auto"/>
              <w:right w:val="nil"/>
            </w:tcBorders>
          </w:tcPr>
          <w:p w14:paraId="62461416"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Sig.</w:t>
            </w:r>
          </w:p>
        </w:tc>
      </w:tr>
      <w:tr w:rsidR="00610A7C" w:rsidRPr="00610A7C" w14:paraId="15A5ADCD" w14:textId="77777777" w:rsidTr="00E55377">
        <w:tc>
          <w:tcPr>
            <w:tcW w:w="559" w:type="dxa"/>
            <w:vMerge w:val="restart"/>
            <w:tcBorders>
              <w:left w:val="nil"/>
            </w:tcBorders>
          </w:tcPr>
          <w:p w14:paraId="2C680778" w14:textId="77777777" w:rsidR="00610A7C" w:rsidRPr="00610A7C" w:rsidRDefault="00610A7C" w:rsidP="00610A7C">
            <w:pPr>
              <w:autoSpaceDE w:val="0"/>
              <w:autoSpaceDN w:val="0"/>
              <w:adjustRightInd w:val="0"/>
              <w:jc w:val="both"/>
              <w:rPr>
                <w:rFonts w:ascii="Arial" w:hAnsi="Arial" w:cs="Arial"/>
                <w:sz w:val="20"/>
                <w:szCs w:val="20"/>
              </w:rPr>
            </w:pPr>
            <w:r w:rsidRPr="00610A7C">
              <w:rPr>
                <w:rFonts w:ascii="Arial" w:hAnsi="Arial" w:cs="Arial"/>
                <w:sz w:val="20"/>
                <w:szCs w:val="20"/>
              </w:rPr>
              <w:t>1</w:t>
            </w:r>
          </w:p>
        </w:tc>
        <w:tc>
          <w:tcPr>
            <w:tcW w:w="1537" w:type="dxa"/>
            <w:tcBorders>
              <w:bottom w:val="nil"/>
              <w:right w:val="nil"/>
            </w:tcBorders>
          </w:tcPr>
          <w:p w14:paraId="2DF34695"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Regression</w:t>
            </w:r>
          </w:p>
        </w:tc>
        <w:tc>
          <w:tcPr>
            <w:tcW w:w="1394" w:type="dxa"/>
            <w:tcBorders>
              <w:left w:val="nil"/>
              <w:bottom w:val="nil"/>
              <w:right w:val="nil"/>
            </w:tcBorders>
          </w:tcPr>
          <w:p w14:paraId="68E7A09C"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498.593</w:t>
            </w:r>
          </w:p>
        </w:tc>
        <w:tc>
          <w:tcPr>
            <w:tcW w:w="576" w:type="dxa"/>
            <w:tcBorders>
              <w:left w:val="nil"/>
              <w:bottom w:val="nil"/>
              <w:right w:val="nil"/>
            </w:tcBorders>
          </w:tcPr>
          <w:p w14:paraId="190982C0"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7</w:t>
            </w:r>
          </w:p>
        </w:tc>
        <w:tc>
          <w:tcPr>
            <w:tcW w:w="1637" w:type="dxa"/>
            <w:tcBorders>
              <w:left w:val="nil"/>
              <w:bottom w:val="nil"/>
              <w:right w:val="nil"/>
            </w:tcBorders>
          </w:tcPr>
          <w:p w14:paraId="1CE9BFD1"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71.228</w:t>
            </w:r>
          </w:p>
        </w:tc>
        <w:tc>
          <w:tcPr>
            <w:tcW w:w="844" w:type="dxa"/>
            <w:tcBorders>
              <w:left w:val="nil"/>
              <w:bottom w:val="nil"/>
              <w:right w:val="nil"/>
            </w:tcBorders>
          </w:tcPr>
          <w:p w14:paraId="4E707404"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8.799</w:t>
            </w:r>
          </w:p>
        </w:tc>
        <w:tc>
          <w:tcPr>
            <w:tcW w:w="964" w:type="dxa"/>
            <w:tcBorders>
              <w:left w:val="nil"/>
              <w:bottom w:val="nil"/>
              <w:right w:val="nil"/>
            </w:tcBorders>
          </w:tcPr>
          <w:p w14:paraId="4B1F950B"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.000</w:t>
            </w:r>
            <w:r w:rsidRPr="00610A7C">
              <w:rPr>
                <w:rFonts w:ascii="Arial" w:hAnsi="Arial" w:cs="Arial"/>
                <w:sz w:val="20"/>
                <w:szCs w:val="20"/>
                <w:vertAlign w:val="superscript"/>
              </w:rPr>
              <w:t>b</w:t>
            </w:r>
          </w:p>
        </w:tc>
      </w:tr>
      <w:tr w:rsidR="00610A7C" w:rsidRPr="00610A7C" w14:paraId="17D00230" w14:textId="77777777" w:rsidTr="00E55377">
        <w:tc>
          <w:tcPr>
            <w:tcW w:w="559" w:type="dxa"/>
            <w:vMerge/>
            <w:tcBorders>
              <w:left w:val="nil"/>
            </w:tcBorders>
          </w:tcPr>
          <w:p w14:paraId="10094D0B" w14:textId="77777777" w:rsidR="00610A7C" w:rsidRPr="00610A7C" w:rsidRDefault="00610A7C" w:rsidP="00610A7C">
            <w:pPr>
              <w:autoSpaceDE w:val="0"/>
              <w:autoSpaceDN w:val="0"/>
              <w:adjustRightInd w:val="0"/>
              <w:jc w:val="both"/>
              <w:rPr>
                <w:rFonts w:ascii="Arial" w:hAnsi="Arial" w:cs="Arial"/>
                <w:sz w:val="20"/>
                <w:szCs w:val="20"/>
              </w:rPr>
            </w:pPr>
          </w:p>
        </w:tc>
        <w:tc>
          <w:tcPr>
            <w:tcW w:w="1537" w:type="dxa"/>
            <w:tcBorders>
              <w:top w:val="nil"/>
              <w:bottom w:val="nil"/>
              <w:right w:val="nil"/>
            </w:tcBorders>
          </w:tcPr>
          <w:p w14:paraId="4FDD61FB"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Residual</w:t>
            </w:r>
          </w:p>
        </w:tc>
        <w:tc>
          <w:tcPr>
            <w:tcW w:w="1394" w:type="dxa"/>
            <w:tcBorders>
              <w:top w:val="nil"/>
              <w:left w:val="nil"/>
              <w:bottom w:val="nil"/>
              <w:right w:val="nil"/>
            </w:tcBorders>
          </w:tcPr>
          <w:p w14:paraId="7B04C2DB"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777.091</w:t>
            </w:r>
          </w:p>
        </w:tc>
        <w:tc>
          <w:tcPr>
            <w:tcW w:w="576" w:type="dxa"/>
            <w:tcBorders>
              <w:top w:val="nil"/>
              <w:left w:val="nil"/>
              <w:bottom w:val="nil"/>
              <w:right w:val="nil"/>
            </w:tcBorders>
          </w:tcPr>
          <w:p w14:paraId="00B44240"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97</w:t>
            </w:r>
          </w:p>
        </w:tc>
        <w:tc>
          <w:tcPr>
            <w:tcW w:w="1637" w:type="dxa"/>
            <w:tcBorders>
              <w:top w:val="nil"/>
              <w:left w:val="nil"/>
              <w:bottom w:val="nil"/>
              <w:right w:val="nil"/>
            </w:tcBorders>
          </w:tcPr>
          <w:p w14:paraId="1E5E39F0"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8.095</w:t>
            </w:r>
          </w:p>
        </w:tc>
        <w:tc>
          <w:tcPr>
            <w:tcW w:w="844" w:type="dxa"/>
            <w:tcBorders>
              <w:top w:val="nil"/>
              <w:left w:val="nil"/>
              <w:bottom w:val="nil"/>
              <w:right w:val="nil"/>
            </w:tcBorders>
          </w:tcPr>
          <w:p w14:paraId="1FE177DE" w14:textId="77777777" w:rsidR="00610A7C" w:rsidRPr="00610A7C" w:rsidRDefault="00610A7C" w:rsidP="00610A7C">
            <w:pPr>
              <w:autoSpaceDE w:val="0"/>
              <w:autoSpaceDN w:val="0"/>
              <w:adjustRightInd w:val="0"/>
              <w:jc w:val="right"/>
              <w:rPr>
                <w:rFonts w:ascii="Arial" w:hAnsi="Arial" w:cs="Arial"/>
                <w:sz w:val="20"/>
                <w:szCs w:val="20"/>
              </w:rPr>
            </w:pPr>
          </w:p>
        </w:tc>
        <w:tc>
          <w:tcPr>
            <w:tcW w:w="964" w:type="dxa"/>
            <w:tcBorders>
              <w:top w:val="nil"/>
              <w:left w:val="nil"/>
              <w:bottom w:val="nil"/>
              <w:right w:val="nil"/>
            </w:tcBorders>
          </w:tcPr>
          <w:p w14:paraId="27C05029" w14:textId="77777777" w:rsidR="00610A7C" w:rsidRPr="00610A7C" w:rsidRDefault="00610A7C" w:rsidP="00610A7C">
            <w:pPr>
              <w:autoSpaceDE w:val="0"/>
              <w:autoSpaceDN w:val="0"/>
              <w:adjustRightInd w:val="0"/>
              <w:jc w:val="right"/>
              <w:rPr>
                <w:rFonts w:ascii="Arial" w:hAnsi="Arial" w:cs="Arial"/>
                <w:sz w:val="20"/>
                <w:szCs w:val="20"/>
              </w:rPr>
            </w:pPr>
          </w:p>
        </w:tc>
      </w:tr>
      <w:tr w:rsidR="00610A7C" w:rsidRPr="00610A7C" w14:paraId="25402593" w14:textId="77777777" w:rsidTr="00E55377">
        <w:tc>
          <w:tcPr>
            <w:tcW w:w="559" w:type="dxa"/>
            <w:vMerge/>
            <w:tcBorders>
              <w:left w:val="nil"/>
            </w:tcBorders>
          </w:tcPr>
          <w:p w14:paraId="21F099A2" w14:textId="77777777" w:rsidR="00610A7C" w:rsidRPr="00610A7C" w:rsidRDefault="00610A7C" w:rsidP="00610A7C">
            <w:pPr>
              <w:autoSpaceDE w:val="0"/>
              <w:autoSpaceDN w:val="0"/>
              <w:adjustRightInd w:val="0"/>
              <w:jc w:val="both"/>
              <w:rPr>
                <w:rFonts w:ascii="Arial" w:hAnsi="Arial" w:cs="Arial"/>
                <w:sz w:val="20"/>
                <w:szCs w:val="20"/>
              </w:rPr>
            </w:pPr>
          </w:p>
        </w:tc>
        <w:tc>
          <w:tcPr>
            <w:tcW w:w="1537" w:type="dxa"/>
            <w:tcBorders>
              <w:top w:val="nil"/>
              <w:right w:val="nil"/>
            </w:tcBorders>
          </w:tcPr>
          <w:p w14:paraId="2642A1CD"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Total</w:t>
            </w:r>
          </w:p>
        </w:tc>
        <w:tc>
          <w:tcPr>
            <w:tcW w:w="1394" w:type="dxa"/>
            <w:tcBorders>
              <w:top w:val="nil"/>
              <w:left w:val="nil"/>
              <w:right w:val="nil"/>
            </w:tcBorders>
          </w:tcPr>
          <w:p w14:paraId="6545EB4F"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1275.685</w:t>
            </w:r>
          </w:p>
        </w:tc>
        <w:tc>
          <w:tcPr>
            <w:tcW w:w="576" w:type="dxa"/>
            <w:tcBorders>
              <w:top w:val="nil"/>
              <w:left w:val="nil"/>
              <w:right w:val="nil"/>
            </w:tcBorders>
          </w:tcPr>
          <w:p w14:paraId="46610FE0"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104</w:t>
            </w:r>
          </w:p>
        </w:tc>
        <w:tc>
          <w:tcPr>
            <w:tcW w:w="1637" w:type="dxa"/>
            <w:tcBorders>
              <w:top w:val="nil"/>
              <w:left w:val="nil"/>
              <w:right w:val="nil"/>
            </w:tcBorders>
          </w:tcPr>
          <w:p w14:paraId="14AAE230" w14:textId="77777777" w:rsidR="00610A7C" w:rsidRPr="00610A7C" w:rsidRDefault="00610A7C" w:rsidP="00610A7C">
            <w:pPr>
              <w:autoSpaceDE w:val="0"/>
              <w:autoSpaceDN w:val="0"/>
              <w:adjustRightInd w:val="0"/>
              <w:jc w:val="right"/>
              <w:rPr>
                <w:rFonts w:ascii="Arial" w:hAnsi="Arial" w:cs="Arial"/>
                <w:sz w:val="20"/>
                <w:szCs w:val="20"/>
              </w:rPr>
            </w:pPr>
          </w:p>
        </w:tc>
        <w:tc>
          <w:tcPr>
            <w:tcW w:w="844" w:type="dxa"/>
            <w:tcBorders>
              <w:top w:val="nil"/>
              <w:left w:val="nil"/>
              <w:right w:val="nil"/>
            </w:tcBorders>
          </w:tcPr>
          <w:p w14:paraId="7AB40ECB" w14:textId="77777777" w:rsidR="00610A7C" w:rsidRPr="00610A7C" w:rsidRDefault="00610A7C" w:rsidP="00610A7C">
            <w:pPr>
              <w:autoSpaceDE w:val="0"/>
              <w:autoSpaceDN w:val="0"/>
              <w:adjustRightInd w:val="0"/>
              <w:jc w:val="right"/>
              <w:rPr>
                <w:rFonts w:ascii="Arial" w:hAnsi="Arial" w:cs="Arial"/>
                <w:sz w:val="20"/>
                <w:szCs w:val="20"/>
              </w:rPr>
            </w:pPr>
          </w:p>
        </w:tc>
        <w:tc>
          <w:tcPr>
            <w:tcW w:w="964" w:type="dxa"/>
            <w:tcBorders>
              <w:top w:val="nil"/>
              <w:left w:val="nil"/>
              <w:right w:val="nil"/>
            </w:tcBorders>
          </w:tcPr>
          <w:p w14:paraId="68A88D43" w14:textId="77777777" w:rsidR="00610A7C" w:rsidRPr="00610A7C" w:rsidRDefault="00610A7C" w:rsidP="00610A7C">
            <w:pPr>
              <w:autoSpaceDE w:val="0"/>
              <w:autoSpaceDN w:val="0"/>
              <w:adjustRightInd w:val="0"/>
              <w:jc w:val="right"/>
              <w:rPr>
                <w:rFonts w:ascii="Arial" w:hAnsi="Arial" w:cs="Arial"/>
                <w:sz w:val="20"/>
                <w:szCs w:val="20"/>
              </w:rPr>
            </w:pPr>
          </w:p>
        </w:tc>
      </w:tr>
      <w:bookmarkEnd w:id="5"/>
    </w:tbl>
    <w:p w14:paraId="6542E1D8" w14:textId="77777777" w:rsidR="00FE25CD" w:rsidRDefault="00FE25CD" w:rsidP="00A5232F">
      <w:pPr>
        <w:pStyle w:val="Body"/>
        <w:spacing w:after="0"/>
        <w:rPr>
          <w:rFonts w:ascii="Arial" w:hAnsi="Arial" w:cs="Arial"/>
        </w:rPr>
      </w:pPr>
    </w:p>
    <w:p w14:paraId="24E64658" w14:textId="0D0072DB" w:rsidR="00A5232F" w:rsidRPr="00A5232F" w:rsidRDefault="00A5232F" w:rsidP="00A5232F">
      <w:pPr>
        <w:pStyle w:val="Body"/>
        <w:spacing w:after="0"/>
        <w:rPr>
          <w:rFonts w:ascii="Arial" w:hAnsi="Arial" w:cs="Arial"/>
        </w:rPr>
      </w:pPr>
      <w:r w:rsidRPr="00A5232F">
        <w:rPr>
          <w:rFonts w:ascii="Arial" w:hAnsi="Arial" w:cs="Arial"/>
        </w:rPr>
        <w:t>The effect of all independent variables simultaneously on the dependent variable was tested using the F test. The calculation results showed a significant value of 0.000, which is smaller than the tolerance limit of 0.05. Thus, it can be concluded that the independent variables collectively have a significant effect on company value.</w:t>
      </w:r>
    </w:p>
    <w:p w14:paraId="7D274B40" w14:textId="77777777" w:rsidR="00FE25CD" w:rsidRDefault="00FE25CD" w:rsidP="00441B6F">
      <w:pPr>
        <w:pStyle w:val="Body"/>
        <w:spacing w:after="0"/>
        <w:rPr>
          <w:rFonts w:ascii="Arial" w:hAnsi="Arial" w:cs="Arial"/>
        </w:rPr>
      </w:pPr>
    </w:p>
    <w:p w14:paraId="6B477371" w14:textId="77777777" w:rsidR="00FE25CD" w:rsidRDefault="00FE25CD" w:rsidP="00E208CC">
      <w:pPr>
        <w:pStyle w:val="Body"/>
        <w:spacing w:after="0" w:line="276" w:lineRule="auto"/>
        <w:rPr>
          <w:rFonts w:ascii="Arial" w:hAnsi="Arial" w:cs="Arial"/>
          <w:b/>
          <w:bCs/>
          <w:sz w:val="22"/>
          <w:szCs w:val="22"/>
        </w:rPr>
      </w:pPr>
    </w:p>
    <w:p w14:paraId="2B20D42A" w14:textId="7AF38522" w:rsidR="00A5232F" w:rsidRDefault="003730CB" w:rsidP="00E208CC">
      <w:pPr>
        <w:pStyle w:val="Body"/>
        <w:spacing w:after="0" w:line="276" w:lineRule="auto"/>
        <w:rPr>
          <w:rFonts w:ascii="Arial" w:hAnsi="Arial" w:cs="Arial"/>
          <w:b/>
          <w:bCs/>
          <w:sz w:val="22"/>
          <w:szCs w:val="22"/>
        </w:rPr>
      </w:pPr>
      <w:r>
        <w:rPr>
          <w:rFonts w:ascii="Arial" w:hAnsi="Arial" w:cs="Arial"/>
          <w:b/>
          <w:bCs/>
          <w:sz w:val="22"/>
          <w:szCs w:val="22"/>
        </w:rPr>
        <w:t xml:space="preserve">3.7 </w:t>
      </w:r>
      <w:r w:rsidR="00A5232F" w:rsidRPr="003730CB">
        <w:rPr>
          <w:rFonts w:ascii="Arial" w:hAnsi="Arial" w:cs="Arial"/>
          <w:b/>
          <w:bCs/>
          <w:sz w:val="22"/>
          <w:szCs w:val="22"/>
        </w:rPr>
        <w:t>Determinants coefficients analysis</w:t>
      </w:r>
    </w:p>
    <w:p w14:paraId="3189F759" w14:textId="54C485B5" w:rsidR="00E208CC" w:rsidRPr="00E208CC" w:rsidRDefault="00E208CC" w:rsidP="00E208CC">
      <w:pPr>
        <w:pStyle w:val="Body"/>
        <w:spacing w:after="0" w:line="276" w:lineRule="auto"/>
        <w:jc w:val="center"/>
        <w:rPr>
          <w:rFonts w:ascii="Arial" w:hAnsi="Arial" w:cs="Arial"/>
          <w:b/>
          <w:bCs/>
        </w:rPr>
      </w:pPr>
      <w:r w:rsidRPr="00E208CC">
        <w:rPr>
          <w:rFonts w:ascii="Arial" w:hAnsi="Arial" w:cs="Arial"/>
          <w:b/>
          <w:bCs/>
        </w:rPr>
        <w:t>Tabel 10. Determination Coefficient Test Results</w:t>
      </w:r>
    </w:p>
    <w:tbl>
      <w:tblPr>
        <w:tblStyle w:val="TableGrid"/>
        <w:tblW w:w="6702" w:type="dxa"/>
        <w:tblInd w:w="1252" w:type="dxa"/>
        <w:tblLook w:val="04A0" w:firstRow="1" w:lastRow="0" w:firstColumn="1" w:lastColumn="0" w:noHBand="0" w:noVBand="1"/>
      </w:tblPr>
      <w:tblGrid>
        <w:gridCol w:w="844"/>
        <w:gridCol w:w="857"/>
        <w:gridCol w:w="1741"/>
        <w:gridCol w:w="1559"/>
        <w:gridCol w:w="1701"/>
      </w:tblGrid>
      <w:tr w:rsidR="00610A7C" w:rsidRPr="00610A7C" w14:paraId="62294CC6" w14:textId="77777777" w:rsidTr="00E55377">
        <w:tc>
          <w:tcPr>
            <w:tcW w:w="844" w:type="dxa"/>
            <w:tcBorders>
              <w:left w:val="nil"/>
              <w:bottom w:val="single" w:sz="4" w:space="0" w:color="auto"/>
            </w:tcBorders>
          </w:tcPr>
          <w:p w14:paraId="7F542D5E" w14:textId="77777777" w:rsidR="00610A7C" w:rsidRPr="00610A7C" w:rsidRDefault="00610A7C" w:rsidP="00610A7C">
            <w:pPr>
              <w:autoSpaceDE w:val="0"/>
              <w:autoSpaceDN w:val="0"/>
              <w:adjustRightInd w:val="0"/>
              <w:jc w:val="right"/>
              <w:rPr>
                <w:rFonts w:ascii="Arial" w:hAnsi="Arial" w:cs="Arial"/>
                <w:sz w:val="20"/>
                <w:szCs w:val="20"/>
              </w:rPr>
            </w:pPr>
            <w:bookmarkStart w:id="6" w:name="_Hlk209222494"/>
            <w:r w:rsidRPr="00610A7C">
              <w:rPr>
                <w:rFonts w:ascii="Arial" w:hAnsi="Arial" w:cs="Arial"/>
                <w:sz w:val="20"/>
                <w:szCs w:val="20"/>
              </w:rPr>
              <w:t>Model</w:t>
            </w:r>
          </w:p>
        </w:tc>
        <w:tc>
          <w:tcPr>
            <w:tcW w:w="857" w:type="dxa"/>
            <w:tcBorders>
              <w:left w:val="nil"/>
              <w:bottom w:val="single" w:sz="4" w:space="0" w:color="auto"/>
              <w:right w:val="nil"/>
            </w:tcBorders>
          </w:tcPr>
          <w:p w14:paraId="5B5D5DAB"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R</w:t>
            </w:r>
          </w:p>
        </w:tc>
        <w:tc>
          <w:tcPr>
            <w:tcW w:w="1741" w:type="dxa"/>
            <w:tcBorders>
              <w:left w:val="nil"/>
              <w:bottom w:val="single" w:sz="4" w:space="0" w:color="auto"/>
              <w:right w:val="nil"/>
            </w:tcBorders>
          </w:tcPr>
          <w:p w14:paraId="27DF3FF7"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R Square</w:t>
            </w:r>
          </w:p>
        </w:tc>
        <w:tc>
          <w:tcPr>
            <w:tcW w:w="1559" w:type="dxa"/>
            <w:tcBorders>
              <w:left w:val="nil"/>
              <w:bottom w:val="single" w:sz="4" w:space="0" w:color="auto"/>
              <w:right w:val="nil"/>
            </w:tcBorders>
          </w:tcPr>
          <w:p w14:paraId="3AA5AE36"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Adjusted R Square</w:t>
            </w:r>
          </w:p>
        </w:tc>
        <w:tc>
          <w:tcPr>
            <w:tcW w:w="1701" w:type="dxa"/>
            <w:tcBorders>
              <w:left w:val="nil"/>
              <w:bottom w:val="single" w:sz="4" w:space="0" w:color="auto"/>
              <w:right w:val="nil"/>
            </w:tcBorders>
          </w:tcPr>
          <w:p w14:paraId="01193266"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 xml:space="preserve">Std. Error of </w:t>
            </w:r>
          </w:p>
          <w:p w14:paraId="3EAF324B"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the Estimate</w:t>
            </w:r>
          </w:p>
        </w:tc>
      </w:tr>
      <w:tr w:rsidR="00610A7C" w:rsidRPr="00610A7C" w14:paraId="64ED582C" w14:textId="77777777" w:rsidTr="00E55377">
        <w:tc>
          <w:tcPr>
            <w:tcW w:w="844" w:type="dxa"/>
            <w:tcBorders>
              <w:top w:val="single" w:sz="4" w:space="0" w:color="auto"/>
              <w:left w:val="nil"/>
            </w:tcBorders>
          </w:tcPr>
          <w:p w14:paraId="657331F4" w14:textId="77777777" w:rsidR="00610A7C" w:rsidRPr="00610A7C" w:rsidRDefault="00610A7C" w:rsidP="00610A7C">
            <w:pPr>
              <w:autoSpaceDE w:val="0"/>
              <w:autoSpaceDN w:val="0"/>
              <w:adjustRightInd w:val="0"/>
              <w:jc w:val="both"/>
              <w:rPr>
                <w:rFonts w:ascii="Arial" w:hAnsi="Arial" w:cs="Arial"/>
                <w:sz w:val="20"/>
                <w:szCs w:val="20"/>
              </w:rPr>
            </w:pPr>
            <w:r w:rsidRPr="00610A7C">
              <w:rPr>
                <w:rFonts w:ascii="Arial" w:hAnsi="Arial" w:cs="Arial"/>
                <w:sz w:val="20"/>
                <w:szCs w:val="20"/>
              </w:rPr>
              <w:t>1</w:t>
            </w:r>
          </w:p>
        </w:tc>
        <w:tc>
          <w:tcPr>
            <w:tcW w:w="857" w:type="dxa"/>
            <w:tcBorders>
              <w:top w:val="single" w:sz="4" w:space="0" w:color="auto"/>
              <w:left w:val="nil"/>
              <w:right w:val="nil"/>
            </w:tcBorders>
          </w:tcPr>
          <w:p w14:paraId="0F50384F" w14:textId="77777777" w:rsidR="00610A7C" w:rsidRPr="00610A7C" w:rsidRDefault="00610A7C" w:rsidP="00610A7C">
            <w:pPr>
              <w:autoSpaceDE w:val="0"/>
              <w:autoSpaceDN w:val="0"/>
              <w:adjustRightInd w:val="0"/>
              <w:jc w:val="right"/>
              <w:rPr>
                <w:rFonts w:ascii="Arial" w:hAnsi="Arial" w:cs="Arial"/>
                <w:sz w:val="20"/>
                <w:szCs w:val="20"/>
                <w:vertAlign w:val="superscript"/>
              </w:rPr>
            </w:pPr>
            <w:r w:rsidRPr="00610A7C">
              <w:rPr>
                <w:rFonts w:ascii="Arial" w:hAnsi="Arial" w:cs="Arial"/>
                <w:sz w:val="20"/>
                <w:szCs w:val="20"/>
              </w:rPr>
              <w:t>,625</w:t>
            </w:r>
            <w:r w:rsidRPr="00610A7C">
              <w:rPr>
                <w:rFonts w:ascii="Arial" w:hAnsi="Arial" w:cs="Arial"/>
                <w:sz w:val="20"/>
                <w:szCs w:val="20"/>
                <w:vertAlign w:val="superscript"/>
              </w:rPr>
              <w:t>a</w:t>
            </w:r>
          </w:p>
        </w:tc>
        <w:tc>
          <w:tcPr>
            <w:tcW w:w="1741" w:type="dxa"/>
            <w:tcBorders>
              <w:top w:val="single" w:sz="4" w:space="0" w:color="auto"/>
              <w:left w:val="nil"/>
              <w:right w:val="nil"/>
            </w:tcBorders>
          </w:tcPr>
          <w:p w14:paraId="138CD9F0"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O,391</w:t>
            </w:r>
          </w:p>
        </w:tc>
        <w:tc>
          <w:tcPr>
            <w:tcW w:w="1559" w:type="dxa"/>
            <w:tcBorders>
              <w:top w:val="single" w:sz="4" w:space="0" w:color="auto"/>
              <w:left w:val="nil"/>
              <w:right w:val="nil"/>
            </w:tcBorders>
          </w:tcPr>
          <w:p w14:paraId="1D91783F"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0,346</w:t>
            </w:r>
          </w:p>
        </w:tc>
        <w:tc>
          <w:tcPr>
            <w:tcW w:w="1701" w:type="dxa"/>
            <w:tcBorders>
              <w:top w:val="single" w:sz="4" w:space="0" w:color="auto"/>
              <w:left w:val="nil"/>
              <w:right w:val="nil"/>
            </w:tcBorders>
          </w:tcPr>
          <w:p w14:paraId="70BEDB3B" w14:textId="77777777" w:rsidR="00610A7C" w:rsidRPr="00610A7C" w:rsidRDefault="00610A7C" w:rsidP="00610A7C">
            <w:pPr>
              <w:autoSpaceDE w:val="0"/>
              <w:autoSpaceDN w:val="0"/>
              <w:adjustRightInd w:val="0"/>
              <w:jc w:val="right"/>
              <w:rPr>
                <w:rFonts w:ascii="Arial" w:hAnsi="Arial" w:cs="Arial"/>
                <w:sz w:val="20"/>
                <w:szCs w:val="20"/>
              </w:rPr>
            </w:pPr>
            <w:r w:rsidRPr="00610A7C">
              <w:rPr>
                <w:rFonts w:ascii="Arial" w:hAnsi="Arial" w:cs="Arial"/>
                <w:sz w:val="20"/>
                <w:szCs w:val="20"/>
              </w:rPr>
              <w:t>2,84512</w:t>
            </w:r>
          </w:p>
        </w:tc>
      </w:tr>
      <w:bookmarkEnd w:id="6"/>
    </w:tbl>
    <w:p w14:paraId="0707DF58" w14:textId="77777777" w:rsidR="00610A7C" w:rsidRPr="00A5232F" w:rsidRDefault="00610A7C" w:rsidP="00A5232F">
      <w:pPr>
        <w:pStyle w:val="Body"/>
        <w:spacing w:after="0"/>
        <w:rPr>
          <w:rFonts w:ascii="Arial" w:hAnsi="Arial" w:cs="Arial"/>
          <w:b/>
          <w:bCs/>
          <w:sz w:val="22"/>
          <w:szCs w:val="22"/>
        </w:rPr>
      </w:pPr>
    </w:p>
    <w:p w14:paraId="257819AA" w14:textId="77777777" w:rsidR="00A5232F" w:rsidRPr="00A5232F" w:rsidRDefault="00A5232F" w:rsidP="00A5232F">
      <w:pPr>
        <w:pStyle w:val="Body"/>
        <w:spacing w:after="0"/>
        <w:rPr>
          <w:rFonts w:ascii="Arial" w:hAnsi="Arial" w:cs="Arial"/>
        </w:rPr>
      </w:pPr>
      <w:r w:rsidRPr="00A5232F">
        <w:rPr>
          <w:rFonts w:ascii="Arial" w:hAnsi="Arial" w:cs="Arial"/>
        </w:rPr>
        <w:lastRenderedPageBreak/>
        <w:t>Based on the table above, the multiple correlation coefficient (R) value of 0.625 indicates a strong relationship between the independent variables, namely Investment Decisions, Dividend Policy, Sales Growth, and Capital Structure as moderators of the dependent variable, Company Value. Meanwhile, the Adjusted R Square value of 0.346 identifies that approximately 34% of the variation in company value can be explained by the model through these variables.</w:t>
      </w:r>
    </w:p>
    <w:p w14:paraId="0C0A1E33" w14:textId="77777777" w:rsidR="0073377E" w:rsidRDefault="0073377E" w:rsidP="00441B6F">
      <w:pPr>
        <w:pStyle w:val="Body"/>
        <w:spacing w:after="0"/>
        <w:rPr>
          <w:rFonts w:ascii="Arial" w:hAnsi="Arial" w:cs="Arial"/>
          <w:b/>
          <w:bCs/>
        </w:rPr>
      </w:pPr>
    </w:p>
    <w:p w14:paraId="52ED204F" w14:textId="6FCED499" w:rsidR="00A5232F" w:rsidRPr="00A5232F" w:rsidRDefault="003730CB" w:rsidP="00A5232F">
      <w:pPr>
        <w:pStyle w:val="Body"/>
        <w:spacing w:after="0"/>
        <w:rPr>
          <w:rFonts w:ascii="Arial" w:hAnsi="Arial" w:cs="Arial"/>
          <w:b/>
          <w:bCs/>
          <w:sz w:val="22"/>
          <w:szCs w:val="22"/>
        </w:rPr>
      </w:pPr>
      <w:r w:rsidRPr="003730CB">
        <w:rPr>
          <w:rFonts w:ascii="Arial" w:hAnsi="Arial" w:cs="Arial"/>
          <w:b/>
          <w:bCs/>
          <w:sz w:val="22"/>
          <w:szCs w:val="22"/>
        </w:rPr>
        <w:t xml:space="preserve">3.8 </w:t>
      </w:r>
      <w:r w:rsidR="00A5232F" w:rsidRPr="00A5232F">
        <w:rPr>
          <w:rFonts w:ascii="Arial" w:hAnsi="Arial" w:cs="Arial"/>
          <w:b/>
          <w:bCs/>
          <w:sz w:val="22"/>
          <w:szCs w:val="22"/>
        </w:rPr>
        <w:t xml:space="preserve">Discussion </w:t>
      </w:r>
    </w:p>
    <w:p w14:paraId="6DFD655E" w14:textId="66A225B4" w:rsidR="00A5232F" w:rsidRPr="00A5232F" w:rsidRDefault="003730CB" w:rsidP="00A5232F">
      <w:pPr>
        <w:pStyle w:val="Body"/>
        <w:spacing w:after="0"/>
        <w:rPr>
          <w:rFonts w:ascii="Arial" w:hAnsi="Arial" w:cs="Arial"/>
          <w:b/>
          <w:bCs/>
        </w:rPr>
      </w:pPr>
      <w:r>
        <w:rPr>
          <w:rFonts w:ascii="Arial" w:hAnsi="Arial" w:cs="Arial"/>
          <w:b/>
          <w:bCs/>
        </w:rPr>
        <w:t xml:space="preserve">3.8.1 </w:t>
      </w:r>
      <w:r w:rsidR="00A5232F" w:rsidRPr="00A5232F">
        <w:rPr>
          <w:rFonts w:ascii="Arial" w:hAnsi="Arial" w:cs="Arial"/>
          <w:b/>
          <w:bCs/>
        </w:rPr>
        <w:t>The Effect of Investment Decisions on Company Value</w:t>
      </w:r>
    </w:p>
    <w:p w14:paraId="2D26ABDB" w14:textId="7E69F536" w:rsidR="00A5232F" w:rsidRPr="00A5232F" w:rsidRDefault="00A5232F" w:rsidP="00A5232F">
      <w:pPr>
        <w:pStyle w:val="Body"/>
        <w:spacing w:after="0"/>
        <w:rPr>
          <w:rFonts w:ascii="Arial" w:hAnsi="Arial" w:cs="Arial"/>
        </w:rPr>
      </w:pPr>
      <w:r w:rsidRPr="00A5232F">
        <w:rPr>
          <w:rFonts w:ascii="Arial" w:hAnsi="Arial" w:cs="Arial"/>
        </w:rPr>
        <w:t xml:space="preserve">Investment decisions can make an important contribution to increasing company value. Appropriate investments demonstrate management's ability to utilize resources effectively to generate future profits. The greater the potential returns from an investment, the higher the confidence of investors in investing their capital, which can drive up stock prices and increase company value. According to signaling theory (Spence, 1973), investment decisions send a positive signal about the company's growth prospects that is captured by the market. Based on the analysis results, it was found that investment decisions (CPA/BVA) have a positive effect on company value (PBV) with a coefficient value of 2.345 and a significance value of 0.052, which is greater than 0.05, indicating that the effect is not significant, meaning that the signal is not yet fully convincing to investors. This finding is in line with the results of studies by </w:t>
      </w:r>
      <w:r w:rsidR="00C549D9">
        <w:rPr>
          <w:rFonts w:ascii="Arial" w:hAnsi="Arial" w:cs="Arial"/>
        </w:rPr>
        <w:fldChar w:fldCharType="begin" w:fldLock="1"/>
      </w:r>
      <w:r w:rsidR="00C549D9">
        <w:rPr>
          <w:rFonts w:ascii="Arial" w:hAnsi="Arial" w:cs="Arial"/>
        </w:rPr>
        <w:instrText>ADDIN CSL_CITATION {"citationItems":[{"id":"ITEM-1","itemData":{"DOI":"10.37641/jimkes.v10i2.1437","ISSN":"2337-7860","abstract":"This study aims to determine the effect of capital structure and investment decisions through profitability on firm value in food and beverage companies on the Indonesia Stock Exchange for the period 2018-2020. The research sample consisted of 10 food and beverage companies listed on the Indonesia Stock Exchange and selected by purposive sampling. The research data is secondary data obtained from the Indonesia Capital Market Directory (ICMD) in 2018-2020.\r Analysis of the data used is a path analysis technique to see the effect of capital structure and investment decisions through profitability on firm value.\r The results showed that the capital structure had no effect on profitability; Investment decisions affect profitability; Capital structure has an effect on firm value; Investment decisions have no effect on firm value; Profitability has an effect on firm value; Capital structure, investment decisions, profitability have a simultaneous effect on firm value.\r  \r Keywords: Capital Structure, Investment Decision, Profitability, Firm Value.","author":[{"dropping-particle":"","family":"Putri","given":"Tithania Charisma","non-dropping-particle":"","parse-names":false,"suffix":""},{"dropping-particle":"","family":"Puspitasari","given":"Ratih","non-dropping-particle":"","parse-names":false,"suffix":""}],"container-title":"Jurnal Ilmiah Manajemen Kesatuan","id":"ITEM-1","issue":"2","issued":{"date-parts":[["2022"]]},"page":"255-272","title":"Pengaruh Struktur Modal, Keputusan Investasi, Profitabilitas Sebagai Variabel Intervening Terhadap Nilai Perusahaan","type":"article-journal","volume":"10"},"uris":["http://www.mendeley.com/documents/?uuid=2f7e10cd-c944-4b3a-b1f9-9fa0ea2ae6c6"]}],"mendeley":{"formattedCitation":"(Putri &amp; Puspitasari, 2022)","plainTextFormattedCitation":"(Putri &amp; Puspitasari, 2022)","previouslyFormattedCitation":"(Putri &amp; Puspitasari, 2022)"},"properties":{"noteIndex":0},"schema":"https://github.com/citation-style-language/schema/raw/master/csl-citation.json"}</w:instrText>
      </w:r>
      <w:r w:rsidR="00C549D9">
        <w:rPr>
          <w:rFonts w:ascii="Arial" w:hAnsi="Arial" w:cs="Arial"/>
        </w:rPr>
        <w:fldChar w:fldCharType="separate"/>
      </w:r>
      <w:r w:rsidR="00C549D9" w:rsidRPr="00C549D9">
        <w:rPr>
          <w:rFonts w:ascii="Arial" w:hAnsi="Arial" w:cs="Arial"/>
          <w:noProof/>
        </w:rPr>
        <w:t>(Putri &amp; Puspitasari, 2022)</w:t>
      </w:r>
      <w:r w:rsidR="00C549D9">
        <w:rPr>
          <w:rFonts w:ascii="Arial" w:hAnsi="Arial" w:cs="Arial"/>
        </w:rPr>
        <w:fldChar w:fldCharType="end"/>
      </w:r>
      <w:r w:rsidR="00C549D9">
        <w:rPr>
          <w:rFonts w:ascii="Arial" w:hAnsi="Arial" w:cs="Arial"/>
        </w:rPr>
        <w:t xml:space="preserve"> and </w:t>
      </w:r>
      <w:r w:rsidR="00C549D9">
        <w:rPr>
          <w:rFonts w:ascii="Arial" w:hAnsi="Arial" w:cs="Arial"/>
        </w:rPr>
        <w:fldChar w:fldCharType="begin" w:fldLock="1"/>
      </w:r>
      <w:r w:rsidR="00C549D9">
        <w:rPr>
          <w:rFonts w:ascii="Arial" w:hAnsi="Arial" w:cs="Arial"/>
        </w:rPr>
        <w:instrText>ADDIN CSL_CITATION {"citationItems":[{"id":"ITEM-1","itemData":{"DOI":"10.33395/owner.v6i2.785","ISSN":"2548-7507","abstract":"The purpose of this study is to determine the influence of company size, profitability, and investment decisions on the value of the company by presenting the capital structure as a moderation variable. This study used the population of food and beverage sub-sector manufacturing companies listed on the Indonesia Stock Exchange in 2017-2019. Sampling techniques using Purposive Sampling techniques using the criteria of food and beverage sub-sector manufacturing companies listed consecutively on the Indonesia Stock Exchange from the period from 2017-2019 so that as many as 24 samples of companies with the number of analysis units as many as 72. The method used in this study is regression moderation analysis with interaction tests. Secondary data in the form of financial statements used in this study. The IBM SPSS Statistics 21 application is used as an analysis tool. Results from research show that the size of the company, and profitability have a significant effect on the value of the company. Investment decisions have no significant effect on the value of the company. The capital structure is also unable to moderate significantly the influence of the size of the company on the value of the company. But the capital structure can significantly moderate profitability and investment decisions to the value of the company. Suggestions for researchers can further increase or replace the sample of companies in other sectors. In addition, it can also add other variables that can affect the value of the company, so it is expected that research into the value of the company continues to grow.","author":[{"dropping-particle":"","family":"Arsyada","given":"Adam Bangkit","non-dropping-particle":"","parse-names":false,"suffix":""},{"dropping-particle":"","family":"Sukirman","given":"Sukirman","non-dropping-particle":"","parse-names":false,"suffix":""},{"dropping-particle":"","family":"Wahyuningrum","given":"Indah Fajarini Sri","non-dropping-particle":"","parse-names":false,"suffix":""}],"container-title":"Owner","id":"ITEM-1","issue":"2","issued":{"date-parts":[["2022"]]},"page":"1648-1663","title":"Pengaruh Ukuran Perusahaan, Profitabilitas, Dan Keputusan Investasi Terhadap Nilai Perusahaan Dengan Struktur Modal Sebagai Variabel Moderating","type":"article-journal","volume":"6"},"uris":["http://www.mendeley.com/documents/?uuid=4eb8501a-90e0-4076-a10c-9d6645011e93"]}],"mendeley":{"formattedCitation":"(Arsyada et al., 2022)","plainTextFormattedCitation":"(Arsyada et al., 2022)","previouslyFormattedCitation":"(Arsyada et al., 2022)"},"properties":{"noteIndex":0},"schema":"https://github.com/citation-style-language/schema/raw/master/csl-citation.json"}</w:instrText>
      </w:r>
      <w:r w:rsidR="00C549D9">
        <w:rPr>
          <w:rFonts w:ascii="Arial" w:hAnsi="Arial" w:cs="Arial"/>
        </w:rPr>
        <w:fldChar w:fldCharType="separate"/>
      </w:r>
      <w:r w:rsidR="00C549D9" w:rsidRPr="00C549D9">
        <w:rPr>
          <w:rFonts w:ascii="Arial" w:hAnsi="Arial" w:cs="Arial"/>
          <w:noProof/>
        </w:rPr>
        <w:t>(Arsyada et al., 2022)</w:t>
      </w:r>
      <w:r w:rsidR="00C549D9">
        <w:rPr>
          <w:rFonts w:ascii="Arial" w:hAnsi="Arial" w:cs="Arial"/>
        </w:rPr>
        <w:fldChar w:fldCharType="end"/>
      </w:r>
      <w:r w:rsidR="00C549D9">
        <w:rPr>
          <w:rFonts w:ascii="Arial" w:hAnsi="Arial" w:cs="Arial"/>
        </w:rPr>
        <w:t xml:space="preserve">, </w:t>
      </w:r>
      <w:r w:rsidRPr="00A5232F">
        <w:rPr>
          <w:rFonts w:ascii="Arial" w:hAnsi="Arial" w:cs="Arial"/>
        </w:rPr>
        <w:t>which state that investment decisions do not always have a significant impact on company value because the benefits tend to be felt in the long term.</w:t>
      </w:r>
    </w:p>
    <w:p w14:paraId="3F9BA8D5" w14:textId="77777777" w:rsidR="00A5232F" w:rsidRPr="00A5232F" w:rsidRDefault="00A5232F" w:rsidP="00A5232F">
      <w:pPr>
        <w:pStyle w:val="Body"/>
        <w:spacing w:after="0"/>
        <w:rPr>
          <w:rFonts w:ascii="Arial" w:hAnsi="Arial" w:cs="Arial"/>
        </w:rPr>
      </w:pPr>
    </w:p>
    <w:p w14:paraId="377612A2" w14:textId="1ADED5BB" w:rsidR="00A5232F" w:rsidRPr="00A5232F" w:rsidRDefault="003730CB" w:rsidP="00A5232F">
      <w:pPr>
        <w:pStyle w:val="Body"/>
        <w:spacing w:after="0"/>
        <w:rPr>
          <w:rFonts w:ascii="Arial" w:hAnsi="Arial" w:cs="Arial"/>
          <w:b/>
          <w:bCs/>
        </w:rPr>
      </w:pPr>
      <w:r>
        <w:rPr>
          <w:rFonts w:ascii="Arial" w:hAnsi="Arial" w:cs="Arial"/>
          <w:b/>
          <w:bCs/>
        </w:rPr>
        <w:t xml:space="preserve">3.8.2 </w:t>
      </w:r>
      <w:r w:rsidR="00A5232F" w:rsidRPr="00A5232F">
        <w:rPr>
          <w:rFonts w:ascii="Arial" w:hAnsi="Arial" w:cs="Arial"/>
          <w:b/>
          <w:bCs/>
        </w:rPr>
        <w:t>The Effect of Dividend Policy on Company Value</w:t>
      </w:r>
    </w:p>
    <w:p w14:paraId="47B5975C" w14:textId="643C118C" w:rsidR="00A5232F" w:rsidRPr="00A5232F" w:rsidRDefault="00A5232F" w:rsidP="00A5232F">
      <w:pPr>
        <w:pStyle w:val="Body"/>
        <w:spacing w:after="0"/>
        <w:rPr>
          <w:rFonts w:ascii="Arial" w:hAnsi="Arial" w:cs="Arial"/>
        </w:rPr>
      </w:pPr>
      <w:r w:rsidRPr="00A5232F">
        <w:rPr>
          <w:rFonts w:ascii="Arial" w:hAnsi="Arial" w:cs="Arial"/>
        </w:rPr>
        <w:t xml:space="preserve">Dividend policy is a strategic decision made by a company in determining how much profit is distributed to shareholders. Stable dividends usually reflect healthy financial conditions and good company prospects, thus sending a positive signal to investors. According to signaling theory, dividend policy acts as a means of communication between management and the market regarding the stability and confidence in the company's sustainability. However, the results of this study show that dividend policy (DPR) has a negative effect on company value (PBV) with a coefficient value of -0.040 and a significance value of 0.000, which is less than 0.05, indicating that the effect is significant. This shows that dividend distribution alone is not enough to fully increase investor confidence, especially when it is not accompanied by strong financial performance. These findings are in line with the research by </w:t>
      </w:r>
      <w:r w:rsidR="00C549D9">
        <w:rPr>
          <w:rFonts w:ascii="Arial" w:hAnsi="Arial" w:cs="Arial"/>
        </w:rPr>
        <w:fldChar w:fldCharType="begin" w:fldLock="1"/>
      </w:r>
      <w:r w:rsidR="00C549D9">
        <w:rPr>
          <w:rFonts w:ascii="Arial" w:hAnsi="Arial" w:cs="Arial"/>
        </w:rPr>
        <w:instrText>ADDIN CSL_CITATION {"citationItems":[{"id":"ITEM-1","itemData":{"DOI":"10.37338/jaab.v3i1.71","ISSN":"2685-5569","abstract":"Penelitian ini bertujuan untuk mengetahui pengaruh: (1) Kebijakan dividen, (2) Keputusan Investasi, terhadap Nilai Perusahaan pada perusahaan sektor pertambangan yang terdaftar di Bursa Efek Indonesia. Periode penelitian yang digunakan adalah 2009-2018. Penelitian ini tergolong sebagai penelitian ex post facto, bersifat asosiatif kausal, dan pendekatan kuantitatif. Populasi dalam penelitian ini adalah perusahaan pertambangan yang terdaftar dalam Bursa Efek Indonesia (BEI) periode 2009-2018. Teknik pengambilan sampel menggunakan purposive sampling. Teknik analisis data menggunakan regresi linier berganda. Hasil penelitian menunjukkan bahwa: (1) Kebijakan dividen tidak berpengaruh terhadap Nilai Perusahaan dengan nilai koefisien regresi sebesar-0.626 dan tingkat signifikan 0,221. (2) Keputusan Investasi berpengaruh positif terhadap Nilai Perusahaan dengan nilai koefisien regresi sebesar 0.048 dan tingkat signifikan 0,038 (3) dan Kebijakan Dividen dan Keputusan Investasi tidak berpengaruh terhadap Nilai Perusahaan manufaktur yang perusahaan pertambangan yang terdaftar dalam Bursa Efek Indonesia (BEI) periode 2009-2018 dengan nilai F hitung sebesar 2,313 dan nilai signifikansi 0,108. Hasil uji adjusted R2 pada penelitian ini diperoleh nilai sebesar 0,075. Hal ini menunjukkan bahwa Nilai Perusahaan dipengaruhi oleh Keputusan Investasi, Keputusan Pendanaan, dan Kebijakan Dividen sebesar 7,5%, sedangkan sisanya sebesar92,5% dipengaruhi oleh faktor lain yang tidak diteliti dalam penelitian ini.","author":[{"dropping-particle":"","family":"Pramurza","given":"","non-dropping-particle":"","parse-names":false,"suffix":""}],"container-title":"Journal of Applied Accounting And Business","id":"ITEM-1","issue":"1","issued":{"date-parts":[["2021"]]},"page":"33-40","title":"Pengaruh Kebijakan Deviden Dan Keputusan Investasi Terhadap Nilai Perusahaan Pada Perusahaan Sektor Pertambangan Di Bursa Efek Indonesia Periode 2009-2018","type":"article-journal","volume":"3"},"uris":["http://www.mendeley.com/documents/?uuid=0d11b17a-4ec8-45d5-bb8d-980caee041b8"]}],"mendeley":{"formattedCitation":"(Pramurza, 2021)","plainTextFormattedCitation":"(Pramurza, 2021)","previouslyFormattedCitation":"(Pramurza, 2021)"},"properties":{"noteIndex":0},"schema":"https://github.com/citation-style-language/schema/raw/master/csl-citation.json"}</w:instrText>
      </w:r>
      <w:r w:rsidR="00C549D9">
        <w:rPr>
          <w:rFonts w:ascii="Arial" w:hAnsi="Arial" w:cs="Arial"/>
        </w:rPr>
        <w:fldChar w:fldCharType="separate"/>
      </w:r>
      <w:r w:rsidR="00C549D9" w:rsidRPr="00C549D9">
        <w:rPr>
          <w:rFonts w:ascii="Arial" w:hAnsi="Arial" w:cs="Arial"/>
          <w:noProof/>
        </w:rPr>
        <w:t>(Pramurza, 2021)</w:t>
      </w:r>
      <w:r w:rsidR="00C549D9">
        <w:rPr>
          <w:rFonts w:ascii="Arial" w:hAnsi="Arial" w:cs="Arial"/>
        </w:rPr>
        <w:fldChar w:fldCharType="end"/>
      </w:r>
      <w:r w:rsidR="00C549D9">
        <w:rPr>
          <w:rFonts w:ascii="Arial" w:hAnsi="Arial" w:cs="Arial"/>
        </w:rPr>
        <w:t xml:space="preserve"> and </w:t>
      </w:r>
      <w:r w:rsidR="00C549D9">
        <w:rPr>
          <w:rFonts w:ascii="Arial" w:hAnsi="Arial" w:cs="Arial"/>
        </w:rPr>
        <w:fldChar w:fldCharType="begin" w:fldLock="1"/>
      </w:r>
      <w:r w:rsidR="00C549D9">
        <w:rPr>
          <w:rFonts w:ascii="Arial" w:hAnsi="Arial" w:cs="Arial"/>
        </w:rPr>
        <w:instrText>ADDIN CSL_CITATION {"citationItems":[{"id":"ITEM-1","itemData":{"author":[{"dropping-particle":"","family":"Suharti","given":"","non-dropping-particle":"","parse-names":false,"suffix":""},{"dropping-particle":"","family":"Hendra","given":"","non-dropping-particle":"","parse-names":false,"suffix":""},{"dropping-particle":"","family":"Hanif","given":"rheny afriana","non-dropping-particle":"","parse-names":false,"suffix":""}],"id":"ITEM-1","issued":{"date-parts":[["2022"]]},"page":"68-84","title":"PENGARUH UKURAN PERUSAHAAN, KEBUJAKAN DIVIDEN, RESIKO BISNIS, PROFITABILITAS, TERHADAP STRUKTUR MODAL DAN NILAI PERUSAHAAN","type":"article"},"uris":["http://www.mendeley.com/documents/?uuid=a5a2c06d-ab7e-4c36-a92c-99af20229a28"]}],"mendeley":{"formattedCitation":"(Suharti et al., 2022)","plainTextFormattedCitation":"(Suharti et al., 2022)","previouslyFormattedCitation":"(Suharti et al., 2022)"},"properties":{"noteIndex":0},"schema":"https://github.com/citation-style-language/schema/raw/master/csl-citation.json"}</w:instrText>
      </w:r>
      <w:r w:rsidR="00C549D9">
        <w:rPr>
          <w:rFonts w:ascii="Arial" w:hAnsi="Arial" w:cs="Arial"/>
        </w:rPr>
        <w:fldChar w:fldCharType="separate"/>
      </w:r>
      <w:r w:rsidR="00C549D9" w:rsidRPr="00C549D9">
        <w:rPr>
          <w:rFonts w:ascii="Arial" w:hAnsi="Arial" w:cs="Arial"/>
          <w:noProof/>
        </w:rPr>
        <w:t>(Suharti et al., 2022)</w:t>
      </w:r>
      <w:r w:rsidR="00C549D9">
        <w:rPr>
          <w:rFonts w:ascii="Arial" w:hAnsi="Arial" w:cs="Arial"/>
        </w:rPr>
        <w:fldChar w:fldCharType="end"/>
      </w:r>
      <w:r w:rsidRPr="00A5232F">
        <w:rPr>
          <w:rFonts w:ascii="Arial" w:hAnsi="Arial" w:cs="Arial"/>
        </w:rPr>
        <w:t>, which found that dividends do not always have a significant effect on company value, because some investors focus more on growth potential and capital gains than on the dividends distributed.</w:t>
      </w:r>
    </w:p>
    <w:p w14:paraId="1C7C7B57" w14:textId="77777777" w:rsidR="00A5232F" w:rsidRPr="00A5232F" w:rsidRDefault="00A5232F" w:rsidP="00A5232F">
      <w:pPr>
        <w:pStyle w:val="Body"/>
        <w:spacing w:after="0"/>
        <w:rPr>
          <w:rFonts w:ascii="Arial" w:hAnsi="Arial" w:cs="Arial"/>
        </w:rPr>
      </w:pPr>
    </w:p>
    <w:p w14:paraId="1C7362CE" w14:textId="6B19066B" w:rsidR="00A5232F" w:rsidRPr="00A5232F" w:rsidRDefault="003730CB" w:rsidP="00A5232F">
      <w:pPr>
        <w:pStyle w:val="Body"/>
        <w:spacing w:after="0"/>
        <w:rPr>
          <w:rFonts w:ascii="Arial" w:hAnsi="Arial" w:cs="Arial"/>
          <w:b/>
          <w:bCs/>
        </w:rPr>
      </w:pPr>
      <w:r>
        <w:rPr>
          <w:rFonts w:ascii="Arial" w:hAnsi="Arial" w:cs="Arial"/>
          <w:b/>
          <w:bCs/>
        </w:rPr>
        <w:t xml:space="preserve">3.8.3 </w:t>
      </w:r>
      <w:r w:rsidR="00A5232F" w:rsidRPr="00A5232F">
        <w:rPr>
          <w:rFonts w:ascii="Arial" w:hAnsi="Arial" w:cs="Arial"/>
          <w:b/>
          <w:bCs/>
        </w:rPr>
        <w:t>The Effect of Sales Growth on Company Value</w:t>
      </w:r>
    </w:p>
    <w:p w14:paraId="11A23575" w14:textId="7993B592" w:rsidR="00A5232F" w:rsidRPr="00A5232F" w:rsidRDefault="00A5232F" w:rsidP="00A5232F">
      <w:pPr>
        <w:pStyle w:val="Body"/>
        <w:spacing w:after="0"/>
        <w:rPr>
          <w:rFonts w:ascii="Arial" w:hAnsi="Arial" w:cs="Arial"/>
        </w:rPr>
      </w:pPr>
      <w:r w:rsidRPr="00A5232F">
        <w:rPr>
          <w:rFonts w:ascii="Arial" w:hAnsi="Arial" w:cs="Arial"/>
        </w:rPr>
        <w:t xml:space="preserve">Sales growth illustrates the extent to which a company's products are accepted by the market and reflects the company's competitive strength. The higher the sales level, the greater the opportunity for increased profits, cash flow, and investor confidence. Within the framework of signaling theory, sales growth is viewed as a positive signal that indicates the company's future prospects. However, the results of the study show that sales growth has a negative effect on company value (PBV) with a coefficient value of -2.247 and a significance value of 0.201, which is greater than 0.05, indicating that the effect is not significant. This indicates that even though sales have increased, investors do not fully assess this as a strong indicator of an increase in company value if it is not accompanied by cost efficiency and good management strategies. This finding supports the research </w:t>
      </w:r>
      <w:r w:rsidR="00C549D9">
        <w:rPr>
          <w:rFonts w:ascii="Arial" w:hAnsi="Arial" w:cs="Arial"/>
        </w:rPr>
        <w:fldChar w:fldCharType="begin" w:fldLock="1"/>
      </w:r>
      <w:r w:rsidR="00C549D9">
        <w:rPr>
          <w:rFonts w:ascii="Arial" w:hAnsi="Arial" w:cs="Arial"/>
        </w:rPr>
        <w:instrText>ADDIN CSL_CITATION {"citationItems":[{"id":"ITEM-1","itemData":{"abstract":"Nilai perusahaan tercermin dalam harga saham perusahaan yang tercermin dalam daya tawar saham. Pertumbuhan perusahaan merupakan salah satu indikator atau suatu pengukuran mengenai bagaimana perusahaan berkembang dan atau tumbuh dalam periode waktu tertentu. Penelitian ini dilakukan untuk menguji pengaruh profitabilitas, perumbuhan penjualan dan likuiditas terhadap nilai perusahaan deangn struktur modal sebagai variabel intervening pada perusahaan sub sektor perkebunan yang terdaftar pada Bursa Efek Indonesia periode 2019 sampai 2022. Teknik pengambilan sampel dalam penelitian ini adalah menggunakan metode purposive sampling, sampel dalam penelitian ini sebanyak 9 perusahaan dengan 36 laporan keuangan dan penelitian ini menggunakan aplikasi Eviews sebagai alat uji statistik untuk menguji asumsi klasik , uji hipotesis, path analisys dan uji sobel. Hasil penelitian menunjukan bahwa profitabilitas, pertumbuhan penjualan dan likuiditas tidak berpengaruh terhadap nilai perusahaan. Struktur modal tidak dapat memediasi pengaruh antara profitabilitas, pertumbuhan penjualan dan likuiditas terhadap nilai perusahaan. Berdasarkan hasil penelitian masih ada variabel yang tidak berpengaruh terhadap nilai perusahaan. Oleh karena itu penelitian selanjutnya disarankan menggunakan variabel lain yang dapat mempengaruhi nilai perusahaan. Selain itu, untuk penelitian selanjutnya dapat menggunakan objek penelitian pada sektor perusahaan lain , seperti manufaktur, perbankan dan lain sebagainya.","author":[{"dropping-particle":"","family":"Ulfa","given":"Fitria","non-dropping-particle":"","parse-names":false,"suffix":""},{"dropping-particle":"","family":"Prasasti","given":"Karari Budi","non-dropping-particle":"","parse-names":false,"suffix":""},{"dropping-particle":"","family":"Akbar","given":"Taufik","non-dropping-particle":"","parse-names":false,"suffix":""},{"dropping-particle":"","family":"Kadiri","given":"Universitas Islam","non-dropping-particle":"","parse-names":false,"suffix":""},{"dropping-particle":"","family":"Penjualan","given":"Pertumbuhan","non-dropping-particle":"","parse-names":false,"suffix":""},{"dropping-particle":"","family":"Belakang","given":"Latar","non-dropping-particle":"","parse-names":false,"suffix":""}],"container-title":"MUSYTARI Neraca manajemen, Ekonomi","id":"ITEM-1","issue":"9","issued":{"date-parts":[["2024"]]},"title":"PENGARUH PROFITABILITAS, PERTUMBUHAN PENJUALAN DAN LIKUIDITAS TERHADAP NILAI PERUSAHAAN DENGAN STRUKTUR MODAL SEBAGAI VARIABEL INTERVENING","type":"article-journal","volume":"8"},"uris":["http://www.mendeley.com/documents/?uuid=20c7e0b2-1cfd-40d2-8285-262ca96e2dcc"]}],"mendeley":{"formattedCitation":"(Ulfa et al., 2024)","plainTextFormattedCitation":"(Ulfa et al., 2024)","previouslyFormattedCitation":"(Ulfa et al., 2024)"},"properties":{"noteIndex":0},"schema":"https://github.com/citation-style-language/schema/raw/master/csl-citation.json"}</w:instrText>
      </w:r>
      <w:r w:rsidR="00C549D9">
        <w:rPr>
          <w:rFonts w:ascii="Arial" w:hAnsi="Arial" w:cs="Arial"/>
        </w:rPr>
        <w:fldChar w:fldCharType="separate"/>
      </w:r>
      <w:r w:rsidR="00C549D9" w:rsidRPr="00C549D9">
        <w:rPr>
          <w:rFonts w:ascii="Arial" w:hAnsi="Arial" w:cs="Arial"/>
          <w:noProof/>
        </w:rPr>
        <w:t>(Ulfa et al., 2024)</w:t>
      </w:r>
      <w:r w:rsidR="00C549D9">
        <w:rPr>
          <w:rFonts w:ascii="Arial" w:hAnsi="Arial" w:cs="Arial"/>
        </w:rPr>
        <w:fldChar w:fldCharType="end"/>
      </w:r>
      <w:r w:rsidR="00C549D9">
        <w:rPr>
          <w:rFonts w:ascii="Arial" w:hAnsi="Arial" w:cs="Arial"/>
        </w:rPr>
        <w:t xml:space="preserve"> and </w:t>
      </w:r>
      <w:r w:rsidR="00C549D9">
        <w:rPr>
          <w:rFonts w:ascii="Arial" w:hAnsi="Arial" w:cs="Arial"/>
        </w:rPr>
        <w:fldChar w:fldCharType="begin" w:fldLock="1"/>
      </w:r>
      <w:r w:rsidR="00C549D9">
        <w:rPr>
          <w:rFonts w:ascii="Arial" w:hAnsi="Arial" w:cs="Arial"/>
        </w:rPr>
        <w:instrText>ADDIN CSL_CITATION {"citationItems":[{"id":"ITEM-1","itemData":{"ISSN":"2548-7507","abstract":"This study intends to check the impact of sales growth, profitability, liquidity, and dividend policy on firm value on manufacturing companies listed on the IDX. The sample of 36 research companies listed on the Indonesia Stock Exchange 2015-2017. The independent variable is sales growth, profitability, liquidity, dividend policy. While the dependent variable is firm value. The way to choose samples is purposive sampling. Analysis of data with multiple linear regression, the results of this study prove that sales growth partially has no impact and is not significant to the value of the company with a significant amount of 0.176. Profitability is partially positive and significant impact on the value of the company with a significant amount of 0,000. Liquidity partially has no impact and is not significant in firm value with a significant amount of 0.108. Dividend policy is partially positive and significant impact on the value of the company with a significant amount of 0,000","author":[{"dropping-particle":"","family":"Tamba","given":"Elyda Crisna","non-dropping-particle":"","parse-names":false,"suffix":""},{"dropping-particle":"","family":"Pandiangan","given":"Lasmian","non-dropping-particle":"","parse-names":false,"suffix":""},{"dropping-particle":"","family":"Ginting","given":"Riva Novia","non-dropping-particle":"","parse-names":false,"suffix":""},{"dropping-particle":"","family":"Sitepu","given":"Wilsa Road Betterment","non-dropping-particle":"","parse-names":false,"suffix":""}],"container-title":"Owner (Riset dan Jurnal Akuntansi)","id":"ITEM-1","issue":"2","issued":{"date-parts":[["2020"]]},"page":"485","title":"Pengaruh Pertumbuhan Penjualan, Profitabilitas, Likuiditas dan Kebijakan Dividen terhadap Nilai Perusahaan Manufaktur di BEI","type":"article-journal","volume":"4"},"uris":["http://www.mendeley.com/documents/?uuid=b2b7051b-c939-4ef3-a98d-1f96e1f50c54"]}],"mendeley":{"formattedCitation":"(Tamba et al., 2020)","plainTextFormattedCitation":"(Tamba et al., 2020)","previouslyFormattedCitation":"(Tamba et al., 2020)"},"properties":{"noteIndex":0},"schema":"https://github.com/citation-style-language/schema/raw/master/csl-citation.json"}</w:instrText>
      </w:r>
      <w:r w:rsidR="00C549D9">
        <w:rPr>
          <w:rFonts w:ascii="Arial" w:hAnsi="Arial" w:cs="Arial"/>
        </w:rPr>
        <w:fldChar w:fldCharType="separate"/>
      </w:r>
      <w:r w:rsidR="00C549D9" w:rsidRPr="00C549D9">
        <w:rPr>
          <w:rFonts w:ascii="Arial" w:hAnsi="Arial" w:cs="Arial"/>
          <w:noProof/>
        </w:rPr>
        <w:t>(Tamba et al., 2020)</w:t>
      </w:r>
      <w:r w:rsidR="00C549D9">
        <w:rPr>
          <w:rFonts w:ascii="Arial" w:hAnsi="Arial" w:cs="Arial"/>
        </w:rPr>
        <w:fldChar w:fldCharType="end"/>
      </w:r>
      <w:r w:rsidR="00C549D9">
        <w:rPr>
          <w:rFonts w:ascii="Arial" w:hAnsi="Arial" w:cs="Arial"/>
        </w:rPr>
        <w:t>,</w:t>
      </w:r>
      <w:r w:rsidRPr="00A5232F">
        <w:rPr>
          <w:rFonts w:ascii="Arial" w:hAnsi="Arial" w:cs="Arial"/>
        </w:rPr>
        <w:t xml:space="preserve"> which states that sales growth does not always have a significant impact on company value, especially if the increase in sales is not directly proportional to the profits obtained.</w:t>
      </w:r>
    </w:p>
    <w:p w14:paraId="16E97AF6" w14:textId="77777777" w:rsidR="00A5232F" w:rsidRPr="00A5232F" w:rsidRDefault="00A5232F" w:rsidP="00A5232F">
      <w:pPr>
        <w:pStyle w:val="Body"/>
        <w:spacing w:after="0"/>
        <w:rPr>
          <w:rFonts w:ascii="Arial" w:hAnsi="Arial" w:cs="Arial"/>
        </w:rPr>
      </w:pPr>
    </w:p>
    <w:p w14:paraId="06294135" w14:textId="1ED574BF" w:rsidR="00A5232F" w:rsidRPr="00A5232F" w:rsidRDefault="003730CB" w:rsidP="00A5232F">
      <w:pPr>
        <w:pStyle w:val="Body"/>
        <w:spacing w:after="0"/>
        <w:rPr>
          <w:rFonts w:ascii="Arial" w:hAnsi="Arial" w:cs="Arial"/>
          <w:b/>
          <w:bCs/>
        </w:rPr>
      </w:pPr>
      <w:r>
        <w:rPr>
          <w:rFonts w:ascii="Arial" w:hAnsi="Arial" w:cs="Arial"/>
          <w:b/>
          <w:bCs/>
        </w:rPr>
        <w:t xml:space="preserve">3.8.4 </w:t>
      </w:r>
      <w:r w:rsidR="00A5232F" w:rsidRPr="00A5232F">
        <w:rPr>
          <w:rFonts w:ascii="Arial" w:hAnsi="Arial" w:cs="Arial"/>
          <w:b/>
          <w:bCs/>
        </w:rPr>
        <w:t>Capital Structure Moderates the Effect of Investment Decisions on Firm Value</w:t>
      </w:r>
    </w:p>
    <w:p w14:paraId="77B74BFE" w14:textId="211A6D70" w:rsidR="00A5232F" w:rsidRPr="00A5232F" w:rsidRDefault="00A5232F" w:rsidP="00A5232F">
      <w:pPr>
        <w:pStyle w:val="Body"/>
        <w:spacing w:after="0"/>
        <w:rPr>
          <w:rFonts w:ascii="Arial" w:hAnsi="Arial" w:cs="Arial"/>
        </w:rPr>
      </w:pPr>
      <w:r w:rsidRPr="00A5232F">
        <w:rPr>
          <w:rFonts w:ascii="Arial" w:hAnsi="Arial" w:cs="Arial"/>
        </w:rPr>
        <w:lastRenderedPageBreak/>
        <w:t xml:space="preserve">The results show that capital structure does not moderate the effect of investment decisions on firm value. A coefficient value of -1.852 with a significance level of 0.233 (&gt;0.05) indicates that the investments made by the company do not significantly increase the firm value even when considered together with the capital structure. From the perspective of signaling theory (Spence, 1973), investment decisions should be a positive signal regarding the company's growth prospects. However, when investment financing is mostly supported by debt, the market perceives a high financial risk, thereby weakening the positive signal. This finding is consistent with the research </w:t>
      </w:r>
      <w:r w:rsidR="00C549D9">
        <w:rPr>
          <w:rFonts w:ascii="Arial" w:hAnsi="Arial" w:cs="Arial"/>
        </w:rPr>
        <w:fldChar w:fldCharType="begin" w:fldLock="1"/>
      </w:r>
      <w:r w:rsidR="00C549D9">
        <w:rPr>
          <w:rFonts w:ascii="Arial" w:hAnsi="Arial" w:cs="Arial"/>
        </w:rPr>
        <w:instrText>ADDIN CSL_CITATION {"citationItems":[{"id":"ITEM-1","itemData":{"DOI":"10.8734/mnmae.v1i2.359","ISSN":"3025-9495","abstract":"Penelitian ini bertujuan untuk menganalisis dampak keputusan investasi terhadap nilai perusahaan dengan struktur modal sebagai variabel moderasi pada perusahaan manufaktur yang terdaftar di Bursa Efek Indonesia periode 2022–2024. Sebanyak 10 perusahaan manufaktur menjadi sampel yang dipilih dengan menggunakan metode purposive sampling dengan total 30 observasi. Metode analisis yang digunakan adalah analisis regresi. Keputusan investasi dibuat dengan menggunakan rasio CAPEX terhadap total aset, Debt to Equity Ratio (DER) digunakan untuk menentukan struktur modal, dan Price to Book Value (PBV) digunakan untuk menentukan nilai perusahaan.Hasil penelitian menunjukkan bahwa keputusan investasi memiliki dampak negatif yang signifikan terhadap nilai perusahaan, dengan nilai t-hitung sebesar -3.402 dan tingkat signifikansi sebesar 0,002 (p &lt; 0,05). Koefisien negatif sebesar -38.608 menunjukkan bahwa terdapat fenomena overinvestment pada perusahaan manufaktur yang diteliti. Sebaliknya, struktur modal tidak mampu memoderasi hubungan antara investasi dan nilai perusahaan, dengan nilai t-hitung sebesar 0,260 dan tingkat signifikansi sebesar 0,797 (p &gt; 0,05).Temuan penelitian menunjukkan bahwa ada beberapa cara di mana peningkatan investasi justru menurunkan nilai perusahaan dan menunjukkan bahwa investasi yang boros terjadi di perusahaan manufaktur Indonesia. Hasil penelitian memberikan implikasi praktis bagi manajer untuk menilai efektivitas keputusan investasi dan fokus pada kualitas investasi, serta bagi investor untuk menganalisis efisiensi investasi bisnis dalam pengembangan keputusan.","author":[{"dropping-particle":"","family":"Nikma","given":"Rury Hidayatun","non-dropping-particle":"","parse-names":false,"suffix":""}],"container-title":"Neraca Manajemen, Ekonomi","id":"ITEM-1","issue":"9","issued":{"date-parts":[["2025"]]},"page":"2025","title":"Jenis-Jenis Koperasi","type":"article-journal","volume":"22"},"uris":["http://www.mendeley.com/documents/?uuid=6c2950cc-c88f-4f51-a737-553b65361216"]}],"mendeley":{"formattedCitation":"(Nikma, 2025)","plainTextFormattedCitation":"(Nikma, 2025)","previouslyFormattedCitation":"(Nikma, 2025)"},"properties":{"noteIndex":0},"schema":"https://github.com/citation-style-language/schema/raw/master/csl-citation.json"}</w:instrText>
      </w:r>
      <w:r w:rsidR="00C549D9">
        <w:rPr>
          <w:rFonts w:ascii="Arial" w:hAnsi="Arial" w:cs="Arial"/>
        </w:rPr>
        <w:fldChar w:fldCharType="separate"/>
      </w:r>
      <w:r w:rsidR="00C549D9" w:rsidRPr="00C549D9">
        <w:rPr>
          <w:rFonts w:ascii="Arial" w:hAnsi="Arial" w:cs="Arial"/>
          <w:noProof/>
        </w:rPr>
        <w:t>(Nikma, 2025)</w:t>
      </w:r>
      <w:r w:rsidR="00C549D9">
        <w:rPr>
          <w:rFonts w:ascii="Arial" w:hAnsi="Arial" w:cs="Arial"/>
        </w:rPr>
        <w:fldChar w:fldCharType="end"/>
      </w:r>
      <w:r w:rsidR="00C549D9">
        <w:rPr>
          <w:rFonts w:ascii="Arial" w:hAnsi="Arial" w:cs="Arial"/>
        </w:rPr>
        <w:t xml:space="preserve"> and </w:t>
      </w:r>
      <w:r w:rsidR="00C549D9">
        <w:rPr>
          <w:rFonts w:ascii="Arial" w:hAnsi="Arial" w:cs="Arial"/>
        </w:rPr>
        <w:fldChar w:fldCharType="begin" w:fldLock="1"/>
      </w:r>
      <w:r w:rsidR="00C549D9">
        <w:rPr>
          <w:rFonts w:ascii="Arial" w:hAnsi="Arial" w:cs="Arial"/>
        </w:rPr>
        <w:instrText>ADDIN CSL_CITATION {"citationItems":[{"id":"ITEM-1","itemData":{"DOI":"10.47467/reslaj.v5i6.3804","ISSN":"2656-274X","abstract":" \r Company value is a certain condition of the company after several years of operation, which is an indicator of public trust in the company. The purpose of the study is to determine whether investment decisions in food and beverage companies listed on the IDX for the 2018-2021 period can affect company value through capital structure as an intervening variable. In this study using quantitative research. For the study, only 24 companies were selected from 32 food and beverage companies. Purposive sampling is the sampling method used in this study. Path Analysis is the method of analysis used. The results of the study show that Investment Decisions contribute to Company Value. Capital Structure is not able to be an intervening variable in the influence of investment decisions on Company Value.\r  Keywords: Investation decision; Capital Structure; The value of the company.","author":[{"dropping-particle":"","family":"Rizkiwati","given":"Nadila","non-dropping-particle":"","parse-names":false,"suffix":""},{"dropping-particle":"","family":"Anwar","given":"Muhadjir","non-dropping-particle":"","parse-names":false,"suffix":""}],"container-title":"Reslaj : Religion Education Social Laa Roiba Journal","id":"ITEM-1","issue":"6","issued":{"date-parts":[["2023"]]},"page":"3271-3282","title":"Pengaruh Keputusan Investasi terhadap Nilai Perusahaan dengan Struktur Modal sebagai Variabel Intervening pada Perusahaan Food &amp; Beverage yang Terdaftar di BEI","type":"article-journal","volume":"5"},"uris":["http://www.mendeley.com/documents/?uuid=323dbab5-1a04-401e-8cb2-3707de70c16b"]}],"mendeley":{"formattedCitation":"(Rizkiwati &amp; Anwar, 2023)","plainTextFormattedCitation":"(Rizkiwati &amp; Anwar, 2023)","previouslyFormattedCitation":"(Rizkiwati &amp; Anwar, 2023)"},"properties":{"noteIndex":0},"schema":"https://github.com/citation-style-language/schema/raw/master/csl-citation.json"}</w:instrText>
      </w:r>
      <w:r w:rsidR="00C549D9">
        <w:rPr>
          <w:rFonts w:ascii="Arial" w:hAnsi="Arial" w:cs="Arial"/>
        </w:rPr>
        <w:fldChar w:fldCharType="separate"/>
      </w:r>
      <w:r w:rsidR="00C549D9" w:rsidRPr="00C549D9">
        <w:rPr>
          <w:rFonts w:ascii="Arial" w:hAnsi="Arial" w:cs="Arial"/>
          <w:noProof/>
        </w:rPr>
        <w:t>(Rizkiwati &amp; Anwar, 2023)</w:t>
      </w:r>
      <w:r w:rsidR="00C549D9">
        <w:rPr>
          <w:rFonts w:ascii="Arial" w:hAnsi="Arial" w:cs="Arial"/>
        </w:rPr>
        <w:fldChar w:fldCharType="end"/>
      </w:r>
      <w:r w:rsidR="00C549D9">
        <w:rPr>
          <w:rFonts w:ascii="Arial" w:hAnsi="Arial" w:cs="Arial"/>
        </w:rPr>
        <w:t>,</w:t>
      </w:r>
      <w:r w:rsidRPr="00A5232F">
        <w:rPr>
          <w:rFonts w:ascii="Arial" w:hAnsi="Arial" w:cs="Arial"/>
        </w:rPr>
        <w:t xml:space="preserve"> which states that an disproportionate capital structure can weaken the effect of investment decisions on company value. Thus, hypothesis 4 is rejected.</w:t>
      </w:r>
    </w:p>
    <w:p w14:paraId="4DEB42E3" w14:textId="77777777" w:rsidR="00A5232F" w:rsidRPr="00A5232F" w:rsidRDefault="00A5232F" w:rsidP="00A5232F">
      <w:pPr>
        <w:pStyle w:val="Body"/>
        <w:spacing w:after="0"/>
        <w:rPr>
          <w:rFonts w:ascii="Arial" w:hAnsi="Arial" w:cs="Arial"/>
        </w:rPr>
      </w:pPr>
    </w:p>
    <w:p w14:paraId="41B2CBD2" w14:textId="21275EAC" w:rsidR="00A5232F" w:rsidRPr="00A5232F" w:rsidRDefault="003730CB" w:rsidP="00A5232F">
      <w:pPr>
        <w:pStyle w:val="Body"/>
        <w:spacing w:after="0"/>
        <w:rPr>
          <w:rFonts w:ascii="Arial" w:hAnsi="Arial" w:cs="Arial"/>
          <w:b/>
          <w:bCs/>
        </w:rPr>
      </w:pPr>
      <w:r>
        <w:rPr>
          <w:rFonts w:ascii="Arial" w:hAnsi="Arial" w:cs="Arial"/>
          <w:b/>
          <w:bCs/>
        </w:rPr>
        <w:t xml:space="preserve">3.8.5 </w:t>
      </w:r>
      <w:r w:rsidR="00A5232F" w:rsidRPr="00A5232F">
        <w:rPr>
          <w:rFonts w:ascii="Arial" w:hAnsi="Arial" w:cs="Arial"/>
          <w:b/>
          <w:bCs/>
        </w:rPr>
        <w:t>Capital Structure Moderates the Effect of Dividend Policy on Firm Value</w:t>
      </w:r>
    </w:p>
    <w:p w14:paraId="03422177" w14:textId="180B0A86" w:rsidR="00A5232F" w:rsidRPr="00A5232F" w:rsidRDefault="00A5232F" w:rsidP="00A5232F">
      <w:pPr>
        <w:pStyle w:val="Body"/>
        <w:spacing w:after="0"/>
        <w:rPr>
          <w:rFonts w:ascii="Arial" w:hAnsi="Arial" w:cs="Arial"/>
        </w:rPr>
      </w:pPr>
      <w:r w:rsidRPr="00A5232F">
        <w:rPr>
          <w:rFonts w:ascii="Arial" w:hAnsi="Arial" w:cs="Arial"/>
        </w:rPr>
        <w:t xml:space="preserve">Based on the analysis results, capital structure is proven to moderate the effect of dividend policy on firm value with a coefficient value of 0.093 and a significance level of 0.000 (&lt;0.05). This indicates that dividend policy will further strengthen firm value if supported by a healthy and proportional capital structure. From the perspective of signaling theory (Spence, 1973), dividends are a positive signal regarding the stability of a company's cash flow and profits, and when accompanied by prudent debt management, the market assesses the company as having good financial resilience. These results are in line with research </w:t>
      </w:r>
      <w:r w:rsidR="00C549D9" w:rsidRPr="00C549D9">
        <w:rPr>
          <w:rFonts w:ascii="Arial" w:hAnsi="Arial" w:cs="Arial"/>
        </w:rPr>
        <w:fldChar w:fldCharType="begin" w:fldLock="1"/>
      </w:r>
      <w:r w:rsidR="00C549D9" w:rsidRPr="00C549D9">
        <w:rPr>
          <w:rFonts w:ascii="Arial" w:hAnsi="Arial" w:cs="Arial"/>
        </w:rPr>
        <w:instrText>ADDIN CSL_CITATION {"citationItems":[{"id":"ITEM-1","itemData":{"DOI":"10.29303/alexandria.v4i2.458","ISSN":"2774-6453","abstract":"This study aims to analyze the effect of Profitability, Liquidity, Company Size and Dividend Policy on Firm Value with Capital Structure as a moderating variable in property and real estate sector companies listed on the IDX for the 2017-2021 period. The type of research used is associative research with a quantitative approach. The population in this study are all property and real estate sector companies listed on the Indonesia Stock Exchange totaling 83 companies. Sampling in this study using the method purposive sampling with certain criteria, namely as many as 8 companies. The analytical tools used are descriptive statistical tests, classic assumption tests, hypothesis testing and Moderated Regression Analysis (MRA). The results of this study indicate that Profitability (ROA) and Dividend Policy (DPR) have a not significant positive effect on Firm Value (PBV), Liquidity (CR) have an insignificant negative effect on Firm Value and Firm Size (SIZE) have a significant negative effect on firm value. Capital Structure (DER) is not able to moderate the effect of Profitability, Liquidity and Firm Size on Firm Value. However, it is able to moderate the effect of dividend policy on firm value","author":[{"dropping-particle":"","family":"Sagita","given":"Rani Miranda","non-dropping-particle":"","parse-names":false,"suffix":""},{"dropping-particle":"","family":"Negara","given":"Iwan Kusuma","non-dropping-particle":"","parse-names":false,"suffix":""},{"dropping-particle":"","family":"Kusmayadi","given":"Iwan","non-dropping-particle":"","parse-names":false,"suffix":""}],"container-title":"ALEXANDRIA (Journal of Economics, Business, &amp; Entrepreneurship)","id":"ITEM-1","issue":"2","issued":{"date-parts":[["2023"]]},"page":"60-66","title":"Analisis Pengaruh Profitabilitas, Likuiditas, Ukuran Perusahaan dan Kebijakan Dividen Terhadap Nilai Perusahaan Dengan Struktur Modal Sebagai Variabel Moderasi","type":"article-journal","volume":"4"},"uris":["http://www.mendeley.com/documents/?uuid=d7445180-7194-4d7f-ba33-3c3842a8bb06"]}],"mendeley":{"formattedCitation":"(Sagita et al., 2023)","plainTextFormattedCitation":"(Sagita et al., 2023)","previouslyFormattedCitation":"(Sagita et al., 2023)"},"properties":{"noteIndex":0},"schema":"https://github.com/citation-style-language/schema/raw/master/csl-citation.json"}</w:instrText>
      </w:r>
      <w:r w:rsidR="00C549D9" w:rsidRPr="00C549D9">
        <w:rPr>
          <w:rFonts w:ascii="Arial" w:hAnsi="Arial" w:cs="Arial"/>
        </w:rPr>
        <w:fldChar w:fldCharType="separate"/>
      </w:r>
      <w:r w:rsidR="00C549D9" w:rsidRPr="00C549D9">
        <w:rPr>
          <w:rFonts w:ascii="Arial" w:hAnsi="Arial" w:cs="Arial"/>
          <w:noProof/>
        </w:rPr>
        <w:t>(Sagita et al., 2023)</w:t>
      </w:r>
      <w:r w:rsidR="00C549D9" w:rsidRPr="00C549D9">
        <w:rPr>
          <w:rFonts w:ascii="Arial" w:hAnsi="Arial" w:cs="Arial"/>
        </w:rPr>
        <w:fldChar w:fldCharType="end"/>
      </w:r>
      <w:r w:rsidRPr="00A5232F">
        <w:rPr>
          <w:rFonts w:ascii="Arial" w:hAnsi="Arial" w:cs="Arial"/>
        </w:rPr>
        <w:t xml:space="preserve"> which confirms that a consistent dividend policy supported by a balanced capital structure can increase investor confidence and strengthen company value.</w:t>
      </w:r>
    </w:p>
    <w:p w14:paraId="1B0A9478" w14:textId="77777777" w:rsidR="00A5232F" w:rsidRPr="00A5232F" w:rsidRDefault="00A5232F" w:rsidP="00A5232F">
      <w:pPr>
        <w:pStyle w:val="Body"/>
        <w:spacing w:after="0"/>
        <w:rPr>
          <w:rFonts w:ascii="Arial" w:hAnsi="Arial" w:cs="Arial"/>
        </w:rPr>
      </w:pPr>
    </w:p>
    <w:p w14:paraId="6949A231" w14:textId="74C7878A" w:rsidR="00A5232F" w:rsidRPr="00A5232F" w:rsidRDefault="003730CB" w:rsidP="00A5232F">
      <w:pPr>
        <w:pStyle w:val="Body"/>
        <w:spacing w:after="0"/>
        <w:rPr>
          <w:rFonts w:ascii="Arial" w:hAnsi="Arial" w:cs="Arial"/>
          <w:b/>
          <w:bCs/>
        </w:rPr>
      </w:pPr>
      <w:r>
        <w:rPr>
          <w:rFonts w:ascii="Arial" w:hAnsi="Arial" w:cs="Arial"/>
          <w:b/>
          <w:bCs/>
        </w:rPr>
        <w:t xml:space="preserve">3.8.6 </w:t>
      </w:r>
      <w:r w:rsidR="00A5232F" w:rsidRPr="00A5232F">
        <w:rPr>
          <w:rFonts w:ascii="Arial" w:hAnsi="Arial" w:cs="Arial"/>
          <w:b/>
          <w:bCs/>
        </w:rPr>
        <w:t>Capital Structure Moderates the Effect of Sales Growth on Company Value</w:t>
      </w:r>
    </w:p>
    <w:p w14:paraId="6B3A88A1" w14:textId="311F6FD8" w:rsidR="00A5232F" w:rsidRPr="00A5232F" w:rsidRDefault="00A5232F" w:rsidP="00441B6F">
      <w:pPr>
        <w:pStyle w:val="Body"/>
        <w:spacing w:after="0"/>
        <w:rPr>
          <w:rFonts w:ascii="Arial" w:hAnsi="Arial" w:cs="Arial"/>
        </w:rPr>
      </w:pPr>
      <w:r w:rsidRPr="00A5232F">
        <w:rPr>
          <w:rFonts w:ascii="Arial" w:hAnsi="Arial" w:cs="Arial"/>
        </w:rPr>
        <w:t xml:space="preserve">Based on the analysis results, it was found that capital structure can moderate the effect of sales growth on company value with a coefficient value of 6.595 and a significance value of 0.001, which is less than 0.05. Thus, it can be concluded that capital structure strengthens the effect of sales growth on company value. This means that an increase in sales will have a greater impact on company value if it is supported by a healthy and proportional capital structure. This finding supports signaling theory (Spence, 1973), which states that sales growth is a positive signal for investors, and is in line with research </w:t>
      </w:r>
      <w:r w:rsidR="00C549D9" w:rsidRPr="00C549D9">
        <w:rPr>
          <w:rFonts w:ascii="Arial" w:hAnsi="Arial" w:cs="Arial"/>
        </w:rPr>
        <w:fldChar w:fldCharType="begin" w:fldLock="1"/>
      </w:r>
      <w:r w:rsidR="00C549D9">
        <w:rPr>
          <w:rFonts w:ascii="Arial" w:hAnsi="Arial" w:cs="Arial"/>
        </w:rPr>
        <w:instrText>ADDIN CSL_CITATION {"citationItems":[{"id":"ITEM-1","itemData":{"abstract":"The purpose of this study is to determine the effect of growth rate on the value of the company as well as knowing the ability of capital structure in moderating the influence of growth rate to the value of the company. This study was conducted at an insurance company listed on the Indonesia Stock Exchange. The approach used in this research is causality approach. The population in this study are all insurance companies listed on the Indonesia Stock Exchange period 2011-2014, amounting to 11 companies, the sample collection is done by purposive sampling technique with a sample of 6 companies. Analysis technique in this research is moderate regression analysis (MRA). The result of classical and simultaneous assumption test shows that the regression model used is appropriate and the independent variable and the moderating variable have an effect on the company value. The result of research by using moderation regression analysis showed that growth rate had negative effect to company value. Capital structure is able to moderate by weakening the negative effect of growth rate on firm value.","author":[{"dropping-particle":"","family":"Widayanthi","given":"Ni Made Dewi Gita","non-dropping-particle":"","parse-names":false,"suffix":""},{"dropping-particle":"","family":"Sudiartha","given":"Gede Merta","non-dropping-particle":"","parse-names":false,"suffix":""}],"container-title":"E-Jurnal Manajemen Unud","id":"ITEM-1","issue":"4","issued":{"date-parts":[["2018"]]},"page":"2196-2225","title":"PENGARUH TINGKAT PERTUMBUHAN TERHADAP NILAI PERUSAHAAN DENGAN STRUKTUR MODAL SEBAGAI VARIABEL MODERASI","type":"article-journal","volume":"7"},"uris":["http://www.mendeley.com/documents/?uuid=cc48019e-4036-4ccb-875c-bde8401c7a9b"]}],"mendeley":{"formattedCitation":"(Widayanthi &amp; Sudiartha, 2018)","plainTextFormattedCitation":"(Widayanthi &amp; Sudiartha, 2018)","previouslyFormattedCitation":"(Widayanthi &amp; Sudiartha, 2018)"},"properties":{"noteIndex":0},"schema":"https://github.com/citation-style-language/schema/raw/master/csl-citation.json"}</w:instrText>
      </w:r>
      <w:r w:rsidR="00C549D9" w:rsidRPr="00C549D9">
        <w:rPr>
          <w:rFonts w:ascii="Arial" w:hAnsi="Arial" w:cs="Arial"/>
        </w:rPr>
        <w:fldChar w:fldCharType="separate"/>
      </w:r>
      <w:r w:rsidR="00C549D9" w:rsidRPr="00C549D9">
        <w:rPr>
          <w:rFonts w:ascii="Arial" w:hAnsi="Arial" w:cs="Arial"/>
          <w:noProof/>
        </w:rPr>
        <w:t>(Widayanthi &amp; Sudiartha, 2018)</w:t>
      </w:r>
      <w:r w:rsidR="00C549D9" w:rsidRPr="00C549D9">
        <w:rPr>
          <w:rFonts w:ascii="Arial" w:hAnsi="Arial" w:cs="Arial"/>
        </w:rPr>
        <w:fldChar w:fldCharType="end"/>
      </w:r>
      <w:r w:rsidR="00C549D9" w:rsidRPr="00C549D9">
        <w:rPr>
          <w:rFonts w:ascii="Arial" w:hAnsi="Arial" w:cs="Arial"/>
        </w:rPr>
        <w:t>,</w:t>
      </w:r>
      <w:r w:rsidRPr="00A5232F">
        <w:rPr>
          <w:rFonts w:ascii="Arial" w:hAnsi="Arial" w:cs="Arial"/>
        </w:rPr>
        <w:t xml:space="preserve"> which confirms that new sales growth will only have a real effect on company value if it is accompanied by proper capital structure management.</w:t>
      </w:r>
    </w:p>
    <w:p w14:paraId="1F98BE77" w14:textId="77777777" w:rsidR="00790ADA" w:rsidRPr="00FB3A86" w:rsidRDefault="00790ADA" w:rsidP="00441B6F">
      <w:pPr>
        <w:pStyle w:val="Body"/>
        <w:spacing w:after="0"/>
        <w:rPr>
          <w:rFonts w:ascii="Arial" w:hAnsi="Arial" w:cs="Arial"/>
        </w:rPr>
      </w:pPr>
    </w:p>
    <w:p w14:paraId="41CFA5A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6121FDA" w14:textId="77777777" w:rsidR="00790ADA" w:rsidRPr="00FB3A86" w:rsidRDefault="00790ADA" w:rsidP="00441B6F">
      <w:pPr>
        <w:pStyle w:val="ConcHead"/>
        <w:spacing w:after="0"/>
        <w:jc w:val="both"/>
        <w:rPr>
          <w:rFonts w:ascii="Arial" w:hAnsi="Arial" w:cs="Arial"/>
        </w:rPr>
      </w:pPr>
    </w:p>
    <w:p w14:paraId="391FBB1A" w14:textId="24FCAB7B" w:rsidR="0041027F" w:rsidRDefault="0073377E" w:rsidP="003730CB">
      <w:pPr>
        <w:pStyle w:val="Body"/>
        <w:spacing w:after="0"/>
        <w:rPr>
          <w:rFonts w:ascii="Arial" w:hAnsi="Arial" w:cs="Arial"/>
        </w:rPr>
      </w:pPr>
      <w:r w:rsidRPr="0073377E">
        <w:rPr>
          <w:rFonts w:ascii="Arial" w:hAnsi="Arial" w:cs="Arial"/>
        </w:rPr>
        <w:t>This study aims to examine the effect of investment decisions, dividend policies, and sales growth on company value with capital structure as a moderating variable in food and beverage companies listed on the Indonesia Stock Exchange (IDX) for the period 2021–2024. The results show that the three main variables do not have a significant effect on company value. However, capital structure is proven to be able to strengthen the effect of dividend policies and sales growth. These findings confirm that signaling theory remains relevant, but the effectiveness of signals is highly dependent on capital structure management. In practical terms, companies need to maintain a balance between debt and equity so that dividend policy and sales growth have an optimal impact. This study has limitations in terms of the sector and variables studied, so it is recommended that future research add other factors such as profitability, operational efficiency, and management quality, as well as expand the sector of study so that the results are more comprehensive and can be generalized.</w:t>
      </w:r>
    </w:p>
    <w:p w14:paraId="6EBF96E0" w14:textId="77777777" w:rsidR="00A549E5" w:rsidRDefault="00A549E5" w:rsidP="003730CB">
      <w:pPr>
        <w:pStyle w:val="Body"/>
        <w:spacing w:after="0"/>
        <w:rPr>
          <w:rFonts w:ascii="Arial" w:hAnsi="Arial" w:cs="Arial"/>
        </w:rPr>
      </w:pPr>
    </w:p>
    <w:p w14:paraId="623FD1F9" w14:textId="77777777" w:rsidR="00A549E5" w:rsidRPr="00A549E5" w:rsidRDefault="00A549E5" w:rsidP="00A549E5">
      <w:pPr>
        <w:pStyle w:val="Body"/>
        <w:rPr>
          <w:rFonts w:ascii="Arial" w:hAnsi="Arial" w:cs="Arial"/>
        </w:rPr>
      </w:pPr>
      <w:r w:rsidRPr="00A549E5">
        <w:rPr>
          <w:rFonts w:ascii="Arial" w:hAnsi="Arial" w:cs="Arial"/>
        </w:rPr>
        <w:t>COMPETING INTERESTS DISCLAIMER:</w:t>
      </w:r>
    </w:p>
    <w:p w14:paraId="7426C8B9" w14:textId="456719FE" w:rsidR="00A549E5" w:rsidRPr="003730CB" w:rsidRDefault="00A549E5" w:rsidP="00A549E5">
      <w:pPr>
        <w:pStyle w:val="Body"/>
        <w:spacing w:after="0"/>
        <w:rPr>
          <w:rFonts w:ascii="Arial" w:hAnsi="Arial" w:cs="Arial"/>
        </w:rPr>
      </w:pPr>
      <w:r w:rsidRPr="00A549E5">
        <w:rPr>
          <w:rFonts w:ascii="Arial" w:hAnsi="Arial" w:cs="Arial"/>
        </w:rPr>
        <w:t>Authors have declared that they have no known competing financial interests OR non-financial interests OR personal relationships that could have appeared to influence the work reported in this paper.</w:t>
      </w:r>
    </w:p>
    <w:p w14:paraId="1159982F" w14:textId="77777777" w:rsidR="00860000" w:rsidRDefault="00860000" w:rsidP="00441B6F">
      <w:pPr>
        <w:pStyle w:val="ReferHead"/>
        <w:spacing w:after="0"/>
        <w:jc w:val="both"/>
        <w:rPr>
          <w:rFonts w:ascii="Arial" w:hAnsi="Arial" w:cs="Arial"/>
        </w:rPr>
      </w:pPr>
    </w:p>
    <w:p w14:paraId="50599932" w14:textId="77777777" w:rsidR="00666BA2" w:rsidRDefault="00666BA2" w:rsidP="00441B6F">
      <w:pPr>
        <w:pStyle w:val="ReferHead"/>
        <w:spacing w:after="0"/>
        <w:jc w:val="both"/>
        <w:rPr>
          <w:rFonts w:ascii="Arial" w:hAnsi="Arial" w:cs="Arial"/>
        </w:rPr>
      </w:pPr>
    </w:p>
    <w:p w14:paraId="4F409BBD" w14:textId="77777777" w:rsidR="00666BA2" w:rsidRDefault="00666BA2" w:rsidP="00441B6F">
      <w:pPr>
        <w:pStyle w:val="ReferHead"/>
        <w:spacing w:after="0"/>
        <w:jc w:val="both"/>
        <w:rPr>
          <w:rFonts w:ascii="Arial" w:hAnsi="Arial" w:cs="Arial"/>
        </w:rPr>
      </w:pPr>
    </w:p>
    <w:p w14:paraId="36B74468" w14:textId="77777777" w:rsidR="00666BA2" w:rsidRDefault="00666BA2" w:rsidP="00441B6F">
      <w:pPr>
        <w:pStyle w:val="ReferHead"/>
        <w:spacing w:after="0"/>
        <w:jc w:val="both"/>
        <w:rPr>
          <w:rFonts w:ascii="Arial" w:hAnsi="Arial" w:cs="Arial"/>
        </w:rPr>
      </w:pPr>
    </w:p>
    <w:p w14:paraId="352FFE5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FB93801" w14:textId="77777777" w:rsidR="00C549D9" w:rsidRDefault="00C549D9" w:rsidP="00C549D9">
      <w:pPr>
        <w:widowControl w:val="0"/>
        <w:autoSpaceDE w:val="0"/>
        <w:autoSpaceDN w:val="0"/>
        <w:adjustRightInd w:val="0"/>
        <w:ind w:left="480" w:hanging="480"/>
        <w:rPr>
          <w:rFonts w:ascii="Arial" w:hAnsi="Arial" w:cs="Arial"/>
        </w:rPr>
      </w:pPr>
    </w:p>
    <w:p w14:paraId="6854D4F2" w14:textId="77777777"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Arsyada</w:t>
      </w:r>
      <w:proofErr w:type="spellEnd"/>
      <w:r w:rsidRPr="001C2B4C">
        <w:rPr>
          <w:rFonts w:ascii="Arial" w:hAnsi="Arial" w:cs="Arial"/>
        </w:rPr>
        <w:t xml:space="preserve">, A. B., Sukirman, S., &amp; </w:t>
      </w:r>
      <w:proofErr w:type="spellStart"/>
      <w:r w:rsidRPr="001C2B4C">
        <w:rPr>
          <w:rFonts w:ascii="Arial" w:hAnsi="Arial" w:cs="Arial"/>
        </w:rPr>
        <w:t>Wahyuningrum</w:t>
      </w:r>
      <w:proofErr w:type="spellEnd"/>
      <w:r w:rsidRPr="001C2B4C">
        <w:rPr>
          <w:rFonts w:ascii="Arial" w:hAnsi="Arial" w:cs="Arial"/>
        </w:rPr>
        <w:t>, I. F. S. (2022). The Effect of Firm Size, Profitability, and Investment Decisions on Firm Value with Capital Structure as a Moderating Variable. Owner, 6(2), 1648–1663. https://doi.org/10.33395/owner.v6i2.785</w:t>
      </w:r>
    </w:p>
    <w:p w14:paraId="197A45A5" w14:textId="77777777"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Aslindar</w:t>
      </w:r>
      <w:proofErr w:type="spellEnd"/>
      <w:r w:rsidRPr="001C2B4C">
        <w:rPr>
          <w:rFonts w:ascii="Arial" w:hAnsi="Arial" w:cs="Arial"/>
        </w:rPr>
        <w:t>, D. A., &amp; Lestari, U. P. (2020). THE EFFECT OF PROFITABILITY, LIQUIDITY, AND GROWTH OPPORTUNITIES ON FIRM VALUE WITH CAPITAL STRUCTURE AS AN INTERVENING VARIABLE. Accounting, Finance, and Banking Dynamics, 9(1), 91–106.</w:t>
      </w:r>
    </w:p>
    <w:p w14:paraId="02CE9CD8" w14:textId="77777777" w:rsidR="001C2B4C" w:rsidRPr="001C2B4C" w:rsidRDefault="001C2B4C" w:rsidP="001C2B4C">
      <w:pPr>
        <w:widowControl w:val="0"/>
        <w:autoSpaceDE w:val="0"/>
        <w:autoSpaceDN w:val="0"/>
        <w:adjustRightInd w:val="0"/>
        <w:ind w:left="480" w:hanging="480"/>
        <w:jc w:val="both"/>
        <w:rPr>
          <w:rFonts w:ascii="Arial" w:hAnsi="Arial" w:cs="Arial"/>
        </w:rPr>
      </w:pPr>
      <w:r w:rsidRPr="001C2B4C">
        <w:rPr>
          <w:rFonts w:ascii="Arial" w:hAnsi="Arial" w:cs="Arial"/>
        </w:rPr>
        <w:t>Elisa, Siti Nur, &amp; Amanah, L. (2019). The Effect of Financial Performance, Firm Size, and Sales Growth on Firm Value. Journal of Accounting Science and Research.</w:t>
      </w:r>
    </w:p>
    <w:p w14:paraId="4B63AC09" w14:textId="77777777" w:rsidR="001C2B4C" w:rsidRPr="001C2B4C" w:rsidRDefault="001C2B4C" w:rsidP="001C2B4C">
      <w:pPr>
        <w:widowControl w:val="0"/>
        <w:autoSpaceDE w:val="0"/>
        <w:autoSpaceDN w:val="0"/>
        <w:adjustRightInd w:val="0"/>
        <w:ind w:left="480" w:hanging="480"/>
        <w:jc w:val="both"/>
        <w:rPr>
          <w:rFonts w:ascii="Arial" w:hAnsi="Arial" w:cs="Arial"/>
        </w:rPr>
      </w:pPr>
      <w:r w:rsidRPr="001C2B4C">
        <w:rPr>
          <w:rFonts w:ascii="Arial" w:hAnsi="Arial" w:cs="Arial"/>
        </w:rPr>
        <w:t xml:space="preserve">Fitriani, S., &amp; </w:t>
      </w:r>
      <w:proofErr w:type="spellStart"/>
      <w:r w:rsidRPr="001C2B4C">
        <w:rPr>
          <w:rFonts w:ascii="Arial" w:hAnsi="Arial" w:cs="Arial"/>
        </w:rPr>
        <w:t>Asyik</w:t>
      </w:r>
      <w:proofErr w:type="spellEnd"/>
      <w:r w:rsidRPr="001C2B4C">
        <w:rPr>
          <w:rFonts w:ascii="Arial" w:hAnsi="Arial" w:cs="Arial"/>
        </w:rPr>
        <w:t>, N. F. (2023). The Effect of Profitability and Investment Decisions on Firm Value with Capital Structure as a Moderating Variable. 2–19.</w:t>
      </w:r>
    </w:p>
    <w:p w14:paraId="49CBBD7F" w14:textId="77777777" w:rsidR="001C2B4C" w:rsidRPr="001C2B4C" w:rsidRDefault="001C2B4C" w:rsidP="001C2B4C">
      <w:pPr>
        <w:widowControl w:val="0"/>
        <w:autoSpaceDE w:val="0"/>
        <w:autoSpaceDN w:val="0"/>
        <w:adjustRightInd w:val="0"/>
        <w:ind w:left="480" w:hanging="480"/>
        <w:jc w:val="both"/>
        <w:rPr>
          <w:rFonts w:ascii="Arial" w:hAnsi="Arial" w:cs="Arial"/>
        </w:rPr>
      </w:pPr>
      <w:r w:rsidRPr="001C2B4C">
        <w:rPr>
          <w:rFonts w:ascii="Arial" w:hAnsi="Arial" w:cs="Arial"/>
        </w:rPr>
        <w:t xml:space="preserve">Indro Purnomo, &amp; </w:t>
      </w:r>
      <w:proofErr w:type="spellStart"/>
      <w:r w:rsidRPr="001C2B4C">
        <w:rPr>
          <w:rFonts w:ascii="Arial" w:hAnsi="Arial" w:cs="Arial"/>
        </w:rPr>
        <w:t>Hwihanus</w:t>
      </w:r>
      <w:proofErr w:type="spellEnd"/>
      <w:r w:rsidRPr="001C2B4C">
        <w:rPr>
          <w:rFonts w:ascii="Arial" w:hAnsi="Arial" w:cs="Arial"/>
        </w:rPr>
        <w:t>. (2024). Dividend Policy on the Value of BEI-Listed Firms 2018-2022: The Moderating Role of Capital Structure, Size, and Profitability. El-Mal: Journal of Islamic Economics &amp; Business Studies, 5(7), 3543–3563. https://doi.org/10.47467/elmal.v5i7.3384</w:t>
      </w:r>
    </w:p>
    <w:p w14:paraId="28319505" w14:textId="77777777"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Mesrawati</w:t>
      </w:r>
      <w:proofErr w:type="spellEnd"/>
      <w:r w:rsidRPr="001C2B4C">
        <w:rPr>
          <w:rFonts w:ascii="Arial" w:hAnsi="Arial" w:cs="Arial"/>
        </w:rPr>
        <w:t xml:space="preserve">, </w:t>
      </w:r>
      <w:proofErr w:type="spellStart"/>
      <w:r w:rsidRPr="001C2B4C">
        <w:rPr>
          <w:rFonts w:ascii="Arial" w:hAnsi="Arial" w:cs="Arial"/>
        </w:rPr>
        <w:t>Clairine</w:t>
      </w:r>
      <w:proofErr w:type="spellEnd"/>
      <w:r w:rsidRPr="001C2B4C">
        <w:rPr>
          <w:rFonts w:ascii="Arial" w:hAnsi="Arial" w:cs="Arial"/>
        </w:rPr>
        <w:t xml:space="preserve">, </w:t>
      </w:r>
      <w:proofErr w:type="spellStart"/>
      <w:r w:rsidRPr="001C2B4C">
        <w:rPr>
          <w:rFonts w:ascii="Arial" w:hAnsi="Arial" w:cs="Arial"/>
        </w:rPr>
        <w:t>Benua</w:t>
      </w:r>
      <w:proofErr w:type="spellEnd"/>
      <w:r w:rsidRPr="001C2B4C">
        <w:rPr>
          <w:rFonts w:ascii="Arial" w:hAnsi="Arial" w:cs="Arial"/>
        </w:rPr>
        <w:t xml:space="preserve">, K. M., &amp; </w:t>
      </w:r>
      <w:proofErr w:type="spellStart"/>
      <w:r w:rsidRPr="001C2B4C">
        <w:rPr>
          <w:rFonts w:ascii="Arial" w:hAnsi="Arial" w:cs="Arial"/>
        </w:rPr>
        <w:t>Jonaltan</w:t>
      </w:r>
      <w:proofErr w:type="spellEnd"/>
      <w:r w:rsidRPr="001C2B4C">
        <w:rPr>
          <w:rFonts w:ascii="Arial" w:hAnsi="Arial" w:cs="Arial"/>
        </w:rPr>
        <w:t>, A. (2021). THE EFFECT OF INVESTMENT DECISIONS, FUNDING DECISIONS, AND DIVIDEND POLICY ON THE VALUE OF CONSUMER COMPANIES LISTED ON THE INDONESIA STOCK EXCHANGE DURING THE 2016-2018 PERIOD. 15, 157–165.</w:t>
      </w:r>
    </w:p>
    <w:p w14:paraId="112E992A" w14:textId="77777777"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Mursad</w:t>
      </w:r>
      <w:proofErr w:type="spellEnd"/>
      <w:r w:rsidRPr="001C2B4C">
        <w:rPr>
          <w:rFonts w:ascii="Arial" w:hAnsi="Arial" w:cs="Arial"/>
        </w:rPr>
        <w:t>, I. (2019). Journal, April 30, 2019. April.</w:t>
      </w:r>
    </w:p>
    <w:p w14:paraId="43B6AA83" w14:textId="77777777"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Nikma</w:t>
      </w:r>
      <w:proofErr w:type="spellEnd"/>
      <w:r w:rsidRPr="001C2B4C">
        <w:rPr>
          <w:rFonts w:ascii="Arial" w:hAnsi="Arial" w:cs="Arial"/>
        </w:rPr>
        <w:t>, R. H. (2025). Types of Cooperatives. Management Accounting, Economics, 22(9), 2025. https://doi.org/10.8734/mnmae.v1i2.359</w:t>
      </w:r>
    </w:p>
    <w:p w14:paraId="51B83DA7" w14:textId="77777777" w:rsidR="001C2B4C" w:rsidRPr="001C2B4C" w:rsidRDefault="001C2B4C" w:rsidP="001C2B4C">
      <w:pPr>
        <w:widowControl w:val="0"/>
        <w:autoSpaceDE w:val="0"/>
        <w:autoSpaceDN w:val="0"/>
        <w:adjustRightInd w:val="0"/>
        <w:ind w:left="480" w:hanging="480"/>
        <w:jc w:val="both"/>
        <w:rPr>
          <w:rFonts w:ascii="Arial" w:hAnsi="Arial" w:cs="Arial"/>
        </w:rPr>
      </w:pPr>
      <w:r w:rsidRPr="001C2B4C">
        <w:rPr>
          <w:rFonts w:ascii="Arial" w:hAnsi="Arial" w:cs="Arial"/>
        </w:rPr>
        <w:t xml:space="preserve">Ningrum, G. M., &amp; </w:t>
      </w:r>
      <w:proofErr w:type="spellStart"/>
      <w:r w:rsidRPr="001C2B4C">
        <w:rPr>
          <w:rFonts w:ascii="Arial" w:hAnsi="Arial" w:cs="Arial"/>
        </w:rPr>
        <w:t>Ulfa</w:t>
      </w:r>
      <w:proofErr w:type="spellEnd"/>
      <w:r w:rsidRPr="001C2B4C">
        <w:rPr>
          <w:rFonts w:ascii="Arial" w:hAnsi="Arial" w:cs="Arial"/>
        </w:rPr>
        <w:t>. (2024). The Effect of Investment Decisions, Sales Growth, and Liquidity on Firm Value with Capital Structure as a Moderating Variable. KLASSEN, 04(2), 77–90.</w:t>
      </w:r>
    </w:p>
    <w:p w14:paraId="2422163F" w14:textId="77777777"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Nugraha</w:t>
      </w:r>
      <w:proofErr w:type="spellEnd"/>
      <w:r w:rsidRPr="001C2B4C">
        <w:rPr>
          <w:rFonts w:ascii="Arial" w:hAnsi="Arial" w:cs="Arial"/>
        </w:rPr>
        <w:t xml:space="preserve">, N. M., Novan, D., </w:t>
      </w:r>
      <w:proofErr w:type="spellStart"/>
      <w:r w:rsidRPr="001C2B4C">
        <w:rPr>
          <w:rFonts w:ascii="Arial" w:hAnsi="Arial" w:cs="Arial"/>
        </w:rPr>
        <w:t>Nugraha</w:t>
      </w:r>
      <w:proofErr w:type="spellEnd"/>
      <w:r w:rsidRPr="001C2B4C">
        <w:rPr>
          <w:rFonts w:ascii="Arial" w:hAnsi="Arial" w:cs="Arial"/>
        </w:rPr>
        <w:t xml:space="preserve">, S., &amp; </w:t>
      </w:r>
      <w:proofErr w:type="spellStart"/>
      <w:r w:rsidRPr="001C2B4C">
        <w:rPr>
          <w:rFonts w:ascii="Arial" w:hAnsi="Arial" w:cs="Arial"/>
        </w:rPr>
        <w:t>Sapitri</w:t>
      </w:r>
      <w:proofErr w:type="spellEnd"/>
      <w:r w:rsidRPr="001C2B4C">
        <w:rPr>
          <w:rFonts w:ascii="Arial" w:hAnsi="Arial" w:cs="Arial"/>
        </w:rPr>
        <w:t>, S. (2020). The Effect of Funding, Investment, and Dividend Policies on Firm Value in the Manufacturing Industry Sectors.</w:t>
      </w:r>
    </w:p>
    <w:p w14:paraId="4ABC3BEA" w14:textId="77777777"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Nuryatin</w:t>
      </w:r>
      <w:proofErr w:type="spellEnd"/>
      <w:r w:rsidRPr="001C2B4C">
        <w:rPr>
          <w:rFonts w:ascii="Arial" w:hAnsi="Arial" w:cs="Arial"/>
        </w:rPr>
        <w:t xml:space="preserve">, S. H., Pratiwi, L. N., Setiawan, S., &amp; </w:t>
      </w:r>
      <w:proofErr w:type="spellStart"/>
      <w:r w:rsidRPr="001C2B4C">
        <w:rPr>
          <w:rFonts w:ascii="Arial" w:hAnsi="Arial" w:cs="Arial"/>
        </w:rPr>
        <w:t>Dhonal</w:t>
      </w:r>
      <w:proofErr w:type="spellEnd"/>
      <w:r w:rsidRPr="001C2B4C">
        <w:rPr>
          <w:rFonts w:ascii="Arial" w:hAnsi="Arial" w:cs="Arial"/>
        </w:rPr>
        <w:t>, R. (2022). The Effect of Debt Policy, Firm Size, and Dividend Policy on Firm Value. Journal of Applied Islamic Economics and Finance, 3(1), 108–116. https://doi.org/10.35313/jaief.v3i1.3848</w:t>
      </w:r>
    </w:p>
    <w:p w14:paraId="32534F5C" w14:textId="77777777"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Pramurza</w:t>
      </w:r>
      <w:proofErr w:type="spellEnd"/>
      <w:r w:rsidRPr="001C2B4C">
        <w:rPr>
          <w:rFonts w:ascii="Arial" w:hAnsi="Arial" w:cs="Arial"/>
        </w:rPr>
        <w:t>, (2021). The Effect of Dividend Policy and Investment Decisions on Firm Value in Mining Sector Companies Listed on the Indonesia Stock Exchange 2009–2018. Journal of Applied Accounting and Business, 3(1), 33–40. https://doi.org/10.37338/jaab.v3i1.71</w:t>
      </w:r>
    </w:p>
    <w:p w14:paraId="41183D9C" w14:textId="77777777" w:rsidR="001C2B4C" w:rsidRPr="001C2B4C" w:rsidRDefault="001C2B4C" w:rsidP="001C2B4C">
      <w:pPr>
        <w:widowControl w:val="0"/>
        <w:autoSpaceDE w:val="0"/>
        <w:autoSpaceDN w:val="0"/>
        <w:adjustRightInd w:val="0"/>
        <w:ind w:left="480" w:hanging="480"/>
        <w:jc w:val="both"/>
        <w:rPr>
          <w:rFonts w:ascii="Arial" w:hAnsi="Arial" w:cs="Arial"/>
        </w:rPr>
      </w:pPr>
      <w:r w:rsidRPr="001C2B4C">
        <w:rPr>
          <w:rFonts w:ascii="Arial" w:hAnsi="Arial" w:cs="Arial"/>
        </w:rPr>
        <w:t xml:space="preserve">Putri, T. C., &amp; </w:t>
      </w:r>
      <w:proofErr w:type="spellStart"/>
      <w:r w:rsidRPr="001C2B4C">
        <w:rPr>
          <w:rFonts w:ascii="Arial" w:hAnsi="Arial" w:cs="Arial"/>
        </w:rPr>
        <w:t>Puspitasari</w:t>
      </w:r>
      <w:proofErr w:type="spellEnd"/>
      <w:r w:rsidRPr="001C2B4C">
        <w:rPr>
          <w:rFonts w:ascii="Arial" w:hAnsi="Arial" w:cs="Arial"/>
        </w:rPr>
        <w:t>, R. (2022). The Effect of Capital Structure, Investment Decisions, and Profitability as Intervening Variables on Firm Value. Scientific Journal of Unitary Management, 10(2), 255–272. https://doi.org/10.37641/jimkes.v10i2.1437</w:t>
      </w:r>
    </w:p>
    <w:p w14:paraId="5A00648F" w14:textId="77777777"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Rizkiwati</w:t>
      </w:r>
      <w:proofErr w:type="spellEnd"/>
      <w:r w:rsidRPr="001C2B4C">
        <w:rPr>
          <w:rFonts w:ascii="Arial" w:hAnsi="Arial" w:cs="Arial"/>
        </w:rPr>
        <w:t xml:space="preserve">, N., &amp; Anwar, M. (2023). The Effect of Investment Decisions on Firm Value with Capital Structure as an Intervening Variable in Food &amp; Beverage Companies Listed on the IDX. </w:t>
      </w:r>
      <w:proofErr w:type="spellStart"/>
      <w:r w:rsidRPr="001C2B4C">
        <w:rPr>
          <w:rFonts w:ascii="Arial" w:hAnsi="Arial" w:cs="Arial"/>
        </w:rPr>
        <w:t>Reslaj</w:t>
      </w:r>
      <w:proofErr w:type="spellEnd"/>
      <w:r w:rsidRPr="001C2B4C">
        <w:rPr>
          <w:rFonts w:ascii="Arial" w:hAnsi="Arial" w:cs="Arial"/>
        </w:rPr>
        <w:t xml:space="preserve">: Religion Education Social </w:t>
      </w:r>
      <w:proofErr w:type="spellStart"/>
      <w:r w:rsidRPr="001C2B4C">
        <w:rPr>
          <w:rFonts w:ascii="Arial" w:hAnsi="Arial" w:cs="Arial"/>
        </w:rPr>
        <w:t>Laa</w:t>
      </w:r>
      <w:proofErr w:type="spellEnd"/>
      <w:r w:rsidRPr="001C2B4C">
        <w:rPr>
          <w:rFonts w:ascii="Arial" w:hAnsi="Arial" w:cs="Arial"/>
        </w:rPr>
        <w:t xml:space="preserve"> </w:t>
      </w:r>
      <w:proofErr w:type="spellStart"/>
      <w:r w:rsidRPr="001C2B4C">
        <w:rPr>
          <w:rFonts w:ascii="Arial" w:hAnsi="Arial" w:cs="Arial"/>
        </w:rPr>
        <w:t>Roiba</w:t>
      </w:r>
      <w:proofErr w:type="spellEnd"/>
      <w:r w:rsidRPr="001C2B4C">
        <w:rPr>
          <w:rFonts w:ascii="Arial" w:hAnsi="Arial" w:cs="Arial"/>
        </w:rPr>
        <w:t xml:space="preserve"> Journal, 5(6), 3271–3282. https://doi.org/10.47467/reslaj.v5i6.3804</w:t>
      </w:r>
    </w:p>
    <w:p w14:paraId="5C1EA873" w14:textId="77777777" w:rsidR="001C2B4C" w:rsidRPr="001C2B4C" w:rsidRDefault="001C2B4C" w:rsidP="001C2B4C">
      <w:pPr>
        <w:widowControl w:val="0"/>
        <w:autoSpaceDE w:val="0"/>
        <w:autoSpaceDN w:val="0"/>
        <w:adjustRightInd w:val="0"/>
        <w:ind w:left="480" w:hanging="480"/>
        <w:jc w:val="both"/>
        <w:rPr>
          <w:rFonts w:ascii="Arial" w:hAnsi="Arial" w:cs="Arial"/>
        </w:rPr>
      </w:pPr>
    </w:p>
    <w:p w14:paraId="1F313033" w14:textId="77777777"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Sagita</w:t>
      </w:r>
      <w:proofErr w:type="spellEnd"/>
      <w:r w:rsidRPr="001C2B4C">
        <w:rPr>
          <w:rFonts w:ascii="Arial" w:hAnsi="Arial" w:cs="Arial"/>
        </w:rPr>
        <w:t xml:space="preserve">, R. M., Negara, I. K., &amp; </w:t>
      </w:r>
      <w:proofErr w:type="spellStart"/>
      <w:r w:rsidRPr="001C2B4C">
        <w:rPr>
          <w:rFonts w:ascii="Arial" w:hAnsi="Arial" w:cs="Arial"/>
        </w:rPr>
        <w:t>Kusmayadi</w:t>
      </w:r>
      <w:proofErr w:type="spellEnd"/>
      <w:r w:rsidRPr="001C2B4C">
        <w:rPr>
          <w:rFonts w:ascii="Arial" w:hAnsi="Arial" w:cs="Arial"/>
        </w:rPr>
        <w:t>, I. (2023). Analysis of the Effect of Profitability, Liquidity, Firm Size, and Dividend Policy on Firm Value, Using Capital Structure as a Moderating Variable. ALEXANDRIA (Journal of Economics, Business, &amp; Entrepreneurship), 4(2), 60–66. https://doi.org/10.29303/alexandria.v4i2.458</w:t>
      </w:r>
    </w:p>
    <w:p w14:paraId="3D12E7FF" w14:textId="77777777" w:rsidR="001C2B4C" w:rsidRPr="001C2B4C" w:rsidRDefault="001C2B4C" w:rsidP="001C2B4C">
      <w:pPr>
        <w:widowControl w:val="0"/>
        <w:autoSpaceDE w:val="0"/>
        <w:autoSpaceDN w:val="0"/>
        <w:adjustRightInd w:val="0"/>
        <w:ind w:left="480" w:hanging="480"/>
        <w:jc w:val="both"/>
        <w:rPr>
          <w:rFonts w:ascii="Arial" w:hAnsi="Arial" w:cs="Arial"/>
        </w:rPr>
      </w:pPr>
      <w:r w:rsidRPr="001C2B4C">
        <w:rPr>
          <w:rFonts w:ascii="Arial" w:hAnsi="Arial" w:cs="Arial"/>
        </w:rPr>
        <w:t xml:space="preserve">Sriyani, E. D., &amp; </w:t>
      </w:r>
      <w:proofErr w:type="spellStart"/>
      <w:r w:rsidRPr="001C2B4C">
        <w:rPr>
          <w:rFonts w:ascii="Arial" w:hAnsi="Arial" w:cs="Arial"/>
        </w:rPr>
        <w:t>Purwasih</w:t>
      </w:r>
      <w:proofErr w:type="spellEnd"/>
      <w:r w:rsidRPr="001C2B4C">
        <w:rPr>
          <w:rFonts w:ascii="Arial" w:hAnsi="Arial" w:cs="Arial"/>
        </w:rPr>
        <w:t xml:space="preserve">, D. (2022). The Effect of Financial Performance and Dividend Policy on Firm Value, Using Capital Structure as an Intervening Variable. </w:t>
      </w:r>
      <w:proofErr w:type="spellStart"/>
      <w:r w:rsidRPr="001C2B4C">
        <w:rPr>
          <w:rFonts w:ascii="Arial" w:hAnsi="Arial" w:cs="Arial"/>
        </w:rPr>
        <w:t>Jurnal</w:t>
      </w:r>
      <w:proofErr w:type="spellEnd"/>
      <w:r w:rsidRPr="001C2B4C">
        <w:rPr>
          <w:rFonts w:ascii="Arial" w:hAnsi="Arial" w:cs="Arial"/>
        </w:rPr>
        <w:t xml:space="preserve"> Revenue: </w:t>
      </w:r>
      <w:proofErr w:type="spellStart"/>
      <w:r w:rsidRPr="001C2B4C">
        <w:rPr>
          <w:rFonts w:ascii="Arial" w:hAnsi="Arial" w:cs="Arial"/>
        </w:rPr>
        <w:t>Jurnal</w:t>
      </w:r>
      <w:proofErr w:type="spellEnd"/>
      <w:r w:rsidRPr="001C2B4C">
        <w:rPr>
          <w:rFonts w:ascii="Arial" w:hAnsi="Arial" w:cs="Arial"/>
        </w:rPr>
        <w:t xml:space="preserve"> </w:t>
      </w:r>
      <w:proofErr w:type="spellStart"/>
      <w:r w:rsidRPr="001C2B4C">
        <w:rPr>
          <w:rFonts w:ascii="Arial" w:hAnsi="Arial" w:cs="Arial"/>
        </w:rPr>
        <w:t>Ilmiah</w:t>
      </w:r>
      <w:proofErr w:type="spellEnd"/>
      <w:r w:rsidRPr="001C2B4C">
        <w:rPr>
          <w:rFonts w:ascii="Arial" w:hAnsi="Arial" w:cs="Arial"/>
        </w:rPr>
        <w:t xml:space="preserve"> Akuntansi, 3(1), 368–382. https://doi.org/10.46306/rev.v3i1.149</w:t>
      </w:r>
    </w:p>
    <w:p w14:paraId="195B08D1" w14:textId="77777777" w:rsidR="001C2B4C" w:rsidRPr="001C2B4C" w:rsidRDefault="001C2B4C" w:rsidP="001C2B4C">
      <w:pPr>
        <w:widowControl w:val="0"/>
        <w:autoSpaceDE w:val="0"/>
        <w:autoSpaceDN w:val="0"/>
        <w:adjustRightInd w:val="0"/>
        <w:ind w:left="480" w:hanging="480"/>
        <w:jc w:val="both"/>
        <w:rPr>
          <w:rFonts w:ascii="Arial" w:hAnsi="Arial" w:cs="Arial"/>
        </w:rPr>
      </w:pPr>
      <w:r w:rsidRPr="001C2B4C">
        <w:rPr>
          <w:rFonts w:ascii="Arial" w:hAnsi="Arial" w:cs="Arial"/>
        </w:rPr>
        <w:lastRenderedPageBreak/>
        <w:t xml:space="preserve">Suharti, Hendra, &amp; Hanif, </w:t>
      </w:r>
      <w:proofErr w:type="spellStart"/>
      <w:r w:rsidRPr="001C2B4C">
        <w:rPr>
          <w:rFonts w:ascii="Arial" w:hAnsi="Arial" w:cs="Arial"/>
        </w:rPr>
        <w:t>Rheny</w:t>
      </w:r>
      <w:proofErr w:type="spellEnd"/>
      <w:r w:rsidRPr="001C2B4C">
        <w:rPr>
          <w:rFonts w:ascii="Arial" w:hAnsi="Arial" w:cs="Arial"/>
        </w:rPr>
        <w:t xml:space="preserve"> </w:t>
      </w:r>
      <w:proofErr w:type="spellStart"/>
      <w:r w:rsidRPr="001C2B4C">
        <w:rPr>
          <w:rFonts w:ascii="Arial" w:hAnsi="Arial" w:cs="Arial"/>
        </w:rPr>
        <w:t>Afriana</w:t>
      </w:r>
      <w:proofErr w:type="spellEnd"/>
      <w:r w:rsidRPr="001C2B4C">
        <w:rPr>
          <w:rFonts w:ascii="Arial" w:hAnsi="Arial" w:cs="Arial"/>
        </w:rPr>
        <w:t>. (2022). THE EFFECT OF COMPANY SIZE, DIVIDEND POLICY, BUSINESS RISK, PROFITABILITY ON CAPITAL STRUCTURE AND FIRM VALUE (pp. 68–84).</w:t>
      </w:r>
    </w:p>
    <w:p w14:paraId="546DF1F9" w14:textId="77777777" w:rsidR="001C2B4C" w:rsidRPr="001C2B4C" w:rsidRDefault="001C2B4C" w:rsidP="001C2B4C">
      <w:pPr>
        <w:widowControl w:val="0"/>
        <w:autoSpaceDE w:val="0"/>
        <w:autoSpaceDN w:val="0"/>
        <w:adjustRightInd w:val="0"/>
        <w:ind w:left="480" w:hanging="480"/>
        <w:jc w:val="both"/>
        <w:rPr>
          <w:rFonts w:ascii="Arial" w:hAnsi="Arial" w:cs="Arial"/>
        </w:rPr>
      </w:pPr>
      <w:r w:rsidRPr="001C2B4C">
        <w:rPr>
          <w:rFonts w:ascii="Arial" w:hAnsi="Arial" w:cs="Arial"/>
        </w:rPr>
        <w:t xml:space="preserve">Tamba, E. C., </w:t>
      </w:r>
      <w:proofErr w:type="spellStart"/>
      <w:r w:rsidRPr="001C2B4C">
        <w:rPr>
          <w:rFonts w:ascii="Arial" w:hAnsi="Arial" w:cs="Arial"/>
        </w:rPr>
        <w:t>Pandiangan</w:t>
      </w:r>
      <w:proofErr w:type="spellEnd"/>
      <w:r w:rsidRPr="001C2B4C">
        <w:rPr>
          <w:rFonts w:ascii="Arial" w:hAnsi="Arial" w:cs="Arial"/>
        </w:rPr>
        <w:t xml:space="preserve">, L., Ginting, R. N., &amp; </w:t>
      </w:r>
      <w:proofErr w:type="spellStart"/>
      <w:r w:rsidRPr="001C2B4C">
        <w:rPr>
          <w:rFonts w:ascii="Arial" w:hAnsi="Arial" w:cs="Arial"/>
        </w:rPr>
        <w:t>Sitepu</w:t>
      </w:r>
      <w:proofErr w:type="spellEnd"/>
      <w:r w:rsidRPr="001C2B4C">
        <w:rPr>
          <w:rFonts w:ascii="Arial" w:hAnsi="Arial" w:cs="Arial"/>
        </w:rPr>
        <w:t>, W. R. B. (2020). The Effect of Sales Growth, Profitability, Liquidity, and Dividend Policy on the Value of Manufacturing Companies Listed on the IDX. Owner (Research and Accounting Journal), 4(2), 485.</w:t>
      </w:r>
    </w:p>
    <w:p w14:paraId="18E8B234" w14:textId="77777777"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Triyonowati</w:t>
      </w:r>
      <w:proofErr w:type="spellEnd"/>
      <w:r w:rsidRPr="001C2B4C">
        <w:rPr>
          <w:rFonts w:ascii="Arial" w:hAnsi="Arial" w:cs="Arial"/>
        </w:rPr>
        <w:t>, R. I.; (2019). THE EFFECT OF PROFITABILITY, DEBT POLICY, AND SALES GROWTH ON THE VALUE OF RETAIL COMPANIES LISTED ON THE IDX. Journal of Management Science and Research, 1–17.</w:t>
      </w:r>
    </w:p>
    <w:p w14:paraId="32093914" w14:textId="77777777"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Ulfa</w:t>
      </w:r>
      <w:proofErr w:type="spellEnd"/>
      <w:r w:rsidRPr="001C2B4C">
        <w:rPr>
          <w:rFonts w:ascii="Arial" w:hAnsi="Arial" w:cs="Arial"/>
        </w:rPr>
        <w:t xml:space="preserve">, F., </w:t>
      </w:r>
      <w:proofErr w:type="spellStart"/>
      <w:r w:rsidRPr="001C2B4C">
        <w:rPr>
          <w:rFonts w:ascii="Arial" w:hAnsi="Arial" w:cs="Arial"/>
        </w:rPr>
        <w:t>Prasasti</w:t>
      </w:r>
      <w:proofErr w:type="spellEnd"/>
      <w:r w:rsidRPr="001C2B4C">
        <w:rPr>
          <w:rFonts w:ascii="Arial" w:hAnsi="Arial" w:cs="Arial"/>
        </w:rPr>
        <w:t xml:space="preserve">, K. B., Akbar, T., Kadiri, U. I., </w:t>
      </w:r>
      <w:proofErr w:type="spellStart"/>
      <w:r w:rsidRPr="001C2B4C">
        <w:rPr>
          <w:rFonts w:ascii="Arial" w:hAnsi="Arial" w:cs="Arial"/>
        </w:rPr>
        <w:t>Pengiriman</w:t>
      </w:r>
      <w:proofErr w:type="spellEnd"/>
      <w:r w:rsidRPr="001C2B4C">
        <w:rPr>
          <w:rFonts w:ascii="Arial" w:hAnsi="Arial" w:cs="Arial"/>
        </w:rPr>
        <w:t xml:space="preserve">, P., &amp; </w:t>
      </w:r>
      <w:proofErr w:type="spellStart"/>
      <w:r w:rsidRPr="001C2B4C">
        <w:rPr>
          <w:rFonts w:ascii="Arial" w:hAnsi="Arial" w:cs="Arial"/>
        </w:rPr>
        <w:t>Belakang</w:t>
      </w:r>
      <w:proofErr w:type="spellEnd"/>
      <w:r w:rsidRPr="001C2B4C">
        <w:rPr>
          <w:rFonts w:ascii="Arial" w:hAnsi="Arial" w:cs="Arial"/>
        </w:rPr>
        <w:t>, L. (2024). THE EFFECT OF PROFITABILITY, SALES GROWTH, AND LIQUIDITY ON COMPANY VALUE WITH CAPITAL STRUCTURE AS AN INTERVENING VARIABLE. MUSYTARI. Management Balance Sheet, Economics, 8(9).</w:t>
      </w:r>
    </w:p>
    <w:p w14:paraId="26DF72FC" w14:textId="77777777" w:rsidR="001C2B4C" w:rsidRPr="001C2B4C" w:rsidRDefault="001C2B4C" w:rsidP="001C2B4C">
      <w:pPr>
        <w:widowControl w:val="0"/>
        <w:autoSpaceDE w:val="0"/>
        <w:autoSpaceDN w:val="0"/>
        <w:adjustRightInd w:val="0"/>
        <w:ind w:left="480" w:hanging="480"/>
        <w:jc w:val="both"/>
        <w:rPr>
          <w:rFonts w:ascii="Arial" w:hAnsi="Arial" w:cs="Arial"/>
        </w:rPr>
      </w:pPr>
      <w:r w:rsidRPr="001C2B4C">
        <w:rPr>
          <w:rFonts w:ascii="Arial" w:hAnsi="Arial" w:cs="Arial"/>
        </w:rPr>
        <w:t>Vina, I. A. (2019). Price to Book Value (PBV). The Effect of Capital Structure, Profitability, and Investment Decisions on Company Value, 8(12), 2042–2054.</w:t>
      </w:r>
    </w:p>
    <w:p w14:paraId="654AE24B" w14:textId="77777777" w:rsidR="001C2B4C" w:rsidRPr="001C2B4C" w:rsidRDefault="001C2B4C" w:rsidP="001C2B4C">
      <w:pPr>
        <w:widowControl w:val="0"/>
        <w:autoSpaceDE w:val="0"/>
        <w:autoSpaceDN w:val="0"/>
        <w:adjustRightInd w:val="0"/>
        <w:ind w:left="480" w:hanging="480"/>
        <w:jc w:val="both"/>
        <w:rPr>
          <w:rFonts w:ascii="Arial" w:hAnsi="Arial" w:cs="Arial"/>
        </w:rPr>
      </w:pPr>
      <w:proofErr w:type="spellStart"/>
      <w:r w:rsidRPr="001C2B4C">
        <w:rPr>
          <w:rFonts w:ascii="Arial" w:hAnsi="Arial" w:cs="Arial"/>
        </w:rPr>
        <w:t>Widayanthi</w:t>
      </w:r>
      <w:proofErr w:type="spellEnd"/>
      <w:r w:rsidRPr="001C2B4C">
        <w:rPr>
          <w:rFonts w:ascii="Arial" w:hAnsi="Arial" w:cs="Arial"/>
        </w:rPr>
        <w:t xml:space="preserve">, N. M. D. G., &amp; </w:t>
      </w:r>
      <w:proofErr w:type="spellStart"/>
      <w:r w:rsidRPr="001C2B4C">
        <w:rPr>
          <w:rFonts w:ascii="Arial" w:hAnsi="Arial" w:cs="Arial"/>
        </w:rPr>
        <w:t>Sudiartha</w:t>
      </w:r>
      <w:proofErr w:type="spellEnd"/>
      <w:r w:rsidRPr="001C2B4C">
        <w:rPr>
          <w:rFonts w:ascii="Arial" w:hAnsi="Arial" w:cs="Arial"/>
        </w:rPr>
        <w:t xml:space="preserve">, G. M. (2018). THE EFFECT OF GROWTH LEVEL ON COMPANY VALUE WITH CAPITAL STRUCTURE AS A MODERATING VARIABLE. </w:t>
      </w:r>
      <w:proofErr w:type="spellStart"/>
      <w:r w:rsidRPr="001C2B4C">
        <w:rPr>
          <w:rFonts w:ascii="Arial" w:hAnsi="Arial" w:cs="Arial"/>
        </w:rPr>
        <w:t>Unud</w:t>
      </w:r>
      <w:proofErr w:type="spellEnd"/>
      <w:r w:rsidRPr="001C2B4C">
        <w:rPr>
          <w:rFonts w:ascii="Arial" w:hAnsi="Arial" w:cs="Arial"/>
        </w:rPr>
        <w:t xml:space="preserve"> E-Journal of Management, 7(4), 2196–2225.</w:t>
      </w:r>
    </w:p>
    <w:p w14:paraId="4EDFE3EB" w14:textId="04D852A8" w:rsidR="003730CB" w:rsidRDefault="001C2B4C" w:rsidP="001C2B4C">
      <w:pPr>
        <w:widowControl w:val="0"/>
        <w:autoSpaceDE w:val="0"/>
        <w:autoSpaceDN w:val="0"/>
        <w:adjustRightInd w:val="0"/>
        <w:ind w:left="480" w:hanging="480"/>
        <w:jc w:val="both"/>
        <w:rPr>
          <w:rFonts w:ascii="Arial" w:hAnsi="Arial" w:cs="Arial"/>
        </w:rPr>
      </w:pPr>
      <w:r w:rsidRPr="001C2B4C">
        <w:rPr>
          <w:rFonts w:ascii="Arial" w:hAnsi="Arial" w:cs="Arial"/>
        </w:rPr>
        <w:t>Wijaya. (2019). THE EFFECT OF SALES GROWTH ON COMPANY VALUE WITH CAPITAL STRUCTURE AS AN INTERVENING VARIABLE. JUIMA, 9(2).</w:t>
      </w:r>
    </w:p>
    <w:p w14:paraId="28F25C1E" w14:textId="77777777" w:rsidR="001C2B4C" w:rsidRPr="003730CB" w:rsidRDefault="001C2B4C" w:rsidP="001C2B4C">
      <w:pPr>
        <w:widowControl w:val="0"/>
        <w:autoSpaceDE w:val="0"/>
        <w:autoSpaceDN w:val="0"/>
        <w:adjustRightInd w:val="0"/>
        <w:ind w:left="480" w:hanging="480"/>
        <w:jc w:val="both"/>
      </w:pPr>
    </w:p>
    <w:sectPr w:rsidR="001C2B4C" w:rsidRPr="003730CB" w:rsidSect="00146B7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DC948" w14:textId="77777777" w:rsidR="004D113D" w:rsidRDefault="004D113D" w:rsidP="00C37E61">
      <w:r>
        <w:separator/>
      </w:r>
    </w:p>
  </w:endnote>
  <w:endnote w:type="continuationSeparator" w:id="0">
    <w:p w14:paraId="4675E5C7" w14:textId="77777777" w:rsidR="004D113D" w:rsidRDefault="004D11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E64E3" w14:textId="77777777" w:rsidR="00146B71" w:rsidRDefault="00146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F7E41" w14:textId="77777777" w:rsidR="00146B71" w:rsidRDefault="00146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6C965" w14:textId="0F22060A" w:rsidR="00754C9A" w:rsidRPr="00146B71" w:rsidRDefault="00754C9A" w:rsidP="00146B7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417B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ACBB3" w14:textId="77777777" w:rsidR="004D113D" w:rsidRDefault="004D113D" w:rsidP="00C37E61">
      <w:r>
        <w:separator/>
      </w:r>
    </w:p>
  </w:footnote>
  <w:footnote w:type="continuationSeparator" w:id="0">
    <w:p w14:paraId="31265914" w14:textId="77777777" w:rsidR="004D113D" w:rsidRDefault="004D113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F032B" w14:textId="5EF211B2" w:rsidR="00146B71" w:rsidRDefault="00146B71">
    <w:pPr>
      <w:pStyle w:val="Header"/>
    </w:pPr>
    <w:r>
      <w:rPr>
        <w:noProof/>
      </w:rPr>
      <w:pict w14:anchorId="34849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262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B1243" w14:textId="4695FAEA" w:rsidR="00146B71" w:rsidRDefault="00146B71">
    <w:pPr>
      <w:pStyle w:val="Header"/>
    </w:pPr>
    <w:r>
      <w:rPr>
        <w:noProof/>
      </w:rPr>
      <w:pict w14:anchorId="55C37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262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98BB" w14:textId="18D1F311" w:rsidR="00296529" w:rsidRPr="00296529" w:rsidRDefault="00146B71" w:rsidP="00296529">
    <w:pPr>
      <w:ind w:left="2160"/>
      <w:jc w:val="center"/>
      <w:rPr>
        <w:rFonts w:ascii="Times New Roman" w:eastAsia="Calibri" w:hAnsi="Times New Roman"/>
        <w:i/>
        <w:sz w:val="18"/>
        <w:szCs w:val="22"/>
      </w:rPr>
    </w:pPr>
    <w:r>
      <w:rPr>
        <w:noProof/>
      </w:rPr>
      <w:pict w14:anchorId="61190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262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C70FC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6B4467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FF230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EFDCC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F55CD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F8685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97479" w14:textId="4095099B" w:rsidR="00146B71" w:rsidRDefault="00146B71">
    <w:pPr>
      <w:pStyle w:val="Header"/>
    </w:pPr>
    <w:r>
      <w:rPr>
        <w:noProof/>
      </w:rPr>
      <w:pict w14:anchorId="555F3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2628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9C0A0" w14:textId="44691A48" w:rsidR="00146B71" w:rsidRDefault="00146B71">
    <w:pPr>
      <w:pStyle w:val="Header"/>
    </w:pPr>
    <w:r>
      <w:rPr>
        <w:noProof/>
      </w:rPr>
      <w:pict w14:anchorId="36325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2628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19720" w14:textId="23966C18" w:rsidR="00146B71" w:rsidRDefault="00146B71">
    <w:pPr>
      <w:pStyle w:val="Header"/>
    </w:pPr>
    <w:r>
      <w:rPr>
        <w:noProof/>
      </w:rPr>
      <w:pict w14:anchorId="44484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2628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132"/>
    <w:rsid w:val="00027CD1"/>
    <w:rsid w:val="00030174"/>
    <w:rsid w:val="0004579C"/>
    <w:rsid w:val="0006503E"/>
    <w:rsid w:val="000A47FA"/>
    <w:rsid w:val="000A65D3"/>
    <w:rsid w:val="000B1E33"/>
    <w:rsid w:val="000C522A"/>
    <w:rsid w:val="000D689F"/>
    <w:rsid w:val="000E7B7B"/>
    <w:rsid w:val="000E7D62"/>
    <w:rsid w:val="00103357"/>
    <w:rsid w:val="001167E5"/>
    <w:rsid w:val="00123C9F"/>
    <w:rsid w:val="00126190"/>
    <w:rsid w:val="00130F17"/>
    <w:rsid w:val="001320BF"/>
    <w:rsid w:val="00146B71"/>
    <w:rsid w:val="00163BC4"/>
    <w:rsid w:val="00191062"/>
    <w:rsid w:val="00192B72"/>
    <w:rsid w:val="001A29D8"/>
    <w:rsid w:val="001A5CAA"/>
    <w:rsid w:val="001B0427"/>
    <w:rsid w:val="001C0744"/>
    <w:rsid w:val="001C2B4C"/>
    <w:rsid w:val="001D3A51"/>
    <w:rsid w:val="001E10D2"/>
    <w:rsid w:val="001E25B4"/>
    <w:rsid w:val="001E44FE"/>
    <w:rsid w:val="00200595"/>
    <w:rsid w:val="00204835"/>
    <w:rsid w:val="002240D1"/>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30CB"/>
    <w:rsid w:val="003763C1"/>
    <w:rsid w:val="00376BBE"/>
    <w:rsid w:val="0039224F"/>
    <w:rsid w:val="003979F8"/>
    <w:rsid w:val="003A43A4"/>
    <w:rsid w:val="003A7E18"/>
    <w:rsid w:val="003C4C86"/>
    <w:rsid w:val="003C6258"/>
    <w:rsid w:val="003E2904"/>
    <w:rsid w:val="00401927"/>
    <w:rsid w:val="0041027F"/>
    <w:rsid w:val="00412475"/>
    <w:rsid w:val="00420903"/>
    <w:rsid w:val="00423789"/>
    <w:rsid w:val="00440F43"/>
    <w:rsid w:val="00441B6F"/>
    <w:rsid w:val="00446221"/>
    <w:rsid w:val="00450E62"/>
    <w:rsid w:val="004539DB"/>
    <w:rsid w:val="00471A80"/>
    <w:rsid w:val="004A249B"/>
    <w:rsid w:val="004D113D"/>
    <w:rsid w:val="004D305E"/>
    <w:rsid w:val="004D4277"/>
    <w:rsid w:val="004E29CC"/>
    <w:rsid w:val="00502516"/>
    <w:rsid w:val="00505F06"/>
    <w:rsid w:val="00506828"/>
    <w:rsid w:val="00527CA1"/>
    <w:rsid w:val="0053056E"/>
    <w:rsid w:val="0053312A"/>
    <w:rsid w:val="00554FDA"/>
    <w:rsid w:val="005C784C"/>
    <w:rsid w:val="005D17F6"/>
    <w:rsid w:val="005E5539"/>
    <w:rsid w:val="00602BF5"/>
    <w:rsid w:val="00610A7C"/>
    <w:rsid w:val="00612F52"/>
    <w:rsid w:val="00617FDD"/>
    <w:rsid w:val="00633614"/>
    <w:rsid w:val="00633F68"/>
    <w:rsid w:val="00636EB2"/>
    <w:rsid w:val="006375B8"/>
    <w:rsid w:val="00652DE3"/>
    <w:rsid w:val="0066510A"/>
    <w:rsid w:val="00666BA2"/>
    <w:rsid w:val="00673E41"/>
    <w:rsid w:val="00673F9F"/>
    <w:rsid w:val="00686953"/>
    <w:rsid w:val="00687DEA"/>
    <w:rsid w:val="00687E67"/>
    <w:rsid w:val="00691D33"/>
    <w:rsid w:val="006967F7"/>
    <w:rsid w:val="006A250C"/>
    <w:rsid w:val="006B21D3"/>
    <w:rsid w:val="006B57D0"/>
    <w:rsid w:val="006C3422"/>
    <w:rsid w:val="006D30FF"/>
    <w:rsid w:val="006D6940"/>
    <w:rsid w:val="006F11EC"/>
    <w:rsid w:val="0070082C"/>
    <w:rsid w:val="0073377E"/>
    <w:rsid w:val="007369E6"/>
    <w:rsid w:val="00746E59"/>
    <w:rsid w:val="00754C9A"/>
    <w:rsid w:val="0075599A"/>
    <w:rsid w:val="00761D52"/>
    <w:rsid w:val="0077749E"/>
    <w:rsid w:val="007837BE"/>
    <w:rsid w:val="00790ADA"/>
    <w:rsid w:val="007D2288"/>
    <w:rsid w:val="007E088F"/>
    <w:rsid w:val="007E7ED2"/>
    <w:rsid w:val="007F7B32"/>
    <w:rsid w:val="00804BC2"/>
    <w:rsid w:val="0081431A"/>
    <w:rsid w:val="0083216F"/>
    <w:rsid w:val="00860000"/>
    <w:rsid w:val="00863BD3"/>
    <w:rsid w:val="008641ED"/>
    <w:rsid w:val="00866D66"/>
    <w:rsid w:val="008671C6"/>
    <w:rsid w:val="00875803"/>
    <w:rsid w:val="008B459E"/>
    <w:rsid w:val="008D7703"/>
    <w:rsid w:val="008E13AE"/>
    <w:rsid w:val="008E1506"/>
    <w:rsid w:val="008E710C"/>
    <w:rsid w:val="008F69D6"/>
    <w:rsid w:val="008F7EB9"/>
    <w:rsid w:val="00902823"/>
    <w:rsid w:val="00915CA6"/>
    <w:rsid w:val="00927834"/>
    <w:rsid w:val="009500A6"/>
    <w:rsid w:val="00957C18"/>
    <w:rsid w:val="009659BA"/>
    <w:rsid w:val="00983040"/>
    <w:rsid w:val="009B07EE"/>
    <w:rsid w:val="009B3FB9"/>
    <w:rsid w:val="009C2465"/>
    <w:rsid w:val="009D35A0"/>
    <w:rsid w:val="009D7EB7"/>
    <w:rsid w:val="009E048A"/>
    <w:rsid w:val="009E08E9"/>
    <w:rsid w:val="009E3DB9"/>
    <w:rsid w:val="009E6E35"/>
    <w:rsid w:val="009F0EDA"/>
    <w:rsid w:val="00A03B96"/>
    <w:rsid w:val="00A05B19"/>
    <w:rsid w:val="00A1134E"/>
    <w:rsid w:val="00A24B02"/>
    <w:rsid w:val="00A24E7E"/>
    <w:rsid w:val="00A258C3"/>
    <w:rsid w:val="00A273B2"/>
    <w:rsid w:val="00A347C0"/>
    <w:rsid w:val="00A51431"/>
    <w:rsid w:val="00A5232F"/>
    <w:rsid w:val="00A539AD"/>
    <w:rsid w:val="00A549E5"/>
    <w:rsid w:val="00A646EB"/>
    <w:rsid w:val="00A727B7"/>
    <w:rsid w:val="00A94063"/>
    <w:rsid w:val="00AA6219"/>
    <w:rsid w:val="00AA74E0"/>
    <w:rsid w:val="00AB703F"/>
    <w:rsid w:val="00AC6BB8"/>
    <w:rsid w:val="00AE008F"/>
    <w:rsid w:val="00B01FCD"/>
    <w:rsid w:val="00B1776C"/>
    <w:rsid w:val="00B52583"/>
    <w:rsid w:val="00B52896"/>
    <w:rsid w:val="00B543E8"/>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49D9"/>
    <w:rsid w:val="00C70F1B"/>
    <w:rsid w:val="00C71A47"/>
    <w:rsid w:val="00C7464C"/>
    <w:rsid w:val="00C85588"/>
    <w:rsid w:val="00CD6755"/>
    <w:rsid w:val="00CD6856"/>
    <w:rsid w:val="00CE0089"/>
    <w:rsid w:val="00CE793C"/>
    <w:rsid w:val="00CF193C"/>
    <w:rsid w:val="00D173F1"/>
    <w:rsid w:val="00D40331"/>
    <w:rsid w:val="00D74CB0"/>
    <w:rsid w:val="00D8295D"/>
    <w:rsid w:val="00DC25AB"/>
    <w:rsid w:val="00DC2A65"/>
    <w:rsid w:val="00DE15F0"/>
    <w:rsid w:val="00DE5663"/>
    <w:rsid w:val="00DE78AA"/>
    <w:rsid w:val="00E053D0"/>
    <w:rsid w:val="00E15994"/>
    <w:rsid w:val="00E208CC"/>
    <w:rsid w:val="00E3114E"/>
    <w:rsid w:val="00E31A70"/>
    <w:rsid w:val="00E35B02"/>
    <w:rsid w:val="00E41977"/>
    <w:rsid w:val="00E66496"/>
    <w:rsid w:val="00E66B35"/>
    <w:rsid w:val="00E66E10"/>
    <w:rsid w:val="00E769F6"/>
    <w:rsid w:val="00E8407C"/>
    <w:rsid w:val="00E84F3C"/>
    <w:rsid w:val="00EA012C"/>
    <w:rsid w:val="00EC6A55"/>
    <w:rsid w:val="00ED0288"/>
    <w:rsid w:val="00EE52CB"/>
    <w:rsid w:val="00EF581D"/>
    <w:rsid w:val="00EF7FD8"/>
    <w:rsid w:val="00F06F59"/>
    <w:rsid w:val="00F07DDE"/>
    <w:rsid w:val="00F17988"/>
    <w:rsid w:val="00F32CE9"/>
    <w:rsid w:val="00F4361D"/>
    <w:rsid w:val="00F469F0"/>
    <w:rsid w:val="00F53273"/>
    <w:rsid w:val="00F631D3"/>
    <w:rsid w:val="00F755E4"/>
    <w:rsid w:val="00F77D02"/>
    <w:rsid w:val="00FB3A86"/>
    <w:rsid w:val="00FD36C8"/>
    <w:rsid w:val="00FE2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C4575B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F32CE9"/>
    <w:rPr>
      <w:rFonts w:ascii="Times New Roman" w:hAnsi="Times New Roman"/>
      <w:sz w:val="24"/>
      <w:szCs w:val="24"/>
    </w:rPr>
  </w:style>
  <w:style w:type="paragraph" w:styleId="ListParagraph">
    <w:name w:val="List Paragraph"/>
    <w:basedOn w:val="Normal"/>
    <w:uiPriority w:val="34"/>
    <w:qFormat/>
    <w:rsid w:val="00673E41"/>
    <w:pPr>
      <w:spacing w:after="160" w:line="259" w:lineRule="auto"/>
      <w:ind w:left="720"/>
      <w:contextualSpacing/>
    </w:pPr>
    <w:rPr>
      <w:rFonts w:ascii="Aptos" w:eastAsia="Aptos" w:hAnsi="Aptos" w:cs="SimSu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BC63F-C653-42BD-9A30-0C54968AA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11</Pages>
  <Words>15505</Words>
  <Characters>88379</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103677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33</cp:revision>
  <cp:lastPrinted>1999-07-06T11:00:00Z</cp:lastPrinted>
  <dcterms:created xsi:type="dcterms:W3CDTF">2025-11-20T14:28:00Z</dcterms:created>
  <dcterms:modified xsi:type="dcterms:W3CDTF">2025-11-21T07:33:00Z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6f0f0474-6a2e-3860-88be-845ce6a92f71</vt:lpwstr>
  </property>
</Properties>
</file>