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0E536F" w14:textId="6196C67B" w:rsidR="00830207" w:rsidRDefault="00830207" w:rsidP="00830207">
      <w:pPr>
        <w:pStyle w:val="Author"/>
        <w:spacing w:line="240" w:lineRule="auto"/>
        <w:jc w:val="left"/>
        <w:rPr>
          <w:rFonts w:ascii="Arial" w:hAnsi="Arial" w:cs="Arial"/>
          <w:bCs/>
          <w:iCs/>
          <w:kern w:val="28"/>
          <w:sz w:val="36"/>
          <w:u w:val="single"/>
        </w:rPr>
      </w:pPr>
      <w:r w:rsidRPr="00830207">
        <w:rPr>
          <w:rFonts w:ascii="Arial" w:hAnsi="Arial" w:cs="Arial"/>
          <w:bCs/>
          <w:iCs/>
          <w:kern w:val="28"/>
          <w:sz w:val="36"/>
          <w:u w:val="single"/>
        </w:rPr>
        <w:t>Policy Article</w:t>
      </w:r>
    </w:p>
    <w:p w14:paraId="54F392DF" w14:textId="77777777" w:rsidR="00C55A4C" w:rsidRPr="00830207" w:rsidRDefault="00C55A4C" w:rsidP="00830207">
      <w:pPr>
        <w:pStyle w:val="Author"/>
        <w:spacing w:line="240" w:lineRule="auto"/>
        <w:jc w:val="left"/>
        <w:rPr>
          <w:rFonts w:ascii="Arial" w:hAnsi="Arial" w:cs="Arial"/>
          <w:bCs/>
          <w:iCs/>
          <w:kern w:val="28"/>
          <w:sz w:val="36"/>
          <w:u w:val="single"/>
        </w:rPr>
      </w:pPr>
    </w:p>
    <w:p w14:paraId="39B1FB58" w14:textId="35083CB9" w:rsidR="00163BC4" w:rsidRPr="00163BC4" w:rsidRDefault="009D647D" w:rsidP="00441B6F">
      <w:pPr>
        <w:pStyle w:val="Author"/>
        <w:spacing w:line="240" w:lineRule="auto"/>
        <w:rPr>
          <w:rFonts w:ascii="Arial" w:hAnsi="Arial" w:cs="Arial"/>
          <w:bCs/>
          <w:iCs/>
          <w:kern w:val="28"/>
          <w:sz w:val="36"/>
        </w:rPr>
      </w:pPr>
      <w:r>
        <w:rPr>
          <w:rFonts w:ascii="Arial" w:hAnsi="Arial" w:cs="Arial"/>
          <w:bCs/>
          <w:iCs/>
          <w:kern w:val="28"/>
          <w:sz w:val="36"/>
        </w:rPr>
        <w:t>Environmental Leadership in Higher Education: A Policy Blueprint for Green Campus Culture</w:t>
      </w:r>
    </w:p>
    <w:p w14:paraId="7C043F2C" w14:textId="77777777" w:rsidR="00A258C3" w:rsidRPr="00790ADA" w:rsidRDefault="00A258C3" w:rsidP="00441B6F">
      <w:pPr>
        <w:pStyle w:val="Author"/>
        <w:spacing w:line="240" w:lineRule="auto"/>
        <w:jc w:val="both"/>
        <w:rPr>
          <w:rFonts w:ascii="Arial" w:hAnsi="Arial" w:cs="Arial"/>
          <w:sz w:val="36"/>
        </w:rPr>
      </w:pPr>
    </w:p>
    <w:p w14:paraId="16EB64D6" w14:textId="77777777" w:rsidR="002C57D2" w:rsidRPr="00FB3A86" w:rsidRDefault="002C57D2" w:rsidP="00441B6F">
      <w:pPr>
        <w:pStyle w:val="Affiliation"/>
        <w:spacing w:after="0" w:line="240" w:lineRule="auto"/>
        <w:jc w:val="both"/>
        <w:rPr>
          <w:rFonts w:ascii="Arial" w:hAnsi="Arial" w:cs="Arial"/>
        </w:rPr>
      </w:pPr>
    </w:p>
    <w:p w14:paraId="5F881372" w14:textId="712ED7F7" w:rsidR="00B01FCD" w:rsidRPr="00FB3A86" w:rsidRDefault="00C3608A" w:rsidP="00441B6F">
      <w:pPr>
        <w:pStyle w:val="Copyright"/>
        <w:spacing w:after="0" w:line="240" w:lineRule="auto"/>
        <w:jc w:val="both"/>
        <w:rPr>
          <w:rFonts w:ascii="Arial" w:hAnsi="Arial" w:cs="Arial"/>
        </w:rPr>
        <w:sectPr w:rsidR="00B01FCD" w:rsidRPr="00FB3A86" w:rsidSect="00DE7CA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52F8B62" wp14:editId="346065D1">
                <wp:extent cx="5303520" cy="635"/>
                <wp:effectExtent l="11430" t="15240" r="9525" b="13335"/>
                <wp:docPr id="187002729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80EDBCF"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025EF4FA" w14:textId="01BA4B72"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FE8D84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350"/>
      </w:tblGrid>
      <w:tr w:rsidR="00296529" w:rsidRPr="001E44FE" w14:paraId="7B3EA58E" w14:textId="77777777" w:rsidTr="001E44FE">
        <w:tc>
          <w:tcPr>
            <w:tcW w:w="9576" w:type="dxa"/>
            <w:shd w:val="clear" w:color="auto" w:fill="F2F2F2"/>
          </w:tcPr>
          <w:p w14:paraId="12F61C10" w14:textId="77777777" w:rsidR="00E3114E" w:rsidRDefault="00E3114E" w:rsidP="00441B6F">
            <w:pPr>
              <w:pStyle w:val="Body"/>
              <w:spacing w:after="0"/>
              <w:rPr>
                <w:rFonts w:ascii="Arial" w:eastAsia="Calibri" w:hAnsi="Arial" w:cs="Arial"/>
                <w:b/>
                <w:szCs w:val="22"/>
              </w:rPr>
            </w:pPr>
          </w:p>
          <w:p w14:paraId="069F58B3" w14:textId="3EB8FE3E" w:rsidR="00BA1B01" w:rsidRPr="00BA1B01" w:rsidRDefault="007122A6" w:rsidP="00441B6F">
            <w:pPr>
              <w:pStyle w:val="Body"/>
              <w:spacing w:after="0"/>
              <w:rPr>
                <w:rFonts w:ascii="Arial" w:eastAsia="Calibri" w:hAnsi="Arial" w:cs="Arial"/>
                <w:szCs w:val="22"/>
              </w:rPr>
            </w:pPr>
            <w:r>
              <w:rPr>
                <w:rFonts w:ascii="Arial" w:eastAsia="Calibri" w:hAnsi="Arial" w:cs="Arial"/>
                <w:b/>
                <w:szCs w:val="22"/>
              </w:rPr>
              <w:t>Background/Context</w:t>
            </w:r>
            <w:r w:rsidR="00BA1B01" w:rsidRPr="00BA1B01">
              <w:rPr>
                <w:rFonts w:ascii="Arial" w:eastAsia="Calibri" w:hAnsi="Arial" w:cs="Arial"/>
                <w:b/>
                <w:szCs w:val="22"/>
              </w:rPr>
              <w:t xml:space="preserve">: </w:t>
            </w:r>
            <w:r w:rsidRPr="007122A6">
              <w:rPr>
                <w:rFonts w:ascii="Arial" w:eastAsia="Calibri" w:hAnsi="Arial" w:cs="Arial"/>
                <w:szCs w:val="22"/>
              </w:rPr>
              <w:t>This policy document examines the key role of higher education institutions (HEIs) in advancing environmental sustainability and climate action through three integrated dimensions of policy, governance, and curriculum.</w:t>
            </w:r>
          </w:p>
          <w:p w14:paraId="2A1A7810" w14:textId="304CB050" w:rsidR="00BA1B01" w:rsidRPr="00BA1B01" w:rsidRDefault="007122A6" w:rsidP="00441B6F">
            <w:pPr>
              <w:pStyle w:val="Body"/>
              <w:spacing w:after="0"/>
              <w:rPr>
                <w:rFonts w:ascii="Arial" w:eastAsia="Calibri" w:hAnsi="Arial" w:cs="Arial"/>
                <w:szCs w:val="22"/>
              </w:rPr>
            </w:pPr>
            <w:r>
              <w:rPr>
                <w:rFonts w:ascii="Arial" w:eastAsia="Calibri" w:hAnsi="Arial" w:cs="Arial"/>
                <w:b/>
                <w:szCs w:val="22"/>
              </w:rPr>
              <w:t>Purpose/Objective</w:t>
            </w:r>
            <w:r w:rsidR="00BA1B01" w:rsidRPr="00BA1B01">
              <w:rPr>
                <w:rFonts w:ascii="Arial" w:eastAsia="Calibri" w:hAnsi="Arial" w:cs="Arial"/>
                <w:b/>
                <w:szCs w:val="22"/>
              </w:rPr>
              <w:t>:</w:t>
            </w:r>
            <w:r>
              <w:rPr>
                <w:rFonts w:ascii="Arial" w:eastAsia="Calibri" w:hAnsi="Arial" w:cs="Arial"/>
                <w:b/>
                <w:szCs w:val="22"/>
              </w:rPr>
              <w:t xml:space="preserve"> </w:t>
            </w:r>
            <w:r w:rsidRPr="007122A6">
              <w:rPr>
                <w:rFonts w:ascii="Arial" w:eastAsia="Calibri" w:hAnsi="Arial" w:cs="Arial"/>
                <w:bCs/>
                <w:szCs w:val="22"/>
              </w:rPr>
              <w:t>Anchored on Republic Acts 9003, 9729, and 9512, as well as CHED Memorandum Orders No. 20 &amp; No. 46, the proposed policy underlines the urgent need to institutionalize a Green Campus Policy that integrates environmental accountability in curricular, operational systems, and community engagements.</w:t>
            </w:r>
            <w:r>
              <w:rPr>
                <w:rFonts w:ascii="Arial" w:eastAsia="Calibri" w:hAnsi="Arial" w:cs="Arial"/>
                <w:b/>
                <w:szCs w:val="22"/>
              </w:rPr>
              <w:t xml:space="preserve"> </w:t>
            </w:r>
          </w:p>
          <w:p w14:paraId="547CB7A8" w14:textId="4619CCBA" w:rsidR="00BA1B01" w:rsidRPr="00BA1B01" w:rsidRDefault="007122A6" w:rsidP="00441B6F">
            <w:pPr>
              <w:pStyle w:val="Body"/>
              <w:spacing w:after="0"/>
              <w:rPr>
                <w:rFonts w:ascii="Arial" w:eastAsia="Calibri" w:hAnsi="Arial" w:cs="Arial"/>
                <w:szCs w:val="22"/>
              </w:rPr>
            </w:pPr>
            <w:r>
              <w:rPr>
                <w:rFonts w:ascii="Arial" w:eastAsia="Calibri" w:hAnsi="Arial" w:cs="Arial"/>
                <w:b/>
                <w:szCs w:val="22"/>
              </w:rPr>
              <w:t>Methods or Approach</w:t>
            </w:r>
            <w:r w:rsidR="00BA1B01" w:rsidRPr="00BA1B01">
              <w:rPr>
                <w:rFonts w:ascii="Arial" w:eastAsia="Calibri" w:hAnsi="Arial" w:cs="Arial"/>
                <w:b/>
                <w:szCs w:val="22"/>
              </w:rPr>
              <w:t>:</w:t>
            </w:r>
            <w:r w:rsidR="00BA1B01" w:rsidRPr="00BA1B01">
              <w:rPr>
                <w:rFonts w:ascii="Arial" w:eastAsia="Calibri" w:hAnsi="Arial" w:cs="Arial"/>
                <w:szCs w:val="22"/>
              </w:rPr>
              <w:t xml:space="preserve"> </w:t>
            </w:r>
            <w:r w:rsidRPr="007122A6">
              <w:rPr>
                <w:rFonts w:ascii="Arial" w:eastAsia="Calibri" w:hAnsi="Arial" w:cs="Arial"/>
                <w:szCs w:val="22"/>
              </w:rPr>
              <w:t xml:space="preserve">Based on the regional and ASEAN experiences, benchmarking of good practices from countries like Indonesia, Malaysia, and Thailand, which have sustainability assessments like UI </w:t>
            </w:r>
            <w:proofErr w:type="spellStart"/>
            <w:r w:rsidRPr="007122A6">
              <w:rPr>
                <w:rFonts w:ascii="Arial" w:eastAsia="Calibri" w:hAnsi="Arial" w:cs="Arial"/>
                <w:szCs w:val="22"/>
              </w:rPr>
              <w:t>GreenMetric</w:t>
            </w:r>
            <w:proofErr w:type="spellEnd"/>
            <w:r w:rsidRPr="007122A6">
              <w:rPr>
                <w:rFonts w:ascii="Arial" w:eastAsia="Calibri" w:hAnsi="Arial" w:cs="Arial"/>
                <w:szCs w:val="22"/>
              </w:rPr>
              <w:t xml:space="preserve"> and AASHE STARS, has strengthened institutional commitment to accountability of data-driven governance</w:t>
            </w:r>
            <w:r>
              <w:rPr>
                <w:rFonts w:ascii="Arial" w:eastAsia="Calibri" w:hAnsi="Arial" w:cs="Arial"/>
                <w:szCs w:val="22"/>
              </w:rPr>
              <w:t xml:space="preserve">. </w:t>
            </w:r>
          </w:p>
          <w:p w14:paraId="4F9E8A90" w14:textId="1D848D48" w:rsidR="00BA1B01" w:rsidRPr="00BA1B01" w:rsidRDefault="007122A6" w:rsidP="00441B6F">
            <w:pPr>
              <w:pStyle w:val="Body"/>
              <w:spacing w:after="0"/>
              <w:rPr>
                <w:rFonts w:ascii="Arial" w:eastAsia="Calibri" w:hAnsi="Arial" w:cs="Arial"/>
                <w:szCs w:val="22"/>
              </w:rPr>
            </w:pPr>
            <w:r>
              <w:rPr>
                <w:rFonts w:ascii="Arial" w:eastAsia="Calibri" w:hAnsi="Arial" w:cs="Arial"/>
                <w:b/>
                <w:bCs/>
                <w:szCs w:val="22"/>
              </w:rPr>
              <w:t>Key Findings/Policy Insight</w:t>
            </w:r>
            <w:r w:rsidR="00BA1B01" w:rsidRPr="00BA1B01">
              <w:rPr>
                <w:rFonts w:ascii="Arial" w:eastAsia="Calibri" w:hAnsi="Arial" w:cs="Arial"/>
                <w:b/>
                <w:bCs/>
                <w:szCs w:val="22"/>
              </w:rPr>
              <w:t>:</w:t>
            </w:r>
            <w:r w:rsidR="00BA1B01" w:rsidRPr="00BA1B01">
              <w:rPr>
                <w:rFonts w:ascii="Arial" w:eastAsia="Calibri" w:hAnsi="Arial" w:cs="Arial"/>
                <w:szCs w:val="22"/>
              </w:rPr>
              <w:t xml:space="preserve"> </w:t>
            </w:r>
            <w:r w:rsidRPr="007122A6">
              <w:rPr>
                <w:rFonts w:ascii="Arial" w:eastAsia="Calibri" w:hAnsi="Arial" w:cs="Arial"/>
                <w:szCs w:val="22"/>
              </w:rPr>
              <w:t>The study finds that while Philippine HEIs have started waste management, energy efficiency, and campus greening programs, these are often seen as fragmented underdeveloped policy framework, weak monitoring system, and unclear leadership responsibility.</w:t>
            </w:r>
          </w:p>
          <w:p w14:paraId="371D547A" w14:textId="44E9A8D7" w:rsidR="00505F06" w:rsidRPr="00BA1B01" w:rsidRDefault="007122A6" w:rsidP="00441B6F">
            <w:pPr>
              <w:pStyle w:val="Body"/>
              <w:spacing w:after="0"/>
              <w:rPr>
                <w:rFonts w:ascii="Arial" w:eastAsia="Calibri" w:hAnsi="Arial" w:cs="Arial"/>
                <w:szCs w:val="22"/>
              </w:rPr>
            </w:pPr>
            <w:r>
              <w:rPr>
                <w:rFonts w:ascii="Arial" w:eastAsia="Calibri" w:hAnsi="Arial" w:cs="Arial"/>
                <w:b/>
                <w:bCs/>
                <w:szCs w:val="22"/>
              </w:rPr>
              <w:t>Policy Implications</w:t>
            </w:r>
            <w:r w:rsidR="00BA1B01" w:rsidRPr="00BA1B01">
              <w:rPr>
                <w:rFonts w:ascii="Arial" w:eastAsia="Calibri" w:hAnsi="Arial" w:cs="Arial"/>
                <w:b/>
                <w:bCs/>
                <w:szCs w:val="22"/>
              </w:rPr>
              <w:t>:</w:t>
            </w:r>
            <w:r w:rsidR="00BA1B01" w:rsidRPr="00BA1B01">
              <w:rPr>
                <w:rFonts w:ascii="Arial" w:eastAsia="Calibri" w:hAnsi="Arial" w:cs="Arial"/>
                <w:szCs w:val="22"/>
              </w:rPr>
              <w:t xml:space="preserve"> </w:t>
            </w:r>
            <w:r w:rsidRPr="007122A6">
              <w:rPr>
                <w:rFonts w:ascii="Arial" w:eastAsia="Calibri" w:hAnsi="Arial" w:cs="Arial"/>
                <w:szCs w:val="22"/>
              </w:rPr>
              <w:t xml:space="preserve">It is proposed that universities thrive when sustainability is embedded not only as a compliance, but rather an emergent institutional principle through well-coordinated governance and measurable impact. The document proposes to set up a Sustainability Office or Green Governance Committee as well, and the development of Zero Waste and Climate Action Plans, including education for sustainable development (ESD) at all levels, among other </w:t>
            </w:r>
            <w:r>
              <w:rPr>
                <w:rFonts w:ascii="Arial" w:eastAsia="Calibri" w:hAnsi="Arial" w:cs="Arial"/>
                <w:szCs w:val="22"/>
              </w:rPr>
              <w:t>r</w:t>
            </w:r>
            <w:r w:rsidRPr="007122A6">
              <w:rPr>
                <w:rFonts w:ascii="Arial" w:eastAsia="Calibri" w:hAnsi="Arial" w:cs="Arial"/>
                <w:szCs w:val="22"/>
              </w:rPr>
              <w:t>ecommendations</w:t>
            </w:r>
            <w:r>
              <w:rPr>
                <w:rFonts w:ascii="Arial" w:eastAsia="Calibri" w:hAnsi="Arial" w:cs="Arial"/>
                <w:szCs w:val="22"/>
              </w:rPr>
              <w:t xml:space="preserve">. </w:t>
            </w:r>
          </w:p>
        </w:tc>
      </w:tr>
    </w:tbl>
    <w:p w14:paraId="2D62459A" w14:textId="77777777" w:rsidR="00636EB2" w:rsidRDefault="00636EB2" w:rsidP="00441B6F">
      <w:pPr>
        <w:pStyle w:val="Body"/>
        <w:spacing w:after="0"/>
        <w:rPr>
          <w:rFonts w:ascii="Arial" w:hAnsi="Arial" w:cs="Arial"/>
          <w:i/>
        </w:rPr>
      </w:pPr>
    </w:p>
    <w:p w14:paraId="2E14F917" w14:textId="7460A424" w:rsidR="00A24E7E" w:rsidRDefault="00A24E7E" w:rsidP="00441B6F">
      <w:pPr>
        <w:pStyle w:val="Body"/>
        <w:spacing w:after="0"/>
        <w:rPr>
          <w:rFonts w:ascii="Arial" w:hAnsi="Arial" w:cs="Arial"/>
          <w:i/>
        </w:rPr>
      </w:pPr>
      <w:r w:rsidRPr="00E45820">
        <w:rPr>
          <w:rFonts w:ascii="Arial" w:hAnsi="Arial" w:cs="Arial"/>
          <w:b/>
          <w:bCs/>
          <w:i/>
        </w:rPr>
        <w:t>Keywords:</w:t>
      </w:r>
      <w:r>
        <w:rPr>
          <w:rFonts w:ascii="Arial" w:hAnsi="Arial" w:cs="Arial"/>
          <w:i/>
        </w:rPr>
        <w:t xml:space="preserve"> </w:t>
      </w:r>
      <w:r w:rsidR="007122A6">
        <w:rPr>
          <w:rFonts w:ascii="Arial" w:hAnsi="Arial" w:cs="Arial"/>
          <w:i/>
        </w:rPr>
        <w:t>sustainability governance, environmental education, green campus policy, climate action, Philippine higher education institutions</w:t>
      </w:r>
    </w:p>
    <w:p w14:paraId="176FFE17" w14:textId="77777777" w:rsidR="0024282C" w:rsidRDefault="0024282C" w:rsidP="00441B6F">
      <w:pPr>
        <w:pStyle w:val="Body"/>
        <w:spacing w:after="0"/>
        <w:rPr>
          <w:rFonts w:ascii="Arial" w:hAnsi="Arial" w:cs="Arial"/>
          <w:i/>
          <w:sz w:val="18"/>
        </w:rPr>
      </w:pPr>
    </w:p>
    <w:p w14:paraId="3E737E57" w14:textId="77777777" w:rsidR="00505F06" w:rsidRPr="00A24E7E" w:rsidRDefault="00505F06" w:rsidP="00441B6F">
      <w:pPr>
        <w:pStyle w:val="Body"/>
        <w:spacing w:after="0"/>
        <w:rPr>
          <w:rFonts w:ascii="Arial" w:hAnsi="Arial" w:cs="Arial"/>
          <w:i/>
        </w:rPr>
      </w:pPr>
    </w:p>
    <w:p w14:paraId="17EBA31C" w14:textId="62A8883E" w:rsidR="00790ADA" w:rsidRPr="00FB3A86"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B9D8193" w14:textId="77777777" w:rsidR="007122A6" w:rsidRPr="007122A6" w:rsidRDefault="007122A6" w:rsidP="007122A6">
      <w:pPr>
        <w:jc w:val="both"/>
        <w:rPr>
          <w:rFonts w:ascii="Arial" w:hAnsi="Arial" w:cs="Arial"/>
        </w:rPr>
      </w:pPr>
      <w:r w:rsidRPr="007122A6">
        <w:rPr>
          <w:rFonts w:ascii="Arial" w:hAnsi="Arial" w:cs="Arial"/>
        </w:rPr>
        <w:t xml:space="preserve">The increasingly complex and multifaceted global environmental crisis is being increasingly conceptualized within the dual frameworks of expanding access to high-quality education and implementing robust, proactive climate action initiatives. In accordance with Sustainable Development Goal 4, which emphasizes Quality Education, and Sustainable Development Goal 13, which centers on Climate Action, higher education institutions (HEIs) are entrusted with a dual responsibility: to foster and enhance sustainability literacy among their student bodies and communities, and to exemplify operational sustainability through their own practices. In a national context, particularly within the Philippines, various legislative measures such as Republic Act 9512, which pertains to the National Environmental Awareness and Education Act, Republic Act 9003 concerning the Ecological Solid Waste Management Act, and Republic Act 9729 that addresses the Climate Change Act, collectively emphasize the critical obligations that campuses must fulfill regarding environmental education and governance. Collectively, these legislative frameworks establish a foundational groundwork for HEIs to integrate principles of sustainability into both their academic missions </w:t>
      </w:r>
      <w:r w:rsidRPr="007122A6">
        <w:rPr>
          <w:rFonts w:ascii="Arial" w:hAnsi="Arial" w:cs="Arial"/>
        </w:rPr>
        <w:lastRenderedPageBreak/>
        <w:t>and their operational practices, thereby influencing a comprehensive approach to environmental stewardship.</w:t>
      </w:r>
    </w:p>
    <w:p w14:paraId="12471086" w14:textId="77777777" w:rsidR="007122A6" w:rsidRDefault="007122A6" w:rsidP="007122A6">
      <w:pPr>
        <w:jc w:val="both"/>
        <w:rPr>
          <w:rFonts w:ascii="Arial" w:hAnsi="Arial" w:cs="Arial"/>
        </w:rPr>
      </w:pPr>
    </w:p>
    <w:p w14:paraId="6480E31B" w14:textId="53AB29A1" w:rsidR="007122A6" w:rsidRPr="007122A6" w:rsidRDefault="007122A6" w:rsidP="007122A6">
      <w:pPr>
        <w:jc w:val="both"/>
        <w:rPr>
          <w:rFonts w:ascii="Arial" w:hAnsi="Arial" w:cs="Arial"/>
        </w:rPr>
      </w:pPr>
      <w:r w:rsidRPr="007122A6">
        <w:rPr>
          <w:rFonts w:ascii="Arial" w:hAnsi="Arial" w:cs="Arial"/>
        </w:rPr>
        <w:t>Within this complex and dynamic environment, there is an opportunity for universities to be used not only as delivery mechanisms for education but also as living laboratories that can contribute positively to policy development through the process of what they do, understand, and teach. Through the alignment of curricula, sustainable campus operations, research strategies, and interactions with local society, they are in a position to show how education and operational governance can effectively work towards sustainability. Existing academic evidence is consistent with this framing; a recent systematic review of literature notes that “sustainable campus operations” is yet an under-researched area, in spite of being essential for any genuine institutional sustainability approach (see Oliveira and Proença 2025). Simultaneously, prior studies in the specific Philippine higher education setting also showed that faculty members' attitudes and institutional support have an impact on promoting sustainability integration in curricula, thus underscoring the crucial significance of strong institutional leadership for initiating significant change, as found by Duran and Mariñas (2024).</w:t>
      </w:r>
    </w:p>
    <w:p w14:paraId="2773DFD6" w14:textId="77777777" w:rsidR="007122A6" w:rsidRDefault="007122A6" w:rsidP="007122A6">
      <w:pPr>
        <w:jc w:val="both"/>
        <w:rPr>
          <w:rFonts w:ascii="Arial" w:hAnsi="Arial" w:cs="Arial"/>
        </w:rPr>
      </w:pPr>
    </w:p>
    <w:p w14:paraId="0F8F6769" w14:textId="73F47E99" w:rsidR="007122A6" w:rsidRDefault="007122A6" w:rsidP="007122A6">
      <w:pPr>
        <w:jc w:val="both"/>
        <w:rPr>
          <w:rFonts w:ascii="Arial" w:hAnsi="Arial" w:cs="Arial"/>
        </w:rPr>
      </w:pPr>
      <w:r w:rsidRPr="007122A6">
        <w:rPr>
          <w:rFonts w:ascii="Arial" w:hAnsi="Arial" w:cs="Arial"/>
        </w:rPr>
        <w:t xml:space="preserve">Notwithstanding these promising potentialities, the existing literature continues to identify enduring gaps that must be addressed. The implementation of sustainability initiatives frequently suffers from a lack of coherence, wherein isolated projects exist without sufficient connections to governance structures, operational practices, and curricular frameworks. Commitment to sustainability at the institutional level is inconsistent, with resource constraints significantly impeding effective execution, and the coherence of policies across various campus units often remain tenuous. Duran and Mariñas in 2024 discovered that perceived behavioral control, which reflects teachers’ sense of their own capability, exhibited a weak direct effect on the intention to incorporate sustainability into their teaching practices—indicating that mere awareness of sustainability issues is insufficient in the absence of robust institutional support. </w:t>
      </w:r>
    </w:p>
    <w:p w14:paraId="09035C2A" w14:textId="77777777" w:rsidR="007122A6" w:rsidRDefault="007122A6" w:rsidP="007122A6">
      <w:pPr>
        <w:jc w:val="both"/>
        <w:rPr>
          <w:rFonts w:ascii="Arial" w:hAnsi="Arial" w:cs="Arial"/>
        </w:rPr>
      </w:pPr>
    </w:p>
    <w:p w14:paraId="3F9562A4" w14:textId="7CC0BC43" w:rsidR="007122A6" w:rsidRPr="007122A6" w:rsidRDefault="007122A6" w:rsidP="007122A6">
      <w:pPr>
        <w:jc w:val="both"/>
        <w:rPr>
          <w:rFonts w:ascii="Arial" w:hAnsi="Arial" w:cs="Arial"/>
        </w:rPr>
      </w:pPr>
      <w:r w:rsidRPr="007122A6">
        <w:rPr>
          <w:rFonts w:ascii="Arial" w:hAnsi="Arial" w:cs="Arial"/>
        </w:rPr>
        <w:t>On a broader scale, Oliveira and Proença (2025) underscore that numerous studies tend to concentrate on individual operational areas, such as energy and waste management, rather than pursuing a holistic, systemic approach to institutional integration of sustainability. These identified limitations underscore an urgent need for cohesive institutional policies and leadership structures that can integrate the academic, operational, and behavioral dimensions of sustainability into a unified framework.</w:t>
      </w:r>
    </w:p>
    <w:p w14:paraId="62041BA0" w14:textId="77777777" w:rsidR="007122A6" w:rsidRDefault="007122A6" w:rsidP="007122A6">
      <w:pPr>
        <w:jc w:val="both"/>
        <w:rPr>
          <w:rFonts w:ascii="Arial" w:hAnsi="Arial" w:cs="Arial"/>
        </w:rPr>
      </w:pPr>
    </w:p>
    <w:p w14:paraId="60F613A1" w14:textId="23D94A4C" w:rsidR="007122A6" w:rsidRDefault="007122A6" w:rsidP="007122A6">
      <w:pPr>
        <w:jc w:val="both"/>
        <w:rPr>
          <w:rFonts w:ascii="Arial" w:hAnsi="Arial" w:cs="Arial"/>
        </w:rPr>
      </w:pPr>
      <w:r w:rsidRPr="007122A6">
        <w:rPr>
          <w:rFonts w:ascii="Arial" w:hAnsi="Arial" w:cs="Arial"/>
        </w:rPr>
        <w:t>The significance of this identified gap is underscored by the dual urgency associated with embedding a culture of sustainability within HEIs, which is critical for two primary reasons. First and foremost, the resilience of institutions in the face of various environmental challenges, regulatory pressures, and reputational risks is fundamentally dependent on their proactive governance regarding sustainability issues. Campuses that regard sustainability as a peripheral concern rather than as a central component of their mission risk falling behind national expectations, as outlined by Republic Acts 9003 and 9729, as well as the quality assurance frameworks established by the Commission on Higher Education (CHED), such as CHED CMO 20 s.2013 and CHED CMO 46 s.2012. Secondly, the broader societal implications of HEIs, particularly their roles as catalysts for transformative change within local communities, industries, and policy networks, imply that any delays in institutional action will diminish their capacity to drive wider societal transitions toward sustainability effectively. The evidence strongly suggests that fostering an institutionalized green campus culture is not merely a matter of preference but rather an essential requirement for harmonizing educational missions, regulatory frameworks, and societal expectations.</w:t>
      </w:r>
    </w:p>
    <w:p w14:paraId="0C700732" w14:textId="77777777" w:rsidR="007122A6" w:rsidRPr="007122A6" w:rsidRDefault="007122A6" w:rsidP="007122A6">
      <w:pPr>
        <w:jc w:val="both"/>
        <w:rPr>
          <w:rFonts w:ascii="Arial" w:hAnsi="Arial" w:cs="Arial"/>
        </w:rPr>
      </w:pPr>
    </w:p>
    <w:p w14:paraId="0B4E98E3" w14:textId="402FBDA4" w:rsidR="007F7B32" w:rsidRDefault="00902823" w:rsidP="00441B6F">
      <w:pPr>
        <w:pStyle w:val="AbstHead"/>
        <w:spacing w:after="0"/>
        <w:jc w:val="both"/>
        <w:rPr>
          <w:rFonts w:ascii="Arial" w:hAnsi="Arial" w:cs="Arial"/>
        </w:rPr>
      </w:pPr>
      <w:r>
        <w:rPr>
          <w:rFonts w:ascii="Arial" w:hAnsi="Arial" w:cs="Arial"/>
        </w:rPr>
        <w:t xml:space="preserve">2. </w:t>
      </w:r>
      <w:r w:rsidR="007122A6">
        <w:rPr>
          <w:rFonts w:ascii="Arial" w:hAnsi="Arial" w:cs="Arial"/>
        </w:rPr>
        <w:t>POLICY ANALYSIS</w:t>
      </w:r>
    </w:p>
    <w:p w14:paraId="598D697F" w14:textId="77777777" w:rsidR="00591113" w:rsidRPr="00591113" w:rsidRDefault="00591113" w:rsidP="00591113">
      <w:pPr>
        <w:jc w:val="both"/>
        <w:rPr>
          <w:rFonts w:ascii="Arial" w:hAnsi="Arial" w:cs="Arial"/>
        </w:rPr>
      </w:pPr>
      <w:r w:rsidRPr="00591113">
        <w:rPr>
          <w:rFonts w:ascii="Arial" w:hAnsi="Arial" w:cs="Arial"/>
        </w:rPr>
        <w:t xml:space="preserve">Higher education institutions (HEIs) situated across the globe have instituted a plethora of environmentally focused initiatives that are meticulously designed to mitigate their ecological footprint, foster sustainable practices among both the student body and faculty members, and ensure alignment with overarching national and international sustainability objectives that are critical in today’s context. In pragmatic terms, a significant number of campuses have embarked on the implementation of diverse programs that encompass solid-waste segregation and diversion, extensive tree-planting initiatives, comprehensive campus greening projects, thorough energy audits coupled with retrofits, effective reduction of water usage, and conscientious sustainable procurement practices that reflect an ethos of environmental responsibility. For instance, a recent and comprehensive review of global higher education literature has identified “waste </w:t>
      </w:r>
      <w:r w:rsidRPr="00591113">
        <w:rPr>
          <w:rFonts w:ascii="Arial" w:hAnsi="Arial" w:cs="Arial"/>
        </w:rPr>
        <w:lastRenderedPageBreak/>
        <w:t xml:space="preserve">management,” “energy use,” “carbon neutrality,” and “circular economy” as predominant themes that consistently emerge in discussions surrounding campus sustainability, underscoring the vital discourse in this field. These varied programs frequently serve to interlink the physical operational frameworks and the educational functions of universities (Oliveira &amp; </w:t>
      </w:r>
      <w:proofErr w:type="spellStart"/>
      <w:r w:rsidRPr="00591113">
        <w:rPr>
          <w:rFonts w:ascii="Arial" w:hAnsi="Arial" w:cs="Arial"/>
        </w:rPr>
        <w:t>Proencia</w:t>
      </w:r>
      <w:proofErr w:type="spellEnd"/>
      <w:r w:rsidRPr="00591113">
        <w:rPr>
          <w:rFonts w:ascii="Arial" w:hAnsi="Arial" w:cs="Arial"/>
        </w:rPr>
        <w:t xml:space="preserve">, 2025). </w:t>
      </w:r>
    </w:p>
    <w:p w14:paraId="262EEEB6" w14:textId="77777777" w:rsidR="00591113" w:rsidRDefault="00591113" w:rsidP="00591113">
      <w:pPr>
        <w:jc w:val="both"/>
        <w:rPr>
          <w:rFonts w:ascii="Arial" w:hAnsi="Arial" w:cs="Arial"/>
        </w:rPr>
      </w:pPr>
    </w:p>
    <w:p w14:paraId="2115027B" w14:textId="0A42226A" w:rsidR="00591113" w:rsidRPr="00591113" w:rsidRDefault="00591113" w:rsidP="00591113">
      <w:pPr>
        <w:jc w:val="both"/>
        <w:rPr>
          <w:rFonts w:ascii="Arial" w:hAnsi="Arial" w:cs="Arial"/>
        </w:rPr>
      </w:pPr>
      <w:r w:rsidRPr="00591113">
        <w:rPr>
          <w:rFonts w:ascii="Arial" w:hAnsi="Arial" w:cs="Arial"/>
        </w:rPr>
        <w:t>In the context of the Philippines, educational institutions must align their practices with national legislation such as Republic Act (RA) 9003 – the Ecological Solid Waste Management Act, which includes the Implementing Rules and Regulations (IRR) that were updated in 2025, mandating the segregation of waste at its source and the diversion of such waste; RA 9729 – the Climate Change Act, which necessitates the mainstreaming of climate action within institutional planning frameworks; and RA 9512 – the National Environmental Awareness and Education Act, which obligates the provision of environmental education across all educational tiers. Moreover, the Commission on Higher Education (CHED) has instituted directives through CMO 20 s. 2013 that require the infusion of competencies pertinent to ecological citizenship within general education curricula, such as the course titled Science, Technology, and Society, while CMO 46 s. 2012 stipulates the necessity of outcomes-based quality assurance that can effectively incorporate sustainability metrics. These established frameworks empower HEIs to effectively contextualize their operational measures within a more extensive policy landscape that is increasingly focused on sustainability.</w:t>
      </w:r>
    </w:p>
    <w:p w14:paraId="6429C14F" w14:textId="77777777" w:rsidR="00591113" w:rsidRDefault="00591113" w:rsidP="00591113">
      <w:pPr>
        <w:jc w:val="both"/>
        <w:rPr>
          <w:rFonts w:ascii="Arial" w:hAnsi="Arial" w:cs="Arial"/>
        </w:rPr>
      </w:pPr>
    </w:p>
    <w:p w14:paraId="3E0CFE41" w14:textId="760620EB" w:rsidR="00591113" w:rsidRPr="00591113" w:rsidRDefault="00591113" w:rsidP="00591113">
      <w:pPr>
        <w:jc w:val="both"/>
        <w:rPr>
          <w:rFonts w:ascii="Arial" w:hAnsi="Arial" w:cs="Arial"/>
        </w:rPr>
      </w:pPr>
      <w:r w:rsidRPr="00591113">
        <w:rPr>
          <w:rFonts w:ascii="Arial" w:hAnsi="Arial" w:cs="Arial"/>
        </w:rPr>
        <w:t xml:space="preserve">Upon closer examination of waste-segregation initiatives specifically, for instance, a systematic review conducted in 2024 concerning waste management practices within HEIs reveals that the average waste generation rates are approximately 0.19 kilograms per individual per day (±0.21) according to the studies that were scrutinized, with initiatives aimed at achieving zero-waste and diversion becoming progressively prevalent within the sector, as noted by Rodríguez-Guerreiro et al. (2024). It is observed that universities that implement source separation, adopt closed-loop organic systems, engage in composting, and maintain rigorous monitoring practices tend to exhibit superior performance outcomes in terms of waste management. The implication derived from this analysis is that while operational programs are indeed progressing, the degree to which these initiatives influence institutional culture and governance structures remains markedly heterogeneous across different settings. </w:t>
      </w:r>
    </w:p>
    <w:p w14:paraId="717E9512" w14:textId="77777777" w:rsidR="00591113" w:rsidRDefault="00591113" w:rsidP="00591113">
      <w:pPr>
        <w:jc w:val="both"/>
        <w:rPr>
          <w:rFonts w:ascii="Arial" w:hAnsi="Arial" w:cs="Arial"/>
        </w:rPr>
      </w:pPr>
    </w:p>
    <w:p w14:paraId="1382C7BA" w14:textId="42D14631" w:rsidR="00591113" w:rsidRPr="00591113" w:rsidRDefault="00591113" w:rsidP="00591113">
      <w:pPr>
        <w:jc w:val="both"/>
        <w:rPr>
          <w:rFonts w:ascii="Arial" w:hAnsi="Arial" w:cs="Arial"/>
        </w:rPr>
      </w:pPr>
      <w:r w:rsidRPr="00591113">
        <w:rPr>
          <w:rFonts w:ascii="Arial" w:hAnsi="Arial" w:cs="Arial"/>
        </w:rPr>
        <w:t>In relation to energy and carbon management, bibliometric analyses have illuminated the fact that campuses are actively engaging in retrofitting efforts, transitioning to renewable energy sources, reducing energy intensity, and establishing robust reporting mechanisms—however, it remains evident that numerous institutions still fail to implement comprehensive management systems that effectively integrate academic pursuits, operational practices, and behavioral change (Laporte &amp; Cansino, 2024). Consequently, while it is clear that a variety of measures are currently in place, the level of maturity and the degree of integration of these initiatives vary significantly among institutions, highlighting a critical area for further development and enhancement within the realm of higher education sustainability initiatives.</w:t>
      </w:r>
    </w:p>
    <w:p w14:paraId="678AF7AF" w14:textId="77777777" w:rsidR="00591113" w:rsidRDefault="00591113" w:rsidP="00591113">
      <w:pPr>
        <w:jc w:val="both"/>
        <w:rPr>
          <w:rFonts w:ascii="Arial" w:hAnsi="Arial" w:cs="Arial"/>
        </w:rPr>
      </w:pPr>
      <w:r w:rsidRPr="00591113">
        <w:rPr>
          <w:rFonts w:ascii="Arial" w:hAnsi="Arial" w:cs="Arial"/>
        </w:rPr>
        <w:t xml:space="preserve">The efficacy of these initiatives is contingent not solely on the documentation of activities but rather on the extent to which they are ingrained within institutional culture, governance frameworks, stakeholder involvement, oversight mechanisms, and educational curricula. </w:t>
      </w:r>
    </w:p>
    <w:p w14:paraId="074F4D07" w14:textId="77777777" w:rsidR="00591113" w:rsidRDefault="00591113" w:rsidP="00591113">
      <w:pPr>
        <w:jc w:val="both"/>
        <w:rPr>
          <w:rFonts w:ascii="Arial" w:hAnsi="Arial" w:cs="Arial"/>
        </w:rPr>
      </w:pPr>
    </w:p>
    <w:p w14:paraId="1B34E252" w14:textId="42566436" w:rsidR="00591113" w:rsidRPr="00591113" w:rsidRDefault="00591113" w:rsidP="00591113">
      <w:pPr>
        <w:jc w:val="both"/>
        <w:rPr>
          <w:rFonts w:ascii="Arial" w:hAnsi="Arial" w:cs="Arial"/>
        </w:rPr>
      </w:pPr>
      <w:r w:rsidRPr="00591113">
        <w:rPr>
          <w:rFonts w:ascii="Arial" w:hAnsi="Arial" w:cs="Arial"/>
        </w:rPr>
        <w:t xml:space="preserve">Empirical research indicates that affirmative institutional dispositions and support markedly bolster faculty intentions to incorporate sustainability into pedagogical practices—an essential mechanism for fostering cultural transformation. For example, in the context of the Philippines, Duran and Mariñas (2024) employed structural-equation modeling to demonstrate that educators’ attitudes exert a substantial influence on their intentions to integrate sustainability, despite the limited direct effect of perceived behavioral control (their self-assessed capability); institutional support emerged as a pivotal moderating factor. </w:t>
      </w:r>
    </w:p>
    <w:p w14:paraId="0CD85A95" w14:textId="77777777" w:rsidR="00591113" w:rsidRDefault="00591113" w:rsidP="00591113">
      <w:pPr>
        <w:jc w:val="both"/>
        <w:rPr>
          <w:rFonts w:ascii="Arial" w:hAnsi="Arial" w:cs="Arial"/>
        </w:rPr>
      </w:pPr>
    </w:p>
    <w:p w14:paraId="56DB1CA9" w14:textId="32A55C72" w:rsidR="00591113" w:rsidRPr="00591113" w:rsidRDefault="00591113" w:rsidP="00591113">
      <w:pPr>
        <w:jc w:val="both"/>
        <w:rPr>
          <w:rFonts w:ascii="Arial" w:hAnsi="Arial" w:cs="Arial"/>
        </w:rPr>
      </w:pPr>
      <w:r w:rsidRPr="00591113">
        <w:rPr>
          <w:rFonts w:ascii="Arial" w:hAnsi="Arial" w:cs="Arial"/>
        </w:rPr>
        <w:t xml:space="preserve">Concurrently, an international investigation conducted by Atici et al. (2021) revealed a correlation between "green" practices and elevated university rankings: sustainability performance (as evaluated by UI </w:t>
      </w:r>
      <w:proofErr w:type="spellStart"/>
      <w:r w:rsidRPr="00591113">
        <w:rPr>
          <w:rFonts w:ascii="Arial" w:hAnsi="Arial" w:cs="Arial"/>
        </w:rPr>
        <w:t>GreenMetric</w:t>
      </w:r>
      <w:proofErr w:type="spellEnd"/>
      <w:r w:rsidRPr="00591113">
        <w:rPr>
          <w:rFonts w:ascii="Arial" w:hAnsi="Arial" w:cs="Arial"/>
        </w:rPr>
        <w:t xml:space="preserve">) positively impacts academic achievement, thereby implying that sustainability initiatives may enhance institutional excellence rather than undermine it. A comprehensive systematic review by Oliveira &amp; Proença (2025) emphasizes that institutional leadership, governance frameworks, stakeholder engagement, and technological advancement are essential for long-term efficacy, transcending mere project-level initiatives. These findings suggest that although operational activities (such as waste </w:t>
      </w:r>
      <w:r w:rsidRPr="00591113">
        <w:rPr>
          <w:rFonts w:ascii="Arial" w:hAnsi="Arial" w:cs="Arial"/>
        </w:rPr>
        <w:lastRenderedPageBreak/>
        <w:t>management, energy conservation, and water usage) are significant, their effectiveness is significantly enhanced when the institution prioritizes sustainability as a strategic imperative integrated into governance and cultural fabric.</w:t>
      </w:r>
    </w:p>
    <w:p w14:paraId="1BF90F51" w14:textId="77777777" w:rsidR="00790ADA" w:rsidRPr="00FB3A86" w:rsidRDefault="00790ADA" w:rsidP="00441B6F">
      <w:pPr>
        <w:pStyle w:val="Body"/>
        <w:spacing w:after="0"/>
        <w:rPr>
          <w:rFonts w:ascii="Arial" w:hAnsi="Arial" w:cs="Arial"/>
        </w:rPr>
      </w:pPr>
    </w:p>
    <w:p w14:paraId="2DEBCE50" w14:textId="42F81215" w:rsidR="00505F06" w:rsidRDefault="00AA74E0" w:rsidP="00441B6F">
      <w:pPr>
        <w:pStyle w:val="Body"/>
        <w:spacing w:after="0"/>
        <w:rPr>
          <w:rFonts w:ascii="Arial" w:hAnsi="Arial" w:cs="Arial"/>
          <w:b/>
          <w:sz w:val="22"/>
        </w:rPr>
      </w:pPr>
      <w:r w:rsidRPr="00C30A0F">
        <w:rPr>
          <w:rFonts w:ascii="Arial" w:hAnsi="Arial" w:cs="Arial"/>
          <w:b/>
          <w:caps/>
          <w:sz w:val="22"/>
        </w:rPr>
        <w:t xml:space="preserve">2.1 </w:t>
      </w:r>
      <w:r w:rsidR="00591113">
        <w:rPr>
          <w:rFonts w:ascii="Arial" w:hAnsi="Arial" w:cs="Arial"/>
          <w:b/>
          <w:sz w:val="22"/>
        </w:rPr>
        <w:t>Policy Gaps and Challenges</w:t>
      </w:r>
      <w:r w:rsidR="00C30A0F" w:rsidRPr="00C30A0F">
        <w:rPr>
          <w:rFonts w:ascii="Arial" w:hAnsi="Arial" w:cs="Arial"/>
          <w:b/>
          <w:sz w:val="22"/>
        </w:rPr>
        <w:t xml:space="preserve"> </w:t>
      </w:r>
    </w:p>
    <w:p w14:paraId="56B92D0D" w14:textId="77777777" w:rsidR="00591113" w:rsidRPr="00591113" w:rsidRDefault="00591113" w:rsidP="00591113">
      <w:pPr>
        <w:jc w:val="both"/>
        <w:rPr>
          <w:rFonts w:ascii="Arial" w:hAnsi="Arial" w:cs="Arial"/>
        </w:rPr>
      </w:pPr>
      <w:r w:rsidRPr="00591113">
        <w:rPr>
          <w:rFonts w:ascii="Arial" w:hAnsi="Arial" w:cs="Arial"/>
        </w:rPr>
        <w:t xml:space="preserve">Significant policy deficiencies and challenges persist. A predominant deficiency is the existence of fragmented governance coupled with policy dissonance. Numerous higher education institutions (HEIs) initiate sustainability endeavors, such as tree-planting campaigns and recycling initiatives; however, a cohesive policy that integrates operations, curriculum, research, and funding remains absent. Scholars assert that when sustainability is perceived as a marginal undertaking rather than being integrated into institutional strategy, the execution of such initiatives often experiences delays (Prior et al., 2024). This observation holds particular relevance within the Philippine context, where various units (facilities, student affairs, academic affairs) may function autonomously. An additional challenge pertains to inadequate monitoring, subpar data systems, and a lack of transparency. </w:t>
      </w:r>
    </w:p>
    <w:p w14:paraId="05D21551" w14:textId="77777777" w:rsidR="00591113" w:rsidRDefault="00591113" w:rsidP="00591113">
      <w:pPr>
        <w:jc w:val="both"/>
        <w:rPr>
          <w:rFonts w:ascii="Arial" w:hAnsi="Arial" w:cs="Arial"/>
        </w:rPr>
      </w:pPr>
    </w:p>
    <w:p w14:paraId="19021DC6" w14:textId="39DD9CB8" w:rsidR="00591113" w:rsidRPr="00591113" w:rsidRDefault="00591113" w:rsidP="00591113">
      <w:pPr>
        <w:jc w:val="both"/>
        <w:rPr>
          <w:rFonts w:ascii="Arial" w:hAnsi="Arial" w:cs="Arial"/>
        </w:rPr>
      </w:pPr>
      <w:r w:rsidRPr="00591113">
        <w:rPr>
          <w:rFonts w:ascii="Arial" w:hAnsi="Arial" w:cs="Arial"/>
        </w:rPr>
        <w:t xml:space="preserve">Despite the growing interest in sustainability dashboards and ranking systems (UI </w:t>
      </w:r>
      <w:proofErr w:type="spellStart"/>
      <w:r w:rsidRPr="00591113">
        <w:rPr>
          <w:rFonts w:ascii="Arial" w:hAnsi="Arial" w:cs="Arial"/>
        </w:rPr>
        <w:t>GreenMetric</w:t>
      </w:r>
      <w:proofErr w:type="spellEnd"/>
      <w:r w:rsidRPr="00591113">
        <w:rPr>
          <w:rFonts w:ascii="Arial" w:hAnsi="Arial" w:cs="Arial"/>
        </w:rPr>
        <w:t xml:space="preserve">, AASHE STARS), numerous institutions are deficient in baseline data, uniform indicators, or regular public reporting. Evaluations of waste management practices in universities indicate that while source separation is prevalent, few campuses systematically assess diversion rates, monitor material composition over time, or correlate outcomes with behavioral interventions (Rodríguez-Guerreiro et al., 2024; </w:t>
      </w:r>
      <w:proofErr w:type="spellStart"/>
      <w:r w:rsidRPr="00591113">
        <w:rPr>
          <w:rFonts w:ascii="Arial" w:hAnsi="Arial" w:cs="Arial"/>
        </w:rPr>
        <w:t>Giurea</w:t>
      </w:r>
      <w:proofErr w:type="spellEnd"/>
      <w:r w:rsidRPr="00591113">
        <w:rPr>
          <w:rFonts w:ascii="Arial" w:hAnsi="Arial" w:cs="Arial"/>
        </w:rPr>
        <w:t xml:space="preserve"> et al., 2024). A third critical challenge is the limitation of resources and leadership capabilities. Analyses of campus sustainability operations underscore that robust leadership and dedicated units (such as sustainability offices or green governance committees) are among the most crucial determinants of success (Oliveira &amp; Proença, 2025). In the absence of explicit mandates and funding, sustainability initiatives are prone to becoming volunteer-driven and sporadic. </w:t>
      </w:r>
    </w:p>
    <w:p w14:paraId="75DDC7A2" w14:textId="77777777" w:rsidR="00591113" w:rsidRDefault="00591113" w:rsidP="00591113">
      <w:pPr>
        <w:jc w:val="both"/>
        <w:rPr>
          <w:rFonts w:ascii="Arial" w:hAnsi="Arial" w:cs="Arial"/>
        </w:rPr>
      </w:pPr>
    </w:p>
    <w:p w14:paraId="013CE470" w14:textId="551DDE16" w:rsidR="00591113" w:rsidRPr="00591113" w:rsidRDefault="00591113" w:rsidP="00591113">
      <w:pPr>
        <w:jc w:val="both"/>
        <w:rPr>
          <w:rFonts w:ascii="Arial" w:hAnsi="Arial" w:cs="Arial"/>
        </w:rPr>
      </w:pPr>
      <w:r w:rsidRPr="00591113">
        <w:rPr>
          <w:rFonts w:ascii="Arial" w:hAnsi="Arial" w:cs="Arial"/>
        </w:rPr>
        <w:t>In the Philippine landscape, RA 9003 and RA 9729 impose legal responsibilities on institutions; however, the lack of specific internal governance mechanisms results in many HEIs potentially facing non-compliance or lacking visibility regarding their progress. Finally, the disconnection between curriculum and operations constitutes another significant gap: although sustainability is included within General Education (GE) courses (as per CHED CMO 20 s. 2013), operational measures do not consistently manifest in academic programs, resulting in a disjunction between the educational mission and campus practices. This disconnect hinders a comprehensive cultural transformation.</w:t>
      </w:r>
    </w:p>
    <w:p w14:paraId="05472F62" w14:textId="77777777" w:rsidR="00591113" w:rsidRDefault="00591113" w:rsidP="00591113">
      <w:pPr>
        <w:jc w:val="both"/>
        <w:rPr>
          <w:rFonts w:ascii="Arial" w:hAnsi="Arial" w:cs="Arial"/>
        </w:rPr>
      </w:pPr>
    </w:p>
    <w:p w14:paraId="1814564F" w14:textId="5D99B7E3" w:rsidR="00591113" w:rsidRPr="00591113" w:rsidRDefault="00E45820" w:rsidP="00591113">
      <w:pPr>
        <w:jc w:val="both"/>
        <w:rPr>
          <w:rFonts w:ascii="Arial" w:hAnsi="Arial" w:cs="Arial"/>
        </w:rPr>
      </w:pPr>
      <w:r w:rsidRPr="00591113">
        <w:rPr>
          <w:rFonts w:ascii="Arial" w:hAnsi="Arial" w:cs="Arial"/>
        </w:rPr>
        <w:t>Considering</w:t>
      </w:r>
      <w:r w:rsidR="00591113" w:rsidRPr="00591113">
        <w:rPr>
          <w:rFonts w:ascii="Arial" w:hAnsi="Arial" w:cs="Arial"/>
        </w:rPr>
        <w:t xml:space="preserve"> these, best practices from other HEIs can offer valuable models </w:t>
      </w:r>
      <w:r w:rsidR="00591113">
        <w:rPr>
          <w:rFonts w:ascii="Arial" w:hAnsi="Arial" w:cs="Arial"/>
        </w:rPr>
        <w:t>that</w:t>
      </w:r>
      <w:r w:rsidR="00591113" w:rsidRPr="00591113">
        <w:rPr>
          <w:rFonts w:ascii="Arial" w:hAnsi="Arial" w:cs="Arial"/>
        </w:rPr>
        <w:t xml:space="preserve"> can </w:t>
      </w:r>
      <w:r w:rsidR="00591113">
        <w:rPr>
          <w:rFonts w:ascii="Arial" w:hAnsi="Arial" w:cs="Arial"/>
        </w:rPr>
        <w:t>be transferred</w:t>
      </w:r>
      <w:r w:rsidR="00591113" w:rsidRPr="00591113">
        <w:rPr>
          <w:rFonts w:ascii="Arial" w:hAnsi="Arial" w:cs="Arial"/>
        </w:rPr>
        <w:t xml:space="preserve"> into the Philippine setting. For example, a demonstration project in Indonesia at </w:t>
      </w:r>
      <w:proofErr w:type="spellStart"/>
      <w:r w:rsidR="00591113" w:rsidRPr="00591113">
        <w:rPr>
          <w:rFonts w:ascii="Arial" w:hAnsi="Arial" w:cs="Arial"/>
        </w:rPr>
        <w:t>Diponegoro</w:t>
      </w:r>
      <w:proofErr w:type="spellEnd"/>
      <w:r w:rsidR="00591113" w:rsidRPr="00591113">
        <w:rPr>
          <w:rFonts w:ascii="Arial" w:hAnsi="Arial" w:cs="Arial"/>
        </w:rPr>
        <w:t xml:space="preserve"> University successfully carried out a complete solid-waste management plan: quantifying waste flows, implementing source separation, involving student organizations, and tracking diversion </w:t>
      </w:r>
      <w:r w:rsidR="00591113">
        <w:rPr>
          <w:rFonts w:ascii="Arial" w:hAnsi="Arial" w:cs="Arial"/>
        </w:rPr>
        <w:t>over time</w:t>
      </w:r>
      <w:r w:rsidR="00591113" w:rsidRPr="00591113">
        <w:rPr>
          <w:rFonts w:ascii="Arial" w:hAnsi="Arial" w:cs="Arial"/>
        </w:rPr>
        <w:t xml:space="preserve"> metrics; its impact </w:t>
      </w:r>
      <w:r w:rsidR="00591113">
        <w:rPr>
          <w:rFonts w:ascii="Arial" w:hAnsi="Arial" w:cs="Arial"/>
        </w:rPr>
        <w:t>was to</w:t>
      </w:r>
      <w:r w:rsidR="00591113" w:rsidRPr="00591113">
        <w:rPr>
          <w:rFonts w:ascii="Arial" w:hAnsi="Arial" w:cs="Arial"/>
        </w:rPr>
        <w:t xml:space="preserve"> continuously reduce waste and create community opportunities (</w:t>
      </w:r>
      <w:proofErr w:type="spellStart"/>
      <w:r w:rsidR="00591113" w:rsidRPr="00591113">
        <w:rPr>
          <w:rFonts w:ascii="Arial" w:hAnsi="Arial" w:cs="Arial"/>
        </w:rPr>
        <w:t>Budihardjo</w:t>
      </w:r>
      <w:proofErr w:type="spellEnd"/>
      <w:r w:rsidR="00591113" w:rsidRPr="00591113">
        <w:rPr>
          <w:rFonts w:ascii="Arial" w:hAnsi="Arial" w:cs="Arial"/>
        </w:rPr>
        <w:t xml:space="preserve"> et al., 2021). Another good example can be found </w:t>
      </w:r>
      <w:r w:rsidRPr="00591113">
        <w:rPr>
          <w:rFonts w:ascii="Arial" w:hAnsi="Arial" w:cs="Arial"/>
        </w:rPr>
        <w:t>in</w:t>
      </w:r>
      <w:r w:rsidR="00591113" w:rsidRPr="00591113">
        <w:rPr>
          <w:rFonts w:ascii="Arial" w:hAnsi="Arial" w:cs="Arial"/>
        </w:rPr>
        <w:t xml:space="preserve"> energy and carbon management</w:t>
      </w:r>
      <w:r w:rsidR="00591113">
        <w:rPr>
          <w:rFonts w:ascii="Arial" w:hAnsi="Arial" w:cs="Arial"/>
        </w:rPr>
        <w:t>,</w:t>
      </w:r>
      <w:r w:rsidR="00591113" w:rsidRPr="00591113">
        <w:rPr>
          <w:rFonts w:ascii="Arial" w:hAnsi="Arial" w:cs="Arial"/>
        </w:rPr>
        <w:t xml:space="preserve"> where institutions that develop integrated </w:t>
      </w:r>
      <w:r w:rsidRPr="00591113">
        <w:rPr>
          <w:rFonts w:ascii="Arial" w:hAnsi="Arial" w:cs="Arial"/>
        </w:rPr>
        <w:t>dashboards</w:t>
      </w:r>
      <w:r w:rsidR="00591113" w:rsidRPr="00591113">
        <w:rPr>
          <w:rFonts w:ascii="Arial" w:hAnsi="Arial" w:cs="Arial"/>
        </w:rPr>
        <w:t xml:space="preserve"> set goals to reach carbon neutrality, and </w:t>
      </w:r>
      <w:r w:rsidR="00591113">
        <w:rPr>
          <w:rFonts w:ascii="Arial" w:hAnsi="Arial" w:cs="Arial"/>
        </w:rPr>
        <w:t>report annually</w:t>
      </w:r>
      <w:r w:rsidR="00591113" w:rsidRPr="00591113">
        <w:rPr>
          <w:rFonts w:ascii="Arial" w:hAnsi="Arial" w:cs="Arial"/>
        </w:rPr>
        <w:t xml:space="preserve"> using tools like AASHE STARS</w:t>
      </w:r>
      <w:r>
        <w:rPr>
          <w:rFonts w:ascii="Arial" w:hAnsi="Arial" w:cs="Arial"/>
        </w:rPr>
        <w:t>,</w:t>
      </w:r>
      <w:r w:rsidR="00591113" w:rsidRPr="00591113">
        <w:rPr>
          <w:rFonts w:ascii="Arial" w:hAnsi="Arial" w:cs="Arial"/>
        </w:rPr>
        <w:t xml:space="preserve"> are showing significant progress as well as institutional commitment (Laporte &amp; Cansino, 2024).</w:t>
      </w:r>
    </w:p>
    <w:p w14:paraId="47CC4205" w14:textId="77777777" w:rsidR="00591113" w:rsidRDefault="00591113" w:rsidP="00591113">
      <w:pPr>
        <w:jc w:val="both"/>
        <w:rPr>
          <w:rFonts w:ascii="Arial" w:hAnsi="Arial" w:cs="Arial"/>
        </w:rPr>
      </w:pPr>
    </w:p>
    <w:p w14:paraId="5F3FE253" w14:textId="49ED25E2" w:rsidR="00591113" w:rsidRPr="00591113" w:rsidRDefault="00591113" w:rsidP="00591113">
      <w:pPr>
        <w:jc w:val="both"/>
        <w:rPr>
          <w:rFonts w:ascii="Arial" w:hAnsi="Arial" w:cs="Arial"/>
        </w:rPr>
      </w:pPr>
      <w:r w:rsidRPr="00591113">
        <w:rPr>
          <w:rFonts w:ascii="Arial" w:hAnsi="Arial" w:cs="Arial"/>
        </w:rPr>
        <w:t xml:space="preserve">Literature on waste management also highlights circular economy models within campus settings—for instance, </w:t>
      </w:r>
      <w:proofErr w:type="spellStart"/>
      <w:r w:rsidRPr="00591113">
        <w:rPr>
          <w:rFonts w:ascii="Arial" w:hAnsi="Arial" w:cs="Arial"/>
        </w:rPr>
        <w:t>Giurea</w:t>
      </w:r>
      <w:proofErr w:type="spellEnd"/>
      <w:r w:rsidRPr="00591113">
        <w:rPr>
          <w:rFonts w:ascii="Arial" w:hAnsi="Arial" w:cs="Arial"/>
        </w:rPr>
        <w:t xml:space="preserve"> et al. (2024) provide a framework for sustainable waste management systems in universities that encompass behavioral change, collection systems, pathways for reuse, and circularity planning (</w:t>
      </w:r>
      <w:proofErr w:type="spellStart"/>
      <w:r w:rsidRPr="00591113">
        <w:rPr>
          <w:rFonts w:ascii="Arial" w:hAnsi="Arial" w:cs="Arial"/>
        </w:rPr>
        <w:t>Giurea</w:t>
      </w:r>
      <w:proofErr w:type="spellEnd"/>
      <w:r w:rsidRPr="00591113">
        <w:rPr>
          <w:rFonts w:ascii="Arial" w:hAnsi="Arial" w:cs="Arial"/>
        </w:rPr>
        <w:t xml:space="preserve"> et al., 2024). Linkages between curriculum and strategy are exemplified in research conducted in the Philippines: Duran and Mariñas (2024) demonstrate that when institutional support is available, faculty members are more inclined to incorporate sustainability, suggesting that best practices include synchronized capacity-building, curriculum mapping, and institutional incentives. </w:t>
      </w:r>
      <w:r>
        <w:rPr>
          <w:rFonts w:ascii="Arial" w:hAnsi="Arial" w:cs="Arial"/>
        </w:rPr>
        <w:t>Hence</w:t>
      </w:r>
      <w:r w:rsidRPr="00591113">
        <w:rPr>
          <w:rFonts w:ascii="Arial" w:hAnsi="Arial" w:cs="Arial"/>
        </w:rPr>
        <w:t>, these models underscore the necessity of (a) a formalized green campus policy, (b) a dedicated governance framework, (c) the integration of operations, curriculum, and engagement, and (d) the implementation of monitoring and public reporting mechanisms.</w:t>
      </w:r>
    </w:p>
    <w:p w14:paraId="1391E62D" w14:textId="77777777" w:rsidR="00591113" w:rsidRDefault="00591113" w:rsidP="00441B6F">
      <w:pPr>
        <w:pStyle w:val="Body"/>
        <w:spacing w:after="0"/>
        <w:rPr>
          <w:rFonts w:ascii="Arial" w:hAnsi="Arial" w:cs="Arial"/>
          <w:b/>
          <w:sz w:val="22"/>
        </w:rPr>
      </w:pPr>
    </w:p>
    <w:p w14:paraId="0DE5DF51" w14:textId="0B06985B" w:rsidR="00591113" w:rsidRDefault="00591113" w:rsidP="00591113">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rPr>
        <w:t>2 ASEAN</w:t>
      </w:r>
      <w:r w:rsidRPr="00C30A0F">
        <w:rPr>
          <w:rFonts w:ascii="Arial" w:hAnsi="Arial" w:cs="Arial"/>
          <w:b/>
          <w:sz w:val="22"/>
        </w:rPr>
        <w:t xml:space="preserve"> </w:t>
      </w:r>
      <w:r>
        <w:rPr>
          <w:rFonts w:ascii="Arial" w:hAnsi="Arial" w:cs="Arial"/>
          <w:b/>
          <w:sz w:val="22"/>
        </w:rPr>
        <w:t>Perspectives</w:t>
      </w:r>
      <w:r w:rsidRPr="00C30A0F">
        <w:rPr>
          <w:rFonts w:ascii="Arial" w:hAnsi="Arial" w:cs="Arial"/>
          <w:b/>
          <w:sz w:val="22"/>
        </w:rPr>
        <w:t xml:space="preserve"> </w:t>
      </w:r>
    </w:p>
    <w:p w14:paraId="1461AC31" w14:textId="77777777" w:rsidR="00591113" w:rsidRPr="00591113" w:rsidRDefault="00591113" w:rsidP="00591113">
      <w:pPr>
        <w:jc w:val="both"/>
        <w:rPr>
          <w:rFonts w:ascii="Arial" w:hAnsi="Arial" w:cs="Arial"/>
        </w:rPr>
      </w:pPr>
      <w:r w:rsidRPr="00591113">
        <w:rPr>
          <w:rFonts w:ascii="Arial" w:hAnsi="Arial" w:cs="Arial"/>
        </w:rPr>
        <w:lastRenderedPageBreak/>
        <w:t xml:space="preserve">Throughout Southeast Asia, higher education institutions (HEIs) are progressively acknowledging sustainability as integral to institutional governance, curriculum development, and community involvement. Regional initiatives reflect a gradual evolution from fragmented environmental initiatives to comprehensive sustainability frameworks that amalgamate policy, pedagogy, and practical application. Leal Filho et al. (2022) noted that universities in Indonesia, Malaysia, and Thailand are at the forefront of integrating sustainability principles into their operations and educational practices, although the execution of these initiatives is inconsistent across the region. </w:t>
      </w:r>
    </w:p>
    <w:p w14:paraId="3D5C1786" w14:textId="77777777" w:rsidR="00591113" w:rsidRDefault="00591113" w:rsidP="00591113">
      <w:pPr>
        <w:jc w:val="both"/>
        <w:rPr>
          <w:rFonts w:ascii="Arial" w:hAnsi="Arial" w:cs="Arial"/>
        </w:rPr>
      </w:pPr>
    </w:p>
    <w:p w14:paraId="02179B49" w14:textId="5908B030" w:rsidR="00591113" w:rsidRPr="00591113" w:rsidRDefault="00591113" w:rsidP="00591113">
      <w:pPr>
        <w:jc w:val="both"/>
        <w:rPr>
          <w:rFonts w:ascii="Arial" w:hAnsi="Arial" w:cs="Arial"/>
        </w:rPr>
      </w:pPr>
      <w:r w:rsidRPr="00591113">
        <w:rPr>
          <w:rFonts w:ascii="Arial" w:hAnsi="Arial" w:cs="Arial"/>
        </w:rPr>
        <w:t xml:space="preserve">Frameworks such as the UI </w:t>
      </w:r>
      <w:proofErr w:type="spellStart"/>
      <w:r w:rsidRPr="00591113">
        <w:rPr>
          <w:rFonts w:ascii="Arial" w:hAnsi="Arial" w:cs="Arial"/>
        </w:rPr>
        <w:t>GreenMetric</w:t>
      </w:r>
      <w:proofErr w:type="spellEnd"/>
      <w:r w:rsidRPr="00591113">
        <w:rPr>
          <w:rFonts w:ascii="Arial" w:hAnsi="Arial" w:cs="Arial"/>
        </w:rPr>
        <w:t xml:space="preserve"> and the Sustainability Tracking, Assessment &amp; Rating System (STARS) have equipped ASEAN universities with quantifiable metrics, allowing them to measure and compare their energy, waste, and educational objectives while promoting accountability and cooperative efforts. As of 2024, UI </w:t>
      </w:r>
      <w:proofErr w:type="spellStart"/>
      <w:r w:rsidRPr="00591113">
        <w:rPr>
          <w:rFonts w:ascii="Arial" w:hAnsi="Arial" w:cs="Arial"/>
        </w:rPr>
        <w:t>GreenMetric</w:t>
      </w:r>
      <w:proofErr w:type="spellEnd"/>
      <w:r w:rsidRPr="00591113">
        <w:rPr>
          <w:rFonts w:ascii="Arial" w:hAnsi="Arial" w:cs="Arial"/>
        </w:rPr>
        <w:t xml:space="preserve"> reported engagement from 1,147 universities across 95 nations, including an increasing number of ASEAN institutions that are actively aligning their sustainability objectives with global benchmarks (UI </w:t>
      </w:r>
      <w:proofErr w:type="spellStart"/>
      <w:r w:rsidRPr="00591113">
        <w:rPr>
          <w:rFonts w:ascii="Arial" w:hAnsi="Arial" w:cs="Arial"/>
        </w:rPr>
        <w:t>GreenMetric</w:t>
      </w:r>
      <w:proofErr w:type="spellEnd"/>
      <w:r w:rsidRPr="00591113">
        <w:rPr>
          <w:rFonts w:ascii="Arial" w:hAnsi="Arial" w:cs="Arial"/>
        </w:rPr>
        <w:t>, 2024).</w:t>
      </w:r>
    </w:p>
    <w:p w14:paraId="3E135581" w14:textId="77777777" w:rsidR="00591113" w:rsidRDefault="00591113" w:rsidP="00591113">
      <w:pPr>
        <w:jc w:val="both"/>
        <w:rPr>
          <w:rFonts w:ascii="Arial" w:hAnsi="Arial" w:cs="Arial"/>
          <w:lang w:val="it-IT"/>
        </w:rPr>
      </w:pPr>
    </w:p>
    <w:p w14:paraId="5EACFDEF" w14:textId="7D30394E" w:rsidR="00591113" w:rsidRPr="00591113" w:rsidRDefault="00591113" w:rsidP="00591113">
      <w:pPr>
        <w:jc w:val="both"/>
        <w:rPr>
          <w:rFonts w:ascii="Arial" w:hAnsi="Arial" w:cs="Arial"/>
        </w:rPr>
      </w:pPr>
      <w:r w:rsidRPr="00591113">
        <w:rPr>
          <w:rFonts w:ascii="Arial" w:hAnsi="Arial" w:cs="Arial"/>
          <w:lang w:val="it-IT"/>
        </w:rPr>
        <w:t xml:space="preserve">In Indonesia, Budihardjo et al. </w:t>
      </w:r>
      <w:r w:rsidRPr="00591113">
        <w:rPr>
          <w:rFonts w:ascii="Arial" w:hAnsi="Arial" w:cs="Arial"/>
        </w:rPr>
        <w:t xml:space="preserve">(2021) demonstrated that the implementation of solid waste management systems in the operation system of </w:t>
      </w:r>
      <w:proofErr w:type="spellStart"/>
      <w:r w:rsidRPr="00591113">
        <w:rPr>
          <w:rFonts w:ascii="Arial" w:hAnsi="Arial" w:cs="Arial"/>
        </w:rPr>
        <w:t>Diponegoro</w:t>
      </w:r>
      <w:proofErr w:type="spellEnd"/>
      <w:r w:rsidRPr="00591113">
        <w:rPr>
          <w:rFonts w:ascii="Arial" w:hAnsi="Arial" w:cs="Arial"/>
        </w:rPr>
        <w:t xml:space="preserve"> University had very significant impacts on institutional effectiveness and student participation. The success of these projects demonstrates that sustainability can best be served by being supported as a cohesive operating system rather than as individual, ad-hoc parts. In a similar trend, from Malaysia, Chan et al. (2022) emphasized the role of multiple university units, industry participants, and non-governmental organizations for sustainability practices and waste reduction in environmental conservation. These paradigms reinforce the notion that sustainability is not simply an administrative responsibility, </w:t>
      </w:r>
      <w:r w:rsidRPr="00591113">
        <w:rPr>
          <w:rFonts w:ascii="Arial" w:hAnsi="Arial" w:cs="Arial"/>
        </w:rPr>
        <w:t> </w:t>
      </w:r>
      <w:r w:rsidRPr="00591113">
        <w:rPr>
          <w:rFonts w:ascii="Arial" w:hAnsi="Arial" w:cs="Arial"/>
        </w:rPr>
        <w:t>but a shared responsibility that must engage and activate faculty, staff, and students.</w:t>
      </w:r>
    </w:p>
    <w:p w14:paraId="396B7021" w14:textId="77777777" w:rsidR="00591113" w:rsidRDefault="00591113" w:rsidP="00591113">
      <w:pPr>
        <w:jc w:val="both"/>
        <w:rPr>
          <w:rFonts w:ascii="Arial" w:hAnsi="Arial" w:cs="Arial"/>
        </w:rPr>
      </w:pPr>
    </w:p>
    <w:p w14:paraId="2D969F6E" w14:textId="6AF44E44" w:rsidR="00591113" w:rsidRPr="00591113" w:rsidRDefault="00591113" w:rsidP="00591113">
      <w:pPr>
        <w:jc w:val="both"/>
        <w:rPr>
          <w:rFonts w:ascii="Arial" w:hAnsi="Arial" w:cs="Arial"/>
        </w:rPr>
      </w:pPr>
      <w:r w:rsidRPr="00591113">
        <w:rPr>
          <w:rFonts w:ascii="Arial" w:hAnsi="Arial" w:cs="Arial"/>
        </w:rPr>
        <w:t xml:space="preserve">Thailand's advancements exemplify how national policy frameworks can enhance campus sustainability initiatives. </w:t>
      </w:r>
      <w:proofErr w:type="spellStart"/>
      <w:r w:rsidRPr="00591113">
        <w:rPr>
          <w:rFonts w:ascii="Arial" w:hAnsi="Arial" w:cs="Arial"/>
        </w:rPr>
        <w:t>Aregarot</w:t>
      </w:r>
      <w:proofErr w:type="spellEnd"/>
      <w:r w:rsidRPr="00591113">
        <w:rPr>
          <w:rFonts w:ascii="Arial" w:hAnsi="Arial" w:cs="Arial"/>
        </w:rPr>
        <w:t xml:space="preserve"> et al. (2024) introduced a tailored set of "Green University Sustainability Indicators" that adapts global assessment methodologies to align with the specific institutional contexts of Thailand, accounting for variances in size, financial resources, and governance structures. This modification fosters both inclusivity and the ability to make comparisons among different universities. In conjunction with this, </w:t>
      </w:r>
      <w:proofErr w:type="spellStart"/>
      <w:r w:rsidRPr="00591113">
        <w:rPr>
          <w:rFonts w:ascii="Arial" w:hAnsi="Arial" w:cs="Arial"/>
        </w:rPr>
        <w:t>Sribanasarn</w:t>
      </w:r>
      <w:proofErr w:type="spellEnd"/>
      <w:r w:rsidRPr="00591113">
        <w:rPr>
          <w:rFonts w:ascii="Arial" w:hAnsi="Arial" w:cs="Arial"/>
        </w:rPr>
        <w:t xml:space="preserve"> et al. (2024) demonstrated that governance and quality assurance frameworks at </w:t>
      </w:r>
      <w:proofErr w:type="spellStart"/>
      <w:r w:rsidRPr="00591113">
        <w:rPr>
          <w:rFonts w:ascii="Arial" w:hAnsi="Arial" w:cs="Arial"/>
        </w:rPr>
        <w:t>Mahasarakham</w:t>
      </w:r>
      <w:proofErr w:type="spellEnd"/>
      <w:r w:rsidRPr="00591113">
        <w:rPr>
          <w:rFonts w:ascii="Arial" w:hAnsi="Arial" w:cs="Arial"/>
        </w:rPr>
        <w:t xml:space="preserve"> University significantly bolstered the alignment of academic programs with the Sustainable Development Goals (SDGs), thereby emphasizing that effective leadership and accountability mechanisms are crucial for the institutionalization of sustainability practices.</w:t>
      </w:r>
    </w:p>
    <w:p w14:paraId="6E27155C" w14:textId="77777777" w:rsidR="00591113" w:rsidRDefault="00591113" w:rsidP="00591113">
      <w:pPr>
        <w:jc w:val="both"/>
        <w:rPr>
          <w:rFonts w:ascii="Arial" w:hAnsi="Arial" w:cs="Arial"/>
        </w:rPr>
      </w:pPr>
    </w:p>
    <w:p w14:paraId="066F1522" w14:textId="48C2A454" w:rsidR="00591113" w:rsidRPr="00591113" w:rsidRDefault="00591113" w:rsidP="00591113">
      <w:pPr>
        <w:jc w:val="both"/>
        <w:rPr>
          <w:rFonts w:ascii="Arial" w:hAnsi="Arial" w:cs="Arial"/>
        </w:rPr>
      </w:pPr>
      <w:r w:rsidRPr="00591113">
        <w:rPr>
          <w:rFonts w:ascii="Arial" w:hAnsi="Arial" w:cs="Arial"/>
        </w:rPr>
        <w:t>Despite notable advancements, pervasive challenges remain. Insufficient financial resources frequently hinder the execution of extensive green initiatives, particularly within smaller or private institutions of higher education (</w:t>
      </w:r>
      <w:proofErr w:type="spellStart"/>
      <w:r w:rsidRPr="00591113">
        <w:rPr>
          <w:rFonts w:ascii="Arial" w:hAnsi="Arial" w:cs="Arial"/>
        </w:rPr>
        <w:t>Aregarot</w:t>
      </w:r>
      <w:proofErr w:type="spellEnd"/>
      <w:r w:rsidRPr="00591113">
        <w:rPr>
          <w:rFonts w:ascii="Arial" w:hAnsi="Arial" w:cs="Arial"/>
        </w:rPr>
        <w:t xml:space="preserve"> et al., 2024). Disjointed governance frameworks and inconsistent reporting mechanisms further diminish accountability (Leal Filho et al., 2022). Furthermore, behavioral and cultural impediments persist in obstructing participation, as evidenced in Indonesia and Malaysia, where enduring success was contingent upon sustained community involvement and transparent procurement processes (</w:t>
      </w:r>
      <w:proofErr w:type="spellStart"/>
      <w:r w:rsidRPr="00591113">
        <w:rPr>
          <w:rFonts w:ascii="Arial" w:hAnsi="Arial" w:cs="Arial"/>
        </w:rPr>
        <w:t>Budihardjo</w:t>
      </w:r>
      <w:proofErr w:type="spellEnd"/>
      <w:r w:rsidRPr="00591113">
        <w:rPr>
          <w:rFonts w:ascii="Arial" w:hAnsi="Arial" w:cs="Arial"/>
        </w:rPr>
        <w:t xml:space="preserve"> et al., 2021; Chan et al., 2022).</w:t>
      </w:r>
    </w:p>
    <w:p w14:paraId="788D075A" w14:textId="77777777" w:rsidR="00591113" w:rsidRDefault="00591113" w:rsidP="00441B6F">
      <w:pPr>
        <w:pStyle w:val="Head1"/>
        <w:spacing w:after="0"/>
        <w:jc w:val="both"/>
        <w:rPr>
          <w:rFonts w:ascii="Arial" w:hAnsi="Arial" w:cs="Arial"/>
        </w:rPr>
      </w:pPr>
    </w:p>
    <w:p w14:paraId="5E0ECD4B" w14:textId="77777777" w:rsidR="00591113" w:rsidRDefault="00591113" w:rsidP="00591113">
      <w:pPr>
        <w:pStyle w:val="Head1"/>
        <w:spacing w:after="0"/>
        <w:jc w:val="both"/>
        <w:rPr>
          <w:rFonts w:ascii="Arial" w:hAnsi="Arial" w:cs="Arial"/>
        </w:rPr>
      </w:pPr>
    </w:p>
    <w:p w14:paraId="78E6A237" w14:textId="29526B9F" w:rsidR="00591113" w:rsidRDefault="00591113" w:rsidP="00591113">
      <w:pPr>
        <w:pStyle w:val="Head1"/>
        <w:spacing w:after="0"/>
        <w:jc w:val="both"/>
        <w:rPr>
          <w:rFonts w:ascii="Arial" w:hAnsi="Arial" w:cs="Arial"/>
        </w:rPr>
      </w:pPr>
      <w:r>
        <w:rPr>
          <w:rFonts w:ascii="Arial" w:hAnsi="Arial" w:cs="Arial"/>
        </w:rPr>
        <w:t>4. CONCLUSION</w:t>
      </w:r>
    </w:p>
    <w:p w14:paraId="0D9A470F" w14:textId="77777777" w:rsidR="00591113" w:rsidRDefault="00591113" w:rsidP="00591113">
      <w:pPr>
        <w:jc w:val="both"/>
        <w:rPr>
          <w:rFonts w:ascii="Arial" w:hAnsi="Arial" w:cs="Arial"/>
        </w:rPr>
      </w:pPr>
      <w:r w:rsidRPr="00591113">
        <w:rPr>
          <w:rFonts w:ascii="Arial" w:hAnsi="Arial" w:cs="Arial"/>
        </w:rPr>
        <w:t xml:space="preserve">The review supports these higher education institutions as a critical driver for sustainable development, via education, research, and the institution itself. Laws like RA 9512, RA 9003, and RA 9729, as well as CHED Memorandum Orders (CMOs) Nos 20 and 46, offer a strong legal academic footing to anchor sustainability in systems redesign across institutions. However, in spite of these mechanisms, fragmented governance, </w:t>
      </w:r>
      <w:r w:rsidRPr="00591113">
        <w:rPr>
          <w:rFonts w:ascii="Arial" w:hAnsi="Arial" w:cs="Arial"/>
        </w:rPr>
        <w:t> </w:t>
      </w:r>
      <w:r w:rsidRPr="00591113">
        <w:rPr>
          <w:rFonts w:ascii="Arial" w:hAnsi="Arial" w:cs="Arial"/>
        </w:rPr>
        <w:t xml:space="preserve">lack of monitoring, and institutional commitment continue to be challenges. Several studies have confirmed that sustainability will excel when leadership and stakeholder participation, as well as integrated policies, all intersect. Best practice from universities around the world shows that a joined-up green campus policy backed by a sustainability office and clear reporting can deliver tangible change. For Philippine HEIs, inculcating environmental leadership is not just an ethical responsibility but also a pragmatic need for both survival and sustained global relevance. A well-integrated policy roadmap that connects curriculum, infrastructure, and community partnerships will foster a sustainable cultural ethos of environmental </w:t>
      </w:r>
      <w:r w:rsidRPr="00591113">
        <w:rPr>
          <w:rFonts w:ascii="Arial" w:hAnsi="Arial" w:cs="Arial"/>
        </w:rPr>
        <w:lastRenderedPageBreak/>
        <w:t>responsibility—one that achieves the educational mission while advancing international Sustainable Development Goals 4 (Quality Education) and 13 (Climate</w:t>
      </w:r>
      <w:r w:rsidRPr="00591113">
        <w:rPr>
          <w:rFonts w:ascii="Arial" w:hAnsi="Arial" w:cs="Arial"/>
        </w:rPr>
        <w:t> </w:t>
      </w:r>
      <w:r w:rsidRPr="00591113">
        <w:rPr>
          <w:rFonts w:ascii="Arial" w:hAnsi="Arial" w:cs="Arial"/>
        </w:rPr>
        <w:t>Action).</w:t>
      </w:r>
    </w:p>
    <w:p w14:paraId="0F3B8D7E" w14:textId="77777777" w:rsidR="007C7F18" w:rsidRDefault="007C7F18" w:rsidP="00591113">
      <w:pPr>
        <w:jc w:val="both"/>
        <w:rPr>
          <w:rFonts w:ascii="Arial" w:hAnsi="Arial" w:cs="Arial"/>
        </w:rPr>
      </w:pPr>
    </w:p>
    <w:p w14:paraId="2BC6F5E0" w14:textId="77777777" w:rsidR="007C7F18" w:rsidRDefault="007C7F18" w:rsidP="007C7F18">
      <w:pPr>
        <w:pStyle w:val="Head1"/>
        <w:spacing w:after="0"/>
        <w:jc w:val="both"/>
        <w:rPr>
          <w:rFonts w:ascii="Arial" w:hAnsi="Arial" w:cs="Arial"/>
        </w:rPr>
      </w:pPr>
      <w:r>
        <w:rPr>
          <w:rFonts w:ascii="Arial" w:hAnsi="Arial" w:cs="Arial"/>
        </w:rPr>
        <w:t>3. RECOMMENDATIONS</w:t>
      </w:r>
    </w:p>
    <w:p w14:paraId="0AD363C0" w14:textId="77777777" w:rsidR="007C7F18" w:rsidRPr="00591113" w:rsidRDefault="007C7F18" w:rsidP="007C7F18">
      <w:pPr>
        <w:jc w:val="both"/>
        <w:rPr>
          <w:rFonts w:ascii="Arial" w:hAnsi="Arial" w:cs="Arial"/>
        </w:rPr>
      </w:pPr>
      <w:r w:rsidRPr="00591113">
        <w:rPr>
          <w:rFonts w:ascii="Arial" w:hAnsi="Arial" w:cs="Arial"/>
        </w:rPr>
        <w:t xml:space="preserve">In institutionalizing environmental stewardship in the context of higher education institutions, this policy presents a comprehensive and evidence-based sustainability framework rooted in the Republic Acts 9003, 9729, and 9512, coupled with CHED Memorandum Orders Nos. 20 and 46 The framework recommends that the universities or HEIs in question crystallize disparate sustainability initiatives into a comprehensive Green Campus Policy, which should contain quantifiable waste diversion goals, benchmarks for energy conservation and reduced carbon footprints, sustainable procurement strategies, and embedded environmental education. Complementing AASHE STARS and UI </w:t>
      </w:r>
      <w:proofErr w:type="spellStart"/>
      <w:r w:rsidRPr="00591113">
        <w:rPr>
          <w:rFonts w:ascii="Arial" w:hAnsi="Arial" w:cs="Arial"/>
        </w:rPr>
        <w:t>GreenMetric</w:t>
      </w:r>
      <w:proofErr w:type="spellEnd"/>
      <w:r w:rsidRPr="00591113">
        <w:rPr>
          <w:rFonts w:ascii="Arial" w:hAnsi="Arial" w:cs="Arial"/>
        </w:rPr>
        <w:t xml:space="preserve"> benchmarks, this policy addresses accountability, data-based tracking, and long-term institutional engagement. </w:t>
      </w:r>
    </w:p>
    <w:p w14:paraId="6AA67A44" w14:textId="77777777" w:rsidR="007C7F18" w:rsidRPr="00591113" w:rsidRDefault="007C7F18" w:rsidP="007C7F18">
      <w:pPr>
        <w:jc w:val="both"/>
        <w:rPr>
          <w:rFonts w:ascii="Arial" w:hAnsi="Arial" w:cs="Arial"/>
        </w:rPr>
      </w:pPr>
    </w:p>
    <w:p w14:paraId="0FAD616A" w14:textId="77777777" w:rsidR="007C7F18" w:rsidRPr="00591113" w:rsidRDefault="007C7F18" w:rsidP="007C7F18">
      <w:pPr>
        <w:jc w:val="both"/>
        <w:rPr>
          <w:rFonts w:ascii="Arial" w:hAnsi="Arial" w:cs="Arial"/>
        </w:rPr>
      </w:pPr>
      <w:r w:rsidRPr="00591113">
        <w:rPr>
          <w:rFonts w:ascii="Arial" w:hAnsi="Arial" w:cs="Arial"/>
        </w:rPr>
        <w:t>A key component is the establishment of a Sustainability Office (SO) or Green Governance Committee (GGC) for which this coordination, facilitation review function is assumed, and annual sustainability reports are produced. This institutional device encourages leadership, collaboration, and evidence-informed governance in academic units and administrative services (Oliveira &amp; Proença, 2025; Duran &amp; Mariñas, 2024). Compliant with RA 9003, universities are supported by other policy instruments to also apply the Zero-Waste Campus Program, which combines waste segregation, recycling, and circular economy models; all of this turns waste into a worthwhile learning and community resource (Rodríguez-Guerreiro et al., 2024).</w:t>
      </w:r>
    </w:p>
    <w:p w14:paraId="097EE9C4" w14:textId="77777777" w:rsidR="007C7F18" w:rsidRPr="00591113" w:rsidRDefault="007C7F18" w:rsidP="007C7F18">
      <w:pPr>
        <w:jc w:val="both"/>
        <w:rPr>
          <w:rFonts w:ascii="Arial" w:hAnsi="Arial" w:cs="Arial"/>
        </w:rPr>
      </w:pPr>
    </w:p>
    <w:p w14:paraId="64DAB7E7" w14:textId="77777777" w:rsidR="007C7F18" w:rsidRPr="00591113" w:rsidRDefault="007C7F18" w:rsidP="007C7F18">
      <w:pPr>
        <w:jc w:val="both"/>
        <w:rPr>
          <w:rFonts w:ascii="Arial" w:hAnsi="Arial" w:cs="Arial"/>
        </w:rPr>
      </w:pPr>
      <w:r w:rsidRPr="00591113">
        <w:rPr>
          <w:rFonts w:ascii="Arial" w:hAnsi="Arial" w:cs="Arial"/>
        </w:rPr>
        <w:t>Complementary to waste reduction, HEIs should implement an Energy Efficiency and Climate Action Plan pursuant to RA 9729, which focuses on energy preservation, renewable energy utilization green mobility (Laporte &amp; Cansino, 2024). In parallel with these operational changes, sustainability needs to be systematically integrated into curricula, research, and extension through ESD reinforced by training and faculty incentives.</w:t>
      </w:r>
    </w:p>
    <w:p w14:paraId="35CDFF7F" w14:textId="77777777" w:rsidR="007C7F18" w:rsidRDefault="007C7F18" w:rsidP="007C7F18">
      <w:pPr>
        <w:jc w:val="both"/>
        <w:rPr>
          <w:rFonts w:ascii="Arial" w:hAnsi="Arial" w:cs="Arial"/>
        </w:rPr>
      </w:pPr>
    </w:p>
    <w:p w14:paraId="3ACF782A" w14:textId="77777777" w:rsidR="007C7F18" w:rsidRPr="00591113" w:rsidRDefault="007C7F18" w:rsidP="007C7F18">
      <w:pPr>
        <w:jc w:val="both"/>
        <w:rPr>
          <w:rFonts w:ascii="Arial" w:hAnsi="Arial" w:cs="Arial"/>
        </w:rPr>
      </w:pPr>
      <w:r w:rsidRPr="00591113">
        <w:rPr>
          <w:rFonts w:ascii="Arial" w:hAnsi="Arial" w:cs="Arial"/>
        </w:rPr>
        <w:t xml:space="preserve">Finally, the role of HEIs in transparent reporting, across-sector adoption, and systems for rewarding sustainability innovation is very important. Connecting law, education, and governance through a university-academic partnership on climate justice means universities can practice environmental leadership </w:t>
      </w:r>
      <w:r w:rsidRPr="00591113">
        <w:rPr>
          <w:rFonts w:ascii="Arial" w:hAnsi="Arial" w:cs="Arial"/>
        </w:rPr>
        <w:t> </w:t>
      </w:r>
      <w:r w:rsidRPr="00591113">
        <w:rPr>
          <w:rFonts w:ascii="Arial" w:hAnsi="Arial" w:cs="Arial"/>
        </w:rPr>
        <w:t>while addressing SDGs 4 (Quality Education) and 13 (Climate Action).</w:t>
      </w:r>
    </w:p>
    <w:p w14:paraId="2E4036FF" w14:textId="77777777" w:rsidR="007C7F18" w:rsidRPr="00591113" w:rsidRDefault="007C7F18" w:rsidP="00591113">
      <w:pPr>
        <w:jc w:val="both"/>
        <w:rPr>
          <w:rFonts w:ascii="Arial" w:hAnsi="Arial" w:cs="Arial"/>
        </w:rPr>
      </w:pPr>
    </w:p>
    <w:p w14:paraId="59677283" w14:textId="77777777" w:rsidR="00376BBE" w:rsidRDefault="00376BBE" w:rsidP="00441B6F">
      <w:pPr>
        <w:pStyle w:val="Body"/>
        <w:spacing w:after="0"/>
        <w:rPr>
          <w:rFonts w:ascii="Arial" w:hAnsi="Arial" w:cs="Arial"/>
        </w:rPr>
      </w:pPr>
    </w:p>
    <w:p w14:paraId="70A0FAA2" w14:textId="451581A2" w:rsidR="00927834" w:rsidRDefault="00591113" w:rsidP="00441B6F">
      <w:pPr>
        <w:autoSpaceDE w:val="0"/>
        <w:autoSpaceDN w:val="0"/>
        <w:adjustRightInd w:val="0"/>
        <w:jc w:val="both"/>
        <w:rPr>
          <w:rFonts w:ascii="Arial" w:hAnsi="Arial" w:cs="Arial"/>
          <w:b/>
          <w:bCs/>
          <w:sz w:val="22"/>
          <w:szCs w:val="22"/>
        </w:rPr>
      </w:pPr>
      <w:r>
        <w:rPr>
          <w:rFonts w:ascii="Arial" w:hAnsi="Arial" w:cs="Arial"/>
          <w:b/>
          <w:bCs/>
          <w:sz w:val="22"/>
          <w:szCs w:val="22"/>
        </w:rPr>
        <w:t>5. POLICY IMPLICATIONS</w:t>
      </w:r>
    </w:p>
    <w:p w14:paraId="2C04689D" w14:textId="77777777" w:rsidR="00591113" w:rsidRPr="00591113" w:rsidRDefault="00591113" w:rsidP="00591113">
      <w:pPr>
        <w:jc w:val="both"/>
        <w:rPr>
          <w:rFonts w:ascii="Arial" w:hAnsi="Arial" w:cs="Arial"/>
        </w:rPr>
      </w:pPr>
      <w:r w:rsidRPr="00591113">
        <w:rPr>
          <w:rFonts w:ascii="Arial" w:hAnsi="Arial" w:cs="Arial"/>
        </w:rPr>
        <w:t>This policy affirms the role of higher education institutions (HEIs) as key players in advancing environmental sustainability and enabling climate action. Consistent with RA 9003, RA 9729, RA 9512, and CHED Memorandum Orders Nos. 20</w:t>
      </w:r>
      <w:r w:rsidRPr="00591113">
        <w:rPr>
          <w:rFonts w:ascii="Arial" w:hAnsi="Arial" w:cs="Arial"/>
        </w:rPr>
        <w:t> </w:t>
      </w:r>
      <w:r w:rsidRPr="00591113">
        <w:rPr>
          <w:rFonts w:ascii="Arial" w:hAnsi="Arial" w:cs="Arial"/>
        </w:rPr>
        <w:t xml:space="preserve">and 46, there is a need to craft a Green Campus Policy that is intended to incorporate academic calendar program initiatives, practical operations, and critically engaged community practices. HEIs are to model environmental stewardship through the establishment of formal governance structures, zero-waste programs, and energy reduction initiatives consistent with AASHE STARS and UI </w:t>
      </w:r>
      <w:proofErr w:type="spellStart"/>
      <w:r w:rsidRPr="00591113">
        <w:rPr>
          <w:rFonts w:ascii="Arial" w:hAnsi="Arial" w:cs="Arial"/>
        </w:rPr>
        <w:t>GreenMetric</w:t>
      </w:r>
      <w:proofErr w:type="spellEnd"/>
      <w:r w:rsidRPr="00591113">
        <w:rPr>
          <w:rFonts w:ascii="Arial" w:hAnsi="Arial" w:cs="Arial"/>
        </w:rPr>
        <w:t>. Sustainability is not just a compliance with policies, but the bedrock of sustainability in Philippine higher education with responsible governance, learning experiences, and contributions to SDG 4 and SDG 13.</w:t>
      </w:r>
    </w:p>
    <w:p w14:paraId="449DCB41" w14:textId="77777777" w:rsidR="00591113" w:rsidRPr="00591113" w:rsidRDefault="00591113" w:rsidP="00441B6F">
      <w:pPr>
        <w:autoSpaceDE w:val="0"/>
        <w:autoSpaceDN w:val="0"/>
        <w:adjustRightInd w:val="0"/>
        <w:jc w:val="both"/>
        <w:rPr>
          <w:rFonts w:ascii="Arial" w:hAnsi="Arial" w:cs="Arial"/>
          <w:b/>
          <w:bCs/>
          <w:sz w:val="24"/>
          <w:szCs w:val="28"/>
        </w:rPr>
      </w:pPr>
    </w:p>
    <w:p w14:paraId="716F692C" w14:textId="54B8CE8F" w:rsidR="00315186" w:rsidRPr="00591113" w:rsidRDefault="00591113" w:rsidP="00441B6F">
      <w:pPr>
        <w:rPr>
          <w:rFonts w:ascii="Arial" w:hAnsi="Arial" w:cs="Arial"/>
          <w:b/>
          <w:bCs/>
          <w:sz w:val="24"/>
          <w:szCs w:val="24"/>
        </w:rPr>
      </w:pPr>
      <w:r w:rsidRPr="00591113">
        <w:rPr>
          <w:rFonts w:ascii="Arial" w:hAnsi="Arial" w:cs="Arial"/>
          <w:b/>
          <w:bCs/>
          <w:sz w:val="24"/>
          <w:szCs w:val="24"/>
        </w:rPr>
        <w:t>6. COMPETING INTEREST</w:t>
      </w:r>
    </w:p>
    <w:p w14:paraId="5EC70A02" w14:textId="6FCCDEFB" w:rsidR="00591113" w:rsidRDefault="00591113" w:rsidP="00441B6F">
      <w:r>
        <w:t xml:space="preserve">The author declares no competing interests. </w:t>
      </w:r>
    </w:p>
    <w:p w14:paraId="2CD2CCB6" w14:textId="77777777" w:rsidR="007C7F18" w:rsidRDefault="007C7F18" w:rsidP="00441B6F"/>
    <w:p w14:paraId="2563F75B" w14:textId="77777777" w:rsidR="007C7F18" w:rsidRPr="007C7F18" w:rsidRDefault="007C7F18" w:rsidP="007C7F18">
      <w:pPr>
        <w:spacing w:after="200" w:line="276" w:lineRule="auto"/>
        <w:jc w:val="both"/>
        <w:outlineLvl w:val="0"/>
        <w:rPr>
          <w:rFonts w:ascii="Arial" w:eastAsiaTheme="minorEastAsia" w:hAnsi="Arial" w:cs="Arial"/>
          <w:sz w:val="22"/>
          <w:szCs w:val="22"/>
          <w:lang w:val="en-GB" w:eastAsia="en-GB"/>
        </w:rPr>
      </w:pPr>
      <w:r w:rsidRPr="007C7F18">
        <w:rPr>
          <w:rFonts w:ascii="Arial" w:eastAsiaTheme="minorEastAsia" w:hAnsi="Arial" w:cs="Arial"/>
          <w:b/>
          <w:bCs/>
          <w:sz w:val="22"/>
          <w:szCs w:val="22"/>
          <w:lang w:val="en-GB" w:eastAsia="en-GB"/>
        </w:rPr>
        <w:t>COMPETING INTERESTS DISCLAIMER:</w:t>
      </w:r>
    </w:p>
    <w:p w14:paraId="0715301C" w14:textId="77777777" w:rsidR="007C7F18" w:rsidRPr="007C7F18" w:rsidRDefault="007C7F18" w:rsidP="007C7F18">
      <w:pPr>
        <w:spacing w:after="200" w:line="276" w:lineRule="auto"/>
        <w:rPr>
          <w:rFonts w:asciiTheme="minorHAnsi" w:eastAsiaTheme="minorEastAsia" w:hAnsiTheme="minorHAnsi" w:cstheme="minorBidi"/>
          <w:sz w:val="22"/>
          <w:szCs w:val="22"/>
          <w:lang w:val="en-GB" w:eastAsia="en-GB"/>
        </w:rPr>
      </w:pPr>
      <w:r w:rsidRPr="007C7F18">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7FC656BB" w14:textId="77777777" w:rsidR="007C7F18" w:rsidRPr="00315186" w:rsidRDefault="007C7F18" w:rsidP="00441B6F"/>
    <w:p w14:paraId="094E7B4E" w14:textId="77777777" w:rsidR="00860000" w:rsidRDefault="00860000" w:rsidP="00441B6F">
      <w:pPr>
        <w:pStyle w:val="ReferHead"/>
        <w:spacing w:after="0"/>
        <w:jc w:val="both"/>
        <w:rPr>
          <w:rFonts w:ascii="Arial" w:hAnsi="Arial" w:cs="Arial"/>
        </w:rPr>
      </w:pPr>
    </w:p>
    <w:p w14:paraId="22DD2638" w14:textId="5309BFAD" w:rsidR="00B01FCD" w:rsidRDefault="00E45820" w:rsidP="00441B6F">
      <w:pPr>
        <w:pStyle w:val="ReferHead"/>
        <w:spacing w:after="0"/>
        <w:jc w:val="both"/>
        <w:rPr>
          <w:rFonts w:ascii="Arial" w:hAnsi="Arial" w:cs="Arial"/>
        </w:rPr>
      </w:pPr>
      <w:r>
        <w:rPr>
          <w:rFonts w:ascii="Arial" w:hAnsi="Arial" w:cs="Arial"/>
        </w:rPr>
        <w:t xml:space="preserve">7. </w:t>
      </w:r>
      <w:r w:rsidR="00B01FCD" w:rsidRPr="00FB3A86">
        <w:rPr>
          <w:rFonts w:ascii="Arial" w:hAnsi="Arial" w:cs="Arial"/>
        </w:rPr>
        <w:t>References</w:t>
      </w:r>
    </w:p>
    <w:p w14:paraId="191005BE" w14:textId="77777777" w:rsidR="00790ADA" w:rsidRPr="00FB3A86" w:rsidRDefault="00790ADA" w:rsidP="00441B6F">
      <w:pPr>
        <w:pStyle w:val="ReferHead"/>
        <w:spacing w:after="0"/>
        <w:jc w:val="both"/>
        <w:rPr>
          <w:rFonts w:ascii="Arial" w:hAnsi="Arial" w:cs="Arial"/>
        </w:rPr>
      </w:pPr>
    </w:p>
    <w:p w14:paraId="28781725" w14:textId="77777777" w:rsidR="00E45820" w:rsidRPr="00E45820" w:rsidRDefault="00E45820" w:rsidP="00E45820">
      <w:pPr>
        <w:jc w:val="both"/>
        <w:rPr>
          <w:rFonts w:ascii="Arial" w:hAnsi="Arial" w:cs="Arial"/>
          <w:sz w:val="18"/>
          <w:szCs w:val="18"/>
        </w:rPr>
      </w:pPr>
      <w:proofErr w:type="spellStart"/>
      <w:r w:rsidRPr="00E45820">
        <w:rPr>
          <w:rFonts w:ascii="Arial" w:hAnsi="Arial" w:cs="Arial"/>
          <w:sz w:val="18"/>
          <w:szCs w:val="18"/>
        </w:rPr>
        <w:t>Aregarot</w:t>
      </w:r>
      <w:proofErr w:type="spellEnd"/>
      <w:r w:rsidRPr="00E45820">
        <w:rPr>
          <w:rFonts w:ascii="Arial" w:hAnsi="Arial" w:cs="Arial"/>
          <w:sz w:val="18"/>
          <w:szCs w:val="18"/>
        </w:rPr>
        <w:t xml:space="preserve">, P., </w:t>
      </w:r>
      <w:proofErr w:type="spellStart"/>
      <w:r w:rsidRPr="00E45820">
        <w:rPr>
          <w:rFonts w:ascii="Arial" w:hAnsi="Arial" w:cs="Arial"/>
          <w:sz w:val="18"/>
          <w:szCs w:val="18"/>
        </w:rPr>
        <w:t>Kumpakarna</w:t>
      </w:r>
      <w:proofErr w:type="spellEnd"/>
      <w:r w:rsidRPr="00E45820">
        <w:rPr>
          <w:rFonts w:ascii="Arial" w:hAnsi="Arial" w:cs="Arial"/>
          <w:sz w:val="18"/>
          <w:szCs w:val="18"/>
        </w:rPr>
        <w:t xml:space="preserve">, K., &amp; </w:t>
      </w:r>
      <w:proofErr w:type="spellStart"/>
      <w:r w:rsidRPr="00E45820">
        <w:rPr>
          <w:rFonts w:ascii="Arial" w:hAnsi="Arial" w:cs="Arial"/>
          <w:sz w:val="18"/>
          <w:szCs w:val="18"/>
        </w:rPr>
        <w:t>Chaiyaporn</w:t>
      </w:r>
      <w:proofErr w:type="spellEnd"/>
      <w:r w:rsidRPr="00E45820">
        <w:rPr>
          <w:rFonts w:ascii="Arial" w:hAnsi="Arial" w:cs="Arial"/>
          <w:sz w:val="18"/>
          <w:szCs w:val="18"/>
        </w:rPr>
        <w:t xml:space="preserve">, S. (2024). A study of sustainability concepts for developing green </w:t>
      </w:r>
    </w:p>
    <w:p w14:paraId="221CB3B2" w14:textId="77777777" w:rsidR="00E45820" w:rsidRPr="00E45820" w:rsidRDefault="00E45820" w:rsidP="00E45820">
      <w:pPr>
        <w:ind w:firstLine="720"/>
        <w:jc w:val="both"/>
        <w:rPr>
          <w:rFonts w:ascii="Arial" w:hAnsi="Arial" w:cs="Arial"/>
          <w:sz w:val="18"/>
          <w:szCs w:val="18"/>
        </w:rPr>
      </w:pPr>
      <w:r w:rsidRPr="00E45820">
        <w:rPr>
          <w:rFonts w:ascii="Arial" w:hAnsi="Arial" w:cs="Arial"/>
          <w:sz w:val="18"/>
          <w:szCs w:val="18"/>
        </w:rPr>
        <w:t xml:space="preserve">universities in Thailand. </w:t>
      </w:r>
      <w:r w:rsidRPr="00E45820">
        <w:rPr>
          <w:rFonts w:ascii="Arial" w:hAnsi="Arial" w:cs="Arial"/>
          <w:i/>
          <w:iCs/>
          <w:sz w:val="18"/>
          <w:szCs w:val="18"/>
        </w:rPr>
        <w:t>Sustainability, 16</w:t>
      </w:r>
      <w:r w:rsidRPr="00E45820">
        <w:rPr>
          <w:rFonts w:ascii="Arial" w:hAnsi="Arial" w:cs="Arial"/>
          <w:sz w:val="18"/>
          <w:szCs w:val="18"/>
        </w:rPr>
        <w:t>(7), 2892. https://doi.org/10.3390/su16072892</w:t>
      </w:r>
    </w:p>
    <w:p w14:paraId="4226718E" w14:textId="77777777" w:rsidR="00E45820" w:rsidRPr="00E45820" w:rsidRDefault="00E45820" w:rsidP="00E45820">
      <w:pPr>
        <w:jc w:val="both"/>
        <w:rPr>
          <w:rFonts w:ascii="Arial" w:hAnsi="Arial" w:cs="Arial"/>
          <w:sz w:val="18"/>
          <w:szCs w:val="18"/>
        </w:rPr>
      </w:pPr>
      <w:r w:rsidRPr="00E45820">
        <w:rPr>
          <w:rFonts w:ascii="Arial" w:hAnsi="Arial" w:cs="Arial"/>
          <w:sz w:val="18"/>
          <w:szCs w:val="18"/>
        </w:rPr>
        <w:t xml:space="preserve">Atici, K. B., </w:t>
      </w:r>
      <w:proofErr w:type="spellStart"/>
      <w:r w:rsidRPr="00E45820">
        <w:rPr>
          <w:rFonts w:ascii="Arial" w:hAnsi="Arial" w:cs="Arial"/>
          <w:sz w:val="18"/>
          <w:szCs w:val="18"/>
        </w:rPr>
        <w:t>Yasayacak</w:t>
      </w:r>
      <w:proofErr w:type="spellEnd"/>
      <w:r w:rsidRPr="00E45820">
        <w:rPr>
          <w:rFonts w:ascii="Arial" w:hAnsi="Arial" w:cs="Arial"/>
          <w:sz w:val="18"/>
          <w:szCs w:val="18"/>
        </w:rPr>
        <w:t xml:space="preserve">, G., Yildiz, Y., &amp; Ulucan, A. (2021). Green University and academic performance: An </w:t>
      </w:r>
    </w:p>
    <w:p w14:paraId="57DF2FC6" w14:textId="77777777" w:rsidR="00E45820" w:rsidRPr="00E45820" w:rsidRDefault="00E45820" w:rsidP="00E45820">
      <w:pPr>
        <w:ind w:left="720"/>
        <w:jc w:val="both"/>
        <w:rPr>
          <w:rFonts w:ascii="Arial" w:hAnsi="Arial" w:cs="Arial"/>
          <w:sz w:val="18"/>
          <w:szCs w:val="18"/>
        </w:rPr>
      </w:pPr>
      <w:r w:rsidRPr="00E45820">
        <w:rPr>
          <w:rFonts w:ascii="Arial" w:hAnsi="Arial" w:cs="Arial"/>
          <w:sz w:val="18"/>
          <w:szCs w:val="18"/>
        </w:rPr>
        <w:t xml:space="preserve">empirical study on UI </w:t>
      </w:r>
      <w:proofErr w:type="spellStart"/>
      <w:r w:rsidRPr="00E45820">
        <w:rPr>
          <w:rFonts w:ascii="Arial" w:hAnsi="Arial" w:cs="Arial"/>
          <w:sz w:val="18"/>
          <w:szCs w:val="18"/>
        </w:rPr>
        <w:t>GreenMetric</w:t>
      </w:r>
      <w:proofErr w:type="spellEnd"/>
      <w:r w:rsidRPr="00E45820">
        <w:rPr>
          <w:rFonts w:ascii="Arial" w:hAnsi="Arial" w:cs="Arial"/>
          <w:sz w:val="18"/>
          <w:szCs w:val="18"/>
        </w:rPr>
        <w:t xml:space="preserve"> and world university rankings. </w:t>
      </w:r>
      <w:r w:rsidRPr="00E45820">
        <w:rPr>
          <w:rFonts w:ascii="Arial" w:hAnsi="Arial" w:cs="Arial"/>
          <w:i/>
          <w:iCs/>
          <w:sz w:val="18"/>
          <w:szCs w:val="18"/>
        </w:rPr>
        <w:t>Journal of Cleaner Production, 291</w:t>
      </w:r>
      <w:r w:rsidRPr="00E45820">
        <w:rPr>
          <w:rFonts w:ascii="Arial" w:hAnsi="Arial" w:cs="Arial"/>
          <w:sz w:val="18"/>
          <w:szCs w:val="18"/>
        </w:rPr>
        <w:t xml:space="preserve">, Article 125289. </w:t>
      </w:r>
      <w:hyperlink r:id="rId14" w:history="1">
        <w:r w:rsidRPr="00E45820">
          <w:rPr>
            <w:rStyle w:val="Hyperlink"/>
            <w:rFonts w:ascii="Arial" w:hAnsi="Arial" w:cs="Arial"/>
            <w:color w:val="auto"/>
            <w:sz w:val="18"/>
            <w:szCs w:val="18"/>
            <w:u w:val="none"/>
          </w:rPr>
          <w:t>https://doi.org/10.1016/j.jclepro.2020.125289</w:t>
        </w:r>
      </w:hyperlink>
    </w:p>
    <w:p w14:paraId="28389AF2" w14:textId="77777777" w:rsidR="00E45820" w:rsidRPr="00E45820" w:rsidRDefault="00E45820" w:rsidP="00E45820">
      <w:pPr>
        <w:jc w:val="both"/>
        <w:rPr>
          <w:rFonts w:ascii="Arial" w:hAnsi="Arial" w:cs="Arial"/>
          <w:sz w:val="18"/>
          <w:szCs w:val="18"/>
        </w:rPr>
      </w:pPr>
      <w:r w:rsidRPr="00E45820">
        <w:rPr>
          <w:rFonts w:ascii="Arial" w:hAnsi="Arial" w:cs="Arial"/>
          <w:sz w:val="18"/>
          <w:szCs w:val="18"/>
        </w:rPr>
        <w:t xml:space="preserve">Budihardjo, M. A., Humaira, N. G., Putri, S. A., et al. (2021). Sustainable solid waste management strategies for </w:t>
      </w:r>
    </w:p>
    <w:p w14:paraId="1E9CEB7D" w14:textId="77777777" w:rsidR="00E45820" w:rsidRPr="00E45820" w:rsidRDefault="00E45820" w:rsidP="00E45820">
      <w:pPr>
        <w:ind w:left="720"/>
        <w:jc w:val="both"/>
        <w:rPr>
          <w:rFonts w:ascii="Arial" w:hAnsi="Arial" w:cs="Arial"/>
          <w:sz w:val="18"/>
          <w:szCs w:val="18"/>
        </w:rPr>
      </w:pPr>
      <w:r w:rsidRPr="00E45820">
        <w:rPr>
          <w:rFonts w:ascii="Arial" w:hAnsi="Arial" w:cs="Arial"/>
          <w:sz w:val="18"/>
          <w:szCs w:val="18"/>
        </w:rPr>
        <w:t xml:space="preserve">higher education institutions: </w:t>
      </w:r>
      <w:proofErr w:type="spellStart"/>
      <w:r w:rsidRPr="00E45820">
        <w:rPr>
          <w:rFonts w:ascii="Arial" w:hAnsi="Arial" w:cs="Arial"/>
          <w:sz w:val="18"/>
          <w:szCs w:val="18"/>
        </w:rPr>
        <w:t>Diponegoro</w:t>
      </w:r>
      <w:proofErr w:type="spellEnd"/>
      <w:r w:rsidRPr="00E45820">
        <w:rPr>
          <w:rFonts w:ascii="Arial" w:hAnsi="Arial" w:cs="Arial"/>
          <w:sz w:val="18"/>
          <w:szCs w:val="18"/>
        </w:rPr>
        <w:t xml:space="preserve"> University, Indonesia case study. </w:t>
      </w:r>
      <w:r w:rsidRPr="00E45820">
        <w:rPr>
          <w:rFonts w:ascii="Arial" w:hAnsi="Arial" w:cs="Arial"/>
          <w:i/>
          <w:iCs/>
          <w:sz w:val="18"/>
          <w:szCs w:val="18"/>
        </w:rPr>
        <w:t>Sustainability, 13</w:t>
      </w:r>
      <w:r w:rsidRPr="00E45820">
        <w:rPr>
          <w:rFonts w:ascii="Arial" w:hAnsi="Arial" w:cs="Arial"/>
          <w:sz w:val="18"/>
          <w:szCs w:val="18"/>
        </w:rPr>
        <w:t>(23), 13242. https://doi.org/10.3390/su132313242</w:t>
      </w:r>
    </w:p>
    <w:p w14:paraId="0502EF62" w14:textId="77777777" w:rsidR="00E45820" w:rsidRPr="00E45820" w:rsidRDefault="00E45820" w:rsidP="00E45820">
      <w:pPr>
        <w:jc w:val="both"/>
        <w:rPr>
          <w:rFonts w:ascii="Arial" w:hAnsi="Arial" w:cs="Arial"/>
          <w:sz w:val="18"/>
          <w:szCs w:val="18"/>
        </w:rPr>
      </w:pPr>
      <w:r w:rsidRPr="00E45820">
        <w:rPr>
          <w:rFonts w:ascii="Arial" w:hAnsi="Arial" w:cs="Arial"/>
          <w:sz w:val="18"/>
          <w:szCs w:val="18"/>
        </w:rPr>
        <w:t xml:space="preserve">Chan, S. S., Ng, T. F., Hassan, M. S., et al. (2022). Integrating environmental protection and sustainable waste </w:t>
      </w:r>
    </w:p>
    <w:p w14:paraId="5CA63554" w14:textId="77777777" w:rsidR="00E45820" w:rsidRPr="00E45820" w:rsidRDefault="00E45820" w:rsidP="00E45820">
      <w:pPr>
        <w:ind w:left="720"/>
        <w:jc w:val="both"/>
        <w:rPr>
          <w:rFonts w:ascii="Arial" w:hAnsi="Arial" w:cs="Arial"/>
          <w:sz w:val="18"/>
          <w:szCs w:val="18"/>
        </w:rPr>
      </w:pPr>
      <w:r w:rsidRPr="00E45820">
        <w:rPr>
          <w:rFonts w:ascii="Arial" w:hAnsi="Arial" w:cs="Arial"/>
          <w:sz w:val="18"/>
          <w:szCs w:val="18"/>
        </w:rPr>
        <w:t xml:space="preserve">practices among the communities in higher education institutions: Case study in a Malaysian university. </w:t>
      </w:r>
      <w:r w:rsidRPr="00E45820">
        <w:rPr>
          <w:rFonts w:ascii="Arial" w:hAnsi="Arial" w:cs="Arial"/>
          <w:i/>
          <w:iCs/>
          <w:sz w:val="18"/>
          <w:szCs w:val="18"/>
        </w:rPr>
        <w:t>Frontiers in Environmental Science, 10</w:t>
      </w:r>
      <w:r w:rsidRPr="00E45820">
        <w:rPr>
          <w:rFonts w:ascii="Arial" w:hAnsi="Arial" w:cs="Arial"/>
          <w:sz w:val="18"/>
          <w:szCs w:val="18"/>
        </w:rPr>
        <w:t xml:space="preserve">, 886060. </w:t>
      </w:r>
      <w:hyperlink r:id="rId15" w:history="1">
        <w:r w:rsidRPr="00E45820">
          <w:rPr>
            <w:rStyle w:val="Hyperlink"/>
            <w:rFonts w:ascii="Arial" w:hAnsi="Arial" w:cs="Arial"/>
            <w:color w:val="auto"/>
            <w:sz w:val="18"/>
            <w:szCs w:val="18"/>
            <w:u w:val="none"/>
          </w:rPr>
          <w:t>https://doi.org/10.3389/fenvs.2022.886060</w:t>
        </w:r>
      </w:hyperlink>
    </w:p>
    <w:p w14:paraId="6F58B03A" w14:textId="77777777" w:rsidR="00E45820" w:rsidRPr="00E45820" w:rsidRDefault="00E45820" w:rsidP="00E45820">
      <w:pPr>
        <w:jc w:val="both"/>
        <w:rPr>
          <w:rFonts w:ascii="Arial" w:hAnsi="Arial" w:cs="Arial"/>
          <w:i/>
          <w:iCs/>
          <w:sz w:val="18"/>
          <w:szCs w:val="18"/>
        </w:rPr>
      </w:pPr>
      <w:r w:rsidRPr="00E45820">
        <w:rPr>
          <w:rFonts w:ascii="Arial" w:hAnsi="Arial" w:cs="Arial"/>
          <w:sz w:val="18"/>
          <w:szCs w:val="18"/>
        </w:rPr>
        <w:t xml:space="preserve">Commission on Higher Education (CHED). (2012). </w:t>
      </w:r>
      <w:r w:rsidRPr="00E45820">
        <w:rPr>
          <w:rFonts w:ascii="Arial" w:hAnsi="Arial" w:cs="Arial"/>
          <w:i/>
          <w:iCs/>
          <w:sz w:val="18"/>
          <w:szCs w:val="18"/>
        </w:rPr>
        <w:t xml:space="preserve">CHED Memorandum Order (CMO) No. 46, Series of 2012: </w:t>
      </w:r>
    </w:p>
    <w:p w14:paraId="386DA3AC" w14:textId="77777777" w:rsidR="00E45820" w:rsidRPr="00E45820" w:rsidRDefault="00E45820" w:rsidP="00E45820">
      <w:pPr>
        <w:ind w:left="720"/>
        <w:jc w:val="both"/>
        <w:rPr>
          <w:rFonts w:ascii="Arial" w:hAnsi="Arial" w:cs="Arial"/>
          <w:sz w:val="18"/>
          <w:szCs w:val="18"/>
        </w:rPr>
      </w:pPr>
      <w:r w:rsidRPr="00E45820">
        <w:rPr>
          <w:rFonts w:ascii="Arial" w:hAnsi="Arial" w:cs="Arial"/>
          <w:i/>
          <w:iCs/>
          <w:sz w:val="18"/>
          <w:szCs w:val="18"/>
        </w:rPr>
        <w:t>Policy-standard to enhance quality assurance (QA) in Philippine higher education through an outcomes-based and typology-based QA system.</w:t>
      </w:r>
      <w:r w:rsidRPr="00E45820">
        <w:rPr>
          <w:rFonts w:ascii="Arial" w:hAnsi="Arial" w:cs="Arial"/>
          <w:sz w:val="18"/>
          <w:szCs w:val="18"/>
        </w:rPr>
        <w:t xml:space="preserve"> Quezon City, Philippines: CHED.</w:t>
      </w:r>
      <w:r w:rsidRPr="00E45820">
        <w:rPr>
          <w:rFonts w:ascii="Arial" w:hAnsi="Arial" w:cs="Arial"/>
          <w:sz w:val="18"/>
          <w:szCs w:val="18"/>
        </w:rPr>
        <w:br/>
        <w:t>Retrieved from https://ched.gov.ph/wp-content/uploads/2017/03/CMO-No.46-s2012.pdf</w:t>
      </w:r>
    </w:p>
    <w:p w14:paraId="612CC809" w14:textId="77777777" w:rsidR="00E45820" w:rsidRPr="00E45820" w:rsidRDefault="00E45820" w:rsidP="00E45820">
      <w:pPr>
        <w:jc w:val="both"/>
        <w:rPr>
          <w:rFonts w:ascii="Arial" w:hAnsi="Arial" w:cs="Arial"/>
          <w:i/>
          <w:iCs/>
          <w:sz w:val="18"/>
          <w:szCs w:val="18"/>
        </w:rPr>
      </w:pPr>
      <w:r w:rsidRPr="00E45820">
        <w:rPr>
          <w:rFonts w:ascii="Arial" w:hAnsi="Arial" w:cs="Arial"/>
          <w:sz w:val="18"/>
          <w:szCs w:val="18"/>
        </w:rPr>
        <w:t xml:space="preserve">Commission on Higher Education (CHED). (2013). </w:t>
      </w:r>
      <w:r w:rsidRPr="00E45820">
        <w:rPr>
          <w:rFonts w:ascii="Arial" w:hAnsi="Arial" w:cs="Arial"/>
          <w:i/>
          <w:iCs/>
          <w:sz w:val="18"/>
          <w:szCs w:val="18"/>
        </w:rPr>
        <w:t xml:space="preserve">CHED Memorandum Order (CMO) No. 20, Series of 2013: </w:t>
      </w:r>
    </w:p>
    <w:p w14:paraId="0E02F736" w14:textId="77777777" w:rsidR="00E45820" w:rsidRPr="00E45820" w:rsidRDefault="00E45820" w:rsidP="00E45820">
      <w:pPr>
        <w:ind w:left="720"/>
        <w:jc w:val="both"/>
        <w:rPr>
          <w:rFonts w:ascii="Arial" w:hAnsi="Arial" w:cs="Arial"/>
          <w:sz w:val="18"/>
          <w:szCs w:val="18"/>
        </w:rPr>
      </w:pPr>
      <w:r w:rsidRPr="00E45820">
        <w:rPr>
          <w:rFonts w:ascii="Arial" w:hAnsi="Arial" w:cs="Arial"/>
          <w:i/>
          <w:iCs/>
          <w:sz w:val="18"/>
          <w:szCs w:val="18"/>
        </w:rPr>
        <w:t>General Education Curriculum—Holistic understandings, intellectual and civic competencies.</w:t>
      </w:r>
      <w:r w:rsidRPr="00E45820">
        <w:rPr>
          <w:rFonts w:ascii="Arial" w:hAnsi="Arial" w:cs="Arial"/>
          <w:sz w:val="18"/>
          <w:szCs w:val="18"/>
        </w:rPr>
        <w:t xml:space="preserve"> Quezon City, Philippines: CHED.</w:t>
      </w:r>
      <w:r w:rsidRPr="00E45820">
        <w:rPr>
          <w:rFonts w:ascii="Arial" w:hAnsi="Arial" w:cs="Arial"/>
          <w:sz w:val="18"/>
          <w:szCs w:val="18"/>
        </w:rPr>
        <w:br/>
        <w:t xml:space="preserve">Retrieved from </w:t>
      </w:r>
      <w:hyperlink r:id="rId16" w:tgtFrame="_new" w:history="1">
        <w:r w:rsidRPr="00E45820">
          <w:rPr>
            <w:rStyle w:val="Hyperlink"/>
            <w:rFonts w:ascii="Arial" w:hAnsi="Arial" w:cs="Arial"/>
            <w:color w:val="auto"/>
            <w:sz w:val="18"/>
            <w:szCs w:val="18"/>
            <w:u w:val="none"/>
          </w:rPr>
          <w:t>https://ched.gov.ph/wp-content/uploads/2017/10/CMO-No.20-s2013.pdf</w:t>
        </w:r>
      </w:hyperlink>
    </w:p>
    <w:p w14:paraId="22D28259" w14:textId="77777777" w:rsidR="00E45820" w:rsidRPr="00E45820" w:rsidRDefault="00E45820" w:rsidP="00E45820">
      <w:pPr>
        <w:jc w:val="both"/>
        <w:rPr>
          <w:rFonts w:ascii="Arial" w:hAnsi="Arial" w:cs="Arial"/>
          <w:i/>
          <w:iCs/>
          <w:sz w:val="18"/>
          <w:szCs w:val="18"/>
        </w:rPr>
      </w:pPr>
      <w:r w:rsidRPr="00E45820">
        <w:rPr>
          <w:rFonts w:ascii="Arial" w:hAnsi="Arial" w:cs="Arial"/>
          <w:sz w:val="18"/>
          <w:szCs w:val="18"/>
        </w:rPr>
        <w:t xml:space="preserve">Commission on Higher Education (CHED). (2022). </w:t>
      </w:r>
      <w:r w:rsidRPr="00E45820">
        <w:rPr>
          <w:rFonts w:ascii="Arial" w:hAnsi="Arial" w:cs="Arial"/>
          <w:i/>
          <w:iCs/>
          <w:sz w:val="18"/>
          <w:szCs w:val="18"/>
        </w:rPr>
        <w:t xml:space="preserve">CHED Memorandum Order (CMO) No. 38, Series of 2022: </w:t>
      </w:r>
    </w:p>
    <w:p w14:paraId="00DF5EDC" w14:textId="77777777" w:rsidR="00E45820" w:rsidRPr="00E45820" w:rsidRDefault="00E45820" w:rsidP="00E45820">
      <w:pPr>
        <w:ind w:left="720"/>
        <w:jc w:val="both"/>
        <w:rPr>
          <w:rFonts w:ascii="Arial" w:hAnsi="Arial" w:cs="Arial"/>
          <w:sz w:val="18"/>
          <w:szCs w:val="18"/>
        </w:rPr>
      </w:pPr>
      <w:r w:rsidRPr="00E45820">
        <w:rPr>
          <w:rFonts w:ascii="Arial" w:hAnsi="Arial" w:cs="Arial"/>
          <w:i/>
          <w:iCs/>
          <w:sz w:val="18"/>
          <w:szCs w:val="18"/>
        </w:rPr>
        <w:t>Sustainability framework for higher education institutions.</w:t>
      </w:r>
      <w:r w:rsidRPr="00E45820">
        <w:rPr>
          <w:rFonts w:ascii="Arial" w:hAnsi="Arial" w:cs="Arial"/>
          <w:sz w:val="18"/>
          <w:szCs w:val="18"/>
        </w:rPr>
        <w:t xml:space="preserve"> Quezon City, Philippines: CHED.</w:t>
      </w:r>
      <w:r w:rsidRPr="00E45820">
        <w:rPr>
          <w:rFonts w:ascii="Arial" w:hAnsi="Arial" w:cs="Arial"/>
          <w:sz w:val="18"/>
          <w:szCs w:val="18"/>
        </w:rPr>
        <w:br/>
        <w:t>Retrieved from https://ched.gov.ph/wp-content/uploads/CMO-No.-38-s.-2022.pdf</w:t>
      </w:r>
    </w:p>
    <w:p w14:paraId="1446DF30" w14:textId="77777777" w:rsidR="00E45820" w:rsidRPr="00E45820" w:rsidRDefault="00E45820" w:rsidP="00E45820">
      <w:pPr>
        <w:jc w:val="both"/>
        <w:rPr>
          <w:rFonts w:ascii="Arial" w:hAnsi="Arial" w:cs="Arial"/>
          <w:sz w:val="18"/>
          <w:szCs w:val="18"/>
        </w:rPr>
      </w:pPr>
      <w:r w:rsidRPr="00E45820">
        <w:rPr>
          <w:rFonts w:ascii="Arial" w:hAnsi="Arial" w:cs="Arial"/>
          <w:sz w:val="18"/>
          <w:szCs w:val="18"/>
          <w:lang w:val="it-IT"/>
        </w:rPr>
        <w:t xml:space="preserve">Duran, M. K. L., &amp; Mariñas, K. A. (2024). </w:t>
      </w:r>
      <w:r w:rsidRPr="00E45820">
        <w:rPr>
          <w:rFonts w:ascii="Arial" w:hAnsi="Arial" w:cs="Arial"/>
          <w:sz w:val="18"/>
          <w:szCs w:val="18"/>
        </w:rPr>
        <w:t xml:space="preserve">Sustainability integration in Philippine higher education curricula: A </w:t>
      </w:r>
    </w:p>
    <w:p w14:paraId="7DECEFEE" w14:textId="77777777" w:rsidR="00E45820" w:rsidRPr="00E45820" w:rsidRDefault="00E45820" w:rsidP="00E45820">
      <w:pPr>
        <w:ind w:left="720"/>
        <w:jc w:val="both"/>
        <w:rPr>
          <w:rFonts w:ascii="Arial" w:hAnsi="Arial" w:cs="Arial"/>
          <w:sz w:val="18"/>
          <w:szCs w:val="18"/>
        </w:rPr>
      </w:pPr>
      <w:r w:rsidRPr="00E45820">
        <w:rPr>
          <w:rFonts w:ascii="Arial" w:hAnsi="Arial" w:cs="Arial"/>
          <w:sz w:val="18"/>
          <w:szCs w:val="18"/>
        </w:rPr>
        <w:t xml:space="preserve">structural equation modeling assessing teacher intention to integrate. </w:t>
      </w:r>
      <w:r w:rsidRPr="00E45820">
        <w:rPr>
          <w:rFonts w:ascii="Arial" w:hAnsi="Arial" w:cs="Arial"/>
          <w:i/>
          <w:iCs/>
          <w:sz w:val="18"/>
          <w:szCs w:val="18"/>
        </w:rPr>
        <w:t>Sustainability, 16</w:t>
      </w:r>
      <w:r w:rsidRPr="00E45820">
        <w:rPr>
          <w:rFonts w:ascii="Arial" w:hAnsi="Arial" w:cs="Arial"/>
          <w:sz w:val="18"/>
          <w:szCs w:val="18"/>
        </w:rPr>
        <w:t xml:space="preserve">(9), 3677. </w:t>
      </w:r>
      <w:hyperlink r:id="rId17" w:history="1">
        <w:r w:rsidRPr="00E45820">
          <w:rPr>
            <w:rStyle w:val="Hyperlink"/>
            <w:rFonts w:ascii="Arial" w:hAnsi="Arial" w:cs="Arial"/>
            <w:color w:val="auto"/>
            <w:sz w:val="18"/>
            <w:szCs w:val="18"/>
            <w:u w:val="none"/>
          </w:rPr>
          <w:t>https://doi.org/10.3390/su16093677</w:t>
        </w:r>
      </w:hyperlink>
    </w:p>
    <w:p w14:paraId="05BD6B59" w14:textId="77777777" w:rsidR="00E45820" w:rsidRPr="00E45820" w:rsidRDefault="00E45820" w:rsidP="00E45820">
      <w:pPr>
        <w:jc w:val="both"/>
        <w:rPr>
          <w:rFonts w:ascii="Arial" w:hAnsi="Arial" w:cs="Arial"/>
          <w:sz w:val="18"/>
          <w:szCs w:val="18"/>
        </w:rPr>
      </w:pPr>
      <w:r w:rsidRPr="00E45820">
        <w:rPr>
          <w:rFonts w:ascii="Arial" w:hAnsi="Arial" w:cs="Arial"/>
          <w:sz w:val="18"/>
          <w:szCs w:val="18"/>
        </w:rPr>
        <w:t xml:space="preserve">Giurea, R., et al. (2024). Approaching sustainability and circularity along waste management systems in </w:t>
      </w:r>
    </w:p>
    <w:p w14:paraId="4ECBE429" w14:textId="77777777" w:rsidR="00E45820" w:rsidRPr="00E45820" w:rsidRDefault="00E45820" w:rsidP="00E45820">
      <w:pPr>
        <w:ind w:left="720"/>
        <w:jc w:val="both"/>
        <w:rPr>
          <w:rFonts w:ascii="Arial" w:hAnsi="Arial" w:cs="Arial"/>
          <w:sz w:val="18"/>
          <w:szCs w:val="18"/>
          <w:lang w:val="it-IT"/>
        </w:rPr>
      </w:pPr>
      <w:r w:rsidRPr="00E45820">
        <w:rPr>
          <w:rFonts w:ascii="Arial" w:hAnsi="Arial" w:cs="Arial"/>
          <w:sz w:val="18"/>
          <w:szCs w:val="18"/>
        </w:rPr>
        <w:t xml:space="preserve">universities. </w:t>
      </w:r>
      <w:r w:rsidRPr="00E45820">
        <w:rPr>
          <w:rFonts w:ascii="Arial" w:hAnsi="Arial" w:cs="Arial"/>
          <w:i/>
          <w:iCs/>
          <w:sz w:val="18"/>
          <w:szCs w:val="18"/>
        </w:rPr>
        <w:t>Frontiers in Environmental Science</w:t>
      </w:r>
      <w:r w:rsidRPr="00E45820">
        <w:rPr>
          <w:rFonts w:ascii="Arial" w:hAnsi="Arial" w:cs="Arial"/>
          <w:sz w:val="18"/>
          <w:szCs w:val="18"/>
        </w:rPr>
        <w:t xml:space="preserve">, Article 1363024. </w:t>
      </w:r>
      <w:hyperlink r:id="rId18" w:history="1">
        <w:r w:rsidRPr="00E45820">
          <w:rPr>
            <w:rStyle w:val="Hyperlink"/>
            <w:rFonts w:ascii="Arial" w:hAnsi="Arial" w:cs="Arial"/>
            <w:color w:val="auto"/>
            <w:sz w:val="18"/>
            <w:szCs w:val="18"/>
            <w:u w:val="none"/>
            <w:lang w:val="it-IT"/>
          </w:rPr>
          <w:t>https://doi.org/10.3389/fenvs.2024.1363024</w:t>
        </w:r>
      </w:hyperlink>
    </w:p>
    <w:p w14:paraId="7EFCE6E3" w14:textId="77777777" w:rsidR="00E45820" w:rsidRPr="00E45820" w:rsidRDefault="00E45820" w:rsidP="00E45820">
      <w:pPr>
        <w:jc w:val="both"/>
        <w:rPr>
          <w:rFonts w:ascii="Arial" w:hAnsi="Arial" w:cs="Arial"/>
          <w:sz w:val="18"/>
          <w:szCs w:val="18"/>
        </w:rPr>
      </w:pPr>
      <w:r w:rsidRPr="00E45820">
        <w:rPr>
          <w:rFonts w:ascii="Arial" w:hAnsi="Arial" w:cs="Arial"/>
          <w:sz w:val="18"/>
          <w:szCs w:val="18"/>
          <w:lang w:val="it-IT"/>
        </w:rPr>
        <w:t xml:space="preserve">Laporte, J. P., &amp; Cansino, J. M. (2024). </w:t>
      </w:r>
      <w:r w:rsidRPr="00E45820">
        <w:rPr>
          <w:rFonts w:ascii="Arial" w:hAnsi="Arial" w:cs="Arial"/>
          <w:sz w:val="18"/>
          <w:szCs w:val="18"/>
        </w:rPr>
        <w:t xml:space="preserve">Energy consumption in higher education institutions: A bibliometric </w:t>
      </w:r>
    </w:p>
    <w:p w14:paraId="4732852E" w14:textId="77777777" w:rsidR="00E45820" w:rsidRPr="00E45820" w:rsidRDefault="00E45820" w:rsidP="00E45820">
      <w:pPr>
        <w:ind w:firstLine="720"/>
        <w:jc w:val="both"/>
        <w:rPr>
          <w:rFonts w:ascii="Arial" w:hAnsi="Arial" w:cs="Arial"/>
          <w:sz w:val="18"/>
          <w:szCs w:val="18"/>
        </w:rPr>
      </w:pPr>
      <w:r w:rsidRPr="00E45820">
        <w:rPr>
          <w:rFonts w:ascii="Arial" w:hAnsi="Arial" w:cs="Arial"/>
          <w:sz w:val="18"/>
          <w:szCs w:val="18"/>
        </w:rPr>
        <w:t xml:space="preserve">analysis focused on scientific trends. </w:t>
      </w:r>
      <w:r w:rsidRPr="00E45820">
        <w:rPr>
          <w:rFonts w:ascii="Arial" w:hAnsi="Arial" w:cs="Arial"/>
          <w:i/>
          <w:iCs/>
          <w:sz w:val="18"/>
          <w:szCs w:val="18"/>
        </w:rPr>
        <w:t>Buildings, 14</w:t>
      </w:r>
      <w:r w:rsidRPr="00E45820">
        <w:rPr>
          <w:rFonts w:ascii="Arial" w:hAnsi="Arial" w:cs="Arial"/>
          <w:sz w:val="18"/>
          <w:szCs w:val="18"/>
        </w:rPr>
        <w:t xml:space="preserve">(2), 323. </w:t>
      </w:r>
      <w:hyperlink r:id="rId19" w:tgtFrame="_new" w:history="1">
        <w:r w:rsidRPr="00E45820">
          <w:rPr>
            <w:rStyle w:val="Hyperlink"/>
            <w:rFonts w:ascii="Arial" w:hAnsi="Arial" w:cs="Arial"/>
            <w:color w:val="auto"/>
            <w:sz w:val="18"/>
            <w:szCs w:val="18"/>
            <w:u w:val="none"/>
          </w:rPr>
          <w:t>https://doi.org/10.3390/buildings14020323</w:t>
        </w:r>
      </w:hyperlink>
    </w:p>
    <w:p w14:paraId="782C1325" w14:textId="77777777" w:rsidR="00E45820" w:rsidRPr="00E45820" w:rsidRDefault="00E45820" w:rsidP="00E45820">
      <w:pPr>
        <w:jc w:val="both"/>
        <w:rPr>
          <w:rFonts w:ascii="Arial" w:hAnsi="Arial" w:cs="Arial"/>
          <w:sz w:val="18"/>
          <w:szCs w:val="18"/>
        </w:rPr>
      </w:pPr>
      <w:r w:rsidRPr="00E45820">
        <w:rPr>
          <w:rFonts w:ascii="Arial" w:hAnsi="Arial" w:cs="Arial"/>
          <w:sz w:val="18"/>
          <w:szCs w:val="18"/>
        </w:rPr>
        <w:t xml:space="preserve">Leal Filho, W., Dinis, M. A. P., Sivapalan, S., et al. (2022). Sustainability practices at higher education institutions </w:t>
      </w:r>
    </w:p>
    <w:p w14:paraId="4DE75FB0" w14:textId="77777777" w:rsidR="00E45820" w:rsidRPr="00E45820" w:rsidRDefault="00E45820" w:rsidP="00E45820">
      <w:pPr>
        <w:ind w:left="720"/>
        <w:jc w:val="both"/>
        <w:rPr>
          <w:rFonts w:ascii="Arial" w:hAnsi="Arial" w:cs="Arial"/>
          <w:sz w:val="18"/>
          <w:szCs w:val="18"/>
        </w:rPr>
      </w:pPr>
      <w:r w:rsidRPr="00E45820">
        <w:rPr>
          <w:rFonts w:ascii="Arial" w:hAnsi="Arial" w:cs="Arial"/>
          <w:sz w:val="18"/>
          <w:szCs w:val="18"/>
        </w:rPr>
        <w:t xml:space="preserve">in Asia. </w:t>
      </w:r>
      <w:r w:rsidRPr="00E45820">
        <w:rPr>
          <w:rFonts w:ascii="Arial" w:hAnsi="Arial" w:cs="Arial"/>
          <w:i/>
          <w:iCs/>
          <w:sz w:val="18"/>
          <w:szCs w:val="18"/>
        </w:rPr>
        <w:t>International Journal of Sustainability in Higher Education, 23</w:t>
      </w:r>
      <w:r w:rsidRPr="00E45820">
        <w:rPr>
          <w:rFonts w:ascii="Arial" w:hAnsi="Arial" w:cs="Arial"/>
          <w:sz w:val="18"/>
          <w:szCs w:val="18"/>
        </w:rPr>
        <w:t>(6), 1250–1276. https://doi.org/10.1108/IJSHE-06-2021-0244</w:t>
      </w:r>
    </w:p>
    <w:p w14:paraId="404EB67C" w14:textId="77777777" w:rsidR="00E45820" w:rsidRPr="00E45820" w:rsidRDefault="00E45820" w:rsidP="00E45820">
      <w:pPr>
        <w:jc w:val="both"/>
        <w:rPr>
          <w:rFonts w:ascii="Arial" w:hAnsi="Arial" w:cs="Arial"/>
          <w:sz w:val="18"/>
          <w:szCs w:val="18"/>
        </w:rPr>
      </w:pPr>
      <w:r w:rsidRPr="00E45820">
        <w:rPr>
          <w:rFonts w:ascii="Arial" w:hAnsi="Arial" w:cs="Arial"/>
          <w:sz w:val="18"/>
          <w:szCs w:val="18"/>
        </w:rPr>
        <w:t xml:space="preserve">Machado, C. F., &amp; </w:t>
      </w:r>
      <w:proofErr w:type="spellStart"/>
      <w:r w:rsidRPr="00E45820">
        <w:rPr>
          <w:rFonts w:ascii="Arial" w:hAnsi="Arial" w:cs="Arial"/>
          <w:sz w:val="18"/>
          <w:szCs w:val="18"/>
        </w:rPr>
        <w:t>Davim</w:t>
      </w:r>
      <w:proofErr w:type="spellEnd"/>
      <w:r w:rsidRPr="00E45820">
        <w:rPr>
          <w:rFonts w:ascii="Arial" w:hAnsi="Arial" w:cs="Arial"/>
          <w:sz w:val="18"/>
          <w:szCs w:val="18"/>
        </w:rPr>
        <w:t xml:space="preserve">, J. P. (2023). Sustainability in the modernization of higher education: Curricular </w:t>
      </w:r>
    </w:p>
    <w:p w14:paraId="26BB7AD4" w14:textId="77777777" w:rsidR="00E45820" w:rsidRPr="00E45820" w:rsidRDefault="00E45820" w:rsidP="00E45820">
      <w:pPr>
        <w:ind w:left="720"/>
        <w:jc w:val="both"/>
        <w:rPr>
          <w:rFonts w:ascii="Arial" w:hAnsi="Arial" w:cs="Arial"/>
          <w:sz w:val="18"/>
          <w:szCs w:val="18"/>
        </w:rPr>
      </w:pPr>
      <w:r w:rsidRPr="00E45820">
        <w:rPr>
          <w:rFonts w:ascii="Arial" w:hAnsi="Arial" w:cs="Arial"/>
          <w:sz w:val="18"/>
          <w:szCs w:val="18"/>
        </w:rPr>
        <w:t xml:space="preserve">transformation and sustainable campus—A literature review. </w:t>
      </w:r>
      <w:r w:rsidRPr="00E45820">
        <w:rPr>
          <w:rFonts w:ascii="Arial" w:hAnsi="Arial" w:cs="Arial"/>
          <w:i/>
          <w:iCs/>
          <w:sz w:val="18"/>
          <w:szCs w:val="18"/>
        </w:rPr>
        <w:t>Sustainability, 15</w:t>
      </w:r>
      <w:r w:rsidRPr="00E45820">
        <w:rPr>
          <w:rFonts w:ascii="Arial" w:hAnsi="Arial" w:cs="Arial"/>
          <w:sz w:val="18"/>
          <w:szCs w:val="18"/>
        </w:rPr>
        <w:t xml:space="preserve">(11), 8615. </w:t>
      </w:r>
      <w:hyperlink r:id="rId20" w:history="1">
        <w:r w:rsidRPr="00E45820">
          <w:rPr>
            <w:rStyle w:val="Hyperlink"/>
            <w:rFonts w:ascii="Arial" w:hAnsi="Arial" w:cs="Arial"/>
            <w:color w:val="auto"/>
            <w:sz w:val="18"/>
            <w:szCs w:val="18"/>
            <w:u w:val="none"/>
          </w:rPr>
          <w:t>https://doi.org/10.3390/su15118615</w:t>
        </w:r>
      </w:hyperlink>
    </w:p>
    <w:p w14:paraId="0163F14F" w14:textId="77777777" w:rsidR="00E45820" w:rsidRPr="00E45820" w:rsidRDefault="00E45820" w:rsidP="00E45820">
      <w:pPr>
        <w:jc w:val="both"/>
        <w:rPr>
          <w:rFonts w:ascii="Arial" w:hAnsi="Arial" w:cs="Arial"/>
          <w:sz w:val="18"/>
          <w:szCs w:val="18"/>
        </w:rPr>
      </w:pPr>
      <w:r w:rsidRPr="00E45820">
        <w:rPr>
          <w:rFonts w:ascii="Arial" w:hAnsi="Arial" w:cs="Arial"/>
          <w:sz w:val="18"/>
          <w:szCs w:val="18"/>
        </w:rPr>
        <w:t xml:space="preserve">Oliveira, M. C., &amp; Proença, J. (2025). Sustainable campus operations in higher education institutions: A </w:t>
      </w:r>
    </w:p>
    <w:p w14:paraId="722D1274" w14:textId="77777777" w:rsidR="00E45820" w:rsidRPr="00E45820" w:rsidRDefault="00E45820" w:rsidP="00E45820">
      <w:pPr>
        <w:ind w:firstLine="720"/>
        <w:jc w:val="both"/>
        <w:rPr>
          <w:rFonts w:ascii="Arial" w:hAnsi="Arial" w:cs="Arial"/>
          <w:sz w:val="18"/>
          <w:szCs w:val="18"/>
        </w:rPr>
      </w:pPr>
      <w:r w:rsidRPr="00E45820">
        <w:rPr>
          <w:rFonts w:ascii="Arial" w:hAnsi="Arial" w:cs="Arial"/>
          <w:sz w:val="18"/>
          <w:szCs w:val="18"/>
        </w:rPr>
        <w:t xml:space="preserve">systematic literature review. </w:t>
      </w:r>
      <w:r w:rsidRPr="00E45820">
        <w:rPr>
          <w:rFonts w:ascii="Arial" w:hAnsi="Arial" w:cs="Arial"/>
          <w:i/>
          <w:iCs/>
          <w:sz w:val="18"/>
          <w:szCs w:val="18"/>
        </w:rPr>
        <w:t>Sustainability, 17</w:t>
      </w:r>
      <w:r w:rsidRPr="00E45820">
        <w:rPr>
          <w:rFonts w:ascii="Arial" w:hAnsi="Arial" w:cs="Arial"/>
          <w:sz w:val="18"/>
          <w:szCs w:val="18"/>
        </w:rPr>
        <w:t xml:space="preserve">(2), 607. </w:t>
      </w:r>
      <w:hyperlink r:id="rId21" w:tgtFrame="_new" w:history="1">
        <w:r w:rsidRPr="00E45820">
          <w:rPr>
            <w:rStyle w:val="Hyperlink"/>
            <w:rFonts w:ascii="Arial" w:hAnsi="Arial" w:cs="Arial"/>
            <w:color w:val="auto"/>
            <w:sz w:val="18"/>
            <w:szCs w:val="18"/>
            <w:u w:val="none"/>
          </w:rPr>
          <w:t>https://doi.org/10.3390/su17020607</w:t>
        </w:r>
      </w:hyperlink>
    </w:p>
    <w:p w14:paraId="4629D32B" w14:textId="77777777" w:rsidR="00E45820" w:rsidRPr="00E45820" w:rsidRDefault="00E45820" w:rsidP="00E45820">
      <w:pPr>
        <w:jc w:val="both"/>
        <w:rPr>
          <w:rFonts w:ascii="Arial" w:hAnsi="Arial" w:cs="Arial"/>
          <w:sz w:val="18"/>
          <w:szCs w:val="18"/>
        </w:rPr>
      </w:pPr>
      <w:r w:rsidRPr="00E45820">
        <w:rPr>
          <w:rFonts w:ascii="Arial" w:hAnsi="Arial" w:cs="Arial"/>
          <w:sz w:val="18"/>
          <w:szCs w:val="18"/>
        </w:rPr>
        <w:t xml:space="preserve">Prior, D. D., </w:t>
      </w:r>
      <w:proofErr w:type="spellStart"/>
      <w:r w:rsidRPr="00E45820">
        <w:rPr>
          <w:rFonts w:ascii="Arial" w:hAnsi="Arial" w:cs="Arial"/>
          <w:sz w:val="18"/>
          <w:szCs w:val="18"/>
        </w:rPr>
        <w:t>Seshadrinath</w:t>
      </w:r>
      <w:proofErr w:type="spellEnd"/>
      <w:r w:rsidRPr="00E45820">
        <w:rPr>
          <w:rFonts w:ascii="Arial" w:hAnsi="Arial" w:cs="Arial"/>
          <w:sz w:val="18"/>
          <w:szCs w:val="18"/>
        </w:rPr>
        <w:t xml:space="preserve">, S. M., &amp; McCormack, D. (2024). Measuring SDGs in higher education through </w:t>
      </w:r>
    </w:p>
    <w:p w14:paraId="4D96F4B5" w14:textId="77777777" w:rsidR="00E45820" w:rsidRPr="00E45820" w:rsidRDefault="00E45820" w:rsidP="00E45820">
      <w:pPr>
        <w:ind w:firstLine="720"/>
        <w:jc w:val="both"/>
        <w:rPr>
          <w:rFonts w:ascii="Arial" w:hAnsi="Arial" w:cs="Arial"/>
          <w:sz w:val="18"/>
          <w:szCs w:val="18"/>
          <w:lang w:val="it-IT"/>
        </w:rPr>
      </w:pPr>
      <w:r w:rsidRPr="00E45820">
        <w:rPr>
          <w:rFonts w:ascii="Arial" w:hAnsi="Arial" w:cs="Arial"/>
          <w:sz w:val="18"/>
          <w:szCs w:val="18"/>
        </w:rPr>
        <w:t xml:space="preserve">semantic matching. </w:t>
      </w:r>
      <w:r w:rsidRPr="00E45820">
        <w:rPr>
          <w:rFonts w:ascii="Arial" w:hAnsi="Arial" w:cs="Arial"/>
          <w:i/>
          <w:iCs/>
          <w:sz w:val="18"/>
          <w:szCs w:val="18"/>
        </w:rPr>
        <w:t>Studies in Higher Education</w:t>
      </w:r>
      <w:r w:rsidRPr="00E45820">
        <w:rPr>
          <w:rFonts w:ascii="Arial" w:hAnsi="Arial" w:cs="Arial"/>
          <w:sz w:val="18"/>
          <w:szCs w:val="18"/>
        </w:rPr>
        <w:t xml:space="preserve">. </w:t>
      </w:r>
      <w:hyperlink r:id="rId22" w:tgtFrame="_new" w:history="1">
        <w:r w:rsidRPr="00E45820">
          <w:rPr>
            <w:rStyle w:val="Hyperlink"/>
            <w:rFonts w:ascii="Arial" w:hAnsi="Arial" w:cs="Arial"/>
            <w:color w:val="auto"/>
            <w:sz w:val="18"/>
            <w:szCs w:val="18"/>
            <w:u w:val="none"/>
            <w:lang w:val="it-IT"/>
          </w:rPr>
          <w:t>https://doi.org/10.1080/03075079.2024.2386625</w:t>
        </w:r>
      </w:hyperlink>
    </w:p>
    <w:p w14:paraId="3336A6A9" w14:textId="77777777" w:rsidR="00E45820" w:rsidRPr="00E45820" w:rsidRDefault="00E45820" w:rsidP="00E45820">
      <w:pPr>
        <w:jc w:val="both"/>
        <w:rPr>
          <w:rFonts w:ascii="Arial" w:hAnsi="Arial" w:cs="Arial"/>
          <w:sz w:val="18"/>
          <w:szCs w:val="18"/>
        </w:rPr>
      </w:pPr>
      <w:r w:rsidRPr="00E45820">
        <w:rPr>
          <w:rFonts w:ascii="Arial" w:hAnsi="Arial" w:cs="Arial"/>
          <w:sz w:val="18"/>
          <w:szCs w:val="18"/>
          <w:lang w:val="it-IT"/>
        </w:rPr>
        <w:t xml:space="preserve">Rodríguez-Guerreiro, M.-J., Torrijos, V., &amp; Soto, M. (2024). </w:t>
      </w:r>
      <w:r w:rsidRPr="00E45820">
        <w:rPr>
          <w:rFonts w:ascii="Arial" w:hAnsi="Arial" w:cs="Arial"/>
          <w:sz w:val="18"/>
          <w:szCs w:val="18"/>
        </w:rPr>
        <w:t xml:space="preserve">A review of waste management in higher education </w:t>
      </w:r>
    </w:p>
    <w:p w14:paraId="52A4723E" w14:textId="77777777" w:rsidR="00E45820" w:rsidRPr="00E45820" w:rsidRDefault="00E45820" w:rsidP="00E45820">
      <w:pPr>
        <w:ind w:left="720"/>
        <w:jc w:val="both"/>
        <w:rPr>
          <w:rFonts w:ascii="Arial" w:hAnsi="Arial" w:cs="Arial"/>
          <w:sz w:val="18"/>
          <w:szCs w:val="18"/>
        </w:rPr>
      </w:pPr>
      <w:r w:rsidRPr="00E45820">
        <w:rPr>
          <w:rFonts w:ascii="Arial" w:hAnsi="Arial" w:cs="Arial"/>
          <w:sz w:val="18"/>
          <w:szCs w:val="18"/>
        </w:rPr>
        <w:t xml:space="preserve">institutions: The road to zero waste and sustainability. </w:t>
      </w:r>
      <w:r w:rsidRPr="00E45820">
        <w:rPr>
          <w:rFonts w:ascii="Arial" w:hAnsi="Arial" w:cs="Arial"/>
          <w:i/>
          <w:iCs/>
          <w:sz w:val="18"/>
          <w:szCs w:val="18"/>
        </w:rPr>
        <w:t>Environments, 11</w:t>
      </w:r>
      <w:r w:rsidRPr="00E45820">
        <w:rPr>
          <w:rFonts w:ascii="Arial" w:hAnsi="Arial" w:cs="Arial"/>
          <w:sz w:val="18"/>
          <w:szCs w:val="18"/>
        </w:rPr>
        <w:t xml:space="preserve">(12), 293. </w:t>
      </w:r>
      <w:hyperlink r:id="rId23" w:history="1">
        <w:r w:rsidRPr="00E45820">
          <w:rPr>
            <w:rStyle w:val="Hyperlink"/>
            <w:rFonts w:ascii="Arial" w:hAnsi="Arial" w:cs="Arial"/>
            <w:color w:val="auto"/>
            <w:sz w:val="18"/>
            <w:szCs w:val="18"/>
            <w:u w:val="none"/>
          </w:rPr>
          <w:t>https://doi.org/10.3390/environments11120293</w:t>
        </w:r>
      </w:hyperlink>
    </w:p>
    <w:p w14:paraId="09BF8DFE" w14:textId="77777777" w:rsidR="00E45820" w:rsidRPr="00E45820" w:rsidRDefault="00E45820" w:rsidP="00E45820">
      <w:pPr>
        <w:jc w:val="both"/>
        <w:rPr>
          <w:rFonts w:ascii="Arial" w:hAnsi="Arial" w:cs="Arial"/>
          <w:sz w:val="18"/>
          <w:szCs w:val="18"/>
        </w:rPr>
      </w:pPr>
      <w:proofErr w:type="spellStart"/>
      <w:r w:rsidRPr="00E45820">
        <w:rPr>
          <w:rFonts w:ascii="Arial" w:hAnsi="Arial" w:cs="Arial"/>
          <w:sz w:val="18"/>
          <w:szCs w:val="18"/>
        </w:rPr>
        <w:t>Sribanasarn</w:t>
      </w:r>
      <w:proofErr w:type="spellEnd"/>
      <w:r w:rsidRPr="00E45820">
        <w:rPr>
          <w:rFonts w:ascii="Arial" w:hAnsi="Arial" w:cs="Arial"/>
          <w:sz w:val="18"/>
          <w:szCs w:val="18"/>
        </w:rPr>
        <w:t xml:space="preserve">, W., </w:t>
      </w:r>
      <w:proofErr w:type="spellStart"/>
      <w:r w:rsidRPr="00E45820">
        <w:rPr>
          <w:rFonts w:ascii="Arial" w:hAnsi="Arial" w:cs="Arial"/>
          <w:sz w:val="18"/>
          <w:szCs w:val="18"/>
        </w:rPr>
        <w:t>Srichan</w:t>
      </w:r>
      <w:proofErr w:type="spellEnd"/>
      <w:r w:rsidRPr="00E45820">
        <w:rPr>
          <w:rFonts w:ascii="Arial" w:hAnsi="Arial" w:cs="Arial"/>
          <w:sz w:val="18"/>
          <w:szCs w:val="18"/>
        </w:rPr>
        <w:t xml:space="preserve">, P., </w:t>
      </w:r>
      <w:proofErr w:type="spellStart"/>
      <w:r w:rsidRPr="00E45820">
        <w:rPr>
          <w:rFonts w:ascii="Arial" w:hAnsi="Arial" w:cs="Arial"/>
          <w:sz w:val="18"/>
          <w:szCs w:val="18"/>
        </w:rPr>
        <w:t>Panjaburee</w:t>
      </w:r>
      <w:proofErr w:type="spellEnd"/>
      <w:r w:rsidRPr="00E45820">
        <w:rPr>
          <w:rFonts w:ascii="Arial" w:hAnsi="Arial" w:cs="Arial"/>
          <w:sz w:val="18"/>
          <w:szCs w:val="18"/>
        </w:rPr>
        <w:t xml:space="preserve">, P., &amp; </w:t>
      </w:r>
      <w:proofErr w:type="spellStart"/>
      <w:r w:rsidRPr="00E45820">
        <w:rPr>
          <w:rFonts w:ascii="Arial" w:hAnsi="Arial" w:cs="Arial"/>
          <w:sz w:val="18"/>
          <w:szCs w:val="18"/>
        </w:rPr>
        <w:t>Intagupta</w:t>
      </w:r>
      <w:proofErr w:type="spellEnd"/>
      <w:r w:rsidRPr="00E45820">
        <w:rPr>
          <w:rFonts w:ascii="Arial" w:hAnsi="Arial" w:cs="Arial"/>
          <w:sz w:val="18"/>
          <w:szCs w:val="18"/>
        </w:rPr>
        <w:t xml:space="preserve">, W. (2024). The Sustainable Development Goals for </w:t>
      </w:r>
    </w:p>
    <w:p w14:paraId="14B6F81B" w14:textId="77777777" w:rsidR="00E45820" w:rsidRPr="00E45820" w:rsidRDefault="00E45820" w:rsidP="00E45820">
      <w:pPr>
        <w:ind w:left="720"/>
        <w:jc w:val="both"/>
        <w:rPr>
          <w:rFonts w:ascii="Arial" w:hAnsi="Arial" w:cs="Arial"/>
          <w:sz w:val="18"/>
          <w:szCs w:val="18"/>
        </w:rPr>
      </w:pPr>
      <w:r w:rsidRPr="00E45820">
        <w:rPr>
          <w:rFonts w:ascii="Arial" w:hAnsi="Arial" w:cs="Arial"/>
          <w:sz w:val="18"/>
          <w:szCs w:val="18"/>
        </w:rPr>
        <w:t xml:space="preserve">Education and Sustainability at </w:t>
      </w:r>
      <w:proofErr w:type="spellStart"/>
      <w:r w:rsidRPr="00E45820">
        <w:rPr>
          <w:rFonts w:ascii="Arial" w:hAnsi="Arial" w:cs="Arial"/>
          <w:sz w:val="18"/>
          <w:szCs w:val="18"/>
        </w:rPr>
        <w:t>Mahasarakham</w:t>
      </w:r>
      <w:proofErr w:type="spellEnd"/>
      <w:r w:rsidRPr="00E45820">
        <w:rPr>
          <w:rFonts w:ascii="Arial" w:hAnsi="Arial" w:cs="Arial"/>
          <w:sz w:val="18"/>
          <w:szCs w:val="18"/>
        </w:rPr>
        <w:t xml:space="preserve"> University, Thailand. </w:t>
      </w:r>
      <w:r w:rsidRPr="00E45820">
        <w:rPr>
          <w:rFonts w:ascii="Arial" w:hAnsi="Arial" w:cs="Arial"/>
          <w:i/>
          <w:iCs/>
          <w:sz w:val="18"/>
          <w:szCs w:val="18"/>
        </w:rPr>
        <w:t>Administrative Sciences, 15</w:t>
      </w:r>
      <w:r w:rsidRPr="00E45820">
        <w:rPr>
          <w:rFonts w:ascii="Arial" w:hAnsi="Arial" w:cs="Arial"/>
          <w:sz w:val="18"/>
          <w:szCs w:val="18"/>
        </w:rPr>
        <w:t>(5), 164. https://doi.org/10.3390/admsci15050164</w:t>
      </w:r>
    </w:p>
    <w:p w14:paraId="4A58EB71" w14:textId="77777777" w:rsidR="00E45820" w:rsidRPr="00E45820" w:rsidRDefault="00E45820" w:rsidP="00E45820">
      <w:pPr>
        <w:jc w:val="both"/>
        <w:rPr>
          <w:rFonts w:ascii="Arial" w:hAnsi="Arial" w:cs="Arial"/>
          <w:sz w:val="18"/>
          <w:szCs w:val="18"/>
        </w:rPr>
      </w:pPr>
      <w:r w:rsidRPr="00E45820">
        <w:rPr>
          <w:rFonts w:ascii="Arial" w:hAnsi="Arial" w:cs="Arial"/>
          <w:sz w:val="18"/>
          <w:szCs w:val="18"/>
        </w:rPr>
        <w:t xml:space="preserve">UI </w:t>
      </w:r>
      <w:proofErr w:type="spellStart"/>
      <w:r w:rsidRPr="00E45820">
        <w:rPr>
          <w:rFonts w:ascii="Arial" w:hAnsi="Arial" w:cs="Arial"/>
          <w:sz w:val="18"/>
          <w:szCs w:val="18"/>
        </w:rPr>
        <w:t>GreenMetric</w:t>
      </w:r>
      <w:proofErr w:type="spellEnd"/>
      <w:r w:rsidRPr="00E45820">
        <w:rPr>
          <w:rFonts w:ascii="Arial" w:hAnsi="Arial" w:cs="Arial"/>
          <w:sz w:val="18"/>
          <w:szCs w:val="18"/>
        </w:rPr>
        <w:t xml:space="preserve"> World University Rankings. (2024). </w:t>
      </w:r>
      <w:r w:rsidRPr="00E45820">
        <w:rPr>
          <w:rFonts w:ascii="Arial" w:hAnsi="Arial" w:cs="Arial"/>
          <w:i/>
          <w:iCs/>
          <w:sz w:val="18"/>
          <w:szCs w:val="18"/>
        </w:rPr>
        <w:t>Guideline and participation scale.</w:t>
      </w:r>
      <w:r w:rsidRPr="00E45820">
        <w:rPr>
          <w:rFonts w:ascii="Arial" w:hAnsi="Arial" w:cs="Arial"/>
          <w:sz w:val="18"/>
          <w:szCs w:val="18"/>
        </w:rPr>
        <w:t xml:space="preserve"> </w:t>
      </w:r>
    </w:p>
    <w:p w14:paraId="504D1A67" w14:textId="77777777" w:rsidR="00E45820" w:rsidRPr="00E45820" w:rsidRDefault="00B354CF" w:rsidP="00E45820">
      <w:pPr>
        <w:ind w:firstLine="720"/>
        <w:jc w:val="both"/>
        <w:rPr>
          <w:rFonts w:ascii="Arial" w:hAnsi="Arial" w:cs="Arial"/>
          <w:sz w:val="18"/>
          <w:szCs w:val="18"/>
        </w:rPr>
      </w:pPr>
      <w:hyperlink r:id="rId24" w:history="1">
        <w:r w:rsidR="00E45820" w:rsidRPr="00E45820">
          <w:rPr>
            <w:rStyle w:val="Hyperlink"/>
            <w:rFonts w:ascii="Arial" w:hAnsi="Arial" w:cs="Arial"/>
            <w:color w:val="auto"/>
            <w:sz w:val="18"/>
            <w:szCs w:val="18"/>
            <w:u w:val="none"/>
          </w:rPr>
          <w:t>https://greenmetric.ui.ac.id/about/welcome</w:t>
        </w:r>
      </w:hyperlink>
    </w:p>
    <w:p w14:paraId="066F417A" w14:textId="77777777" w:rsidR="00B01FCD" w:rsidRPr="00FB3A86" w:rsidRDefault="00B01FCD" w:rsidP="00441B6F">
      <w:pPr>
        <w:pStyle w:val="Appendix"/>
        <w:spacing w:after="0"/>
        <w:jc w:val="both"/>
        <w:rPr>
          <w:rFonts w:ascii="Arial" w:hAnsi="Arial" w:cs="Arial"/>
          <w:b w:val="0"/>
        </w:rPr>
      </w:pPr>
    </w:p>
    <w:sectPr w:rsidR="00B01FCD" w:rsidRPr="00FB3A86" w:rsidSect="00DE7CA7">
      <w:headerReference w:type="even" r:id="rId25"/>
      <w:headerReference w:type="default" r:id="rId26"/>
      <w:footerReference w:type="default" r:id="rId27"/>
      <w:headerReference w:type="first" r:id="rId2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71D74C" w14:textId="77777777" w:rsidR="00B354CF" w:rsidRDefault="00B354CF" w:rsidP="00C37E61">
      <w:r>
        <w:separator/>
      </w:r>
    </w:p>
  </w:endnote>
  <w:endnote w:type="continuationSeparator" w:id="0">
    <w:p w14:paraId="0832EA9C" w14:textId="77777777" w:rsidR="00B354CF" w:rsidRDefault="00B354C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D19764" w14:textId="77777777" w:rsidR="00DE7CA7" w:rsidRDefault="00DE7C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F67F2" w14:textId="77777777" w:rsidR="00DE7CA7" w:rsidRDefault="00DE7C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D2695" w14:textId="79BC3905" w:rsidR="00754C9A" w:rsidRPr="009E70FD" w:rsidRDefault="00754C9A" w:rsidP="009E70FD">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B0663"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0092E4" w14:textId="77777777" w:rsidR="00B354CF" w:rsidRDefault="00B354CF" w:rsidP="00C37E61">
      <w:r>
        <w:separator/>
      </w:r>
    </w:p>
  </w:footnote>
  <w:footnote w:type="continuationSeparator" w:id="0">
    <w:p w14:paraId="7AF8DFD8" w14:textId="77777777" w:rsidR="00B354CF" w:rsidRDefault="00B354C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9A332" w14:textId="669F772D" w:rsidR="00DE7CA7" w:rsidRDefault="00DE7CA7">
    <w:pPr>
      <w:pStyle w:val="Header"/>
    </w:pPr>
    <w:r>
      <w:rPr>
        <w:noProof/>
      </w:rPr>
      <w:pict w14:anchorId="219EDD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759719"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EB714" w14:textId="4DAAD9F9" w:rsidR="00DE7CA7" w:rsidRDefault="00DE7CA7">
    <w:pPr>
      <w:pStyle w:val="Header"/>
    </w:pPr>
    <w:r>
      <w:rPr>
        <w:noProof/>
      </w:rPr>
      <w:pict w14:anchorId="4E8133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759720"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16EBB" w14:textId="28C66A5F" w:rsidR="00296529" w:rsidRPr="00296529" w:rsidRDefault="00DE7CA7" w:rsidP="00296529">
    <w:pPr>
      <w:ind w:left="2160"/>
      <w:jc w:val="center"/>
      <w:rPr>
        <w:rFonts w:ascii="Times New Roman" w:eastAsia="Calibri" w:hAnsi="Times New Roman"/>
        <w:i/>
        <w:sz w:val="18"/>
        <w:szCs w:val="22"/>
      </w:rPr>
    </w:pPr>
    <w:r>
      <w:rPr>
        <w:noProof/>
      </w:rPr>
      <w:pict w14:anchorId="53B6D9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759718"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371B7A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C9F529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7304B4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2C526F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0744D0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8BB34EC"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D07B2" w14:textId="73227DD9" w:rsidR="00DE7CA7" w:rsidRDefault="00DE7CA7">
    <w:pPr>
      <w:pStyle w:val="Header"/>
    </w:pPr>
    <w:r>
      <w:rPr>
        <w:noProof/>
      </w:rPr>
      <w:pict w14:anchorId="7D77AC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759722"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2F809" w14:textId="50CDA03F" w:rsidR="00DE7CA7" w:rsidRDefault="00DE7CA7">
    <w:pPr>
      <w:pStyle w:val="Header"/>
    </w:pPr>
    <w:r>
      <w:rPr>
        <w:noProof/>
      </w:rPr>
      <w:pict w14:anchorId="7092F4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759723"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FD329" w14:textId="54B807F7" w:rsidR="00DE7CA7" w:rsidRDefault="00DE7CA7">
    <w:pPr>
      <w:pStyle w:val="Header"/>
    </w:pPr>
    <w:r>
      <w:rPr>
        <w:noProof/>
      </w:rPr>
      <w:pict w14:anchorId="0BB5B3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759721"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A47FA"/>
    <w:rsid w:val="000A65D3"/>
    <w:rsid w:val="000B1E33"/>
    <w:rsid w:val="000D689F"/>
    <w:rsid w:val="000E7B7B"/>
    <w:rsid w:val="000E7D62"/>
    <w:rsid w:val="00103357"/>
    <w:rsid w:val="001144D9"/>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3619C"/>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91113"/>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122A6"/>
    <w:rsid w:val="007369E6"/>
    <w:rsid w:val="00746E59"/>
    <w:rsid w:val="00754C9A"/>
    <w:rsid w:val="0075599A"/>
    <w:rsid w:val="00761D52"/>
    <w:rsid w:val="0077749E"/>
    <w:rsid w:val="00790ADA"/>
    <w:rsid w:val="007C7F18"/>
    <w:rsid w:val="007D2288"/>
    <w:rsid w:val="007E088F"/>
    <w:rsid w:val="007E7858"/>
    <w:rsid w:val="007F7B32"/>
    <w:rsid w:val="00804BC2"/>
    <w:rsid w:val="0081431A"/>
    <w:rsid w:val="00816061"/>
    <w:rsid w:val="00830207"/>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647D"/>
    <w:rsid w:val="009D7EB7"/>
    <w:rsid w:val="009E048A"/>
    <w:rsid w:val="009E08E9"/>
    <w:rsid w:val="009E3DB9"/>
    <w:rsid w:val="009E6E35"/>
    <w:rsid w:val="009E70FD"/>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354CF"/>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608A"/>
    <w:rsid w:val="00C37E61"/>
    <w:rsid w:val="00C55A4C"/>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5663"/>
    <w:rsid w:val="00DE78AA"/>
    <w:rsid w:val="00DE7CA7"/>
    <w:rsid w:val="00E053D0"/>
    <w:rsid w:val="00E15994"/>
    <w:rsid w:val="00E3114E"/>
    <w:rsid w:val="00E31A70"/>
    <w:rsid w:val="00E35B02"/>
    <w:rsid w:val="00E45820"/>
    <w:rsid w:val="00E66496"/>
    <w:rsid w:val="00E66B35"/>
    <w:rsid w:val="00E66E10"/>
    <w:rsid w:val="00E769F6"/>
    <w:rsid w:val="00E8407C"/>
    <w:rsid w:val="00E84F3C"/>
    <w:rsid w:val="00E96231"/>
    <w:rsid w:val="00EA012C"/>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F61DDB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7C7F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3389/fenvs.2024.1363024" TargetMode="Externa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https://doi.org/10.3390/su17020607"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3390/su16093677"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ched.gov.ph/wp-content/uploads/2017/10/CMO-No.20-s2013.pdf?utm_source=chatgpt.com" TargetMode="External"/><Relationship Id="rId20" Type="http://schemas.openxmlformats.org/officeDocument/2006/relationships/hyperlink" Target="https://doi.org/10.3390/su15118615"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greenmetric.ui.ac.id/about/welcome" TargetMode="External"/><Relationship Id="rId5" Type="http://schemas.openxmlformats.org/officeDocument/2006/relationships/webSettings" Target="webSettings.xml"/><Relationship Id="rId15" Type="http://schemas.openxmlformats.org/officeDocument/2006/relationships/hyperlink" Target="https://doi.org/10.3389/fenvs.2022.886060" TargetMode="External"/><Relationship Id="rId23" Type="http://schemas.openxmlformats.org/officeDocument/2006/relationships/hyperlink" Target="https://doi.org/10.3390/environments11120293" TargetMode="External"/><Relationship Id="rId28"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s://doi.org/10.3390/buildings14020323"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16/j.jclepro.2020.125289" TargetMode="External"/><Relationship Id="rId22" Type="http://schemas.openxmlformats.org/officeDocument/2006/relationships/hyperlink" Target="https://doi.org/10.1080/03075079.2024.2386625" TargetMode="External"/><Relationship Id="rId27" Type="http://schemas.openxmlformats.org/officeDocument/2006/relationships/footer" Target="foot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5CCC14-2B55-456B-A501-34C661A91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TotalTime>
  <Pages>7</Pages>
  <Words>4675</Words>
  <Characters>26650</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31263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26</cp:revision>
  <cp:lastPrinted>2025-11-06T09:31:00Z</cp:lastPrinted>
  <dcterms:created xsi:type="dcterms:W3CDTF">2025-11-06T09:33:00Z</dcterms:created>
  <dcterms:modified xsi:type="dcterms:W3CDTF">2025-11-07T07:32:00Z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d2e30429-f67d-43aa-ab54-6b1593ed7d2c</vt:lpwstr>
  </property>
</Properties>
</file>