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43BA8" w14:textId="136534E1" w:rsidR="00754C9A" w:rsidRPr="00777EFF" w:rsidRDefault="00777EFF" w:rsidP="00777EFF">
      <w:pPr>
        <w:pStyle w:val="Title"/>
        <w:spacing w:after="0"/>
        <w:jc w:val="left"/>
        <w:rPr>
          <w:rFonts w:ascii="Arial" w:hAnsi="Arial" w:cs="Arial"/>
          <w:u w:val="single"/>
        </w:rPr>
      </w:pPr>
      <w:bookmarkStart w:id="0" w:name="_GoBack"/>
      <w:bookmarkEnd w:id="0"/>
      <w:r w:rsidRPr="00777EFF">
        <w:rPr>
          <w:rFonts w:ascii="Arial" w:hAnsi="Arial" w:cs="Arial"/>
          <w:u w:val="single"/>
        </w:rPr>
        <w:t>Original Research Article</w:t>
      </w:r>
    </w:p>
    <w:p w14:paraId="7262D9B2" w14:textId="77777777" w:rsidR="00777EFF" w:rsidRDefault="006D3050" w:rsidP="006D3050">
      <w:pPr>
        <w:pStyle w:val="Author"/>
        <w:rPr>
          <w:rFonts w:ascii="Times New Roman" w:eastAsia="Calibri" w:hAnsi="Times New Roman"/>
          <w:bCs/>
          <w:color w:val="0000CC"/>
          <w:szCs w:val="24"/>
        </w:rPr>
      </w:pPr>
      <w:r w:rsidRPr="006D3050">
        <w:rPr>
          <w:rFonts w:ascii="Times New Roman" w:eastAsia="Calibri" w:hAnsi="Times New Roman"/>
          <w:bCs/>
          <w:color w:val="0000CC"/>
          <w:szCs w:val="24"/>
        </w:rPr>
        <w:t xml:space="preserve"> </w:t>
      </w:r>
    </w:p>
    <w:p w14:paraId="5FE171AC" w14:textId="6CF79D85" w:rsidR="006D3050" w:rsidRPr="006D3050" w:rsidRDefault="006D3050" w:rsidP="006D3050">
      <w:pPr>
        <w:pStyle w:val="Author"/>
        <w:rPr>
          <w:rFonts w:ascii="Arial" w:hAnsi="Arial" w:cs="Arial"/>
          <w:bCs/>
          <w:iCs/>
          <w:kern w:val="28"/>
          <w:sz w:val="36"/>
        </w:rPr>
      </w:pPr>
      <w:r w:rsidRPr="000227BB">
        <w:rPr>
          <w:rFonts w:ascii="Arial" w:hAnsi="Arial" w:cs="Arial"/>
          <w:bCs/>
          <w:iCs/>
          <w:kern w:val="28"/>
          <w:sz w:val="32"/>
          <w:szCs w:val="18"/>
        </w:rPr>
        <w:t>The Status of Case Study Framework in Comparative Politics Research: An Analysis of Comparative Political Studies (1973-2001)</w:t>
      </w:r>
    </w:p>
    <w:p w14:paraId="66D2C4EC" w14:textId="77777777" w:rsidR="00A258C3" w:rsidRPr="00790ADA" w:rsidRDefault="00A258C3" w:rsidP="006D3050">
      <w:pPr>
        <w:pStyle w:val="Author"/>
        <w:spacing w:line="240" w:lineRule="auto"/>
        <w:rPr>
          <w:rFonts w:ascii="Arial" w:hAnsi="Arial" w:cs="Arial"/>
          <w:sz w:val="36"/>
        </w:rPr>
      </w:pPr>
    </w:p>
    <w:p w14:paraId="23F18FF1"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2BD7F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E4DA84A" w14:textId="77777777" w:rsidTr="001E44FE">
        <w:tc>
          <w:tcPr>
            <w:tcW w:w="9576" w:type="dxa"/>
            <w:shd w:val="clear" w:color="auto" w:fill="F2F2F2"/>
          </w:tcPr>
          <w:p w14:paraId="7E08AFD0" w14:textId="77777777" w:rsidR="00505F06" w:rsidRPr="00BA1B01" w:rsidRDefault="006D3050" w:rsidP="003B7960">
            <w:pPr>
              <w:pStyle w:val="Body"/>
              <w:spacing w:after="0"/>
              <w:rPr>
                <w:rFonts w:ascii="Arial" w:eastAsia="Calibri" w:hAnsi="Arial" w:cs="Arial"/>
                <w:szCs w:val="22"/>
              </w:rPr>
            </w:pPr>
            <w:r w:rsidRPr="006D3050">
              <w:rPr>
                <w:rFonts w:ascii="Arial" w:eastAsia="Calibri" w:hAnsi="Arial" w:cs="Arial"/>
                <w:szCs w:val="22"/>
              </w:rPr>
              <w:t>This paper explores the status of case studies in comparative politics research through a quantitative analysis of the articles published in the journal, Comparative Political Studies between 1973 and 2001.</w:t>
            </w:r>
            <w:r w:rsidR="003B7960">
              <w:rPr>
                <w:rFonts w:ascii="Arial" w:eastAsia="Calibri" w:hAnsi="Arial" w:cs="Arial"/>
                <w:szCs w:val="22"/>
              </w:rPr>
              <w:t xml:space="preserve"> </w:t>
            </w:r>
            <w:r w:rsidRPr="006D3050">
              <w:rPr>
                <w:rFonts w:ascii="Arial" w:eastAsia="Calibri" w:hAnsi="Arial" w:cs="Arial"/>
                <w:szCs w:val="22"/>
              </w:rPr>
              <w:t>Dividing the sample into two periods, it examines broader patterns and changes in the numbers of case studies published in the journal, the research techniques employed, and areas of the world that are concentrated in these articles. While this research observes a prominent role of case studies in comparative political research, albeit significantly diminishing after 1989, it points at a general methodological domination of interviews and surveys, surpassed by archival records after 1989.</w:t>
            </w:r>
            <w:r w:rsidR="003B7960">
              <w:rPr>
                <w:rFonts w:ascii="Arial" w:eastAsia="Calibri" w:hAnsi="Arial" w:cs="Arial"/>
                <w:szCs w:val="22"/>
              </w:rPr>
              <w:t xml:space="preserve"> </w:t>
            </w:r>
            <w:r w:rsidRPr="006D3050">
              <w:rPr>
                <w:rFonts w:ascii="Arial" w:eastAsia="Calibri" w:hAnsi="Arial" w:cs="Arial"/>
                <w:szCs w:val="22"/>
              </w:rPr>
              <w:t xml:space="preserve">These shifts in case studies in comparative political research are explained with reference to the processes of globalization and post-Cold War conjuncture. The study also reveals a third feature of case studies in comparative politics: a geographical bias which does not change much after 1989. It problematizes the uneven geographical concentration of case studies on specific regions—Western Europe and Latin America—while </w:t>
            </w:r>
            <w:proofErr w:type="spellStart"/>
            <w:r w:rsidRPr="006D3050">
              <w:rPr>
                <w:rFonts w:ascii="Arial" w:eastAsia="Calibri" w:hAnsi="Arial" w:cs="Arial"/>
                <w:szCs w:val="22"/>
              </w:rPr>
              <w:t>underresearching</w:t>
            </w:r>
            <w:proofErr w:type="spellEnd"/>
            <w:r w:rsidRPr="006D3050">
              <w:rPr>
                <w:rFonts w:ascii="Arial" w:eastAsia="Calibri" w:hAnsi="Arial" w:cs="Arial"/>
                <w:szCs w:val="22"/>
              </w:rPr>
              <w:t xml:space="preserve"> the rest, and locates it within the broader mechanisms of modern knowledge production and dissemination.</w:t>
            </w:r>
          </w:p>
        </w:tc>
      </w:tr>
    </w:tbl>
    <w:p w14:paraId="743DDDBF" w14:textId="77777777" w:rsidR="00636EB2" w:rsidRDefault="00636EB2" w:rsidP="00441B6F">
      <w:pPr>
        <w:pStyle w:val="Body"/>
        <w:spacing w:after="0"/>
        <w:rPr>
          <w:rFonts w:ascii="Arial" w:hAnsi="Arial" w:cs="Arial"/>
          <w:i/>
        </w:rPr>
      </w:pPr>
    </w:p>
    <w:p w14:paraId="0470D171" w14:textId="77777777" w:rsidR="00A24E7E" w:rsidRDefault="00A24E7E" w:rsidP="00441B6F">
      <w:pPr>
        <w:pStyle w:val="Body"/>
        <w:spacing w:after="0"/>
        <w:rPr>
          <w:rFonts w:ascii="Arial" w:hAnsi="Arial" w:cs="Arial"/>
          <w:i/>
        </w:rPr>
      </w:pPr>
      <w:r>
        <w:rPr>
          <w:rFonts w:ascii="Arial" w:hAnsi="Arial" w:cs="Arial"/>
          <w:i/>
        </w:rPr>
        <w:t xml:space="preserve">Keywords: </w:t>
      </w:r>
      <w:r w:rsidR="00220277" w:rsidRPr="00220277">
        <w:rPr>
          <w:rFonts w:ascii="Arial" w:hAnsi="Arial" w:cs="Arial"/>
          <w:i/>
        </w:rPr>
        <w:t>case studies, comparative politics, Comparative Political Studies, within-case analysis, methodology, comparative research</w:t>
      </w:r>
    </w:p>
    <w:p w14:paraId="771F82A3" w14:textId="77777777" w:rsidR="00790ADA" w:rsidRDefault="00790ADA" w:rsidP="00441B6F">
      <w:pPr>
        <w:pStyle w:val="Body"/>
        <w:spacing w:after="0"/>
        <w:rPr>
          <w:rFonts w:ascii="Arial" w:hAnsi="Arial" w:cs="Arial"/>
          <w:i/>
        </w:rPr>
      </w:pPr>
    </w:p>
    <w:p w14:paraId="0EE395F6" w14:textId="77777777" w:rsidR="00505F06" w:rsidRPr="00A24E7E" w:rsidRDefault="00505F06" w:rsidP="00441B6F">
      <w:pPr>
        <w:pStyle w:val="Body"/>
        <w:spacing w:after="0"/>
        <w:rPr>
          <w:rFonts w:ascii="Arial" w:hAnsi="Arial" w:cs="Arial"/>
          <w:i/>
        </w:rPr>
      </w:pPr>
    </w:p>
    <w:p w14:paraId="4BFCC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F15E1A" w14:textId="77777777" w:rsidR="00790ADA" w:rsidRPr="00FB3A86" w:rsidRDefault="00790ADA" w:rsidP="00441B6F">
      <w:pPr>
        <w:pStyle w:val="AbstHead"/>
        <w:spacing w:after="0"/>
        <w:jc w:val="both"/>
        <w:rPr>
          <w:rFonts w:ascii="Arial" w:hAnsi="Arial" w:cs="Arial"/>
        </w:rPr>
      </w:pPr>
    </w:p>
    <w:p w14:paraId="58B3ED3A" w14:textId="77777777" w:rsidR="00220277" w:rsidRPr="00220277" w:rsidRDefault="00220277" w:rsidP="00220277">
      <w:pPr>
        <w:pStyle w:val="Body"/>
        <w:rPr>
          <w:rFonts w:ascii="Arial" w:hAnsi="Arial" w:cs="Arial"/>
        </w:rPr>
      </w:pPr>
      <w:r w:rsidRPr="00220277">
        <w:rPr>
          <w:rFonts w:ascii="Arial" w:hAnsi="Arial" w:cs="Arial"/>
        </w:rPr>
        <w:t xml:space="preserve">This paper examines the status of case studies in comparative politics research through a quantitative analysis of the articles published in the journal, Comparative Political Studies between 1973 and 2001. It focuses on the numbers of case studies published in the journal, the research techniques employed, and areas of the world under concentration in these articles, and discusses the quantitative changes in these domains during the time period. To analyze the status of case studies in the journal of Comparative Political Studies in particular and comparative politics in general, the present study, following a discussion of the literature on case study and methodological design, discusses its findings regarding the following questions: </w:t>
      </w:r>
    </w:p>
    <w:p w14:paraId="09A0A57D" w14:textId="77777777" w:rsidR="00220277" w:rsidRPr="00220277" w:rsidRDefault="00220277" w:rsidP="00220277">
      <w:pPr>
        <w:pStyle w:val="Body"/>
        <w:numPr>
          <w:ilvl w:val="0"/>
          <w:numId w:val="31"/>
        </w:numPr>
        <w:rPr>
          <w:rFonts w:ascii="Arial" w:hAnsi="Arial" w:cs="Arial"/>
        </w:rPr>
      </w:pPr>
      <w:r w:rsidRPr="00220277">
        <w:rPr>
          <w:rFonts w:ascii="Arial" w:hAnsi="Arial" w:cs="Arial"/>
        </w:rPr>
        <w:t xml:space="preserve">How have the number of case studies changed since 1973? </w:t>
      </w:r>
    </w:p>
    <w:p w14:paraId="72F95099" w14:textId="77777777" w:rsidR="00220277" w:rsidRPr="00220277" w:rsidRDefault="00220277" w:rsidP="00220277">
      <w:pPr>
        <w:pStyle w:val="Body"/>
        <w:numPr>
          <w:ilvl w:val="0"/>
          <w:numId w:val="31"/>
        </w:numPr>
        <w:rPr>
          <w:rFonts w:ascii="Arial" w:hAnsi="Arial" w:cs="Arial"/>
        </w:rPr>
      </w:pPr>
      <w:r w:rsidRPr="00220277">
        <w:rPr>
          <w:rFonts w:ascii="Arial" w:hAnsi="Arial" w:cs="Arial"/>
        </w:rPr>
        <w:t xml:space="preserve">Which research techniques are used in the case studies published in the journal? Have there been quantitative changes in their employment over time? </w:t>
      </w:r>
    </w:p>
    <w:p w14:paraId="6195F384" w14:textId="77777777" w:rsidR="00220277" w:rsidRPr="00220277" w:rsidRDefault="00220277" w:rsidP="00220277">
      <w:pPr>
        <w:pStyle w:val="Body"/>
        <w:numPr>
          <w:ilvl w:val="0"/>
          <w:numId w:val="31"/>
        </w:numPr>
        <w:rPr>
          <w:rFonts w:ascii="Arial" w:hAnsi="Arial" w:cs="Arial"/>
        </w:rPr>
      </w:pPr>
      <w:r w:rsidRPr="00220277">
        <w:rPr>
          <w:rFonts w:ascii="Arial" w:hAnsi="Arial" w:cs="Arial"/>
        </w:rPr>
        <w:t xml:space="preserve">What areas of the world do they most concentrate? Has this changed in time? If any, what are the implications of these changes? </w:t>
      </w:r>
    </w:p>
    <w:p w14:paraId="50AC0B8F" w14:textId="77777777" w:rsidR="00790ADA" w:rsidRPr="00FB3A86" w:rsidRDefault="00220277" w:rsidP="00493808">
      <w:pPr>
        <w:pStyle w:val="Body"/>
        <w:rPr>
          <w:rFonts w:ascii="Arial" w:hAnsi="Arial" w:cs="Arial"/>
        </w:rPr>
      </w:pPr>
      <w:r w:rsidRPr="00220277">
        <w:rPr>
          <w:rFonts w:ascii="Arial" w:hAnsi="Arial" w:cs="Arial"/>
        </w:rPr>
        <w:t xml:space="preserve">Exploring these questions, the article contributes to the empirical studies on comparative politics research and methodology, as well as the larger debates on the prevalence of case studies in the field of comparative politics. </w:t>
      </w:r>
    </w:p>
    <w:p w14:paraId="73444968"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E34DC8" w:rsidRPr="00E34DC8">
        <w:rPr>
          <w:rFonts w:ascii="Arial" w:hAnsi="Arial" w:cs="Arial"/>
        </w:rPr>
        <w:t>LITERATURE REVIEW</w:t>
      </w:r>
    </w:p>
    <w:p w14:paraId="1DC12088" w14:textId="77777777" w:rsidR="00790ADA" w:rsidRPr="00FB3A86" w:rsidRDefault="00790ADA" w:rsidP="00441B6F">
      <w:pPr>
        <w:pStyle w:val="AbstHead"/>
        <w:spacing w:after="0"/>
        <w:jc w:val="both"/>
        <w:rPr>
          <w:rFonts w:ascii="Arial" w:hAnsi="Arial" w:cs="Arial"/>
        </w:rPr>
      </w:pPr>
    </w:p>
    <w:p w14:paraId="1509BDBA" w14:textId="77777777" w:rsidR="00220277" w:rsidRPr="00220277" w:rsidRDefault="00220277" w:rsidP="00220277">
      <w:pPr>
        <w:pStyle w:val="Body"/>
        <w:rPr>
          <w:rFonts w:ascii="Arial" w:hAnsi="Arial" w:cs="Arial"/>
        </w:rPr>
      </w:pPr>
      <w:r w:rsidRPr="00220277">
        <w:rPr>
          <w:rFonts w:ascii="Arial" w:hAnsi="Arial" w:cs="Arial"/>
        </w:rPr>
        <w:t>One of the scholarly definitions of case study states that it is “a method of studying social phenomena through the thorough analysis of an individual case,” giving a unitary character to the data being studied by interrelating a variety of facts to a single case, and providing an opportunity for the intensive analysis of many details that often remain neglected by other methods</w:t>
      </w:r>
      <w:r w:rsidR="00F556A8">
        <w:rPr>
          <w:rFonts w:ascii="Arial" w:hAnsi="Arial" w:cs="Arial"/>
        </w:rPr>
        <w:t xml:space="preserve"> (Punch, 2014: 121)</w:t>
      </w:r>
      <w:r w:rsidRPr="00220277">
        <w:rPr>
          <w:rFonts w:ascii="Arial" w:hAnsi="Arial" w:cs="Arial"/>
        </w:rPr>
        <w:t>.</w:t>
      </w:r>
      <w:r w:rsidRPr="00220277">
        <w:rPr>
          <w:rFonts w:ascii="Arial" w:hAnsi="Arial" w:cs="Arial"/>
          <w:vertAlign w:val="superscript"/>
        </w:rPr>
        <w:t xml:space="preserve"> </w:t>
      </w:r>
      <w:r w:rsidRPr="00220277">
        <w:rPr>
          <w:rFonts w:ascii="Arial" w:hAnsi="Arial" w:cs="Arial"/>
        </w:rPr>
        <w:t>Gerring’s</w:t>
      </w:r>
      <w:r w:rsidR="00F556A8">
        <w:rPr>
          <w:rFonts w:ascii="Arial" w:hAnsi="Arial" w:cs="Arial"/>
          <w:b/>
          <w:bCs/>
          <w:vertAlign w:val="superscript"/>
        </w:rPr>
        <w:t xml:space="preserve"> </w:t>
      </w:r>
      <w:r w:rsidR="00F556A8">
        <w:rPr>
          <w:rFonts w:ascii="Arial" w:hAnsi="Arial" w:cs="Arial"/>
        </w:rPr>
        <w:t xml:space="preserve">(2004: 342) </w:t>
      </w:r>
      <w:r w:rsidRPr="00220277">
        <w:rPr>
          <w:rFonts w:ascii="Arial" w:hAnsi="Arial" w:cs="Arial"/>
        </w:rPr>
        <w:t xml:space="preserve">definition on the other hand—“an intensive study of a single unit for the purpose of understanding a larger class of (similar) units”—focuses on the pragmatic use of case studies for our understanding of broader units, which refer to “spatially bounded phenomenon” such as a nation-state, revolution, political party, election, or person. </w:t>
      </w:r>
    </w:p>
    <w:p w14:paraId="31C04484" w14:textId="77777777" w:rsidR="00220277" w:rsidRPr="00220277" w:rsidRDefault="00220277" w:rsidP="00220277">
      <w:pPr>
        <w:pStyle w:val="Body"/>
        <w:rPr>
          <w:rFonts w:ascii="Arial" w:hAnsi="Arial" w:cs="Arial"/>
        </w:rPr>
      </w:pPr>
      <w:r w:rsidRPr="00220277">
        <w:rPr>
          <w:rFonts w:ascii="Arial" w:hAnsi="Arial" w:cs="Arial"/>
        </w:rPr>
        <w:t>Despite its widespread use in various disciplines and fields, the status of case study as a framework has increasingly been questioned and devalued since the 1990s. In comparative politics, though study of single countries is a tradition originating from the field’s formative years in the US, when it used to mean “the study of political systems outside the US, often in isolation from one another and involving little comparison”</w:t>
      </w:r>
      <w:r w:rsidR="00F556A8">
        <w:rPr>
          <w:rFonts w:ascii="Arial" w:hAnsi="Arial" w:cs="Arial"/>
        </w:rPr>
        <w:t xml:space="preserve"> (</w:t>
      </w:r>
      <w:proofErr w:type="spellStart"/>
      <w:r w:rsidR="00F556A8">
        <w:rPr>
          <w:rFonts w:ascii="Arial" w:hAnsi="Arial" w:cs="Arial"/>
        </w:rPr>
        <w:t>Caramani</w:t>
      </w:r>
      <w:proofErr w:type="spellEnd"/>
      <w:r w:rsidR="00F556A8">
        <w:rPr>
          <w:rFonts w:ascii="Arial" w:hAnsi="Arial" w:cs="Arial"/>
        </w:rPr>
        <w:t>, 2020:3),</w:t>
      </w:r>
      <w:r w:rsidRPr="00220277">
        <w:rPr>
          <w:rFonts w:ascii="Arial" w:hAnsi="Arial" w:cs="Arial"/>
          <w:b/>
          <w:bCs/>
        </w:rPr>
        <w:t xml:space="preserve"> </w:t>
      </w:r>
      <w:r w:rsidRPr="00220277">
        <w:rPr>
          <w:rFonts w:ascii="Arial" w:hAnsi="Arial" w:cs="Arial"/>
        </w:rPr>
        <w:t xml:space="preserve">the </w:t>
      </w:r>
      <w:proofErr w:type="spellStart"/>
      <w:r w:rsidRPr="00220277">
        <w:rPr>
          <w:rFonts w:ascii="Arial" w:hAnsi="Arial" w:cs="Arial"/>
        </w:rPr>
        <w:t>comparativists</w:t>
      </w:r>
      <w:proofErr w:type="spellEnd"/>
      <w:r w:rsidRPr="00220277">
        <w:rPr>
          <w:rFonts w:ascii="Arial" w:hAnsi="Arial" w:cs="Arial"/>
        </w:rPr>
        <w:t xml:space="preserve"> increasingly have underlined its limitations and shortcomings after the 1990s. </w:t>
      </w:r>
    </w:p>
    <w:p w14:paraId="38113B6B" w14:textId="77777777" w:rsidR="00220277" w:rsidRPr="00220277" w:rsidRDefault="00220277" w:rsidP="00220277">
      <w:pPr>
        <w:pStyle w:val="Body"/>
        <w:rPr>
          <w:rFonts w:ascii="Arial" w:hAnsi="Arial" w:cs="Arial"/>
        </w:rPr>
      </w:pPr>
      <w:r w:rsidRPr="00220277">
        <w:rPr>
          <w:rFonts w:ascii="Arial" w:hAnsi="Arial" w:cs="Arial"/>
        </w:rPr>
        <w:t>In terms of the scientific principles of reliability, internal validity and external validity, case studies are dubious: Because of the “‘N of 1’ problem—that there is only one case and, therefore, objectivity is more difficult to maintain—falsifiability criteria are more difficult to meet, and generalization is impossible”</w:t>
      </w:r>
      <w:r w:rsidR="00F556A8">
        <w:rPr>
          <w:rFonts w:ascii="Arial" w:hAnsi="Arial" w:cs="Arial"/>
        </w:rPr>
        <w:t xml:space="preserve"> (Stoecker, 1991: 91)</w:t>
      </w:r>
      <w:r w:rsidRPr="00220277">
        <w:rPr>
          <w:rFonts w:ascii="Arial" w:hAnsi="Arial" w:cs="Arial"/>
        </w:rPr>
        <w:t>. As Sartori</w:t>
      </w:r>
      <w:r w:rsidR="00925AD0">
        <w:rPr>
          <w:rFonts w:ascii="Arial" w:hAnsi="Arial" w:cs="Arial"/>
        </w:rPr>
        <w:t xml:space="preserve"> (1994: 24)</w:t>
      </w:r>
      <w:r w:rsidRPr="00220277">
        <w:rPr>
          <w:rFonts w:ascii="Arial" w:hAnsi="Arial" w:cs="Arial"/>
        </w:rPr>
        <w:t xml:space="preserve"> puts it, these studies “sacrifice generality to depth and thickness of understanding, indeed to </w:t>
      </w:r>
      <w:r w:rsidRPr="00220277">
        <w:rPr>
          <w:rFonts w:ascii="Arial" w:hAnsi="Arial" w:cs="Arial"/>
          <w:i/>
          <w:iCs/>
        </w:rPr>
        <w:t>Verstehen</w:t>
      </w:r>
      <w:r w:rsidRPr="00220277">
        <w:rPr>
          <w:rFonts w:ascii="Arial" w:hAnsi="Arial" w:cs="Arial"/>
        </w:rPr>
        <w:t>,” leading one to know more and better about less while comparative studies do the reverse—sacrificing understanding to inclusiveness to “know less about more.” These disadvantages of qualitative methods in general and case studies in particular have led some scholars, such as King et al., to call for applying the same logic of inference that applies to large-N statistical analysis to small-N comparative and single-country analysis</w:t>
      </w:r>
      <w:r w:rsidR="00925AD0">
        <w:rPr>
          <w:rFonts w:ascii="Arial" w:hAnsi="Arial" w:cs="Arial"/>
        </w:rPr>
        <w:t xml:space="preserve"> (King, 1996)</w:t>
      </w:r>
      <w:r w:rsidRPr="00220277">
        <w:rPr>
          <w:rFonts w:ascii="Arial" w:hAnsi="Arial" w:cs="Arial"/>
        </w:rPr>
        <w:t>.</w:t>
      </w:r>
    </w:p>
    <w:p w14:paraId="08214BF2" w14:textId="77777777" w:rsidR="00220277" w:rsidRPr="00220277" w:rsidRDefault="00220277" w:rsidP="00220277">
      <w:pPr>
        <w:pStyle w:val="Body"/>
        <w:rPr>
          <w:rFonts w:ascii="Arial" w:hAnsi="Arial" w:cs="Arial"/>
        </w:rPr>
      </w:pPr>
      <w:r w:rsidRPr="00220277">
        <w:rPr>
          <w:rFonts w:ascii="Arial" w:hAnsi="Arial" w:cs="Arial"/>
        </w:rPr>
        <w:t xml:space="preserve">However, despite the claimed incompatibilities between case study and comparative method, the relationships between the two present a more nuanced complexity. For instance, </w:t>
      </w:r>
      <w:proofErr w:type="spellStart"/>
      <w:r w:rsidRPr="00220277">
        <w:rPr>
          <w:rFonts w:ascii="Arial" w:hAnsi="Arial" w:cs="Arial"/>
        </w:rPr>
        <w:t>Lijphart</w:t>
      </w:r>
      <w:proofErr w:type="spellEnd"/>
      <w:r w:rsidR="00925AD0">
        <w:rPr>
          <w:rFonts w:ascii="Arial" w:hAnsi="Arial" w:cs="Arial"/>
        </w:rPr>
        <w:t xml:space="preserve"> (1971: 692)</w:t>
      </w:r>
      <w:r w:rsidRPr="00220277">
        <w:rPr>
          <w:rFonts w:ascii="Arial" w:hAnsi="Arial" w:cs="Arial"/>
        </w:rPr>
        <w:t xml:space="preserve"> notes that the contribution of case studies depends on the type of the case study at hand: While atheoretical case studies—the traditional single-country or single-case studies that are not guided by established or hypothesized generalizations or motivated by a desire to formulate general hypotheses—may have nil contributions to comparative politics, other types of case studies—hypothesis-generating and the deviant ones—have the greatest contribution to theory and comparative politics.</w:t>
      </w:r>
    </w:p>
    <w:p w14:paraId="006B2EC0" w14:textId="77777777" w:rsidR="00220277" w:rsidRPr="00220277" w:rsidRDefault="00220277" w:rsidP="00220277">
      <w:pPr>
        <w:pStyle w:val="Body"/>
        <w:rPr>
          <w:rFonts w:ascii="Arial" w:hAnsi="Arial" w:cs="Arial"/>
        </w:rPr>
      </w:pPr>
      <w:r w:rsidRPr="00220277">
        <w:rPr>
          <w:rFonts w:ascii="Arial" w:hAnsi="Arial" w:cs="Arial"/>
        </w:rPr>
        <w:t xml:space="preserve">Furthermore, any discussion about the compatibility of both includes not only the methodological benefits or research findings, but also the subject matter of the study, indicating that some case studies on certain topics may prove crucial as far as comparative politics is concerned: </w:t>
      </w:r>
    </w:p>
    <w:p w14:paraId="2AED3931" w14:textId="77777777" w:rsidR="00220277" w:rsidRPr="00220277" w:rsidRDefault="00220277" w:rsidP="00220277">
      <w:pPr>
        <w:pStyle w:val="Body"/>
        <w:ind w:left="567" w:right="567"/>
        <w:rPr>
          <w:rFonts w:ascii="Arial" w:hAnsi="Arial" w:cs="Arial"/>
        </w:rPr>
      </w:pPr>
      <w:r w:rsidRPr="00220277">
        <w:rPr>
          <w:rFonts w:ascii="Arial" w:hAnsi="Arial" w:cs="Arial"/>
        </w:rPr>
        <w:t>Studies focused on structural or systemic data have rather good prospects because the political system already provides a universal matrix; that is, it exhibits a generally relevant set of issues and allows a translation from one particular experience to another. This translation may become more difficult when the field considered in the monograph implies the kind of intimate approach that only history can provide. Case studies dealing with segments of the political system, such as parties or parliaments, generally are more relevant to comparative perspectives than, say, analyses devoted to ideologie</w:t>
      </w:r>
      <w:r w:rsidR="00925AD0">
        <w:rPr>
          <w:rFonts w:ascii="Arial" w:hAnsi="Arial" w:cs="Arial"/>
        </w:rPr>
        <w:t>s (Dogan, 1994: 121).</w:t>
      </w:r>
    </w:p>
    <w:p w14:paraId="69B7E48A" w14:textId="77777777" w:rsidR="00493808" w:rsidRDefault="00220277" w:rsidP="00493808">
      <w:pPr>
        <w:pStyle w:val="Body"/>
        <w:rPr>
          <w:rFonts w:ascii="Arial" w:hAnsi="Arial" w:cs="Arial"/>
        </w:rPr>
      </w:pPr>
      <w:r w:rsidRPr="00220277">
        <w:rPr>
          <w:rFonts w:ascii="Arial" w:hAnsi="Arial" w:cs="Arial"/>
        </w:rPr>
        <w:lastRenderedPageBreak/>
        <w:t>Recognizing the need to reevaluate and rethink the “wrongly maligned” notion of case study, Stoecker</w:t>
      </w:r>
      <w:r w:rsidRPr="00220277">
        <w:rPr>
          <w:rFonts w:ascii="Arial" w:hAnsi="Arial" w:cs="Arial"/>
          <w:vertAlign w:val="superscript"/>
        </w:rPr>
        <w:t xml:space="preserve"> </w:t>
      </w:r>
      <w:r w:rsidR="00925AD0">
        <w:rPr>
          <w:rFonts w:ascii="Arial" w:hAnsi="Arial" w:cs="Arial"/>
        </w:rPr>
        <w:t>(1991: 108) d</w:t>
      </w:r>
      <w:r w:rsidRPr="00220277">
        <w:rPr>
          <w:rFonts w:ascii="Arial" w:hAnsi="Arial" w:cs="Arial"/>
        </w:rPr>
        <w:t>efines case study as a research frame, rather than a method: a frame with structural and historical boundaries, an integral theory component, an involved rather than distanced researcher, and multiple methods including collaborative methods, and providing different standards to judge the adequacy of research. Such a reframing favors the prospects of collaboration and exchange between case studies and comparative research. Furthermore, Chilcote</w:t>
      </w:r>
      <w:r w:rsidR="00925AD0">
        <w:rPr>
          <w:rFonts w:ascii="Arial" w:hAnsi="Arial" w:cs="Arial"/>
          <w:b/>
          <w:bCs/>
          <w:vertAlign w:val="superscript"/>
        </w:rPr>
        <w:t xml:space="preserve"> </w:t>
      </w:r>
      <w:r w:rsidR="00925AD0">
        <w:rPr>
          <w:rFonts w:ascii="Arial" w:hAnsi="Arial" w:cs="Arial"/>
        </w:rPr>
        <w:t xml:space="preserve">(1994: 14) </w:t>
      </w:r>
      <w:r w:rsidRPr="00220277">
        <w:rPr>
          <w:rFonts w:ascii="Arial" w:hAnsi="Arial" w:cs="Arial"/>
        </w:rPr>
        <w:t>underlines an increasing level of collaboration between the two since the 1980s: “Our understanding of comparative politics has been enhanced less by general grand theorizing and superficial frameworks than by in-depth case studies cased on theory and empirical inquiry” involving fieldwork, archival investigation, and in-depth interviewing. This research aims to shed light on the same question with these comparative politics scholars—the status of case studies in comparative politics—and rethink about the level and characteristics of exchange between the two during the last three decades of the 20</w:t>
      </w:r>
      <w:r w:rsidRPr="00220277">
        <w:rPr>
          <w:rFonts w:ascii="Arial" w:hAnsi="Arial" w:cs="Arial"/>
          <w:vertAlign w:val="superscript"/>
        </w:rPr>
        <w:t>th</w:t>
      </w:r>
      <w:r w:rsidRPr="00220277">
        <w:rPr>
          <w:rFonts w:ascii="Arial" w:hAnsi="Arial" w:cs="Arial"/>
        </w:rPr>
        <w:t xml:space="preserve"> century. </w:t>
      </w:r>
    </w:p>
    <w:p w14:paraId="5BD93868" w14:textId="77777777" w:rsidR="005C10DD" w:rsidRDefault="005C10DD" w:rsidP="00493808">
      <w:pPr>
        <w:pStyle w:val="Body"/>
        <w:rPr>
          <w:rFonts w:ascii="Arial" w:hAnsi="Arial" w:cs="Arial"/>
        </w:rPr>
      </w:pPr>
    </w:p>
    <w:p w14:paraId="2C8A0C88" w14:textId="50965C57" w:rsidR="005C10DD" w:rsidRPr="005C10DD" w:rsidRDefault="005C10DD" w:rsidP="00493808">
      <w:pPr>
        <w:pStyle w:val="Body"/>
        <w:rPr>
          <w:rFonts w:ascii="Arial" w:hAnsi="Arial" w:cs="Arial"/>
          <w:b/>
          <w:bCs/>
        </w:rPr>
      </w:pPr>
      <w:r w:rsidRPr="005C10DD">
        <w:rPr>
          <w:rFonts w:ascii="Arial" w:hAnsi="Arial" w:cs="Arial"/>
          <w:b/>
          <w:bCs/>
        </w:rPr>
        <w:t>METHODOLGY</w:t>
      </w:r>
    </w:p>
    <w:p w14:paraId="4EC7825F" w14:textId="2E0EDDB6" w:rsidR="00790ADA" w:rsidRPr="00FB3A86" w:rsidRDefault="00E34DC8" w:rsidP="00863ED6">
      <w:pPr>
        <w:pStyle w:val="Head1"/>
        <w:rPr>
          <w:rFonts w:ascii="Arial" w:hAnsi="Arial" w:cs="Arial"/>
        </w:rPr>
      </w:pPr>
      <w:r w:rsidRPr="00E34DC8">
        <w:rPr>
          <w:rFonts w:ascii="Arial" w:hAnsi="Arial" w:cs="Arial"/>
        </w:rPr>
        <w:t xml:space="preserve">RESEARCH DESIGN &amp; LIMITATIONS </w:t>
      </w:r>
    </w:p>
    <w:p w14:paraId="56E15ED0" w14:textId="77777777" w:rsidR="00863ED6" w:rsidRPr="00863ED6" w:rsidRDefault="00863ED6" w:rsidP="00863ED6">
      <w:pPr>
        <w:pStyle w:val="Body"/>
        <w:rPr>
          <w:rFonts w:ascii="Arial" w:hAnsi="Arial" w:cs="Arial"/>
        </w:rPr>
      </w:pPr>
      <w:r w:rsidRPr="00863ED6">
        <w:rPr>
          <w:rFonts w:ascii="Arial" w:hAnsi="Arial" w:cs="Arial"/>
        </w:rPr>
        <w:t xml:space="preserve">This study is based on a quantitative analysis of Comparative Political Studies, a leading journal of comparative politics published since 1968. The journal, abstracted and indexed in Social Science Citation Index with an impact factor of 4.2, defines itself as a journal that presents the reader with the most contemporary information on methodology, theory, and research in the field of comparative politics, covering “only the very best relevant, in-depth analyses of many cross-national political issues” that pertain to European integration, regional mobilization, European monetary politics, labor markets, democratic consolidation, electoral systems, party strategies, </w:t>
      </w:r>
      <w:proofErr w:type="spellStart"/>
      <w:r w:rsidRPr="00863ED6">
        <w:rPr>
          <w:rFonts w:ascii="Arial" w:hAnsi="Arial" w:cs="Arial"/>
        </w:rPr>
        <w:t>redemocratization</w:t>
      </w:r>
      <w:proofErr w:type="spellEnd"/>
      <w:r w:rsidRPr="00863ED6">
        <w:rPr>
          <w:rFonts w:ascii="Arial" w:hAnsi="Arial" w:cs="Arial"/>
        </w:rPr>
        <w:t>, production strategies, and human rights. It claims to enhance a global coverage—from democracy in the Third World to civil-military relations in the Middle East, from electoral systems and party politics in Eastern Europe to economic performance in Latin America, from comparisons of political asylum in North America and Western Europe to national conflicts in Asian countries, providing valuable analyses critical for domestic and foreign policy making</w:t>
      </w:r>
      <w:r w:rsidR="00925AD0">
        <w:rPr>
          <w:rFonts w:ascii="Arial" w:hAnsi="Arial" w:cs="Arial"/>
        </w:rPr>
        <w:t xml:space="preserve"> (Journal Overview). </w:t>
      </w:r>
    </w:p>
    <w:p w14:paraId="1EFF2569" w14:textId="77777777" w:rsidR="00863ED6" w:rsidRPr="00863ED6" w:rsidRDefault="00863ED6" w:rsidP="00863ED6">
      <w:pPr>
        <w:pStyle w:val="Body"/>
        <w:rPr>
          <w:rFonts w:ascii="Arial" w:hAnsi="Arial" w:cs="Arial"/>
        </w:rPr>
      </w:pPr>
      <w:r w:rsidRPr="00863ED6">
        <w:rPr>
          <w:rFonts w:ascii="Arial" w:hAnsi="Arial" w:cs="Arial"/>
        </w:rPr>
        <w:t>Between 1973 and 2001, the journal published 138 issues. While it was published quarterly until 1996, after that date it was published bimonthly for two years. In 1999, it had eight issues, and since 2000, it has been published ten times a year. Taking one issue out five issues for the years before 1996; and one out of four issues after 1996, the sample is composed of 33 issues that have been selected from each year. Within these issues, all articles—except book reviews and research notes—which sums up to 157, are examined. 55 articles with a case study framework fitting the selected criterion of case study are included in the research.</w:t>
      </w:r>
    </w:p>
    <w:p w14:paraId="3D4AEA70" w14:textId="77777777" w:rsidR="00863ED6" w:rsidRPr="00863ED6" w:rsidRDefault="00863ED6" w:rsidP="00863ED6">
      <w:pPr>
        <w:pStyle w:val="Body"/>
        <w:rPr>
          <w:rFonts w:ascii="Arial" w:hAnsi="Arial" w:cs="Arial"/>
        </w:rPr>
      </w:pPr>
      <w:r w:rsidRPr="00863ED6">
        <w:rPr>
          <w:rFonts w:ascii="Arial" w:hAnsi="Arial" w:cs="Arial"/>
        </w:rPr>
        <w:t xml:space="preserve">Selection criterion for the articles is determined by a classical and orthodox definition of case study which include only traditional single-case studies. The multiple-case designs which “contain more than a single case” </w:t>
      </w:r>
      <w:r w:rsidR="00925AD0">
        <w:rPr>
          <w:rFonts w:ascii="Arial" w:hAnsi="Arial" w:cs="Arial"/>
        </w:rPr>
        <w:t xml:space="preserve">(Yin, 2014: 44) </w:t>
      </w:r>
      <w:r w:rsidRPr="00863ED6">
        <w:rPr>
          <w:rFonts w:ascii="Arial" w:hAnsi="Arial" w:cs="Arial"/>
        </w:rPr>
        <w:t xml:space="preserve">have proved unpractical for this research since multiple-case designs are comparative studies that are different from single-case studies, and both have been criticized on very different grounds. </w:t>
      </w:r>
    </w:p>
    <w:p w14:paraId="7E10947D" w14:textId="77777777" w:rsidR="00863ED6" w:rsidRPr="00863ED6" w:rsidRDefault="00863ED6" w:rsidP="00863ED6">
      <w:pPr>
        <w:pStyle w:val="Body"/>
        <w:rPr>
          <w:rFonts w:ascii="Arial" w:hAnsi="Arial" w:cs="Arial"/>
        </w:rPr>
      </w:pPr>
      <w:r w:rsidRPr="00863ED6">
        <w:rPr>
          <w:rFonts w:ascii="Arial" w:hAnsi="Arial" w:cs="Arial"/>
        </w:rPr>
        <w:t xml:space="preserve">In order to answer the question of whether there have been changes in case studies in the journal in terms of numbers, areas studies, techniques; the selected case studies have been divided into two groups: Group A ranges between 1973 and 1988 (volume 6 and volume 21) while Group B starts from 1989 (volume 22). Equal sampling has been ensured by a proportional sampling technique based on the number of issues published each year. This </w:t>
      </w:r>
      <w:r w:rsidRPr="00863ED6">
        <w:rPr>
          <w:rFonts w:ascii="Arial" w:hAnsi="Arial" w:cs="Arial"/>
        </w:rPr>
        <w:lastRenderedPageBreak/>
        <w:t xml:space="preserve">periodization centered on 1989 and overlapping with end of the Cold War enables the examination of changes in the frequency, areas and methodologies of case studies published in the journal, and allows the research to locate these shifts in the post-Cold War conjuncture. </w:t>
      </w:r>
    </w:p>
    <w:p w14:paraId="5D1D7C64" w14:textId="77777777" w:rsidR="00863ED6" w:rsidRPr="00863ED6" w:rsidRDefault="00863ED6" w:rsidP="00863ED6">
      <w:pPr>
        <w:pStyle w:val="Body"/>
        <w:rPr>
          <w:rFonts w:ascii="Arial" w:hAnsi="Arial" w:cs="Arial"/>
        </w:rPr>
      </w:pPr>
      <w:r w:rsidRPr="00863ED6">
        <w:rPr>
          <w:rFonts w:ascii="Arial" w:hAnsi="Arial" w:cs="Arial"/>
        </w:rPr>
        <w:t xml:space="preserve">With this methodological design, the present research is limited the fact that it is based on a specific period (1973-2001) and a single journal of comparative politics. As the discussion section of this paper explores, different research designs yield different implications for comparative research. Additionally, this study employs a classical definition of case study—within-case analysis (alternatively termed as single case or single country research)—it does not include multiple-case (cross-case) designs. </w:t>
      </w:r>
    </w:p>
    <w:p w14:paraId="4F39E144" w14:textId="77777777" w:rsidR="00790ADA" w:rsidRPr="00FB3A86" w:rsidRDefault="00863ED6" w:rsidP="00863ED6">
      <w:pPr>
        <w:pStyle w:val="Body"/>
        <w:rPr>
          <w:rFonts w:ascii="Arial" w:hAnsi="Arial" w:cs="Arial"/>
        </w:rPr>
      </w:pPr>
      <w:r w:rsidRPr="00863ED6">
        <w:rPr>
          <w:rFonts w:ascii="Arial" w:hAnsi="Arial" w:cs="Arial"/>
        </w:rPr>
        <w:t xml:space="preserve">The next section delves into the findings of the research, and discusses the broad patterns regarding the status of case studies in comparative politics through the analysis of Comparative Political Studies, and changes in those patterns after 1989. The implications of these patterns and shifts will be elaborated in the discussion section. </w:t>
      </w:r>
    </w:p>
    <w:p w14:paraId="7A83DED7" w14:textId="77777777" w:rsidR="00863ED6" w:rsidRDefault="00000F8F" w:rsidP="00863ED6">
      <w:pPr>
        <w:pStyle w:val="ConcHead"/>
        <w:rPr>
          <w:rFonts w:ascii="Arial" w:hAnsi="Arial" w:cs="Arial"/>
        </w:rPr>
      </w:pPr>
      <w:r>
        <w:rPr>
          <w:rFonts w:ascii="Arial" w:hAnsi="Arial" w:cs="Arial"/>
        </w:rPr>
        <w:t xml:space="preserve">4. </w:t>
      </w:r>
      <w:r w:rsidR="00863ED6" w:rsidRPr="00863ED6">
        <w:rPr>
          <w:rFonts w:ascii="Arial" w:hAnsi="Arial" w:cs="Arial"/>
        </w:rPr>
        <w:t>FINDINGS</w:t>
      </w:r>
    </w:p>
    <w:p w14:paraId="3008E8F3" w14:textId="77777777" w:rsidR="00863ED6" w:rsidRPr="00863ED6" w:rsidRDefault="00863ED6" w:rsidP="00863ED6">
      <w:pPr>
        <w:pStyle w:val="Body"/>
        <w:rPr>
          <w:rFonts w:ascii="Arial" w:hAnsi="Arial" w:cs="Arial"/>
        </w:rPr>
      </w:pPr>
      <w:r w:rsidRPr="00863ED6">
        <w:rPr>
          <w:rFonts w:ascii="Arial" w:hAnsi="Arial" w:cs="Arial"/>
        </w:rPr>
        <w:t xml:space="preserve">First question of this research concerns the changes in the number of case studies published in the journal. Findings on Table 1 shows that while case studies seem to have an important role in comparative politics research, its role and importance declined after 1989. Yet, as it will be discussed, such a decline may not be stemming exclusively from the critiques of case study framework, but it can be located within the broader changes in technology and communication, and political and ideological shifts brought by the processes of globalization. Despite this shift after 1989, more than one third of the articles published in Comparative Political Studies between 1973 and 2001 are case-studies, based on single-cases. </w:t>
      </w:r>
    </w:p>
    <w:p w14:paraId="60DD7C14" w14:textId="77777777" w:rsidR="00863ED6" w:rsidRPr="00863ED6" w:rsidRDefault="00863ED6" w:rsidP="00863ED6">
      <w:pPr>
        <w:pStyle w:val="Body"/>
        <w:rPr>
          <w:rFonts w:ascii="Arial" w:hAnsi="Arial" w:cs="Arial"/>
        </w:rPr>
      </w:pPr>
    </w:p>
    <w:p w14:paraId="2BEE083F" w14:textId="77777777" w:rsidR="00863ED6" w:rsidRPr="00863ED6" w:rsidRDefault="00863ED6" w:rsidP="00863ED6">
      <w:pPr>
        <w:pStyle w:val="Body"/>
        <w:jc w:val="center"/>
        <w:rPr>
          <w:rFonts w:ascii="Arial" w:hAnsi="Arial" w:cs="Arial"/>
          <w:b/>
          <w:bCs/>
        </w:rPr>
      </w:pPr>
      <w:r w:rsidRPr="00863ED6">
        <w:rPr>
          <w:rFonts w:ascii="Arial" w:hAnsi="Arial" w:cs="Arial"/>
          <w:b/>
          <w:bCs/>
        </w:rPr>
        <w:t>Table 1: Number of Articles with a Case Study Framework</w:t>
      </w: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tblLook w:val="00A0" w:firstRow="1" w:lastRow="0" w:firstColumn="1" w:lastColumn="0" w:noHBand="0" w:noVBand="0"/>
      </w:tblPr>
      <w:tblGrid>
        <w:gridCol w:w="2077"/>
        <w:gridCol w:w="1536"/>
        <w:gridCol w:w="1536"/>
        <w:gridCol w:w="1656"/>
      </w:tblGrid>
      <w:tr w:rsidR="00863ED6" w:rsidRPr="00863ED6" w14:paraId="738E55FD" w14:textId="77777777" w:rsidTr="00410C76">
        <w:trPr>
          <w:jc w:val="center"/>
        </w:trPr>
        <w:tc>
          <w:tcPr>
            <w:tcW w:w="2077" w:type="dxa"/>
            <w:tcBorders>
              <w:bottom w:val="single" w:sz="12" w:space="0" w:color="000000"/>
            </w:tcBorders>
          </w:tcPr>
          <w:p w14:paraId="65BF31D3" w14:textId="77777777" w:rsidR="00863ED6" w:rsidRPr="00863ED6" w:rsidRDefault="00863ED6" w:rsidP="00863ED6">
            <w:pPr>
              <w:pStyle w:val="Body"/>
              <w:jc w:val="center"/>
              <w:rPr>
                <w:rFonts w:ascii="Arial" w:hAnsi="Arial" w:cs="Arial"/>
                <w:b/>
                <w:bCs/>
              </w:rPr>
            </w:pPr>
          </w:p>
        </w:tc>
        <w:tc>
          <w:tcPr>
            <w:tcW w:w="1536" w:type="dxa"/>
            <w:tcBorders>
              <w:bottom w:val="single" w:sz="12" w:space="0" w:color="000000"/>
            </w:tcBorders>
          </w:tcPr>
          <w:p w14:paraId="72E75CCB" w14:textId="77777777" w:rsidR="00863ED6" w:rsidRPr="00863ED6" w:rsidRDefault="00863ED6" w:rsidP="00863ED6">
            <w:pPr>
              <w:pStyle w:val="Body"/>
              <w:jc w:val="center"/>
              <w:rPr>
                <w:rFonts w:ascii="Arial" w:hAnsi="Arial" w:cs="Arial"/>
                <w:b/>
                <w:bCs/>
              </w:rPr>
            </w:pPr>
            <w:r w:rsidRPr="00863ED6">
              <w:rPr>
                <w:rFonts w:ascii="Arial" w:hAnsi="Arial" w:cs="Arial"/>
                <w:b/>
                <w:bCs/>
              </w:rPr>
              <w:t>Group A</w:t>
            </w:r>
          </w:p>
        </w:tc>
        <w:tc>
          <w:tcPr>
            <w:tcW w:w="1536" w:type="dxa"/>
            <w:tcBorders>
              <w:bottom w:val="single" w:sz="12" w:space="0" w:color="000000"/>
            </w:tcBorders>
          </w:tcPr>
          <w:p w14:paraId="30DFBC3A" w14:textId="77777777" w:rsidR="00863ED6" w:rsidRPr="00863ED6" w:rsidRDefault="00863ED6" w:rsidP="00863ED6">
            <w:pPr>
              <w:pStyle w:val="Body"/>
              <w:jc w:val="center"/>
              <w:rPr>
                <w:rFonts w:ascii="Arial" w:hAnsi="Arial" w:cs="Arial"/>
                <w:b/>
                <w:bCs/>
              </w:rPr>
            </w:pPr>
            <w:r w:rsidRPr="00863ED6">
              <w:rPr>
                <w:rFonts w:ascii="Arial" w:hAnsi="Arial" w:cs="Arial"/>
                <w:b/>
                <w:bCs/>
              </w:rPr>
              <w:t>Group B</w:t>
            </w:r>
          </w:p>
        </w:tc>
        <w:tc>
          <w:tcPr>
            <w:tcW w:w="1656" w:type="dxa"/>
            <w:tcBorders>
              <w:bottom w:val="single" w:sz="12" w:space="0" w:color="000000"/>
            </w:tcBorders>
          </w:tcPr>
          <w:p w14:paraId="1244C6E1"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r>
      <w:tr w:rsidR="00863ED6" w:rsidRPr="00863ED6" w14:paraId="562A0426" w14:textId="77777777" w:rsidTr="00410C76">
        <w:trPr>
          <w:jc w:val="center"/>
        </w:trPr>
        <w:tc>
          <w:tcPr>
            <w:tcW w:w="2077" w:type="dxa"/>
            <w:tcBorders>
              <w:top w:val="single" w:sz="12" w:space="0" w:color="000000"/>
              <w:bottom w:val="single" w:sz="6" w:space="0" w:color="000000"/>
            </w:tcBorders>
          </w:tcPr>
          <w:p w14:paraId="3685CA37" w14:textId="77777777" w:rsidR="00863ED6" w:rsidRPr="00863ED6" w:rsidRDefault="00863ED6" w:rsidP="00863ED6">
            <w:pPr>
              <w:pStyle w:val="Body"/>
              <w:jc w:val="center"/>
              <w:rPr>
                <w:rFonts w:ascii="Arial" w:hAnsi="Arial" w:cs="Arial"/>
                <w:b/>
                <w:bCs/>
              </w:rPr>
            </w:pPr>
            <w:r w:rsidRPr="00863ED6">
              <w:rPr>
                <w:rFonts w:ascii="Arial" w:hAnsi="Arial" w:cs="Arial"/>
                <w:b/>
                <w:bCs/>
              </w:rPr>
              <w:t>Case Studies</w:t>
            </w:r>
          </w:p>
        </w:tc>
        <w:tc>
          <w:tcPr>
            <w:tcW w:w="1536" w:type="dxa"/>
            <w:tcBorders>
              <w:top w:val="single" w:sz="12" w:space="0" w:color="000000"/>
              <w:bottom w:val="single" w:sz="6" w:space="0" w:color="000000"/>
            </w:tcBorders>
          </w:tcPr>
          <w:p w14:paraId="45AB6AD5" w14:textId="77777777" w:rsidR="00863ED6" w:rsidRPr="00863ED6" w:rsidRDefault="00863ED6" w:rsidP="00863ED6">
            <w:pPr>
              <w:pStyle w:val="Body"/>
              <w:jc w:val="center"/>
              <w:rPr>
                <w:rFonts w:ascii="Arial" w:hAnsi="Arial" w:cs="Arial"/>
              </w:rPr>
            </w:pPr>
            <w:r w:rsidRPr="00863ED6">
              <w:rPr>
                <w:rFonts w:ascii="Arial" w:hAnsi="Arial" w:cs="Arial"/>
              </w:rPr>
              <w:t>24 (39.34%)</w:t>
            </w:r>
          </w:p>
        </w:tc>
        <w:tc>
          <w:tcPr>
            <w:tcW w:w="1536" w:type="dxa"/>
            <w:tcBorders>
              <w:top w:val="single" w:sz="12" w:space="0" w:color="000000"/>
              <w:bottom w:val="single" w:sz="6" w:space="0" w:color="000000"/>
            </w:tcBorders>
          </w:tcPr>
          <w:p w14:paraId="5C2E58D3" w14:textId="77777777" w:rsidR="00863ED6" w:rsidRPr="00863ED6" w:rsidRDefault="00863ED6" w:rsidP="00863ED6">
            <w:pPr>
              <w:pStyle w:val="Body"/>
              <w:jc w:val="center"/>
              <w:rPr>
                <w:rFonts w:ascii="Arial" w:hAnsi="Arial" w:cs="Arial"/>
              </w:rPr>
            </w:pPr>
            <w:r w:rsidRPr="00863ED6">
              <w:rPr>
                <w:rFonts w:ascii="Arial" w:hAnsi="Arial" w:cs="Arial"/>
              </w:rPr>
              <w:t>31 (32.29%)</w:t>
            </w:r>
          </w:p>
        </w:tc>
        <w:tc>
          <w:tcPr>
            <w:tcW w:w="1656" w:type="dxa"/>
            <w:tcBorders>
              <w:top w:val="single" w:sz="12" w:space="0" w:color="000000"/>
              <w:bottom w:val="single" w:sz="6" w:space="0" w:color="000000"/>
            </w:tcBorders>
          </w:tcPr>
          <w:p w14:paraId="7912829F" w14:textId="77777777" w:rsidR="00863ED6" w:rsidRPr="00863ED6" w:rsidRDefault="00863ED6" w:rsidP="00863ED6">
            <w:pPr>
              <w:pStyle w:val="Body"/>
              <w:jc w:val="center"/>
              <w:rPr>
                <w:rFonts w:ascii="Arial" w:hAnsi="Arial" w:cs="Arial"/>
              </w:rPr>
            </w:pPr>
            <w:r w:rsidRPr="00863ED6">
              <w:rPr>
                <w:rFonts w:ascii="Arial" w:hAnsi="Arial" w:cs="Arial"/>
              </w:rPr>
              <w:t>55 (35.03%)</w:t>
            </w:r>
          </w:p>
        </w:tc>
      </w:tr>
      <w:tr w:rsidR="00863ED6" w:rsidRPr="00863ED6" w14:paraId="2D1A09EE" w14:textId="77777777" w:rsidTr="00410C76">
        <w:trPr>
          <w:jc w:val="center"/>
        </w:trPr>
        <w:tc>
          <w:tcPr>
            <w:tcW w:w="2077" w:type="dxa"/>
            <w:tcBorders>
              <w:top w:val="single" w:sz="6" w:space="0" w:color="000000"/>
              <w:bottom w:val="single" w:sz="6" w:space="0" w:color="000000"/>
            </w:tcBorders>
          </w:tcPr>
          <w:p w14:paraId="24EDFF59" w14:textId="77777777" w:rsidR="00863ED6" w:rsidRPr="00863ED6" w:rsidRDefault="00863ED6" w:rsidP="00863ED6">
            <w:pPr>
              <w:pStyle w:val="Body"/>
              <w:jc w:val="center"/>
              <w:rPr>
                <w:rFonts w:ascii="Arial" w:hAnsi="Arial" w:cs="Arial"/>
                <w:b/>
                <w:bCs/>
              </w:rPr>
            </w:pPr>
            <w:r w:rsidRPr="00863ED6">
              <w:rPr>
                <w:rFonts w:ascii="Arial" w:hAnsi="Arial" w:cs="Arial"/>
                <w:b/>
                <w:bCs/>
              </w:rPr>
              <w:t>Non-case Studies</w:t>
            </w:r>
          </w:p>
        </w:tc>
        <w:tc>
          <w:tcPr>
            <w:tcW w:w="1536" w:type="dxa"/>
            <w:tcBorders>
              <w:top w:val="single" w:sz="6" w:space="0" w:color="000000"/>
              <w:bottom w:val="single" w:sz="6" w:space="0" w:color="000000"/>
            </w:tcBorders>
          </w:tcPr>
          <w:p w14:paraId="5969AF21" w14:textId="77777777" w:rsidR="00863ED6" w:rsidRPr="00863ED6" w:rsidRDefault="00863ED6" w:rsidP="00863ED6">
            <w:pPr>
              <w:pStyle w:val="Body"/>
              <w:jc w:val="center"/>
              <w:rPr>
                <w:rFonts w:ascii="Arial" w:hAnsi="Arial" w:cs="Arial"/>
              </w:rPr>
            </w:pPr>
            <w:r w:rsidRPr="00863ED6">
              <w:rPr>
                <w:rFonts w:ascii="Arial" w:hAnsi="Arial" w:cs="Arial"/>
              </w:rPr>
              <w:t>37 (60.65%)</w:t>
            </w:r>
          </w:p>
        </w:tc>
        <w:tc>
          <w:tcPr>
            <w:tcW w:w="1536" w:type="dxa"/>
            <w:tcBorders>
              <w:top w:val="single" w:sz="6" w:space="0" w:color="000000"/>
              <w:bottom w:val="single" w:sz="6" w:space="0" w:color="000000"/>
            </w:tcBorders>
          </w:tcPr>
          <w:p w14:paraId="46706EDD" w14:textId="77777777" w:rsidR="00863ED6" w:rsidRPr="00863ED6" w:rsidRDefault="00863ED6" w:rsidP="00863ED6">
            <w:pPr>
              <w:pStyle w:val="Body"/>
              <w:jc w:val="center"/>
              <w:rPr>
                <w:rFonts w:ascii="Arial" w:hAnsi="Arial" w:cs="Arial"/>
              </w:rPr>
            </w:pPr>
            <w:r w:rsidRPr="00863ED6">
              <w:rPr>
                <w:rFonts w:ascii="Arial" w:hAnsi="Arial" w:cs="Arial"/>
              </w:rPr>
              <w:t>65 (67.70%)</w:t>
            </w:r>
          </w:p>
        </w:tc>
        <w:tc>
          <w:tcPr>
            <w:tcW w:w="1656" w:type="dxa"/>
            <w:tcBorders>
              <w:top w:val="single" w:sz="6" w:space="0" w:color="000000"/>
              <w:bottom w:val="single" w:sz="6" w:space="0" w:color="000000"/>
            </w:tcBorders>
          </w:tcPr>
          <w:p w14:paraId="6259E103" w14:textId="77777777" w:rsidR="00863ED6" w:rsidRPr="00863ED6" w:rsidRDefault="00863ED6" w:rsidP="00863ED6">
            <w:pPr>
              <w:pStyle w:val="Body"/>
              <w:jc w:val="center"/>
              <w:rPr>
                <w:rFonts w:ascii="Arial" w:hAnsi="Arial" w:cs="Arial"/>
              </w:rPr>
            </w:pPr>
            <w:r w:rsidRPr="00863ED6">
              <w:rPr>
                <w:rFonts w:ascii="Arial" w:hAnsi="Arial" w:cs="Arial"/>
              </w:rPr>
              <w:t>102 (64.96%)</w:t>
            </w:r>
          </w:p>
        </w:tc>
      </w:tr>
      <w:tr w:rsidR="00863ED6" w:rsidRPr="00863ED6" w14:paraId="6B85EE57" w14:textId="77777777" w:rsidTr="00410C76">
        <w:trPr>
          <w:jc w:val="center"/>
        </w:trPr>
        <w:tc>
          <w:tcPr>
            <w:tcW w:w="2077" w:type="dxa"/>
            <w:tcBorders>
              <w:top w:val="single" w:sz="6" w:space="0" w:color="000000"/>
            </w:tcBorders>
          </w:tcPr>
          <w:p w14:paraId="5AFBC122"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c>
          <w:tcPr>
            <w:tcW w:w="1536" w:type="dxa"/>
            <w:tcBorders>
              <w:top w:val="single" w:sz="6" w:space="0" w:color="000000"/>
            </w:tcBorders>
          </w:tcPr>
          <w:p w14:paraId="072D0EBF" w14:textId="77777777" w:rsidR="00863ED6" w:rsidRPr="00863ED6" w:rsidRDefault="00863ED6" w:rsidP="00863ED6">
            <w:pPr>
              <w:pStyle w:val="Body"/>
              <w:jc w:val="center"/>
              <w:rPr>
                <w:rFonts w:ascii="Arial" w:hAnsi="Arial" w:cs="Arial"/>
              </w:rPr>
            </w:pPr>
            <w:r w:rsidRPr="00863ED6">
              <w:rPr>
                <w:rFonts w:ascii="Arial" w:hAnsi="Arial" w:cs="Arial"/>
              </w:rPr>
              <w:t>61 (100.0%)</w:t>
            </w:r>
          </w:p>
        </w:tc>
        <w:tc>
          <w:tcPr>
            <w:tcW w:w="1536" w:type="dxa"/>
            <w:tcBorders>
              <w:top w:val="single" w:sz="6" w:space="0" w:color="000000"/>
            </w:tcBorders>
          </w:tcPr>
          <w:p w14:paraId="669B5D3F" w14:textId="77777777" w:rsidR="00863ED6" w:rsidRPr="00863ED6" w:rsidRDefault="00863ED6" w:rsidP="00863ED6">
            <w:pPr>
              <w:pStyle w:val="Body"/>
              <w:jc w:val="center"/>
              <w:rPr>
                <w:rFonts w:ascii="Arial" w:hAnsi="Arial" w:cs="Arial"/>
              </w:rPr>
            </w:pPr>
            <w:r w:rsidRPr="00863ED6">
              <w:rPr>
                <w:rFonts w:ascii="Arial" w:hAnsi="Arial" w:cs="Arial"/>
              </w:rPr>
              <w:t>96 (100.0%)</w:t>
            </w:r>
          </w:p>
        </w:tc>
        <w:tc>
          <w:tcPr>
            <w:tcW w:w="1656" w:type="dxa"/>
            <w:tcBorders>
              <w:top w:val="single" w:sz="6" w:space="0" w:color="000000"/>
            </w:tcBorders>
          </w:tcPr>
          <w:p w14:paraId="71552C00" w14:textId="77777777" w:rsidR="00863ED6" w:rsidRPr="00863ED6" w:rsidRDefault="00863ED6" w:rsidP="00863ED6">
            <w:pPr>
              <w:pStyle w:val="Body"/>
              <w:jc w:val="center"/>
              <w:rPr>
                <w:rFonts w:ascii="Arial" w:hAnsi="Arial" w:cs="Arial"/>
              </w:rPr>
            </w:pPr>
            <w:r w:rsidRPr="00863ED6">
              <w:rPr>
                <w:rFonts w:ascii="Arial" w:hAnsi="Arial" w:cs="Arial"/>
              </w:rPr>
              <w:t>157 (100.0%)</w:t>
            </w:r>
          </w:p>
        </w:tc>
      </w:tr>
    </w:tbl>
    <w:p w14:paraId="0C1560A4" w14:textId="77777777" w:rsidR="00863ED6" w:rsidRPr="00863ED6" w:rsidRDefault="00863ED6" w:rsidP="00863ED6">
      <w:pPr>
        <w:pStyle w:val="Body"/>
        <w:jc w:val="center"/>
        <w:rPr>
          <w:rFonts w:ascii="Arial" w:hAnsi="Arial" w:cs="Arial"/>
          <w:i/>
          <w:iCs/>
        </w:rPr>
      </w:pPr>
      <w:r w:rsidRPr="00863ED6">
        <w:rPr>
          <w:rFonts w:ascii="Arial" w:hAnsi="Arial" w:cs="Arial"/>
          <w:i/>
          <w:iCs/>
        </w:rPr>
        <w:t>Source: Authors’ compilation from primary data</w:t>
      </w:r>
    </w:p>
    <w:p w14:paraId="2B292FBF" w14:textId="77777777" w:rsidR="00863ED6" w:rsidRPr="00863ED6" w:rsidRDefault="00863ED6" w:rsidP="00863ED6">
      <w:pPr>
        <w:pStyle w:val="Body"/>
        <w:rPr>
          <w:rFonts w:ascii="Arial" w:hAnsi="Arial" w:cs="Arial"/>
          <w:i/>
          <w:iCs/>
        </w:rPr>
      </w:pPr>
    </w:p>
    <w:p w14:paraId="661986C1" w14:textId="77777777" w:rsidR="00863ED6" w:rsidRPr="00863ED6" w:rsidRDefault="00863ED6" w:rsidP="00863ED6">
      <w:pPr>
        <w:pStyle w:val="Body"/>
        <w:rPr>
          <w:rFonts w:ascii="Arial" w:hAnsi="Arial" w:cs="Arial"/>
        </w:rPr>
      </w:pPr>
      <w:r w:rsidRPr="00863ED6">
        <w:rPr>
          <w:rFonts w:ascii="Arial" w:hAnsi="Arial" w:cs="Arial"/>
        </w:rPr>
        <w:t xml:space="preserve">The second question of this research pertains to the methodologies of case studies published in the journal between 1973 and 2001. Rather than analyzing research techniques separately, this study employs Yin’s </w:t>
      </w:r>
      <w:r w:rsidR="00925AD0">
        <w:rPr>
          <w:rFonts w:ascii="Arial" w:hAnsi="Arial" w:cs="Arial"/>
        </w:rPr>
        <w:t xml:space="preserve">(2014) </w:t>
      </w:r>
      <w:r w:rsidRPr="00863ED6">
        <w:rPr>
          <w:rFonts w:ascii="Arial" w:hAnsi="Arial" w:cs="Arial"/>
        </w:rPr>
        <w:t xml:space="preserve">classification of six research sources in case studies: 1) the documents—such as letters, memoranda, agendas, announcements and minutes of meeting, other written reports on events, administrative documents, newspaper clippings and other articles in mass media—which can be used for content, rhetoric and discourse analysis; 2) archival records—service records, organizational records such as organizational charts and budgets over a period of time, maps and charts, list of names and other relevant communities, survey data (census records or data previously collected about a “site”), personal records such </w:t>
      </w:r>
      <w:r w:rsidRPr="00863ED6">
        <w:rPr>
          <w:rFonts w:ascii="Arial" w:hAnsi="Arial" w:cs="Arial"/>
        </w:rPr>
        <w:lastRenderedPageBreak/>
        <w:t>as diaries, calendars, and telephone listings—including the existing statistical data; 3) interviews conducted as surveys and field research; 4) direct observation; 5) participant-observation which is frequently used in anthropological studies of different cultural or sub-cultural groups; and 6) physical artifacts—such as a technological device, a tool or instrument, a work of art. The selected articles are examined according to these categories; and Table 2 displays the distribution of these sources in Group A, Group B and the larger group.</w:t>
      </w:r>
    </w:p>
    <w:p w14:paraId="7C53882E" w14:textId="77777777" w:rsidR="00863ED6" w:rsidRPr="00863ED6" w:rsidRDefault="00863ED6" w:rsidP="00863ED6">
      <w:pPr>
        <w:pStyle w:val="Body"/>
        <w:rPr>
          <w:rFonts w:ascii="Arial" w:hAnsi="Arial" w:cs="Arial"/>
        </w:rPr>
      </w:pPr>
    </w:p>
    <w:p w14:paraId="2B9C4665" w14:textId="77777777" w:rsidR="00863ED6" w:rsidRPr="00863ED6" w:rsidRDefault="00863ED6" w:rsidP="00863ED6">
      <w:pPr>
        <w:pStyle w:val="Body"/>
        <w:jc w:val="center"/>
        <w:rPr>
          <w:rFonts w:ascii="Arial" w:hAnsi="Arial" w:cs="Arial"/>
          <w:b/>
          <w:bCs/>
        </w:rPr>
      </w:pPr>
      <w:r w:rsidRPr="00863ED6">
        <w:rPr>
          <w:rFonts w:ascii="Arial" w:hAnsi="Arial" w:cs="Arial"/>
          <w:b/>
          <w:bCs/>
        </w:rPr>
        <w:t>Table 2: Sources of Research in the Articles</w:t>
      </w: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tblLook w:val="00A0" w:firstRow="1" w:lastRow="0" w:firstColumn="1" w:lastColumn="0" w:noHBand="0" w:noVBand="0"/>
      </w:tblPr>
      <w:tblGrid>
        <w:gridCol w:w="2129"/>
        <w:gridCol w:w="1788"/>
        <w:gridCol w:w="1559"/>
        <w:gridCol w:w="1701"/>
      </w:tblGrid>
      <w:tr w:rsidR="00863ED6" w:rsidRPr="00863ED6" w14:paraId="1BD924A6" w14:textId="77777777" w:rsidTr="00410C76">
        <w:trPr>
          <w:jc w:val="center"/>
        </w:trPr>
        <w:tc>
          <w:tcPr>
            <w:tcW w:w="2129" w:type="dxa"/>
            <w:tcBorders>
              <w:bottom w:val="single" w:sz="12" w:space="0" w:color="000000"/>
            </w:tcBorders>
          </w:tcPr>
          <w:p w14:paraId="254569EF" w14:textId="77777777" w:rsidR="00863ED6" w:rsidRPr="00863ED6" w:rsidRDefault="00863ED6" w:rsidP="00863ED6">
            <w:pPr>
              <w:pStyle w:val="Body"/>
              <w:jc w:val="center"/>
              <w:rPr>
                <w:rFonts w:ascii="Arial" w:hAnsi="Arial" w:cs="Arial"/>
                <w:b/>
                <w:bCs/>
              </w:rPr>
            </w:pPr>
          </w:p>
        </w:tc>
        <w:tc>
          <w:tcPr>
            <w:tcW w:w="1788" w:type="dxa"/>
            <w:tcBorders>
              <w:bottom w:val="single" w:sz="12" w:space="0" w:color="000000"/>
            </w:tcBorders>
          </w:tcPr>
          <w:p w14:paraId="72FDB61C" w14:textId="77777777" w:rsidR="00863ED6" w:rsidRPr="00863ED6" w:rsidRDefault="00863ED6" w:rsidP="00863ED6">
            <w:pPr>
              <w:pStyle w:val="Body"/>
              <w:jc w:val="center"/>
              <w:rPr>
                <w:rFonts w:ascii="Arial" w:hAnsi="Arial" w:cs="Arial"/>
                <w:b/>
                <w:bCs/>
              </w:rPr>
            </w:pPr>
            <w:r w:rsidRPr="00863ED6">
              <w:rPr>
                <w:rFonts w:ascii="Arial" w:hAnsi="Arial" w:cs="Arial"/>
                <w:b/>
                <w:bCs/>
              </w:rPr>
              <w:t>Group A</w:t>
            </w:r>
          </w:p>
        </w:tc>
        <w:tc>
          <w:tcPr>
            <w:tcW w:w="1559" w:type="dxa"/>
            <w:tcBorders>
              <w:bottom w:val="single" w:sz="12" w:space="0" w:color="000000"/>
            </w:tcBorders>
          </w:tcPr>
          <w:p w14:paraId="0A404A89" w14:textId="77777777" w:rsidR="00863ED6" w:rsidRPr="00863ED6" w:rsidRDefault="00863ED6" w:rsidP="00863ED6">
            <w:pPr>
              <w:pStyle w:val="Body"/>
              <w:jc w:val="center"/>
              <w:rPr>
                <w:rFonts w:ascii="Arial" w:hAnsi="Arial" w:cs="Arial"/>
                <w:b/>
                <w:bCs/>
              </w:rPr>
            </w:pPr>
            <w:r w:rsidRPr="00863ED6">
              <w:rPr>
                <w:rFonts w:ascii="Arial" w:hAnsi="Arial" w:cs="Arial"/>
                <w:b/>
                <w:bCs/>
              </w:rPr>
              <w:t>Group B</w:t>
            </w:r>
          </w:p>
        </w:tc>
        <w:tc>
          <w:tcPr>
            <w:tcW w:w="1701" w:type="dxa"/>
            <w:tcBorders>
              <w:bottom w:val="single" w:sz="12" w:space="0" w:color="000000"/>
            </w:tcBorders>
          </w:tcPr>
          <w:p w14:paraId="5F780EB5"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r>
      <w:tr w:rsidR="00863ED6" w:rsidRPr="00863ED6" w14:paraId="12DF4938" w14:textId="77777777" w:rsidTr="00410C76">
        <w:trPr>
          <w:jc w:val="center"/>
        </w:trPr>
        <w:tc>
          <w:tcPr>
            <w:tcW w:w="2129" w:type="dxa"/>
            <w:tcBorders>
              <w:top w:val="single" w:sz="12" w:space="0" w:color="000000"/>
              <w:bottom w:val="single" w:sz="6" w:space="0" w:color="000000"/>
            </w:tcBorders>
          </w:tcPr>
          <w:p w14:paraId="745FC78C" w14:textId="77777777" w:rsidR="00863ED6" w:rsidRPr="00863ED6" w:rsidRDefault="00863ED6" w:rsidP="00863ED6">
            <w:pPr>
              <w:pStyle w:val="Body"/>
              <w:jc w:val="center"/>
              <w:rPr>
                <w:rFonts w:ascii="Arial" w:hAnsi="Arial" w:cs="Arial"/>
                <w:b/>
                <w:bCs/>
              </w:rPr>
            </w:pPr>
            <w:r w:rsidRPr="00863ED6">
              <w:rPr>
                <w:rFonts w:ascii="Arial" w:hAnsi="Arial" w:cs="Arial"/>
                <w:b/>
                <w:bCs/>
              </w:rPr>
              <w:t>Documents</w:t>
            </w:r>
          </w:p>
        </w:tc>
        <w:tc>
          <w:tcPr>
            <w:tcW w:w="1788" w:type="dxa"/>
            <w:tcBorders>
              <w:top w:val="single" w:sz="12" w:space="0" w:color="000000"/>
              <w:bottom w:val="single" w:sz="6" w:space="0" w:color="000000"/>
            </w:tcBorders>
          </w:tcPr>
          <w:p w14:paraId="19773E7F" w14:textId="77777777" w:rsidR="00863ED6" w:rsidRPr="00863ED6" w:rsidRDefault="00863ED6" w:rsidP="00863ED6">
            <w:pPr>
              <w:pStyle w:val="Body"/>
              <w:jc w:val="center"/>
              <w:rPr>
                <w:rFonts w:ascii="Arial" w:hAnsi="Arial" w:cs="Arial"/>
              </w:rPr>
            </w:pPr>
            <w:r w:rsidRPr="00863ED6">
              <w:rPr>
                <w:rFonts w:ascii="Arial" w:hAnsi="Arial" w:cs="Arial"/>
              </w:rPr>
              <w:t>3 (12.5%)</w:t>
            </w:r>
          </w:p>
        </w:tc>
        <w:tc>
          <w:tcPr>
            <w:tcW w:w="1559" w:type="dxa"/>
            <w:tcBorders>
              <w:top w:val="single" w:sz="12" w:space="0" w:color="000000"/>
              <w:bottom w:val="single" w:sz="6" w:space="0" w:color="000000"/>
            </w:tcBorders>
          </w:tcPr>
          <w:p w14:paraId="0EA552B3" w14:textId="77777777" w:rsidR="00863ED6" w:rsidRPr="00863ED6" w:rsidRDefault="00863ED6" w:rsidP="00863ED6">
            <w:pPr>
              <w:pStyle w:val="Body"/>
              <w:jc w:val="center"/>
              <w:rPr>
                <w:rFonts w:ascii="Arial" w:hAnsi="Arial" w:cs="Arial"/>
              </w:rPr>
            </w:pPr>
            <w:r w:rsidRPr="00863ED6">
              <w:rPr>
                <w:rFonts w:ascii="Arial" w:hAnsi="Arial" w:cs="Arial"/>
              </w:rPr>
              <w:t>1 (3.2%)</w:t>
            </w:r>
          </w:p>
        </w:tc>
        <w:tc>
          <w:tcPr>
            <w:tcW w:w="1701" w:type="dxa"/>
            <w:tcBorders>
              <w:top w:val="single" w:sz="12" w:space="0" w:color="000000"/>
              <w:bottom w:val="single" w:sz="6" w:space="0" w:color="000000"/>
            </w:tcBorders>
          </w:tcPr>
          <w:p w14:paraId="77625838" w14:textId="77777777" w:rsidR="00863ED6" w:rsidRPr="00863ED6" w:rsidRDefault="00863ED6" w:rsidP="00863ED6">
            <w:pPr>
              <w:pStyle w:val="Body"/>
              <w:jc w:val="center"/>
              <w:rPr>
                <w:rFonts w:ascii="Arial" w:hAnsi="Arial" w:cs="Arial"/>
              </w:rPr>
            </w:pPr>
            <w:r w:rsidRPr="00863ED6">
              <w:rPr>
                <w:rFonts w:ascii="Arial" w:hAnsi="Arial" w:cs="Arial"/>
              </w:rPr>
              <w:t>4 (7.2%)</w:t>
            </w:r>
          </w:p>
        </w:tc>
      </w:tr>
      <w:tr w:rsidR="00863ED6" w:rsidRPr="00863ED6" w14:paraId="60D4DC1F" w14:textId="77777777" w:rsidTr="00410C76">
        <w:trPr>
          <w:jc w:val="center"/>
        </w:trPr>
        <w:tc>
          <w:tcPr>
            <w:tcW w:w="2129" w:type="dxa"/>
            <w:tcBorders>
              <w:top w:val="single" w:sz="6" w:space="0" w:color="000000"/>
              <w:bottom w:val="single" w:sz="6" w:space="0" w:color="000000"/>
            </w:tcBorders>
          </w:tcPr>
          <w:p w14:paraId="1B0899FA" w14:textId="77777777" w:rsidR="00863ED6" w:rsidRPr="00863ED6" w:rsidRDefault="00863ED6" w:rsidP="00863ED6">
            <w:pPr>
              <w:pStyle w:val="Body"/>
              <w:jc w:val="center"/>
              <w:rPr>
                <w:rFonts w:ascii="Arial" w:hAnsi="Arial" w:cs="Arial"/>
                <w:b/>
                <w:bCs/>
              </w:rPr>
            </w:pPr>
            <w:r w:rsidRPr="00863ED6">
              <w:rPr>
                <w:rFonts w:ascii="Arial" w:hAnsi="Arial" w:cs="Arial"/>
                <w:b/>
                <w:bCs/>
              </w:rPr>
              <w:t>Archival Records</w:t>
            </w:r>
          </w:p>
        </w:tc>
        <w:tc>
          <w:tcPr>
            <w:tcW w:w="1788" w:type="dxa"/>
            <w:tcBorders>
              <w:top w:val="single" w:sz="6" w:space="0" w:color="000000"/>
              <w:bottom w:val="single" w:sz="6" w:space="0" w:color="000000"/>
            </w:tcBorders>
          </w:tcPr>
          <w:p w14:paraId="3407BAE0" w14:textId="77777777" w:rsidR="00863ED6" w:rsidRPr="00863ED6" w:rsidRDefault="00863ED6" w:rsidP="00863ED6">
            <w:pPr>
              <w:pStyle w:val="Body"/>
              <w:jc w:val="center"/>
              <w:rPr>
                <w:rFonts w:ascii="Arial" w:hAnsi="Arial" w:cs="Arial"/>
              </w:rPr>
            </w:pPr>
            <w:r w:rsidRPr="00863ED6">
              <w:rPr>
                <w:rFonts w:ascii="Arial" w:hAnsi="Arial" w:cs="Arial"/>
              </w:rPr>
              <w:t>6 (25%)</w:t>
            </w:r>
          </w:p>
        </w:tc>
        <w:tc>
          <w:tcPr>
            <w:tcW w:w="1559" w:type="dxa"/>
            <w:tcBorders>
              <w:top w:val="single" w:sz="6" w:space="0" w:color="000000"/>
              <w:bottom w:val="single" w:sz="6" w:space="0" w:color="000000"/>
            </w:tcBorders>
          </w:tcPr>
          <w:p w14:paraId="2798FFEA" w14:textId="77777777" w:rsidR="00863ED6" w:rsidRPr="00863ED6" w:rsidRDefault="00863ED6" w:rsidP="00863ED6">
            <w:pPr>
              <w:pStyle w:val="Body"/>
              <w:jc w:val="center"/>
              <w:rPr>
                <w:rFonts w:ascii="Arial" w:hAnsi="Arial" w:cs="Arial"/>
              </w:rPr>
            </w:pPr>
            <w:r w:rsidRPr="00863ED6">
              <w:rPr>
                <w:rFonts w:ascii="Arial" w:hAnsi="Arial" w:cs="Arial"/>
              </w:rPr>
              <w:t>13 (41.2%)</w:t>
            </w:r>
          </w:p>
        </w:tc>
        <w:tc>
          <w:tcPr>
            <w:tcW w:w="1701" w:type="dxa"/>
            <w:tcBorders>
              <w:top w:val="single" w:sz="6" w:space="0" w:color="000000"/>
              <w:bottom w:val="single" w:sz="6" w:space="0" w:color="000000"/>
            </w:tcBorders>
          </w:tcPr>
          <w:p w14:paraId="339E73FF" w14:textId="77777777" w:rsidR="00863ED6" w:rsidRPr="00863ED6" w:rsidRDefault="00863ED6" w:rsidP="00863ED6">
            <w:pPr>
              <w:pStyle w:val="Body"/>
              <w:jc w:val="center"/>
              <w:rPr>
                <w:rFonts w:ascii="Arial" w:hAnsi="Arial" w:cs="Arial"/>
              </w:rPr>
            </w:pPr>
            <w:r w:rsidRPr="00863ED6">
              <w:rPr>
                <w:rFonts w:ascii="Arial" w:hAnsi="Arial" w:cs="Arial"/>
              </w:rPr>
              <w:t>19 (34.5%)</w:t>
            </w:r>
          </w:p>
        </w:tc>
      </w:tr>
      <w:tr w:rsidR="00863ED6" w:rsidRPr="00863ED6" w14:paraId="48553D26" w14:textId="77777777" w:rsidTr="00410C76">
        <w:trPr>
          <w:jc w:val="center"/>
        </w:trPr>
        <w:tc>
          <w:tcPr>
            <w:tcW w:w="2129" w:type="dxa"/>
            <w:tcBorders>
              <w:top w:val="single" w:sz="6" w:space="0" w:color="000000"/>
              <w:bottom w:val="single" w:sz="6" w:space="0" w:color="000000"/>
            </w:tcBorders>
          </w:tcPr>
          <w:p w14:paraId="610D6CF9" w14:textId="77777777" w:rsidR="00863ED6" w:rsidRPr="00863ED6" w:rsidRDefault="00863ED6" w:rsidP="00863ED6">
            <w:pPr>
              <w:pStyle w:val="Body"/>
              <w:jc w:val="center"/>
              <w:rPr>
                <w:rFonts w:ascii="Arial" w:hAnsi="Arial" w:cs="Arial"/>
                <w:b/>
                <w:bCs/>
              </w:rPr>
            </w:pPr>
            <w:r w:rsidRPr="00863ED6">
              <w:rPr>
                <w:rFonts w:ascii="Arial" w:hAnsi="Arial" w:cs="Arial"/>
                <w:b/>
                <w:bCs/>
              </w:rPr>
              <w:t>Interviews</w:t>
            </w:r>
          </w:p>
        </w:tc>
        <w:tc>
          <w:tcPr>
            <w:tcW w:w="1788" w:type="dxa"/>
            <w:tcBorders>
              <w:top w:val="single" w:sz="6" w:space="0" w:color="000000"/>
              <w:bottom w:val="single" w:sz="6" w:space="0" w:color="000000"/>
            </w:tcBorders>
          </w:tcPr>
          <w:p w14:paraId="5B1A72E2" w14:textId="77777777" w:rsidR="00863ED6" w:rsidRPr="00863ED6" w:rsidRDefault="00863ED6" w:rsidP="00863ED6">
            <w:pPr>
              <w:pStyle w:val="Body"/>
              <w:jc w:val="center"/>
              <w:rPr>
                <w:rFonts w:ascii="Arial" w:hAnsi="Arial" w:cs="Arial"/>
              </w:rPr>
            </w:pPr>
            <w:r w:rsidRPr="00863ED6">
              <w:rPr>
                <w:rFonts w:ascii="Arial" w:hAnsi="Arial" w:cs="Arial"/>
              </w:rPr>
              <w:t>13 (54.1%)</w:t>
            </w:r>
          </w:p>
        </w:tc>
        <w:tc>
          <w:tcPr>
            <w:tcW w:w="1559" w:type="dxa"/>
            <w:tcBorders>
              <w:top w:val="single" w:sz="6" w:space="0" w:color="000000"/>
              <w:bottom w:val="single" w:sz="6" w:space="0" w:color="000000"/>
            </w:tcBorders>
          </w:tcPr>
          <w:p w14:paraId="20B62D8F" w14:textId="77777777" w:rsidR="00863ED6" w:rsidRPr="00863ED6" w:rsidRDefault="00863ED6" w:rsidP="00863ED6">
            <w:pPr>
              <w:pStyle w:val="Body"/>
              <w:jc w:val="center"/>
              <w:rPr>
                <w:rFonts w:ascii="Arial" w:hAnsi="Arial" w:cs="Arial"/>
              </w:rPr>
            </w:pPr>
            <w:r w:rsidRPr="00863ED6">
              <w:rPr>
                <w:rFonts w:ascii="Arial" w:hAnsi="Arial" w:cs="Arial"/>
              </w:rPr>
              <w:t>11 (35.4%)</w:t>
            </w:r>
          </w:p>
        </w:tc>
        <w:tc>
          <w:tcPr>
            <w:tcW w:w="1701" w:type="dxa"/>
            <w:tcBorders>
              <w:top w:val="single" w:sz="6" w:space="0" w:color="000000"/>
              <w:bottom w:val="single" w:sz="6" w:space="0" w:color="000000"/>
            </w:tcBorders>
          </w:tcPr>
          <w:p w14:paraId="07FE782E" w14:textId="77777777" w:rsidR="00863ED6" w:rsidRPr="00863ED6" w:rsidRDefault="00863ED6" w:rsidP="00863ED6">
            <w:pPr>
              <w:pStyle w:val="Body"/>
              <w:jc w:val="center"/>
              <w:rPr>
                <w:rFonts w:ascii="Arial" w:hAnsi="Arial" w:cs="Arial"/>
              </w:rPr>
            </w:pPr>
            <w:r w:rsidRPr="00863ED6">
              <w:rPr>
                <w:rFonts w:ascii="Arial" w:hAnsi="Arial" w:cs="Arial"/>
              </w:rPr>
              <w:t>24 (43.6%)</w:t>
            </w:r>
          </w:p>
        </w:tc>
      </w:tr>
      <w:tr w:rsidR="00863ED6" w:rsidRPr="00863ED6" w14:paraId="415AE834" w14:textId="77777777" w:rsidTr="00410C76">
        <w:trPr>
          <w:jc w:val="center"/>
        </w:trPr>
        <w:tc>
          <w:tcPr>
            <w:tcW w:w="2129" w:type="dxa"/>
            <w:tcBorders>
              <w:top w:val="single" w:sz="6" w:space="0" w:color="000000"/>
              <w:bottom w:val="single" w:sz="6" w:space="0" w:color="000000"/>
            </w:tcBorders>
          </w:tcPr>
          <w:p w14:paraId="0917BCBD" w14:textId="77777777" w:rsidR="00863ED6" w:rsidRPr="00863ED6" w:rsidRDefault="00863ED6" w:rsidP="00863ED6">
            <w:pPr>
              <w:pStyle w:val="Body"/>
              <w:jc w:val="center"/>
              <w:rPr>
                <w:rFonts w:ascii="Arial" w:hAnsi="Arial" w:cs="Arial"/>
                <w:b/>
                <w:bCs/>
              </w:rPr>
            </w:pPr>
            <w:r w:rsidRPr="00863ED6">
              <w:rPr>
                <w:rFonts w:ascii="Arial" w:hAnsi="Arial" w:cs="Arial"/>
                <w:b/>
                <w:bCs/>
              </w:rPr>
              <w:t>Multiple Sources</w:t>
            </w:r>
          </w:p>
        </w:tc>
        <w:tc>
          <w:tcPr>
            <w:tcW w:w="1788" w:type="dxa"/>
            <w:tcBorders>
              <w:top w:val="single" w:sz="6" w:space="0" w:color="000000"/>
              <w:bottom w:val="single" w:sz="6" w:space="0" w:color="000000"/>
            </w:tcBorders>
          </w:tcPr>
          <w:p w14:paraId="6EB061A5" w14:textId="77777777" w:rsidR="00863ED6" w:rsidRPr="00863ED6" w:rsidRDefault="00863ED6" w:rsidP="00863ED6">
            <w:pPr>
              <w:pStyle w:val="Body"/>
              <w:jc w:val="center"/>
              <w:rPr>
                <w:rFonts w:ascii="Arial" w:hAnsi="Arial" w:cs="Arial"/>
              </w:rPr>
            </w:pPr>
            <w:r w:rsidRPr="00863ED6">
              <w:rPr>
                <w:rFonts w:ascii="Arial" w:hAnsi="Arial" w:cs="Arial"/>
              </w:rPr>
              <w:t>2 (8.3%)</w:t>
            </w:r>
          </w:p>
        </w:tc>
        <w:tc>
          <w:tcPr>
            <w:tcW w:w="1559" w:type="dxa"/>
            <w:tcBorders>
              <w:top w:val="single" w:sz="6" w:space="0" w:color="000000"/>
              <w:bottom w:val="single" w:sz="6" w:space="0" w:color="000000"/>
            </w:tcBorders>
          </w:tcPr>
          <w:p w14:paraId="7F9EDF9D" w14:textId="77777777" w:rsidR="00863ED6" w:rsidRPr="00863ED6" w:rsidRDefault="00863ED6" w:rsidP="00863ED6">
            <w:pPr>
              <w:pStyle w:val="Body"/>
              <w:jc w:val="center"/>
              <w:rPr>
                <w:rFonts w:ascii="Arial" w:hAnsi="Arial" w:cs="Arial"/>
              </w:rPr>
            </w:pPr>
            <w:r w:rsidRPr="00863ED6">
              <w:rPr>
                <w:rFonts w:ascii="Arial" w:hAnsi="Arial" w:cs="Arial"/>
              </w:rPr>
              <w:t>2 (6.4%)</w:t>
            </w:r>
          </w:p>
        </w:tc>
        <w:tc>
          <w:tcPr>
            <w:tcW w:w="1701" w:type="dxa"/>
            <w:tcBorders>
              <w:top w:val="single" w:sz="6" w:space="0" w:color="000000"/>
              <w:bottom w:val="single" w:sz="6" w:space="0" w:color="000000"/>
            </w:tcBorders>
          </w:tcPr>
          <w:p w14:paraId="0CF580CD" w14:textId="77777777" w:rsidR="00863ED6" w:rsidRPr="00863ED6" w:rsidRDefault="00863ED6" w:rsidP="00863ED6">
            <w:pPr>
              <w:pStyle w:val="Body"/>
              <w:jc w:val="center"/>
              <w:rPr>
                <w:rFonts w:ascii="Arial" w:hAnsi="Arial" w:cs="Arial"/>
              </w:rPr>
            </w:pPr>
            <w:r w:rsidRPr="00863ED6">
              <w:rPr>
                <w:rFonts w:ascii="Arial" w:hAnsi="Arial" w:cs="Arial"/>
              </w:rPr>
              <w:t>4 (7.2%)</w:t>
            </w:r>
          </w:p>
        </w:tc>
      </w:tr>
      <w:tr w:rsidR="00863ED6" w:rsidRPr="00863ED6" w14:paraId="11FFC7A7" w14:textId="77777777" w:rsidTr="00410C76">
        <w:trPr>
          <w:jc w:val="center"/>
        </w:trPr>
        <w:tc>
          <w:tcPr>
            <w:tcW w:w="2129" w:type="dxa"/>
            <w:tcBorders>
              <w:top w:val="single" w:sz="6" w:space="0" w:color="000000"/>
            </w:tcBorders>
          </w:tcPr>
          <w:p w14:paraId="578AE16A" w14:textId="77777777" w:rsidR="00863ED6" w:rsidRPr="00863ED6" w:rsidRDefault="00863ED6" w:rsidP="00863ED6">
            <w:pPr>
              <w:pStyle w:val="Body"/>
              <w:jc w:val="center"/>
              <w:rPr>
                <w:rFonts w:ascii="Arial" w:hAnsi="Arial" w:cs="Arial"/>
                <w:b/>
                <w:bCs/>
              </w:rPr>
            </w:pPr>
            <w:r w:rsidRPr="00863ED6">
              <w:rPr>
                <w:rFonts w:ascii="Arial" w:hAnsi="Arial" w:cs="Arial"/>
                <w:b/>
                <w:bCs/>
              </w:rPr>
              <w:t>Unidentified</w:t>
            </w:r>
          </w:p>
        </w:tc>
        <w:tc>
          <w:tcPr>
            <w:tcW w:w="1788" w:type="dxa"/>
            <w:tcBorders>
              <w:top w:val="single" w:sz="6" w:space="0" w:color="000000"/>
            </w:tcBorders>
          </w:tcPr>
          <w:p w14:paraId="05F68723" w14:textId="77777777" w:rsidR="00863ED6" w:rsidRPr="00863ED6" w:rsidRDefault="00863ED6" w:rsidP="00863ED6">
            <w:pPr>
              <w:pStyle w:val="Body"/>
              <w:jc w:val="center"/>
              <w:rPr>
                <w:rFonts w:ascii="Arial" w:hAnsi="Arial" w:cs="Arial"/>
              </w:rPr>
            </w:pPr>
            <w:r w:rsidRPr="00863ED6">
              <w:rPr>
                <w:rFonts w:ascii="Arial" w:hAnsi="Arial" w:cs="Arial"/>
              </w:rPr>
              <w:t>-</w:t>
            </w:r>
          </w:p>
        </w:tc>
        <w:tc>
          <w:tcPr>
            <w:tcW w:w="1559" w:type="dxa"/>
            <w:tcBorders>
              <w:top w:val="single" w:sz="6" w:space="0" w:color="000000"/>
            </w:tcBorders>
          </w:tcPr>
          <w:p w14:paraId="5DAB0535" w14:textId="77777777" w:rsidR="00863ED6" w:rsidRPr="00863ED6" w:rsidRDefault="00863ED6" w:rsidP="00863ED6">
            <w:pPr>
              <w:pStyle w:val="Body"/>
              <w:jc w:val="center"/>
              <w:rPr>
                <w:rFonts w:ascii="Arial" w:hAnsi="Arial" w:cs="Arial"/>
              </w:rPr>
            </w:pPr>
            <w:r w:rsidRPr="00863ED6">
              <w:rPr>
                <w:rFonts w:ascii="Arial" w:hAnsi="Arial" w:cs="Arial"/>
              </w:rPr>
              <w:t>4 (12.9%)</w:t>
            </w:r>
          </w:p>
        </w:tc>
        <w:tc>
          <w:tcPr>
            <w:tcW w:w="1701" w:type="dxa"/>
            <w:tcBorders>
              <w:top w:val="single" w:sz="6" w:space="0" w:color="000000"/>
            </w:tcBorders>
          </w:tcPr>
          <w:p w14:paraId="04F3A4A4" w14:textId="77777777" w:rsidR="00863ED6" w:rsidRPr="00863ED6" w:rsidRDefault="00863ED6" w:rsidP="00863ED6">
            <w:pPr>
              <w:pStyle w:val="Body"/>
              <w:jc w:val="center"/>
              <w:rPr>
                <w:rFonts w:ascii="Arial" w:hAnsi="Arial" w:cs="Arial"/>
              </w:rPr>
            </w:pPr>
            <w:r w:rsidRPr="00863ED6">
              <w:rPr>
                <w:rFonts w:ascii="Arial" w:hAnsi="Arial" w:cs="Arial"/>
              </w:rPr>
              <w:t>4 (7.2%)</w:t>
            </w:r>
          </w:p>
        </w:tc>
      </w:tr>
      <w:tr w:rsidR="00863ED6" w:rsidRPr="00863ED6" w14:paraId="1E2663BD" w14:textId="77777777" w:rsidTr="00410C76">
        <w:trPr>
          <w:jc w:val="center"/>
        </w:trPr>
        <w:tc>
          <w:tcPr>
            <w:tcW w:w="2129" w:type="dxa"/>
            <w:tcBorders>
              <w:top w:val="single" w:sz="6" w:space="0" w:color="000000"/>
            </w:tcBorders>
          </w:tcPr>
          <w:p w14:paraId="1C9AFB41"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c>
          <w:tcPr>
            <w:tcW w:w="1788" w:type="dxa"/>
            <w:tcBorders>
              <w:top w:val="single" w:sz="6" w:space="0" w:color="000000"/>
            </w:tcBorders>
          </w:tcPr>
          <w:p w14:paraId="00A5BF30" w14:textId="77777777" w:rsidR="00863ED6" w:rsidRPr="00863ED6" w:rsidRDefault="00863ED6" w:rsidP="00863ED6">
            <w:pPr>
              <w:pStyle w:val="Body"/>
              <w:jc w:val="center"/>
              <w:rPr>
                <w:rFonts w:ascii="Arial" w:hAnsi="Arial" w:cs="Arial"/>
              </w:rPr>
            </w:pPr>
            <w:r w:rsidRPr="00863ED6">
              <w:rPr>
                <w:rFonts w:ascii="Arial" w:hAnsi="Arial" w:cs="Arial"/>
              </w:rPr>
              <w:t>24 (100.0%)</w:t>
            </w:r>
          </w:p>
        </w:tc>
        <w:tc>
          <w:tcPr>
            <w:tcW w:w="1559" w:type="dxa"/>
            <w:tcBorders>
              <w:top w:val="single" w:sz="6" w:space="0" w:color="000000"/>
            </w:tcBorders>
          </w:tcPr>
          <w:p w14:paraId="71A44E5B" w14:textId="77777777" w:rsidR="00863ED6" w:rsidRPr="00863ED6" w:rsidRDefault="00863ED6" w:rsidP="00863ED6">
            <w:pPr>
              <w:pStyle w:val="Body"/>
              <w:jc w:val="center"/>
              <w:rPr>
                <w:rFonts w:ascii="Arial" w:hAnsi="Arial" w:cs="Arial"/>
              </w:rPr>
            </w:pPr>
            <w:r w:rsidRPr="00863ED6">
              <w:rPr>
                <w:rFonts w:ascii="Arial" w:hAnsi="Arial" w:cs="Arial"/>
              </w:rPr>
              <w:t>31 (100.0%)</w:t>
            </w:r>
          </w:p>
        </w:tc>
        <w:tc>
          <w:tcPr>
            <w:tcW w:w="1701" w:type="dxa"/>
            <w:tcBorders>
              <w:top w:val="single" w:sz="6" w:space="0" w:color="000000"/>
            </w:tcBorders>
          </w:tcPr>
          <w:p w14:paraId="475EE28F" w14:textId="77777777" w:rsidR="00863ED6" w:rsidRPr="00863ED6" w:rsidRDefault="00863ED6" w:rsidP="00863ED6">
            <w:pPr>
              <w:pStyle w:val="Body"/>
              <w:jc w:val="center"/>
              <w:rPr>
                <w:rFonts w:ascii="Arial" w:hAnsi="Arial" w:cs="Arial"/>
              </w:rPr>
            </w:pPr>
            <w:r w:rsidRPr="00863ED6">
              <w:rPr>
                <w:rFonts w:ascii="Arial" w:hAnsi="Arial" w:cs="Arial"/>
              </w:rPr>
              <w:t>55 (100.0%)</w:t>
            </w:r>
          </w:p>
        </w:tc>
      </w:tr>
    </w:tbl>
    <w:p w14:paraId="41CD10B1" w14:textId="77777777" w:rsidR="00863ED6" w:rsidRPr="00863ED6" w:rsidRDefault="00863ED6" w:rsidP="00863ED6">
      <w:pPr>
        <w:pStyle w:val="Body"/>
        <w:jc w:val="center"/>
        <w:rPr>
          <w:rFonts w:ascii="Arial" w:hAnsi="Arial" w:cs="Arial"/>
          <w:i/>
          <w:iCs/>
        </w:rPr>
      </w:pPr>
      <w:r w:rsidRPr="00863ED6">
        <w:rPr>
          <w:rFonts w:ascii="Arial" w:hAnsi="Arial" w:cs="Arial"/>
          <w:i/>
          <w:iCs/>
        </w:rPr>
        <w:t>Source: Authors’ compilation from primary data</w:t>
      </w:r>
    </w:p>
    <w:p w14:paraId="730637A1" w14:textId="77777777" w:rsidR="00863ED6" w:rsidRPr="00863ED6" w:rsidRDefault="00863ED6" w:rsidP="00863ED6">
      <w:pPr>
        <w:pStyle w:val="Body"/>
        <w:rPr>
          <w:rFonts w:ascii="Arial" w:hAnsi="Arial" w:cs="Arial"/>
          <w:i/>
          <w:iCs/>
        </w:rPr>
      </w:pPr>
    </w:p>
    <w:p w14:paraId="509119D1" w14:textId="77777777" w:rsidR="00863ED6" w:rsidRPr="00863ED6" w:rsidRDefault="00863ED6" w:rsidP="00863ED6">
      <w:pPr>
        <w:pStyle w:val="Body"/>
        <w:rPr>
          <w:rFonts w:ascii="Arial" w:hAnsi="Arial" w:cs="Arial"/>
        </w:rPr>
      </w:pPr>
      <w:r w:rsidRPr="00863ED6">
        <w:rPr>
          <w:rFonts w:ascii="Arial" w:hAnsi="Arial" w:cs="Arial"/>
        </w:rPr>
        <w:t>In the overall group, it is seen that direct/participant observation and physical artifacts are never used in these articles. Although one can expect some roles of direct observation in most of the theories and case studies, it is not coded as direct observation when the article has not emphasized such a methodological orientation. Therefore, case studies are limited to sources such as interviews, archival records, and documents. Hence, the most frequently used methodologies of the case studies published in Comparative Political Studies between 1973 and 2001 are content analysis and its versions, surveys and interviews conducted on a national basis or at the group level such as elites, workers, farmers etc. The use of multiple sources and techniques, which is advised by most of the comparative politics researchers and which is relatively easier in case studies, does not prove to be very—</w:t>
      </w:r>
      <w:proofErr w:type="spellStart"/>
      <w:r w:rsidRPr="00863ED6">
        <w:rPr>
          <w:rFonts w:ascii="Arial" w:hAnsi="Arial" w:cs="Arial"/>
        </w:rPr>
        <w:t>researchwise</w:t>
      </w:r>
      <w:proofErr w:type="spellEnd"/>
      <w:r w:rsidRPr="00863ED6">
        <w:rPr>
          <w:rFonts w:ascii="Arial" w:hAnsi="Arial" w:cs="Arial"/>
        </w:rPr>
        <w:t>—popular or practical.</w:t>
      </w:r>
    </w:p>
    <w:p w14:paraId="69984A5A" w14:textId="77777777" w:rsidR="00863ED6" w:rsidRPr="00863ED6" w:rsidRDefault="00863ED6" w:rsidP="00863ED6">
      <w:pPr>
        <w:pStyle w:val="Body"/>
        <w:rPr>
          <w:rFonts w:ascii="Arial" w:hAnsi="Arial" w:cs="Arial"/>
        </w:rPr>
      </w:pPr>
      <w:r w:rsidRPr="00863ED6">
        <w:rPr>
          <w:rFonts w:ascii="Arial" w:hAnsi="Arial" w:cs="Arial"/>
        </w:rPr>
        <w:t xml:space="preserve">When the changes in time are examined, there is one definite trend: The use of archives (of political parties, state departments, ministries; statistical data such as census data, election results, economic indicators etc.) has increased significantly after 1989. This may be explained by the fact that with the end of Cold War, dissolution of USSR and some political liberalization processes affecting not only the ex-Communist states but also ex-liberal bloc countries, new archives that had not accessible for research before the 1990s have become accessible for research which has meant the formation of a new space of research with novel opportunities and sources for the researchers. </w:t>
      </w:r>
    </w:p>
    <w:p w14:paraId="12696053" w14:textId="77777777" w:rsidR="00863ED6" w:rsidRPr="00863ED6" w:rsidRDefault="00863ED6" w:rsidP="00863ED6">
      <w:pPr>
        <w:pStyle w:val="Body"/>
        <w:rPr>
          <w:rFonts w:ascii="Arial" w:hAnsi="Arial" w:cs="Arial"/>
        </w:rPr>
      </w:pPr>
      <w:r w:rsidRPr="00863ED6">
        <w:rPr>
          <w:rFonts w:ascii="Arial" w:hAnsi="Arial" w:cs="Arial"/>
        </w:rPr>
        <w:t xml:space="preserve">The third question that this paper explores is whether case study as a framework is applied in these articles equally for all regions, or their regional and geographical concentrations are </w:t>
      </w:r>
      <w:r w:rsidRPr="00863ED6">
        <w:rPr>
          <w:rFonts w:ascii="Arial" w:hAnsi="Arial" w:cs="Arial"/>
        </w:rPr>
        <w:lastRenderedPageBreak/>
        <w:t>unevenly distributed, alongside the changes in the regional distribution of these case studies. Table 3 shows the case studies’ concentration on regions.</w:t>
      </w:r>
    </w:p>
    <w:p w14:paraId="6FA10CC4" w14:textId="77777777" w:rsidR="00863ED6" w:rsidRPr="00863ED6" w:rsidRDefault="00863ED6" w:rsidP="00863ED6">
      <w:pPr>
        <w:pStyle w:val="Body"/>
        <w:rPr>
          <w:rFonts w:ascii="Arial" w:hAnsi="Arial" w:cs="Arial"/>
        </w:rPr>
      </w:pPr>
    </w:p>
    <w:p w14:paraId="1073B963" w14:textId="77777777" w:rsidR="00863ED6" w:rsidRPr="00863ED6" w:rsidRDefault="00863ED6" w:rsidP="00863ED6">
      <w:pPr>
        <w:pStyle w:val="Body"/>
        <w:jc w:val="center"/>
        <w:rPr>
          <w:rFonts w:ascii="Arial" w:hAnsi="Arial" w:cs="Arial"/>
          <w:b/>
          <w:bCs/>
        </w:rPr>
      </w:pPr>
      <w:r w:rsidRPr="00863ED6">
        <w:rPr>
          <w:rFonts w:ascii="Arial" w:hAnsi="Arial" w:cs="Arial"/>
          <w:b/>
          <w:bCs/>
        </w:rPr>
        <w:t>Table 3: Case Studies in Terms of the Region Studied</w:t>
      </w:r>
    </w:p>
    <w:tbl>
      <w:tblPr>
        <w:tblW w:w="0" w:type="auto"/>
        <w:jc w:val="center"/>
        <w:tblBorders>
          <w:top w:val="single" w:sz="6" w:space="0" w:color="000000"/>
          <w:left w:val="single" w:sz="6" w:space="0" w:color="000000"/>
          <w:bottom w:val="single" w:sz="6" w:space="0" w:color="000000"/>
          <w:right w:val="single" w:sz="6" w:space="0" w:color="000000"/>
          <w:insideH w:val="nil"/>
          <w:insideV w:val="nil"/>
        </w:tblBorders>
        <w:tblLook w:val="00A0" w:firstRow="1" w:lastRow="0" w:firstColumn="1" w:lastColumn="0" w:noHBand="0" w:noVBand="0"/>
      </w:tblPr>
      <w:tblGrid>
        <w:gridCol w:w="2322"/>
        <w:gridCol w:w="1536"/>
        <w:gridCol w:w="1808"/>
        <w:gridCol w:w="1650"/>
      </w:tblGrid>
      <w:tr w:rsidR="00863ED6" w:rsidRPr="00863ED6" w14:paraId="3C0AA5AF" w14:textId="77777777" w:rsidTr="00410C76">
        <w:trPr>
          <w:jc w:val="center"/>
        </w:trPr>
        <w:tc>
          <w:tcPr>
            <w:tcW w:w="2322" w:type="dxa"/>
            <w:tcBorders>
              <w:bottom w:val="single" w:sz="12" w:space="0" w:color="000000"/>
            </w:tcBorders>
          </w:tcPr>
          <w:p w14:paraId="429BB9F2" w14:textId="77777777" w:rsidR="00863ED6" w:rsidRPr="00863ED6" w:rsidRDefault="00863ED6" w:rsidP="00863ED6">
            <w:pPr>
              <w:pStyle w:val="Body"/>
              <w:jc w:val="center"/>
              <w:rPr>
                <w:rFonts w:ascii="Arial" w:hAnsi="Arial" w:cs="Arial"/>
                <w:b/>
                <w:bCs/>
              </w:rPr>
            </w:pPr>
          </w:p>
        </w:tc>
        <w:tc>
          <w:tcPr>
            <w:tcW w:w="1536" w:type="dxa"/>
            <w:tcBorders>
              <w:bottom w:val="single" w:sz="12" w:space="0" w:color="000000"/>
            </w:tcBorders>
          </w:tcPr>
          <w:p w14:paraId="6B394E7B" w14:textId="77777777" w:rsidR="00863ED6" w:rsidRPr="00863ED6" w:rsidRDefault="00863ED6" w:rsidP="00863ED6">
            <w:pPr>
              <w:pStyle w:val="Body"/>
              <w:jc w:val="center"/>
              <w:rPr>
                <w:rFonts w:ascii="Arial" w:hAnsi="Arial" w:cs="Arial"/>
                <w:b/>
                <w:bCs/>
              </w:rPr>
            </w:pPr>
            <w:r w:rsidRPr="00863ED6">
              <w:rPr>
                <w:rFonts w:ascii="Arial" w:hAnsi="Arial" w:cs="Arial"/>
                <w:b/>
                <w:bCs/>
              </w:rPr>
              <w:t>Group A</w:t>
            </w:r>
          </w:p>
        </w:tc>
        <w:tc>
          <w:tcPr>
            <w:tcW w:w="1808" w:type="dxa"/>
            <w:tcBorders>
              <w:bottom w:val="single" w:sz="12" w:space="0" w:color="000000"/>
            </w:tcBorders>
          </w:tcPr>
          <w:p w14:paraId="1084AF29" w14:textId="77777777" w:rsidR="00863ED6" w:rsidRPr="00863ED6" w:rsidRDefault="00863ED6" w:rsidP="00863ED6">
            <w:pPr>
              <w:pStyle w:val="Body"/>
              <w:jc w:val="center"/>
              <w:rPr>
                <w:rFonts w:ascii="Arial" w:hAnsi="Arial" w:cs="Arial"/>
                <w:b/>
                <w:bCs/>
              </w:rPr>
            </w:pPr>
            <w:r w:rsidRPr="00863ED6">
              <w:rPr>
                <w:rFonts w:ascii="Arial" w:hAnsi="Arial" w:cs="Arial"/>
                <w:b/>
                <w:bCs/>
              </w:rPr>
              <w:t>Group B</w:t>
            </w:r>
          </w:p>
        </w:tc>
        <w:tc>
          <w:tcPr>
            <w:tcW w:w="1650" w:type="dxa"/>
            <w:tcBorders>
              <w:bottom w:val="single" w:sz="12" w:space="0" w:color="000000"/>
            </w:tcBorders>
          </w:tcPr>
          <w:p w14:paraId="4D406FB7"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r>
      <w:tr w:rsidR="00863ED6" w:rsidRPr="00863ED6" w14:paraId="49F61143" w14:textId="77777777" w:rsidTr="00410C76">
        <w:trPr>
          <w:jc w:val="center"/>
        </w:trPr>
        <w:tc>
          <w:tcPr>
            <w:tcW w:w="2322" w:type="dxa"/>
            <w:tcBorders>
              <w:top w:val="single" w:sz="12" w:space="0" w:color="000000"/>
              <w:bottom w:val="single" w:sz="6" w:space="0" w:color="000000"/>
            </w:tcBorders>
          </w:tcPr>
          <w:p w14:paraId="7F82FB1E" w14:textId="77777777" w:rsidR="00863ED6" w:rsidRPr="00863ED6" w:rsidRDefault="00863ED6" w:rsidP="00863ED6">
            <w:pPr>
              <w:pStyle w:val="Body"/>
              <w:jc w:val="center"/>
              <w:rPr>
                <w:rFonts w:ascii="Arial" w:hAnsi="Arial" w:cs="Arial"/>
                <w:b/>
                <w:bCs/>
              </w:rPr>
            </w:pPr>
            <w:r w:rsidRPr="00863ED6">
              <w:rPr>
                <w:rFonts w:ascii="Arial" w:hAnsi="Arial" w:cs="Arial"/>
                <w:b/>
                <w:bCs/>
              </w:rPr>
              <w:t>West Europe</w:t>
            </w:r>
          </w:p>
        </w:tc>
        <w:tc>
          <w:tcPr>
            <w:tcW w:w="1536" w:type="dxa"/>
            <w:tcBorders>
              <w:top w:val="single" w:sz="12" w:space="0" w:color="000000"/>
              <w:bottom w:val="single" w:sz="6" w:space="0" w:color="000000"/>
            </w:tcBorders>
          </w:tcPr>
          <w:p w14:paraId="5EE8B837" w14:textId="77777777" w:rsidR="00863ED6" w:rsidRPr="00863ED6" w:rsidRDefault="00863ED6" w:rsidP="00863ED6">
            <w:pPr>
              <w:pStyle w:val="Body"/>
              <w:jc w:val="center"/>
              <w:rPr>
                <w:rFonts w:ascii="Arial" w:hAnsi="Arial" w:cs="Arial"/>
              </w:rPr>
            </w:pPr>
            <w:r w:rsidRPr="00863ED6">
              <w:rPr>
                <w:rFonts w:ascii="Arial" w:hAnsi="Arial" w:cs="Arial"/>
              </w:rPr>
              <w:t>9 (37.5%)</w:t>
            </w:r>
          </w:p>
        </w:tc>
        <w:tc>
          <w:tcPr>
            <w:tcW w:w="1808" w:type="dxa"/>
            <w:tcBorders>
              <w:top w:val="single" w:sz="12" w:space="0" w:color="000000"/>
              <w:bottom w:val="single" w:sz="6" w:space="0" w:color="000000"/>
            </w:tcBorders>
          </w:tcPr>
          <w:p w14:paraId="20EFFBCF" w14:textId="77777777" w:rsidR="00863ED6" w:rsidRPr="00863ED6" w:rsidRDefault="00863ED6" w:rsidP="00863ED6">
            <w:pPr>
              <w:pStyle w:val="Body"/>
              <w:jc w:val="center"/>
              <w:rPr>
                <w:rFonts w:ascii="Arial" w:hAnsi="Arial" w:cs="Arial"/>
              </w:rPr>
            </w:pPr>
            <w:r w:rsidRPr="00863ED6">
              <w:rPr>
                <w:rFonts w:ascii="Arial" w:hAnsi="Arial" w:cs="Arial"/>
              </w:rPr>
              <w:t>11 (35.4%)</w:t>
            </w:r>
          </w:p>
        </w:tc>
        <w:tc>
          <w:tcPr>
            <w:tcW w:w="1650" w:type="dxa"/>
            <w:tcBorders>
              <w:top w:val="single" w:sz="12" w:space="0" w:color="000000"/>
              <w:bottom w:val="single" w:sz="6" w:space="0" w:color="000000"/>
            </w:tcBorders>
          </w:tcPr>
          <w:p w14:paraId="319C0845" w14:textId="77777777" w:rsidR="00863ED6" w:rsidRPr="00863ED6" w:rsidRDefault="00863ED6" w:rsidP="00863ED6">
            <w:pPr>
              <w:pStyle w:val="Body"/>
              <w:jc w:val="center"/>
              <w:rPr>
                <w:rFonts w:ascii="Arial" w:hAnsi="Arial" w:cs="Arial"/>
              </w:rPr>
            </w:pPr>
            <w:r w:rsidRPr="00863ED6">
              <w:rPr>
                <w:rFonts w:ascii="Arial" w:hAnsi="Arial" w:cs="Arial"/>
              </w:rPr>
              <w:t>20 (36.3%)</w:t>
            </w:r>
          </w:p>
        </w:tc>
      </w:tr>
      <w:tr w:rsidR="00863ED6" w:rsidRPr="00863ED6" w14:paraId="0F808368" w14:textId="77777777" w:rsidTr="00410C76">
        <w:trPr>
          <w:jc w:val="center"/>
        </w:trPr>
        <w:tc>
          <w:tcPr>
            <w:tcW w:w="2322" w:type="dxa"/>
            <w:tcBorders>
              <w:top w:val="single" w:sz="6" w:space="0" w:color="000000"/>
              <w:bottom w:val="single" w:sz="6" w:space="0" w:color="000000"/>
            </w:tcBorders>
          </w:tcPr>
          <w:p w14:paraId="00011B26" w14:textId="77777777" w:rsidR="00863ED6" w:rsidRPr="00863ED6" w:rsidRDefault="00863ED6" w:rsidP="00863ED6">
            <w:pPr>
              <w:pStyle w:val="Body"/>
              <w:jc w:val="center"/>
              <w:rPr>
                <w:rFonts w:ascii="Arial" w:hAnsi="Arial" w:cs="Arial"/>
                <w:b/>
                <w:bCs/>
              </w:rPr>
            </w:pPr>
            <w:r w:rsidRPr="00863ED6">
              <w:rPr>
                <w:rFonts w:ascii="Arial" w:hAnsi="Arial" w:cs="Arial"/>
                <w:b/>
                <w:bCs/>
              </w:rPr>
              <w:t>North America</w:t>
            </w:r>
          </w:p>
        </w:tc>
        <w:tc>
          <w:tcPr>
            <w:tcW w:w="1536" w:type="dxa"/>
            <w:tcBorders>
              <w:top w:val="single" w:sz="6" w:space="0" w:color="000000"/>
              <w:bottom w:val="single" w:sz="6" w:space="0" w:color="000000"/>
            </w:tcBorders>
          </w:tcPr>
          <w:p w14:paraId="457B322F" w14:textId="77777777" w:rsidR="00863ED6" w:rsidRPr="00863ED6" w:rsidRDefault="00863ED6" w:rsidP="00863ED6">
            <w:pPr>
              <w:pStyle w:val="Body"/>
              <w:jc w:val="center"/>
              <w:rPr>
                <w:rFonts w:ascii="Arial" w:hAnsi="Arial" w:cs="Arial"/>
              </w:rPr>
            </w:pPr>
            <w:r w:rsidRPr="00863ED6">
              <w:rPr>
                <w:rFonts w:ascii="Arial" w:hAnsi="Arial" w:cs="Arial"/>
              </w:rPr>
              <w:t>-</w:t>
            </w:r>
          </w:p>
        </w:tc>
        <w:tc>
          <w:tcPr>
            <w:tcW w:w="1808" w:type="dxa"/>
            <w:tcBorders>
              <w:top w:val="single" w:sz="6" w:space="0" w:color="000000"/>
              <w:bottom w:val="single" w:sz="6" w:space="0" w:color="000000"/>
            </w:tcBorders>
          </w:tcPr>
          <w:p w14:paraId="22410374" w14:textId="77777777" w:rsidR="00863ED6" w:rsidRPr="00863ED6" w:rsidRDefault="00863ED6" w:rsidP="00863ED6">
            <w:pPr>
              <w:pStyle w:val="Body"/>
              <w:jc w:val="center"/>
              <w:rPr>
                <w:rFonts w:ascii="Arial" w:hAnsi="Arial" w:cs="Arial"/>
              </w:rPr>
            </w:pPr>
            <w:r w:rsidRPr="00863ED6">
              <w:rPr>
                <w:rFonts w:ascii="Arial" w:hAnsi="Arial" w:cs="Arial"/>
              </w:rPr>
              <w:t>1 (3.2%)</w:t>
            </w:r>
          </w:p>
        </w:tc>
        <w:tc>
          <w:tcPr>
            <w:tcW w:w="1650" w:type="dxa"/>
            <w:tcBorders>
              <w:top w:val="single" w:sz="6" w:space="0" w:color="000000"/>
              <w:bottom w:val="single" w:sz="6" w:space="0" w:color="000000"/>
            </w:tcBorders>
          </w:tcPr>
          <w:p w14:paraId="332E3A54" w14:textId="77777777" w:rsidR="00863ED6" w:rsidRPr="00863ED6" w:rsidRDefault="00863ED6" w:rsidP="00863ED6">
            <w:pPr>
              <w:pStyle w:val="Body"/>
              <w:jc w:val="center"/>
              <w:rPr>
                <w:rFonts w:ascii="Arial" w:hAnsi="Arial" w:cs="Arial"/>
              </w:rPr>
            </w:pPr>
            <w:r w:rsidRPr="00863ED6">
              <w:rPr>
                <w:rFonts w:ascii="Arial" w:hAnsi="Arial" w:cs="Arial"/>
              </w:rPr>
              <w:t>1 (1.8%)</w:t>
            </w:r>
          </w:p>
        </w:tc>
      </w:tr>
      <w:tr w:rsidR="00863ED6" w:rsidRPr="00863ED6" w14:paraId="4186DFC2" w14:textId="77777777" w:rsidTr="00410C76">
        <w:trPr>
          <w:jc w:val="center"/>
        </w:trPr>
        <w:tc>
          <w:tcPr>
            <w:tcW w:w="2322" w:type="dxa"/>
            <w:tcBorders>
              <w:top w:val="single" w:sz="6" w:space="0" w:color="000000"/>
              <w:bottom w:val="single" w:sz="6" w:space="0" w:color="000000"/>
            </w:tcBorders>
          </w:tcPr>
          <w:p w14:paraId="503DECEB" w14:textId="77777777" w:rsidR="00863ED6" w:rsidRPr="00863ED6" w:rsidRDefault="00863ED6" w:rsidP="00863ED6">
            <w:pPr>
              <w:pStyle w:val="Body"/>
              <w:jc w:val="center"/>
              <w:rPr>
                <w:rFonts w:ascii="Arial" w:hAnsi="Arial" w:cs="Arial"/>
                <w:b/>
                <w:bCs/>
              </w:rPr>
            </w:pPr>
            <w:r w:rsidRPr="00863ED6">
              <w:rPr>
                <w:rFonts w:ascii="Arial" w:hAnsi="Arial" w:cs="Arial"/>
                <w:b/>
                <w:bCs/>
              </w:rPr>
              <w:t>Latin America</w:t>
            </w:r>
          </w:p>
        </w:tc>
        <w:tc>
          <w:tcPr>
            <w:tcW w:w="1536" w:type="dxa"/>
            <w:tcBorders>
              <w:top w:val="single" w:sz="6" w:space="0" w:color="000000"/>
              <w:bottom w:val="single" w:sz="6" w:space="0" w:color="000000"/>
            </w:tcBorders>
          </w:tcPr>
          <w:p w14:paraId="72B6DFCA" w14:textId="77777777" w:rsidR="00863ED6" w:rsidRPr="00863ED6" w:rsidRDefault="00863ED6" w:rsidP="00863ED6">
            <w:pPr>
              <w:pStyle w:val="Body"/>
              <w:jc w:val="center"/>
              <w:rPr>
                <w:rFonts w:ascii="Arial" w:hAnsi="Arial" w:cs="Arial"/>
              </w:rPr>
            </w:pPr>
            <w:r w:rsidRPr="00863ED6">
              <w:rPr>
                <w:rFonts w:ascii="Arial" w:hAnsi="Arial" w:cs="Arial"/>
              </w:rPr>
              <w:t>5 (20.8%)</w:t>
            </w:r>
          </w:p>
        </w:tc>
        <w:tc>
          <w:tcPr>
            <w:tcW w:w="1808" w:type="dxa"/>
            <w:tcBorders>
              <w:top w:val="single" w:sz="6" w:space="0" w:color="000000"/>
              <w:bottom w:val="single" w:sz="6" w:space="0" w:color="000000"/>
            </w:tcBorders>
          </w:tcPr>
          <w:p w14:paraId="6CB44237" w14:textId="77777777" w:rsidR="00863ED6" w:rsidRPr="00863ED6" w:rsidRDefault="00863ED6" w:rsidP="00863ED6">
            <w:pPr>
              <w:pStyle w:val="Body"/>
              <w:jc w:val="center"/>
              <w:rPr>
                <w:rFonts w:ascii="Arial" w:hAnsi="Arial" w:cs="Arial"/>
              </w:rPr>
            </w:pPr>
            <w:r w:rsidRPr="00863ED6">
              <w:rPr>
                <w:rFonts w:ascii="Arial" w:hAnsi="Arial" w:cs="Arial"/>
              </w:rPr>
              <w:t>8 (25.8%)</w:t>
            </w:r>
          </w:p>
        </w:tc>
        <w:tc>
          <w:tcPr>
            <w:tcW w:w="1650" w:type="dxa"/>
            <w:tcBorders>
              <w:top w:val="single" w:sz="6" w:space="0" w:color="000000"/>
              <w:bottom w:val="single" w:sz="6" w:space="0" w:color="000000"/>
            </w:tcBorders>
          </w:tcPr>
          <w:p w14:paraId="5A5D1F4E" w14:textId="77777777" w:rsidR="00863ED6" w:rsidRPr="00863ED6" w:rsidRDefault="00863ED6" w:rsidP="00863ED6">
            <w:pPr>
              <w:pStyle w:val="Body"/>
              <w:jc w:val="center"/>
              <w:rPr>
                <w:rFonts w:ascii="Arial" w:hAnsi="Arial" w:cs="Arial"/>
              </w:rPr>
            </w:pPr>
            <w:r w:rsidRPr="00863ED6">
              <w:rPr>
                <w:rFonts w:ascii="Arial" w:hAnsi="Arial" w:cs="Arial"/>
              </w:rPr>
              <w:t>13 (23.6%)</w:t>
            </w:r>
          </w:p>
        </w:tc>
      </w:tr>
      <w:tr w:rsidR="00863ED6" w:rsidRPr="00863ED6" w14:paraId="78C22E5A" w14:textId="77777777" w:rsidTr="00410C76">
        <w:trPr>
          <w:jc w:val="center"/>
        </w:trPr>
        <w:tc>
          <w:tcPr>
            <w:tcW w:w="2322" w:type="dxa"/>
            <w:tcBorders>
              <w:top w:val="single" w:sz="6" w:space="0" w:color="000000"/>
              <w:bottom w:val="single" w:sz="6" w:space="0" w:color="000000"/>
            </w:tcBorders>
          </w:tcPr>
          <w:p w14:paraId="6E42E8F2" w14:textId="77777777" w:rsidR="00863ED6" w:rsidRPr="00863ED6" w:rsidRDefault="00863ED6" w:rsidP="00863ED6">
            <w:pPr>
              <w:pStyle w:val="Body"/>
              <w:jc w:val="center"/>
              <w:rPr>
                <w:rFonts w:ascii="Arial" w:hAnsi="Arial" w:cs="Arial"/>
                <w:b/>
                <w:bCs/>
              </w:rPr>
            </w:pPr>
            <w:r w:rsidRPr="00863ED6">
              <w:rPr>
                <w:rFonts w:ascii="Arial" w:hAnsi="Arial" w:cs="Arial"/>
                <w:b/>
                <w:bCs/>
              </w:rPr>
              <w:t>Africa</w:t>
            </w:r>
          </w:p>
        </w:tc>
        <w:tc>
          <w:tcPr>
            <w:tcW w:w="1536" w:type="dxa"/>
            <w:tcBorders>
              <w:top w:val="single" w:sz="6" w:space="0" w:color="000000"/>
              <w:bottom w:val="single" w:sz="6" w:space="0" w:color="000000"/>
            </w:tcBorders>
          </w:tcPr>
          <w:p w14:paraId="17EF7318" w14:textId="77777777" w:rsidR="00863ED6" w:rsidRPr="00863ED6" w:rsidRDefault="00863ED6" w:rsidP="00863ED6">
            <w:pPr>
              <w:pStyle w:val="Body"/>
              <w:jc w:val="center"/>
              <w:rPr>
                <w:rFonts w:ascii="Arial" w:hAnsi="Arial" w:cs="Arial"/>
              </w:rPr>
            </w:pPr>
            <w:r w:rsidRPr="00863ED6">
              <w:rPr>
                <w:rFonts w:ascii="Arial" w:hAnsi="Arial" w:cs="Arial"/>
              </w:rPr>
              <w:t>2 (8.3%)</w:t>
            </w:r>
          </w:p>
        </w:tc>
        <w:tc>
          <w:tcPr>
            <w:tcW w:w="1808" w:type="dxa"/>
            <w:tcBorders>
              <w:top w:val="single" w:sz="6" w:space="0" w:color="000000"/>
              <w:bottom w:val="single" w:sz="6" w:space="0" w:color="000000"/>
            </w:tcBorders>
          </w:tcPr>
          <w:p w14:paraId="581F17D7" w14:textId="77777777" w:rsidR="00863ED6" w:rsidRPr="00863ED6" w:rsidRDefault="00863ED6" w:rsidP="00863ED6">
            <w:pPr>
              <w:pStyle w:val="Body"/>
              <w:jc w:val="center"/>
              <w:rPr>
                <w:rFonts w:ascii="Arial" w:hAnsi="Arial" w:cs="Arial"/>
              </w:rPr>
            </w:pPr>
            <w:r w:rsidRPr="00863ED6">
              <w:rPr>
                <w:rFonts w:ascii="Arial" w:hAnsi="Arial" w:cs="Arial"/>
              </w:rPr>
              <w:t>2 (6.4%)</w:t>
            </w:r>
          </w:p>
        </w:tc>
        <w:tc>
          <w:tcPr>
            <w:tcW w:w="1650" w:type="dxa"/>
            <w:tcBorders>
              <w:top w:val="single" w:sz="6" w:space="0" w:color="000000"/>
              <w:bottom w:val="single" w:sz="6" w:space="0" w:color="000000"/>
            </w:tcBorders>
          </w:tcPr>
          <w:p w14:paraId="3BE26ED1" w14:textId="77777777" w:rsidR="00863ED6" w:rsidRPr="00863ED6" w:rsidRDefault="00863ED6" w:rsidP="00863ED6">
            <w:pPr>
              <w:pStyle w:val="Body"/>
              <w:jc w:val="center"/>
              <w:rPr>
                <w:rFonts w:ascii="Arial" w:hAnsi="Arial" w:cs="Arial"/>
              </w:rPr>
            </w:pPr>
            <w:r w:rsidRPr="00863ED6">
              <w:rPr>
                <w:rFonts w:ascii="Arial" w:hAnsi="Arial" w:cs="Arial"/>
              </w:rPr>
              <w:t>4 (7.2%)</w:t>
            </w:r>
          </w:p>
        </w:tc>
      </w:tr>
      <w:tr w:rsidR="00863ED6" w:rsidRPr="00863ED6" w14:paraId="7ACDB024" w14:textId="77777777" w:rsidTr="00410C76">
        <w:trPr>
          <w:jc w:val="center"/>
        </w:trPr>
        <w:tc>
          <w:tcPr>
            <w:tcW w:w="2322" w:type="dxa"/>
            <w:tcBorders>
              <w:top w:val="single" w:sz="6" w:space="0" w:color="000000"/>
              <w:bottom w:val="single" w:sz="6" w:space="0" w:color="000000"/>
            </w:tcBorders>
          </w:tcPr>
          <w:p w14:paraId="4C791826" w14:textId="77777777" w:rsidR="00863ED6" w:rsidRPr="00863ED6" w:rsidRDefault="00863ED6" w:rsidP="00863ED6">
            <w:pPr>
              <w:pStyle w:val="Body"/>
              <w:jc w:val="center"/>
              <w:rPr>
                <w:rFonts w:ascii="Arial" w:hAnsi="Arial" w:cs="Arial"/>
                <w:b/>
                <w:bCs/>
              </w:rPr>
            </w:pPr>
            <w:r w:rsidRPr="00863ED6">
              <w:rPr>
                <w:rFonts w:ascii="Arial" w:hAnsi="Arial" w:cs="Arial"/>
                <w:b/>
                <w:bCs/>
              </w:rPr>
              <w:t>Middle East</w:t>
            </w:r>
          </w:p>
        </w:tc>
        <w:tc>
          <w:tcPr>
            <w:tcW w:w="1536" w:type="dxa"/>
            <w:tcBorders>
              <w:top w:val="single" w:sz="6" w:space="0" w:color="000000"/>
              <w:bottom w:val="single" w:sz="6" w:space="0" w:color="000000"/>
            </w:tcBorders>
          </w:tcPr>
          <w:p w14:paraId="5CA0418B" w14:textId="77777777" w:rsidR="00863ED6" w:rsidRPr="00863ED6" w:rsidRDefault="00863ED6" w:rsidP="00863ED6">
            <w:pPr>
              <w:pStyle w:val="Body"/>
              <w:jc w:val="center"/>
              <w:rPr>
                <w:rFonts w:ascii="Arial" w:hAnsi="Arial" w:cs="Arial"/>
              </w:rPr>
            </w:pPr>
            <w:r w:rsidRPr="00863ED6">
              <w:rPr>
                <w:rFonts w:ascii="Arial" w:hAnsi="Arial" w:cs="Arial"/>
              </w:rPr>
              <w:t>1 (4.1%)</w:t>
            </w:r>
          </w:p>
        </w:tc>
        <w:tc>
          <w:tcPr>
            <w:tcW w:w="1808" w:type="dxa"/>
            <w:tcBorders>
              <w:top w:val="single" w:sz="6" w:space="0" w:color="000000"/>
              <w:bottom w:val="single" w:sz="6" w:space="0" w:color="000000"/>
            </w:tcBorders>
          </w:tcPr>
          <w:p w14:paraId="0AFF663D" w14:textId="77777777" w:rsidR="00863ED6" w:rsidRPr="00863ED6" w:rsidRDefault="00863ED6" w:rsidP="00863ED6">
            <w:pPr>
              <w:pStyle w:val="Body"/>
              <w:jc w:val="center"/>
              <w:rPr>
                <w:rFonts w:ascii="Arial" w:hAnsi="Arial" w:cs="Arial"/>
              </w:rPr>
            </w:pPr>
            <w:r w:rsidRPr="00863ED6">
              <w:rPr>
                <w:rFonts w:ascii="Arial" w:hAnsi="Arial" w:cs="Arial"/>
              </w:rPr>
              <w:t>1 (3.2%)</w:t>
            </w:r>
          </w:p>
        </w:tc>
        <w:tc>
          <w:tcPr>
            <w:tcW w:w="1650" w:type="dxa"/>
            <w:tcBorders>
              <w:top w:val="single" w:sz="6" w:space="0" w:color="000000"/>
              <w:bottom w:val="single" w:sz="6" w:space="0" w:color="000000"/>
            </w:tcBorders>
          </w:tcPr>
          <w:p w14:paraId="0301E57D" w14:textId="77777777" w:rsidR="00863ED6" w:rsidRPr="00863ED6" w:rsidRDefault="00863ED6" w:rsidP="00863ED6">
            <w:pPr>
              <w:pStyle w:val="Body"/>
              <w:jc w:val="center"/>
              <w:rPr>
                <w:rFonts w:ascii="Arial" w:hAnsi="Arial" w:cs="Arial"/>
              </w:rPr>
            </w:pPr>
            <w:r w:rsidRPr="00863ED6">
              <w:rPr>
                <w:rFonts w:ascii="Arial" w:hAnsi="Arial" w:cs="Arial"/>
              </w:rPr>
              <w:t>2 (3.6%)</w:t>
            </w:r>
          </w:p>
        </w:tc>
      </w:tr>
      <w:tr w:rsidR="00863ED6" w:rsidRPr="00863ED6" w14:paraId="31A0931B" w14:textId="77777777" w:rsidTr="00410C76">
        <w:trPr>
          <w:jc w:val="center"/>
        </w:trPr>
        <w:tc>
          <w:tcPr>
            <w:tcW w:w="2322" w:type="dxa"/>
            <w:tcBorders>
              <w:top w:val="single" w:sz="6" w:space="0" w:color="000000"/>
              <w:bottom w:val="single" w:sz="6" w:space="0" w:color="000000"/>
            </w:tcBorders>
          </w:tcPr>
          <w:p w14:paraId="3FEB5D13" w14:textId="77777777" w:rsidR="00863ED6" w:rsidRPr="00863ED6" w:rsidRDefault="00863ED6" w:rsidP="00863ED6">
            <w:pPr>
              <w:pStyle w:val="Body"/>
              <w:jc w:val="center"/>
              <w:rPr>
                <w:rFonts w:ascii="Arial" w:hAnsi="Arial" w:cs="Arial"/>
                <w:b/>
                <w:bCs/>
              </w:rPr>
            </w:pPr>
            <w:r w:rsidRPr="00863ED6">
              <w:rPr>
                <w:rFonts w:ascii="Arial" w:hAnsi="Arial" w:cs="Arial"/>
                <w:b/>
                <w:bCs/>
              </w:rPr>
              <w:t>East Asia</w:t>
            </w:r>
          </w:p>
        </w:tc>
        <w:tc>
          <w:tcPr>
            <w:tcW w:w="1536" w:type="dxa"/>
            <w:tcBorders>
              <w:top w:val="single" w:sz="6" w:space="0" w:color="000000"/>
              <w:bottom w:val="single" w:sz="6" w:space="0" w:color="000000"/>
            </w:tcBorders>
          </w:tcPr>
          <w:p w14:paraId="435E8662" w14:textId="77777777" w:rsidR="00863ED6" w:rsidRPr="00863ED6" w:rsidRDefault="00863ED6" w:rsidP="00863ED6">
            <w:pPr>
              <w:pStyle w:val="Body"/>
              <w:jc w:val="center"/>
              <w:rPr>
                <w:rFonts w:ascii="Arial" w:hAnsi="Arial" w:cs="Arial"/>
              </w:rPr>
            </w:pPr>
            <w:r w:rsidRPr="00863ED6">
              <w:rPr>
                <w:rFonts w:ascii="Arial" w:hAnsi="Arial" w:cs="Arial"/>
              </w:rPr>
              <w:t>4 (16.6%)</w:t>
            </w:r>
          </w:p>
        </w:tc>
        <w:tc>
          <w:tcPr>
            <w:tcW w:w="1808" w:type="dxa"/>
            <w:tcBorders>
              <w:top w:val="single" w:sz="6" w:space="0" w:color="000000"/>
              <w:bottom w:val="single" w:sz="6" w:space="0" w:color="000000"/>
            </w:tcBorders>
          </w:tcPr>
          <w:p w14:paraId="1C562755" w14:textId="77777777" w:rsidR="00863ED6" w:rsidRPr="00863ED6" w:rsidRDefault="00863ED6" w:rsidP="00863ED6">
            <w:pPr>
              <w:pStyle w:val="Body"/>
              <w:jc w:val="center"/>
              <w:rPr>
                <w:rFonts w:ascii="Arial" w:hAnsi="Arial" w:cs="Arial"/>
              </w:rPr>
            </w:pPr>
            <w:r w:rsidRPr="00863ED6">
              <w:rPr>
                <w:rFonts w:ascii="Arial" w:hAnsi="Arial" w:cs="Arial"/>
              </w:rPr>
              <w:t>4 (12.9%)</w:t>
            </w:r>
          </w:p>
        </w:tc>
        <w:tc>
          <w:tcPr>
            <w:tcW w:w="1650" w:type="dxa"/>
            <w:tcBorders>
              <w:top w:val="single" w:sz="6" w:space="0" w:color="000000"/>
              <w:bottom w:val="single" w:sz="6" w:space="0" w:color="000000"/>
            </w:tcBorders>
          </w:tcPr>
          <w:p w14:paraId="302FB787" w14:textId="77777777" w:rsidR="00863ED6" w:rsidRPr="00863ED6" w:rsidRDefault="00863ED6" w:rsidP="00863ED6">
            <w:pPr>
              <w:pStyle w:val="Body"/>
              <w:jc w:val="center"/>
              <w:rPr>
                <w:rFonts w:ascii="Arial" w:hAnsi="Arial" w:cs="Arial"/>
              </w:rPr>
            </w:pPr>
            <w:r w:rsidRPr="00863ED6">
              <w:rPr>
                <w:rFonts w:ascii="Arial" w:hAnsi="Arial" w:cs="Arial"/>
              </w:rPr>
              <w:t>8 (14.5%)</w:t>
            </w:r>
          </w:p>
        </w:tc>
      </w:tr>
      <w:tr w:rsidR="00863ED6" w:rsidRPr="00863ED6" w14:paraId="0F745E5C" w14:textId="77777777" w:rsidTr="00410C76">
        <w:trPr>
          <w:jc w:val="center"/>
        </w:trPr>
        <w:tc>
          <w:tcPr>
            <w:tcW w:w="2322" w:type="dxa"/>
            <w:tcBorders>
              <w:top w:val="single" w:sz="6" w:space="0" w:color="000000"/>
              <w:bottom w:val="single" w:sz="6" w:space="0" w:color="000000"/>
            </w:tcBorders>
          </w:tcPr>
          <w:p w14:paraId="78383D36" w14:textId="77777777" w:rsidR="00863ED6" w:rsidRPr="00863ED6" w:rsidRDefault="00863ED6" w:rsidP="00863ED6">
            <w:pPr>
              <w:pStyle w:val="Body"/>
              <w:jc w:val="center"/>
              <w:rPr>
                <w:rFonts w:ascii="Arial" w:hAnsi="Arial" w:cs="Arial"/>
                <w:b/>
                <w:bCs/>
              </w:rPr>
            </w:pPr>
            <w:r w:rsidRPr="00863ED6">
              <w:rPr>
                <w:rFonts w:ascii="Arial" w:hAnsi="Arial" w:cs="Arial"/>
                <w:b/>
                <w:bCs/>
              </w:rPr>
              <w:t>East Europe</w:t>
            </w:r>
          </w:p>
        </w:tc>
        <w:tc>
          <w:tcPr>
            <w:tcW w:w="1536" w:type="dxa"/>
            <w:tcBorders>
              <w:top w:val="single" w:sz="6" w:space="0" w:color="000000"/>
              <w:bottom w:val="single" w:sz="6" w:space="0" w:color="000000"/>
            </w:tcBorders>
          </w:tcPr>
          <w:p w14:paraId="2091289F" w14:textId="77777777" w:rsidR="00863ED6" w:rsidRPr="00863ED6" w:rsidRDefault="00863ED6" w:rsidP="00863ED6">
            <w:pPr>
              <w:pStyle w:val="Body"/>
              <w:jc w:val="center"/>
              <w:rPr>
                <w:rFonts w:ascii="Arial" w:hAnsi="Arial" w:cs="Arial"/>
              </w:rPr>
            </w:pPr>
            <w:r w:rsidRPr="00863ED6">
              <w:rPr>
                <w:rFonts w:ascii="Arial" w:hAnsi="Arial" w:cs="Arial"/>
              </w:rPr>
              <w:t>-</w:t>
            </w:r>
          </w:p>
        </w:tc>
        <w:tc>
          <w:tcPr>
            <w:tcW w:w="1808" w:type="dxa"/>
            <w:tcBorders>
              <w:top w:val="single" w:sz="6" w:space="0" w:color="000000"/>
              <w:bottom w:val="single" w:sz="6" w:space="0" w:color="000000"/>
            </w:tcBorders>
          </w:tcPr>
          <w:p w14:paraId="7BD013BB" w14:textId="77777777" w:rsidR="00863ED6" w:rsidRPr="00863ED6" w:rsidRDefault="00863ED6" w:rsidP="00863ED6">
            <w:pPr>
              <w:pStyle w:val="Body"/>
              <w:jc w:val="center"/>
              <w:rPr>
                <w:rFonts w:ascii="Arial" w:hAnsi="Arial" w:cs="Arial"/>
              </w:rPr>
            </w:pPr>
            <w:r w:rsidRPr="00863ED6">
              <w:rPr>
                <w:rFonts w:ascii="Arial" w:hAnsi="Arial" w:cs="Arial"/>
              </w:rPr>
              <w:t>1 (3.2%)</w:t>
            </w:r>
          </w:p>
        </w:tc>
        <w:tc>
          <w:tcPr>
            <w:tcW w:w="1650" w:type="dxa"/>
            <w:tcBorders>
              <w:top w:val="single" w:sz="6" w:space="0" w:color="000000"/>
              <w:bottom w:val="single" w:sz="6" w:space="0" w:color="000000"/>
            </w:tcBorders>
          </w:tcPr>
          <w:p w14:paraId="7891E112" w14:textId="77777777" w:rsidR="00863ED6" w:rsidRPr="00863ED6" w:rsidRDefault="00863ED6" w:rsidP="00863ED6">
            <w:pPr>
              <w:pStyle w:val="Body"/>
              <w:jc w:val="center"/>
              <w:rPr>
                <w:rFonts w:ascii="Arial" w:hAnsi="Arial" w:cs="Arial"/>
              </w:rPr>
            </w:pPr>
            <w:r w:rsidRPr="00863ED6">
              <w:rPr>
                <w:rFonts w:ascii="Arial" w:hAnsi="Arial" w:cs="Arial"/>
              </w:rPr>
              <w:t>1 (1.8%)</w:t>
            </w:r>
          </w:p>
        </w:tc>
      </w:tr>
      <w:tr w:rsidR="00863ED6" w:rsidRPr="00863ED6" w14:paraId="25DBF8C3" w14:textId="77777777" w:rsidTr="00410C76">
        <w:trPr>
          <w:jc w:val="center"/>
        </w:trPr>
        <w:tc>
          <w:tcPr>
            <w:tcW w:w="2322" w:type="dxa"/>
            <w:tcBorders>
              <w:top w:val="single" w:sz="6" w:space="0" w:color="000000"/>
              <w:bottom w:val="single" w:sz="6" w:space="0" w:color="000000"/>
            </w:tcBorders>
          </w:tcPr>
          <w:p w14:paraId="7E54BBC5" w14:textId="77777777" w:rsidR="00863ED6" w:rsidRPr="00863ED6" w:rsidRDefault="00863ED6" w:rsidP="00863ED6">
            <w:pPr>
              <w:pStyle w:val="Body"/>
              <w:jc w:val="center"/>
              <w:rPr>
                <w:rFonts w:ascii="Arial" w:hAnsi="Arial" w:cs="Arial"/>
                <w:b/>
                <w:bCs/>
              </w:rPr>
            </w:pPr>
            <w:r w:rsidRPr="00863ED6">
              <w:rPr>
                <w:rFonts w:ascii="Arial" w:hAnsi="Arial" w:cs="Arial"/>
                <w:b/>
                <w:bCs/>
              </w:rPr>
              <w:t>Asia</w:t>
            </w:r>
          </w:p>
        </w:tc>
        <w:tc>
          <w:tcPr>
            <w:tcW w:w="1536" w:type="dxa"/>
            <w:tcBorders>
              <w:top w:val="single" w:sz="6" w:space="0" w:color="000000"/>
              <w:bottom w:val="single" w:sz="6" w:space="0" w:color="000000"/>
            </w:tcBorders>
          </w:tcPr>
          <w:p w14:paraId="13B4784B" w14:textId="77777777" w:rsidR="00863ED6" w:rsidRPr="00863ED6" w:rsidRDefault="00863ED6" w:rsidP="00863ED6">
            <w:pPr>
              <w:pStyle w:val="Body"/>
              <w:jc w:val="center"/>
              <w:rPr>
                <w:rFonts w:ascii="Arial" w:hAnsi="Arial" w:cs="Arial"/>
              </w:rPr>
            </w:pPr>
            <w:r w:rsidRPr="00863ED6">
              <w:rPr>
                <w:rFonts w:ascii="Arial" w:hAnsi="Arial" w:cs="Arial"/>
              </w:rPr>
              <w:t>2 (8.3%)</w:t>
            </w:r>
          </w:p>
        </w:tc>
        <w:tc>
          <w:tcPr>
            <w:tcW w:w="1808" w:type="dxa"/>
            <w:tcBorders>
              <w:top w:val="single" w:sz="6" w:space="0" w:color="000000"/>
              <w:bottom w:val="single" w:sz="6" w:space="0" w:color="000000"/>
            </w:tcBorders>
          </w:tcPr>
          <w:p w14:paraId="0D779550" w14:textId="77777777" w:rsidR="00863ED6" w:rsidRPr="00863ED6" w:rsidRDefault="00863ED6" w:rsidP="00863ED6">
            <w:pPr>
              <w:pStyle w:val="Body"/>
              <w:jc w:val="center"/>
              <w:rPr>
                <w:rFonts w:ascii="Arial" w:hAnsi="Arial" w:cs="Arial"/>
              </w:rPr>
            </w:pPr>
            <w:r w:rsidRPr="00863ED6">
              <w:rPr>
                <w:rFonts w:ascii="Arial" w:hAnsi="Arial" w:cs="Arial"/>
              </w:rPr>
              <w:t>3 (5.4%)</w:t>
            </w:r>
          </w:p>
        </w:tc>
        <w:tc>
          <w:tcPr>
            <w:tcW w:w="1650" w:type="dxa"/>
            <w:tcBorders>
              <w:top w:val="single" w:sz="6" w:space="0" w:color="000000"/>
              <w:bottom w:val="single" w:sz="6" w:space="0" w:color="000000"/>
            </w:tcBorders>
          </w:tcPr>
          <w:p w14:paraId="3FA7DD27" w14:textId="77777777" w:rsidR="00863ED6" w:rsidRPr="00863ED6" w:rsidRDefault="00863ED6" w:rsidP="00863ED6">
            <w:pPr>
              <w:pStyle w:val="Body"/>
              <w:jc w:val="center"/>
              <w:rPr>
                <w:rFonts w:ascii="Arial" w:hAnsi="Arial" w:cs="Arial"/>
              </w:rPr>
            </w:pPr>
            <w:r w:rsidRPr="00863ED6">
              <w:rPr>
                <w:rFonts w:ascii="Arial" w:hAnsi="Arial" w:cs="Arial"/>
              </w:rPr>
              <w:t>5 (9%)</w:t>
            </w:r>
          </w:p>
        </w:tc>
      </w:tr>
      <w:tr w:rsidR="00863ED6" w:rsidRPr="00863ED6" w14:paraId="1B2B6EF6" w14:textId="77777777" w:rsidTr="00410C76">
        <w:trPr>
          <w:jc w:val="center"/>
        </w:trPr>
        <w:tc>
          <w:tcPr>
            <w:tcW w:w="2322" w:type="dxa"/>
            <w:tcBorders>
              <w:top w:val="single" w:sz="6" w:space="0" w:color="000000"/>
              <w:bottom w:val="single" w:sz="6" w:space="0" w:color="000000"/>
            </w:tcBorders>
          </w:tcPr>
          <w:p w14:paraId="02E31148" w14:textId="77777777" w:rsidR="00863ED6" w:rsidRPr="00863ED6" w:rsidRDefault="00863ED6" w:rsidP="00863ED6">
            <w:pPr>
              <w:pStyle w:val="Body"/>
              <w:jc w:val="center"/>
              <w:rPr>
                <w:rFonts w:ascii="Arial" w:hAnsi="Arial" w:cs="Arial"/>
                <w:b/>
                <w:bCs/>
              </w:rPr>
            </w:pPr>
            <w:r w:rsidRPr="00863ED6">
              <w:rPr>
                <w:rFonts w:ascii="Arial" w:hAnsi="Arial" w:cs="Arial"/>
                <w:b/>
                <w:bCs/>
              </w:rPr>
              <w:t>Balkans</w:t>
            </w:r>
          </w:p>
        </w:tc>
        <w:tc>
          <w:tcPr>
            <w:tcW w:w="1536" w:type="dxa"/>
            <w:tcBorders>
              <w:top w:val="single" w:sz="6" w:space="0" w:color="000000"/>
              <w:bottom w:val="single" w:sz="6" w:space="0" w:color="000000"/>
            </w:tcBorders>
          </w:tcPr>
          <w:p w14:paraId="5C1AB2B9" w14:textId="77777777" w:rsidR="00863ED6" w:rsidRPr="00863ED6" w:rsidRDefault="00863ED6" w:rsidP="00863ED6">
            <w:pPr>
              <w:pStyle w:val="Body"/>
              <w:jc w:val="center"/>
              <w:rPr>
                <w:rFonts w:ascii="Arial" w:hAnsi="Arial" w:cs="Arial"/>
              </w:rPr>
            </w:pPr>
            <w:r w:rsidRPr="00863ED6">
              <w:rPr>
                <w:rFonts w:ascii="Arial" w:hAnsi="Arial" w:cs="Arial"/>
              </w:rPr>
              <w:t>1 (4.1%)</w:t>
            </w:r>
          </w:p>
        </w:tc>
        <w:tc>
          <w:tcPr>
            <w:tcW w:w="1808" w:type="dxa"/>
            <w:tcBorders>
              <w:top w:val="single" w:sz="6" w:space="0" w:color="000000"/>
              <w:bottom w:val="single" w:sz="6" w:space="0" w:color="000000"/>
            </w:tcBorders>
          </w:tcPr>
          <w:p w14:paraId="07474C90" w14:textId="77777777" w:rsidR="00863ED6" w:rsidRPr="00863ED6" w:rsidRDefault="00863ED6" w:rsidP="00863ED6">
            <w:pPr>
              <w:pStyle w:val="Body"/>
              <w:jc w:val="center"/>
              <w:rPr>
                <w:rFonts w:ascii="Arial" w:hAnsi="Arial" w:cs="Arial"/>
              </w:rPr>
            </w:pPr>
            <w:r w:rsidRPr="00863ED6">
              <w:rPr>
                <w:rFonts w:ascii="Arial" w:hAnsi="Arial" w:cs="Arial"/>
              </w:rPr>
              <w:t>1 (3.2%)</w:t>
            </w:r>
          </w:p>
        </w:tc>
        <w:tc>
          <w:tcPr>
            <w:tcW w:w="1650" w:type="dxa"/>
            <w:tcBorders>
              <w:top w:val="single" w:sz="6" w:space="0" w:color="000000"/>
              <w:bottom w:val="single" w:sz="6" w:space="0" w:color="000000"/>
            </w:tcBorders>
          </w:tcPr>
          <w:p w14:paraId="5550E343" w14:textId="77777777" w:rsidR="00863ED6" w:rsidRPr="00863ED6" w:rsidRDefault="00863ED6" w:rsidP="00863ED6">
            <w:pPr>
              <w:pStyle w:val="Body"/>
              <w:jc w:val="center"/>
              <w:rPr>
                <w:rFonts w:ascii="Arial" w:hAnsi="Arial" w:cs="Arial"/>
              </w:rPr>
            </w:pPr>
            <w:r w:rsidRPr="00863ED6">
              <w:rPr>
                <w:rFonts w:ascii="Arial" w:hAnsi="Arial" w:cs="Arial"/>
              </w:rPr>
              <w:t>2 (3.6%)</w:t>
            </w:r>
          </w:p>
        </w:tc>
      </w:tr>
      <w:tr w:rsidR="00863ED6" w:rsidRPr="00863ED6" w14:paraId="1A748FC9" w14:textId="77777777" w:rsidTr="00410C76">
        <w:trPr>
          <w:jc w:val="center"/>
        </w:trPr>
        <w:tc>
          <w:tcPr>
            <w:tcW w:w="2322" w:type="dxa"/>
            <w:tcBorders>
              <w:top w:val="single" w:sz="6" w:space="0" w:color="000000"/>
            </w:tcBorders>
          </w:tcPr>
          <w:p w14:paraId="6C4CA33D" w14:textId="77777777" w:rsidR="00863ED6" w:rsidRPr="00863ED6" w:rsidRDefault="00863ED6" w:rsidP="00863ED6">
            <w:pPr>
              <w:pStyle w:val="Body"/>
              <w:jc w:val="center"/>
              <w:rPr>
                <w:rFonts w:ascii="Arial" w:hAnsi="Arial" w:cs="Arial"/>
                <w:b/>
                <w:bCs/>
              </w:rPr>
            </w:pPr>
            <w:r w:rsidRPr="00863ED6">
              <w:rPr>
                <w:rFonts w:ascii="Arial" w:hAnsi="Arial" w:cs="Arial"/>
                <w:b/>
                <w:bCs/>
              </w:rPr>
              <w:t>Total</w:t>
            </w:r>
          </w:p>
        </w:tc>
        <w:tc>
          <w:tcPr>
            <w:tcW w:w="1536" w:type="dxa"/>
            <w:tcBorders>
              <w:top w:val="single" w:sz="6" w:space="0" w:color="000000"/>
            </w:tcBorders>
          </w:tcPr>
          <w:p w14:paraId="531F4D20" w14:textId="77777777" w:rsidR="00863ED6" w:rsidRPr="00863ED6" w:rsidRDefault="00863ED6" w:rsidP="00863ED6">
            <w:pPr>
              <w:pStyle w:val="Body"/>
              <w:jc w:val="center"/>
              <w:rPr>
                <w:rFonts w:ascii="Arial" w:hAnsi="Arial" w:cs="Arial"/>
              </w:rPr>
            </w:pPr>
            <w:r w:rsidRPr="00863ED6">
              <w:rPr>
                <w:rFonts w:ascii="Arial" w:hAnsi="Arial" w:cs="Arial"/>
              </w:rPr>
              <w:t>24 (100.0%)</w:t>
            </w:r>
          </w:p>
        </w:tc>
        <w:tc>
          <w:tcPr>
            <w:tcW w:w="1808" w:type="dxa"/>
            <w:tcBorders>
              <w:top w:val="single" w:sz="6" w:space="0" w:color="000000"/>
            </w:tcBorders>
          </w:tcPr>
          <w:p w14:paraId="72DEA91A" w14:textId="77777777" w:rsidR="00863ED6" w:rsidRPr="00863ED6" w:rsidRDefault="00863ED6" w:rsidP="00863ED6">
            <w:pPr>
              <w:pStyle w:val="Body"/>
              <w:jc w:val="center"/>
              <w:rPr>
                <w:rFonts w:ascii="Arial" w:hAnsi="Arial" w:cs="Arial"/>
              </w:rPr>
            </w:pPr>
            <w:r w:rsidRPr="00863ED6">
              <w:rPr>
                <w:rFonts w:ascii="Arial" w:hAnsi="Arial" w:cs="Arial"/>
              </w:rPr>
              <w:t>31 (100.0%)</w:t>
            </w:r>
          </w:p>
        </w:tc>
        <w:tc>
          <w:tcPr>
            <w:tcW w:w="1650" w:type="dxa"/>
            <w:tcBorders>
              <w:top w:val="single" w:sz="6" w:space="0" w:color="000000"/>
            </w:tcBorders>
          </w:tcPr>
          <w:p w14:paraId="630A3A89" w14:textId="77777777" w:rsidR="00863ED6" w:rsidRPr="00863ED6" w:rsidRDefault="00863ED6" w:rsidP="00863ED6">
            <w:pPr>
              <w:pStyle w:val="Body"/>
              <w:jc w:val="center"/>
              <w:rPr>
                <w:rFonts w:ascii="Arial" w:hAnsi="Arial" w:cs="Arial"/>
              </w:rPr>
            </w:pPr>
            <w:r w:rsidRPr="00863ED6">
              <w:rPr>
                <w:rFonts w:ascii="Arial" w:hAnsi="Arial" w:cs="Arial"/>
              </w:rPr>
              <w:t>55 (100.0%)</w:t>
            </w:r>
          </w:p>
        </w:tc>
      </w:tr>
    </w:tbl>
    <w:p w14:paraId="04BCC8B9" w14:textId="77777777" w:rsidR="00863ED6" w:rsidRPr="00863ED6" w:rsidRDefault="00863ED6" w:rsidP="00004263">
      <w:pPr>
        <w:pStyle w:val="Body"/>
        <w:jc w:val="center"/>
        <w:rPr>
          <w:rFonts w:ascii="Arial" w:hAnsi="Arial" w:cs="Arial"/>
          <w:i/>
          <w:iCs/>
        </w:rPr>
      </w:pPr>
      <w:r w:rsidRPr="00863ED6">
        <w:rPr>
          <w:rFonts w:ascii="Arial" w:hAnsi="Arial" w:cs="Arial"/>
          <w:i/>
          <w:iCs/>
        </w:rPr>
        <w:t>Source: Authors’ compilation from primary data</w:t>
      </w:r>
    </w:p>
    <w:p w14:paraId="596D053F" w14:textId="77777777" w:rsidR="00863ED6" w:rsidRPr="00863ED6" w:rsidRDefault="00863ED6" w:rsidP="00863ED6">
      <w:pPr>
        <w:pStyle w:val="Body"/>
        <w:rPr>
          <w:rFonts w:ascii="Arial" w:hAnsi="Arial" w:cs="Arial"/>
        </w:rPr>
      </w:pPr>
      <w:r w:rsidRPr="00863ED6">
        <w:rPr>
          <w:rFonts w:ascii="Arial" w:hAnsi="Arial" w:cs="Arial"/>
        </w:rPr>
        <w:t>When all articles are examined, it is evident that case studies published in Comparative Political Studies in the last quarter of the 20</w:t>
      </w:r>
      <w:r w:rsidRPr="00863ED6">
        <w:rPr>
          <w:rFonts w:ascii="Arial" w:hAnsi="Arial" w:cs="Arial"/>
          <w:vertAlign w:val="superscript"/>
        </w:rPr>
        <w:t>th</w:t>
      </w:r>
      <w:r w:rsidRPr="00863ED6">
        <w:rPr>
          <w:rFonts w:ascii="Arial" w:hAnsi="Arial" w:cs="Arial"/>
        </w:rPr>
        <w:t xml:space="preserve"> century do not concentrate on areas or regions evenly, but rather there are wide discrepancies between the number of case studies on each region: Western Europe is the most overrepresented area with 36.3 percent of all articles, followed by Latin America (23.6 percent) and East Asia (14.5 percent) while the least studied regions are North America (1.8 percent), East Europe (1.8 percent), Balkans (1.8 percent), Middle East (3.6), and Africa (7.2). Asia which includes large political entities such as Russian Federation and Republic of China is relatively less under-researched by case studies with 9 percent of all articles that are examined. Checking for linguistic bias and number of countries in the region, </w:t>
      </w:r>
      <w:proofErr w:type="spellStart"/>
      <w:r w:rsidRPr="00863ED6">
        <w:rPr>
          <w:rFonts w:ascii="Arial" w:hAnsi="Arial" w:cs="Arial"/>
        </w:rPr>
        <w:t>Pepinsky’s</w:t>
      </w:r>
      <w:proofErr w:type="spellEnd"/>
      <w:r w:rsidR="00925AD0">
        <w:rPr>
          <w:rFonts w:ascii="Arial" w:hAnsi="Arial" w:cs="Arial"/>
          <w:b/>
          <w:bCs/>
          <w:vertAlign w:val="superscript"/>
        </w:rPr>
        <w:t xml:space="preserve"> </w:t>
      </w:r>
      <w:r w:rsidR="00925AD0">
        <w:rPr>
          <w:rFonts w:ascii="Arial" w:hAnsi="Arial" w:cs="Arial"/>
        </w:rPr>
        <w:t xml:space="preserve">(2019) </w:t>
      </w:r>
      <w:r w:rsidRPr="00863ED6">
        <w:rPr>
          <w:rFonts w:ascii="Arial" w:hAnsi="Arial" w:cs="Arial"/>
        </w:rPr>
        <w:t xml:space="preserve">findings point at similar inequalities for the period between 1965 and 2015 in comparative politics research, and confirm the overrepresentation of Western Europe and Latin America, along with an over-representation of English- and Spanish-speaking countries. </w:t>
      </w:r>
    </w:p>
    <w:p w14:paraId="466F29E3" w14:textId="77777777" w:rsidR="00863ED6" w:rsidRDefault="00863ED6" w:rsidP="00863ED6">
      <w:pPr>
        <w:pStyle w:val="Body"/>
        <w:rPr>
          <w:rFonts w:ascii="Times New Roman" w:hAnsi="Times New Roman"/>
          <w:b/>
          <w:caps/>
          <w:sz w:val="24"/>
          <w:szCs w:val="24"/>
        </w:rPr>
      </w:pPr>
      <w:r w:rsidRPr="00863ED6">
        <w:rPr>
          <w:rFonts w:ascii="Arial" w:hAnsi="Arial" w:cs="Arial"/>
        </w:rPr>
        <w:t>After 1989, the geographical distribution of case studies published in the journal do not render significant changes. One can even observe a slight increase in Euro-</w:t>
      </w:r>
      <w:proofErr w:type="spellStart"/>
      <w:r w:rsidRPr="00863ED6">
        <w:rPr>
          <w:rFonts w:ascii="Arial" w:hAnsi="Arial" w:cs="Arial"/>
        </w:rPr>
        <w:t>centricism</w:t>
      </w:r>
      <w:proofErr w:type="spellEnd"/>
      <w:r w:rsidRPr="00863ED6">
        <w:rPr>
          <w:rFonts w:ascii="Arial" w:hAnsi="Arial" w:cs="Arial"/>
        </w:rPr>
        <w:t>. The next section discusses the reasons and implications of this political-geographical imbalance and its implications for comparative politics research.</w:t>
      </w:r>
      <w:r w:rsidRPr="00863ED6">
        <w:rPr>
          <w:rFonts w:ascii="Times New Roman" w:hAnsi="Times New Roman"/>
          <w:b/>
          <w:caps/>
          <w:sz w:val="24"/>
          <w:szCs w:val="24"/>
        </w:rPr>
        <w:t xml:space="preserve"> </w:t>
      </w:r>
    </w:p>
    <w:p w14:paraId="31A6C7CD" w14:textId="77777777" w:rsidR="00863ED6" w:rsidRPr="00863ED6" w:rsidRDefault="00863ED6" w:rsidP="00863ED6">
      <w:pPr>
        <w:pStyle w:val="ConcHead"/>
        <w:rPr>
          <w:rFonts w:ascii="Arial" w:hAnsi="Arial" w:cs="Arial"/>
        </w:rPr>
      </w:pPr>
      <w:r>
        <w:rPr>
          <w:rFonts w:ascii="Arial" w:hAnsi="Arial" w:cs="Arial"/>
        </w:rPr>
        <w:lastRenderedPageBreak/>
        <w:t xml:space="preserve">5. </w:t>
      </w:r>
      <w:r w:rsidRPr="00863ED6">
        <w:rPr>
          <w:rFonts w:ascii="Arial" w:hAnsi="Arial" w:cs="Arial"/>
        </w:rPr>
        <w:t>DISCUSSION</w:t>
      </w:r>
    </w:p>
    <w:p w14:paraId="664BD13F" w14:textId="77777777" w:rsidR="00863ED6" w:rsidRPr="00863ED6" w:rsidRDefault="00863ED6" w:rsidP="00863ED6">
      <w:pPr>
        <w:pStyle w:val="Body"/>
        <w:rPr>
          <w:rFonts w:ascii="Arial" w:hAnsi="Arial" w:cs="Arial"/>
          <w:bCs/>
        </w:rPr>
      </w:pPr>
      <w:r w:rsidRPr="00863ED6">
        <w:rPr>
          <w:rFonts w:ascii="Arial" w:hAnsi="Arial" w:cs="Arial"/>
        </w:rPr>
        <w:t>This study examines the case studies published in the journal, Comparative Political Studies between 1973 and 2011 in light of three questions. The first question pertains to the prominence of case study as a research framework in comparative studies. The critical questions emerging from the literature on case studies and comparative politics for this inquiry are</w:t>
      </w:r>
      <w:r w:rsidRPr="00863ED6">
        <w:rPr>
          <w:rFonts w:ascii="Arial" w:hAnsi="Arial" w:cs="Arial"/>
          <w:bCs/>
        </w:rPr>
        <w:t xml:space="preserve"> </w:t>
      </w:r>
      <w:r w:rsidRPr="00863ED6">
        <w:rPr>
          <w:rFonts w:ascii="Arial" w:hAnsi="Arial" w:cs="Arial"/>
        </w:rPr>
        <w:t xml:space="preserve">whether there has been a move toward more generalization in comparative politics as the critiques of case studies normatively have suggested since the 1990s. </w:t>
      </w:r>
    </w:p>
    <w:p w14:paraId="05A74C8F" w14:textId="77777777" w:rsidR="00863ED6" w:rsidRPr="00863ED6" w:rsidRDefault="00863ED6" w:rsidP="00863ED6">
      <w:pPr>
        <w:pStyle w:val="Body"/>
        <w:rPr>
          <w:rFonts w:ascii="Arial" w:hAnsi="Arial" w:cs="Arial"/>
          <w:b/>
          <w:bCs/>
        </w:rPr>
      </w:pPr>
      <w:r w:rsidRPr="00863ED6">
        <w:rPr>
          <w:rFonts w:ascii="Arial" w:hAnsi="Arial" w:cs="Arial"/>
        </w:rPr>
        <w:t>Though case studies have a prominent role in the journal, one can also observe a decline after 1989. A similar transformation has been observed in the related field of international relations where the number of case studies and qualitative studies lacking an explicit methodology in the top journals fell steadily between 1980 and 2000 with a commensurate rise in quantitative methods and a small rise in cross-method studies</w:t>
      </w:r>
      <w:r w:rsidR="00925AD0" w:rsidRPr="00925AD0">
        <w:rPr>
          <w:rFonts w:ascii="Arial" w:hAnsi="Arial" w:cs="Arial"/>
        </w:rPr>
        <w:t xml:space="preserve"> (Sprinz and Wolinsky-Nahmias, 2004).</w:t>
      </w:r>
      <w:r w:rsidRPr="00863ED6">
        <w:rPr>
          <w:rFonts w:ascii="Arial" w:hAnsi="Arial" w:cs="Arial"/>
        </w:rPr>
        <w:t xml:space="preserve"> Covering this period, research on comparative politics observes a decline in case studies</w:t>
      </w:r>
      <w:r w:rsidR="00925AD0">
        <w:rPr>
          <w:rFonts w:ascii="Arial" w:hAnsi="Arial" w:cs="Arial"/>
        </w:rPr>
        <w:t xml:space="preserve"> (Pepinsky, 2019)</w:t>
      </w:r>
      <w:r w:rsidRPr="00863ED6">
        <w:rPr>
          <w:rFonts w:ascii="Arial" w:hAnsi="Arial" w:cs="Arial"/>
        </w:rPr>
        <w:t>, and a trend to quantitative analysis</w:t>
      </w:r>
      <w:r w:rsidR="00925AD0">
        <w:rPr>
          <w:rFonts w:ascii="Arial" w:hAnsi="Arial" w:cs="Arial"/>
        </w:rPr>
        <w:t xml:space="preserve"> (Mahoney, 2007; Hawkins, 2009)</w:t>
      </w:r>
      <w:r w:rsidRPr="00863ED6">
        <w:rPr>
          <w:rFonts w:ascii="Arial" w:hAnsi="Arial" w:cs="Arial"/>
        </w:rPr>
        <w:t>, along with a shift towards large-N, rational choice-based and experimental research</w:t>
      </w:r>
      <w:r w:rsidR="00925AD0">
        <w:rPr>
          <w:rFonts w:ascii="Arial" w:hAnsi="Arial" w:cs="Arial"/>
        </w:rPr>
        <w:t xml:space="preserve"> (Tarrow, 2021)</w:t>
      </w:r>
      <w:r w:rsidRPr="00863ED6">
        <w:rPr>
          <w:rFonts w:ascii="Arial" w:hAnsi="Arial" w:cs="Arial"/>
        </w:rPr>
        <w:t>. For the post-2000 period, however, studies underline a resurgence of single-country research in comparative politics, displaying a changing nature and a renewed concern with internal validity</w:t>
      </w:r>
      <w:r w:rsidR="00925AD0">
        <w:rPr>
          <w:rFonts w:ascii="Arial" w:hAnsi="Arial" w:cs="Arial"/>
        </w:rPr>
        <w:t xml:space="preserve"> (</w:t>
      </w:r>
      <w:proofErr w:type="spellStart"/>
      <w:r w:rsidR="00925AD0">
        <w:rPr>
          <w:rFonts w:ascii="Arial" w:hAnsi="Arial" w:cs="Arial"/>
        </w:rPr>
        <w:t>Pepinsky</w:t>
      </w:r>
      <w:proofErr w:type="spellEnd"/>
      <w:r w:rsidR="00925AD0">
        <w:rPr>
          <w:rFonts w:ascii="Arial" w:hAnsi="Arial" w:cs="Arial"/>
        </w:rPr>
        <w:t>, 2019)</w:t>
      </w:r>
      <w:r w:rsidRPr="00863ED6">
        <w:rPr>
          <w:rFonts w:ascii="Arial" w:hAnsi="Arial" w:cs="Arial"/>
        </w:rPr>
        <w:t>.</w:t>
      </w:r>
      <w:r w:rsidRPr="00863ED6">
        <w:rPr>
          <w:rFonts w:ascii="Arial" w:hAnsi="Arial" w:cs="Arial"/>
          <w:vertAlign w:val="superscript"/>
        </w:rPr>
        <w:t xml:space="preserve"> </w:t>
      </w:r>
    </w:p>
    <w:p w14:paraId="7E30C849" w14:textId="77777777" w:rsidR="00863ED6" w:rsidRPr="00863ED6" w:rsidRDefault="00863ED6" w:rsidP="00863ED6">
      <w:pPr>
        <w:pStyle w:val="Body"/>
        <w:rPr>
          <w:rFonts w:ascii="Arial" w:hAnsi="Arial" w:cs="Arial"/>
        </w:rPr>
      </w:pPr>
      <w:r w:rsidRPr="00863ED6">
        <w:rPr>
          <w:rFonts w:ascii="Arial" w:hAnsi="Arial" w:cs="Arial"/>
        </w:rPr>
        <w:t>Yet, this decline of case studies in comparative politics research might not be solely due to the critiques of case study framework, but various changes in technology and communication, and political and ideological shifts brought by the processes of globalization might have facilitated it. In the post-1989 period, cross-national studies might have been relatively easier and more convenient to conduct with the help of advanced data-processing techniques, increased communication among researchers, availability of data on the internet, and increasing research collaboration and funding opportunities. Therefore, the limitations which have, in a sense, obligated researchers to case studies might have been less effective for researchers in some geographies. Furthermore, one can also state that discourse on globalization which have had its peak with the 1990s might have also triggered a general trend towards generalization, leading to a decline in the prestige of case studies.</w:t>
      </w:r>
    </w:p>
    <w:p w14:paraId="30809D85" w14:textId="77777777" w:rsidR="00863ED6" w:rsidRPr="00863ED6" w:rsidRDefault="00863ED6" w:rsidP="00863ED6">
      <w:pPr>
        <w:pStyle w:val="Body"/>
        <w:rPr>
          <w:rFonts w:ascii="Arial" w:hAnsi="Arial" w:cs="Arial"/>
        </w:rPr>
      </w:pPr>
      <w:r w:rsidRPr="00863ED6">
        <w:rPr>
          <w:rFonts w:ascii="Arial" w:hAnsi="Arial" w:cs="Arial"/>
        </w:rPr>
        <w:t xml:space="preserve">Secondly, this article analyzes the methodological tendencies of these case studies in the journal. While the general tendency is using sources such as interviews and surveys, archival records, and documents, one can observe the increasing prominence of archival records after 1989. The rising popularity of archival records after the 1990s is due to the newly opened research space, new sources, and a rising interest in those newly independent states which resemble to laboratories for testing and generating theories of democratization, political transition and change, along with some political liberalization processes in non-ex-communist countries after the Cold War. The economic, social and political transformation that the post-Soviet states has been witnessing has become a fruitful area of research: The transformation to parliamentary democratic systems has been analyzed with election results and value surveys on citizens in these countries; and the relationships between transformation and public policies have been examined with the content analysis of the speeches and writings of the leaders while economic transformation has been evaluated with economic statistical indicators. </w:t>
      </w:r>
    </w:p>
    <w:p w14:paraId="5127BAAD" w14:textId="77777777" w:rsidR="00863ED6" w:rsidRPr="00863ED6" w:rsidRDefault="00863ED6" w:rsidP="00863ED6">
      <w:pPr>
        <w:pStyle w:val="Body"/>
        <w:rPr>
          <w:rFonts w:ascii="Arial" w:hAnsi="Arial" w:cs="Arial"/>
        </w:rPr>
      </w:pPr>
      <w:r w:rsidRPr="00863ED6">
        <w:rPr>
          <w:rFonts w:ascii="Arial" w:hAnsi="Arial" w:cs="Arial"/>
        </w:rPr>
        <w:t xml:space="preserve">Thirdly, this research explores the geographical distribution of these case studies: It displays the overrepresentation of Western Europe, followed by Latin America and East Asia while the least studied regions are North America, Eastern Europe, Balkans, Middle East, and Africa. Though </w:t>
      </w:r>
      <w:proofErr w:type="spellStart"/>
      <w:r w:rsidRPr="00863ED6">
        <w:rPr>
          <w:rFonts w:ascii="Arial" w:hAnsi="Arial" w:cs="Arial"/>
        </w:rPr>
        <w:t>Pepinsky</w:t>
      </w:r>
      <w:proofErr w:type="spellEnd"/>
      <w:r w:rsidR="00925AD0">
        <w:rPr>
          <w:rFonts w:ascii="Arial" w:hAnsi="Arial" w:cs="Arial"/>
          <w:b/>
          <w:bCs/>
          <w:vertAlign w:val="superscript"/>
        </w:rPr>
        <w:t xml:space="preserve"> </w:t>
      </w:r>
      <w:r w:rsidR="00925AD0">
        <w:rPr>
          <w:rFonts w:ascii="Arial" w:hAnsi="Arial" w:cs="Arial"/>
        </w:rPr>
        <w:t>(2019)</w:t>
      </w:r>
      <w:r w:rsidRPr="00863ED6">
        <w:rPr>
          <w:rFonts w:ascii="Arial" w:hAnsi="Arial" w:cs="Arial"/>
        </w:rPr>
        <w:t xml:space="preserve"> employs a larger dataset collected from six leading (general political science and comparative) journals, a larger time span (1965-2015), and a different </w:t>
      </w:r>
      <w:r w:rsidRPr="00863ED6">
        <w:rPr>
          <w:rFonts w:ascii="Arial" w:hAnsi="Arial" w:cs="Arial"/>
        </w:rPr>
        <w:lastRenderedPageBreak/>
        <w:t xml:space="preserve">geographical categorization, after checking for linguistic bias and number of countries in the region, his findings still confirm the overrepresentation of Western Europe and Latin America. When we look at the most—research-wise—popular regions in terms of the case studies published in the journal, the reasons of their popularity can be identified with an interest in—relatively—well-established democracies (Western Europe); transition from authoritarian regimes to democratic regimes, and problems of consolidation of democracy (Latin America); and, economic growth and its relationships with political values, attitudes and behaviors (East Asia). Among the least studied regions, while East Europe’s </w:t>
      </w:r>
      <w:proofErr w:type="spellStart"/>
      <w:r w:rsidRPr="00863ED6">
        <w:rPr>
          <w:rFonts w:ascii="Arial" w:hAnsi="Arial" w:cs="Arial"/>
        </w:rPr>
        <w:t>underresearched</w:t>
      </w:r>
      <w:proofErr w:type="spellEnd"/>
      <w:r w:rsidRPr="00863ED6">
        <w:rPr>
          <w:rFonts w:ascii="Arial" w:hAnsi="Arial" w:cs="Arial"/>
        </w:rPr>
        <w:t xml:space="preserve"> position can be—partially—explained with reference to its emergence as a particularly new research area after the Cold War, North America’s existence in the list may be stemming from the fact that due to USA’s dominance in academic education and life, American politics is a field in itself. Therefore, it does not strike one to see that the single case study in the North American category is on Canada, not America. </w:t>
      </w:r>
    </w:p>
    <w:p w14:paraId="7C3163FF" w14:textId="77777777" w:rsidR="00863ED6" w:rsidRPr="00863ED6" w:rsidRDefault="00863ED6" w:rsidP="00863ED6">
      <w:pPr>
        <w:pStyle w:val="Body"/>
        <w:rPr>
          <w:rFonts w:ascii="Arial" w:hAnsi="Arial" w:cs="Arial"/>
        </w:rPr>
      </w:pPr>
      <w:r w:rsidRPr="00863ED6">
        <w:rPr>
          <w:rFonts w:ascii="Arial" w:hAnsi="Arial" w:cs="Arial"/>
        </w:rPr>
        <w:t>Balkans and Middle East, on the other hand, are the two areas that any of these rationalizations does not apply. In both regions, one can find both democratic and authoritarian regimes, transformations, and economic growth, in addition to ethnic and religious pluralism, armed conflicts, party systems, elections, military-civilian relations etc. While one can speculate on the limitations of the literature on the Balkans, Middle Eastern studies have given birth to various concepts in economy, political science, gender studies etc. Furthermore, case studies form almost a tradition in Middle Eastern studies: Hudson</w:t>
      </w:r>
      <w:r w:rsidR="00925AD0">
        <w:rPr>
          <w:rFonts w:ascii="Arial" w:hAnsi="Arial" w:cs="Arial"/>
        </w:rPr>
        <w:t xml:space="preserve"> (2001: 801)</w:t>
      </w:r>
      <w:r w:rsidRPr="00863ED6">
        <w:rPr>
          <w:rFonts w:ascii="Arial" w:hAnsi="Arial" w:cs="Arial"/>
        </w:rPr>
        <w:t xml:space="preserve"> states that due to “the difficult nature of the subject matter, the need for special research skills, the constrains of time and resources, and the ingrained reluctance of many to generalize about Middle Eastern issues”, the region is “characterized by single-case studies, interpretive methods, “soft” data, and an emphasis on history and culture.” He claims that, despite these, Middle East has offered comparativists a greater epistemological freedom to study “identity politics, the persistence of authoritarianism, social ferment (“civil” or otherwise), the role of religion, the political economy of retreating states and the emerging private sector, and the political subcultures of the disfranchised”</w:t>
      </w:r>
      <w:r w:rsidR="00020CD8">
        <w:rPr>
          <w:rFonts w:ascii="Arial" w:hAnsi="Arial" w:cs="Arial"/>
        </w:rPr>
        <w:t xml:space="preserve"> (Hudson, 2001: 803).</w:t>
      </w:r>
      <w:r w:rsidRPr="00863ED6">
        <w:rPr>
          <w:rFonts w:ascii="Arial" w:hAnsi="Arial" w:cs="Arial"/>
        </w:rPr>
        <w:t xml:space="preserve"> Parallel to Hudson, Bill </w:t>
      </w:r>
      <w:r w:rsidR="00020CD8">
        <w:rPr>
          <w:rFonts w:ascii="Arial" w:hAnsi="Arial" w:cs="Arial"/>
        </w:rPr>
        <w:t xml:space="preserve">(1994: 811) </w:t>
      </w:r>
      <w:r w:rsidRPr="00863ED6">
        <w:rPr>
          <w:rFonts w:ascii="Arial" w:hAnsi="Arial" w:cs="Arial"/>
        </w:rPr>
        <w:t xml:space="preserve">attributes the insufficiency and lag of generation of theory in Middle Eastern studies to the predominance of case study, and states that although the role of case studies in the scientific method is legitimate, and cross-national, cross-cultural, and multi-contextual research has valuable contributions to theory construction; and “the literature concerning Middle East political systems, however, tends to be </w:t>
      </w:r>
      <w:proofErr w:type="spellStart"/>
      <w:r w:rsidRPr="00863ED6">
        <w:rPr>
          <w:rFonts w:ascii="Arial" w:hAnsi="Arial" w:cs="Arial"/>
        </w:rPr>
        <w:t>monotextual</w:t>
      </w:r>
      <w:proofErr w:type="spellEnd"/>
      <w:r w:rsidRPr="00863ED6">
        <w:rPr>
          <w:rFonts w:ascii="Arial" w:hAnsi="Arial" w:cs="Arial"/>
        </w:rPr>
        <w:t xml:space="preserve">.” This research suggests that even in case studies published in Comparative Political Studies, Middle East lags behind other regions. The existence of some leading journals on Middle East may also be contributing to this Middle Eastern lag in the journal. </w:t>
      </w:r>
    </w:p>
    <w:p w14:paraId="0DD63616" w14:textId="77777777" w:rsidR="00863ED6" w:rsidRPr="00863ED6" w:rsidRDefault="00863ED6" w:rsidP="00863ED6">
      <w:pPr>
        <w:pStyle w:val="Body"/>
        <w:rPr>
          <w:rFonts w:ascii="Arial" w:hAnsi="Arial" w:cs="Arial"/>
        </w:rPr>
      </w:pPr>
      <w:r w:rsidRPr="00863ED6">
        <w:rPr>
          <w:rFonts w:ascii="Arial" w:hAnsi="Arial" w:cs="Arial"/>
        </w:rPr>
        <w:t>One possible reason that explains the uneven geographical concentration of case studies in the journal in particular and comparative political studies in general refers to a “gatekeeper mentality” which not only takes the research interests of an ‘international readership’ for granted, but also contributes to their reproduction through editorial policies or academic reviewing duties. Hyden</w:t>
      </w:r>
      <w:r w:rsidR="00020CD8">
        <w:rPr>
          <w:rFonts w:ascii="Arial" w:hAnsi="Arial" w:cs="Arial"/>
        </w:rPr>
        <w:t xml:space="preserve"> (2001: 798)</w:t>
      </w:r>
      <w:r w:rsidRPr="00863ED6">
        <w:rPr>
          <w:rFonts w:ascii="Arial" w:hAnsi="Arial" w:cs="Arial"/>
        </w:rPr>
        <w:t xml:space="preserve">, as an Africanist, explores these unequal geographies of case study research: </w:t>
      </w:r>
    </w:p>
    <w:p w14:paraId="6DE594A0" w14:textId="77777777" w:rsidR="00863ED6" w:rsidRPr="00863ED6" w:rsidRDefault="00863ED6" w:rsidP="00863ED6">
      <w:pPr>
        <w:pStyle w:val="Body"/>
        <w:ind w:left="567" w:right="567"/>
        <w:rPr>
          <w:rFonts w:ascii="Arial" w:hAnsi="Arial" w:cs="Arial"/>
        </w:rPr>
      </w:pPr>
      <w:r w:rsidRPr="00863ED6">
        <w:rPr>
          <w:rFonts w:ascii="Arial" w:hAnsi="Arial" w:cs="Arial"/>
        </w:rPr>
        <w:t>…it is not difficult to see that each region of the world contributes to the wealth of knowledge of our discipline. The “playing field”, however, is not necessarily even. As Widner (2000) has emphasized, issues that concern Africanists do not attract universal attention, and book publishers are reluctant to print even first-rate research by Africanists for fear of commercial failure. A “gatekeeper mentality” among the editors of professional journals may create a similar skepticism toward Africanists’ articles because they do not necessarily comply with what these gatekeepers narrowly consider to be dominant canons in the discipline.</w:t>
      </w:r>
    </w:p>
    <w:p w14:paraId="1B83A587" w14:textId="77777777" w:rsidR="00863ED6" w:rsidRPr="00863ED6" w:rsidRDefault="00863ED6" w:rsidP="00863ED6">
      <w:pPr>
        <w:pStyle w:val="Body"/>
        <w:rPr>
          <w:rFonts w:ascii="Arial" w:hAnsi="Arial" w:cs="Arial"/>
        </w:rPr>
      </w:pPr>
      <w:r w:rsidRPr="00863ED6">
        <w:rPr>
          <w:rFonts w:ascii="Arial" w:hAnsi="Arial" w:cs="Arial"/>
        </w:rPr>
        <w:lastRenderedPageBreak/>
        <w:t>This research confirms the existence of uneven research geographies in comparative politics, and considers it a result of the broader processes of knowledge production, rather than the disciplinary tendencies. While not all regions are equally accessible, and some may even be ‘exceptional’, studying them may necessitate more collaboration with the area or country specialists, more time and more labor in terms of language education and cultural accommodation, for which many comparativists framing themselves as ‘generalists’ do not want to spend their time and energy</w:t>
      </w:r>
      <w:r w:rsidR="00020CD8">
        <w:rPr>
          <w:rFonts w:ascii="Arial" w:hAnsi="Arial" w:cs="Arial"/>
        </w:rPr>
        <w:t xml:space="preserve"> (Landman, 2008: 47)</w:t>
      </w:r>
      <w:r w:rsidRPr="00863ED6">
        <w:rPr>
          <w:rFonts w:ascii="Arial" w:hAnsi="Arial" w:cs="Arial"/>
        </w:rPr>
        <w:t>. Yet, “gatekeeper mentality” hints that behind this representational imbalance between the geographical regions, there is something more than these—relatively—surmountable limitations intrinsic to researching other people and cultures. Such a biased selection of areas not only renders the international character of our mediums of knowledge dissemination dubious but also limits the claims of political science, specifically comparative politics as a scientific field searching for explanations that apply to as many cases as possible. Hence, the globalization processes, which change our knowledge and production systems, are marked by spatial, social, and institutional dynamics, which manifest themselves “unevenly between countries and regions, social classes and groups, and the institutions of knowledge production themselves”</w:t>
      </w:r>
      <w:r w:rsidR="00020CD8">
        <w:rPr>
          <w:rFonts w:ascii="Arial" w:hAnsi="Arial" w:cs="Arial"/>
        </w:rPr>
        <w:t xml:space="preserve"> (</w:t>
      </w:r>
      <w:proofErr w:type="spellStart"/>
      <w:r w:rsidR="00020CD8">
        <w:rPr>
          <w:rFonts w:ascii="Arial" w:hAnsi="Arial" w:cs="Arial"/>
        </w:rPr>
        <w:t>Zeleza</w:t>
      </w:r>
      <w:proofErr w:type="spellEnd"/>
      <w:r w:rsidR="00020CD8">
        <w:rPr>
          <w:rFonts w:ascii="Arial" w:hAnsi="Arial" w:cs="Arial"/>
        </w:rPr>
        <w:t xml:space="preserve">, 2007: 79). </w:t>
      </w:r>
    </w:p>
    <w:p w14:paraId="2471F8FF" w14:textId="77777777" w:rsidR="00863ED6" w:rsidRDefault="00863ED6" w:rsidP="00493808">
      <w:pPr>
        <w:pStyle w:val="Body"/>
        <w:rPr>
          <w:rFonts w:ascii="Arial" w:hAnsi="Arial" w:cs="Arial"/>
        </w:rPr>
      </w:pPr>
      <w:r w:rsidRPr="00863ED6">
        <w:rPr>
          <w:rFonts w:ascii="Arial" w:hAnsi="Arial" w:cs="Arial"/>
        </w:rPr>
        <w:t xml:space="preserve">Discussing Thompson’s </w:t>
      </w:r>
      <w:r w:rsidR="00020CD8" w:rsidRPr="00863ED6">
        <w:rPr>
          <w:rFonts w:ascii="Arial" w:hAnsi="Arial" w:cs="Arial"/>
        </w:rPr>
        <w:t>(1966)</w:t>
      </w:r>
      <w:r w:rsidR="00020CD8">
        <w:rPr>
          <w:rFonts w:ascii="Arial" w:hAnsi="Arial" w:cs="Arial"/>
        </w:rPr>
        <w:t xml:space="preserve"> </w:t>
      </w:r>
      <w:r w:rsidRPr="00863ED6">
        <w:rPr>
          <w:rFonts w:ascii="Arial" w:hAnsi="Arial" w:cs="Arial"/>
          <w:i/>
          <w:iCs/>
        </w:rPr>
        <w:t>The Making of the English Working Class</w:t>
      </w:r>
      <w:r w:rsidR="00020CD8">
        <w:rPr>
          <w:rFonts w:ascii="Arial" w:hAnsi="Arial" w:cs="Arial"/>
          <w:i/>
          <w:iCs/>
        </w:rPr>
        <w:t>,</w:t>
      </w:r>
      <w:r w:rsidRPr="00863ED6">
        <w:rPr>
          <w:rFonts w:ascii="Arial" w:hAnsi="Arial" w:cs="Arial"/>
        </w:rPr>
        <w:t xml:space="preserve"> Barrington </w:t>
      </w:r>
      <w:proofErr w:type="gramStart"/>
      <w:r w:rsidRPr="00863ED6">
        <w:rPr>
          <w:rFonts w:ascii="Arial" w:hAnsi="Arial" w:cs="Arial"/>
        </w:rPr>
        <w:t>Moore’</w:t>
      </w:r>
      <w:r w:rsidR="00020CD8">
        <w:rPr>
          <w:rFonts w:ascii="Arial" w:hAnsi="Arial" w:cs="Arial"/>
        </w:rPr>
        <w:t>s</w:t>
      </w:r>
      <w:r w:rsidRPr="00863ED6">
        <w:rPr>
          <w:rFonts w:ascii="Arial" w:hAnsi="Arial" w:cs="Arial"/>
        </w:rPr>
        <w:t xml:space="preserve"> </w:t>
      </w:r>
      <w:r w:rsidR="00020CD8">
        <w:rPr>
          <w:rFonts w:ascii="Arial" w:hAnsi="Arial" w:cs="Arial"/>
        </w:rPr>
        <w:t xml:space="preserve"> </w:t>
      </w:r>
      <w:r w:rsidR="00020CD8" w:rsidRPr="00863ED6">
        <w:rPr>
          <w:rFonts w:ascii="Arial" w:hAnsi="Arial" w:cs="Arial"/>
        </w:rPr>
        <w:t>(</w:t>
      </w:r>
      <w:proofErr w:type="gramEnd"/>
      <w:r w:rsidR="00020CD8" w:rsidRPr="00863ED6">
        <w:rPr>
          <w:rFonts w:ascii="Arial" w:hAnsi="Arial" w:cs="Arial"/>
        </w:rPr>
        <w:t xml:space="preserve">1966) </w:t>
      </w:r>
      <w:r w:rsidRPr="00863ED6">
        <w:rPr>
          <w:rFonts w:ascii="Arial" w:hAnsi="Arial" w:cs="Arial"/>
          <w:i/>
          <w:iCs/>
        </w:rPr>
        <w:t xml:space="preserve">Social Origins of Dictatorship and Democracy </w:t>
      </w:r>
      <w:r w:rsidRPr="00863ED6">
        <w:rPr>
          <w:rFonts w:ascii="Arial" w:hAnsi="Arial" w:cs="Arial"/>
        </w:rPr>
        <w:t>and Tocqueville’s</w:t>
      </w:r>
      <w:r w:rsidR="00020CD8">
        <w:rPr>
          <w:rFonts w:ascii="Arial" w:hAnsi="Arial" w:cs="Arial"/>
        </w:rPr>
        <w:t xml:space="preserve"> </w:t>
      </w:r>
      <w:r w:rsidR="00020CD8" w:rsidRPr="00863ED6">
        <w:rPr>
          <w:rFonts w:ascii="Arial" w:hAnsi="Arial" w:cs="Arial"/>
        </w:rPr>
        <w:t>(1835)</w:t>
      </w:r>
      <w:r w:rsidRPr="00863ED6">
        <w:rPr>
          <w:rFonts w:ascii="Arial" w:hAnsi="Arial" w:cs="Arial"/>
          <w:i/>
          <w:iCs/>
        </w:rPr>
        <w:t xml:space="preserve"> Democracy in America</w:t>
      </w:r>
      <w:r w:rsidRPr="00863ED6">
        <w:rPr>
          <w:rFonts w:ascii="Arial" w:hAnsi="Arial" w:cs="Arial"/>
        </w:rPr>
        <w:t xml:space="preserve"> as case studies with a comparative content, comparative conclusion, and absent comparative case, scholars argue that case studies can be implicitly comparative</w:t>
      </w:r>
      <w:r w:rsidR="00020CD8">
        <w:rPr>
          <w:rFonts w:ascii="Arial" w:hAnsi="Arial" w:cs="Arial"/>
        </w:rPr>
        <w:t xml:space="preserve"> (Ragin and </w:t>
      </w:r>
      <w:proofErr w:type="spellStart"/>
      <w:r w:rsidR="00020CD8">
        <w:rPr>
          <w:rFonts w:ascii="Arial" w:hAnsi="Arial" w:cs="Arial"/>
        </w:rPr>
        <w:t>Rubinson</w:t>
      </w:r>
      <w:proofErr w:type="spellEnd"/>
      <w:r w:rsidR="00020CD8">
        <w:rPr>
          <w:rFonts w:ascii="Arial" w:hAnsi="Arial" w:cs="Arial"/>
        </w:rPr>
        <w:t xml:space="preserve">, 2009; </w:t>
      </w:r>
      <w:proofErr w:type="spellStart"/>
      <w:r w:rsidR="00020CD8">
        <w:rPr>
          <w:rFonts w:ascii="Arial" w:hAnsi="Arial" w:cs="Arial"/>
        </w:rPr>
        <w:t>Caramani</w:t>
      </w:r>
      <w:proofErr w:type="spellEnd"/>
      <w:r w:rsidR="00020CD8">
        <w:rPr>
          <w:rFonts w:ascii="Arial" w:hAnsi="Arial" w:cs="Arial"/>
        </w:rPr>
        <w:t>, 2020)</w:t>
      </w:r>
      <w:r w:rsidRPr="00863ED6">
        <w:rPr>
          <w:rFonts w:ascii="Arial" w:hAnsi="Arial" w:cs="Arial"/>
        </w:rPr>
        <w:t>. The uneven geographical distribution of case studies put forward by this research insinuates that the case studies criticized for their lack of reliability and generalizability in comparative political research, in last decades of the 20</w:t>
      </w:r>
      <w:r w:rsidRPr="00863ED6">
        <w:rPr>
          <w:rFonts w:ascii="Arial" w:hAnsi="Arial" w:cs="Arial"/>
          <w:vertAlign w:val="superscript"/>
        </w:rPr>
        <w:t>th</w:t>
      </w:r>
      <w:r w:rsidRPr="00863ED6">
        <w:rPr>
          <w:rFonts w:ascii="Arial" w:hAnsi="Arial" w:cs="Arial"/>
        </w:rPr>
        <w:t xml:space="preserve"> century, are not studies on Western Europe or Latin America, but the ones on the Balkans, Middle East, Africa, and Eastern Europe—the regions banished to the margins of comparative political research as exceptions, and framed as ‘uninteresting’ to the gatekeepers and ‘international readers.’ Furthermore, coupled with the neoliberal “publish or perish” culture of the academia, tradeoffs “between substantive political knowledge and methodological </w:t>
      </w:r>
      <w:r w:rsidR="00004263" w:rsidRPr="00863ED6">
        <w:rPr>
          <w:rFonts w:ascii="Arial" w:hAnsi="Arial" w:cs="Arial"/>
        </w:rPr>
        <w:t>expertise</w:t>
      </w:r>
      <w:r w:rsidR="00020CD8">
        <w:rPr>
          <w:rFonts w:ascii="Arial" w:hAnsi="Arial" w:cs="Arial"/>
        </w:rPr>
        <w:t>” (Pepinsky, 2019: 201)</w:t>
      </w:r>
      <w:r w:rsidRPr="00863ED6">
        <w:rPr>
          <w:rFonts w:ascii="Arial" w:hAnsi="Arial" w:cs="Arial"/>
          <w:vertAlign w:val="superscript"/>
        </w:rPr>
        <w:t xml:space="preserve"> </w:t>
      </w:r>
      <w:r w:rsidRPr="00863ED6">
        <w:rPr>
          <w:rFonts w:ascii="Arial" w:hAnsi="Arial" w:cs="Arial"/>
        </w:rPr>
        <w:t xml:space="preserve">are claimed to be diminishing the quality of these case studies on the ‘uninteresting’ regions which are already unequally represented, ultimately leading to a vicious circle of underrepresentation for some regions in many fields of political science. </w:t>
      </w:r>
    </w:p>
    <w:p w14:paraId="436A1704" w14:textId="77777777" w:rsidR="00790ADA" w:rsidRPr="00FB3A86" w:rsidRDefault="00863ED6" w:rsidP="00863ED6">
      <w:pPr>
        <w:pStyle w:val="ConcHead"/>
        <w:rPr>
          <w:rFonts w:ascii="Arial" w:hAnsi="Arial" w:cs="Arial"/>
        </w:rPr>
      </w:pPr>
      <w:r>
        <w:rPr>
          <w:rFonts w:ascii="Arial" w:hAnsi="Arial" w:cs="Arial"/>
        </w:rPr>
        <w:t xml:space="preserve">5. </w:t>
      </w:r>
      <w:r w:rsidRPr="00863ED6">
        <w:rPr>
          <w:rFonts w:ascii="Arial" w:hAnsi="Arial" w:cs="Arial"/>
        </w:rPr>
        <w:t>CONCLUSION</w:t>
      </w:r>
    </w:p>
    <w:p w14:paraId="5801E020" w14:textId="77777777" w:rsidR="00863ED6" w:rsidRPr="00863ED6" w:rsidRDefault="00863ED6" w:rsidP="00863ED6">
      <w:pPr>
        <w:pStyle w:val="Body"/>
        <w:rPr>
          <w:rFonts w:ascii="Arial" w:hAnsi="Arial" w:cs="Arial"/>
        </w:rPr>
      </w:pPr>
      <w:r w:rsidRPr="00863ED6">
        <w:rPr>
          <w:rFonts w:ascii="Arial" w:hAnsi="Arial" w:cs="Arial"/>
        </w:rPr>
        <w:t xml:space="preserve">This article examines the status of case studies in comparative politics research through an analysis of the leading comparative politics journal, Comparative Political Studies. Focusing on case studies published between 1973 and 2001, this research deals with three set of questions regarding the patterns and changes in the number of the case studies in the journal, research techniques used and areas concentrated in these studies. </w:t>
      </w:r>
    </w:p>
    <w:p w14:paraId="5B000623" w14:textId="77777777" w:rsidR="00863ED6" w:rsidRPr="00863ED6" w:rsidRDefault="00863ED6" w:rsidP="00863ED6">
      <w:pPr>
        <w:pStyle w:val="Body"/>
        <w:rPr>
          <w:rFonts w:ascii="Arial" w:hAnsi="Arial" w:cs="Arial"/>
        </w:rPr>
      </w:pPr>
      <w:r w:rsidRPr="00863ED6">
        <w:rPr>
          <w:rFonts w:ascii="Arial" w:hAnsi="Arial" w:cs="Arial"/>
        </w:rPr>
        <w:t>The conclusions that can be drawn from this research about the status of case studies in comparative politics research are two-fold. First, broader findings pertaining to the status of case studies in the field of comparative politics can be inferred from the analysis of the journal between 1973 and 2001:</w:t>
      </w:r>
    </w:p>
    <w:p w14:paraId="2AF856BD" w14:textId="77777777" w:rsidR="00863ED6" w:rsidRPr="00863ED6" w:rsidRDefault="00863ED6" w:rsidP="00863ED6">
      <w:pPr>
        <w:pStyle w:val="Body"/>
        <w:numPr>
          <w:ilvl w:val="0"/>
          <w:numId w:val="32"/>
        </w:numPr>
        <w:rPr>
          <w:rFonts w:ascii="Arial" w:hAnsi="Arial" w:cs="Arial"/>
        </w:rPr>
      </w:pPr>
      <w:r w:rsidRPr="00863ED6">
        <w:rPr>
          <w:rFonts w:ascii="Arial" w:hAnsi="Arial" w:cs="Arial"/>
        </w:rPr>
        <w:t xml:space="preserve">Case studies, even though highly criticized and questioned by the scientific community, have a central role in comparative studies. In our research, one third of the articles that are examined prove to be single-case study. </w:t>
      </w:r>
    </w:p>
    <w:p w14:paraId="14246B54" w14:textId="77777777" w:rsidR="00863ED6" w:rsidRPr="00863ED6" w:rsidRDefault="00863ED6" w:rsidP="00863ED6">
      <w:pPr>
        <w:pStyle w:val="Body"/>
        <w:numPr>
          <w:ilvl w:val="0"/>
          <w:numId w:val="32"/>
        </w:numPr>
        <w:rPr>
          <w:rFonts w:ascii="Arial" w:hAnsi="Arial" w:cs="Arial"/>
        </w:rPr>
      </w:pPr>
      <w:r w:rsidRPr="00863ED6">
        <w:rPr>
          <w:rFonts w:ascii="Arial" w:hAnsi="Arial" w:cs="Arial"/>
        </w:rPr>
        <w:lastRenderedPageBreak/>
        <w:t xml:space="preserve">Case studies published in the journal mostly use survey research, content analysis and archival records for data collection. In these studies, the use of anthropological methods is exceptionally rare. </w:t>
      </w:r>
    </w:p>
    <w:p w14:paraId="543620C0" w14:textId="77777777" w:rsidR="00863ED6" w:rsidRPr="00863ED6" w:rsidRDefault="00863ED6" w:rsidP="00863ED6">
      <w:pPr>
        <w:pStyle w:val="Body"/>
        <w:numPr>
          <w:ilvl w:val="0"/>
          <w:numId w:val="32"/>
        </w:numPr>
        <w:rPr>
          <w:rFonts w:ascii="Arial" w:hAnsi="Arial" w:cs="Arial"/>
        </w:rPr>
      </w:pPr>
      <w:r w:rsidRPr="00863ED6">
        <w:rPr>
          <w:rFonts w:ascii="Arial" w:hAnsi="Arial" w:cs="Arial"/>
        </w:rPr>
        <w:t xml:space="preserve">Geographical distribution of cases in these studies is uneven when the articles are grouped according to the regions they concentrate. These studies are biased towards Western Europe, Latin America, and to some extent, East Asia. Yet, this problem may not be a problem pertaining specifically to case studies or even comparative politics, but it may be part of the broader patterns in our mechanisms of modern knowledge production and mediums of knowledge dissemination. </w:t>
      </w:r>
    </w:p>
    <w:p w14:paraId="3B93382C" w14:textId="77777777" w:rsidR="00863ED6" w:rsidRPr="00863ED6" w:rsidRDefault="00863ED6" w:rsidP="00863ED6">
      <w:pPr>
        <w:pStyle w:val="Body"/>
        <w:rPr>
          <w:rFonts w:ascii="Arial" w:hAnsi="Arial" w:cs="Arial"/>
        </w:rPr>
      </w:pPr>
      <w:r w:rsidRPr="00863ED6">
        <w:rPr>
          <w:rFonts w:ascii="Arial" w:hAnsi="Arial" w:cs="Arial"/>
        </w:rPr>
        <w:t xml:space="preserve">In addition to these general findings, there are also some shifts that this study observes in the status of case studies in comparative politics studies, specifically in the journal of Comparative Political Studies between 1973 and 2001: </w:t>
      </w:r>
    </w:p>
    <w:p w14:paraId="19DEC255" w14:textId="77777777" w:rsidR="00863ED6" w:rsidRPr="00863ED6" w:rsidRDefault="00863ED6" w:rsidP="00863ED6">
      <w:pPr>
        <w:pStyle w:val="Body"/>
        <w:numPr>
          <w:ilvl w:val="0"/>
          <w:numId w:val="33"/>
        </w:numPr>
        <w:rPr>
          <w:rFonts w:ascii="Arial" w:hAnsi="Arial" w:cs="Arial"/>
        </w:rPr>
      </w:pPr>
      <w:r w:rsidRPr="00863ED6">
        <w:rPr>
          <w:rFonts w:ascii="Arial" w:hAnsi="Arial" w:cs="Arial"/>
        </w:rPr>
        <w:t>When the number of case studies in the journal is considered, it has been seen that case studies have lost some of its importance in comparative politics research after 1989. In addition to increasing the possibilities and motivations for cross-national research—obviously for some researchers—globalization processes and discourses may have produced a drive toward universality and search for universal theories. The mid-1990s critiques of single-case studies may have also contributed to this decline.</w:t>
      </w:r>
    </w:p>
    <w:p w14:paraId="11D20243" w14:textId="77777777" w:rsidR="00863ED6" w:rsidRPr="00863ED6" w:rsidRDefault="00863ED6" w:rsidP="00863ED6">
      <w:pPr>
        <w:pStyle w:val="Body"/>
        <w:numPr>
          <w:ilvl w:val="0"/>
          <w:numId w:val="33"/>
        </w:numPr>
        <w:rPr>
          <w:rFonts w:ascii="Arial" w:hAnsi="Arial" w:cs="Arial"/>
        </w:rPr>
      </w:pPr>
      <w:r w:rsidRPr="00863ED6">
        <w:rPr>
          <w:rFonts w:ascii="Arial" w:hAnsi="Arial" w:cs="Arial"/>
        </w:rPr>
        <w:t>After 1989, the use of archival records in case studies has gained upper hand at the expense of surveys and interviews. This article argues that the post-Cold War developments led to the emergence of a new space for researchers, increasing the availability and accessibility of archival records.</w:t>
      </w:r>
    </w:p>
    <w:p w14:paraId="40AD6D7A" w14:textId="77777777" w:rsidR="00863ED6" w:rsidRPr="00863ED6" w:rsidRDefault="00863ED6" w:rsidP="00863ED6">
      <w:pPr>
        <w:pStyle w:val="Body"/>
        <w:numPr>
          <w:ilvl w:val="0"/>
          <w:numId w:val="33"/>
        </w:numPr>
        <w:rPr>
          <w:rFonts w:ascii="Arial" w:hAnsi="Arial" w:cs="Arial"/>
        </w:rPr>
      </w:pPr>
      <w:r w:rsidRPr="00863ED6">
        <w:rPr>
          <w:rFonts w:ascii="Arial" w:hAnsi="Arial" w:cs="Arial"/>
        </w:rPr>
        <w:t xml:space="preserve">With respect to the areas concentrated in case studies, the research has not given any significant difference between the periods before and after 1989. While East Asia have slightly lost ground against Eastern Europe, the domination of Western Europe and Latin America in case studies remains intact. Hence, the processes and discourses of globalization, after 1989, have not significantly changed the uneven geographical concentration of our knowledge production and dissemination mechanisms. </w:t>
      </w:r>
    </w:p>
    <w:p w14:paraId="584DB072" w14:textId="77777777" w:rsidR="00863ED6" w:rsidRPr="00863ED6" w:rsidRDefault="00863ED6" w:rsidP="00863ED6">
      <w:pPr>
        <w:pStyle w:val="Body"/>
        <w:numPr>
          <w:ilvl w:val="0"/>
          <w:numId w:val="33"/>
        </w:numPr>
        <w:rPr>
          <w:rFonts w:ascii="Arial" w:hAnsi="Arial" w:cs="Arial"/>
        </w:rPr>
      </w:pPr>
      <w:r w:rsidRPr="00863ED6">
        <w:rPr>
          <w:rFonts w:ascii="Arial" w:hAnsi="Arial" w:cs="Arial"/>
        </w:rPr>
        <w:t xml:space="preserve">In addition to the findings pertaining to the initial research questions of this paper, a research trend in the post-1989 case studies can be observed. New themes of New Politics have emerged in the 1990s in addition to the old ones such as party systems, voter behavior, citizen participation etc. These new themes have included the gender questions, women’s studies, ecological and environmentalist groups and politics. </w:t>
      </w:r>
    </w:p>
    <w:p w14:paraId="3776D810" w14:textId="77777777" w:rsidR="00863ED6" w:rsidRDefault="00863ED6" w:rsidP="00863ED6">
      <w:pPr>
        <w:pStyle w:val="Body"/>
        <w:rPr>
          <w:rFonts w:ascii="Arial" w:hAnsi="Arial" w:cs="Arial"/>
        </w:rPr>
      </w:pPr>
      <w:r w:rsidRPr="00863ED6">
        <w:rPr>
          <w:rFonts w:ascii="Arial" w:hAnsi="Arial" w:cs="Arial"/>
        </w:rPr>
        <w:t xml:space="preserve">In line with the arguments for the distinctiveness of comparative politics as a bridge between large-N and case study work </w:t>
      </w:r>
      <w:r w:rsidR="00020CD8">
        <w:rPr>
          <w:rFonts w:ascii="Arial" w:hAnsi="Arial" w:cs="Arial"/>
        </w:rPr>
        <w:t>(</w:t>
      </w:r>
      <w:r w:rsidR="00020CD8" w:rsidRPr="00020CD8">
        <w:rPr>
          <w:rFonts w:ascii="Arial" w:hAnsi="Arial" w:cs="Arial"/>
        </w:rPr>
        <w:t>Ragin</w:t>
      </w:r>
      <w:r w:rsidR="00020CD8">
        <w:rPr>
          <w:rFonts w:ascii="Arial" w:hAnsi="Arial" w:cs="Arial"/>
        </w:rPr>
        <w:t xml:space="preserve"> and</w:t>
      </w:r>
      <w:r w:rsidR="00020CD8" w:rsidRPr="00020CD8">
        <w:rPr>
          <w:rFonts w:ascii="Arial" w:hAnsi="Arial" w:cs="Arial"/>
        </w:rPr>
        <w:t xml:space="preserve"> Rubinson</w:t>
      </w:r>
      <w:r w:rsidR="00020CD8">
        <w:rPr>
          <w:rFonts w:ascii="Arial" w:hAnsi="Arial" w:cs="Arial"/>
        </w:rPr>
        <w:t xml:space="preserve">, 2009) </w:t>
      </w:r>
      <w:r w:rsidRPr="00863ED6">
        <w:rPr>
          <w:rFonts w:ascii="Arial" w:hAnsi="Arial" w:cs="Arial"/>
        </w:rPr>
        <w:t>and for methodological eclecticism</w:t>
      </w:r>
      <w:r w:rsidR="00020CD8">
        <w:rPr>
          <w:rFonts w:ascii="Arial" w:hAnsi="Arial" w:cs="Arial"/>
        </w:rPr>
        <w:t xml:space="preserve"> (Brady et al., 2004)</w:t>
      </w:r>
      <w:r w:rsidRPr="00863ED6">
        <w:rPr>
          <w:rFonts w:ascii="Arial" w:hAnsi="Arial" w:cs="Arial"/>
        </w:rPr>
        <w:t xml:space="preserve">, and metaphors of comparativists working at separate tables but in </w:t>
      </w:r>
      <w:proofErr w:type="spellStart"/>
      <w:r w:rsidRPr="00863ED6">
        <w:rPr>
          <w:rFonts w:ascii="Arial" w:hAnsi="Arial" w:cs="Arial"/>
        </w:rPr>
        <w:t>same</w:t>
      </w:r>
      <w:proofErr w:type="spellEnd"/>
      <w:r w:rsidRPr="00863ED6">
        <w:rPr>
          <w:rFonts w:ascii="Arial" w:hAnsi="Arial" w:cs="Arial"/>
        </w:rPr>
        <w:t xml:space="preserve"> places</w:t>
      </w:r>
      <w:r w:rsidR="00020CD8">
        <w:rPr>
          <w:rFonts w:ascii="Arial" w:hAnsi="Arial" w:cs="Arial"/>
        </w:rPr>
        <w:t xml:space="preserve"> (Landman and Robinson, 2009)</w:t>
      </w:r>
      <w:r w:rsidRPr="00863ED6">
        <w:rPr>
          <w:rFonts w:ascii="Arial" w:hAnsi="Arial" w:cs="Arial"/>
        </w:rPr>
        <w:t>, the relationship between case studies and comparative research seems to be a relationship of interdependence. However, as Chilcote</w:t>
      </w:r>
      <w:r w:rsidR="00020CD8">
        <w:rPr>
          <w:rFonts w:ascii="Arial" w:hAnsi="Arial" w:cs="Arial"/>
        </w:rPr>
        <w:t xml:space="preserve"> (1994:15)</w:t>
      </w:r>
      <w:r w:rsidRPr="00863ED6">
        <w:rPr>
          <w:rFonts w:ascii="Arial" w:hAnsi="Arial" w:cs="Arial"/>
        </w:rPr>
        <w:t xml:space="preserve"> puts it, to the extent that “comparative politics is not a settled field,” but a field whose evolution is continuously impacted by old and new ideas, and to the extent that such a diversity sustains a rich dialogue allowing the researchers to delve into previously unexplored questions, and to rethink and challenge the established assumptions about a rapidly changing world, the status of case studies in comparative politics remains to be seen. Still, as this research puts forward, this status is neither immune nor doomed to change since some </w:t>
      </w:r>
      <w:r w:rsidRPr="00863ED6">
        <w:rPr>
          <w:rFonts w:ascii="Arial" w:hAnsi="Arial" w:cs="Arial"/>
        </w:rPr>
        <w:lastRenderedPageBreak/>
        <w:t>characteristics of th</w:t>
      </w:r>
      <w:r w:rsidR="00004263">
        <w:rPr>
          <w:rFonts w:ascii="Arial" w:hAnsi="Arial" w:cs="Arial"/>
        </w:rPr>
        <w:t>e</w:t>
      </w:r>
      <w:r w:rsidRPr="00863ED6">
        <w:rPr>
          <w:rFonts w:ascii="Arial" w:hAnsi="Arial" w:cs="Arial"/>
        </w:rPr>
        <w:t xml:space="preserve"> relationship</w:t>
      </w:r>
      <w:r w:rsidR="00004263">
        <w:rPr>
          <w:rFonts w:ascii="Arial" w:hAnsi="Arial" w:cs="Arial"/>
        </w:rPr>
        <w:t xml:space="preserve"> between both</w:t>
      </w:r>
      <w:r w:rsidRPr="00863ED6">
        <w:rPr>
          <w:rFonts w:ascii="Arial" w:hAnsi="Arial" w:cs="Arial"/>
        </w:rPr>
        <w:t xml:space="preserve"> are shaped by the broader dynamics of modern knowledge production and dissemination.</w:t>
      </w:r>
    </w:p>
    <w:p w14:paraId="654B9EB3" w14:textId="77777777" w:rsidR="00F556A8" w:rsidRDefault="00F556A8" w:rsidP="00863ED6">
      <w:pPr>
        <w:pStyle w:val="Body"/>
        <w:rPr>
          <w:rFonts w:ascii="Arial" w:hAnsi="Arial" w:cs="Arial"/>
        </w:rPr>
      </w:pPr>
    </w:p>
    <w:p w14:paraId="21141E68" w14:textId="77777777" w:rsidR="00493808" w:rsidRPr="00863ED6" w:rsidRDefault="00493808" w:rsidP="00863ED6">
      <w:pPr>
        <w:pStyle w:val="Body"/>
        <w:rPr>
          <w:rFonts w:ascii="Arial" w:hAnsi="Arial" w:cs="Arial"/>
        </w:rPr>
      </w:pPr>
    </w:p>
    <w:p w14:paraId="1BDF4C68" w14:textId="77777777" w:rsidR="00B01FCD" w:rsidRPr="00F556A8" w:rsidRDefault="00F556A8" w:rsidP="00441B6F">
      <w:pPr>
        <w:pStyle w:val="Body"/>
        <w:spacing w:after="0"/>
        <w:rPr>
          <w:rFonts w:ascii="Arial" w:hAnsi="Arial" w:cs="Arial"/>
          <w:b/>
          <w:sz w:val="22"/>
          <w:szCs w:val="22"/>
        </w:rPr>
      </w:pPr>
      <w:r w:rsidRPr="00F556A8">
        <w:rPr>
          <w:rFonts w:ascii="Arial" w:hAnsi="Arial" w:cs="Arial"/>
          <w:b/>
          <w:sz w:val="22"/>
          <w:szCs w:val="22"/>
        </w:rPr>
        <w:t>DISCLAIMER (ARTIFICIAL INTELLIGENCE)</w:t>
      </w:r>
    </w:p>
    <w:p w14:paraId="6082F657" w14:textId="77777777" w:rsidR="00790ADA" w:rsidRPr="00FB3A86" w:rsidRDefault="00790ADA" w:rsidP="00441B6F">
      <w:pPr>
        <w:pStyle w:val="AcknHead"/>
        <w:spacing w:after="0"/>
        <w:jc w:val="both"/>
        <w:rPr>
          <w:rFonts w:ascii="Arial" w:hAnsi="Arial" w:cs="Arial"/>
        </w:rPr>
      </w:pPr>
    </w:p>
    <w:p w14:paraId="1B31492A" w14:textId="77777777" w:rsidR="00315186" w:rsidRPr="00315186" w:rsidRDefault="00F556A8" w:rsidP="00F556A8">
      <w:pPr>
        <w:jc w:val="both"/>
      </w:pPr>
      <w:r w:rsidRPr="00F556A8">
        <w:rPr>
          <w:rFonts w:ascii="Arial" w:hAnsi="Arial" w:cs="Arial"/>
        </w:rPr>
        <w:t>The author</w:t>
      </w:r>
      <w:r>
        <w:rPr>
          <w:rFonts w:ascii="Arial" w:hAnsi="Arial" w:cs="Arial"/>
        </w:rPr>
        <w:t xml:space="preserve"> </w:t>
      </w:r>
      <w:r w:rsidRPr="00F556A8">
        <w:rPr>
          <w:rFonts w:ascii="Arial" w:hAnsi="Arial" w:cs="Arial"/>
        </w:rPr>
        <w:t>confirm that this manuscript was prepared without the use</w:t>
      </w:r>
      <w:r>
        <w:rPr>
          <w:rFonts w:ascii="Arial" w:hAnsi="Arial" w:cs="Arial"/>
        </w:rPr>
        <w:t xml:space="preserve"> </w:t>
      </w:r>
      <w:r w:rsidRPr="00F556A8">
        <w:rPr>
          <w:rFonts w:ascii="Arial" w:hAnsi="Arial" w:cs="Arial"/>
        </w:rPr>
        <w:t>of</w:t>
      </w:r>
      <w:r>
        <w:rPr>
          <w:rFonts w:ascii="Arial" w:hAnsi="Arial" w:cs="Arial"/>
        </w:rPr>
        <w:t xml:space="preserve"> </w:t>
      </w:r>
      <w:r w:rsidRPr="00F556A8">
        <w:rPr>
          <w:rFonts w:ascii="Arial" w:hAnsi="Arial" w:cs="Arial"/>
        </w:rPr>
        <w:t>any</w:t>
      </w:r>
      <w:r>
        <w:rPr>
          <w:rFonts w:ascii="Arial" w:hAnsi="Arial" w:cs="Arial"/>
        </w:rPr>
        <w:t xml:space="preserve"> </w:t>
      </w:r>
      <w:r w:rsidRPr="00F556A8">
        <w:rPr>
          <w:rFonts w:ascii="Arial" w:hAnsi="Arial" w:cs="Arial"/>
        </w:rPr>
        <w:t>AI-assisted</w:t>
      </w:r>
      <w:r>
        <w:rPr>
          <w:rFonts w:ascii="Arial" w:hAnsi="Arial" w:cs="Arial"/>
        </w:rPr>
        <w:t xml:space="preserve"> </w:t>
      </w:r>
      <w:r w:rsidRPr="00F556A8">
        <w:rPr>
          <w:rFonts w:ascii="Arial" w:hAnsi="Arial" w:cs="Arial"/>
        </w:rPr>
        <w:t>technologies, such as large language models (e.g.,</w:t>
      </w:r>
      <w:r>
        <w:rPr>
          <w:rFonts w:ascii="Arial" w:hAnsi="Arial" w:cs="Arial"/>
        </w:rPr>
        <w:t xml:space="preserve"> </w:t>
      </w:r>
      <w:r w:rsidRPr="00F556A8">
        <w:rPr>
          <w:rFonts w:ascii="Arial" w:hAnsi="Arial" w:cs="Arial"/>
        </w:rPr>
        <w:t>ChatGPT, Copilot) or AI-based</w:t>
      </w:r>
      <w:r>
        <w:rPr>
          <w:rFonts w:ascii="Arial" w:hAnsi="Arial" w:cs="Arial"/>
        </w:rPr>
        <w:t xml:space="preserve"> </w:t>
      </w:r>
      <w:r w:rsidRPr="00F556A8">
        <w:rPr>
          <w:rFonts w:ascii="Arial" w:hAnsi="Arial" w:cs="Arial"/>
        </w:rPr>
        <w:t>image generation tools.</w:t>
      </w:r>
    </w:p>
    <w:p w14:paraId="24ABA60D" w14:textId="77777777" w:rsidR="002B685A" w:rsidRDefault="002B685A" w:rsidP="00441B6F">
      <w:pPr>
        <w:pStyle w:val="ReferHead"/>
        <w:spacing w:after="0"/>
        <w:jc w:val="both"/>
        <w:rPr>
          <w:rFonts w:ascii="Arial" w:hAnsi="Arial" w:cs="Arial"/>
          <w:b w:val="0"/>
          <w:caps w:val="0"/>
          <w:sz w:val="20"/>
        </w:rPr>
      </w:pPr>
    </w:p>
    <w:p w14:paraId="680E06EE" w14:textId="77777777" w:rsidR="00860000" w:rsidRDefault="00860000" w:rsidP="00441B6F">
      <w:pPr>
        <w:pStyle w:val="ReferHead"/>
        <w:spacing w:after="0"/>
        <w:jc w:val="both"/>
        <w:rPr>
          <w:rFonts w:ascii="Arial" w:hAnsi="Arial" w:cs="Arial"/>
        </w:rPr>
      </w:pPr>
    </w:p>
    <w:p w14:paraId="7D2CB9D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7E35895" w14:textId="77777777" w:rsidR="00790ADA" w:rsidRPr="00FB3A86" w:rsidRDefault="00790ADA" w:rsidP="00441B6F">
      <w:pPr>
        <w:pStyle w:val="ReferHead"/>
        <w:spacing w:after="0"/>
        <w:jc w:val="both"/>
        <w:rPr>
          <w:rFonts w:ascii="Arial" w:hAnsi="Arial" w:cs="Arial"/>
        </w:rPr>
      </w:pPr>
    </w:p>
    <w:p w14:paraId="27CA2B5D" w14:textId="77777777" w:rsidR="0083529D" w:rsidRPr="00020CD8" w:rsidRDefault="0083529D" w:rsidP="0083529D">
      <w:pPr>
        <w:pStyle w:val="Body"/>
        <w:rPr>
          <w:i/>
          <w:iCs/>
        </w:rPr>
      </w:pPr>
      <w:r w:rsidRPr="00020CD8">
        <w:t>Bill</w:t>
      </w:r>
      <w:r w:rsidR="002764BD">
        <w:t>,</w:t>
      </w:r>
      <w:r w:rsidRPr="00020CD8">
        <w:t xml:space="preserve"> J</w:t>
      </w:r>
      <w:r w:rsidR="002764BD">
        <w:t xml:space="preserve">. </w:t>
      </w:r>
      <w:r w:rsidRPr="00020CD8">
        <w:t>A.</w:t>
      </w:r>
      <w:r w:rsidR="002764BD">
        <w:t xml:space="preserve"> (1994)</w:t>
      </w:r>
      <w:r w:rsidRPr="00020CD8">
        <w:t xml:space="preserve"> Comparative Middle East politics: Still in search of theory. PS, Political Science &amp; Politics</w:t>
      </w:r>
      <w:r w:rsidR="002764BD">
        <w:t>,</w:t>
      </w:r>
      <w:r w:rsidRPr="00020CD8">
        <w:t xml:space="preserve"> 27(3)</w:t>
      </w:r>
      <w:r w:rsidR="002764BD">
        <w:t>,</w:t>
      </w:r>
      <w:r w:rsidRPr="00020CD8">
        <w:t xml:space="preserve"> 518-522. </w:t>
      </w:r>
    </w:p>
    <w:p w14:paraId="11EE6375" w14:textId="77777777" w:rsidR="00790ADA" w:rsidRDefault="0083529D" w:rsidP="0083529D">
      <w:pPr>
        <w:pStyle w:val="Body"/>
      </w:pPr>
      <w:r w:rsidRPr="00020CD8">
        <w:t>Brady</w:t>
      </w:r>
      <w:r w:rsidR="002764BD">
        <w:t>,</w:t>
      </w:r>
      <w:r w:rsidRPr="00020CD8">
        <w:t xml:space="preserve"> H</w:t>
      </w:r>
      <w:r w:rsidR="002764BD">
        <w:t xml:space="preserve">. </w:t>
      </w:r>
      <w:r w:rsidRPr="00020CD8">
        <w:t>E</w:t>
      </w:r>
      <w:r w:rsidR="002764BD">
        <w:t>.</w:t>
      </w:r>
      <w:r w:rsidRPr="00020CD8">
        <w:t>, Collier</w:t>
      </w:r>
      <w:r w:rsidR="002764BD">
        <w:t>,</w:t>
      </w:r>
      <w:r w:rsidRPr="00020CD8">
        <w:t xml:space="preserve"> D</w:t>
      </w:r>
      <w:r w:rsidR="002764BD">
        <w:t>.</w:t>
      </w:r>
      <w:r w:rsidRPr="00020CD8">
        <w:t xml:space="preserve">, </w:t>
      </w:r>
      <w:r w:rsidR="002764BD">
        <w:t xml:space="preserve">&amp; </w:t>
      </w:r>
      <w:r w:rsidRPr="00020CD8">
        <w:t>Seawright</w:t>
      </w:r>
      <w:r w:rsidR="002764BD">
        <w:t>,</w:t>
      </w:r>
      <w:r w:rsidRPr="00020CD8">
        <w:t xml:space="preserve"> J. (2004) Refocusing the discussion of methodology. In</w:t>
      </w:r>
      <w:r w:rsidR="004D3ACB">
        <w:t xml:space="preserve"> </w:t>
      </w:r>
      <w:r w:rsidR="004D3ACB" w:rsidRPr="00020CD8">
        <w:t>H</w:t>
      </w:r>
      <w:r w:rsidR="004D3ACB">
        <w:t xml:space="preserve">. </w:t>
      </w:r>
      <w:r w:rsidR="004D3ACB" w:rsidRPr="00020CD8">
        <w:t>E</w:t>
      </w:r>
      <w:r w:rsidR="004D3ACB">
        <w:t>.</w:t>
      </w:r>
      <w:r w:rsidRPr="00020CD8">
        <w:t xml:space="preserve"> Brady</w:t>
      </w:r>
      <w:r w:rsidR="004D3ACB">
        <w:t xml:space="preserve"> &amp;</w:t>
      </w:r>
      <w:r w:rsidRPr="00020CD8">
        <w:t xml:space="preserve"> </w:t>
      </w:r>
      <w:r w:rsidR="004D3ACB">
        <w:t xml:space="preserve">D. </w:t>
      </w:r>
      <w:r w:rsidRPr="00020CD8">
        <w:t>Collier</w:t>
      </w:r>
      <w:r w:rsidR="004D3ACB">
        <w:t xml:space="preserve"> (Eds</w:t>
      </w:r>
      <w:r w:rsidRPr="00020CD8">
        <w:t>.</w:t>
      </w:r>
      <w:r w:rsidR="004D3ACB">
        <w:t>),</w:t>
      </w:r>
      <w:r w:rsidRPr="00020CD8">
        <w:t xml:space="preserve"> Rethinking </w:t>
      </w:r>
      <w:r w:rsidR="004D3ACB">
        <w:t>s</w:t>
      </w:r>
      <w:r w:rsidRPr="00020CD8">
        <w:t xml:space="preserve">ocial </w:t>
      </w:r>
      <w:r w:rsidR="004D3ACB">
        <w:t>i</w:t>
      </w:r>
      <w:r w:rsidRPr="00020CD8">
        <w:t xml:space="preserve">nquiry: Diverse </w:t>
      </w:r>
      <w:r w:rsidR="004D3ACB">
        <w:t>t</w:t>
      </w:r>
      <w:r w:rsidRPr="00020CD8">
        <w:t xml:space="preserve">ools, </w:t>
      </w:r>
      <w:r w:rsidR="004D3ACB">
        <w:t>s</w:t>
      </w:r>
      <w:r w:rsidRPr="00020CD8">
        <w:t xml:space="preserve">hared </w:t>
      </w:r>
      <w:r w:rsidR="004D3ACB">
        <w:t>s</w:t>
      </w:r>
      <w:r w:rsidRPr="00020CD8">
        <w:t>tandards</w:t>
      </w:r>
      <w:r w:rsidR="004D3ACB">
        <w:t xml:space="preserve"> (pp. 3-20)</w:t>
      </w:r>
      <w:r w:rsidRPr="00020CD8">
        <w:t>. Lanham, MD: Rowman and Littlefield</w:t>
      </w:r>
      <w:r w:rsidR="004D3ACB">
        <w:t>.</w:t>
      </w:r>
    </w:p>
    <w:p w14:paraId="016A3CB9" w14:textId="77777777" w:rsidR="00020CD8" w:rsidRDefault="00020CD8" w:rsidP="00020CD8">
      <w:pPr>
        <w:pStyle w:val="Body"/>
      </w:pPr>
      <w:proofErr w:type="spellStart"/>
      <w:r w:rsidRPr="00020CD8">
        <w:t>Caramani</w:t>
      </w:r>
      <w:proofErr w:type="spellEnd"/>
      <w:r w:rsidR="002764BD">
        <w:t>,</w:t>
      </w:r>
      <w:r w:rsidRPr="00020CD8">
        <w:t xml:space="preserve"> D. </w:t>
      </w:r>
      <w:r w:rsidR="004D3ACB">
        <w:t xml:space="preserve">(2020). </w:t>
      </w:r>
      <w:r w:rsidRPr="00020CD8">
        <w:t xml:space="preserve">Introduction to comparative politics. In </w:t>
      </w:r>
      <w:r w:rsidR="004D3ACB">
        <w:t xml:space="preserve">D. </w:t>
      </w:r>
      <w:proofErr w:type="spellStart"/>
      <w:r w:rsidRPr="00020CD8">
        <w:t>Caramani</w:t>
      </w:r>
      <w:proofErr w:type="spellEnd"/>
      <w:r w:rsidRPr="00020CD8">
        <w:t xml:space="preserve"> </w:t>
      </w:r>
      <w:r w:rsidR="004D3ACB">
        <w:t>(Ed</w:t>
      </w:r>
      <w:r w:rsidRPr="00020CD8">
        <w:t>.</w:t>
      </w:r>
      <w:r w:rsidR="004D3ACB">
        <w:t>),</w:t>
      </w:r>
      <w:r w:rsidRPr="00020CD8">
        <w:t xml:space="preserve"> Comparative </w:t>
      </w:r>
      <w:r w:rsidR="004D3ACB">
        <w:t>p</w:t>
      </w:r>
      <w:r w:rsidRPr="00020CD8">
        <w:t>olitics</w:t>
      </w:r>
      <w:r w:rsidR="004D3ACB">
        <w:t xml:space="preserve"> (pp. </w:t>
      </w:r>
      <w:r w:rsidR="004D3ACB" w:rsidRPr="00020CD8">
        <w:t>1-18</w:t>
      </w:r>
      <w:r w:rsidR="004D3ACB">
        <w:t>)</w:t>
      </w:r>
      <w:r w:rsidRPr="00020CD8">
        <w:t>. Oxford University Press</w:t>
      </w:r>
      <w:r w:rsidR="004D3ACB">
        <w:t>.</w:t>
      </w:r>
    </w:p>
    <w:p w14:paraId="63A8480B" w14:textId="77777777" w:rsidR="0083529D" w:rsidRPr="0083529D" w:rsidRDefault="0083529D" w:rsidP="00020CD8">
      <w:pPr>
        <w:pStyle w:val="Body"/>
        <w:rPr>
          <w:i/>
          <w:iCs/>
        </w:rPr>
      </w:pPr>
      <w:r w:rsidRPr="00020CD8">
        <w:t>Chilcote</w:t>
      </w:r>
      <w:r w:rsidR="002764BD">
        <w:t>,</w:t>
      </w:r>
      <w:r w:rsidRPr="00020CD8">
        <w:t xml:space="preserve"> R</w:t>
      </w:r>
      <w:r w:rsidR="002764BD">
        <w:t xml:space="preserve">. </w:t>
      </w:r>
      <w:r w:rsidRPr="00020CD8">
        <w:t xml:space="preserve">H. </w:t>
      </w:r>
      <w:r w:rsidR="00BA37BA">
        <w:t xml:space="preserve">(1994). </w:t>
      </w:r>
      <w:r w:rsidRPr="00020CD8">
        <w:t>Theories of</w:t>
      </w:r>
      <w:r w:rsidR="00BA37BA" w:rsidRPr="00020CD8">
        <w:t xml:space="preserve"> comparative politics: </w:t>
      </w:r>
      <w:r w:rsidR="00BA37BA">
        <w:t>T</w:t>
      </w:r>
      <w:r w:rsidR="00BA37BA" w:rsidRPr="00020CD8">
        <w:t>he search for a paradigm reconsidered.</w:t>
      </w:r>
      <w:r w:rsidRPr="00020CD8">
        <w:t xml:space="preserve"> Boulder; San Francisco; Oxford: Westview. </w:t>
      </w:r>
    </w:p>
    <w:p w14:paraId="49E0A8BC" w14:textId="77777777" w:rsidR="00020CD8" w:rsidRPr="00020CD8" w:rsidRDefault="00020CD8" w:rsidP="00020CD8">
      <w:pPr>
        <w:pStyle w:val="Body"/>
        <w:rPr>
          <w:i/>
          <w:iCs/>
        </w:rPr>
      </w:pPr>
      <w:r w:rsidRPr="00020CD8">
        <w:t>Dogan</w:t>
      </w:r>
      <w:r w:rsidR="002764BD">
        <w:t>,</w:t>
      </w:r>
      <w:r w:rsidRPr="00020CD8">
        <w:t xml:space="preserve"> M</w:t>
      </w:r>
      <w:r w:rsidR="002764BD">
        <w:t>., &amp;</w:t>
      </w:r>
      <w:r w:rsidRPr="00020CD8">
        <w:t xml:space="preserve"> </w:t>
      </w:r>
      <w:proofErr w:type="spellStart"/>
      <w:r w:rsidRPr="00020CD8">
        <w:t>Pelassy</w:t>
      </w:r>
      <w:proofErr w:type="spellEnd"/>
      <w:r w:rsidR="00BA37BA">
        <w:t>,</w:t>
      </w:r>
      <w:r w:rsidRPr="00020CD8">
        <w:t xml:space="preserve"> D. </w:t>
      </w:r>
      <w:r w:rsidR="004D3ACB">
        <w:t xml:space="preserve">(1994) </w:t>
      </w:r>
      <w:r w:rsidRPr="00020CD8">
        <w:t>How</w:t>
      </w:r>
      <w:r w:rsidR="00BA37BA" w:rsidRPr="00020CD8">
        <w:t xml:space="preserve"> to compare nations: </w:t>
      </w:r>
      <w:r w:rsidR="00BA37BA">
        <w:t>S</w:t>
      </w:r>
      <w:r w:rsidR="00BA37BA" w:rsidRPr="00020CD8">
        <w:t>trategies in comparative politics.</w:t>
      </w:r>
      <w:r w:rsidR="00BA37BA" w:rsidRPr="00020CD8">
        <w:rPr>
          <w:i/>
          <w:iCs/>
        </w:rPr>
        <w:t xml:space="preserve"> </w:t>
      </w:r>
      <w:r w:rsidRPr="00020CD8">
        <w:t xml:space="preserve">N.J.: </w:t>
      </w:r>
      <w:proofErr w:type="spellStart"/>
      <w:r w:rsidRPr="00020CD8">
        <w:t>Chatnam</w:t>
      </w:r>
      <w:proofErr w:type="spellEnd"/>
      <w:r w:rsidRPr="00020CD8">
        <w:t xml:space="preserve"> House Pub.</w:t>
      </w:r>
    </w:p>
    <w:p w14:paraId="4AB61853" w14:textId="77777777" w:rsidR="00020CD8" w:rsidRDefault="00020CD8" w:rsidP="00020CD8">
      <w:pPr>
        <w:pStyle w:val="Body"/>
      </w:pPr>
      <w:r w:rsidRPr="00020CD8">
        <w:t>Gerring</w:t>
      </w:r>
      <w:r w:rsidR="002764BD">
        <w:t>,</w:t>
      </w:r>
      <w:r w:rsidRPr="00020CD8">
        <w:t xml:space="preserve"> J. </w:t>
      </w:r>
      <w:r w:rsidR="002764BD">
        <w:t xml:space="preserve">(2004). </w:t>
      </w:r>
      <w:r w:rsidRPr="00020CD8">
        <w:t>What is a case study and what is it good for? American Political Science Review</w:t>
      </w:r>
      <w:r w:rsidR="002764BD">
        <w:t>,</w:t>
      </w:r>
      <w:r w:rsidRPr="00020CD8">
        <w:t xml:space="preserve"> 98(2)</w:t>
      </w:r>
      <w:r w:rsidR="002764BD">
        <w:t>,</w:t>
      </w:r>
      <w:r w:rsidRPr="00020CD8">
        <w:t xml:space="preserve"> 341-54. </w:t>
      </w:r>
    </w:p>
    <w:p w14:paraId="46D014CC" w14:textId="77777777" w:rsidR="0083529D" w:rsidRDefault="0083529D" w:rsidP="00020CD8">
      <w:pPr>
        <w:pStyle w:val="Body"/>
      </w:pPr>
      <w:r w:rsidRPr="00020CD8">
        <w:t>Hawkins D.</w:t>
      </w:r>
      <w:r w:rsidR="004D3ACB">
        <w:t xml:space="preserve"> (2009).</w:t>
      </w:r>
      <w:r w:rsidRPr="00020CD8">
        <w:t xml:space="preserve"> Case studies. In</w:t>
      </w:r>
      <w:r w:rsidR="004D3ACB">
        <w:t xml:space="preserve"> T. </w:t>
      </w:r>
      <w:r w:rsidRPr="00020CD8">
        <w:t>Landman</w:t>
      </w:r>
      <w:r w:rsidR="004D3ACB">
        <w:t xml:space="preserve"> &amp;</w:t>
      </w:r>
      <w:r w:rsidRPr="00020CD8">
        <w:t xml:space="preserve"> </w:t>
      </w:r>
      <w:r w:rsidR="004D3ACB">
        <w:t xml:space="preserve">N. </w:t>
      </w:r>
      <w:r w:rsidRPr="00020CD8">
        <w:t xml:space="preserve">Robinson </w:t>
      </w:r>
      <w:r w:rsidR="004D3ACB">
        <w:t>(Eds</w:t>
      </w:r>
      <w:r w:rsidRPr="00020CD8">
        <w:t>.</w:t>
      </w:r>
      <w:r w:rsidR="004D3ACB">
        <w:t>),</w:t>
      </w:r>
      <w:r w:rsidRPr="00020CD8">
        <w:t> The SAGE Handbook of Comparative Politics</w:t>
      </w:r>
      <w:r w:rsidR="004D3ACB">
        <w:t xml:space="preserve"> (pp. 50-65)</w:t>
      </w:r>
      <w:r w:rsidRPr="00020CD8">
        <w:t>. SAGE Publications Ltd</w:t>
      </w:r>
      <w:r w:rsidR="004D3ACB">
        <w:t>.</w:t>
      </w:r>
    </w:p>
    <w:p w14:paraId="37BABE7C" w14:textId="77777777" w:rsidR="0083529D" w:rsidRDefault="0083529D" w:rsidP="0083529D">
      <w:pPr>
        <w:pStyle w:val="Body"/>
      </w:pPr>
      <w:r w:rsidRPr="00020CD8">
        <w:t>Hudson</w:t>
      </w:r>
      <w:r w:rsidR="002764BD">
        <w:t>,</w:t>
      </w:r>
      <w:r w:rsidRPr="00020CD8">
        <w:t xml:space="preserve"> M. </w:t>
      </w:r>
      <w:r w:rsidR="002764BD">
        <w:t xml:space="preserve">(2001). </w:t>
      </w:r>
      <w:r w:rsidRPr="00020CD8">
        <w:t>The Middle East. PS, Political Science &amp; Politics</w:t>
      </w:r>
      <w:r w:rsidR="002764BD">
        <w:t>,</w:t>
      </w:r>
      <w:r w:rsidRPr="00020CD8">
        <w:t xml:space="preserve"> 34(4)</w:t>
      </w:r>
      <w:r w:rsidR="002764BD">
        <w:t>,</w:t>
      </w:r>
      <w:r w:rsidRPr="00020CD8">
        <w:t xml:space="preserve"> 801-804. </w:t>
      </w:r>
    </w:p>
    <w:p w14:paraId="122A75DD" w14:textId="77777777" w:rsidR="0083529D" w:rsidRPr="0083529D" w:rsidRDefault="0083529D" w:rsidP="00020CD8">
      <w:pPr>
        <w:pStyle w:val="Body"/>
        <w:rPr>
          <w:i/>
          <w:iCs/>
        </w:rPr>
      </w:pPr>
      <w:r w:rsidRPr="00020CD8">
        <w:t>Hyden</w:t>
      </w:r>
      <w:r w:rsidR="002764BD">
        <w:t>,</w:t>
      </w:r>
      <w:r w:rsidRPr="00020CD8">
        <w:t xml:space="preserve"> G. </w:t>
      </w:r>
      <w:r w:rsidR="002764BD">
        <w:t xml:space="preserve">(2001). </w:t>
      </w:r>
      <w:r w:rsidRPr="00020CD8">
        <w:t>Africanists’ contribution to political science. PS, Political Science &amp; Politics</w:t>
      </w:r>
      <w:r w:rsidR="002764BD">
        <w:t xml:space="preserve">, </w:t>
      </w:r>
      <w:r w:rsidRPr="00020CD8">
        <w:t>34(4)</w:t>
      </w:r>
      <w:r w:rsidR="002764BD">
        <w:t xml:space="preserve">, </w:t>
      </w:r>
      <w:r w:rsidRPr="00020CD8">
        <w:t>797-800.</w:t>
      </w:r>
    </w:p>
    <w:p w14:paraId="01F85876" w14:textId="77777777" w:rsidR="0083529D" w:rsidRDefault="0083529D" w:rsidP="00020CD8">
      <w:pPr>
        <w:pStyle w:val="Body"/>
      </w:pPr>
      <w:r w:rsidRPr="00020CD8">
        <w:t>Journal Overview and Metrics</w:t>
      </w:r>
      <w:r w:rsidR="00DA1AD7">
        <w:t xml:space="preserve"> (Comparative Political Studies)</w:t>
      </w:r>
      <w:r w:rsidRPr="00020CD8">
        <w:t>. Available from https://journals.sagepub.com/overview-metric/CPS?</w:t>
      </w:r>
    </w:p>
    <w:p w14:paraId="2F664AAF" w14:textId="77777777" w:rsidR="00020CD8" w:rsidRDefault="00020CD8" w:rsidP="00020CD8">
      <w:pPr>
        <w:pStyle w:val="Body"/>
      </w:pPr>
      <w:r w:rsidRPr="00020CD8">
        <w:t>King</w:t>
      </w:r>
      <w:r w:rsidR="002764BD">
        <w:t>,</w:t>
      </w:r>
      <w:r w:rsidRPr="00020CD8">
        <w:t xml:space="preserve"> G</w:t>
      </w:r>
      <w:r w:rsidR="002764BD">
        <w:t>.</w:t>
      </w:r>
      <w:r w:rsidRPr="00020CD8">
        <w:t xml:space="preserve">, </w:t>
      </w:r>
      <w:r w:rsidR="002764BD">
        <w:t xml:space="preserve">&amp; </w:t>
      </w:r>
      <w:r w:rsidRPr="00020CD8">
        <w:t>Keohane</w:t>
      </w:r>
      <w:r w:rsidR="002764BD">
        <w:t>,</w:t>
      </w:r>
      <w:r w:rsidRPr="00020CD8">
        <w:t xml:space="preserve"> R</w:t>
      </w:r>
      <w:r w:rsidR="002764BD">
        <w:t>.</w:t>
      </w:r>
      <w:r w:rsidRPr="00020CD8">
        <w:t xml:space="preserve">, Verba, S. </w:t>
      </w:r>
      <w:r w:rsidR="00BA37BA">
        <w:t xml:space="preserve">(1994). </w:t>
      </w:r>
      <w:r w:rsidRPr="00020CD8">
        <w:t xml:space="preserve">Designing </w:t>
      </w:r>
      <w:r w:rsidR="00BA37BA" w:rsidRPr="00020CD8">
        <w:t xml:space="preserve">social inquiry: </w:t>
      </w:r>
      <w:r w:rsidR="00BA37BA">
        <w:t>S</w:t>
      </w:r>
      <w:r w:rsidR="00BA37BA" w:rsidRPr="00020CD8">
        <w:t>cientific inference in qualitative research</w:t>
      </w:r>
      <w:r w:rsidRPr="00020CD8">
        <w:t>. Princeton, NJ: Princeton University Press.</w:t>
      </w:r>
    </w:p>
    <w:p w14:paraId="024BEEAD" w14:textId="77777777" w:rsidR="0083529D" w:rsidRPr="00020CD8" w:rsidRDefault="0083529D" w:rsidP="0083529D">
      <w:pPr>
        <w:pStyle w:val="Body"/>
      </w:pPr>
      <w:r w:rsidRPr="00020CD8">
        <w:t>Landman</w:t>
      </w:r>
      <w:r w:rsidR="002764BD">
        <w:t>,</w:t>
      </w:r>
      <w:r w:rsidRPr="00020CD8">
        <w:t xml:space="preserve"> T. </w:t>
      </w:r>
      <w:r w:rsidR="00BA37BA">
        <w:t xml:space="preserve">(2008). </w:t>
      </w:r>
      <w:r w:rsidRPr="00020CD8">
        <w:t xml:space="preserve">Issues </w:t>
      </w:r>
      <w:r w:rsidR="00BA37BA" w:rsidRPr="00020CD8">
        <w:t xml:space="preserve">and methods in comparative politics: </w:t>
      </w:r>
      <w:r w:rsidR="00BA37BA">
        <w:t>A</w:t>
      </w:r>
      <w:r w:rsidR="00BA37BA" w:rsidRPr="00020CD8">
        <w:t>n introduction</w:t>
      </w:r>
      <w:r w:rsidRPr="00020CD8">
        <w:t xml:space="preserve">. London; New York: Routledge. </w:t>
      </w:r>
    </w:p>
    <w:p w14:paraId="361017D3" w14:textId="77777777" w:rsidR="0083529D" w:rsidRDefault="0083529D" w:rsidP="00020CD8">
      <w:pPr>
        <w:pStyle w:val="Body"/>
      </w:pPr>
      <w:r w:rsidRPr="00020CD8">
        <w:lastRenderedPageBreak/>
        <w:t>Landman</w:t>
      </w:r>
      <w:r w:rsidR="002764BD">
        <w:t>,</w:t>
      </w:r>
      <w:r w:rsidRPr="00020CD8">
        <w:t xml:space="preserve"> T</w:t>
      </w:r>
      <w:r w:rsidR="002764BD">
        <w:t>.</w:t>
      </w:r>
      <w:r w:rsidRPr="00020CD8">
        <w:t xml:space="preserve">, </w:t>
      </w:r>
      <w:r w:rsidR="002764BD">
        <w:t xml:space="preserve">&amp; </w:t>
      </w:r>
      <w:r w:rsidRPr="00020CD8">
        <w:t>Robinson N.</w:t>
      </w:r>
      <w:r w:rsidR="004D3ACB">
        <w:t xml:space="preserve"> (2009).</w:t>
      </w:r>
      <w:r w:rsidRPr="00020CD8">
        <w:t xml:space="preserve"> Introduction. In</w:t>
      </w:r>
      <w:r w:rsidR="004D3ACB">
        <w:t xml:space="preserve"> T.</w:t>
      </w:r>
      <w:r w:rsidRPr="00020CD8">
        <w:t xml:space="preserve"> Landman </w:t>
      </w:r>
      <w:r w:rsidR="004D3ACB">
        <w:t>&amp; N.</w:t>
      </w:r>
      <w:r w:rsidRPr="00020CD8">
        <w:t xml:space="preserve"> Robinson</w:t>
      </w:r>
      <w:r w:rsidR="00BA37BA">
        <w:t xml:space="preserve"> (Eds.),</w:t>
      </w:r>
      <w:r w:rsidRPr="00020CD8">
        <w:t xml:space="preserve"> The SAGE </w:t>
      </w:r>
      <w:r w:rsidR="00BA37BA">
        <w:t>h</w:t>
      </w:r>
      <w:r w:rsidRPr="00020CD8">
        <w:t xml:space="preserve">andbook of </w:t>
      </w:r>
      <w:r w:rsidR="00BA37BA">
        <w:t>c</w:t>
      </w:r>
      <w:r w:rsidRPr="00020CD8">
        <w:t xml:space="preserve">omparative </w:t>
      </w:r>
      <w:r w:rsidR="00BA37BA">
        <w:t>p</w:t>
      </w:r>
      <w:r w:rsidRPr="00020CD8">
        <w:t>olitics</w:t>
      </w:r>
      <w:r w:rsidR="004D3ACB">
        <w:t xml:space="preserve"> (pp. 1-9)</w:t>
      </w:r>
      <w:r w:rsidRPr="00020CD8">
        <w:t xml:space="preserve">. SAGE Publications Ltd. </w:t>
      </w:r>
    </w:p>
    <w:p w14:paraId="226EBD3E" w14:textId="77777777" w:rsidR="0083529D" w:rsidRPr="00020CD8" w:rsidRDefault="0083529D" w:rsidP="0083529D">
      <w:pPr>
        <w:pStyle w:val="Body"/>
        <w:rPr>
          <w:i/>
          <w:iCs/>
        </w:rPr>
      </w:pPr>
      <w:proofErr w:type="spellStart"/>
      <w:r w:rsidRPr="00020CD8">
        <w:t>Lijphart</w:t>
      </w:r>
      <w:proofErr w:type="spellEnd"/>
      <w:r w:rsidR="002764BD">
        <w:t>,</w:t>
      </w:r>
      <w:r w:rsidRPr="00020CD8">
        <w:t xml:space="preserve"> A.</w:t>
      </w:r>
      <w:r w:rsidR="002764BD">
        <w:t xml:space="preserve"> (1971).</w:t>
      </w:r>
      <w:r w:rsidRPr="00020CD8">
        <w:t xml:space="preserve"> Comparative politics and the comparative government. The American Political Science Review</w:t>
      </w:r>
      <w:r w:rsidR="002764BD">
        <w:t>,</w:t>
      </w:r>
      <w:r w:rsidRPr="00020CD8">
        <w:rPr>
          <w:i/>
          <w:iCs/>
        </w:rPr>
        <w:t xml:space="preserve"> </w:t>
      </w:r>
      <w:r w:rsidRPr="00020CD8">
        <w:t>65(3)</w:t>
      </w:r>
      <w:r w:rsidR="002764BD">
        <w:t>,</w:t>
      </w:r>
      <w:r w:rsidRPr="00020CD8">
        <w:t xml:space="preserve"> 682-693. </w:t>
      </w:r>
    </w:p>
    <w:p w14:paraId="0D5EB7DD" w14:textId="77777777" w:rsidR="0083529D" w:rsidRPr="00020CD8" w:rsidRDefault="0083529D" w:rsidP="0083529D">
      <w:pPr>
        <w:pStyle w:val="Body"/>
      </w:pPr>
      <w:r w:rsidRPr="00020CD8">
        <w:t>Mahoney</w:t>
      </w:r>
      <w:r w:rsidR="002764BD">
        <w:t>,</w:t>
      </w:r>
      <w:r w:rsidRPr="00020CD8">
        <w:t xml:space="preserve"> J. </w:t>
      </w:r>
      <w:r w:rsidR="002764BD">
        <w:t xml:space="preserve">(2007). </w:t>
      </w:r>
      <w:r w:rsidRPr="00020CD8">
        <w:t>Debating the state of comparative politics: Views from qualitative research. Comparative Political Studies</w:t>
      </w:r>
      <w:r w:rsidR="002764BD">
        <w:t xml:space="preserve">, </w:t>
      </w:r>
      <w:r w:rsidRPr="00020CD8">
        <w:t>40(2)</w:t>
      </w:r>
      <w:r w:rsidR="002764BD">
        <w:t>,</w:t>
      </w:r>
      <w:r w:rsidRPr="00020CD8">
        <w:t xml:space="preserve"> 32–38. </w:t>
      </w:r>
    </w:p>
    <w:p w14:paraId="05C03F94" w14:textId="77777777" w:rsidR="0083529D" w:rsidRDefault="0083529D" w:rsidP="00020CD8">
      <w:pPr>
        <w:pStyle w:val="Body"/>
      </w:pPr>
      <w:r w:rsidRPr="00020CD8">
        <w:t>Moore</w:t>
      </w:r>
      <w:r w:rsidR="00DA1AD7">
        <w:t>,</w:t>
      </w:r>
      <w:r w:rsidRPr="00020CD8">
        <w:t xml:space="preserve"> B. (1966)</w:t>
      </w:r>
      <w:r w:rsidR="00DA1AD7">
        <w:t>.</w:t>
      </w:r>
      <w:r w:rsidRPr="00020CD8">
        <w:t xml:space="preserve"> Social </w:t>
      </w:r>
      <w:r w:rsidR="00DA1AD7" w:rsidRPr="00020CD8">
        <w:t xml:space="preserve">origins of dictatorship and democracy: </w:t>
      </w:r>
      <w:r w:rsidR="00DA1AD7">
        <w:t>L</w:t>
      </w:r>
      <w:r w:rsidR="00DA1AD7" w:rsidRPr="00020CD8">
        <w:t>ord and peasant in the making of the modern world</w:t>
      </w:r>
      <w:r w:rsidRPr="00020CD8">
        <w:t xml:space="preserve">. Boston, MA: Beacon Press. </w:t>
      </w:r>
    </w:p>
    <w:p w14:paraId="3B53BD46" w14:textId="77777777" w:rsidR="00020CD8" w:rsidRDefault="00020CD8" w:rsidP="00020CD8">
      <w:pPr>
        <w:pStyle w:val="Body"/>
      </w:pPr>
      <w:r w:rsidRPr="00020CD8">
        <w:t>Pepinsky</w:t>
      </w:r>
      <w:r w:rsidR="002764BD">
        <w:t>,</w:t>
      </w:r>
      <w:r w:rsidRPr="00020CD8">
        <w:t xml:space="preserve"> T. </w:t>
      </w:r>
      <w:r w:rsidR="004D3ACB">
        <w:t xml:space="preserve">(2019). </w:t>
      </w:r>
      <w:r w:rsidRPr="00020CD8">
        <w:t>The return of the single-country study. Annual Review of Political Science</w:t>
      </w:r>
      <w:r w:rsidR="004D3ACB">
        <w:t>,</w:t>
      </w:r>
      <w:r w:rsidRPr="00020CD8">
        <w:t xml:space="preserve"> 22: 187-203.</w:t>
      </w:r>
    </w:p>
    <w:p w14:paraId="1690FC3A" w14:textId="77777777" w:rsidR="00020CD8" w:rsidRDefault="00020CD8" w:rsidP="00020CD8">
      <w:pPr>
        <w:pStyle w:val="Body"/>
      </w:pPr>
      <w:r w:rsidRPr="00020CD8">
        <w:t>Punch</w:t>
      </w:r>
      <w:r w:rsidR="002764BD">
        <w:t>,</w:t>
      </w:r>
      <w:r w:rsidRPr="00020CD8">
        <w:t xml:space="preserve"> K</w:t>
      </w:r>
      <w:r w:rsidR="002764BD">
        <w:t xml:space="preserve">. </w:t>
      </w:r>
      <w:r w:rsidRPr="00020CD8">
        <w:t xml:space="preserve">F. </w:t>
      </w:r>
      <w:r w:rsidR="00DA1AD7">
        <w:t>(</w:t>
      </w:r>
      <w:r w:rsidRPr="00020CD8">
        <w:t>2014</w:t>
      </w:r>
      <w:r w:rsidR="00DA1AD7">
        <w:t>)</w:t>
      </w:r>
      <w:r w:rsidRPr="00020CD8">
        <w:t xml:space="preserve">. Introduction </w:t>
      </w:r>
      <w:r w:rsidR="00DA1AD7" w:rsidRPr="00020CD8">
        <w:t xml:space="preserve">to social research: </w:t>
      </w:r>
      <w:r w:rsidR="00DA1AD7">
        <w:t>Q</w:t>
      </w:r>
      <w:r w:rsidR="00DA1AD7" w:rsidRPr="00020CD8">
        <w:t xml:space="preserve">uantitative and qualitative approaches. </w:t>
      </w:r>
      <w:r w:rsidRPr="00020CD8">
        <w:t xml:space="preserve">London: Sage Publications. </w:t>
      </w:r>
    </w:p>
    <w:p w14:paraId="5328EFB9" w14:textId="77777777" w:rsidR="0083529D" w:rsidRDefault="0083529D" w:rsidP="00020CD8">
      <w:pPr>
        <w:pStyle w:val="Body"/>
      </w:pPr>
      <w:r w:rsidRPr="00020CD8">
        <w:t>Ragin</w:t>
      </w:r>
      <w:r w:rsidR="002764BD">
        <w:t>,</w:t>
      </w:r>
      <w:r w:rsidRPr="00020CD8">
        <w:t xml:space="preserve"> C</w:t>
      </w:r>
      <w:r w:rsidR="002764BD">
        <w:t>.</w:t>
      </w:r>
      <w:r w:rsidRPr="00020CD8">
        <w:t xml:space="preserve">, </w:t>
      </w:r>
      <w:r w:rsidR="002764BD">
        <w:t xml:space="preserve">&amp; </w:t>
      </w:r>
      <w:r w:rsidRPr="00020CD8">
        <w:t>Rubinson</w:t>
      </w:r>
      <w:r w:rsidR="002764BD">
        <w:t>,</w:t>
      </w:r>
      <w:r w:rsidRPr="00020CD8">
        <w:t xml:space="preserve"> C. (2009). The distinctiveness of comparative research</w:t>
      </w:r>
      <w:r w:rsidR="00BA37BA" w:rsidRPr="00020CD8">
        <w:t>. In</w:t>
      </w:r>
      <w:r w:rsidR="00BA37BA">
        <w:t xml:space="preserve"> T.</w:t>
      </w:r>
      <w:r w:rsidR="00BA37BA" w:rsidRPr="00020CD8">
        <w:t xml:space="preserve"> Landman </w:t>
      </w:r>
      <w:r w:rsidR="00BA37BA">
        <w:t>&amp; N.</w:t>
      </w:r>
      <w:r w:rsidR="00BA37BA" w:rsidRPr="00020CD8">
        <w:t xml:space="preserve"> Robinson</w:t>
      </w:r>
      <w:r w:rsidR="00BA37BA">
        <w:t xml:space="preserve"> (Eds.),</w:t>
      </w:r>
      <w:r w:rsidR="00BA37BA" w:rsidRPr="00020CD8">
        <w:t xml:space="preserve"> The SAGE </w:t>
      </w:r>
      <w:r w:rsidR="00BA37BA">
        <w:t>h</w:t>
      </w:r>
      <w:r w:rsidR="00BA37BA" w:rsidRPr="00020CD8">
        <w:t xml:space="preserve">andbook of </w:t>
      </w:r>
      <w:r w:rsidR="00BA37BA">
        <w:t>c</w:t>
      </w:r>
      <w:r w:rsidR="00BA37BA" w:rsidRPr="00020CD8">
        <w:t xml:space="preserve">omparative </w:t>
      </w:r>
      <w:r w:rsidR="00BA37BA">
        <w:t>p</w:t>
      </w:r>
      <w:r w:rsidR="00BA37BA" w:rsidRPr="00020CD8">
        <w:t>olitics</w:t>
      </w:r>
      <w:r w:rsidR="00BA37BA">
        <w:t xml:space="preserve"> (pp. 12-34)</w:t>
      </w:r>
      <w:r w:rsidR="00BA37BA" w:rsidRPr="00020CD8">
        <w:t>. SAGE Publications Ltd.</w:t>
      </w:r>
    </w:p>
    <w:p w14:paraId="64815DF4" w14:textId="77777777" w:rsidR="0083529D" w:rsidRPr="00020CD8" w:rsidRDefault="0083529D" w:rsidP="0083529D">
      <w:pPr>
        <w:pStyle w:val="Body"/>
      </w:pPr>
      <w:r w:rsidRPr="00020CD8">
        <w:t>Sartori</w:t>
      </w:r>
      <w:r w:rsidR="002764BD">
        <w:t>,</w:t>
      </w:r>
      <w:r w:rsidRPr="00020CD8">
        <w:t xml:space="preserve"> G. </w:t>
      </w:r>
      <w:r w:rsidR="004D3ACB">
        <w:t>(</w:t>
      </w:r>
      <w:r w:rsidRPr="00020CD8">
        <w:t>1994</w:t>
      </w:r>
      <w:r w:rsidR="004D3ACB">
        <w:t>)</w:t>
      </w:r>
      <w:r w:rsidRPr="00020CD8">
        <w:t xml:space="preserve">. Compare why and how: Comparing, </w:t>
      </w:r>
      <w:proofErr w:type="spellStart"/>
      <w:r w:rsidRPr="00020CD8">
        <w:t>miscomparing</w:t>
      </w:r>
      <w:proofErr w:type="spellEnd"/>
      <w:r w:rsidRPr="00020CD8">
        <w:t xml:space="preserve"> and the comparative method. In</w:t>
      </w:r>
      <w:r w:rsidR="00BA37BA">
        <w:t xml:space="preserve"> M.</w:t>
      </w:r>
      <w:r w:rsidRPr="00020CD8">
        <w:t xml:space="preserve"> Dogan </w:t>
      </w:r>
      <w:r w:rsidR="00BA37BA">
        <w:t xml:space="preserve">&amp; A. </w:t>
      </w:r>
      <w:proofErr w:type="spellStart"/>
      <w:r w:rsidRPr="00020CD8">
        <w:t>Kazancıgil</w:t>
      </w:r>
      <w:proofErr w:type="spellEnd"/>
      <w:r w:rsidR="00BA37BA">
        <w:t xml:space="preserve"> (Eds.),</w:t>
      </w:r>
      <w:r w:rsidRPr="00020CD8">
        <w:t xml:space="preserve"> Comparing </w:t>
      </w:r>
      <w:r w:rsidR="00BA37BA">
        <w:t>n</w:t>
      </w:r>
      <w:r w:rsidRPr="00020CD8">
        <w:t xml:space="preserve">ations: Concepts, </w:t>
      </w:r>
      <w:r w:rsidR="00BA37BA">
        <w:t>s</w:t>
      </w:r>
      <w:r w:rsidRPr="00020CD8">
        <w:t xml:space="preserve">trategies and </w:t>
      </w:r>
      <w:r w:rsidR="00BA37BA">
        <w:t>s</w:t>
      </w:r>
      <w:r w:rsidRPr="00020CD8">
        <w:t>ubstance</w:t>
      </w:r>
      <w:r w:rsidR="00BA37BA">
        <w:t xml:space="preserve"> (pp. 14-34)</w:t>
      </w:r>
      <w:r w:rsidRPr="00020CD8">
        <w:t xml:space="preserve">. Oxford: Blackwell. </w:t>
      </w:r>
    </w:p>
    <w:p w14:paraId="51FE39FF" w14:textId="77777777" w:rsidR="0083529D" w:rsidRDefault="0083529D" w:rsidP="00020CD8">
      <w:pPr>
        <w:pStyle w:val="Body"/>
      </w:pPr>
      <w:r w:rsidRPr="00020CD8">
        <w:t>Sprinz</w:t>
      </w:r>
      <w:r w:rsidR="002764BD">
        <w:t>,</w:t>
      </w:r>
      <w:r w:rsidRPr="00020CD8">
        <w:t xml:space="preserve"> D</w:t>
      </w:r>
      <w:r w:rsidR="002764BD">
        <w:t xml:space="preserve">. </w:t>
      </w:r>
      <w:r w:rsidRPr="00020CD8">
        <w:t>F</w:t>
      </w:r>
      <w:r w:rsidR="002764BD">
        <w:t>.</w:t>
      </w:r>
      <w:r w:rsidRPr="00020CD8">
        <w:t>,</w:t>
      </w:r>
      <w:r w:rsidR="002764BD">
        <w:t xml:space="preserve"> &amp;</w:t>
      </w:r>
      <w:r w:rsidRPr="00020CD8">
        <w:t xml:space="preserve"> </w:t>
      </w:r>
      <w:r w:rsidR="00BA37BA">
        <w:t xml:space="preserve">Y. </w:t>
      </w:r>
      <w:r w:rsidRPr="00020CD8">
        <w:t>Wolinsky-Nahmias.</w:t>
      </w:r>
      <w:r w:rsidR="00BA37BA">
        <w:t xml:space="preserve"> (2004).</w:t>
      </w:r>
      <w:r w:rsidRPr="00020CD8">
        <w:t xml:space="preserve"> Introduction: Meth</w:t>
      </w:r>
      <w:r w:rsidR="00DA1AD7">
        <w:t>o</w:t>
      </w:r>
      <w:r w:rsidRPr="00020CD8">
        <w:t>dology in international relations research. In</w:t>
      </w:r>
      <w:r w:rsidR="00BA37BA">
        <w:t xml:space="preserve"> D. F.</w:t>
      </w:r>
      <w:r w:rsidRPr="00020CD8">
        <w:t xml:space="preserve"> Sprinz </w:t>
      </w:r>
      <w:r w:rsidR="00BA37BA">
        <w:t xml:space="preserve">&amp;Y. </w:t>
      </w:r>
      <w:r w:rsidRPr="00020CD8">
        <w:t>Wolinsky-Nahmias</w:t>
      </w:r>
      <w:r w:rsidR="00BA37BA">
        <w:t xml:space="preserve"> (Eds.), </w:t>
      </w:r>
      <w:r w:rsidRPr="00020CD8">
        <w:t xml:space="preserve">Models, </w:t>
      </w:r>
      <w:r w:rsidR="00BA37BA">
        <w:t>n</w:t>
      </w:r>
      <w:r w:rsidRPr="00020CD8">
        <w:t xml:space="preserve">umbers and </w:t>
      </w:r>
      <w:r w:rsidR="00BA37BA">
        <w:t>c</w:t>
      </w:r>
      <w:r w:rsidRPr="00020CD8">
        <w:t xml:space="preserve">ases: Methods for </w:t>
      </w:r>
      <w:r w:rsidR="00BA37BA">
        <w:t>s</w:t>
      </w:r>
      <w:r w:rsidRPr="00020CD8">
        <w:t xml:space="preserve">tudying </w:t>
      </w:r>
      <w:r w:rsidR="00BA37BA">
        <w:t>i</w:t>
      </w:r>
      <w:r w:rsidRPr="00020CD8">
        <w:t xml:space="preserve">nternational </w:t>
      </w:r>
      <w:r w:rsidR="00BA37BA">
        <w:t>r</w:t>
      </w:r>
      <w:r w:rsidRPr="00020CD8">
        <w:t>elations</w:t>
      </w:r>
      <w:r w:rsidR="00BA37BA">
        <w:t xml:space="preserve"> (pp. 1-16)</w:t>
      </w:r>
      <w:r w:rsidRPr="00020CD8">
        <w:t>. Ann Arbor: University of Michigan Press</w:t>
      </w:r>
      <w:r w:rsidR="00BA37BA">
        <w:t>.</w:t>
      </w:r>
    </w:p>
    <w:p w14:paraId="2103DC1B" w14:textId="77777777" w:rsidR="00020CD8" w:rsidRDefault="00020CD8" w:rsidP="00020CD8">
      <w:pPr>
        <w:pStyle w:val="Body"/>
      </w:pPr>
      <w:r w:rsidRPr="00020CD8">
        <w:t>Stoecker</w:t>
      </w:r>
      <w:r w:rsidR="002764BD">
        <w:t>,</w:t>
      </w:r>
      <w:r w:rsidRPr="00020CD8">
        <w:t xml:space="preserve"> R. </w:t>
      </w:r>
      <w:r w:rsidR="004D3ACB">
        <w:t xml:space="preserve">(1991). </w:t>
      </w:r>
      <w:r w:rsidRPr="00020CD8">
        <w:t>Evaluating and rethinking the case study. The Sociological Review</w:t>
      </w:r>
      <w:r w:rsidR="004D3ACB">
        <w:t>,</w:t>
      </w:r>
      <w:r w:rsidRPr="00020CD8">
        <w:t xml:space="preserve"> 39: 88-112</w:t>
      </w:r>
      <w:r>
        <w:t>.</w:t>
      </w:r>
    </w:p>
    <w:p w14:paraId="2C1FC3F0" w14:textId="77777777" w:rsidR="0083529D" w:rsidRPr="0083529D" w:rsidRDefault="0083529D" w:rsidP="0083529D">
      <w:pPr>
        <w:pStyle w:val="Body"/>
      </w:pPr>
      <w:r w:rsidRPr="00020CD8">
        <w:t>Tarrow</w:t>
      </w:r>
      <w:r w:rsidR="002764BD">
        <w:t>,</w:t>
      </w:r>
      <w:r w:rsidRPr="00020CD8">
        <w:t xml:space="preserve"> S. </w:t>
      </w:r>
      <w:r w:rsidR="004D3ACB">
        <w:t xml:space="preserve">(2021). </w:t>
      </w:r>
      <w:r w:rsidRPr="00020CD8">
        <w:t xml:space="preserve">Progress outside of paradise: Old and new comparative approaches to contentious politics. Comparative Political Studies, 54(10): 1885–1901. </w:t>
      </w:r>
    </w:p>
    <w:p w14:paraId="59AC96A4" w14:textId="77777777" w:rsidR="0083529D" w:rsidRPr="00020CD8" w:rsidRDefault="0083529D" w:rsidP="0083529D">
      <w:pPr>
        <w:pStyle w:val="Body"/>
      </w:pPr>
      <w:r w:rsidRPr="00020CD8">
        <w:t>Thompson</w:t>
      </w:r>
      <w:r w:rsidR="002764BD">
        <w:t>,</w:t>
      </w:r>
      <w:r w:rsidRPr="00020CD8">
        <w:t xml:space="preserve"> E</w:t>
      </w:r>
      <w:r w:rsidR="002764BD">
        <w:t xml:space="preserve">. </w:t>
      </w:r>
      <w:r w:rsidRPr="00020CD8">
        <w:t xml:space="preserve">P. The Making of the English Working Class. New York: Vintage Books, 1966. </w:t>
      </w:r>
    </w:p>
    <w:p w14:paraId="4D1C0438" w14:textId="77777777" w:rsidR="0083529D" w:rsidRPr="00020CD8" w:rsidRDefault="0083529D" w:rsidP="00020CD8">
      <w:pPr>
        <w:pStyle w:val="Body"/>
        <w:rPr>
          <w:i/>
          <w:iCs/>
        </w:rPr>
      </w:pPr>
      <w:r w:rsidRPr="00020CD8">
        <w:t>Tocqueville</w:t>
      </w:r>
      <w:r w:rsidR="002764BD">
        <w:t>,</w:t>
      </w:r>
      <w:r w:rsidRPr="00020CD8">
        <w:t xml:space="preserve"> A. </w:t>
      </w:r>
      <w:r w:rsidR="00DA1AD7">
        <w:t xml:space="preserve">(1835). </w:t>
      </w:r>
      <w:r w:rsidRPr="00020CD8">
        <w:t xml:space="preserve">Democracy in America, Vol. 1. Project Gutenberg </w:t>
      </w:r>
      <w:proofErr w:type="spellStart"/>
      <w:r w:rsidRPr="00020CD8">
        <w:t>ebook</w:t>
      </w:r>
      <w:proofErr w:type="spellEnd"/>
      <w:r w:rsidRPr="00020CD8">
        <w:t>, 2006. Available from http://www.gutenberg.org/etext/815</w:t>
      </w:r>
    </w:p>
    <w:p w14:paraId="46DAAEBC" w14:textId="77777777" w:rsidR="00020CD8" w:rsidRDefault="00020CD8" w:rsidP="00020CD8">
      <w:pPr>
        <w:pStyle w:val="Body"/>
      </w:pPr>
      <w:r w:rsidRPr="00020CD8">
        <w:t>Yin</w:t>
      </w:r>
      <w:r w:rsidR="002764BD">
        <w:t xml:space="preserve">, </w:t>
      </w:r>
      <w:r w:rsidRPr="00020CD8">
        <w:t>R</w:t>
      </w:r>
      <w:r w:rsidR="002764BD">
        <w:t xml:space="preserve">. </w:t>
      </w:r>
      <w:r w:rsidRPr="00020CD8">
        <w:t xml:space="preserve">K. </w:t>
      </w:r>
      <w:r w:rsidR="00BA37BA">
        <w:t xml:space="preserve">(2014). </w:t>
      </w:r>
      <w:r w:rsidRPr="00020CD8">
        <w:t xml:space="preserve">Case </w:t>
      </w:r>
      <w:r w:rsidR="00DA1AD7" w:rsidRPr="00020CD8">
        <w:t xml:space="preserve">study research: </w:t>
      </w:r>
      <w:r w:rsidR="00DA1AD7">
        <w:t>D</w:t>
      </w:r>
      <w:r w:rsidR="00DA1AD7" w:rsidRPr="00020CD8">
        <w:t>esigns and methods</w:t>
      </w:r>
      <w:r w:rsidRPr="00020CD8">
        <w:t>. California: Sage Publication</w:t>
      </w:r>
      <w:r w:rsidR="00DA1AD7">
        <w:t>s</w:t>
      </w:r>
      <w:r w:rsidRPr="00020CD8">
        <w:t xml:space="preserve">. </w:t>
      </w:r>
    </w:p>
    <w:p w14:paraId="4E6E4CB2" w14:textId="77777777" w:rsidR="004D4277" w:rsidRPr="00DA1AD7" w:rsidRDefault="0083529D" w:rsidP="00DA1AD7">
      <w:pPr>
        <w:pStyle w:val="Body"/>
        <w:sectPr w:rsidR="004D4277" w:rsidRPr="00DA1AD7" w:rsidSect="004A416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2016" w:bottom="2016" w:left="2016" w:header="720" w:footer="1123" w:gutter="0"/>
          <w:cols w:space="720"/>
          <w:docGrid w:linePitch="272"/>
        </w:sectPr>
      </w:pPr>
      <w:proofErr w:type="spellStart"/>
      <w:r w:rsidRPr="00020CD8">
        <w:t>Zeleza</w:t>
      </w:r>
      <w:proofErr w:type="spellEnd"/>
      <w:r w:rsidR="002764BD">
        <w:t>,</w:t>
      </w:r>
      <w:r w:rsidRPr="00020CD8">
        <w:t xml:space="preserve"> P</w:t>
      </w:r>
      <w:r w:rsidR="002764BD">
        <w:t xml:space="preserve">. </w:t>
      </w:r>
      <w:r w:rsidRPr="00020CD8">
        <w:t xml:space="preserve">T. </w:t>
      </w:r>
      <w:r w:rsidR="00BA37BA">
        <w:t xml:space="preserve">(2007). </w:t>
      </w:r>
      <w:r w:rsidRPr="00020CD8">
        <w:t xml:space="preserve">Knowledge, globalization, and hegemony: Production of knowledge in the twenty-first century. In </w:t>
      </w:r>
      <w:r w:rsidR="00BA37BA">
        <w:t xml:space="preserve">S. </w:t>
      </w:r>
      <w:proofErr w:type="spellStart"/>
      <w:r w:rsidRPr="00020CD8">
        <w:t>Sörlin</w:t>
      </w:r>
      <w:proofErr w:type="spellEnd"/>
      <w:r w:rsidRPr="00020CD8">
        <w:t xml:space="preserve"> </w:t>
      </w:r>
      <w:r w:rsidR="00BA37BA">
        <w:t>&amp;</w:t>
      </w:r>
      <w:r w:rsidRPr="00020CD8">
        <w:t xml:space="preserve"> </w:t>
      </w:r>
      <w:r w:rsidR="00BA37BA">
        <w:t xml:space="preserve">H. </w:t>
      </w:r>
      <w:proofErr w:type="spellStart"/>
      <w:r w:rsidRPr="00020CD8">
        <w:t>Vessuri</w:t>
      </w:r>
      <w:proofErr w:type="spellEnd"/>
      <w:r w:rsidRPr="00020CD8">
        <w:t xml:space="preserve"> </w:t>
      </w:r>
      <w:r w:rsidR="00BA37BA">
        <w:t>(Eds</w:t>
      </w:r>
      <w:r w:rsidRPr="00020CD8">
        <w:t>.</w:t>
      </w:r>
      <w:r w:rsidR="00BA37BA">
        <w:t>),</w:t>
      </w:r>
      <w:r w:rsidRPr="00020CD8">
        <w:t xml:space="preserve"> Knowledge </w:t>
      </w:r>
      <w:r w:rsidR="00BA37BA">
        <w:t>s</w:t>
      </w:r>
      <w:r w:rsidRPr="00020CD8">
        <w:t xml:space="preserve">ociety vs. </w:t>
      </w:r>
      <w:r w:rsidR="00BA37BA">
        <w:t>k</w:t>
      </w:r>
      <w:r w:rsidRPr="00020CD8">
        <w:t xml:space="preserve">nowledge </w:t>
      </w:r>
      <w:r w:rsidR="00BA37BA">
        <w:t>e</w:t>
      </w:r>
      <w:r w:rsidRPr="00020CD8">
        <w:t xml:space="preserve">conomy. Issues in </w:t>
      </w:r>
      <w:r w:rsidR="00BA37BA">
        <w:t>h</w:t>
      </w:r>
      <w:r w:rsidRPr="00020CD8">
        <w:t xml:space="preserve">igher </w:t>
      </w:r>
      <w:r w:rsidR="00BA37BA">
        <w:t>e</w:t>
      </w:r>
      <w:r w:rsidRPr="00020CD8">
        <w:t>ducation</w:t>
      </w:r>
      <w:r w:rsidR="00BA37BA">
        <w:t xml:space="preserve"> (pp. 79-106).</w:t>
      </w:r>
      <w:r w:rsidRPr="00020CD8">
        <w:t xml:space="preserve"> New York: Palgrave Macmilla</w:t>
      </w:r>
      <w:r w:rsidR="00DA1AD7">
        <w:t>n.</w:t>
      </w:r>
    </w:p>
    <w:p w14:paraId="78811FCD" w14:textId="77777777" w:rsidR="00B01FCD" w:rsidRPr="00FB3A86" w:rsidRDefault="00B01FCD" w:rsidP="00441B6F">
      <w:pPr>
        <w:pStyle w:val="Appendix"/>
        <w:spacing w:after="0"/>
        <w:jc w:val="both"/>
        <w:rPr>
          <w:rFonts w:ascii="Arial" w:hAnsi="Arial" w:cs="Arial"/>
          <w:b w:val="0"/>
        </w:rPr>
      </w:pPr>
    </w:p>
    <w:sectPr w:rsidR="00B01FCD" w:rsidRPr="00FB3A86" w:rsidSect="004A41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C7E2" w14:textId="77777777" w:rsidR="00195C1F" w:rsidRDefault="00195C1F" w:rsidP="00C37E61">
      <w:r>
        <w:separator/>
      </w:r>
    </w:p>
  </w:endnote>
  <w:endnote w:type="continuationSeparator" w:id="0">
    <w:p w14:paraId="61BFBBF5" w14:textId="77777777" w:rsidR="00195C1F" w:rsidRDefault="00195C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B31B" w14:textId="77777777" w:rsidR="000E3B9D" w:rsidRDefault="000E3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666A"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BF018" w14:textId="77777777" w:rsidR="000E3B9D" w:rsidRDefault="000E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765CA" w14:textId="77777777" w:rsidR="00195C1F" w:rsidRDefault="00195C1F" w:rsidP="00C37E61">
      <w:r>
        <w:separator/>
      </w:r>
    </w:p>
  </w:footnote>
  <w:footnote w:type="continuationSeparator" w:id="0">
    <w:p w14:paraId="7E9D4BC9" w14:textId="77777777" w:rsidR="00195C1F" w:rsidRDefault="00195C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2FAD7" w14:textId="7D836816" w:rsidR="000E3B9D" w:rsidRDefault="000E3B9D">
    <w:pPr>
      <w:pStyle w:val="Header"/>
    </w:pPr>
    <w:r>
      <w:rPr>
        <w:noProof/>
      </w:rPr>
      <w:pict w14:anchorId="64752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7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8D2FF" w14:textId="7DA0529A" w:rsidR="000E3B9D" w:rsidRDefault="000E3B9D">
    <w:pPr>
      <w:pStyle w:val="Header"/>
    </w:pPr>
    <w:r>
      <w:rPr>
        <w:noProof/>
      </w:rPr>
      <w:pict w14:anchorId="6E9C4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7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614D5" w14:textId="6D8BD330" w:rsidR="000E3B9D" w:rsidRDefault="000E3B9D">
    <w:pPr>
      <w:pStyle w:val="Header"/>
    </w:pPr>
    <w:r>
      <w:rPr>
        <w:noProof/>
      </w:rPr>
      <w:pict w14:anchorId="51BA2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7281"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16311B"/>
    <w:multiLevelType w:val="hybridMultilevel"/>
    <w:tmpl w:val="FAA05684"/>
    <w:lvl w:ilvl="0" w:tplc="DCAC6330">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5C42FB"/>
    <w:multiLevelType w:val="hybridMultilevel"/>
    <w:tmpl w:val="5844A288"/>
    <w:lvl w:ilvl="0" w:tplc="BCA0C0DA">
      <w:start w:val="1"/>
      <w:numFmt w:val="decimal"/>
      <w:lvlText w:val="%1."/>
      <w:lvlJc w:val="left"/>
      <w:pPr>
        <w:ind w:left="720" w:hanging="360"/>
      </w:pPr>
      <w:rPr>
        <w:i w:val="0"/>
        <w:i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38E5F13"/>
    <w:multiLevelType w:val="hybridMultilevel"/>
    <w:tmpl w:val="41EE9D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80CA2"/>
    <w:multiLevelType w:val="hybridMultilevel"/>
    <w:tmpl w:val="7DC453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9"/>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0"/>
  </w:num>
  <w:num w:numId="31">
    <w:abstractNumId w:val="11"/>
  </w:num>
  <w:num w:numId="32">
    <w:abstractNumId w:val="20"/>
  </w:num>
  <w:num w:numId="33">
    <w:abstractNumId w:val="17"/>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263"/>
    <w:rsid w:val="00020CD8"/>
    <w:rsid w:val="000227BB"/>
    <w:rsid w:val="00030174"/>
    <w:rsid w:val="0004579C"/>
    <w:rsid w:val="000A47FA"/>
    <w:rsid w:val="000A524A"/>
    <w:rsid w:val="000A65D3"/>
    <w:rsid w:val="000B1E33"/>
    <w:rsid w:val="000D689F"/>
    <w:rsid w:val="000E3B9D"/>
    <w:rsid w:val="000E7B7B"/>
    <w:rsid w:val="000E7D62"/>
    <w:rsid w:val="00103357"/>
    <w:rsid w:val="00123C9F"/>
    <w:rsid w:val="00126190"/>
    <w:rsid w:val="00130F17"/>
    <w:rsid w:val="001320BF"/>
    <w:rsid w:val="00163BC4"/>
    <w:rsid w:val="00191062"/>
    <w:rsid w:val="00192B72"/>
    <w:rsid w:val="00195C1F"/>
    <w:rsid w:val="001A29D8"/>
    <w:rsid w:val="001A5CAA"/>
    <w:rsid w:val="001B0427"/>
    <w:rsid w:val="001D3A51"/>
    <w:rsid w:val="001E10D2"/>
    <w:rsid w:val="001E25B4"/>
    <w:rsid w:val="001E44FE"/>
    <w:rsid w:val="00200595"/>
    <w:rsid w:val="00204835"/>
    <w:rsid w:val="00220277"/>
    <w:rsid w:val="00231920"/>
    <w:rsid w:val="0023195C"/>
    <w:rsid w:val="0024282C"/>
    <w:rsid w:val="002460DC"/>
    <w:rsid w:val="00250985"/>
    <w:rsid w:val="002556F6"/>
    <w:rsid w:val="002764BD"/>
    <w:rsid w:val="00283105"/>
    <w:rsid w:val="00284C4C"/>
    <w:rsid w:val="00287E68"/>
    <w:rsid w:val="00296529"/>
    <w:rsid w:val="002B27FB"/>
    <w:rsid w:val="002B685A"/>
    <w:rsid w:val="002C57D2"/>
    <w:rsid w:val="002D6CEC"/>
    <w:rsid w:val="002E0D56"/>
    <w:rsid w:val="00315186"/>
    <w:rsid w:val="0033343E"/>
    <w:rsid w:val="003512C2"/>
    <w:rsid w:val="00371FB6"/>
    <w:rsid w:val="003763C1"/>
    <w:rsid w:val="00376BBE"/>
    <w:rsid w:val="0039224F"/>
    <w:rsid w:val="003A43A4"/>
    <w:rsid w:val="003A7E18"/>
    <w:rsid w:val="003B7960"/>
    <w:rsid w:val="003C4C86"/>
    <w:rsid w:val="003C6258"/>
    <w:rsid w:val="003E2904"/>
    <w:rsid w:val="00401927"/>
    <w:rsid w:val="0041027F"/>
    <w:rsid w:val="00412475"/>
    <w:rsid w:val="00423789"/>
    <w:rsid w:val="00427DE0"/>
    <w:rsid w:val="00440F43"/>
    <w:rsid w:val="00441B6F"/>
    <w:rsid w:val="00446221"/>
    <w:rsid w:val="00450E62"/>
    <w:rsid w:val="004539DB"/>
    <w:rsid w:val="00471A80"/>
    <w:rsid w:val="00493808"/>
    <w:rsid w:val="004A416D"/>
    <w:rsid w:val="004D305E"/>
    <w:rsid w:val="004D3ACB"/>
    <w:rsid w:val="004D4277"/>
    <w:rsid w:val="00502516"/>
    <w:rsid w:val="00505F06"/>
    <w:rsid w:val="00506828"/>
    <w:rsid w:val="0053056E"/>
    <w:rsid w:val="00554FDA"/>
    <w:rsid w:val="005C10D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50"/>
    <w:rsid w:val="006D30FF"/>
    <w:rsid w:val="006D6940"/>
    <w:rsid w:val="006F11EC"/>
    <w:rsid w:val="0070082C"/>
    <w:rsid w:val="007369E6"/>
    <w:rsid w:val="00746E59"/>
    <w:rsid w:val="00754C9A"/>
    <w:rsid w:val="0075599A"/>
    <w:rsid w:val="00761D52"/>
    <w:rsid w:val="0077749E"/>
    <w:rsid w:val="00777EFF"/>
    <w:rsid w:val="00790ADA"/>
    <w:rsid w:val="007B49A0"/>
    <w:rsid w:val="007D2288"/>
    <w:rsid w:val="007E088F"/>
    <w:rsid w:val="007F7B32"/>
    <w:rsid w:val="00804BC2"/>
    <w:rsid w:val="0081431A"/>
    <w:rsid w:val="0083216F"/>
    <w:rsid w:val="0083529D"/>
    <w:rsid w:val="00860000"/>
    <w:rsid w:val="00863BD3"/>
    <w:rsid w:val="00863ED6"/>
    <w:rsid w:val="008641ED"/>
    <w:rsid w:val="00866D66"/>
    <w:rsid w:val="008671C6"/>
    <w:rsid w:val="00875803"/>
    <w:rsid w:val="008966CD"/>
    <w:rsid w:val="008B459E"/>
    <w:rsid w:val="008E13AE"/>
    <w:rsid w:val="008E1506"/>
    <w:rsid w:val="008E710C"/>
    <w:rsid w:val="008F69D6"/>
    <w:rsid w:val="00902823"/>
    <w:rsid w:val="00915CA6"/>
    <w:rsid w:val="00925AD0"/>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0476"/>
    <w:rsid w:val="00BA1B01"/>
    <w:rsid w:val="00BA2641"/>
    <w:rsid w:val="00BA37BA"/>
    <w:rsid w:val="00BB37AA"/>
    <w:rsid w:val="00BC53A0"/>
    <w:rsid w:val="00BE62AD"/>
    <w:rsid w:val="00BF121F"/>
    <w:rsid w:val="00BF1F80"/>
    <w:rsid w:val="00C166EF"/>
    <w:rsid w:val="00C17EB0"/>
    <w:rsid w:val="00C2378E"/>
    <w:rsid w:val="00C27F5F"/>
    <w:rsid w:val="00C30A0F"/>
    <w:rsid w:val="00C37E61"/>
    <w:rsid w:val="00C70F1B"/>
    <w:rsid w:val="00C71A47"/>
    <w:rsid w:val="00C7464C"/>
    <w:rsid w:val="00C85588"/>
    <w:rsid w:val="00CC70B5"/>
    <w:rsid w:val="00CD6755"/>
    <w:rsid w:val="00CD6856"/>
    <w:rsid w:val="00CE0089"/>
    <w:rsid w:val="00CE793C"/>
    <w:rsid w:val="00CF193C"/>
    <w:rsid w:val="00CF28F9"/>
    <w:rsid w:val="00D173F1"/>
    <w:rsid w:val="00D74CB0"/>
    <w:rsid w:val="00D813C7"/>
    <w:rsid w:val="00D8295D"/>
    <w:rsid w:val="00DA1AD7"/>
    <w:rsid w:val="00DC2A65"/>
    <w:rsid w:val="00DE15F0"/>
    <w:rsid w:val="00DE5663"/>
    <w:rsid w:val="00DE78AA"/>
    <w:rsid w:val="00E053D0"/>
    <w:rsid w:val="00E15994"/>
    <w:rsid w:val="00E3114E"/>
    <w:rsid w:val="00E31A70"/>
    <w:rsid w:val="00E34DC8"/>
    <w:rsid w:val="00E35B02"/>
    <w:rsid w:val="00E66496"/>
    <w:rsid w:val="00E66B35"/>
    <w:rsid w:val="00E66E10"/>
    <w:rsid w:val="00E769F6"/>
    <w:rsid w:val="00E8407C"/>
    <w:rsid w:val="00E84F3C"/>
    <w:rsid w:val="00E874F7"/>
    <w:rsid w:val="00EA012C"/>
    <w:rsid w:val="00EC161E"/>
    <w:rsid w:val="00EC6A55"/>
    <w:rsid w:val="00ED0288"/>
    <w:rsid w:val="00EE52CB"/>
    <w:rsid w:val="00EF581D"/>
    <w:rsid w:val="00EF7FD8"/>
    <w:rsid w:val="00F06F59"/>
    <w:rsid w:val="00F17988"/>
    <w:rsid w:val="00F469F0"/>
    <w:rsid w:val="00F53273"/>
    <w:rsid w:val="00F556A8"/>
    <w:rsid w:val="00F755E4"/>
    <w:rsid w:val="00F77D02"/>
    <w:rsid w:val="00FB3A86"/>
    <w:rsid w:val="00FD36C8"/>
    <w:rsid w:val="00FD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A128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6D3050"/>
    <w:rPr>
      <w:rFonts w:ascii="Helvetica" w:hAnsi="Helvetica"/>
    </w:rPr>
  </w:style>
  <w:style w:type="paragraph" w:styleId="BodyTextIndent">
    <w:name w:val="Body Text Indent"/>
    <w:basedOn w:val="Normal"/>
    <w:link w:val="BodyTextIndentChar"/>
    <w:semiHidden/>
    <w:unhideWhenUsed/>
    <w:rsid w:val="00220277"/>
    <w:pPr>
      <w:spacing w:after="120"/>
      <w:ind w:left="283"/>
    </w:pPr>
  </w:style>
  <w:style w:type="character" w:customStyle="1" w:styleId="BodyTextIndentChar">
    <w:name w:val="Body Text Indent Char"/>
    <w:basedOn w:val="DefaultParagraphFont"/>
    <w:link w:val="BodyTextIndent"/>
    <w:semiHidden/>
    <w:rsid w:val="00220277"/>
    <w:rPr>
      <w:rFonts w:ascii="Helvetica" w:hAnsi="Helvetica"/>
    </w:rPr>
  </w:style>
  <w:style w:type="paragraph" w:styleId="BlockText">
    <w:name w:val="Block Text"/>
    <w:basedOn w:val="Normal"/>
    <w:semiHidden/>
    <w:unhideWhenUsed/>
    <w:rsid w:val="00863ED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ABC9-EE07-4965-B56A-AC0047EA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12</Pages>
  <Words>5784</Words>
  <Characters>32972</Characters>
  <Application>Microsoft Office Word</Application>
  <DocSecurity>0</DocSecurity>
  <Lines>274</Lines>
  <Paragraphs>77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38679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33</cp:revision>
  <cp:lastPrinted>1999-07-06T11:00:00Z</cp:lastPrinted>
  <dcterms:created xsi:type="dcterms:W3CDTF">2025-10-16T07:10:00Z</dcterms:created>
  <dcterms:modified xsi:type="dcterms:W3CDTF">2025-10-17T11:34:00Z</dcterms:modified>
</cp:coreProperties>
</file>