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69FC" w14:textId="77777777" w:rsidR="0005414C" w:rsidRPr="00E947FE" w:rsidRDefault="0005414C" w:rsidP="0005414C">
      <w:pPr>
        <w:spacing w:after="0"/>
        <w:jc w:val="both"/>
        <w:rPr>
          <w:rFonts w:ascii="Times New Roman" w:hAnsi="Times New Roman"/>
          <w:b/>
          <w:bCs/>
          <w:sz w:val="28"/>
          <w:szCs w:val="28"/>
        </w:rPr>
      </w:pPr>
      <w:bookmarkStart w:id="0" w:name="_Hlk212592233"/>
      <w:r>
        <w:rPr>
          <w:rFonts w:ascii="Times New Roman" w:hAnsi="Times New Roman"/>
          <w:b/>
          <w:bCs/>
          <w:sz w:val="28"/>
          <w:szCs w:val="28"/>
        </w:rPr>
        <w:t xml:space="preserve">Critical Review of Standardized Clinical methods </w:t>
      </w:r>
      <w:r w:rsidRPr="00E947FE">
        <w:rPr>
          <w:rFonts w:ascii="Times New Roman" w:hAnsi="Times New Roman"/>
          <w:b/>
          <w:bCs/>
          <w:sz w:val="28"/>
          <w:szCs w:val="28"/>
        </w:rPr>
        <w:t>and Strategies for Optimizing Preoperative Hematocrit or Packed Cell Volume  in Anemic Patients Undergoing Surgery Refusing Allogenic Blood Transfusion</w:t>
      </w:r>
    </w:p>
    <w:bookmarkEnd w:id="0"/>
    <w:p w14:paraId="36EEE348" w14:textId="77777777" w:rsidR="0005414C" w:rsidRPr="00B96160" w:rsidRDefault="0005414C" w:rsidP="0005414C">
      <w:pPr>
        <w:spacing w:after="0" w:line="240" w:lineRule="auto"/>
        <w:jc w:val="both"/>
        <w:rPr>
          <w:rFonts w:ascii="Arial" w:hAnsi="Arial" w:cs="Arial"/>
          <w:b/>
          <w:bCs/>
        </w:rPr>
      </w:pPr>
      <w:r w:rsidRPr="00B96160">
        <w:rPr>
          <w:rFonts w:ascii="Arial" w:hAnsi="Arial" w:cs="Arial"/>
        </w:rPr>
        <w:t>===================================================================</w:t>
      </w:r>
      <w:r>
        <w:rPr>
          <w:rFonts w:ascii="Arial" w:hAnsi="Arial" w:cs="Arial"/>
        </w:rPr>
        <w:t>=====</w:t>
      </w:r>
    </w:p>
    <w:p w14:paraId="7FF9B82C" w14:textId="77777777" w:rsidR="0005414C" w:rsidRPr="00117F09" w:rsidRDefault="0005414C" w:rsidP="0005414C">
      <w:pPr>
        <w:spacing w:line="240" w:lineRule="auto"/>
        <w:jc w:val="both"/>
        <w:rPr>
          <w:rFonts w:ascii="Times New Roman" w:hAnsi="Times New Roman"/>
          <w:b/>
          <w:bCs/>
          <w:sz w:val="24"/>
          <w:szCs w:val="24"/>
        </w:rPr>
      </w:pPr>
      <w:bookmarkStart w:id="1" w:name="_Hlk211312223"/>
      <w:r w:rsidRPr="00B34CE8">
        <w:rPr>
          <w:rFonts w:ascii="Arial" w:hAnsi="Arial" w:cs="Arial"/>
          <w:sz w:val="16"/>
          <w:szCs w:val="16"/>
        </w:rPr>
        <w:t>-------------------------------------------------------------------------------------------------------------------------------------------</w:t>
      </w:r>
      <w:r>
        <w:rPr>
          <w:rFonts w:ascii="Arial" w:hAnsi="Arial" w:cs="Arial"/>
          <w:sz w:val="16"/>
          <w:szCs w:val="16"/>
        </w:rPr>
        <w:t>------------------------------------</w:t>
      </w:r>
      <w:r w:rsidRPr="00B34CE8">
        <w:rPr>
          <w:rFonts w:ascii="Arial" w:hAnsi="Arial" w:cs="Arial"/>
          <w:sz w:val="16"/>
          <w:szCs w:val="16"/>
        </w:rPr>
        <w:t xml:space="preserve">                                                       </w:t>
      </w:r>
      <w:bookmarkEnd w:id="1"/>
    </w:p>
    <w:p w14:paraId="2A1B7BA7" w14:textId="77777777" w:rsidR="0005414C" w:rsidRPr="00117F09" w:rsidRDefault="0005414C" w:rsidP="0005414C">
      <w:pPr>
        <w:jc w:val="both"/>
        <w:rPr>
          <w:rFonts w:ascii="Times New Roman" w:hAnsi="Times New Roman"/>
          <w:b/>
          <w:bCs/>
          <w:sz w:val="24"/>
          <w:szCs w:val="24"/>
        </w:rPr>
      </w:pPr>
      <w:r w:rsidRPr="00117F09">
        <w:rPr>
          <w:rFonts w:ascii="Times New Roman" w:hAnsi="Times New Roman"/>
          <w:b/>
          <w:bCs/>
          <w:sz w:val="24"/>
          <w:szCs w:val="24"/>
        </w:rPr>
        <w:t>ABSTRACT</w:t>
      </w:r>
    </w:p>
    <w:p w14:paraId="7B637F52" w14:textId="77777777" w:rsidR="0005414C" w:rsidRPr="00117F09" w:rsidRDefault="0005414C" w:rsidP="0005414C">
      <w:pPr>
        <w:jc w:val="both"/>
        <w:rPr>
          <w:rFonts w:ascii="Times New Roman" w:hAnsi="Times New Roman"/>
          <w:sz w:val="24"/>
          <w:szCs w:val="24"/>
        </w:rPr>
      </w:pPr>
      <w:r w:rsidRPr="00117F09">
        <w:rPr>
          <w:rFonts w:ascii="Times New Roman" w:hAnsi="Times New Roman"/>
          <w:sz w:val="24"/>
          <w:szCs w:val="24"/>
        </w:rPr>
        <w:t>Anemia is a prevalent condition among surgical patients, and optimizing preoperative hematocrit or packed cell volume (PCV) is crucial to minimize perioperative complications. However, some patients refuse allogenic blood transfusions due to various reasons, including religious beliefs, fear of transfusion-related complications, or concerns about blood-borne infections. This review aims to identify effective</w:t>
      </w:r>
      <w:r>
        <w:rPr>
          <w:rFonts w:ascii="Times New Roman" w:hAnsi="Times New Roman"/>
          <w:sz w:val="24"/>
          <w:szCs w:val="24"/>
        </w:rPr>
        <w:t xml:space="preserve"> clinical</w:t>
      </w:r>
      <w:r w:rsidRPr="00117F09">
        <w:rPr>
          <w:rFonts w:ascii="Times New Roman" w:hAnsi="Times New Roman"/>
          <w:sz w:val="24"/>
          <w:szCs w:val="24"/>
        </w:rPr>
        <w:t xml:space="preserve"> methods and strategies for optimizing preoperative hematocrit or PCV in anemic patients undergoing surgery who refuse allogenic blood transfusion. </w:t>
      </w:r>
      <w:bookmarkStart w:id="2" w:name="_Hlk212353654"/>
      <w:r w:rsidRPr="00117F09">
        <w:rPr>
          <w:rFonts w:ascii="Times New Roman" w:hAnsi="Times New Roman"/>
          <w:sz w:val="24"/>
          <w:szCs w:val="24"/>
        </w:rPr>
        <w:t>A comprehensive literature search was conducted across multiple databases, including PubMed, Scopus, and Web of Science, to identify relevant studies published between 2020 and 2025</w:t>
      </w:r>
      <w:r>
        <w:rPr>
          <w:rFonts w:ascii="Times New Roman" w:hAnsi="Times New Roman"/>
          <w:sz w:val="24"/>
          <w:szCs w:val="24"/>
        </w:rPr>
        <w:t xml:space="preserve"> in order to make a classification  list of the various pharmaceutical and non-pharmaceutical agents and their standardized acceptable clinical methods and strategies used </w:t>
      </w:r>
      <w:r w:rsidRPr="00532788">
        <w:rPr>
          <w:rFonts w:ascii="Times New Roman" w:hAnsi="Times New Roman"/>
          <w:sz w:val="24"/>
          <w:szCs w:val="24"/>
        </w:rPr>
        <w:t>for optimizing preoperative hematocrit or packed cell volume (PCV) in anemic patients undergoing surgery refusing allogenic blood transfusion</w:t>
      </w:r>
      <w:bookmarkEnd w:id="2"/>
      <w:r w:rsidRPr="00117F09">
        <w:rPr>
          <w:rFonts w:ascii="Times New Roman" w:hAnsi="Times New Roman"/>
          <w:sz w:val="24"/>
          <w:szCs w:val="24"/>
        </w:rPr>
        <w:t xml:space="preserve">. The review highlights the importance of preoperative anemia management, including the use of erythropoiesis-stimulating agents, iron supplementation, </w:t>
      </w:r>
      <w:r>
        <w:rPr>
          <w:rFonts w:ascii="Times New Roman" w:hAnsi="Times New Roman"/>
          <w:sz w:val="24"/>
          <w:szCs w:val="24"/>
        </w:rPr>
        <w:t xml:space="preserve">tranexamic acid </w:t>
      </w:r>
      <w:r w:rsidRPr="00117F09">
        <w:rPr>
          <w:rFonts w:ascii="Times New Roman" w:hAnsi="Times New Roman"/>
          <w:sz w:val="24"/>
          <w:szCs w:val="24"/>
        </w:rPr>
        <w:t>and optimization of underlying chronic diseases</w:t>
      </w:r>
      <w:r>
        <w:rPr>
          <w:rFonts w:ascii="Times New Roman" w:hAnsi="Times New Roman"/>
          <w:sz w:val="24"/>
          <w:szCs w:val="24"/>
        </w:rPr>
        <w:t xml:space="preserve"> and etc. </w:t>
      </w:r>
      <w:r w:rsidRPr="00117F09">
        <w:rPr>
          <w:rFonts w:ascii="Times New Roman" w:hAnsi="Times New Roman"/>
          <w:sz w:val="24"/>
          <w:szCs w:val="24"/>
        </w:rPr>
        <w:t>The findings of this review will provide healthcare professionals with evidence-based strategies to optimize preoperative hematocrit or PCV in anemic patients refusing allogenic blood transfusion, ultimately improving surgical outcomes and patient safety.</w:t>
      </w:r>
    </w:p>
    <w:p w14:paraId="33185BD5" w14:textId="77777777" w:rsidR="0005414C" w:rsidRPr="00117F09" w:rsidRDefault="0005414C" w:rsidP="0005414C">
      <w:pPr>
        <w:jc w:val="both"/>
        <w:rPr>
          <w:rFonts w:ascii="Times New Roman" w:hAnsi="Times New Roman"/>
          <w:sz w:val="24"/>
          <w:szCs w:val="24"/>
        </w:rPr>
      </w:pPr>
      <w:r w:rsidRPr="00117F09">
        <w:rPr>
          <w:rFonts w:ascii="Times New Roman" w:hAnsi="Times New Roman"/>
          <w:b/>
          <w:bCs/>
          <w:sz w:val="24"/>
          <w:szCs w:val="24"/>
        </w:rPr>
        <w:t>Keywords: Anemia, preoperative optimization, hematocrit, packed cell volume, allogenic blood transfusion, surgical patients.</w:t>
      </w:r>
    </w:p>
    <w:p w14:paraId="4887DBB6" w14:textId="77777777" w:rsidR="0005414C" w:rsidRPr="00532788" w:rsidRDefault="0005414C" w:rsidP="0005414C">
      <w:pPr>
        <w:pStyle w:val="ListParagraph"/>
        <w:numPr>
          <w:ilvl w:val="0"/>
          <w:numId w:val="4"/>
        </w:numPr>
        <w:spacing w:after="0" w:line="240" w:lineRule="auto"/>
        <w:jc w:val="both"/>
        <w:rPr>
          <w:rFonts w:ascii="Times New Roman" w:hAnsi="Times New Roman"/>
          <w:b/>
          <w:bCs/>
          <w:sz w:val="24"/>
          <w:szCs w:val="24"/>
        </w:rPr>
      </w:pPr>
      <w:r w:rsidRPr="00532788">
        <w:rPr>
          <w:rFonts w:ascii="Times New Roman" w:hAnsi="Times New Roman"/>
          <w:b/>
          <w:bCs/>
          <w:sz w:val="24"/>
          <w:szCs w:val="24"/>
        </w:rPr>
        <w:t xml:space="preserve">INTRODUCTION </w:t>
      </w:r>
    </w:p>
    <w:p w14:paraId="1F04AD16" w14:textId="77777777" w:rsidR="0005414C"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Anemia is a common condition among surgical patients, affecting approximately 30% of patients undergoing major surgery </w:t>
      </w:r>
      <w:r>
        <w:rPr>
          <w:rFonts w:ascii="Times New Roman" w:hAnsi="Times New Roman"/>
          <w:sz w:val="24"/>
          <w:szCs w:val="24"/>
        </w:rPr>
        <w:t>[</w:t>
      </w:r>
      <w:proofErr w:type="spellStart"/>
      <w:r>
        <w:rPr>
          <w:rFonts w:ascii="Times New Roman" w:hAnsi="Times New Roman"/>
          <w:sz w:val="24"/>
          <w:szCs w:val="24"/>
        </w:rPr>
        <w:t>Coccolini</w:t>
      </w:r>
      <w:proofErr w:type="spellEnd"/>
      <w:r>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 xml:space="preserve">4, </w:t>
      </w:r>
      <w:proofErr w:type="spellStart"/>
      <w:r>
        <w:rPr>
          <w:rFonts w:ascii="Times New Roman" w:hAnsi="Times New Roman"/>
          <w:sz w:val="24"/>
          <w:szCs w:val="24"/>
        </w:rPr>
        <w:t>Ashwinbhai</w:t>
      </w:r>
      <w:proofErr w:type="spellEnd"/>
      <w:r w:rsidRPr="00117F09">
        <w:rPr>
          <w:rFonts w:ascii="Times New Roman" w:hAnsi="Times New Roman"/>
          <w:sz w:val="24"/>
          <w:szCs w:val="24"/>
        </w:rPr>
        <w:t xml:space="preserve"> </w:t>
      </w:r>
      <w:r w:rsidRPr="006A0669">
        <w:rPr>
          <w:rFonts w:ascii="Times New Roman" w:hAnsi="Times New Roman"/>
          <w:i/>
          <w:sz w:val="24"/>
          <w:szCs w:val="24"/>
        </w:rPr>
        <w:t>et al</w:t>
      </w:r>
      <w:r w:rsidRPr="00117F09">
        <w:rPr>
          <w:rFonts w:ascii="Times New Roman" w:hAnsi="Times New Roman"/>
          <w:sz w:val="24"/>
          <w:szCs w:val="24"/>
        </w:rPr>
        <w:t>., 20</w:t>
      </w:r>
      <w:r>
        <w:rPr>
          <w:rFonts w:ascii="Times New Roman" w:hAnsi="Times New Roman"/>
          <w:sz w:val="24"/>
          <w:szCs w:val="24"/>
        </w:rPr>
        <w:t>25]</w:t>
      </w:r>
      <w:r w:rsidRPr="00117F09">
        <w:rPr>
          <w:rFonts w:ascii="Times New Roman" w:hAnsi="Times New Roman"/>
          <w:sz w:val="24"/>
          <w:szCs w:val="24"/>
        </w:rPr>
        <w:t xml:space="preserve">. Preoperative anemia has been associated with increased morbidity, mortality, and length of hospital stay </w:t>
      </w:r>
      <w:r>
        <w:rPr>
          <w:rFonts w:ascii="Times New Roman" w:hAnsi="Times New Roman"/>
          <w:sz w:val="24"/>
          <w:szCs w:val="24"/>
        </w:rPr>
        <w:t>[GBD</w:t>
      </w:r>
      <w:r w:rsidRPr="00117F09">
        <w:rPr>
          <w:rFonts w:ascii="Times New Roman" w:hAnsi="Times New Roman"/>
          <w:sz w:val="24"/>
          <w:szCs w:val="24"/>
        </w:rPr>
        <w:t xml:space="preserve"> 202</w:t>
      </w:r>
      <w:r>
        <w:rPr>
          <w:rFonts w:ascii="Times New Roman" w:hAnsi="Times New Roman"/>
          <w:sz w:val="24"/>
          <w:szCs w:val="24"/>
        </w:rPr>
        <w:t xml:space="preserve">1 </w:t>
      </w:r>
      <w:proofErr w:type="spellStart"/>
      <w:r>
        <w:rPr>
          <w:rFonts w:ascii="Times New Roman" w:hAnsi="Times New Roman"/>
          <w:sz w:val="24"/>
          <w:szCs w:val="24"/>
        </w:rPr>
        <w:t>Anaemia</w:t>
      </w:r>
      <w:proofErr w:type="spellEnd"/>
      <w:r>
        <w:rPr>
          <w:rFonts w:ascii="Times New Roman" w:hAnsi="Times New Roman"/>
          <w:sz w:val="24"/>
          <w:szCs w:val="24"/>
        </w:rPr>
        <w:t xml:space="preserve"> Collaborators, 2023]</w:t>
      </w:r>
      <w:r w:rsidRPr="00117F09">
        <w:rPr>
          <w:rFonts w:ascii="Times New Roman" w:hAnsi="Times New Roman"/>
          <w:sz w:val="24"/>
          <w:szCs w:val="24"/>
        </w:rPr>
        <w:t>.</w:t>
      </w:r>
      <w:r w:rsidRPr="00532788">
        <w:rPr>
          <w:rFonts w:ascii="Times New Roman" w:hAnsi="Times New Roman"/>
          <w:sz w:val="24"/>
          <w:szCs w:val="24"/>
        </w:rPr>
        <w:t xml:space="preserve"> </w:t>
      </w:r>
      <w:r>
        <w:rPr>
          <w:rFonts w:ascii="Times New Roman" w:hAnsi="Times New Roman"/>
          <w:sz w:val="24"/>
          <w:szCs w:val="24"/>
        </w:rPr>
        <w:t>It has been defined as</w:t>
      </w:r>
      <w:r w:rsidRPr="0036570D">
        <w:rPr>
          <w:rFonts w:ascii="Times New Roman" w:hAnsi="Times New Roman"/>
          <w:sz w:val="24"/>
          <w:szCs w:val="24"/>
        </w:rPr>
        <w:t xml:space="preserve"> a condition where a patient's hemoglobin level or red blood cell count is lower than normal before undergoing surgic</w:t>
      </w:r>
      <w:r>
        <w:rPr>
          <w:rFonts w:ascii="Times New Roman" w:hAnsi="Times New Roman"/>
          <w:sz w:val="24"/>
          <w:szCs w:val="24"/>
        </w:rPr>
        <w:t xml:space="preserve">al intervention  and </w:t>
      </w:r>
      <w:r w:rsidRPr="0036570D">
        <w:rPr>
          <w:rFonts w:ascii="Times New Roman" w:hAnsi="Times New Roman"/>
          <w:sz w:val="24"/>
          <w:szCs w:val="24"/>
        </w:rPr>
        <w:t xml:space="preserve"> </w:t>
      </w:r>
      <w:r>
        <w:rPr>
          <w:rFonts w:ascii="Times New Roman" w:hAnsi="Times New Roman"/>
          <w:sz w:val="24"/>
          <w:szCs w:val="24"/>
        </w:rPr>
        <w:t>some of c</w:t>
      </w:r>
      <w:r w:rsidRPr="0036570D">
        <w:rPr>
          <w:rFonts w:ascii="Times New Roman" w:hAnsi="Times New Roman"/>
          <w:sz w:val="24"/>
          <w:szCs w:val="24"/>
        </w:rPr>
        <w:t>auses</w:t>
      </w:r>
      <w:r>
        <w:rPr>
          <w:rFonts w:ascii="Times New Roman" w:hAnsi="Times New Roman"/>
          <w:sz w:val="24"/>
          <w:szCs w:val="24"/>
        </w:rPr>
        <w:t xml:space="preserve"> include</w:t>
      </w:r>
      <w:r>
        <w:rPr>
          <w:rFonts w:ascii="Times New Roman" w:hAnsi="Times New Roman"/>
          <w:b/>
          <w:sz w:val="24"/>
          <w:szCs w:val="24"/>
        </w:rPr>
        <w:t xml:space="preserve"> </w:t>
      </w:r>
      <w:r>
        <w:rPr>
          <w:rFonts w:ascii="Times New Roman" w:hAnsi="Times New Roman"/>
          <w:sz w:val="24"/>
          <w:szCs w:val="24"/>
        </w:rPr>
        <w:t>i</w:t>
      </w:r>
      <w:r w:rsidRPr="0036570D">
        <w:rPr>
          <w:rFonts w:ascii="Times New Roman" w:hAnsi="Times New Roman"/>
          <w:sz w:val="24"/>
          <w:szCs w:val="24"/>
        </w:rPr>
        <w:t>ron deficiency anemia</w:t>
      </w:r>
      <w:r>
        <w:rPr>
          <w:rFonts w:ascii="Times New Roman" w:hAnsi="Times New Roman"/>
          <w:sz w:val="24"/>
          <w:szCs w:val="24"/>
        </w:rPr>
        <w:t xml:space="preserve"> which </w:t>
      </w:r>
      <w:r w:rsidRPr="0036570D">
        <w:rPr>
          <w:rFonts w:ascii="Times New Roman" w:hAnsi="Times New Roman"/>
          <w:sz w:val="24"/>
          <w:szCs w:val="24"/>
        </w:rPr>
        <w:t xml:space="preserve"> </w:t>
      </w:r>
      <w:r>
        <w:rPr>
          <w:rFonts w:ascii="Times New Roman" w:hAnsi="Times New Roman"/>
          <w:sz w:val="24"/>
          <w:szCs w:val="24"/>
        </w:rPr>
        <w:t>is known to be due to</w:t>
      </w:r>
      <w:r w:rsidRPr="0036570D">
        <w:rPr>
          <w:rFonts w:ascii="Times New Roman" w:hAnsi="Times New Roman"/>
          <w:sz w:val="24"/>
          <w:szCs w:val="24"/>
        </w:rPr>
        <w:t xml:space="preserve"> inadequate iron intake or chronic blood loss (</w:t>
      </w:r>
      <w:proofErr w:type="spellStart"/>
      <w:r>
        <w:rPr>
          <w:rFonts w:ascii="Times New Roman" w:hAnsi="Times New Roman"/>
          <w:sz w:val="24"/>
          <w:szCs w:val="24"/>
        </w:rPr>
        <w:t>Moum</w:t>
      </w:r>
      <w:proofErr w:type="spellEnd"/>
      <w:r w:rsidRPr="0036570D">
        <w:rPr>
          <w:rFonts w:ascii="Times New Roman" w:hAnsi="Times New Roman"/>
          <w:sz w:val="24"/>
          <w:szCs w:val="24"/>
        </w:rPr>
        <w:t xml:space="preserve"> </w:t>
      </w:r>
      <w:r>
        <w:rPr>
          <w:rFonts w:ascii="Times New Roman" w:hAnsi="Times New Roman"/>
          <w:sz w:val="24"/>
          <w:szCs w:val="24"/>
        </w:rPr>
        <w:t>&amp; Lindgren</w:t>
      </w:r>
      <w:r w:rsidRPr="0036570D">
        <w:rPr>
          <w:rFonts w:ascii="Times New Roman" w:hAnsi="Times New Roman"/>
          <w:i/>
          <w:sz w:val="24"/>
          <w:szCs w:val="24"/>
        </w:rPr>
        <w:t>,</w:t>
      </w:r>
      <w:r w:rsidRPr="0036570D">
        <w:rPr>
          <w:rFonts w:ascii="Times New Roman" w:hAnsi="Times New Roman"/>
          <w:sz w:val="24"/>
          <w:szCs w:val="24"/>
        </w:rPr>
        <w:t xml:space="preserve"> 202</w:t>
      </w:r>
      <w:r>
        <w:rPr>
          <w:rFonts w:ascii="Times New Roman" w:hAnsi="Times New Roman"/>
          <w:sz w:val="24"/>
          <w:szCs w:val="24"/>
        </w:rPr>
        <w:t>5</w:t>
      </w:r>
      <w:r w:rsidRPr="0036570D">
        <w:rPr>
          <w:rFonts w:ascii="Times New Roman" w:hAnsi="Times New Roman"/>
          <w:sz w:val="24"/>
          <w:szCs w:val="24"/>
        </w:rPr>
        <w:t>). Chronic disease</w:t>
      </w:r>
      <w:r>
        <w:rPr>
          <w:rFonts w:ascii="Times New Roman" w:hAnsi="Times New Roman"/>
          <w:sz w:val="24"/>
          <w:szCs w:val="24"/>
        </w:rPr>
        <w:t xml:space="preserve"> which is caused by c</w:t>
      </w:r>
      <w:r w:rsidRPr="0036570D">
        <w:rPr>
          <w:rFonts w:ascii="Times New Roman" w:hAnsi="Times New Roman"/>
          <w:sz w:val="24"/>
          <w:szCs w:val="24"/>
        </w:rPr>
        <w:t xml:space="preserve">onditions like chronic kidney disease, cancer, or inflammatory disorders can </w:t>
      </w:r>
      <w:r>
        <w:rPr>
          <w:rFonts w:ascii="Times New Roman" w:hAnsi="Times New Roman"/>
          <w:sz w:val="24"/>
          <w:szCs w:val="24"/>
        </w:rPr>
        <w:t xml:space="preserve">also </w:t>
      </w:r>
      <w:r w:rsidRPr="0036570D">
        <w:rPr>
          <w:rFonts w:ascii="Times New Roman" w:hAnsi="Times New Roman"/>
          <w:sz w:val="24"/>
          <w:szCs w:val="24"/>
        </w:rPr>
        <w:t xml:space="preserve">lead to anemia </w:t>
      </w:r>
      <w:r>
        <w:rPr>
          <w:rFonts w:ascii="Times New Roman" w:hAnsi="Times New Roman"/>
          <w:sz w:val="24"/>
          <w:szCs w:val="24"/>
        </w:rPr>
        <w:t>[</w:t>
      </w:r>
      <w:r w:rsidRPr="0036570D">
        <w:rPr>
          <w:rFonts w:ascii="Times New Roman" w:hAnsi="Times New Roman"/>
          <w:sz w:val="24"/>
          <w:szCs w:val="24"/>
        </w:rPr>
        <w:t>Goodnough</w:t>
      </w:r>
      <w:r>
        <w:rPr>
          <w:rFonts w:ascii="Times New Roman" w:hAnsi="Times New Roman"/>
          <w:sz w:val="24"/>
          <w:szCs w:val="24"/>
        </w:rPr>
        <w:t xml:space="preserve"> &amp; </w:t>
      </w:r>
      <w:proofErr w:type="spellStart"/>
      <w:r>
        <w:rPr>
          <w:rFonts w:ascii="Times New Roman" w:hAnsi="Times New Roman"/>
          <w:sz w:val="24"/>
          <w:szCs w:val="24"/>
        </w:rPr>
        <w:t>Shander</w:t>
      </w:r>
      <w:proofErr w:type="spellEnd"/>
      <w:r w:rsidRPr="0036570D">
        <w:rPr>
          <w:rFonts w:ascii="Times New Roman" w:hAnsi="Times New Roman"/>
          <w:sz w:val="24"/>
          <w:szCs w:val="24"/>
        </w:rPr>
        <w:t>, 20</w:t>
      </w:r>
      <w:r>
        <w:rPr>
          <w:rFonts w:ascii="Times New Roman" w:hAnsi="Times New Roman"/>
          <w:sz w:val="24"/>
          <w:szCs w:val="24"/>
        </w:rPr>
        <w:t>12,</w:t>
      </w:r>
      <w:r w:rsidRPr="00A06615">
        <w:t xml:space="preserve"> </w:t>
      </w:r>
      <w:r w:rsidRPr="00A06615">
        <w:rPr>
          <w:rFonts w:ascii="Times New Roman" w:hAnsi="Times New Roman"/>
          <w:sz w:val="24"/>
        </w:rPr>
        <w:t>Marcel</w:t>
      </w:r>
      <w:r>
        <w:rPr>
          <w:rFonts w:ascii="Times New Roman" w:hAnsi="Times New Roman"/>
          <w:sz w:val="24"/>
        </w:rPr>
        <w:t xml:space="preserve"> </w:t>
      </w:r>
      <w:r w:rsidRPr="00A06615">
        <w:rPr>
          <w:rFonts w:ascii="Times New Roman" w:hAnsi="Times New Roman"/>
          <w:i/>
          <w:sz w:val="24"/>
        </w:rPr>
        <w:t>et al</w:t>
      </w:r>
      <w:r>
        <w:rPr>
          <w:rFonts w:ascii="Times New Roman" w:hAnsi="Times New Roman"/>
          <w:sz w:val="24"/>
        </w:rPr>
        <w:t>.</w:t>
      </w:r>
      <w:r w:rsidRPr="00A06615">
        <w:rPr>
          <w:rFonts w:ascii="Times New Roman" w:hAnsi="Times New Roman"/>
          <w:sz w:val="24"/>
        </w:rPr>
        <w:t>,2020</w:t>
      </w:r>
      <w:r>
        <w:rPr>
          <w:rFonts w:ascii="Times New Roman" w:hAnsi="Times New Roman"/>
          <w:sz w:val="24"/>
          <w:szCs w:val="24"/>
        </w:rPr>
        <w:t>]</w:t>
      </w:r>
      <w:r w:rsidRPr="0036570D">
        <w:rPr>
          <w:rFonts w:ascii="Times New Roman" w:hAnsi="Times New Roman"/>
          <w:sz w:val="24"/>
          <w:szCs w:val="24"/>
        </w:rPr>
        <w:t>.</w:t>
      </w:r>
      <w:r>
        <w:rPr>
          <w:rFonts w:ascii="Times New Roman" w:hAnsi="Times New Roman"/>
          <w:b/>
          <w:sz w:val="24"/>
          <w:szCs w:val="24"/>
        </w:rPr>
        <w:t xml:space="preserve"> </w:t>
      </w:r>
      <w:r w:rsidRPr="0036570D">
        <w:rPr>
          <w:rFonts w:ascii="Times New Roman" w:hAnsi="Times New Roman"/>
          <w:sz w:val="24"/>
          <w:szCs w:val="24"/>
        </w:rPr>
        <w:t xml:space="preserve"> Nutritional deficiencies</w:t>
      </w:r>
      <w:r>
        <w:rPr>
          <w:rFonts w:ascii="Times New Roman" w:hAnsi="Times New Roman"/>
          <w:sz w:val="24"/>
          <w:szCs w:val="24"/>
        </w:rPr>
        <w:t xml:space="preserve"> have been  attributed to </w:t>
      </w:r>
      <w:r w:rsidRPr="0036570D">
        <w:rPr>
          <w:rFonts w:ascii="Times New Roman" w:hAnsi="Times New Roman"/>
          <w:sz w:val="24"/>
          <w:szCs w:val="24"/>
        </w:rPr>
        <w:t xml:space="preserve"> </w:t>
      </w:r>
      <w:r>
        <w:rPr>
          <w:rFonts w:ascii="Times New Roman" w:hAnsi="Times New Roman"/>
          <w:sz w:val="24"/>
          <w:szCs w:val="24"/>
        </w:rPr>
        <w:t>d</w:t>
      </w:r>
      <w:r w:rsidRPr="0036570D">
        <w:rPr>
          <w:rFonts w:ascii="Times New Roman" w:hAnsi="Times New Roman"/>
          <w:sz w:val="24"/>
          <w:szCs w:val="24"/>
        </w:rPr>
        <w:t>eficiencies in vitamins like B12 or folate</w:t>
      </w:r>
      <w:r>
        <w:rPr>
          <w:rFonts w:ascii="Times New Roman" w:hAnsi="Times New Roman"/>
          <w:sz w:val="24"/>
          <w:szCs w:val="24"/>
        </w:rPr>
        <w:t xml:space="preserve"> and </w:t>
      </w:r>
      <w:r w:rsidRPr="0036570D">
        <w:rPr>
          <w:rFonts w:ascii="Times New Roman" w:hAnsi="Times New Roman"/>
          <w:sz w:val="24"/>
          <w:szCs w:val="24"/>
        </w:rPr>
        <w:t xml:space="preserve"> </w:t>
      </w:r>
      <w:r>
        <w:rPr>
          <w:rFonts w:ascii="Times New Roman" w:hAnsi="Times New Roman"/>
          <w:sz w:val="24"/>
          <w:szCs w:val="24"/>
        </w:rPr>
        <w:t>have been known as a</w:t>
      </w:r>
      <w:r w:rsidRPr="0036570D">
        <w:rPr>
          <w:rFonts w:ascii="Times New Roman" w:hAnsi="Times New Roman"/>
          <w:sz w:val="24"/>
          <w:szCs w:val="24"/>
        </w:rPr>
        <w:t xml:space="preserve"> contribut</w:t>
      </w:r>
      <w:r>
        <w:rPr>
          <w:rFonts w:ascii="Times New Roman" w:hAnsi="Times New Roman"/>
          <w:sz w:val="24"/>
          <w:szCs w:val="24"/>
        </w:rPr>
        <w:t xml:space="preserve">or </w:t>
      </w:r>
      <w:r w:rsidRPr="0036570D">
        <w:rPr>
          <w:rFonts w:ascii="Times New Roman" w:hAnsi="Times New Roman"/>
          <w:sz w:val="24"/>
          <w:szCs w:val="24"/>
        </w:rPr>
        <w:t xml:space="preserve"> to anemia </w:t>
      </w:r>
      <w:r>
        <w:rPr>
          <w:rFonts w:ascii="Times New Roman" w:hAnsi="Times New Roman"/>
          <w:sz w:val="24"/>
          <w:szCs w:val="24"/>
        </w:rPr>
        <w:t>[</w:t>
      </w:r>
      <w:proofErr w:type="spellStart"/>
      <w:r>
        <w:rPr>
          <w:rFonts w:ascii="Times New Roman" w:hAnsi="Times New Roman"/>
          <w:sz w:val="24"/>
          <w:szCs w:val="24"/>
        </w:rPr>
        <w:t>Franchini</w:t>
      </w:r>
      <w:proofErr w:type="spellEnd"/>
      <w:r w:rsidRPr="0036570D">
        <w:rPr>
          <w:rFonts w:ascii="Times New Roman" w:hAnsi="Times New Roman"/>
          <w:sz w:val="24"/>
          <w:szCs w:val="24"/>
        </w:rPr>
        <w:t xml:space="preserve"> </w:t>
      </w:r>
      <w:r w:rsidRPr="0036570D">
        <w:rPr>
          <w:rFonts w:ascii="Times New Roman" w:hAnsi="Times New Roman"/>
          <w:i/>
          <w:sz w:val="24"/>
          <w:szCs w:val="24"/>
        </w:rPr>
        <w:t>et al.,</w:t>
      </w:r>
      <w:r w:rsidRPr="0036570D">
        <w:rPr>
          <w:rFonts w:ascii="Times New Roman" w:hAnsi="Times New Roman"/>
          <w:sz w:val="24"/>
          <w:szCs w:val="24"/>
        </w:rPr>
        <w:t xml:space="preserve"> 20</w:t>
      </w:r>
      <w:r>
        <w:rPr>
          <w:rFonts w:ascii="Times New Roman" w:hAnsi="Times New Roman"/>
          <w:sz w:val="24"/>
          <w:szCs w:val="24"/>
        </w:rPr>
        <w:t xml:space="preserve">19]  with </w:t>
      </w:r>
      <w:r w:rsidRPr="0036570D">
        <w:rPr>
          <w:rFonts w:ascii="Times New Roman" w:hAnsi="Times New Roman"/>
          <w:sz w:val="24"/>
          <w:szCs w:val="24"/>
        </w:rPr>
        <w:t>various forms of traumatic  events such as fatal accidents and injuries that</w:t>
      </w:r>
      <w:r>
        <w:rPr>
          <w:rFonts w:ascii="Times New Roman" w:hAnsi="Times New Roman"/>
          <w:sz w:val="24"/>
          <w:szCs w:val="24"/>
        </w:rPr>
        <w:t xml:space="preserve"> can </w:t>
      </w:r>
      <w:r w:rsidRPr="0036570D">
        <w:rPr>
          <w:rFonts w:ascii="Times New Roman" w:hAnsi="Times New Roman"/>
          <w:sz w:val="24"/>
          <w:szCs w:val="24"/>
        </w:rPr>
        <w:t xml:space="preserve"> lead to loss of large volume of blood</w:t>
      </w:r>
      <w:r>
        <w:rPr>
          <w:rFonts w:ascii="Times New Roman" w:hAnsi="Times New Roman"/>
          <w:sz w:val="24"/>
          <w:szCs w:val="24"/>
        </w:rPr>
        <w:t xml:space="preserve"> loss within a short time </w:t>
      </w:r>
      <w:r w:rsidRPr="0036570D">
        <w:rPr>
          <w:rFonts w:ascii="Times New Roman" w:hAnsi="Times New Roman"/>
          <w:sz w:val="24"/>
          <w:szCs w:val="24"/>
        </w:rPr>
        <w:t>.</w:t>
      </w:r>
      <w:r>
        <w:rPr>
          <w:rFonts w:ascii="Times New Roman" w:hAnsi="Times New Roman"/>
          <w:sz w:val="24"/>
          <w:szCs w:val="24"/>
        </w:rPr>
        <w:t>Therefore, a</w:t>
      </w:r>
      <w:r w:rsidRPr="0036570D">
        <w:rPr>
          <w:rFonts w:ascii="Times New Roman" w:hAnsi="Times New Roman"/>
          <w:sz w:val="24"/>
          <w:szCs w:val="24"/>
        </w:rPr>
        <w:t xml:space="preserve">nemia can increase the risk of complications during and after surgery, such as increased risk of blood transfusions, longer hospital stays, and increased risk of infections </w:t>
      </w:r>
      <w:r>
        <w:rPr>
          <w:rFonts w:ascii="Times New Roman" w:hAnsi="Times New Roman"/>
          <w:sz w:val="24"/>
          <w:szCs w:val="24"/>
        </w:rPr>
        <w:t>[</w:t>
      </w:r>
      <w:r w:rsidRPr="0036570D">
        <w:rPr>
          <w:rFonts w:ascii="Times New Roman" w:hAnsi="Times New Roman"/>
          <w:sz w:val="24"/>
          <w:szCs w:val="24"/>
        </w:rPr>
        <w:t xml:space="preserve">Musallam </w:t>
      </w:r>
      <w:r w:rsidRPr="0036570D">
        <w:rPr>
          <w:rFonts w:ascii="Times New Roman" w:hAnsi="Times New Roman"/>
          <w:i/>
          <w:sz w:val="24"/>
          <w:szCs w:val="24"/>
        </w:rPr>
        <w:t>et al.,</w:t>
      </w:r>
      <w:r w:rsidRPr="0036570D">
        <w:rPr>
          <w:rFonts w:ascii="Times New Roman" w:hAnsi="Times New Roman"/>
          <w:sz w:val="24"/>
          <w:szCs w:val="24"/>
        </w:rPr>
        <w:t xml:space="preserve"> 20</w:t>
      </w:r>
      <w:r>
        <w:rPr>
          <w:rFonts w:ascii="Times New Roman" w:hAnsi="Times New Roman"/>
          <w:sz w:val="24"/>
          <w:szCs w:val="24"/>
        </w:rPr>
        <w:t>11]</w:t>
      </w:r>
      <w:r w:rsidRPr="0036570D">
        <w:rPr>
          <w:rFonts w:ascii="Times New Roman" w:hAnsi="Times New Roman"/>
          <w:sz w:val="24"/>
          <w:szCs w:val="24"/>
        </w:rPr>
        <w:t>.</w:t>
      </w:r>
      <w:r>
        <w:rPr>
          <w:rFonts w:ascii="Times New Roman" w:hAnsi="Times New Roman"/>
          <w:sz w:val="24"/>
          <w:szCs w:val="24"/>
        </w:rPr>
        <w:t xml:space="preserve"> </w:t>
      </w:r>
      <w:r w:rsidRPr="00117F09">
        <w:rPr>
          <w:rFonts w:ascii="Times New Roman" w:hAnsi="Times New Roman"/>
          <w:sz w:val="24"/>
          <w:szCs w:val="24"/>
        </w:rPr>
        <w:lastRenderedPageBreak/>
        <w:t xml:space="preserve">Optimizing preoperative hematocrit or packed cell volume (PCV) is crucial to minimize perioperative complications, particularly in patients undergoing major surgery </w:t>
      </w:r>
      <w:r>
        <w:rPr>
          <w:rFonts w:ascii="Times New Roman" w:hAnsi="Times New Roman"/>
          <w:sz w:val="24"/>
          <w:szCs w:val="24"/>
        </w:rPr>
        <w:t>[</w:t>
      </w:r>
      <w:r w:rsidRPr="00117F09">
        <w:rPr>
          <w:rFonts w:ascii="Times New Roman" w:hAnsi="Times New Roman"/>
          <w:sz w:val="24"/>
          <w:szCs w:val="24"/>
        </w:rPr>
        <w:t xml:space="preserve">Goodnough </w:t>
      </w:r>
      <w:r>
        <w:rPr>
          <w:rFonts w:ascii="Times New Roman" w:hAnsi="Times New Roman"/>
          <w:sz w:val="24"/>
          <w:szCs w:val="24"/>
        </w:rPr>
        <w:t xml:space="preserve"> &amp; Shander</w:t>
      </w:r>
      <w:r>
        <w:rPr>
          <w:rFonts w:ascii="Times New Roman" w:hAnsi="Times New Roman"/>
          <w:i/>
          <w:sz w:val="24"/>
          <w:szCs w:val="24"/>
        </w:rPr>
        <w:t>,</w:t>
      </w:r>
      <w:r w:rsidRPr="00117F09">
        <w:rPr>
          <w:rFonts w:ascii="Times New Roman" w:hAnsi="Times New Roman"/>
          <w:sz w:val="24"/>
          <w:szCs w:val="24"/>
        </w:rPr>
        <w:t>20</w:t>
      </w:r>
      <w:r>
        <w:rPr>
          <w:rFonts w:ascii="Times New Roman" w:hAnsi="Times New Roman"/>
          <w:sz w:val="24"/>
          <w:szCs w:val="24"/>
        </w:rPr>
        <w:t>12</w:t>
      </w:r>
      <w:r w:rsidRPr="00A06615">
        <w:rPr>
          <w:rFonts w:ascii="Times New Roman" w:hAnsi="Times New Roman"/>
          <w:sz w:val="24"/>
          <w:szCs w:val="24"/>
        </w:rPr>
        <w:t xml:space="preserve"> </w:t>
      </w:r>
      <w:r>
        <w:rPr>
          <w:rFonts w:ascii="Times New Roman" w:hAnsi="Times New Roman"/>
          <w:sz w:val="24"/>
          <w:szCs w:val="24"/>
        </w:rPr>
        <w:t xml:space="preserve"> and Bolliger ,2023]</w:t>
      </w:r>
      <w:r w:rsidRPr="00117F09">
        <w:rPr>
          <w:rFonts w:ascii="Times New Roman" w:hAnsi="Times New Roman"/>
          <w:sz w:val="24"/>
          <w:szCs w:val="24"/>
        </w:rPr>
        <w:t>.</w:t>
      </w:r>
    </w:p>
    <w:p w14:paraId="1170E1E9" w14:textId="77777777" w:rsidR="0005414C" w:rsidRPr="00532788" w:rsidRDefault="0005414C" w:rsidP="0005414C">
      <w:pPr>
        <w:spacing w:after="0" w:line="240" w:lineRule="auto"/>
        <w:jc w:val="both"/>
        <w:rPr>
          <w:rFonts w:ascii="Times New Roman" w:hAnsi="Times New Roman"/>
          <w:b/>
          <w:sz w:val="24"/>
          <w:szCs w:val="24"/>
        </w:rPr>
      </w:pPr>
      <w:r w:rsidRPr="00117F09">
        <w:rPr>
          <w:rFonts w:ascii="Times New Roman" w:hAnsi="Times New Roman"/>
          <w:sz w:val="24"/>
          <w:szCs w:val="24"/>
        </w:rPr>
        <w:t xml:space="preserve">However, </w:t>
      </w:r>
      <w:r>
        <w:rPr>
          <w:rFonts w:ascii="Times New Roman" w:hAnsi="Times New Roman"/>
          <w:sz w:val="24"/>
          <w:szCs w:val="24"/>
        </w:rPr>
        <w:t xml:space="preserve">despite the above aforementioned challenges  </w:t>
      </w:r>
      <w:r w:rsidRPr="00117F09">
        <w:rPr>
          <w:rFonts w:ascii="Times New Roman" w:hAnsi="Times New Roman"/>
          <w:sz w:val="24"/>
          <w:szCs w:val="24"/>
        </w:rPr>
        <w:t xml:space="preserve">some patients refuse allogenic blood transfusions due to various reasons, including religious beliefs, fear of transfusion-related complications, or concerns about blood-borne infections </w:t>
      </w:r>
      <w:r>
        <w:rPr>
          <w:rFonts w:ascii="Times New Roman" w:hAnsi="Times New Roman"/>
          <w:sz w:val="24"/>
          <w:szCs w:val="24"/>
        </w:rPr>
        <w:t xml:space="preserve">[Petrini 2014 and Iijima, </w:t>
      </w:r>
      <w:r w:rsidRPr="00117F09">
        <w:rPr>
          <w:rFonts w:ascii="Times New Roman" w:hAnsi="Times New Roman"/>
          <w:sz w:val="24"/>
          <w:szCs w:val="24"/>
        </w:rPr>
        <w:t>202</w:t>
      </w:r>
      <w:r>
        <w:rPr>
          <w:rFonts w:ascii="Times New Roman" w:hAnsi="Times New Roman"/>
          <w:sz w:val="24"/>
          <w:szCs w:val="24"/>
        </w:rPr>
        <w:t>0]</w:t>
      </w:r>
      <w:r w:rsidRPr="00117F09">
        <w:rPr>
          <w:rFonts w:ascii="Times New Roman" w:hAnsi="Times New Roman"/>
          <w:sz w:val="24"/>
          <w:szCs w:val="24"/>
        </w:rPr>
        <w:t xml:space="preserve">. The refusal of blood transfusions poses a significant challenge to healthcare professionals, as it can increase the risk of adverse outcomes, including increased morbidity and mortality </w:t>
      </w:r>
      <w:r>
        <w:rPr>
          <w:rFonts w:ascii="Times New Roman" w:hAnsi="Times New Roman"/>
          <w:sz w:val="24"/>
          <w:szCs w:val="24"/>
        </w:rPr>
        <w:t>[</w:t>
      </w:r>
      <w:r w:rsidRPr="00117F09">
        <w:rPr>
          <w:rFonts w:ascii="Times New Roman" w:hAnsi="Times New Roman"/>
          <w:sz w:val="24"/>
          <w:szCs w:val="24"/>
        </w:rPr>
        <w:t xml:space="preserve">Carson </w:t>
      </w:r>
      <w:r w:rsidRPr="00BA078C">
        <w:rPr>
          <w:rFonts w:ascii="Times New Roman" w:hAnsi="Times New Roman"/>
          <w:i/>
          <w:sz w:val="24"/>
          <w:szCs w:val="24"/>
        </w:rPr>
        <w:t>et al.,</w:t>
      </w:r>
      <w:r w:rsidRPr="00117F09">
        <w:rPr>
          <w:rFonts w:ascii="Times New Roman" w:hAnsi="Times New Roman"/>
          <w:sz w:val="24"/>
          <w:szCs w:val="24"/>
        </w:rPr>
        <w:t>2021</w:t>
      </w:r>
      <w:r>
        <w:rPr>
          <w:rFonts w:ascii="Times New Roman" w:hAnsi="Times New Roman"/>
          <w:sz w:val="24"/>
          <w:szCs w:val="24"/>
        </w:rPr>
        <w:t>]</w:t>
      </w:r>
      <w:r w:rsidRPr="00117F09">
        <w:rPr>
          <w:rFonts w:ascii="Times New Roman" w:hAnsi="Times New Roman"/>
          <w:sz w:val="24"/>
          <w:szCs w:val="24"/>
        </w:rPr>
        <w:t>.</w:t>
      </w:r>
    </w:p>
    <w:p w14:paraId="1F1F6782" w14:textId="074A141B" w:rsidR="00FB5CF0" w:rsidRPr="00FB5CF0" w:rsidRDefault="0005414C" w:rsidP="00FB5CF0">
      <w:pPr>
        <w:spacing w:after="0" w:line="240" w:lineRule="auto"/>
        <w:jc w:val="both"/>
        <w:rPr>
          <w:rFonts w:ascii="Times New Roman" w:hAnsi="Times New Roman"/>
          <w:sz w:val="24"/>
          <w:szCs w:val="24"/>
        </w:rPr>
      </w:pPr>
      <w:r w:rsidRPr="00117F09">
        <w:rPr>
          <w:rFonts w:ascii="Times New Roman" w:hAnsi="Times New Roman"/>
          <w:sz w:val="24"/>
          <w:szCs w:val="24"/>
        </w:rPr>
        <w:t xml:space="preserve">In recent </w:t>
      </w:r>
      <w:r>
        <w:rPr>
          <w:rFonts w:ascii="Times New Roman" w:hAnsi="Times New Roman"/>
          <w:sz w:val="24"/>
          <w:szCs w:val="24"/>
        </w:rPr>
        <w:t>times</w:t>
      </w:r>
      <w:r w:rsidRPr="00117F09">
        <w:rPr>
          <w:rFonts w:ascii="Times New Roman" w:hAnsi="Times New Roman"/>
          <w:sz w:val="24"/>
          <w:szCs w:val="24"/>
        </w:rPr>
        <w:t xml:space="preserve">, there has been an increasing focus on patient blood management (PBM), which aims to improve patient outcomes by avoiding unnecessary blood transfusions and optimizing the patient's own blood </w:t>
      </w:r>
      <w:r>
        <w:rPr>
          <w:rFonts w:ascii="Times New Roman" w:hAnsi="Times New Roman"/>
          <w:sz w:val="24"/>
          <w:szCs w:val="24"/>
        </w:rPr>
        <w:t>[</w:t>
      </w:r>
      <w:proofErr w:type="spellStart"/>
      <w:r w:rsidRPr="00117F09">
        <w:rPr>
          <w:rFonts w:ascii="Times New Roman" w:hAnsi="Times New Roman"/>
          <w:sz w:val="24"/>
          <w:szCs w:val="24"/>
        </w:rPr>
        <w:t>Shander</w:t>
      </w:r>
      <w:proofErr w:type="spellEnd"/>
      <w:r w:rsidRPr="00117F09">
        <w:rPr>
          <w:rFonts w:ascii="Times New Roman" w:hAnsi="Times New Roman"/>
          <w:sz w:val="24"/>
          <w:szCs w:val="24"/>
        </w:rPr>
        <w:t xml:space="preserve"> </w:t>
      </w:r>
      <w:r w:rsidRPr="00BA078C">
        <w:rPr>
          <w:rFonts w:ascii="Times New Roman" w:hAnsi="Times New Roman"/>
          <w:i/>
          <w:sz w:val="24"/>
          <w:szCs w:val="24"/>
        </w:rPr>
        <w:t>et al.,</w:t>
      </w:r>
      <w:r w:rsidRPr="00117F09">
        <w:rPr>
          <w:rFonts w:ascii="Times New Roman" w:hAnsi="Times New Roman"/>
          <w:sz w:val="24"/>
          <w:szCs w:val="24"/>
        </w:rPr>
        <w:t>2022</w:t>
      </w:r>
      <w:r>
        <w:rPr>
          <w:rFonts w:ascii="Times New Roman" w:hAnsi="Times New Roman"/>
          <w:sz w:val="24"/>
          <w:szCs w:val="24"/>
        </w:rPr>
        <w:t>]</w:t>
      </w:r>
      <w:r w:rsidRPr="00117F09">
        <w:rPr>
          <w:rFonts w:ascii="Times New Roman" w:hAnsi="Times New Roman"/>
          <w:sz w:val="24"/>
          <w:szCs w:val="24"/>
        </w:rPr>
        <w:t>. PBM strategies, including preoperative anemia management, have been shown to reduce the need for blood transfusions and improve patient outcomes (</w:t>
      </w:r>
      <w:proofErr w:type="spellStart"/>
      <w:r>
        <w:rPr>
          <w:rFonts w:ascii="Times New Roman" w:hAnsi="Times New Roman"/>
          <w:sz w:val="24"/>
          <w:szCs w:val="24"/>
        </w:rPr>
        <w:t>Shander</w:t>
      </w:r>
      <w:proofErr w:type="spellEnd"/>
      <w:r w:rsidRPr="00117F09">
        <w:rPr>
          <w:rFonts w:ascii="Times New Roman" w:hAnsi="Times New Roman"/>
          <w:sz w:val="24"/>
          <w:szCs w:val="24"/>
        </w:rPr>
        <w:t>, 20</w:t>
      </w:r>
      <w:r>
        <w:rPr>
          <w:rFonts w:ascii="Times New Roman" w:hAnsi="Times New Roman"/>
          <w:sz w:val="24"/>
          <w:szCs w:val="24"/>
        </w:rPr>
        <w:t>1</w:t>
      </w:r>
      <w:r w:rsidRPr="00117F09">
        <w:rPr>
          <w:rFonts w:ascii="Times New Roman" w:hAnsi="Times New Roman"/>
          <w:sz w:val="24"/>
          <w:szCs w:val="24"/>
        </w:rPr>
        <w:t>3).</w:t>
      </w:r>
      <w:r>
        <w:rPr>
          <w:rFonts w:ascii="Times New Roman" w:hAnsi="Times New Roman"/>
          <w:sz w:val="24"/>
          <w:szCs w:val="24"/>
        </w:rPr>
        <w:t xml:space="preserve"> In addition ,p</w:t>
      </w:r>
      <w:r w:rsidRPr="00117F09">
        <w:rPr>
          <w:rFonts w:ascii="Times New Roman" w:hAnsi="Times New Roman"/>
          <w:sz w:val="24"/>
          <w:szCs w:val="24"/>
        </w:rPr>
        <w:t>reoperative anemia is</w:t>
      </w:r>
      <w:r>
        <w:rPr>
          <w:rFonts w:ascii="Times New Roman" w:hAnsi="Times New Roman"/>
          <w:sz w:val="24"/>
          <w:szCs w:val="24"/>
        </w:rPr>
        <w:t xml:space="preserve"> </w:t>
      </w:r>
      <w:r w:rsidRPr="00117F09">
        <w:rPr>
          <w:rFonts w:ascii="Times New Roman" w:hAnsi="Times New Roman"/>
          <w:sz w:val="24"/>
          <w:szCs w:val="24"/>
        </w:rPr>
        <w:t xml:space="preserve"> a significant concern in surgical patients, as it can lead to increased morbidity, mortality, and length of hospital stay </w:t>
      </w:r>
      <w:r>
        <w:rPr>
          <w:rFonts w:ascii="Times New Roman" w:hAnsi="Times New Roman"/>
          <w:sz w:val="24"/>
          <w:szCs w:val="24"/>
        </w:rPr>
        <w:t>[</w:t>
      </w:r>
      <w:r w:rsidRPr="00117F09">
        <w:rPr>
          <w:rFonts w:ascii="Times New Roman" w:hAnsi="Times New Roman"/>
          <w:sz w:val="24"/>
          <w:szCs w:val="24"/>
        </w:rPr>
        <w:t xml:space="preserve">Musallam </w:t>
      </w:r>
      <w:r w:rsidRPr="00BA078C">
        <w:rPr>
          <w:rFonts w:ascii="Times New Roman" w:hAnsi="Times New Roman"/>
          <w:i/>
          <w:sz w:val="24"/>
          <w:szCs w:val="24"/>
        </w:rPr>
        <w:t>et al.,</w:t>
      </w:r>
      <w:r w:rsidRPr="00117F09">
        <w:rPr>
          <w:rFonts w:ascii="Times New Roman" w:hAnsi="Times New Roman"/>
          <w:sz w:val="24"/>
          <w:szCs w:val="24"/>
        </w:rPr>
        <w:t xml:space="preserve"> 20</w:t>
      </w:r>
      <w:r>
        <w:rPr>
          <w:rFonts w:ascii="Times New Roman" w:hAnsi="Times New Roman"/>
          <w:sz w:val="24"/>
          <w:szCs w:val="24"/>
        </w:rPr>
        <w:t>11]</w:t>
      </w:r>
      <w:r w:rsidRPr="00117F09">
        <w:rPr>
          <w:rFonts w:ascii="Times New Roman" w:hAnsi="Times New Roman"/>
          <w:sz w:val="24"/>
          <w:szCs w:val="24"/>
        </w:rPr>
        <w:t xml:space="preserve">. Optimizing preoperative hematocrit or packed cell volume (PCV) is crucial to minimize perioperative complications, particularly in patients undergoing major surgery </w:t>
      </w:r>
      <w:r>
        <w:rPr>
          <w:rFonts w:ascii="Times New Roman" w:hAnsi="Times New Roman"/>
          <w:sz w:val="24"/>
          <w:szCs w:val="24"/>
        </w:rPr>
        <w:t>[</w:t>
      </w:r>
      <w:r w:rsidRPr="00117F09">
        <w:rPr>
          <w:rFonts w:ascii="Times New Roman" w:hAnsi="Times New Roman"/>
          <w:sz w:val="24"/>
          <w:szCs w:val="24"/>
        </w:rPr>
        <w:t xml:space="preserve">Goodnough </w:t>
      </w:r>
      <w:r w:rsidRPr="00BA078C">
        <w:rPr>
          <w:rFonts w:ascii="Times New Roman" w:hAnsi="Times New Roman"/>
          <w:i/>
          <w:sz w:val="24"/>
          <w:szCs w:val="24"/>
        </w:rPr>
        <w:t>et al.,</w:t>
      </w:r>
      <w:r w:rsidRPr="00117F09">
        <w:rPr>
          <w:rFonts w:ascii="Times New Roman" w:hAnsi="Times New Roman"/>
          <w:sz w:val="24"/>
          <w:szCs w:val="24"/>
        </w:rPr>
        <w:t xml:space="preserve"> 2022</w:t>
      </w:r>
      <w:r>
        <w:rPr>
          <w:rFonts w:ascii="Times New Roman" w:hAnsi="Times New Roman"/>
          <w:sz w:val="24"/>
          <w:szCs w:val="24"/>
        </w:rPr>
        <w:t>]</w:t>
      </w:r>
      <w:r w:rsidRPr="00117F09">
        <w:rPr>
          <w:rFonts w:ascii="Times New Roman" w:hAnsi="Times New Roman"/>
          <w:sz w:val="24"/>
          <w:szCs w:val="24"/>
        </w:rPr>
        <w:t>. Th</w:t>
      </w:r>
      <w:r w:rsidR="00995553">
        <w:rPr>
          <w:rFonts w:ascii="Times New Roman" w:hAnsi="Times New Roman"/>
          <w:sz w:val="24"/>
          <w:szCs w:val="24"/>
        </w:rPr>
        <w:t xml:space="preserve">erefore </w:t>
      </w:r>
      <w:r w:rsidR="00FB5CF0">
        <w:rPr>
          <w:rFonts w:ascii="Times New Roman" w:hAnsi="Times New Roman"/>
          <w:sz w:val="24"/>
          <w:szCs w:val="24"/>
        </w:rPr>
        <w:t xml:space="preserve">face with all these aforementioned challenges </w:t>
      </w:r>
      <w:r w:rsidR="00995553">
        <w:rPr>
          <w:rFonts w:ascii="Times New Roman" w:hAnsi="Times New Roman"/>
          <w:sz w:val="24"/>
          <w:szCs w:val="24"/>
        </w:rPr>
        <w:t xml:space="preserve">there </w:t>
      </w:r>
      <w:r w:rsidR="00FB5CF0">
        <w:rPr>
          <w:rFonts w:ascii="Times New Roman" w:hAnsi="Times New Roman"/>
          <w:sz w:val="24"/>
          <w:szCs w:val="24"/>
        </w:rPr>
        <w:t xml:space="preserve">is still </w:t>
      </w:r>
      <w:proofErr w:type="gramStart"/>
      <w:r w:rsidR="00995553">
        <w:rPr>
          <w:rFonts w:ascii="Times New Roman" w:hAnsi="Times New Roman"/>
          <w:sz w:val="24"/>
          <w:szCs w:val="24"/>
        </w:rPr>
        <w:t xml:space="preserve">need </w:t>
      </w:r>
      <w:r w:rsidRPr="00117F09">
        <w:rPr>
          <w:rFonts w:ascii="Times New Roman" w:hAnsi="Times New Roman"/>
          <w:sz w:val="24"/>
          <w:szCs w:val="24"/>
        </w:rPr>
        <w:t xml:space="preserve"> to</w:t>
      </w:r>
      <w:proofErr w:type="gramEnd"/>
      <w:r w:rsidRPr="00117F09">
        <w:rPr>
          <w:rFonts w:ascii="Times New Roman" w:hAnsi="Times New Roman"/>
          <w:sz w:val="24"/>
          <w:szCs w:val="24"/>
        </w:rPr>
        <w:t xml:space="preserve"> identify effective methods and strategies for optimizing preoperative hematocrit or PCV in anemic patients undergoing surgery who refuse allogenic blood transfusion</w:t>
      </w:r>
      <w:r w:rsidR="00FB5CF0" w:rsidRPr="00FB5CF0">
        <w:rPr>
          <w:rFonts w:ascii="Times New Roman" w:hAnsi="Times New Roman"/>
          <w:sz w:val="24"/>
          <w:szCs w:val="24"/>
        </w:rPr>
        <w:t>[</w:t>
      </w:r>
      <w:proofErr w:type="spellStart"/>
      <w:r w:rsidR="00FB5CF0" w:rsidRPr="00FB5CF0">
        <w:rPr>
          <w:rFonts w:ascii="Times New Roman" w:hAnsi="Times New Roman"/>
          <w:sz w:val="24"/>
          <w:szCs w:val="24"/>
        </w:rPr>
        <w:t>Filipescu</w:t>
      </w:r>
      <w:proofErr w:type="spellEnd"/>
      <w:r w:rsidR="00FB5CF0" w:rsidRPr="00FB5CF0">
        <w:rPr>
          <w:rFonts w:ascii="Times New Roman" w:hAnsi="Times New Roman"/>
          <w:sz w:val="24"/>
          <w:szCs w:val="24"/>
        </w:rPr>
        <w:t xml:space="preserve"> </w:t>
      </w:r>
      <w:r w:rsidR="00FB5CF0" w:rsidRPr="00FB5CF0">
        <w:rPr>
          <w:rFonts w:ascii="Times New Roman" w:hAnsi="Times New Roman"/>
          <w:i/>
          <w:sz w:val="24"/>
          <w:szCs w:val="24"/>
        </w:rPr>
        <w:t>et al</w:t>
      </w:r>
      <w:r w:rsidR="00FB5CF0" w:rsidRPr="00FB5CF0">
        <w:rPr>
          <w:rFonts w:ascii="Times New Roman" w:hAnsi="Times New Roman"/>
          <w:sz w:val="24"/>
          <w:szCs w:val="24"/>
        </w:rPr>
        <w:t>.,2025, Görlinger,2024]</w:t>
      </w:r>
    </w:p>
    <w:p w14:paraId="776F3950" w14:textId="004EC3E5" w:rsidR="0005414C" w:rsidRDefault="0005414C" w:rsidP="0005414C">
      <w:pPr>
        <w:spacing w:after="0" w:line="240" w:lineRule="auto"/>
        <w:jc w:val="both"/>
        <w:rPr>
          <w:rFonts w:ascii="Times New Roman" w:hAnsi="Times New Roman"/>
          <w:sz w:val="24"/>
          <w:szCs w:val="24"/>
        </w:rPr>
      </w:pPr>
      <w:r>
        <w:rPr>
          <w:rFonts w:ascii="Times New Roman" w:hAnsi="Times New Roman"/>
          <w:sz w:val="24"/>
          <w:szCs w:val="24"/>
        </w:rPr>
        <w:t xml:space="preserve">Recent studies have shown that the </w:t>
      </w:r>
      <w:r w:rsidRPr="00A67A5B">
        <w:rPr>
          <w:rFonts w:ascii="Times New Roman" w:hAnsi="Times New Roman"/>
          <w:sz w:val="24"/>
          <w:szCs w:val="24"/>
        </w:rPr>
        <w:t xml:space="preserve"> accepted </w:t>
      </w:r>
      <w:r>
        <w:rPr>
          <w:rFonts w:ascii="Times New Roman" w:hAnsi="Times New Roman"/>
          <w:sz w:val="24"/>
          <w:szCs w:val="24"/>
        </w:rPr>
        <w:t xml:space="preserve">reference range for </w:t>
      </w:r>
      <w:r w:rsidRPr="00A67A5B">
        <w:rPr>
          <w:rFonts w:ascii="Times New Roman" w:hAnsi="Times New Roman"/>
          <w:sz w:val="24"/>
          <w:szCs w:val="24"/>
        </w:rPr>
        <w:t>hemoglobin (Hb) or packed cell volume (PCV) concentration for surgic</w:t>
      </w:r>
      <w:r>
        <w:rPr>
          <w:rFonts w:ascii="Times New Roman" w:hAnsi="Times New Roman"/>
          <w:sz w:val="24"/>
          <w:szCs w:val="24"/>
        </w:rPr>
        <w:t xml:space="preserve">al patients </w:t>
      </w:r>
      <w:r w:rsidRPr="00A67A5B">
        <w:rPr>
          <w:rFonts w:ascii="Times New Roman" w:hAnsi="Times New Roman"/>
          <w:sz w:val="24"/>
          <w:szCs w:val="24"/>
        </w:rPr>
        <w:t xml:space="preserve"> varies depending on the type of surgery, patient population, and clinical guidelines.</w:t>
      </w:r>
      <w:r>
        <w:rPr>
          <w:rFonts w:ascii="Times New Roman" w:hAnsi="Times New Roman"/>
          <w:sz w:val="24"/>
          <w:szCs w:val="24"/>
        </w:rPr>
        <w:t xml:space="preserve"> Although </w:t>
      </w:r>
      <w:r w:rsidRPr="00A67A5B">
        <w:rPr>
          <w:rFonts w:ascii="Times New Roman" w:hAnsi="Times New Roman"/>
          <w:sz w:val="24"/>
          <w:szCs w:val="24"/>
        </w:rPr>
        <w:t>general guidelines</w:t>
      </w:r>
      <w:r>
        <w:rPr>
          <w:rFonts w:ascii="Times New Roman" w:hAnsi="Times New Roman"/>
          <w:sz w:val="24"/>
          <w:szCs w:val="24"/>
        </w:rPr>
        <w:t xml:space="preserve"> according to </w:t>
      </w:r>
      <w:r w:rsidRPr="00A67A5B">
        <w:rPr>
          <w:rFonts w:ascii="Times New Roman" w:hAnsi="Times New Roman"/>
          <w:sz w:val="24"/>
          <w:szCs w:val="24"/>
        </w:rPr>
        <w:t>World Health Organization (WHO)</w:t>
      </w:r>
      <w:r>
        <w:rPr>
          <w:rFonts w:ascii="Times New Roman" w:hAnsi="Times New Roman"/>
          <w:sz w:val="24"/>
          <w:szCs w:val="24"/>
        </w:rPr>
        <w:t xml:space="preserve"> rules that </w:t>
      </w:r>
      <w:r w:rsidRPr="00A67A5B">
        <w:rPr>
          <w:rFonts w:ascii="Times New Roman" w:hAnsi="Times New Roman"/>
          <w:sz w:val="24"/>
          <w:szCs w:val="24"/>
        </w:rPr>
        <w:t xml:space="preserve"> Hb &lt; 13 g/dL (male) or &lt; 12 g/dL (female) is considered anemi</w:t>
      </w:r>
      <w:r>
        <w:rPr>
          <w:rFonts w:ascii="Times New Roman" w:hAnsi="Times New Roman"/>
          <w:sz w:val="24"/>
          <w:szCs w:val="24"/>
        </w:rPr>
        <w:t>c</w:t>
      </w:r>
      <w:r w:rsidRPr="00A67A5B">
        <w:rPr>
          <w:rFonts w:ascii="Times New Roman" w:hAnsi="Times New Roman"/>
          <w:sz w:val="24"/>
          <w:szCs w:val="24"/>
        </w:rPr>
        <w:t xml:space="preserve"> </w:t>
      </w:r>
      <w:r w:rsidR="00785DFD">
        <w:rPr>
          <w:rFonts w:ascii="Times New Roman" w:hAnsi="Times New Roman"/>
          <w:sz w:val="24"/>
          <w:szCs w:val="24"/>
        </w:rPr>
        <w:t>[</w:t>
      </w:r>
      <w:r w:rsidRPr="00A67A5B">
        <w:rPr>
          <w:rFonts w:ascii="Times New Roman" w:hAnsi="Times New Roman"/>
          <w:sz w:val="24"/>
          <w:szCs w:val="24"/>
        </w:rPr>
        <w:t>World Health Organization, 2020</w:t>
      </w:r>
      <w:r w:rsidR="00785DFD">
        <w:rPr>
          <w:rFonts w:ascii="Times New Roman" w:hAnsi="Times New Roman"/>
          <w:sz w:val="24"/>
          <w:szCs w:val="24"/>
        </w:rPr>
        <w:t xml:space="preserve"> and 2024]</w:t>
      </w:r>
      <w:r w:rsidRPr="00A67A5B">
        <w:rPr>
          <w:rFonts w:ascii="Times New Roman" w:hAnsi="Times New Roman"/>
          <w:sz w:val="24"/>
          <w:szCs w:val="24"/>
        </w:rPr>
        <w:t>.</w:t>
      </w:r>
      <w:r>
        <w:rPr>
          <w:rFonts w:ascii="Times New Roman" w:hAnsi="Times New Roman"/>
          <w:sz w:val="24"/>
          <w:szCs w:val="24"/>
        </w:rPr>
        <w:t xml:space="preserve"> The </w:t>
      </w:r>
      <w:r w:rsidRPr="00A67A5B">
        <w:rPr>
          <w:rFonts w:ascii="Times New Roman" w:hAnsi="Times New Roman"/>
          <w:sz w:val="24"/>
          <w:szCs w:val="24"/>
        </w:rPr>
        <w:t>American Society of Anesthesiologists (ASA)</w:t>
      </w:r>
      <w:r>
        <w:rPr>
          <w:rFonts w:ascii="Times New Roman" w:hAnsi="Times New Roman"/>
          <w:sz w:val="24"/>
          <w:szCs w:val="24"/>
        </w:rPr>
        <w:t xml:space="preserve"> agrees that </w:t>
      </w:r>
      <w:r w:rsidRPr="00A67A5B">
        <w:rPr>
          <w:rFonts w:ascii="Times New Roman" w:hAnsi="Times New Roman"/>
          <w:sz w:val="24"/>
          <w:szCs w:val="24"/>
        </w:rPr>
        <w:t xml:space="preserve"> Hb &lt; 10 g/dL is a concern for surgery (</w:t>
      </w:r>
      <w:r>
        <w:rPr>
          <w:rFonts w:ascii="Times New Roman" w:hAnsi="Times New Roman"/>
          <w:sz w:val="24"/>
          <w:szCs w:val="24"/>
        </w:rPr>
        <w:t xml:space="preserve">Hoh  </w:t>
      </w:r>
      <w:r w:rsidRPr="00281217">
        <w:rPr>
          <w:rFonts w:ascii="Times New Roman" w:hAnsi="Times New Roman"/>
          <w:i/>
          <w:sz w:val="24"/>
          <w:szCs w:val="24"/>
        </w:rPr>
        <w:t>et al.,</w:t>
      </w:r>
      <w:r>
        <w:rPr>
          <w:rFonts w:ascii="Times New Roman" w:hAnsi="Times New Roman"/>
          <w:sz w:val="24"/>
          <w:szCs w:val="24"/>
        </w:rPr>
        <w:t xml:space="preserve"> </w:t>
      </w:r>
      <w:r w:rsidRPr="00A67A5B">
        <w:rPr>
          <w:rFonts w:ascii="Times New Roman" w:hAnsi="Times New Roman"/>
          <w:sz w:val="24"/>
          <w:szCs w:val="24"/>
        </w:rPr>
        <w:t>202</w:t>
      </w:r>
      <w:r>
        <w:rPr>
          <w:rFonts w:ascii="Times New Roman" w:hAnsi="Times New Roman"/>
          <w:sz w:val="24"/>
          <w:szCs w:val="24"/>
        </w:rPr>
        <w:t>3</w:t>
      </w:r>
      <w:r w:rsidRPr="00A67A5B">
        <w:rPr>
          <w:rFonts w:ascii="Times New Roman" w:hAnsi="Times New Roman"/>
          <w:sz w:val="24"/>
          <w:szCs w:val="24"/>
        </w:rPr>
        <w:t xml:space="preserve">) </w:t>
      </w:r>
      <w:r>
        <w:rPr>
          <w:rFonts w:ascii="Times New Roman" w:hAnsi="Times New Roman"/>
          <w:sz w:val="24"/>
          <w:szCs w:val="24"/>
        </w:rPr>
        <w:t xml:space="preserve"> while the </w:t>
      </w:r>
      <w:r w:rsidRPr="00A67A5B">
        <w:rPr>
          <w:rFonts w:ascii="Times New Roman" w:hAnsi="Times New Roman"/>
          <w:sz w:val="24"/>
          <w:szCs w:val="24"/>
        </w:rPr>
        <w:t xml:space="preserve">European Society of </w:t>
      </w:r>
      <w:proofErr w:type="spellStart"/>
      <w:r w:rsidRPr="00A67A5B">
        <w:rPr>
          <w:rFonts w:ascii="Times New Roman" w:hAnsi="Times New Roman"/>
          <w:sz w:val="24"/>
          <w:szCs w:val="24"/>
        </w:rPr>
        <w:t>Anaesthesiology</w:t>
      </w:r>
      <w:proofErr w:type="spellEnd"/>
      <w:r w:rsidRPr="00A67A5B">
        <w:rPr>
          <w:rFonts w:ascii="Times New Roman" w:hAnsi="Times New Roman"/>
          <w:sz w:val="24"/>
          <w:szCs w:val="24"/>
        </w:rPr>
        <w:t xml:space="preserve"> (ESA)</w:t>
      </w:r>
      <w:r>
        <w:rPr>
          <w:rFonts w:ascii="Times New Roman" w:hAnsi="Times New Roman"/>
          <w:sz w:val="24"/>
          <w:szCs w:val="24"/>
        </w:rPr>
        <w:t xml:space="preserve"> agrees that </w:t>
      </w:r>
      <w:r w:rsidRPr="00A67A5B">
        <w:rPr>
          <w:rFonts w:ascii="Times New Roman" w:hAnsi="Times New Roman"/>
          <w:sz w:val="24"/>
          <w:szCs w:val="24"/>
        </w:rPr>
        <w:t xml:space="preserve"> Hb &lt; 12 g/dL is a concern for surgery </w:t>
      </w:r>
      <w:r>
        <w:rPr>
          <w:rFonts w:ascii="Times New Roman" w:hAnsi="Times New Roman"/>
          <w:sz w:val="24"/>
          <w:szCs w:val="24"/>
        </w:rPr>
        <w:t>[</w:t>
      </w:r>
      <w:proofErr w:type="spellStart"/>
      <w:r>
        <w:rPr>
          <w:rFonts w:ascii="Times New Roman" w:hAnsi="Times New Roman"/>
          <w:sz w:val="24"/>
          <w:szCs w:val="24"/>
        </w:rPr>
        <w:t>Kietaibl</w:t>
      </w:r>
      <w:proofErr w:type="spellEnd"/>
      <w:r>
        <w:rPr>
          <w:rFonts w:ascii="Times New Roman" w:hAnsi="Times New Roman"/>
          <w:sz w:val="24"/>
          <w:szCs w:val="24"/>
        </w:rPr>
        <w:t xml:space="preserve"> </w:t>
      </w:r>
      <w:r w:rsidRPr="00195FC5">
        <w:rPr>
          <w:rFonts w:ascii="Times New Roman" w:hAnsi="Times New Roman"/>
          <w:i/>
          <w:sz w:val="24"/>
          <w:szCs w:val="24"/>
        </w:rPr>
        <w:t>et al.,</w:t>
      </w:r>
      <w:r w:rsidRPr="00A67A5B">
        <w:rPr>
          <w:rFonts w:ascii="Times New Roman" w:hAnsi="Times New Roman"/>
          <w:sz w:val="24"/>
          <w:szCs w:val="24"/>
        </w:rPr>
        <w:t xml:space="preserve"> 202</w:t>
      </w:r>
      <w:r>
        <w:rPr>
          <w:rFonts w:ascii="Times New Roman" w:hAnsi="Times New Roman"/>
          <w:sz w:val="24"/>
          <w:szCs w:val="24"/>
        </w:rPr>
        <w:t>2]</w:t>
      </w:r>
      <w:r w:rsidRPr="00A67A5B">
        <w:rPr>
          <w:rFonts w:ascii="Times New Roman" w:hAnsi="Times New Roman"/>
          <w:sz w:val="24"/>
          <w:szCs w:val="24"/>
        </w:rPr>
        <w:t>.</w:t>
      </w:r>
    </w:p>
    <w:p w14:paraId="00F6AF7F" w14:textId="790641C0" w:rsidR="0005414C" w:rsidRPr="00A67A5B" w:rsidRDefault="0005414C" w:rsidP="0005414C">
      <w:pPr>
        <w:spacing w:after="0" w:line="240" w:lineRule="auto"/>
        <w:jc w:val="both"/>
        <w:rPr>
          <w:rFonts w:ascii="Times New Roman" w:hAnsi="Times New Roman"/>
          <w:sz w:val="24"/>
          <w:szCs w:val="24"/>
        </w:rPr>
      </w:pPr>
      <w:r>
        <w:rPr>
          <w:rFonts w:ascii="Times New Roman" w:hAnsi="Times New Roman"/>
          <w:sz w:val="24"/>
          <w:szCs w:val="24"/>
        </w:rPr>
        <w:t>For  s</w:t>
      </w:r>
      <w:r w:rsidRPr="00A67A5B">
        <w:rPr>
          <w:rFonts w:ascii="Times New Roman" w:hAnsi="Times New Roman"/>
          <w:sz w:val="24"/>
          <w:szCs w:val="24"/>
        </w:rPr>
        <w:t xml:space="preserve">pecific </w:t>
      </w:r>
      <w:r>
        <w:rPr>
          <w:rFonts w:ascii="Times New Roman" w:hAnsi="Times New Roman"/>
          <w:sz w:val="24"/>
          <w:szCs w:val="24"/>
        </w:rPr>
        <w:t>g</w:t>
      </w:r>
      <w:r w:rsidRPr="00A67A5B">
        <w:rPr>
          <w:rFonts w:ascii="Times New Roman" w:hAnsi="Times New Roman"/>
          <w:sz w:val="24"/>
          <w:szCs w:val="24"/>
        </w:rPr>
        <w:t xml:space="preserve">uidelines for </w:t>
      </w:r>
      <w:r>
        <w:rPr>
          <w:rFonts w:ascii="Times New Roman" w:hAnsi="Times New Roman"/>
          <w:sz w:val="24"/>
          <w:szCs w:val="24"/>
        </w:rPr>
        <w:t>s</w:t>
      </w:r>
      <w:r w:rsidRPr="00A67A5B">
        <w:rPr>
          <w:rFonts w:ascii="Times New Roman" w:hAnsi="Times New Roman"/>
          <w:sz w:val="24"/>
          <w:szCs w:val="24"/>
        </w:rPr>
        <w:t>urgery</w:t>
      </w:r>
      <w:r>
        <w:rPr>
          <w:rFonts w:ascii="Times New Roman" w:hAnsi="Times New Roman"/>
          <w:sz w:val="24"/>
          <w:szCs w:val="24"/>
        </w:rPr>
        <w:t xml:space="preserve">, it has  agreed that </w:t>
      </w:r>
      <w:r w:rsidRPr="00A67A5B">
        <w:rPr>
          <w:rFonts w:ascii="Times New Roman" w:hAnsi="Times New Roman"/>
          <w:sz w:val="24"/>
          <w:szCs w:val="24"/>
        </w:rPr>
        <w:t xml:space="preserve"> Elective surgery: Hb ≥ 10 g/dL (PCV ≥ 30%) is often considered</w:t>
      </w:r>
      <w:r>
        <w:rPr>
          <w:rFonts w:ascii="Times New Roman" w:hAnsi="Times New Roman"/>
          <w:sz w:val="24"/>
          <w:szCs w:val="24"/>
        </w:rPr>
        <w:t xml:space="preserve">  adequate </w:t>
      </w:r>
      <w:r w:rsidRPr="00A67A5B">
        <w:rPr>
          <w:rFonts w:ascii="Times New Roman" w:hAnsi="Times New Roman"/>
          <w:sz w:val="24"/>
          <w:szCs w:val="24"/>
        </w:rPr>
        <w:t xml:space="preserve"> </w:t>
      </w:r>
      <w:r>
        <w:rPr>
          <w:rFonts w:ascii="Times New Roman" w:hAnsi="Times New Roman"/>
          <w:sz w:val="24"/>
          <w:szCs w:val="24"/>
        </w:rPr>
        <w:t>[</w:t>
      </w:r>
      <w:proofErr w:type="spellStart"/>
      <w:r w:rsidRPr="00A67A5B">
        <w:rPr>
          <w:rFonts w:ascii="Times New Roman" w:hAnsi="Times New Roman"/>
          <w:sz w:val="24"/>
          <w:szCs w:val="24"/>
        </w:rPr>
        <w:t>Spahn</w:t>
      </w:r>
      <w:proofErr w:type="spellEnd"/>
      <w:r w:rsidRPr="00A67A5B">
        <w:rPr>
          <w:rFonts w:ascii="Times New Roman" w:hAnsi="Times New Roman"/>
          <w:sz w:val="24"/>
          <w:szCs w:val="24"/>
        </w:rPr>
        <w:t xml:space="preserve"> </w:t>
      </w:r>
      <w:r w:rsidRPr="00532788">
        <w:rPr>
          <w:rFonts w:ascii="Times New Roman" w:hAnsi="Times New Roman"/>
          <w:i/>
          <w:sz w:val="24"/>
          <w:szCs w:val="24"/>
        </w:rPr>
        <w:t>et al.,</w:t>
      </w:r>
      <w:r w:rsidRPr="00A67A5B">
        <w:rPr>
          <w:rFonts w:ascii="Times New Roman" w:hAnsi="Times New Roman"/>
          <w:sz w:val="24"/>
          <w:szCs w:val="24"/>
        </w:rPr>
        <w:t xml:space="preserve"> 20</w:t>
      </w:r>
      <w:r>
        <w:rPr>
          <w:rFonts w:ascii="Times New Roman" w:hAnsi="Times New Roman"/>
          <w:sz w:val="24"/>
          <w:szCs w:val="24"/>
        </w:rPr>
        <w:t>16]</w:t>
      </w:r>
      <w:r w:rsidRPr="00A67A5B">
        <w:rPr>
          <w:rFonts w:ascii="Times New Roman" w:hAnsi="Times New Roman"/>
          <w:sz w:val="24"/>
          <w:szCs w:val="24"/>
        </w:rPr>
        <w:t>.</w:t>
      </w:r>
      <w:r>
        <w:rPr>
          <w:rFonts w:ascii="Times New Roman" w:hAnsi="Times New Roman"/>
          <w:sz w:val="24"/>
          <w:szCs w:val="24"/>
        </w:rPr>
        <w:t xml:space="preserve"> In </w:t>
      </w:r>
      <w:r w:rsidRPr="00A67A5B">
        <w:rPr>
          <w:rFonts w:ascii="Times New Roman" w:hAnsi="Times New Roman"/>
          <w:sz w:val="24"/>
          <w:szCs w:val="24"/>
        </w:rPr>
        <w:t xml:space="preserve">Major surgery: Hb ≥ 12 g/dL (PCV ≥ 36%) is often </w:t>
      </w:r>
      <w:r>
        <w:rPr>
          <w:rFonts w:ascii="Times New Roman" w:hAnsi="Times New Roman"/>
          <w:sz w:val="24"/>
          <w:szCs w:val="24"/>
        </w:rPr>
        <w:t xml:space="preserve">accepted </w:t>
      </w:r>
      <w:r w:rsidRPr="00A67A5B">
        <w:rPr>
          <w:rFonts w:ascii="Times New Roman" w:hAnsi="Times New Roman"/>
          <w:sz w:val="24"/>
          <w:szCs w:val="24"/>
        </w:rPr>
        <w:t xml:space="preserve"> </w:t>
      </w:r>
      <w:r>
        <w:rPr>
          <w:rFonts w:ascii="Times New Roman" w:hAnsi="Times New Roman"/>
          <w:sz w:val="24"/>
          <w:szCs w:val="24"/>
        </w:rPr>
        <w:t>[</w:t>
      </w:r>
      <w:r w:rsidRPr="00A67A5B">
        <w:rPr>
          <w:rFonts w:ascii="Times New Roman" w:hAnsi="Times New Roman"/>
          <w:sz w:val="24"/>
          <w:szCs w:val="24"/>
        </w:rPr>
        <w:t xml:space="preserve">Musallam </w:t>
      </w:r>
      <w:r w:rsidRPr="00532788">
        <w:rPr>
          <w:rFonts w:ascii="Times New Roman" w:hAnsi="Times New Roman"/>
          <w:i/>
          <w:sz w:val="24"/>
          <w:szCs w:val="24"/>
        </w:rPr>
        <w:t>et al.,</w:t>
      </w:r>
      <w:r w:rsidRPr="00A67A5B">
        <w:rPr>
          <w:rFonts w:ascii="Times New Roman" w:hAnsi="Times New Roman"/>
          <w:sz w:val="24"/>
          <w:szCs w:val="24"/>
        </w:rPr>
        <w:t xml:space="preserve"> 20</w:t>
      </w:r>
      <w:r>
        <w:rPr>
          <w:rFonts w:ascii="Times New Roman" w:hAnsi="Times New Roman"/>
          <w:sz w:val="24"/>
          <w:szCs w:val="24"/>
        </w:rPr>
        <w:t>11]</w:t>
      </w:r>
      <w:r w:rsidRPr="00A67A5B">
        <w:rPr>
          <w:rFonts w:ascii="Times New Roman" w:hAnsi="Times New Roman"/>
          <w:sz w:val="24"/>
          <w:szCs w:val="24"/>
        </w:rPr>
        <w:t>. Cardiac surgery: Hb ≥ 13 g/dL (PCV ≥ 39%) is often tolera</w:t>
      </w:r>
      <w:r>
        <w:rPr>
          <w:rFonts w:ascii="Times New Roman" w:hAnsi="Times New Roman"/>
          <w:sz w:val="24"/>
          <w:szCs w:val="24"/>
        </w:rPr>
        <w:t xml:space="preserve">ted </w:t>
      </w:r>
      <w:r w:rsidRPr="00A67A5B">
        <w:rPr>
          <w:rFonts w:ascii="Times New Roman" w:hAnsi="Times New Roman"/>
          <w:sz w:val="24"/>
          <w:szCs w:val="24"/>
        </w:rPr>
        <w:t xml:space="preserve"> </w:t>
      </w:r>
      <w:r>
        <w:rPr>
          <w:rFonts w:ascii="Times New Roman" w:hAnsi="Times New Roman"/>
          <w:sz w:val="24"/>
          <w:szCs w:val="24"/>
        </w:rPr>
        <w:t>[</w:t>
      </w:r>
      <w:r w:rsidRPr="00A67A5B">
        <w:rPr>
          <w:rFonts w:ascii="Times New Roman" w:hAnsi="Times New Roman"/>
          <w:sz w:val="24"/>
          <w:szCs w:val="24"/>
        </w:rPr>
        <w:t xml:space="preserve">Carson </w:t>
      </w:r>
      <w:r w:rsidRPr="00532788">
        <w:rPr>
          <w:rFonts w:ascii="Times New Roman" w:hAnsi="Times New Roman"/>
          <w:i/>
          <w:sz w:val="24"/>
          <w:szCs w:val="24"/>
        </w:rPr>
        <w:t>et al.,</w:t>
      </w:r>
      <w:r w:rsidRPr="00A67A5B">
        <w:rPr>
          <w:rFonts w:ascii="Times New Roman" w:hAnsi="Times New Roman"/>
          <w:sz w:val="24"/>
          <w:szCs w:val="24"/>
        </w:rPr>
        <w:t xml:space="preserve"> 202</w:t>
      </w:r>
      <w:r>
        <w:rPr>
          <w:rFonts w:ascii="Times New Roman" w:hAnsi="Times New Roman"/>
          <w:sz w:val="24"/>
          <w:szCs w:val="24"/>
        </w:rPr>
        <w:t>1]</w:t>
      </w:r>
      <w:r w:rsidRPr="00A67A5B">
        <w:rPr>
          <w:rFonts w:ascii="Times New Roman" w:hAnsi="Times New Roman"/>
          <w:sz w:val="24"/>
          <w:szCs w:val="24"/>
        </w:rPr>
        <w:t>.Neurosurgery</w:t>
      </w:r>
      <w:r>
        <w:rPr>
          <w:rFonts w:ascii="Times New Roman" w:hAnsi="Times New Roman"/>
          <w:sz w:val="24"/>
          <w:szCs w:val="24"/>
        </w:rPr>
        <w:t xml:space="preserve"> also accepts that </w:t>
      </w:r>
      <w:r w:rsidRPr="00A67A5B">
        <w:rPr>
          <w:rFonts w:ascii="Times New Roman" w:hAnsi="Times New Roman"/>
          <w:sz w:val="24"/>
          <w:szCs w:val="24"/>
        </w:rPr>
        <w:t xml:space="preserve"> Hb ≥ 12 g/dL (PCV ≥ 36%) is often considered </w:t>
      </w:r>
      <w:r>
        <w:rPr>
          <w:rFonts w:ascii="Times New Roman" w:hAnsi="Times New Roman"/>
          <w:sz w:val="24"/>
          <w:szCs w:val="24"/>
        </w:rPr>
        <w:t xml:space="preserve">suitable [Hoh </w:t>
      </w:r>
      <w:r w:rsidRPr="00195FC5">
        <w:rPr>
          <w:rFonts w:ascii="Times New Roman" w:hAnsi="Times New Roman"/>
          <w:i/>
          <w:sz w:val="24"/>
          <w:szCs w:val="24"/>
        </w:rPr>
        <w:t>et al</w:t>
      </w:r>
      <w:r>
        <w:rPr>
          <w:rFonts w:ascii="Times New Roman" w:hAnsi="Times New Roman"/>
          <w:sz w:val="24"/>
          <w:szCs w:val="24"/>
        </w:rPr>
        <w:t>.</w:t>
      </w:r>
      <w:r w:rsidRPr="00A67A5B">
        <w:rPr>
          <w:rFonts w:ascii="Times New Roman" w:hAnsi="Times New Roman"/>
          <w:sz w:val="24"/>
          <w:szCs w:val="24"/>
        </w:rPr>
        <w:t>,202</w:t>
      </w:r>
      <w:r>
        <w:rPr>
          <w:rFonts w:ascii="Times New Roman" w:hAnsi="Times New Roman"/>
          <w:sz w:val="24"/>
          <w:szCs w:val="24"/>
        </w:rPr>
        <w:t>3]</w:t>
      </w:r>
      <w:r w:rsidRPr="00A67A5B">
        <w:rPr>
          <w:rFonts w:ascii="Times New Roman" w:hAnsi="Times New Roman"/>
          <w:sz w:val="24"/>
          <w:szCs w:val="24"/>
        </w:rPr>
        <w:t>.</w:t>
      </w:r>
      <w:r>
        <w:rPr>
          <w:rFonts w:ascii="Times New Roman" w:hAnsi="Times New Roman"/>
          <w:sz w:val="24"/>
          <w:szCs w:val="24"/>
        </w:rPr>
        <w:t xml:space="preserve">For developing nations in the Sahara and sub-Saharan nations the specific  clinical </w:t>
      </w:r>
      <w:r w:rsidRPr="00A67A5B">
        <w:rPr>
          <w:rFonts w:ascii="Times New Roman" w:hAnsi="Times New Roman"/>
          <w:sz w:val="24"/>
          <w:szCs w:val="24"/>
        </w:rPr>
        <w:t xml:space="preserve"> </w:t>
      </w:r>
      <w:r>
        <w:rPr>
          <w:rFonts w:ascii="Times New Roman" w:hAnsi="Times New Roman"/>
          <w:sz w:val="24"/>
          <w:szCs w:val="24"/>
        </w:rPr>
        <w:t>g</w:t>
      </w:r>
      <w:r w:rsidRPr="00A67A5B">
        <w:rPr>
          <w:rFonts w:ascii="Times New Roman" w:hAnsi="Times New Roman"/>
          <w:sz w:val="24"/>
          <w:szCs w:val="24"/>
        </w:rPr>
        <w:t>uidelines</w:t>
      </w:r>
      <w:r>
        <w:rPr>
          <w:rFonts w:ascii="Times New Roman" w:hAnsi="Times New Roman"/>
          <w:sz w:val="24"/>
          <w:szCs w:val="24"/>
        </w:rPr>
        <w:t xml:space="preserve"> established by these nations  are to be followed .For  instance in t</w:t>
      </w:r>
      <w:r w:rsidRPr="00A67A5B">
        <w:rPr>
          <w:rFonts w:ascii="Times New Roman" w:hAnsi="Times New Roman"/>
          <w:sz w:val="24"/>
          <w:szCs w:val="24"/>
        </w:rPr>
        <w:t xml:space="preserve">he Nigerian Society of Anaesthetists recommends a minimum Hb of 10 g/dL (PCV ≥ 30%) for elective surgery </w:t>
      </w:r>
      <w:r>
        <w:rPr>
          <w:rFonts w:ascii="Times New Roman" w:hAnsi="Times New Roman"/>
          <w:sz w:val="24"/>
          <w:szCs w:val="24"/>
        </w:rPr>
        <w:t>[</w:t>
      </w:r>
      <w:proofErr w:type="spellStart"/>
      <w:r w:rsidRPr="00587696">
        <w:rPr>
          <w:rFonts w:ascii="Times New Roman" w:hAnsi="Times New Roman"/>
          <w:sz w:val="24"/>
          <w:szCs w:val="24"/>
        </w:rPr>
        <w:t>Biccard</w:t>
      </w:r>
      <w:proofErr w:type="spellEnd"/>
      <w:r>
        <w:rPr>
          <w:rFonts w:ascii="Times New Roman" w:hAnsi="Times New Roman"/>
          <w:sz w:val="24"/>
          <w:szCs w:val="24"/>
        </w:rPr>
        <w:t xml:space="preserve"> </w:t>
      </w:r>
      <w:r w:rsidRPr="00587696">
        <w:rPr>
          <w:rFonts w:ascii="Times New Roman" w:hAnsi="Times New Roman"/>
          <w:i/>
          <w:sz w:val="24"/>
          <w:szCs w:val="24"/>
        </w:rPr>
        <w:t>et al.,</w:t>
      </w:r>
      <w:r>
        <w:rPr>
          <w:rFonts w:ascii="Times New Roman" w:hAnsi="Times New Roman"/>
          <w:sz w:val="24"/>
          <w:szCs w:val="24"/>
        </w:rPr>
        <w:t xml:space="preserve"> 2020</w:t>
      </w:r>
      <w:r w:rsidR="00785DFD">
        <w:rPr>
          <w:rFonts w:ascii="Times New Roman" w:hAnsi="Times New Roman"/>
          <w:sz w:val="24"/>
          <w:szCs w:val="24"/>
        </w:rPr>
        <w:t xml:space="preserve"> </w:t>
      </w:r>
      <w:proofErr w:type="spellStart"/>
      <w:r w:rsidR="00785DFD">
        <w:rPr>
          <w:rFonts w:ascii="Times New Roman" w:hAnsi="Times New Roman"/>
          <w:sz w:val="24"/>
          <w:szCs w:val="24"/>
        </w:rPr>
        <w:t>and</w:t>
      </w:r>
      <w:r w:rsidR="00785DFD" w:rsidRPr="00A67A5B">
        <w:rPr>
          <w:rFonts w:ascii="Times New Roman" w:hAnsi="Times New Roman"/>
          <w:sz w:val="24"/>
          <w:szCs w:val="24"/>
        </w:rPr>
        <w:t>World</w:t>
      </w:r>
      <w:proofErr w:type="spellEnd"/>
      <w:r w:rsidR="00785DFD" w:rsidRPr="00A67A5B">
        <w:rPr>
          <w:rFonts w:ascii="Times New Roman" w:hAnsi="Times New Roman"/>
          <w:sz w:val="24"/>
          <w:szCs w:val="24"/>
        </w:rPr>
        <w:t xml:space="preserve"> Health Organization, 2020</w:t>
      </w:r>
      <w:r w:rsidR="00785DFD">
        <w:rPr>
          <w:rFonts w:ascii="Times New Roman" w:hAnsi="Times New Roman"/>
          <w:sz w:val="24"/>
          <w:szCs w:val="24"/>
        </w:rPr>
        <w:t xml:space="preserve"> and 2024]</w:t>
      </w:r>
      <w:r w:rsidR="00785DFD" w:rsidRPr="00A67A5B">
        <w:rPr>
          <w:rFonts w:ascii="Times New Roman" w:hAnsi="Times New Roman"/>
          <w:sz w:val="24"/>
          <w:szCs w:val="24"/>
        </w:rPr>
        <w:t>.</w:t>
      </w:r>
      <w:r w:rsidR="00785DFD">
        <w:rPr>
          <w:rFonts w:ascii="Times New Roman" w:hAnsi="Times New Roman"/>
          <w:sz w:val="24"/>
          <w:szCs w:val="24"/>
        </w:rPr>
        <w:t xml:space="preserve"> </w:t>
      </w:r>
    </w:p>
    <w:p w14:paraId="12B75150" w14:textId="77777777" w:rsidR="0005414C" w:rsidRDefault="0005414C" w:rsidP="0005414C">
      <w:pPr>
        <w:spacing w:after="0" w:line="240" w:lineRule="auto"/>
        <w:jc w:val="both"/>
        <w:rPr>
          <w:rFonts w:ascii="Times New Roman" w:hAnsi="Times New Roman"/>
          <w:sz w:val="24"/>
          <w:szCs w:val="24"/>
        </w:rPr>
      </w:pPr>
      <w:r>
        <w:rPr>
          <w:rFonts w:ascii="Times New Roman" w:hAnsi="Times New Roman"/>
          <w:sz w:val="24"/>
          <w:szCs w:val="24"/>
        </w:rPr>
        <w:t>It is vividly clear that p</w:t>
      </w:r>
      <w:r w:rsidRPr="00117F09">
        <w:rPr>
          <w:rFonts w:ascii="Times New Roman" w:hAnsi="Times New Roman"/>
          <w:sz w:val="24"/>
          <w:szCs w:val="24"/>
        </w:rPr>
        <w:t xml:space="preserve">reoperative anemia management is a critical component of patient blood management (PBM) </w:t>
      </w:r>
      <w:r>
        <w:rPr>
          <w:rFonts w:ascii="Times New Roman" w:hAnsi="Times New Roman"/>
          <w:sz w:val="24"/>
          <w:szCs w:val="24"/>
        </w:rPr>
        <w:t>[</w:t>
      </w:r>
      <w:proofErr w:type="spellStart"/>
      <w:r w:rsidRPr="00117F09">
        <w:rPr>
          <w:rFonts w:ascii="Times New Roman" w:hAnsi="Times New Roman"/>
          <w:sz w:val="24"/>
          <w:szCs w:val="24"/>
        </w:rPr>
        <w:t>Shander</w:t>
      </w:r>
      <w:proofErr w:type="spellEnd"/>
      <w:r w:rsidRPr="00117F09">
        <w:rPr>
          <w:rFonts w:ascii="Times New Roman" w:hAnsi="Times New Roman"/>
          <w:sz w:val="24"/>
          <w:szCs w:val="24"/>
        </w:rPr>
        <w:t xml:space="preserve"> </w:t>
      </w:r>
      <w:r w:rsidRPr="00BA078C">
        <w:rPr>
          <w:rFonts w:ascii="Times New Roman" w:hAnsi="Times New Roman"/>
          <w:i/>
          <w:sz w:val="24"/>
          <w:szCs w:val="24"/>
        </w:rPr>
        <w:t>et al.,</w:t>
      </w:r>
      <w:r w:rsidRPr="00117F09">
        <w:rPr>
          <w:rFonts w:ascii="Times New Roman" w:hAnsi="Times New Roman"/>
          <w:sz w:val="24"/>
          <w:szCs w:val="24"/>
        </w:rPr>
        <w:t>2022</w:t>
      </w:r>
      <w:r>
        <w:rPr>
          <w:rFonts w:ascii="Times New Roman" w:hAnsi="Times New Roman"/>
          <w:sz w:val="24"/>
          <w:szCs w:val="24"/>
        </w:rPr>
        <w:t>]</w:t>
      </w:r>
      <w:r w:rsidRPr="00117F09">
        <w:rPr>
          <w:rFonts w:ascii="Times New Roman" w:hAnsi="Times New Roman"/>
          <w:sz w:val="24"/>
          <w:szCs w:val="24"/>
        </w:rPr>
        <w:t>. P</w:t>
      </w:r>
      <w:r>
        <w:rPr>
          <w:rFonts w:ascii="Times New Roman" w:hAnsi="Times New Roman"/>
          <w:sz w:val="24"/>
          <w:szCs w:val="24"/>
        </w:rPr>
        <w:t xml:space="preserve">atient blood </w:t>
      </w:r>
      <w:r w:rsidRPr="00117F09">
        <w:rPr>
          <w:rFonts w:ascii="Times New Roman" w:hAnsi="Times New Roman"/>
          <w:sz w:val="24"/>
          <w:szCs w:val="24"/>
        </w:rPr>
        <w:t>M</w:t>
      </w:r>
      <w:r>
        <w:rPr>
          <w:rFonts w:ascii="Times New Roman" w:hAnsi="Times New Roman"/>
          <w:sz w:val="24"/>
          <w:szCs w:val="24"/>
        </w:rPr>
        <w:t xml:space="preserve">anagement </w:t>
      </w:r>
      <w:r w:rsidRPr="00117F09">
        <w:rPr>
          <w:rFonts w:ascii="Times New Roman" w:hAnsi="Times New Roman"/>
          <w:sz w:val="24"/>
          <w:szCs w:val="24"/>
        </w:rPr>
        <w:t>strategies, including preoperative anemia management,</w:t>
      </w:r>
      <w:r>
        <w:rPr>
          <w:rFonts w:ascii="Times New Roman" w:hAnsi="Times New Roman"/>
          <w:sz w:val="24"/>
          <w:szCs w:val="24"/>
        </w:rPr>
        <w:t xml:space="preserve"> that </w:t>
      </w:r>
      <w:r w:rsidRPr="00117F09">
        <w:rPr>
          <w:rFonts w:ascii="Times New Roman" w:hAnsi="Times New Roman"/>
          <w:sz w:val="24"/>
          <w:szCs w:val="24"/>
        </w:rPr>
        <w:t xml:space="preserve"> have been shown to reduce the need for blood transfusions and improve patient outcomes</w:t>
      </w:r>
      <w:r>
        <w:rPr>
          <w:rFonts w:ascii="Times New Roman" w:hAnsi="Times New Roman"/>
          <w:sz w:val="24"/>
          <w:szCs w:val="24"/>
        </w:rPr>
        <w:t xml:space="preserve"> [Xu</w:t>
      </w:r>
      <w:r w:rsidRPr="00117F09">
        <w:rPr>
          <w:rFonts w:ascii="Times New Roman" w:hAnsi="Times New Roman"/>
          <w:sz w:val="24"/>
          <w:szCs w:val="24"/>
        </w:rPr>
        <w:t xml:space="preserve"> </w:t>
      </w:r>
      <w:r w:rsidRPr="00BA078C">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2]</w:t>
      </w:r>
      <w:r w:rsidRPr="00117F09">
        <w:rPr>
          <w:rFonts w:ascii="Times New Roman" w:hAnsi="Times New Roman"/>
          <w:sz w:val="24"/>
          <w:szCs w:val="24"/>
        </w:rPr>
        <w:t xml:space="preserve">. A study by </w:t>
      </w:r>
      <w:r>
        <w:rPr>
          <w:rFonts w:ascii="Times New Roman" w:hAnsi="Times New Roman"/>
          <w:sz w:val="24"/>
          <w:szCs w:val="24"/>
        </w:rPr>
        <w:t>[</w:t>
      </w:r>
      <w:proofErr w:type="spellStart"/>
      <w:r>
        <w:rPr>
          <w:rFonts w:ascii="Times New Roman" w:hAnsi="Times New Roman"/>
          <w:sz w:val="24"/>
          <w:szCs w:val="24"/>
        </w:rPr>
        <w:t>Molla</w:t>
      </w:r>
      <w:proofErr w:type="spellEnd"/>
      <w:r w:rsidRPr="00117F09">
        <w:rPr>
          <w:rFonts w:ascii="Times New Roman" w:hAnsi="Times New Roman"/>
          <w:sz w:val="24"/>
          <w:szCs w:val="24"/>
        </w:rPr>
        <w:t xml:space="preserve"> </w:t>
      </w:r>
      <w:r w:rsidRPr="00BA078C">
        <w:rPr>
          <w:rFonts w:ascii="Times New Roman" w:hAnsi="Times New Roman"/>
          <w:i/>
          <w:sz w:val="24"/>
          <w:szCs w:val="24"/>
        </w:rPr>
        <w:t>et al.</w:t>
      </w:r>
      <w:r>
        <w:rPr>
          <w:rFonts w:ascii="Times New Roman" w:hAnsi="Times New Roman"/>
          <w:sz w:val="24"/>
          <w:szCs w:val="24"/>
        </w:rPr>
        <w:t>,</w:t>
      </w:r>
      <w:r w:rsidRPr="00117F09">
        <w:rPr>
          <w:rFonts w:ascii="Times New Roman" w:hAnsi="Times New Roman"/>
          <w:sz w:val="24"/>
          <w:szCs w:val="24"/>
        </w:rPr>
        <w:t>202</w:t>
      </w:r>
      <w:r>
        <w:rPr>
          <w:rFonts w:ascii="Times New Roman" w:hAnsi="Times New Roman"/>
          <w:sz w:val="24"/>
          <w:szCs w:val="24"/>
        </w:rPr>
        <w:t>5]</w:t>
      </w:r>
      <w:r w:rsidRPr="00117F09">
        <w:rPr>
          <w:rFonts w:ascii="Times New Roman" w:hAnsi="Times New Roman"/>
          <w:sz w:val="24"/>
          <w:szCs w:val="24"/>
        </w:rPr>
        <w:t xml:space="preserve"> found that preoperative anemia was associated with increased morbidity and mortality in surgical patients.</w:t>
      </w:r>
    </w:p>
    <w:p w14:paraId="3EA9E163" w14:textId="0881C632" w:rsidR="00995553" w:rsidRPr="00995553" w:rsidRDefault="0005414C" w:rsidP="00995553">
      <w:pPr>
        <w:spacing w:after="0" w:line="240" w:lineRule="auto"/>
        <w:jc w:val="both"/>
        <w:rPr>
          <w:rFonts w:ascii="Times New Roman" w:hAnsi="Times New Roman"/>
          <w:sz w:val="24"/>
          <w:szCs w:val="24"/>
        </w:rPr>
      </w:pPr>
      <w:r w:rsidRPr="00611305">
        <w:rPr>
          <w:rFonts w:ascii="Times New Roman" w:hAnsi="Times New Roman"/>
          <w:bCs/>
          <w:sz w:val="24"/>
          <w:szCs w:val="24"/>
        </w:rPr>
        <w:t xml:space="preserve">The </w:t>
      </w:r>
      <w:r>
        <w:rPr>
          <w:rFonts w:ascii="Times New Roman" w:hAnsi="Times New Roman"/>
          <w:bCs/>
          <w:sz w:val="24"/>
          <w:szCs w:val="24"/>
        </w:rPr>
        <w:t>i</w:t>
      </w:r>
      <w:r w:rsidRPr="00611305">
        <w:rPr>
          <w:rFonts w:ascii="Times New Roman" w:hAnsi="Times New Roman"/>
          <w:bCs/>
          <w:sz w:val="24"/>
          <w:szCs w:val="24"/>
        </w:rPr>
        <w:t xml:space="preserve">mportance of strategic counselling for </w:t>
      </w:r>
      <w:r>
        <w:rPr>
          <w:rFonts w:ascii="Times New Roman" w:hAnsi="Times New Roman"/>
          <w:bCs/>
          <w:sz w:val="24"/>
          <w:szCs w:val="24"/>
        </w:rPr>
        <w:t>p</w:t>
      </w:r>
      <w:r w:rsidRPr="00611305">
        <w:rPr>
          <w:rFonts w:ascii="Times New Roman" w:hAnsi="Times New Roman"/>
          <w:bCs/>
          <w:sz w:val="24"/>
          <w:szCs w:val="24"/>
        </w:rPr>
        <w:t>atients refusing allogenic blood transfusion can never be overemphasized. This is because</w:t>
      </w:r>
      <w:r>
        <w:rPr>
          <w:rFonts w:ascii="Times New Roman" w:hAnsi="Times New Roman"/>
          <w:b/>
          <w:bCs/>
          <w:sz w:val="24"/>
          <w:szCs w:val="24"/>
        </w:rPr>
        <w:t xml:space="preserve"> </w:t>
      </w:r>
      <w:r>
        <w:rPr>
          <w:rFonts w:ascii="Times New Roman" w:hAnsi="Times New Roman"/>
          <w:sz w:val="24"/>
          <w:szCs w:val="24"/>
        </w:rPr>
        <w:t>p</w:t>
      </w:r>
      <w:r w:rsidRPr="00117F09">
        <w:rPr>
          <w:rFonts w:ascii="Times New Roman" w:hAnsi="Times New Roman"/>
          <w:sz w:val="24"/>
          <w:szCs w:val="24"/>
        </w:rPr>
        <w:t xml:space="preserve">atients who refuse allogenic blood transfusion pose a significant challenge to healthcare professionals </w:t>
      </w:r>
      <w:r>
        <w:rPr>
          <w:rFonts w:ascii="Times New Roman" w:hAnsi="Times New Roman"/>
          <w:sz w:val="24"/>
          <w:szCs w:val="24"/>
        </w:rPr>
        <w:t>[</w:t>
      </w:r>
      <w:r w:rsidRPr="00117F09">
        <w:rPr>
          <w:rFonts w:ascii="Times New Roman" w:hAnsi="Times New Roman"/>
          <w:sz w:val="24"/>
          <w:szCs w:val="24"/>
        </w:rPr>
        <w:t xml:space="preserve">Carson </w:t>
      </w:r>
      <w:r w:rsidRPr="00611305">
        <w:rPr>
          <w:rFonts w:ascii="Times New Roman" w:hAnsi="Times New Roman"/>
          <w:i/>
          <w:sz w:val="24"/>
          <w:szCs w:val="24"/>
        </w:rPr>
        <w:t>et al</w:t>
      </w:r>
      <w:r w:rsidRPr="00117F09">
        <w:rPr>
          <w:rFonts w:ascii="Times New Roman" w:hAnsi="Times New Roman"/>
          <w:sz w:val="24"/>
          <w:szCs w:val="24"/>
        </w:rPr>
        <w:t>.,2021</w:t>
      </w:r>
      <w:r>
        <w:rPr>
          <w:rFonts w:ascii="Times New Roman" w:hAnsi="Times New Roman"/>
          <w:sz w:val="24"/>
          <w:szCs w:val="24"/>
        </w:rPr>
        <w:t>]</w:t>
      </w:r>
      <w:r w:rsidRPr="00117F09">
        <w:rPr>
          <w:rFonts w:ascii="Times New Roman" w:hAnsi="Times New Roman"/>
          <w:sz w:val="24"/>
          <w:szCs w:val="24"/>
        </w:rPr>
        <w:t>. Strategies, such as</w:t>
      </w:r>
      <w:r>
        <w:rPr>
          <w:rFonts w:ascii="Times New Roman" w:hAnsi="Times New Roman"/>
          <w:sz w:val="24"/>
          <w:szCs w:val="24"/>
        </w:rPr>
        <w:t xml:space="preserve"> counselling patients for use of </w:t>
      </w:r>
      <w:r w:rsidRPr="00117F09">
        <w:rPr>
          <w:rFonts w:ascii="Times New Roman" w:hAnsi="Times New Roman"/>
          <w:sz w:val="24"/>
          <w:szCs w:val="24"/>
        </w:rPr>
        <w:t xml:space="preserve"> preoperative anemia management, ESAs, and iron supplementation,</w:t>
      </w:r>
      <w:r>
        <w:rPr>
          <w:rFonts w:ascii="Times New Roman" w:hAnsi="Times New Roman"/>
          <w:sz w:val="24"/>
          <w:szCs w:val="24"/>
        </w:rPr>
        <w:t xml:space="preserve"> and etc. </w:t>
      </w:r>
      <w:r w:rsidRPr="00117F09">
        <w:rPr>
          <w:rFonts w:ascii="Times New Roman" w:hAnsi="Times New Roman"/>
          <w:sz w:val="24"/>
          <w:szCs w:val="24"/>
        </w:rPr>
        <w:t xml:space="preserve"> can be effective in optimizing preoperative hematocrit or PCV in these patients </w:t>
      </w:r>
      <w:r>
        <w:rPr>
          <w:rFonts w:ascii="Times New Roman" w:hAnsi="Times New Roman"/>
          <w:sz w:val="24"/>
          <w:szCs w:val="24"/>
        </w:rPr>
        <w:lastRenderedPageBreak/>
        <w:t>[</w:t>
      </w:r>
      <w:r w:rsidRPr="00117F09">
        <w:rPr>
          <w:rFonts w:ascii="Times New Roman" w:hAnsi="Times New Roman"/>
          <w:sz w:val="24"/>
          <w:szCs w:val="24"/>
        </w:rPr>
        <w:t xml:space="preserve">Goodnough </w:t>
      </w:r>
      <w:r w:rsidRPr="00BA078C">
        <w:rPr>
          <w:rFonts w:ascii="Times New Roman" w:hAnsi="Times New Roman"/>
          <w:i/>
          <w:sz w:val="24"/>
          <w:szCs w:val="24"/>
        </w:rPr>
        <w:t>et al.,</w:t>
      </w:r>
      <w:r w:rsidRPr="00117F09">
        <w:rPr>
          <w:rFonts w:ascii="Times New Roman" w:hAnsi="Times New Roman"/>
          <w:sz w:val="24"/>
          <w:szCs w:val="24"/>
        </w:rPr>
        <w:t xml:space="preserve"> 2022</w:t>
      </w:r>
      <w:r>
        <w:rPr>
          <w:rFonts w:ascii="Times New Roman" w:hAnsi="Times New Roman"/>
          <w:sz w:val="24"/>
          <w:szCs w:val="24"/>
        </w:rPr>
        <w:t>]</w:t>
      </w:r>
      <w:r w:rsidRPr="00117F09">
        <w:rPr>
          <w:rFonts w:ascii="Times New Roman" w:hAnsi="Times New Roman"/>
          <w:sz w:val="24"/>
          <w:szCs w:val="24"/>
        </w:rPr>
        <w:t xml:space="preserve"> A study by </w:t>
      </w:r>
      <w:r>
        <w:rPr>
          <w:rFonts w:ascii="Times New Roman" w:hAnsi="Times New Roman"/>
          <w:sz w:val="24"/>
          <w:szCs w:val="24"/>
        </w:rPr>
        <w:t>[</w:t>
      </w:r>
      <w:proofErr w:type="spellStart"/>
      <w:r>
        <w:rPr>
          <w:rFonts w:ascii="Times New Roman" w:hAnsi="Times New Roman"/>
          <w:sz w:val="24"/>
          <w:szCs w:val="24"/>
        </w:rPr>
        <w:t>Frenchini</w:t>
      </w:r>
      <w:proofErr w:type="spellEnd"/>
      <w:r w:rsidRPr="00117F09">
        <w:rPr>
          <w:rFonts w:ascii="Times New Roman" w:hAnsi="Times New Roman"/>
          <w:sz w:val="24"/>
          <w:szCs w:val="24"/>
        </w:rPr>
        <w:t xml:space="preserve"> </w:t>
      </w:r>
      <w:r w:rsidRPr="00BA078C">
        <w:rPr>
          <w:rFonts w:ascii="Times New Roman" w:hAnsi="Times New Roman"/>
          <w:i/>
          <w:sz w:val="24"/>
          <w:szCs w:val="24"/>
        </w:rPr>
        <w:t xml:space="preserve">et </w:t>
      </w:r>
      <w:r>
        <w:rPr>
          <w:rFonts w:ascii="Times New Roman" w:hAnsi="Times New Roman"/>
          <w:i/>
          <w:sz w:val="24"/>
          <w:szCs w:val="24"/>
        </w:rPr>
        <w:t>al.,</w:t>
      </w:r>
      <w:r w:rsidRPr="00117F09">
        <w:rPr>
          <w:rFonts w:ascii="Times New Roman" w:hAnsi="Times New Roman"/>
          <w:sz w:val="24"/>
          <w:szCs w:val="24"/>
        </w:rPr>
        <w:t>20</w:t>
      </w:r>
      <w:r>
        <w:rPr>
          <w:rFonts w:ascii="Times New Roman" w:hAnsi="Times New Roman"/>
          <w:sz w:val="24"/>
          <w:szCs w:val="24"/>
        </w:rPr>
        <w:t>19]</w:t>
      </w:r>
      <w:r w:rsidRPr="00117F09">
        <w:rPr>
          <w:rFonts w:ascii="Times New Roman" w:hAnsi="Times New Roman"/>
          <w:sz w:val="24"/>
          <w:szCs w:val="24"/>
        </w:rPr>
        <w:t xml:space="preserve"> found that a multidisciplinary approach, including patient education and optimization of underlying chronic diseases, was effective in improving patient outcomes and reducing the need for blood transfusions</w:t>
      </w:r>
      <w:bookmarkStart w:id="3" w:name="_Hlk213280014"/>
      <w:r w:rsidRPr="00117F09">
        <w:rPr>
          <w:rFonts w:ascii="Times New Roman" w:hAnsi="Times New Roman"/>
          <w:sz w:val="24"/>
          <w:szCs w:val="24"/>
        </w:rPr>
        <w:t>.</w:t>
      </w:r>
      <w:r w:rsidR="00995553">
        <w:rPr>
          <w:rFonts w:ascii="Times New Roman" w:hAnsi="Times New Roman"/>
          <w:sz w:val="24"/>
          <w:szCs w:val="24"/>
        </w:rPr>
        <w:t>[</w:t>
      </w:r>
      <w:proofErr w:type="spellStart"/>
      <w:r w:rsidR="00995553" w:rsidRPr="000E10F5">
        <w:rPr>
          <w:rFonts w:ascii="Times New Roman" w:hAnsi="Times New Roman"/>
          <w:sz w:val="24"/>
          <w:szCs w:val="24"/>
        </w:rPr>
        <w:t>Filipescu</w:t>
      </w:r>
      <w:proofErr w:type="spellEnd"/>
      <w:r w:rsidR="00995553">
        <w:rPr>
          <w:rFonts w:ascii="Times New Roman" w:hAnsi="Times New Roman"/>
          <w:sz w:val="24"/>
          <w:szCs w:val="24"/>
        </w:rPr>
        <w:t xml:space="preserve"> </w:t>
      </w:r>
      <w:r w:rsidR="00995553" w:rsidRPr="000E10F5">
        <w:rPr>
          <w:rFonts w:ascii="Times New Roman" w:hAnsi="Times New Roman"/>
          <w:i/>
          <w:sz w:val="24"/>
          <w:szCs w:val="24"/>
        </w:rPr>
        <w:t>et al</w:t>
      </w:r>
      <w:r w:rsidR="00995553">
        <w:rPr>
          <w:rFonts w:ascii="Times New Roman" w:hAnsi="Times New Roman"/>
          <w:sz w:val="24"/>
          <w:szCs w:val="24"/>
        </w:rPr>
        <w:t>.,2025,</w:t>
      </w:r>
      <w:r w:rsidR="00995553" w:rsidRPr="000E10F5">
        <w:rPr>
          <w:rFonts w:ascii="Times New Roman" w:hAnsi="Times New Roman"/>
          <w:sz w:val="24"/>
          <w:szCs w:val="24"/>
        </w:rPr>
        <w:t xml:space="preserve"> </w:t>
      </w:r>
      <w:r w:rsidR="00995553" w:rsidRPr="00D2785F">
        <w:rPr>
          <w:rFonts w:ascii="Times New Roman" w:hAnsi="Times New Roman"/>
          <w:sz w:val="24"/>
          <w:szCs w:val="24"/>
        </w:rPr>
        <w:t>Görlinger</w:t>
      </w:r>
      <w:r w:rsidR="00995553">
        <w:rPr>
          <w:rFonts w:ascii="Times New Roman" w:hAnsi="Times New Roman"/>
          <w:sz w:val="24"/>
          <w:szCs w:val="24"/>
        </w:rPr>
        <w:t>,2</w:t>
      </w:r>
      <w:r w:rsidR="00995553" w:rsidRPr="00995553">
        <w:rPr>
          <w:rFonts w:ascii="Times New Roman" w:hAnsi="Times New Roman"/>
          <w:sz w:val="24"/>
          <w:szCs w:val="24"/>
        </w:rPr>
        <w:t>024</w:t>
      </w:r>
      <w:r w:rsidR="00995553">
        <w:rPr>
          <w:rFonts w:ascii="Times New Roman" w:hAnsi="Times New Roman"/>
          <w:sz w:val="24"/>
          <w:szCs w:val="24"/>
        </w:rPr>
        <w:t>]</w:t>
      </w:r>
    </w:p>
    <w:p w14:paraId="16D51EB6" w14:textId="77777777" w:rsidR="0005414C"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This review aims to identify effective methods and strategies for optimizing preoperative </w:t>
      </w:r>
      <w:bookmarkEnd w:id="3"/>
      <w:r w:rsidRPr="00117F09">
        <w:rPr>
          <w:rFonts w:ascii="Times New Roman" w:hAnsi="Times New Roman"/>
          <w:sz w:val="24"/>
          <w:szCs w:val="24"/>
        </w:rPr>
        <w:t>hematocrit or PCV in anemic patients undergoing surgery who refuse allogenic blood transfusion. By synthesizing the available evidence, this review will provide healthcare professionals with evidence-based strategies to improve patient outcomes and reduce the risks associated with blood transfusions</w:t>
      </w:r>
    </w:p>
    <w:p w14:paraId="0907F01E" w14:textId="77777777" w:rsidR="0005414C" w:rsidRPr="009C577B" w:rsidRDefault="0005414C" w:rsidP="0005414C">
      <w:pPr>
        <w:pStyle w:val="ListParagraph"/>
        <w:numPr>
          <w:ilvl w:val="0"/>
          <w:numId w:val="4"/>
        </w:numPr>
        <w:spacing w:after="0" w:line="240" w:lineRule="auto"/>
        <w:jc w:val="both"/>
        <w:rPr>
          <w:rFonts w:ascii="Times New Roman" w:hAnsi="Times New Roman"/>
          <w:b/>
          <w:sz w:val="24"/>
          <w:szCs w:val="24"/>
        </w:rPr>
      </w:pPr>
      <w:r w:rsidRPr="009C577B">
        <w:rPr>
          <w:rFonts w:ascii="Times New Roman" w:hAnsi="Times New Roman"/>
          <w:b/>
          <w:sz w:val="24"/>
          <w:szCs w:val="24"/>
        </w:rPr>
        <w:t xml:space="preserve">METHODOLOGY FOR THE CURRENT REVIEW </w:t>
      </w:r>
    </w:p>
    <w:p w14:paraId="10936F61" w14:textId="77777777" w:rsidR="0005414C" w:rsidRDefault="0005414C" w:rsidP="0005414C">
      <w:pPr>
        <w:spacing w:after="0" w:line="240" w:lineRule="auto"/>
        <w:jc w:val="both"/>
        <w:rPr>
          <w:rFonts w:ascii="Times New Roman" w:hAnsi="Times New Roman"/>
          <w:sz w:val="24"/>
          <w:szCs w:val="24"/>
        </w:rPr>
      </w:pPr>
      <w:r w:rsidRPr="009F5DA0">
        <w:rPr>
          <w:rFonts w:ascii="Times New Roman" w:hAnsi="Times New Roman"/>
          <w:sz w:val="24"/>
          <w:szCs w:val="24"/>
        </w:rPr>
        <w:t xml:space="preserve">A comprehensive literature search was conducted across multiple databases, including PubMed, Scopus, and Web of Science, to identify relevant studies published between 2020 and 2025 in order to make a classification of the various pharmaceutical and non-pharmaceutical agents and their standardized acceptable clinical methods and strategies used for optimizing preoperative hematocrit or packed cell volume (PCV) in anemic patients undergoing surgery </w:t>
      </w:r>
      <w:r>
        <w:rPr>
          <w:rFonts w:ascii="Times New Roman" w:hAnsi="Times New Roman"/>
          <w:sz w:val="24"/>
          <w:szCs w:val="24"/>
        </w:rPr>
        <w:t xml:space="preserve">but are </w:t>
      </w:r>
      <w:r w:rsidRPr="009F5DA0">
        <w:rPr>
          <w:rFonts w:ascii="Times New Roman" w:hAnsi="Times New Roman"/>
          <w:sz w:val="24"/>
          <w:szCs w:val="24"/>
        </w:rPr>
        <w:t>refusing allogenic blood transfusion</w:t>
      </w:r>
      <w:r>
        <w:rPr>
          <w:rFonts w:ascii="Times New Roman" w:hAnsi="Times New Roman"/>
          <w:sz w:val="24"/>
          <w:szCs w:val="24"/>
        </w:rPr>
        <w:t>.</w:t>
      </w:r>
    </w:p>
    <w:p w14:paraId="0324881D" w14:textId="77777777" w:rsidR="0005414C" w:rsidRDefault="0005414C" w:rsidP="0005414C">
      <w:pPr>
        <w:spacing w:after="0" w:line="240" w:lineRule="auto"/>
        <w:jc w:val="both"/>
        <w:rPr>
          <w:rFonts w:ascii="Times New Roman" w:hAnsi="Times New Roman"/>
          <w:sz w:val="24"/>
          <w:szCs w:val="24"/>
        </w:rPr>
      </w:pPr>
    </w:p>
    <w:p w14:paraId="2B866E48" w14:textId="77777777" w:rsidR="0005414C" w:rsidRPr="009F5DA0" w:rsidRDefault="0005414C" w:rsidP="0005414C">
      <w:pPr>
        <w:pStyle w:val="ListParagraph"/>
        <w:numPr>
          <w:ilvl w:val="0"/>
          <w:numId w:val="4"/>
        </w:numPr>
        <w:spacing w:after="0" w:line="240" w:lineRule="auto"/>
        <w:jc w:val="both"/>
        <w:rPr>
          <w:rFonts w:ascii="Times New Roman" w:hAnsi="Times New Roman"/>
          <w:b/>
          <w:sz w:val="24"/>
          <w:szCs w:val="24"/>
        </w:rPr>
      </w:pPr>
      <w:r w:rsidRPr="009F5DA0">
        <w:rPr>
          <w:rFonts w:ascii="Times New Roman" w:hAnsi="Times New Roman"/>
          <w:b/>
          <w:sz w:val="24"/>
          <w:szCs w:val="24"/>
        </w:rPr>
        <w:t>Results</w:t>
      </w:r>
      <w:r>
        <w:rPr>
          <w:rFonts w:ascii="Times New Roman" w:hAnsi="Times New Roman"/>
          <w:b/>
          <w:sz w:val="24"/>
          <w:szCs w:val="24"/>
        </w:rPr>
        <w:t xml:space="preserve"> </w:t>
      </w:r>
      <w:r w:rsidRPr="009F5DA0">
        <w:rPr>
          <w:rFonts w:ascii="Times New Roman" w:hAnsi="Times New Roman"/>
          <w:b/>
          <w:sz w:val="24"/>
          <w:szCs w:val="24"/>
        </w:rPr>
        <w:t>classifi</w:t>
      </w:r>
      <w:r>
        <w:rPr>
          <w:rFonts w:ascii="Times New Roman" w:hAnsi="Times New Roman"/>
          <w:b/>
          <w:sz w:val="24"/>
          <w:szCs w:val="24"/>
        </w:rPr>
        <w:t xml:space="preserve">ed in the list below contained </w:t>
      </w:r>
      <w:r w:rsidRPr="009F5DA0">
        <w:rPr>
          <w:rFonts w:ascii="Times New Roman" w:hAnsi="Times New Roman"/>
          <w:b/>
          <w:sz w:val="24"/>
          <w:szCs w:val="24"/>
        </w:rPr>
        <w:t>various pharmaceutical and non-pharmaceutical  agents used for optimization  based</w:t>
      </w:r>
      <w:r>
        <w:rPr>
          <w:rFonts w:ascii="Times New Roman" w:hAnsi="Times New Roman"/>
          <w:b/>
          <w:sz w:val="24"/>
          <w:szCs w:val="24"/>
        </w:rPr>
        <w:t xml:space="preserve"> on </w:t>
      </w:r>
      <w:r w:rsidRPr="009F5DA0">
        <w:rPr>
          <w:rFonts w:ascii="Times New Roman" w:hAnsi="Times New Roman"/>
          <w:b/>
          <w:sz w:val="24"/>
          <w:szCs w:val="24"/>
        </w:rPr>
        <w:t xml:space="preserve"> search </w:t>
      </w:r>
      <w:r>
        <w:rPr>
          <w:rFonts w:ascii="Times New Roman" w:hAnsi="Times New Roman"/>
          <w:b/>
          <w:sz w:val="24"/>
          <w:szCs w:val="24"/>
        </w:rPr>
        <w:t>published  articles.</w:t>
      </w:r>
      <w:r w:rsidRPr="009F5DA0">
        <w:rPr>
          <w:rFonts w:ascii="Times New Roman" w:hAnsi="Times New Roman"/>
          <w:b/>
          <w:sz w:val="24"/>
          <w:szCs w:val="24"/>
        </w:rPr>
        <w:t xml:space="preserve"> </w:t>
      </w:r>
    </w:p>
    <w:p w14:paraId="5F4182A8" w14:textId="77777777" w:rsidR="0005414C" w:rsidRPr="009F5DA0" w:rsidRDefault="0005414C" w:rsidP="0005414C">
      <w:pPr>
        <w:spacing w:after="0" w:line="240" w:lineRule="auto"/>
        <w:jc w:val="both"/>
        <w:rPr>
          <w:rFonts w:ascii="Times New Roman" w:hAnsi="Times New Roman"/>
          <w:b/>
          <w:sz w:val="24"/>
          <w:szCs w:val="24"/>
        </w:rPr>
      </w:pPr>
    </w:p>
    <w:p w14:paraId="6F3E4C98" w14:textId="77777777" w:rsidR="0005414C" w:rsidRPr="009C577B" w:rsidRDefault="0005414C" w:rsidP="0005414C">
      <w:pPr>
        <w:spacing w:after="0" w:line="240" w:lineRule="auto"/>
        <w:jc w:val="both"/>
        <w:rPr>
          <w:rFonts w:ascii="Times New Roman" w:hAnsi="Times New Roman"/>
          <w:sz w:val="24"/>
          <w:szCs w:val="24"/>
        </w:rPr>
      </w:pPr>
      <w:bookmarkStart w:id="4" w:name="_Hlk212353267"/>
      <w:r w:rsidRPr="00532788">
        <w:rPr>
          <w:rFonts w:ascii="Times New Roman" w:hAnsi="Times New Roman"/>
          <w:sz w:val="24"/>
          <w:szCs w:val="24"/>
        </w:rPr>
        <w:t xml:space="preserve">Classification of </w:t>
      </w:r>
      <w:r>
        <w:rPr>
          <w:rFonts w:ascii="Times New Roman" w:hAnsi="Times New Roman"/>
          <w:sz w:val="24"/>
          <w:szCs w:val="24"/>
        </w:rPr>
        <w:t xml:space="preserve">the </w:t>
      </w:r>
      <w:r w:rsidRPr="00532788">
        <w:rPr>
          <w:rFonts w:ascii="Times New Roman" w:hAnsi="Times New Roman"/>
          <w:sz w:val="24"/>
          <w:szCs w:val="24"/>
        </w:rPr>
        <w:t>various</w:t>
      </w:r>
      <w:r>
        <w:rPr>
          <w:rFonts w:ascii="Times New Roman" w:hAnsi="Times New Roman"/>
          <w:sz w:val="24"/>
          <w:szCs w:val="24"/>
        </w:rPr>
        <w:t xml:space="preserve"> pharmaceutical and non-pharmaceutical  agents </w:t>
      </w:r>
      <w:bookmarkEnd w:id="4"/>
      <w:r>
        <w:rPr>
          <w:rFonts w:ascii="Times New Roman" w:hAnsi="Times New Roman"/>
          <w:sz w:val="24"/>
          <w:szCs w:val="24"/>
        </w:rPr>
        <w:t xml:space="preserve">and the </w:t>
      </w:r>
      <w:r w:rsidRPr="00532788">
        <w:rPr>
          <w:rFonts w:ascii="Times New Roman" w:hAnsi="Times New Roman"/>
          <w:sz w:val="24"/>
          <w:szCs w:val="24"/>
        </w:rPr>
        <w:t xml:space="preserve"> standardized methods and strategies </w:t>
      </w:r>
      <w:r>
        <w:rPr>
          <w:rFonts w:ascii="Times New Roman" w:hAnsi="Times New Roman"/>
          <w:sz w:val="24"/>
          <w:szCs w:val="24"/>
        </w:rPr>
        <w:t xml:space="preserve">use </w:t>
      </w:r>
      <w:r w:rsidRPr="00532788">
        <w:rPr>
          <w:rFonts w:ascii="Times New Roman" w:hAnsi="Times New Roman"/>
          <w:sz w:val="24"/>
          <w:szCs w:val="24"/>
        </w:rPr>
        <w:t xml:space="preserve">for </w:t>
      </w:r>
      <w:r w:rsidRPr="00532788">
        <w:rPr>
          <w:rFonts w:ascii="Times New Roman" w:hAnsi="Times New Roman"/>
          <w:bCs/>
          <w:sz w:val="24"/>
          <w:szCs w:val="24"/>
        </w:rPr>
        <w:t xml:space="preserve"> optimization </w:t>
      </w:r>
      <w:r>
        <w:rPr>
          <w:rFonts w:ascii="Times New Roman" w:hAnsi="Times New Roman"/>
          <w:bCs/>
          <w:sz w:val="24"/>
          <w:szCs w:val="24"/>
        </w:rPr>
        <w:t xml:space="preserve">of </w:t>
      </w:r>
      <w:r w:rsidRPr="00532788">
        <w:rPr>
          <w:rFonts w:ascii="Times New Roman" w:hAnsi="Times New Roman"/>
          <w:bCs/>
          <w:sz w:val="24"/>
          <w:szCs w:val="24"/>
        </w:rPr>
        <w:t xml:space="preserve"> preoperative hematocrit or packed cell volume (PCV) in anemic patients undergoing surgery refusing allogenic blood transfusion</w:t>
      </w:r>
      <w:r>
        <w:rPr>
          <w:rFonts w:ascii="Times New Roman" w:hAnsi="Times New Roman"/>
          <w:bCs/>
          <w:sz w:val="24"/>
          <w:szCs w:val="24"/>
        </w:rPr>
        <w:t xml:space="preserve"> include </w:t>
      </w:r>
      <w:r w:rsidRPr="00532788">
        <w:rPr>
          <w:rFonts w:ascii="Times New Roman" w:hAnsi="Times New Roman"/>
          <w:sz w:val="24"/>
          <w:szCs w:val="24"/>
        </w:rPr>
        <w:t xml:space="preserve"> the following</w:t>
      </w:r>
      <w:r>
        <w:rPr>
          <w:rFonts w:ascii="Times New Roman" w:hAnsi="Times New Roman"/>
          <w:sz w:val="24"/>
          <w:szCs w:val="24"/>
        </w:rPr>
        <w:t>;-</w:t>
      </w:r>
      <w:r w:rsidRPr="00532788">
        <w:rPr>
          <w:rFonts w:ascii="Times New Roman" w:hAnsi="Times New Roman"/>
          <w:sz w:val="24"/>
          <w:szCs w:val="24"/>
        </w:rPr>
        <w:t xml:space="preserve"> </w:t>
      </w:r>
    </w:p>
    <w:p w14:paraId="440D5868" w14:textId="77777777" w:rsidR="0005414C" w:rsidRPr="00532788" w:rsidRDefault="0005414C" w:rsidP="0005414C">
      <w:pPr>
        <w:pStyle w:val="ListParagraph"/>
        <w:numPr>
          <w:ilvl w:val="0"/>
          <w:numId w:val="1"/>
        </w:numPr>
        <w:spacing w:after="0" w:line="240" w:lineRule="auto"/>
        <w:jc w:val="both"/>
        <w:rPr>
          <w:rFonts w:ascii="Times New Roman" w:hAnsi="Times New Roman"/>
          <w:b/>
          <w:sz w:val="24"/>
          <w:szCs w:val="24"/>
        </w:rPr>
      </w:pPr>
      <w:r w:rsidRPr="00532788">
        <w:rPr>
          <w:rFonts w:ascii="Times New Roman" w:hAnsi="Times New Roman"/>
          <w:b/>
          <w:sz w:val="24"/>
          <w:szCs w:val="24"/>
        </w:rPr>
        <w:t>Erythropoiesis-Stimulating Agents (ESAs)</w:t>
      </w:r>
    </w:p>
    <w:p w14:paraId="4F056AEB"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ESAs have been shown to be effective in increasing hemoglobin levels and reducing the need for blood transfusions in anemic patients undergoing surgery (</w:t>
      </w:r>
      <w:r>
        <w:rPr>
          <w:rFonts w:ascii="Times New Roman" w:hAnsi="Times New Roman"/>
          <w:sz w:val="24"/>
          <w:szCs w:val="24"/>
        </w:rPr>
        <w:t xml:space="preserve">Hakim </w:t>
      </w:r>
      <w:r w:rsidRPr="00117F09">
        <w:rPr>
          <w:rFonts w:ascii="Times New Roman" w:hAnsi="Times New Roman"/>
          <w:sz w:val="24"/>
          <w:szCs w:val="24"/>
        </w:rPr>
        <w:t xml:space="preserve"> </w:t>
      </w:r>
      <w:r w:rsidRPr="00BA078C">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4</w:t>
      </w:r>
      <w:r w:rsidRPr="00117F09">
        <w:rPr>
          <w:rFonts w:ascii="Times New Roman" w:hAnsi="Times New Roman"/>
          <w:sz w:val="24"/>
          <w:szCs w:val="24"/>
        </w:rPr>
        <w:t xml:space="preserve">). A study by Goodnough </w:t>
      </w:r>
      <w:r w:rsidRPr="00532788">
        <w:rPr>
          <w:rFonts w:ascii="Times New Roman" w:hAnsi="Times New Roman"/>
          <w:i/>
          <w:sz w:val="24"/>
          <w:szCs w:val="24"/>
        </w:rPr>
        <w:t>et al.,</w:t>
      </w:r>
      <w:r w:rsidRPr="00117F09">
        <w:rPr>
          <w:rFonts w:ascii="Times New Roman" w:hAnsi="Times New Roman"/>
          <w:sz w:val="24"/>
          <w:szCs w:val="24"/>
        </w:rPr>
        <w:t>2022) found that ESAs, in combination with iron supplementation, were effective in optimizing preoperative hematocrit in anemic patients undergoing surgery.</w:t>
      </w:r>
    </w:p>
    <w:p w14:paraId="1DE38ABF" w14:textId="77777777" w:rsidR="0005414C" w:rsidRPr="00532788" w:rsidRDefault="0005414C" w:rsidP="0005414C">
      <w:pPr>
        <w:pStyle w:val="ListParagraph"/>
        <w:numPr>
          <w:ilvl w:val="0"/>
          <w:numId w:val="1"/>
        </w:numPr>
        <w:spacing w:after="0" w:line="240" w:lineRule="auto"/>
        <w:jc w:val="both"/>
        <w:rPr>
          <w:rFonts w:ascii="Times New Roman" w:hAnsi="Times New Roman"/>
          <w:b/>
          <w:bCs/>
          <w:sz w:val="24"/>
          <w:szCs w:val="24"/>
        </w:rPr>
      </w:pPr>
      <w:r w:rsidRPr="00532788">
        <w:rPr>
          <w:rFonts w:ascii="Times New Roman" w:hAnsi="Times New Roman"/>
          <w:b/>
          <w:bCs/>
          <w:sz w:val="24"/>
          <w:szCs w:val="24"/>
        </w:rPr>
        <w:t>Iron Supplementation</w:t>
      </w:r>
    </w:p>
    <w:p w14:paraId="3D4E7EE7"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Iron supplementation is a crucial component of preoperative anemia management </w:t>
      </w:r>
      <w:r>
        <w:rPr>
          <w:rFonts w:ascii="Times New Roman" w:hAnsi="Times New Roman"/>
          <w:sz w:val="24"/>
          <w:szCs w:val="24"/>
        </w:rPr>
        <w:t>[Bolliger</w:t>
      </w:r>
      <w:r w:rsidRPr="00117F09">
        <w:rPr>
          <w:rFonts w:ascii="Times New Roman" w:hAnsi="Times New Roman"/>
          <w:sz w:val="24"/>
          <w:szCs w:val="24"/>
        </w:rPr>
        <w:t xml:space="preserve"> </w:t>
      </w:r>
      <w:r w:rsidRPr="00BA078C">
        <w:rPr>
          <w:rFonts w:ascii="Times New Roman" w:hAnsi="Times New Roman"/>
          <w:i/>
          <w:sz w:val="24"/>
          <w:szCs w:val="24"/>
        </w:rPr>
        <w:t>et al.,</w:t>
      </w:r>
      <w:r w:rsidRPr="00117F09">
        <w:rPr>
          <w:rFonts w:ascii="Times New Roman" w:hAnsi="Times New Roman"/>
          <w:sz w:val="24"/>
          <w:szCs w:val="24"/>
        </w:rPr>
        <w:t xml:space="preserve"> 2023</w:t>
      </w:r>
      <w:r>
        <w:rPr>
          <w:rFonts w:ascii="Times New Roman" w:hAnsi="Times New Roman"/>
          <w:sz w:val="24"/>
          <w:szCs w:val="24"/>
        </w:rPr>
        <w:t>]</w:t>
      </w:r>
      <w:r w:rsidRPr="00117F09">
        <w:rPr>
          <w:rFonts w:ascii="Times New Roman" w:hAnsi="Times New Roman"/>
          <w:sz w:val="24"/>
          <w:szCs w:val="24"/>
        </w:rPr>
        <w:t xml:space="preserve">. A study by </w:t>
      </w:r>
      <w:r>
        <w:rPr>
          <w:rFonts w:ascii="Times New Roman" w:hAnsi="Times New Roman"/>
          <w:sz w:val="24"/>
          <w:szCs w:val="24"/>
        </w:rPr>
        <w:t>[</w:t>
      </w:r>
      <w:proofErr w:type="spellStart"/>
      <w:r w:rsidRPr="00117F09">
        <w:rPr>
          <w:rFonts w:ascii="Times New Roman" w:hAnsi="Times New Roman"/>
          <w:sz w:val="24"/>
          <w:szCs w:val="24"/>
        </w:rPr>
        <w:t>Shander</w:t>
      </w:r>
      <w:proofErr w:type="spellEnd"/>
      <w:r w:rsidRPr="00117F09">
        <w:rPr>
          <w:rFonts w:ascii="Times New Roman" w:hAnsi="Times New Roman"/>
          <w:sz w:val="24"/>
          <w:szCs w:val="24"/>
        </w:rPr>
        <w:t xml:space="preserve"> </w:t>
      </w:r>
      <w:r w:rsidRPr="00BA078C">
        <w:rPr>
          <w:rFonts w:ascii="Times New Roman" w:hAnsi="Times New Roman"/>
          <w:i/>
          <w:sz w:val="24"/>
          <w:szCs w:val="24"/>
        </w:rPr>
        <w:t>et al.</w:t>
      </w:r>
      <w:r>
        <w:rPr>
          <w:rFonts w:ascii="Times New Roman" w:hAnsi="Times New Roman"/>
          <w:sz w:val="24"/>
          <w:szCs w:val="24"/>
        </w:rPr>
        <w:t>,</w:t>
      </w:r>
      <w:r w:rsidRPr="00117F09">
        <w:rPr>
          <w:rFonts w:ascii="Times New Roman" w:hAnsi="Times New Roman"/>
          <w:sz w:val="24"/>
          <w:szCs w:val="24"/>
        </w:rPr>
        <w:t>2022</w:t>
      </w:r>
      <w:r>
        <w:rPr>
          <w:rFonts w:ascii="Times New Roman" w:hAnsi="Times New Roman"/>
          <w:sz w:val="24"/>
          <w:szCs w:val="24"/>
        </w:rPr>
        <w:t>]</w:t>
      </w:r>
      <w:r w:rsidRPr="00117F09">
        <w:rPr>
          <w:rFonts w:ascii="Times New Roman" w:hAnsi="Times New Roman"/>
          <w:sz w:val="24"/>
          <w:szCs w:val="24"/>
        </w:rPr>
        <w:t>found that intravenous iron supplementation was effective in increasing hemoglobin levels and reducing the need for blood transfusions in anemic patients undergoing surgery.</w:t>
      </w:r>
    </w:p>
    <w:p w14:paraId="076742A2" w14:textId="77777777" w:rsidR="0005414C" w:rsidRPr="00532788" w:rsidRDefault="0005414C" w:rsidP="0005414C">
      <w:pPr>
        <w:pStyle w:val="ListParagraph"/>
        <w:numPr>
          <w:ilvl w:val="0"/>
          <w:numId w:val="1"/>
        </w:numPr>
        <w:spacing w:after="0" w:line="240" w:lineRule="auto"/>
        <w:jc w:val="both"/>
        <w:rPr>
          <w:rFonts w:ascii="Times New Roman" w:hAnsi="Times New Roman"/>
          <w:b/>
          <w:bCs/>
          <w:sz w:val="24"/>
          <w:szCs w:val="24"/>
        </w:rPr>
      </w:pPr>
      <w:r w:rsidRPr="00532788">
        <w:rPr>
          <w:rFonts w:ascii="Times New Roman" w:hAnsi="Times New Roman"/>
          <w:b/>
          <w:bCs/>
          <w:sz w:val="24"/>
          <w:szCs w:val="24"/>
        </w:rPr>
        <w:t>Optimization of Underlying Chronic Diseases</w:t>
      </w:r>
    </w:p>
    <w:p w14:paraId="1F73E4BF" w14:textId="77777777" w:rsidR="0005414C"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Optimization of underlying chronic diseases, such as chronic kidney disease, is also crucial in preoperative anemia management</w:t>
      </w:r>
      <w:r>
        <w:rPr>
          <w:rFonts w:ascii="Times New Roman" w:hAnsi="Times New Roman"/>
          <w:sz w:val="24"/>
          <w:szCs w:val="24"/>
        </w:rPr>
        <w:t xml:space="preserve"> [Jody,2023]</w:t>
      </w:r>
      <w:r w:rsidRPr="00117F09">
        <w:rPr>
          <w:rFonts w:ascii="Times New Roman" w:hAnsi="Times New Roman"/>
          <w:sz w:val="24"/>
          <w:szCs w:val="24"/>
        </w:rPr>
        <w:t xml:space="preserve">. A study by </w:t>
      </w:r>
      <w:r>
        <w:rPr>
          <w:rFonts w:ascii="Times New Roman" w:hAnsi="Times New Roman"/>
          <w:sz w:val="24"/>
          <w:szCs w:val="24"/>
        </w:rPr>
        <w:t>[Amer</w:t>
      </w:r>
      <w:r w:rsidRPr="00117F09">
        <w:rPr>
          <w:rFonts w:ascii="Times New Roman" w:hAnsi="Times New Roman"/>
          <w:sz w:val="24"/>
          <w:szCs w:val="24"/>
        </w:rPr>
        <w:t xml:space="preserve"> </w:t>
      </w:r>
      <w:r w:rsidRPr="00BA078C">
        <w:rPr>
          <w:rFonts w:ascii="Times New Roman" w:hAnsi="Times New Roman"/>
          <w:i/>
          <w:sz w:val="24"/>
          <w:szCs w:val="24"/>
        </w:rPr>
        <w:t>et al.</w:t>
      </w:r>
      <w:r>
        <w:rPr>
          <w:rFonts w:ascii="Times New Roman" w:hAnsi="Times New Roman"/>
          <w:sz w:val="24"/>
          <w:szCs w:val="24"/>
        </w:rPr>
        <w:t>,</w:t>
      </w:r>
      <w:r w:rsidRPr="00117F09">
        <w:rPr>
          <w:rFonts w:ascii="Times New Roman" w:hAnsi="Times New Roman"/>
          <w:sz w:val="24"/>
          <w:szCs w:val="24"/>
        </w:rPr>
        <w:t>202</w:t>
      </w:r>
      <w:r>
        <w:rPr>
          <w:rFonts w:ascii="Times New Roman" w:hAnsi="Times New Roman"/>
          <w:sz w:val="24"/>
          <w:szCs w:val="24"/>
        </w:rPr>
        <w:t>2]</w:t>
      </w:r>
      <w:r w:rsidRPr="00117F09">
        <w:rPr>
          <w:rFonts w:ascii="Times New Roman" w:hAnsi="Times New Roman"/>
          <w:sz w:val="24"/>
          <w:szCs w:val="24"/>
        </w:rPr>
        <w:t xml:space="preserve"> found that optimization of chronic kidney disease was associated with improved patient outcomes and reduced need for blood transfusions.</w:t>
      </w:r>
    </w:p>
    <w:p w14:paraId="3C1B2716" w14:textId="77777777" w:rsidR="0005414C" w:rsidRPr="00532788" w:rsidRDefault="0005414C" w:rsidP="0005414C">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rPr>
        <w:t xml:space="preserve">The use of </w:t>
      </w:r>
      <w:r w:rsidRPr="00532788">
        <w:rPr>
          <w:rFonts w:ascii="Times New Roman" w:hAnsi="Times New Roman"/>
          <w:b/>
          <w:sz w:val="24"/>
          <w:szCs w:val="24"/>
        </w:rPr>
        <w:t xml:space="preserve">Tranexamic acid (TXA) </w:t>
      </w:r>
      <w:r>
        <w:rPr>
          <w:rFonts w:ascii="Times New Roman" w:hAnsi="Times New Roman"/>
          <w:b/>
          <w:sz w:val="24"/>
          <w:szCs w:val="24"/>
        </w:rPr>
        <w:t xml:space="preserve"> for optimization </w:t>
      </w:r>
    </w:p>
    <w:p w14:paraId="78B75D91" w14:textId="77777777" w:rsidR="0005414C" w:rsidRDefault="0005414C" w:rsidP="0005414C">
      <w:pPr>
        <w:spacing w:after="0" w:line="240" w:lineRule="auto"/>
        <w:jc w:val="both"/>
        <w:rPr>
          <w:rFonts w:ascii="Times New Roman" w:hAnsi="Times New Roman"/>
          <w:sz w:val="24"/>
          <w:szCs w:val="24"/>
        </w:rPr>
      </w:pPr>
      <w:r w:rsidRPr="00532788">
        <w:rPr>
          <w:rFonts w:ascii="Times New Roman" w:hAnsi="Times New Roman"/>
          <w:sz w:val="24"/>
          <w:szCs w:val="24"/>
        </w:rPr>
        <w:t xml:space="preserve">Tranexamic acid (TXA) </w:t>
      </w:r>
      <w:r w:rsidRPr="00B47B47">
        <w:rPr>
          <w:rFonts w:ascii="Times New Roman" w:hAnsi="Times New Roman"/>
          <w:sz w:val="24"/>
          <w:szCs w:val="24"/>
        </w:rPr>
        <w:t xml:space="preserve"> is an antifibrinolytic agent that has been widely used to reduce bleeding and transfusion requirements in surgical patients. Optimizing hematocrit levels is crucial in surgical settings, especially for patients undergoing major surgeries</w:t>
      </w:r>
      <w:r>
        <w:rPr>
          <w:rFonts w:ascii="Times New Roman" w:hAnsi="Times New Roman"/>
          <w:sz w:val="24"/>
          <w:szCs w:val="24"/>
        </w:rPr>
        <w:t>.</w:t>
      </w:r>
    </w:p>
    <w:p w14:paraId="2D8D7711" w14:textId="77777777" w:rsidR="0005414C" w:rsidRPr="00532788" w:rsidRDefault="0005414C" w:rsidP="0005414C">
      <w:pPr>
        <w:pStyle w:val="ListParagraph"/>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The use of </w:t>
      </w:r>
      <w:r w:rsidRPr="00532788">
        <w:rPr>
          <w:rFonts w:ascii="Times New Roman" w:hAnsi="Times New Roman"/>
          <w:b/>
          <w:bCs/>
          <w:sz w:val="24"/>
          <w:szCs w:val="24"/>
        </w:rPr>
        <w:t>Growth Factors</w:t>
      </w:r>
      <w:r>
        <w:rPr>
          <w:rFonts w:ascii="Times New Roman" w:hAnsi="Times New Roman"/>
          <w:b/>
          <w:bCs/>
          <w:sz w:val="24"/>
          <w:szCs w:val="24"/>
        </w:rPr>
        <w:t xml:space="preserve"> optimization </w:t>
      </w:r>
    </w:p>
    <w:p w14:paraId="271D9687" w14:textId="77777777" w:rsidR="0005414C" w:rsidRPr="00532788" w:rsidRDefault="0005414C" w:rsidP="0005414C">
      <w:pPr>
        <w:pStyle w:val="ListParagraph"/>
        <w:numPr>
          <w:ilvl w:val="0"/>
          <w:numId w:val="5"/>
        </w:numPr>
        <w:spacing w:after="0" w:line="240" w:lineRule="auto"/>
        <w:jc w:val="both"/>
        <w:rPr>
          <w:rFonts w:ascii="Times New Roman" w:hAnsi="Times New Roman"/>
          <w:sz w:val="24"/>
          <w:szCs w:val="24"/>
        </w:rPr>
      </w:pPr>
      <w:r w:rsidRPr="00532788">
        <w:rPr>
          <w:rFonts w:ascii="Times New Roman" w:hAnsi="Times New Roman"/>
          <w:b/>
          <w:bCs/>
          <w:sz w:val="24"/>
          <w:szCs w:val="24"/>
        </w:rPr>
        <w:t xml:space="preserve"> </w:t>
      </w:r>
      <w:r w:rsidRPr="00532788">
        <w:rPr>
          <w:rFonts w:ascii="Times New Roman" w:hAnsi="Times New Roman"/>
          <w:b/>
          <w:sz w:val="24"/>
          <w:szCs w:val="24"/>
        </w:rPr>
        <w:t>Erythropoietin (EPO):</w:t>
      </w:r>
    </w:p>
    <w:p w14:paraId="35247A3B" w14:textId="74AB098A" w:rsidR="0005414C" w:rsidRDefault="0005414C" w:rsidP="0005414C">
      <w:pPr>
        <w:pStyle w:val="ListParagraph"/>
        <w:spacing w:after="0" w:line="240" w:lineRule="auto"/>
        <w:jc w:val="both"/>
        <w:rPr>
          <w:rFonts w:ascii="Times New Roman" w:hAnsi="Times New Roman"/>
          <w:sz w:val="24"/>
          <w:szCs w:val="24"/>
        </w:rPr>
      </w:pPr>
      <w:r w:rsidRPr="00532788">
        <w:rPr>
          <w:rFonts w:ascii="Times New Roman" w:hAnsi="Times New Roman"/>
          <w:sz w:val="24"/>
          <w:szCs w:val="24"/>
        </w:rPr>
        <w:lastRenderedPageBreak/>
        <w:t xml:space="preserve">EPO stimulates erythropoiesis and increases red blood cell production. It is commonly used to treat anemia in patients with chronic kidney disease (CKD) and cancer </w:t>
      </w:r>
      <w:r w:rsidR="00E23617">
        <w:rPr>
          <w:rFonts w:ascii="Times New Roman" w:hAnsi="Times New Roman"/>
          <w:sz w:val="24"/>
          <w:szCs w:val="24"/>
        </w:rPr>
        <w:t>[</w:t>
      </w:r>
      <w:r w:rsidR="00E23617" w:rsidRPr="00D2785F">
        <w:rPr>
          <w:rFonts w:ascii="Times New Roman" w:hAnsi="Times New Roman"/>
          <w:sz w:val="24"/>
          <w:szCs w:val="24"/>
        </w:rPr>
        <w:t>McQueen</w:t>
      </w:r>
      <w:r w:rsidR="00E23617">
        <w:rPr>
          <w:rFonts w:ascii="Times New Roman" w:hAnsi="Times New Roman"/>
          <w:sz w:val="24"/>
          <w:szCs w:val="24"/>
        </w:rPr>
        <w:t xml:space="preserve"> et al.,2015]</w:t>
      </w:r>
    </w:p>
    <w:p w14:paraId="53720452" w14:textId="77777777" w:rsidR="0005414C" w:rsidRDefault="0005414C" w:rsidP="0005414C">
      <w:pPr>
        <w:pStyle w:val="ListParagraph"/>
        <w:numPr>
          <w:ilvl w:val="0"/>
          <w:numId w:val="5"/>
        </w:numPr>
        <w:spacing w:after="0" w:line="240" w:lineRule="auto"/>
        <w:jc w:val="both"/>
        <w:rPr>
          <w:rFonts w:ascii="Times New Roman" w:hAnsi="Times New Roman"/>
          <w:sz w:val="24"/>
          <w:szCs w:val="24"/>
        </w:rPr>
      </w:pPr>
      <w:r w:rsidRPr="00532788">
        <w:rPr>
          <w:rFonts w:ascii="Times New Roman" w:hAnsi="Times New Roman"/>
          <w:b/>
          <w:sz w:val="24"/>
          <w:szCs w:val="24"/>
        </w:rPr>
        <w:t>Granulocyte-Colony Stimulating Factor (G-CSF):</w:t>
      </w:r>
      <w:r w:rsidRPr="00532788">
        <w:rPr>
          <w:rFonts w:ascii="Times New Roman" w:hAnsi="Times New Roman"/>
          <w:sz w:val="24"/>
          <w:szCs w:val="24"/>
        </w:rPr>
        <w:t xml:space="preserve"> </w:t>
      </w:r>
    </w:p>
    <w:p w14:paraId="581CA44A" w14:textId="77777777" w:rsidR="0005414C" w:rsidRDefault="0005414C" w:rsidP="0005414C">
      <w:pPr>
        <w:pStyle w:val="ListParagraph"/>
        <w:spacing w:after="0" w:line="240" w:lineRule="auto"/>
        <w:jc w:val="both"/>
        <w:rPr>
          <w:rFonts w:ascii="Times New Roman" w:hAnsi="Times New Roman"/>
          <w:sz w:val="24"/>
          <w:szCs w:val="24"/>
        </w:rPr>
      </w:pPr>
      <w:r w:rsidRPr="00532788">
        <w:rPr>
          <w:rFonts w:ascii="Times New Roman" w:hAnsi="Times New Roman"/>
          <w:sz w:val="24"/>
          <w:szCs w:val="24"/>
        </w:rPr>
        <w:t xml:space="preserve">G-CSF stimulates granulopoiesis and can be used to prevent neutropenia in patients undergoing chemotherapy </w:t>
      </w:r>
    </w:p>
    <w:p w14:paraId="5DD7974D" w14:textId="77777777" w:rsidR="0005414C" w:rsidRPr="00532788" w:rsidRDefault="0005414C" w:rsidP="0005414C">
      <w:pPr>
        <w:pStyle w:val="ListParagraph"/>
        <w:numPr>
          <w:ilvl w:val="0"/>
          <w:numId w:val="5"/>
        </w:numPr>
        <w:spacing w:after="0" w:line="240" w:lineRule="auto"/>
        <w:jc w:val="both"/>
        <w:rPr>
          <w:rFonts w:ascii="Times New Roman" w:hAnsi="Times New Roman"/>
          <w:sz w:val="24"/>
          <w:szCs w:val="24"/>
        </w:rPr>
      </w:pPr>
      <w:r w:rsidRPr="00532788">
        <w:rPr>
          <w:rFonts w:ascii="Times New Roman" w:hAnsi="Times New Roman"/>
          <w:b/>
          <w:sz w:val="24"/>
          <w:szCs w:val="24"/>
        </w:rPr>
        <w:t>Preoperative Autologous Blood Donation (PABD</w:t>
      </w:r>
    </w:p>
    <w:p w14:paraId="32D45ECF" w14:textId="77777777" w:rsidR="0005414C" w:rsidRPr="00532788" w:rsidRDefault="0005414C" w:rsidP="0005414C">
      <w:pPr>
        <w:pStyle w:val="ListParagraph"/>
        <w:numPr>
          <w:ilvl w:val="0"/>
          <w:numId w:val="1"/>
        </w:numPr>
        <w:spacing w:after="0" w:line="240" w:lineRule="auto"/>
        <w:jc w:val="both"/>
        <w:rPr>
          <w:rFonts w:ascii="Times New Roman" w:hAnsi="Times New Roman"/>
          <w:b/>
          <w:sz w:val="24"/>
          <w:szCs w:val="24"/>
        </w:rPr>
      </w:pPr>
      <w:r w:rsidRPr="00532788">
        <w:rPr>
          <w:rFonts w:ascii="Times New Roman" w:hAnsi="Times New Roman"/>
          <w:b/>
          <w:sz w:val="24"/>
          <w:szCs w:val="24"/>
        </w:rPr>
        <w:t>Nutritive approach, focusing on dietary modifications and nutrient supplementation</w:t>
      </w:r>
    </w:p>
    <w:p w14:paraId="1845EC04" w14:textId="77777777" w:rsidR="0005414C" w:rsidRPr="00532788" w:rsidRDefault="0005414C" w:rsidP="0005414C">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The u</w:t>
      </w:r>
      <w:r w:rsidRPr="00532788">
        <w:rPr>
          <w:rFonts w:ascii="Times New Roman" w:hAnsi="Times New Roman"/>
          <w:b/>
          <w:sz w:val="24"/>
          <w:szCs w:val="24"/>
        </w:rPr>
        <w:t>s</w:t>
      </w:r>
      <w:r>
        <w:rPr>
          <w:rFonts w:ascii="Times New Roman" w:hAnsi="Times New Roman"/>
          <w:b/>
          <w:sz w:val="24"/>
          <w:szCs w:val="24"/>
        </w:rPr>
        <w:t xml:space="preserve">e of </w:t>
      </w:r>
      <w:r w:rsidRPr="00532788">
        <w:rPr>
          <w:rFonts w:ascii="Times New Roman" w:hAnsi="Times New Roman"/>
          <w:b/>
          <w:sz w:val="24"/>
          <w:szCs w:val="24"/>
        </w:rPr>
        <w:t xml:space="preserve"> blood conservation in the optimization of hematocrit</w:t>
      </w:r>
      <w:r w:rsidRPr="00532788">
        <w:rPr>
          <w:rFonts w:ascii="Times New Roman" w:hAnsi="Times New Roman"/>
          <w:sz w:val="24"/>
          <w:szCs w:val="24"/>
        </w:rPr>
        <w:t xml:space="preserve"> </w:t>
      </w:r>
    </w:p>
    <w:p w14:paraId="4D7C0D80" w14:textId="77777777" w:rsidR="0005414C" w:rsidRDefault="0005414C" w:rsidP="0005414C">
      <w:pPr>
        <w:pStyle w:val="ListParagraph"/>
        <w:spacing w:after="0" w:line="240" w:lineRule="auto"/>
        <w:jc w:val="both"/>
        <w:rPr>
          <w:rFonts w:ascii="Times New Roman" w:hAnsi="Times New Roman"/>
          <w:sz w:val="24"/>
          <w:szCs w:val="24"/>
        </w:rPr>
      </w:pPr>
      <w:r w:rsidRPr="00B47B47">
        <w:rPr>
          <w:rFonts w:ascii="Times New Roman" w:hAnsi="Times New Roman"/>
          <w:sz w:val="24"/>
          <w:szCs w:val="24"/>
        </w:rPr>
        <w:t xml:space="preserve">Blood conservation strategies are essential in optimizing hematocrit levels and reducing the need for blood transfusions. </w:t>
      </w:r>
    </w:p>
    <w:p w14:paraId="2B1EBC3F" w14:textId="77777777" w:rsidR="0005414C" w:rsidRDefault="0005414C" w:rsidP="0005414C">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rPr>
        <w:t xml:space="preserve">The use of </w:t>
      </w:r>
      <w:r w:rsidRPr="00775C8E">
        <w:rPr>
          <w:rFonts w:ascii="Times New Roman" w:hAnsi="Times New Roman"/>
          <w:b/>
          <w:sz w:val="24"/>
          <w:szCs w:val="24"/>
        </w:rPr>
        <w:t>Crystalloid solutions,</w:t>
      </w:r>
      <w:r w:rsidRPr="00775C8E">
        <w:rPr>
          <w:rFonts w:ascii="Times New Roman" w:hAnsi="Times New Roman"/>
          <w:sz w:val="24"/>
          <w:szCs w:val="24"/>
        </w:rPr>
        <w:t xml:space="preserve"> such as saline and lactated Ringer's, </w:t>
      </w:r>
      <w:r>
        <w:rPr>
          <w:rFonts w:ascii="Times New Roman" w:hAnsi="Times New Roman"/>
          <w:sz w:val="24"/>
          <w:szCs w:val="24"/>
        </w:rPr>
        <w:t xml:space="preserve">have been </w:t>
      </w:r>
      <w:r w:rsidRPr="00775C8E">
        <w:rPr>
          <w:rFonts w:ascii="Times New Roman" w:hAnsi="Times New Roman"/>
          <w:sz w:val="24"/>
          <w:szCs w:val="24"/>
        </w:rPr>
        <w:t xml:space="preserve"> the most commonly used </w:t>
      </w:r>
      <w:r>
        <w:rPr>
          <w:rFonts w:ascii="Times New Roman" w:hAnsi="Times New Roman"/>
          <w:sz w:val="24"/>
          <w:szCs w:val="24"/>
        </w:rPr>
        <w:t xml:space="preserve">as </w:t>
      </w:r>
      <w:r w:rsidRPr="00775C8E">
        <w:rPr>
          <w:rFonts w:ascii="Times New Roman" w:hAnsi="Times New Roman"/>
          <w:sz w:val="24"/>
          <w:szCs w:val="24"/>
        </w:rPr>
        <w:t xml:space="preserve">non-blood product transfusion strategy. Crystalloid solutions are widely used for fluid resuscitation and have been shown to be effective in restoring blood volume and improving hemodynamic stability </w:t>
      </w:r>
      <w:r>
        <w:rPr>
          <w:rFonts w:ascii="Times New Roman" w:hAnsi="Times New Roman"/>
          <w:sz w:val="24"/>
          <w:szCs w:val="24"/>
        </w:rPr>
        <w:t>[</w:t>
      </w:r>
      <w:proofErr w:type="spellStart"/>
      <w:r w:rsidRPr="00775C8E">
        <w:rPr>
          <w:rFonts w:ascii="Times New Roman" w:hAnsi="Times New Roman"/>
          <w:sz w:val="24"/>
          <w:szCs w:val="24"/>
        </w:rPr>
        <w:t>Myburgh</w:t>
      </w:r>
      <w:proofErr w:type="spellEnd"/>
      <w:r w:rsidRPr="00775C8E">
        <w:rPr>
          <w:rFonts w:ascii="Times New Roman" w:hAnsi="Times New Roman"/>
          <w:sz w:val="24"/>
          <w:szCs w:val="24"/>
        </w:rPr>
        <w:t xml:space="preserve"> </w:t>
      </w:r>
      <w:r w:rsidRPr="00775C8E">
        <w:rPr>
          <w:rFonts w:ascii="Times New Roman" w:hAnsi="Times New Roman"/>
          <w:i/>
          <w:sz w:val="24"/>
          <w:szCs w:val="24"/>
        </w:rPr>
        <w:t>et al.,</w:t>
      </w:r>
      <w:r w:rsidRPr="00775C8E">
        <w:rPr>
          <w:rFonts w:ascii="Times New Roman" w:hAnsi="Times New Roman"/>
          <w:sz w:val="24"/>
          <w:szCs w:val="24"/>
        </w:rPr>
        <w:t xml:space="preserve"> 201</w:t>
      </w:r>
      <w:r>
        <w:rPr>
          <w:rFonts w:ascii="Times New Roman" w:hAnsi="Times New Roman"/>
          <w:sz w:val="24"/>
          <w:szCs w:val="24"/>
        </w:rPr>
        <w:t>2]</w:t>
      </w:r>
    </w:p>
    <w:p w14:paraId="55288112" w14:textId="77777777" w:rsidR="0005414C" w:rsidRDefault="0005414C" w:rsidP="0005414C">
      <w:pPr>
        <w:pStyle w:val="ListParagraph"/>
        <w:numPr>
          <w:ilvl w:val="0"/>
          <w:numId w:val="1"/>
        </w:numPr>
        <w:spacing w:after="0" w:line="240" w:lineRule="auto"/>
        <w:jc w:val="both"/>
        <w:rPr>
          <w:rFonts w:ascii="Times New Roman" w:hAnsi="Times New Roman"/>
          <w:sz w:val="24"/>
          <w:szCs w:val="24"/>
        </w:rPr>
      </w:pPr>
      <w:r w:rsidRPr="00E74E99">
        <w:rPr>
          <w:rFonts w:ascii="Times New Roman" w:hAnsi="Times New Roman"/>
          <w:b/>
          <w:sz w:val="24"/>
          <w:szCs w:val="24"/>
        </w:rPr>
        <w:t>The use of Colloids,</w:t>
      </w:r>
      <w:r w:rsidRPr="00E74E99">
        <w:rPr>
          <w:rFonts w:ascii="Times New Roman" w:hAnsi="Times New Roman"/>
          <w:sz w:val="24"/>
          <w:szCs w:val="24"/>
        </w:rPr>
        <w:t xml:space="preserve"> such as albumin and hydroxyethyl starch, </w:t>
      </w:r>
      <w:r>
        <w:rPr>
          <w:rFonts w:ascii="Times New Roman" w:hAnsi="Times New Roman"/>
          <w:sz w:val="24"/>
          <w:szCs w:val="24"/>
        </w:rPr>
        <w:t xml:space="preserve">have been </w:t>
      </w:r>
      <w:r w:rsidRPr="00E74E99">
        <w:rPr>
          <w:rFonts w:ascii="Times New Roman" w:hAnsi="Times New Roman"/>
          <w:sz w:val="24"/>
          <w:szCs w:val="24"/>
        </w:rPr>
        <w:t xml:space="preserve"> also commonly used</w:t>
      </w:r>
      <w:r>
        <w:rPr>
          <w:rFonts w:ascii="Times New Roman" w:hAnsi="Times New Roman"/>
          <w:sz w:val="24"/>
          <w:szCs w:val="24"/>
        </w:rPr>
        <w:t>.</w:t>
      </w:r>
      <w:r w:rsidRPr="00E74E99">
        <w:rPr>
          <w:rFonts w:ascii="Times New Roman" w:hAnsi="Times New Roman"/>
          <w:sz w:val="24"/>
          <w:szCs w:val="24"/>
        </w:rPr>
        <w:t xml:space="preserve"> Colloids have been shown to be effective in expanding plasma volume and improving hemodynamic stability, but their use has been associated with adverse effects, such as anaphylaxis and kidney injury </w:t>
      </w:r>
      <w:r>
        <w:rPr>
          <w:rFonts w:ascii="Times New Roman" w:hAnsi="Times New Roman"/>
          <w:sz w:val="24"/>
          <w:szCs w:val="24"/>
        </w:rPr>
        <w:t>[</w:t>
      </w:r>
      <w:proofErr w:type="spellStart"/>
      <w:r w:rsidRPr="00E74E99">
        <w:rPr>
          <w:rFonts w:ascii="Times New Roman" w:hAnsi="Times New Roman"/>
          <w:sz w:val="24"/>
          <w:szCs w:val="24"/>
        </w:rPr>
        <w:t>Finfer</w:t>
      </w:r>
      <w:proofErr w:type="spellEnd"/>
      <w:r w:rsidRPr="00E74E99">
        <w:rPr>
          <w:rFonts w:ascii="Times New Roman" w:hAnsi="Times New Roman"/>
          <w:sz w:val="24"/>
          <w:szCs w:val="24"/>
        </w:rPr>
        <w:t xml:space="preserve"> </w:t>
      </w:r>
      <w:r w:rsidRPr="00E74E99">
        <w:rPr>
          <w:rFonts w:ascii="Times New Roman" w:hAnsi="Times New Roman"/>
          <w:i/>
          <w:sz w:val="24"/>
          <w:szCs w:val="24"/>
        </w:rPr>
        <w:t>et al.,</w:t>
      </w:r>
      <w:r w:rsidRPr="00E74E99">
        <w:rPr>
          <w:rFonts w:ascii="Times New Roman" w:hAnsi="Times New Roman"/>
          <w:sz w:val="24"/>
          <w:szCs w:val="24"/>
        </w:rPr>
        <w:t xml:space="preserve"> 2018</w:t>
      </w:r>
      <w:r>
        <w:rPr>
          <w:rFonts w:ascii="Times New Roman" w:hAnsi="Times New Roman"/>
          <w:sz w:val="24"/>
          <w:szCs w:val="24"/>
        </w:rPr>
        <w:t>]</w:t>
      </w:r>
    </w:p>
    <w:p w14:paraId="0DEC749F" w14:textId="77777777" w:rsidR="0005414C" w:rsidRPr="00AB3D3B" w:rsidRDefault="0005414C" w:rsidP="0005414C">
      <w:pPr>
        <w:pStyle w:val="ListParagraph"/>
        <w:numPr>
          <w:ilvl w:val="0"/>
          <w:numId w:val="1"/>
        </w:numPr>
        <w:spacing w:after="0" w:line="240" w:lineRule="auto"/>
        <w:jc w:val="both"/>
        <w:rPr>
          <w:rFonts w:ascii="Times New Roman" w:hAnsi="Times New Roman"/>
          <w:sz w:val="24"/>
          <w:szCs w:val="24"/>
        </w:rPr>
      </w:pPr>
      <w:r w:rsidRPr="00AB3D3B">
        <w:rPr>
          <w:rFonts w:ascii="Times New Roman" w:hAnsi="Times New Roman"/>
          <w:b/>
          <w:sz w:val="24"/>
          <w:szCs w:val="24"/>
        </w:rPr>
        <w:t>Optimizing Oxygen Delivery</w:t>
      </w:r>
      <w:r w:rsidRPr="00AB3D3B">
        <w:rPr>
          <w:rFonts w:ascii="Times New Roman" w:hAnsi="Times New Roman"/>
          <w:sz w:val="24"/>
          <w:szCs w:val="24"/>
        </w:rPr>
        <w:t xml:space="preserve">: Optimizing oxygen delivery to tissues can help reduce the need for red blood cell transfusions </w:t>
      </w:r>
      <w:r>
        <w:rPr>
          <w:rFonts w:ascii="Times New Roman" w:hAnsi="Times New Roman"/>
          <w:sz w:val="24"/>
          <w:szCs w:val="24"/>
        </w:rPr>
        <w:t>[ Fincher &amp; Butt</w:t>
      </w:r>
      <w:r w:rsidRPr="00AB3D3B">
        <w:rPr>
          <w:rFonts w:ascii="Times New Roman" w:hAnsi="Times New Roman"/>
          <w:i/>
          <w:sz w:val="24"/>
          <w:szCs w:val="24"/>
        </w:rPr>
        <w:t>,</w:t>
      </w:r>
      <w:r w:rsidRPr="00AB3D3B">
        <w:rPr>
          <w:rFonts w:ascii="Times New Roman" w:hAnsi="Times New Roman"/>
          <w:sz w:val="24"/>
          <w:szCs w:val="24"/>
        </w:rPr>
        <w:t>202</w:t>
      </w:r>
      <w:r>
        <w:rPr>
          <w:rFonts w:ascii="Times New Roman" w:hAnsi="Times New Roman"/>
          <w:sz w:val="24"/>
          <w:szCs w:val="24"/>
        </w:rPr>
        <w:t>5]</w:t>
      </w:r>
    </w:p>
    <w:p w14:paraId="6FE0F2A1" w14:textId="68C03E5C" w:rsidR="0005414C" w:rsidRPr="00E23617" w:rsidRDefault="0005414C" w:rsidP="0005414C">
      <w:pPr>
        <w:pStyle w:val="ListParagraph"/>
        <w:numPr>
          <w:ilvl w:val="0"/>
          <w:numId w:val="1"/>
        </w:numPr>
        <w:spacing w:after="0" w:line="240" w:lineRule="auto"/>
        <w:jc w:val="both"/>
        <w:rPr>
          <w:rFonts w:ascii="Times New Roman" w:hAnsi="Times New Roman"/>
          <w:sz w:val="24"/>
          <w:szCs w:val="24"/>
        </w:rPr>
      </w:pPr>
      <w:r w:rsidRPr="00AB3D3B">
        <w:rPr>
          <w:rFonts w:ascii="Times New Roman" w:hAnsi="Times New Roman"/>
          <w:b/>
          <w:sz w:val="24"/>
          <w:szCs w:val="24"/>
        </w:rPr>
        <w:t>Minimizing Blood Loss</w:t>
      </w:r>
      <w:r w:rsidRPr="00AB3D3B">
        <w:rPr>
          <w:rFonts w:ascii="Times New Roman" w:hAnsi="Times New Roman"/>
          <w:sz w:val="24"/>
          <w:szCs w:val="24"/>
        </w:rPr>
        <w:t>:</w:t>
      </w:r>
      <w:r>
        <w:rPr>
          <w:rFonts w:ascii="Times New Roman" w:hAnsi="Times New Roman"/>
          <w:sz w:val="24"/>
          <w:szCs w:val="24"/>
        </w:rPr>
        <w:t xml:space="preserve"> </w:t>
      </w:r>
      <w:r w:rsidRPr="00AB3D3B">
        <w:rPr>
          <w:rFonts w:ascii="Times New Roman" w:hAnsi="Times New Roman"/>
          <w:sz w:val="24"/>
          <w:szCs w:val="24"/>
        </w:rPr>
        <w:t xml:space="preserve">Minimizing blood loss during surgery can help optimize hematocrit levels and reduce the need for blood transfusions </w:t>
      </w:r>
      <w:r>
        <w:rPr>
          <w:rFonts w:ascii="Times New Roman" w:hAnsi="Times New Roman"/>
          <w:sz w:val="24"/>
          <w:szCs w:val="24"/>
        </w:rPr>
        <w:t>[</w:t>
      </w:r>
      <w:proofErr w:type="spellStart"/>
      <w:r w:rsidRPr="00AB3D3B">
        <w:rPr>
          <w:rFonts w:ascii="Times New Roman" w:hAnsi="Times New Roman"/>
          <w:sz w:val="24"/>
          <w:szCs w:val="24"/>
        </w:rPr>
        <w:t>Spahn</w:t>
      </w:r>
      <w:proofErr w:type="spellEnd"/>
      <w:r>
        <w:rPr>
          <w:rFonts w:ascii="Times New Roman" w:hAnsi="Times New Roman"/>
          <w:sz w:val="24"/>
          <w:szCs w:val="24"/>
        </w:rPr>
        <w:t xml:space="preserve"> ,2016].</w:t>
      </w:r>
      <w:r w:rsidRPr="00E23617">
        <w:rPr>
          <w:rFonts w:ascii="Times New Roman" w:hAnsi="Times New Roman"/>
          <w:b/>
          <w:sz w:val="24"/>
          <w:szCs w:val="24"/>
        </w:rPr>
        <w:br/>
      </w:r>
    </w:p>
    <w:p w14:paraId="23C910E9" w14:textId="77777777" w:rsidR="0005414C" w:rsidRPr="009C577B" w:rsidRDefault="0005414C" w:rsidP="0005414C">
      <w:pPr>
        <w:pStyle w:val="ListParagraph"/>
        <w:numPr>
          <w:ilvl w:val="0"/>
          <w:numId w:val="5"/>
        </w:numPr>
        <w:spacing w:after="0" w:line="240" w:lineRule="auto"/>
        <w:jc w:val="both"/>
        <w:rPr>
          <w:rFonts w:ascii="Times New Roman" w:hAnsi="Times New Roman"/>
          <w:b/>
          <w:sz w:val="24"/>
          <w:szCs w:val="24"/>
        </w:rPr>
      </w:pPr>
      <w:r w:rsidRPr="009C577B">
        <w:rPr>
          <w:rFonts w:ascii="Times New Roman" w:hAnsi="Times New Roman"/>
          <w:b/>
          <w:sz w:val="28"/>
          <w:szCs w:val="24"/>
        </w:rPr>
        <w:t>DISCUSSION</w:t>
      </w:r>
      <w:r w:rsidRPr="009C577B">
        <w:rPr>
          <w:rFonts w:ascii="Times New Roman" w:hAnsi="Times New Roman"/>
          <w:b/>
          <w:sz w:val="24"/>
          <w:szCs w:val="24"/>
        </w:rPr>
        <w:t xml:space="preserve"> </w:t>
      </w:r>
    </w:p>
    <w:p w14:paraId="739A8F63" w14:textId="77777777" w:rsidR="0005414C" w:rsidRPr="00532788" w:rsidRDefault="0005414C" w:rsidP="0005414C">
      <w:pPr>
        <w:spacing w:after="0" w:line="240" w:lineRule="auto"/>
        <w:jc w:val="both"/>
        <w:rPr>
          <w:rFonts w:ascii="Times New Roman" w:hAnsi="Times New Roman"/>
          <w:bCs/>
          <w:sz w:val="24"/>
          <w:szCs w:val="24"/>
        </w:rPr>
      </w:pPr>
      <w:r>
        <w:rPr>
          <w:rFonts w:ascii="Times New Roman" w:hAnsi="Times New Roman"/>
          <w:sz w:val="24"/>
          <w:szCs w:val="24"/>
        </w:rPr>
        <w:t>Discussion o</w:t>
      </w:r>
      <w:r w:rsidRPr="00532788">
        <w:rPr>
          <w:rFonts w:ascii="Times New Roman" w:hAnsi="Times New Roman"/>
          <w:sz w:val="24"/>
          <w:szCs w:val="24"/>
        </w:rPr>
        <w:t>n various</w:t>
      </w:r>
      <w:r>
        <w:rPr>
          <w:rFonts w:ascii="Times New Roman" w:hAnsi="Times New Roman"/>
          <w:sz w:val="24"/>
          <w:szCs w:val="24"/>
        </w:rPr>
        <w:t xml:space="preserve"> pharmaceuticals and non-pharmaceutical agents and their  </w:t>
      </w:r>
      <w:r w:rsidRPr="00532788">
        <w:rPr>
          <w:rFonts w:ascii="Times New Roman" w:hAnsi="Times New Roman"/>
          <w:sz w:val="24"/>
          <w:szCs w:val="24"/>
        </w:rPr>
        <w:t xml:space="preserve"> standardized </w:t>
      </w:r>
      <w:r>
        <w:rPr>
          <w:rFonts w:ascii="Times New Roman" w:hAnsi="Times New Roman"/>
          <w:sz w:val="24"/>
          <w:szCs w:val="24"/>
        </w:rPr>
        <w:t xml:space="preserve">clinical </w:t>
      </w:r>
      <w:r w:rsidRPr="00532788">
        <w:rPr>
          <w:rFonts w:ascii="Times New Roman" w:hAnsi="Times New Roman"/>
          <w:sz w:val="24"/>
          <w:szCs w:val="24"/>
        </w:rPr>
        <w:t xml:space="preserve">methods and strategies for </w:t>
      </w:r>
      <w:r w:rsidRPr="00532788">
        <w:rPr>
          <w:rFonts w:ascii="Times New Roman" w:hAnsi="Times New Roman"/>
          <w:bCs/>
          <w:sz w:val="24"/>
          <w:szCs w:val="24"/>
        </w:rPr>
        <w:t xml:space="preserve"> optimization  preoperative hematocrit or packed cell volume (PCV) in anemic patients undergoing surgery refusing allogenic blood transfusion</w:t>
      </w:r>
      <w:r>
        <w:rPr>
          <w:rFonts w:ascii="Times New Roman" w:hAnsi="Times New Roman"/>
          <w:bCs/>
          <w:sz w:val="24"/>
          <w:szCs w:val="24"/>
        </w:rPr>
        <w:t xml:space="preserve"> include the followings :-</w:t>
      </w:r>
    </w:p>
    <w:p w14:paraId="0B7BB384" w14:textId="77777777" w:rsidR="0005414C" w:rsidRPr="00532788" w:rsidRDefault="0005414C" w:rsidP="0005414C">
      <w:pPr>
        <w:pStyle w:val="ListParagraph"/>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 xml:space="preserve">The use of </w:t>
      </w:r>
      <w:r w:rsidRPr="00532788">
        <w:rPr>
          <w:rFonts w:ascii="Times New Roman" w:hAnsi="Times New Roman"/>
          <w:b/>
          <w:sz w:val="24"/>
          <w:szCs w:val="24"/>
        </w:rPr>
        <w:t>erythropoiesis-stimulating agents</w:t>
      </w:r>
      <w:r>
        <w:rPr>
          <w:rFonts w:ascii="Times New Roman" w:hAnsi="Times New Roman"/>
          <w:b/>
          <w:sz w:val="24"/>
          <w:szCs w:val="24"/>
        </w:rPr>
        <w:t xml:space="preserve"> for optimization </w:t>
      </w:r>
    </w:p>
    <w:p w14:paraId="23A28DD2" w14:textId="21CF2EA1" w:rsidR="0005414C" w:rsidRPr="00117F09" w:rsidRDefault="0005414C" w:rsidP="0005414C">
      <w:pPr>
        <w:spacing w:after="0" w:line="240" w:lineRule="auto"/>
        <w:jc w:val="both"/>
        <w:rPr>
          <w:rFonts w:ascii="Times New Roman" w:hAnsi="Times New Roman"/>
          <w:sz w:val="24"/>
          <w:szCs w:val="24"/>
        </w:rPr>
      </w:pPr>
      <w:r w:rsidRPr="00E23617">
        <w:rPr>
          <w:rFonts w:ascii="Times New Roman" w:hAnsi="Times New Roman"/>
          <w:sz w:val="24"/>
          <w:szCs w:val="24"/>
        </w:rPr>
        <w:t>Erythropoiesis-stimulating agents (ESAs) are a class of medications that stimulate the production of red blood cells, commonly used to treat anemia in patients with chronic kidney disease (CKD) or those undergoing chemotherapy</w:t>
      </w:r>
      <w:r w:rsidR="00E23617" w:rsidRPr="00E23617">
        <w:rPr>
          <w:rFonts w:ascii="Times New Roman" w:hAnsi="Times New Roman"/>
          <w:sz w:val="24"/>
          <w:szCs w:val="24"/>
        </w:rPr>
        <w:t xml:space="preserve"> [McQueen et al.,2015]</w:t>
      </w:r>
      <w:r w:rsidR="00E23617">
        <w:rPr>
          <w:rFonts w:ascii="Times New Roman" w:hAnsi="Times New Roman"/>
          <w:sz w:val="24"/>
          <w:szCs w:val="24"/>
        </w:rPr>
        <w:t>.</w:t>
      </w:r>
      <w:r w:rsidRPr="00117F09">
        <w:rPr>
          <w:rFonts w:ascii="Times New Roman" w:hAnsi="Times New Roman"/>
          <w:sz w:val="24"/>
          <w:szCs w:val="24"/>
        </w:rPr>
        <w:t>The goal of ESA therapy is to increase hemoglobin levels, reduce the need for blood transfusions, and improve patient outcomes.</w:t>
      </w:r>
    </w:p>
    <w:p w14:paraId="2E2773FA" w14:textId="77777777" w:rsidR="0005414C" w:rsidRPr="00532788" w:rsidRDefault="0005414C" w:rsidP="0005414C">
      <w:pPr>
        <w:pStyle w:val="ListParagraph"/>
        <w:numPr>
          <w:ilvl w:val="0"/>
          <w:numId w:val="2"/>
        </w:numPr>
        <w:spacing w:after="0" w:line="240" w:lineRule="auto"/>
        <w:jc w:val="both"/>
        <w:rPr>
          <w:rFonts w:ascii="Times New Roman" w:hAnsi="Times New Roman"/>
          <w:b/>
          <w:sz w:val="24"/>
          <w:szCs w:val="24"/>
        </w:rPr>
      </w:pPr>
      <w:r w:rsidRPr="00532788">
        <w:rPr>
          <w:rFonts w:ascii="Times New Roman" w:hAnsi="Times New Roman"/>
          <w:b/>
          <w:sz w:val="24"/>
          <w:szCs w:val="24"/>
        </w:rPr>
        <w:t>Benefits and Risks of ESAs</w:t>
      </w:r>
    </w:p>
    <w:p w14:paraId="3A990A9F"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ESAs have been shown to be effective in increasing hemoglobin levels and reducing the need for blood transfusions in patients with CKD or cancer </w:t>
      </w:r>
      <w:r>
        <w:rPr>
          <w:rFonts w:ascii="Times New Roman" w:hAnsi="Times New Roman"/>
          <w:sz w:val="24"/>
          <w:szCs w:val="24"/>
        </w:rPr>
        <w:t>[</w:t>
      </w:r>
      <w:proofErr w:type="spellStart"/>
      <w:r w:rsidRPr="00117F09">
        <w:rPr>
          <w:rFonts w:ascii="Times New Roman" w:hAnsi="Times New Roman"/>
          <w:sz w:val="24"/>
          <w:szCs w:val="24"/>
        </w:rPr>
        <w:t>Bohlius</w:t>
      </w:r>
      <w:proofErr w:type="spellEnd"/>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2019</w:t>
      </w:r>
      <w:r>
        <w:rPr>
          <w:rFonts w:ascii="Times New Roman" w:hAnsi="Times New Roman"/>
          <w:sz w:val="24"/>
          <w:szCs w:val="24"/>
        </w:rPr>
        <w:t>]</w:t>
      </w:r>
      <w:r w:rsidRPr="00117F09">
        <w:rPr>
          <w:rFonts w:ascii="Times New Roman" w:hAnsi="Times New Roman"/>
          <w:sz w:val="24"/>
          <w:szCs w:val="24"/>
        </w:rPr>
        <w:t>. However, ESAs also carry risks, including increased risk of thromboembolic events, stroke, and mortality (FDA, 2024). Therefore, careful consideration of the benefits and risks of ESAs is necessary when deciding whether to initiate therapy.</w:t>
      </w:r>
    </w:p>
    <w:p w14:paraId="1C395692" w14:textId="77777777" w:rsidR="0005414C" w:rsidRPr="00532788" w:rsidRDefault="0005414C" w:rsidP="0005414C">
      <w:pPr>
        <w:pStyle w:val="ListParagraph"/>
        <w:numPr>
          <w:ilvl w:val="0"/>
          <w:numId w:val="2"/>
        </w:numPr>
        <w:spacing w:after="0" w:line="240" w:lineRule="auto"/>
        <w:jc w:val="both"/>
        <w:rPr>
          <w:rFonts w:ascii="Times New Roman" w:hAnsi="Times New Roman"/>
          <w:b/>
          <w:sz w:val="24"/>
          <w:szCs w:val="24"/>
        </w:rPr>
      </w:pPr>
      <w:r w:rsidRPr="00532788">
        <w:rPr>
          <w:rFonts w:ascii="Times New Roman" w:hAnsi="Times New Roman"/>
          <w:b/>
          <w:sz w:val="24"/>
          <w:szCs w:val="24"/>
        </w:rPr>
        <w:t>Types of ESAs</w:t>
      </w:r>
    </w:p>
    <w:p w14:paraId="5EBAEC97"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Several ESAs are available, including</w:t>
      </w:r>
      <w:r>
        <w:rPr>
          <w:rFonts w:ascii="Times New Roman" w:hAnsi="Times New Roman"/>
          <w:sz w:val="24"/>
          <w:szCs w:val="24"/>
        </w:rPr>
        <w:t xml:space="preserve"> the following:-</w:t>
      </w:r>
      <w:r w:rsidRPr="00117F09">
        <w:rPr>
          <w:rFonts w:ascii="Times New Roman" w:hAnsi="Times New Roman"/>
          <w:sz w:val="24"/>
          <w:szCs w:val="24"/>
        </w:rPr>
        <w:t>Epoetin alfa (Epogen, Procrit)</w:t>
      </w:r>
      <w:r>
        <w:rPr>
          <w:rFonts w:ascii="Times New Roman" w:hAnsi="Times New Roman"/>
          <w:sz w:val="24"/>
          <w:szCs w:val="24"/>
        </w:rPr>
        <w:t xml:space="preserve"> which </w:t>
      </w:r>
      <w:r w:rsidRPr="00117F09">
        <w:rPr>
          <w:rFonts w:ascii="Times New Roman" w:hAnsi="Times New Roman"/>
          <w:sz w:val="24"/>
          <w:szCs w:val="24"/>
        </w:rPr>
        <w:t xml:space="preserve"> stimulates erythropoiesis by binding to erythropoietin receptors on the surface of red blood cell precursors.</w:t>
      </w:r>
      <w:r>
        <w:rPr>
          <w:rFonts w:ascii="Times New Roman" w:hAnsi="Times New Roman"/>
          <w:sz w:val="24"/>
          <w:szCs w:val="24"/>
        </w:rPr>
        <w:t xml:space="preserve"> </w:t>
      </w:r>
      <w:r w:rsidRPr="00117F09">
        <w:rPr>
          <w:rFonts w:ascii="Times New Roman" w:hAnsi="Times New Roman"/>
          <w:sz w:val="24"/>
          <w:szCs w:val="24"/>
        </w:rPr>
        <w:t>Darbepoetin alfa (Aranesp)</w:t>
      </w:r>
      <w:r>
        <w:rPr>
          <w:rFonts w:ascii="Times New Roman" w:hAnsi="Times New Roman"/>
          <w:sz w:val="24"/>
          <w:szCs w:val="24"/>
        </w:rPr>
        <w:t xml:space="preserve"> which is </w:t>
      </w:r>
      <w:r w:rsidRPr="00117F09">
        <w:rPr>
          <w:rFonts w:ascii="Times New Roman" w:hAnsi="Times New Roman"/>
          <w:sz w:val="24"/>
          <w:szCs w:val="24"/>
        </w:rPr>
        <w:t xml:space="preserve"> a long-acting ESA that stimulates erythropoiesis in a similar manner to epoetin alfa</w:t>
      </w:r>
      <w:r>
        <w:rPr>
          <w:rFonts w:ascii="Times New Roman" w:hAnsi="Times New Roman"/>
          <w:sz w:val="24"/>
          <w:szCs w:val="24"/>
        </w:rPr>
        <w:t xml:space="preserve"> and finally </w:t>
      </w:r>
      <w:r w:rsidRPr="00117F09">
        <w:rPr>
          <w:rFonts w:ascii="Times New Roman" w:hAnsi="Times New Roman"/>
          <w:sz w:val="24"/>
          <w:szCs w:val="24"/>
        </w:rPr>
        <w:t>Biosimilar epoetin alfa (</w:t>
      </w:r>
      <w:proofErr w:type="spellStart"/>
      <w:r w:rsidRPr="00117F09">
        <w:rPr>
          <w:rFonts w:ascii="Times New Roman" w:hAnsi="Times New Roman"/>
          <w:sz w:val="24"/>
          <w:szCs w:val="24"/>
        </w:rPr>
        <w:t>Retacrit</w:t>
      </w:r>
      <w:proofErr w:type="spellEnd"/>
      <w:r w:rsidRPr="00117F09">
        <w:rPr>
          <w:rFonts w:ascii="Times New Roman" w:hAnsi="Times New Roman"/>
          <w:sz w:val="24"/>
          <w:szCs w:val="24"/>
        </w:rPr>
        <w:t>)</w:t>
      </w:r>
      <w:r>
        <w:rPr>
          <w:rFonts w:ascii="Times New Roman" w:hAnsi="Times New Roman"/>
          <w:sz w:val="24"/>
          <w:szCs w:val="24"/>
        </w:rPr>
        <w:t xml:space="preserve"> which is </w:t>
      </w:r>
      <w:r w:rsidRPr="00117F09">
        <w:rPr>
          <w:rFonts w:ascii="Times New Roman" w:hAnsi="Times New Roman"/>
          <w:sz w:val="24"/>
          <w:szCs w:val="24"/>
        </w:rPr>
        <w:t xml:space="preserve"> a biosimilar version of epoetin alfa.</w:t>
      </w:r>
    </w:p>
    <w:p w14:paraId="4413369F" w14:textId="77777777" w:rsidR="0005414C" w:rsidRPr="00532788" w:rsidRDefault="0005414C" w:rsidP="0005414C">
      <w:pPr>
        <w:pStyle w:val="ListParagraph"/>
        <w:numPr>
          <w:ilvl w:val="0"/>
          <w:numId w:val="2"/>
        </w:numPr>
        <w:spacing w:after="0" w:line="240" w:lineRule="auto"/>
        <w:jc w:val="both"/>
        <w:rPr>
          <w:rFonts w:ascii="Times New Roman" w:hAnsi="Times New Roman"/>
          <w:b/>
          <w:sz w:val="24"/>
          <w:szCs w:val="24"/>
        </w:rPr>
      </w:pPr>
      <w:r w:rsidRPr="00532788">
        <w:rPr>
          <w:rFonts w:ascii="Times New Roman" w:hAnsi="Times New Roman"/>
          <w:b/>
          <w:sz w:val="24"/>
          <w:szCs w:val="24"/>
        </w:rPr>
        <w:lastRenderedPageBreak/>
        <w:t xml:space="preserve"> Dosing Strategies</w:t>
      </w:r>
    </w:p>
    <w:p w14:paraId="30233C77"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Dosing strategies for ESAs vary depending on the specific agent and patient population. For example, epoetin alfa is typically administered three times a week, while darbepoetin alfa can be administered once a week or every two weeks </w:t>
      </w:r>
      <w:r>
        <w:rPr>
          <w:rFonts w:ascii="Times New Roman" w:hAnsi="Times New Roman"/>
          <w:sz w:val="24"/>
          <w:szCs w:val="24"/>
        </w:rPr>
        <w:t>depending on the age and sex and other clinical  predisposing factors [</w:t>
      </w:r>
      <w:proofErr w:type="spellStart"/>
      <w:r w:rsidRPr="00117F09">
        <w:rPr>
          <w:rFonts w:ascii="Times New Roman" w:hAnsi="Times New Roman"/>
          <w:sz w:val="24"/>
          <w:szCs w:val="24"/>
        </w:rPr>
        <w:t>Bohlius</w:t>
      </w:r>
      <w:proofErr w:type="spellEnd"/>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2019</w:t>
      </w:r>
      <w:r>
        <w:rPr>
          <w:rFonts w:ascii="Times New Roman" w:hAnsi="Times New Roman"/>
          <w:sz w:val="24"/>
          <w:szCs w:val="24"/>
        </w:rPr>
        <w:t>]</w:t>
      </w:r>
      <w:r w:rsidRPr="00117F09">
        <w:rPr>
          <w:rFonts w:ascii="Times New Roman" w:hAnsi="Times New Roman"/>
          <w:sz w:val="24"/>
          <w:szCs w:val="24"/>
        </w:rPr>
        <w:t>. The goal of dosing is to achieve a target hemoglobin level while minimizing the risk of adverse events</w:t>
      </w:r>
      <w:r>
        <w:rPr>
          <w:rFonts w:ascii="Times New Roman" w:hAnsi="Times New Roman"/>
          <w:sz w:val="24"/>
          <w:szCs w:val="24"/>
        </w:rPr>
        <w:t xml:space="preserve">. Finally </w:t>
      </w:r>
      <w:r w:rsidRPr="00117F09">
        <w:rPr>
          <w:rFonts w:ascii="Times New Roman" w:hAnsi="Times New Roman"/>
          <w:sz w:val="24"/>
          <w:szCs w:val="24"/>
        </w:rPr>
        <w:t>, ESAs are a valuable treatment option for patients with anemia due to CKD or cancer. However, careful consideration of the benefits and risks of therapy is necessary to ensure safe and effective use. Further research is needed to optimize dosing strategies and minimize the risk of adverse events.</w:t>
      </w:r>
    </w:p>
    <w:p w14:paraId="52D37EBD" w14:textId="77777777" w:rsidR="0005414C" w:rsidRPr="00532788" w:rsidRDefault="0005414C" w:rsidP="0005414C">
      <w:pPr>
        <w:pStyle w:val="ListParagraph"/>
        <w:numPr>
          <w:ilvl w:val="0"/>
          <w:numId w:val="3"/>
        </w:numPr>
        <w:spacing w:after="0" w:line="240" w:lineRule="auto"/>
        <w:rPr>
          <w:rFonts w:ascii="Times New Roman" w:hAnsi="Times New Roman"/>
          <w:b/>
          <w:sz w:val="24"/>
          <w:szCs w:val="24"/>
        </w:rPr>
      </w:pPr>
      <w:r w:rsidRPr="00532788">
        <w:rPr>
          <w:rFonts w:ascii="Times New Roman" w:hAnsi="Times New Roman"/>
          <w:b/>
          <w:sz w:val="24"/>
          <w:szCs w:val="24"/>
        </w:rPr>
        <w:t xml:space="preserve">Standardized </w:t>
      </w:r>
      <w:r>
        <w:rPr>
          <w:rFonts w:ascii="Times New Roman" w:hAnsi="Times New Roman"/>
          <w:b/>
          <w:sz w:val="24"/>
          <w:szCs w:val="24"/>
        </w:rPr>
        <w:t xml:space="preserve">clinical </w:t>
      </w:r>
      <w:r w:rsidRPr="00532788">
        <w:rPr>
          <w:rFonts w:ascii="Times New Roman" w:hAnsi="Times New Roman"/>
          <w:b/>
          <w:sz w:val="24"/>
          <w:szCs w:val="24"/>
        </w:rPr>
        <w:t>methods and strategies for  counselling patients for</w:t>
      </w:r>
      <w:r>
        <w:rPr>
          <w:rFonts w:ascii="Times New Roman" w:hAnsi="Times New Roman"/>
          <w:b/>
          <w:sz w:val="24"/>
          <w:szCs w:val="24"/>
        </w:rPr>
        <w:t xml:space="preserve"> the use of </w:t>
      </w:r>
      <w:r w:rsidRPr="00532788">
        <w:rPr>
          <w:rFonts w:ascii="Times New Roman" w:hAnsi="Times New Roman"/>
          <w:b/>
          <w:sz w:val="24"/>
          <w:szCs w:val="24"/>
        </w:rPr>
        <w:t xml:space="preserve"> iron supplementation</w:t>
      </w:r>
      <w:r>
        <w:rPr>
          <w:rFonts w:ascii="Times New Roman" w:hAnsi="Times New Roman"/>
          <w:b/>
          <w:sz w:val="24"/>
          <w:szCs w:val="24"/>
        </w:rPr>
        <w:t xml:space="preserve"> for optimization </w:t>
      </w:r>
    </w:p>
    <w:p w14:paraId="16B20CE0" w14:textId="77777777" w:rsidR="0005414C" w:rsidRPr="00532788"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Iron supplementation is often necessary to support ESA therapy, as iron deficiency can limit the effectiveness of ESAs </w:t>
      </w:r>
      <w:r>
        <w:rPr>
          <w:rFonts w:ascii="Times New Roman" w:hAnsi="Times New Roman"/>
          <w:sz w:val="24"/>
          <w:szCs w:val="24"/>
        </w:rPr>
        <w:t>[</w:t>
      </w:r>
      <w:proofErr w:type="spellStart"/>
      <w:r w:rsidRPr="00117F09">
        <w:rPr>
          <w:rFonts w:ascii="Times New Roman" w:hAnsi="Times New Roman"/>
          <w:sz w:val="24"/>
          <w:szCs w:val="24"/>
        </w:rPr>
        <w:t>Bohlius</w:t>
      </w:r>
      <w:proofErr w:type="spellEnd"/>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2019</w:t>
      </w:r>
      <w:r>
        <w:rPr>
          <w:rFonts w:ascii="Times New Roman" w:hAnsi="Times New Roman"/>
          <w:sz w:val="24"/>
          <w:szCs w:val="24"/>
        </w:rPr>
        <w:t>]</w:t>
      </w:r>
      <w:r w:rsidRPr="00117F09">
        <w:rPr>
          <w:rFonts w:ascii="Times New Roman" w:hAnsi="Times New Roman"/>
          <w:sz w:val="24"/>
          <w:szCs w:val="24"/>
        </w:rPr>
        <w:t>. Intravenous iron supplementation has been shown to be effective in increasing hemoglobin levels and reducing the need for blood transfusions in patients receiving ESAs.</w:t>
      </w:r>
    </w:p>
    <w:p w14:paraId="47A4BCA6"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 xml:space="preserve">Methods and Strategies for iron supplementation optimization </w:t>
      </w:r>
    </w:p>
    <w:p w14:paraId="15E60CE4"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Iron supplementation is a widely used treatment for iron deficiency anemia, a common condition affecting individuals worldwide. The goal of iron supplementation is to replenish iron stores, improve hemoglobin levels, and alleviate symptoms associated with iron deficiency. This literature review aims to discuss the various methods and strategies for iron supplementation, including oral and intravenous iron, and their effectiveness in different patient populations.</w:t>
      </w:r>
    </w:p>
    <w:p w14:paraId="35893F7A"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Oral Iron Supplementation</w:t>
      </w:r>
    </w:p>
    <w:p w14:paraId="6D54EB15"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Oral iron supplementation is the most commonly used treatment for iron deficiency anemia. Ferrous sulfate is the most widely used oral iron supplement, and its effectiveness has been well established </w:t>
      </w:r>
      <w:r>
        <w:rPr>
          <w:rFonts w:ascii="Times New Roman" w:hAnsi="Times New Roman"/>
          <w:sz w:val="24"/>
          <w:szCs w:val="24"/>
        </w:rPr>
        <w:t>[</w:t>
      </w:r>
      <w:proofErr w:type="spellStart"/>
      <w:r w:rsidRPr="00117F09">
        <w:rPr>
          <w:rFonts w:ascii="Times New Roman" w:hAnsi="Times New Roman"/>
          <w:sz w:val="24"/>
          <w:szCs w:val="24"/>
        </w:rPr>
        <w:t>Camaschella</w:t>
      </w:r>
      <w:proofErr w:type="spellEnd"/>
      <w:r w:rsidRPr="00117F09">
        <w:rPr>
          <w:rFonts w:ascii="Times New Roman" w:hAnsi="Times New Roman"/>
          <w:sz w:val="24"/>
          <w:szCs w:val="24"/>
        </w:rPr>
        <w:t xml:space="preserve">, </w:t>
      </w:r>
      <w:r>
        <w:rPr>
          <w:rFonts w:ascii="Times New Roman" w:hAnsi="Times New Roman"/>
          <w:sz w:val="24"/>
          <w:szCs w:val="24"/>
        </w:rPr>
        <w:t>2019]</w:t>
      </w:r>
      <w:r w:rsidRPr="00117F09">
        <w:rPr>
          <w:rFonts w:ascii="Times New Roman" w:hAnsi="Times New Roman"/>
          <w:sz w:val="24"/>
          <w:szCs w:val="24"/>
        </w:rPr>
        <w:t>. However, oral iron can cause gastrointestinal side effects, such as nausea, vomiting, and diarrhea, which can limit its tolerability and adherence (</w:t>
      </w:r>
      <w:r>
        <w:rPr>
          <w:rFonts w:ascii="Times New Roman" w:hAnsi="Times New Roman"/>
          <w:sz w:val="24"/>
          <w:szCs w:val="24"/>
        </w:rPr>
        <w:t>Rohr</w:t>
      </w:r>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3</w:t>
      </w:r>
      <w:r w:rsidRPr="00117F09">
        <w:rPr>
          <w:rFonts w:ascii="Times New Roman" w:hAnsi="Times New Roman"/>
          <w:sz w:val="24"/>
          <w:szCs w:val="24"/>
        </w:rPr>
        <w:t>).</w:t>
      </w:r>
    </w:p>
    <w:p w14:paraId="6DCB7492"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Intravenous Iron Supplementation</w:t>
      </w:r>
    </w:p>
    <w:p w14:paraId="3143ED44"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Intravenous iron supplementation is a safe and effective alternative to oral iron, particularly for patients with severe iron deficiency anemia or those who are intolerant to oral iron </w:t>
      </w:r>
      <w:r>
        <w:rPr>
          <w:rFonts w:ascii="Times New Roman" w:hAnsi="Times New Roman"/>
          <w:sz w:val="24"/>
          <w:szCs w:val="24"/>
        </w:rPr>
        <w:t>[</w:t>
      </w:r>
      <w:proofErr w:type="spellStart"/>
      <w:r>
        <w:rPr>
          <w:rFonts w:ascii="Times New Roman" w:hAnsi="Times New Roman"/>
          <w:sz w:val="24"/>
          <w:szCs w:val="24"/>
        </w:rPr>
        <w:t>Buchritis</w:t>
      </w:r>
      <w:proofErr w:type="spellEnd"/>
      <w:r>
        <w:rPr>
          <w:rFonts w:ascii="Times New Roman" w:hAnsi="Times New Roman"/>
          <w:sz w:val="24"/>
          <w:szCs w:val="24"/>
        </w:rPr>
        <w:t xml:space="preserve"> </w:t>
      </w:r>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2022</w:t>
      </w:r>
      <w:r>
        <w:rPr>
          <w:rFonts w:ascii="Times New Roman" w:hAnsi="Times New Roman"/>
          <w:sz w:val="24"/>
          <w:szCs w:val="24"/>
        </w:rPr>
        <w:t>]</w:t>
      </w:r>
      <w:r w:rsidRPr="00117F09">
        <w:rPr>
          <w:rFonts w:ascii="Times New Roman" w:hAnsi="Times New Roman"/>
          <w:sz w:val="24"/>
          <w:szCs w:val="24"/>
        </w:rPr>
        <w:t>. Intravenous iron can rapidly replenish iron stores and improve hemoglobin levels, making it a valuable treatment option for patients with significant anemia.</w:t>
      </w:r>
    </w:p>
    <w:p w14:paraId="15F216A8"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Iron Formulations</w:t>
      </w:r>
    </w:p>
    <w:p w14:paraId="035BF36A"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Several iron formulations are available for intravenous administration, including iron sucrose, iron gluconate, and ferric </w:t>
      </w:r>
      <w:proofErr w:type="spellStart"/>
      <w:r w:rsidRPr="00117F09">
        <w:rPr>
          <w:rFonts w:ascii="Times New Roman" w:hAnsi="Times New Roman"/>
          <w:sz w:val="24"/>
          <w:szCs w:val="24"/>
        </w:rPr>
        <w:t>carboxymaltose</w:t>
      </w:r>
      <w:proofErr w:type="spellEnd"/>
      <w:r w:rsidRPr="00117F09">
        <w:rPr>
          <w:rFonts w:ascii="Times New Roman" w:hAnsi="Times New Roman"/>
          <w:sz w:val="24"/>
          <w:szCs w:val="24"/>
        </w:rPr>
        <w:t xml:space="preserve"> (</w:t>
      </w:r>
      <w:proofErr w:type="spellStart"/>
      <w:r w:rsidRPr="00117F09">
        <w:rPr>
          <w:rFonts w:ascii="Times New Roman" w:hAnsi="Times New Roman"/>
          <w:sz w:val="24"/>
          <w:szCs w:val="24"/>
        </w:rPr>
        <w:t>Ferinject</w:t>
      </w:r>
      <w:proofErr w:type="spellEnd"/>
      <w:r w:rsidRPr="00117F09">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Moum</w:t>
      </w:r>
      <w:proofErr w:type="spellEnd"/>
      <w:r>
        <w:rPr>
          <w:rFonts w:ascii="Times New Roman" w:hAnsi="Times New Roman"/>
          <w:sz w:val="24"/>
          <w:szCs w:val="24"/>
        </w:rPr>
        <w:t xml:space="preserve"> &amp; Lindgren</w:t>
      </w:r>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5]</w:t>
      </w:r>
      <w:r w:rsidRPr="00117F09">
        <w:rPr>
          <w:rFonts w:ascii="Times New Roman" w:hAnsi="Times New Roman"/>
          <w:sz w:val="24"/>
          <w:szCs w:val="24"/>
        </w:rPr>
        <w:t xml:space="preserve">. Each formulation has its own unique characteristics and potential side effects. For example, ferric </w:t>
      </w:r>
      <w:proofErr w:type="spellStart"/>
      <w:r w:rsidRPr="00117F09">
        <w:rPr>
          <w:rFonts w:ascii="Times New Roman" w:hAnsi="Times New Roman"/>
          <w:sz w:val="24"/>
          <w:szCs w:val="24"/>
        </w:rPr>
        <w:t>carboxymaltose</w:t>
      </w:r>
      <w:proofErr w:type="spellEnd"/>
      <w:r w:rsidRPr="00117F09">
        <w:rPr>
          <w:rFonts w:ascii="Times New Roman" w:hAnsi="Times New Roman"/>
          <w:sz w:val="24"/>
          <w:szCs w:val="24"/>
        </w:rPr>
        <w:t xml:space="preserve"> has been shown to have a more stable iron complex and a lower risk of hypersensitivity reactions compared to other intravenous iron formulations.</w:t>
      </w:r>
    </w:p>
    <w:p w14:paraId="7995EED0"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Patient Populations</w:t>
      </w:r>
    </w:p>
    <w:p w14:paraId="07F7A271"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Iron supplementation is essential for various patient populations, including pregnant women, patients with chronic kidney disease, and patients with heart failure </w:t>
      </w:r>
      <w:r>
        <w:rPr>
          <w:rFonts w:ascii="Times New Roman" w:hAnsi="Times New Roman"/>
          <w:sz w:val="24"/>
          <w:szCs w:val="24"/>
        </w:rPr>
        <w:t>[</w:t>
      </w:r>
      <w:proofErr w:type="spellStart"/>
      <w:r w:rsidRPr="00117F09">
        <w:rPr>
          <w:rFonts w:ascii="Times New Roman" w:hAnsi="Times New Roman"/>
          <w:sz w:val="24"/>
          <w:szCs w:val="24"/>
        </w:rPr>
        <w:t>Camaschella</w:t>
      </w:r>
      <w:proofErr w:type="spellEnd"/>
      <w:r w:rsidRPr="00117F09">
        <w:rPr>
          <w:rFonts w:ascii="Times New Roman" w:hAnsi="Times New Roman"/>
          <w:sz w:val="24"/>
          <w:szCs w:val="24"/>
        </w:rPr>
        <w:t xml:space="preserve">, </w:t>
      </w:r>
      <w:r>
        <w:rPr>
          <w:rFonts w:ascii="Times New Roman" w:hAnsi="Times New Roman"/>
          <w:sz w:val="24"/>
          <w:szCs w:val="24"/>
        </w:rPr>
        <w:t>2019]</w:t>
      </w:r>
      <w:r w:rsidRPr="00117F09">
        <w:rPr>
          <w:rFonts w:ascii="Times New Roman" w:hAnsi="Times New Roman"/>
          <w:sz w:val="24"/>
          <w:szCs w:val="24"/>
        </w:rPr>
        <w:t>. Pregnant women are at high risk of iron deficiency anemia due to increased iron demands during pregnancy. Patients with chronic kidney disease often develop anemia due to erythropoietin deficiency and iron deficiency.</w:t>
      </w:r>
    </w:p>
    <w:p w14:paraId="421F8CB6"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Clinical Guidelines</w:t>
      </w:r>
    </w:p>
    <w:p w14:paraId="4F65FCC8"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The National Institute for Health and Care Excellence (NICE) and the American Society of Hematology (ASH) have developed clinical guidelines for the diagnosis and treatment of iron </w:t>
      </w:r>
      <w:r w:rsidRPr="00117F09">
        <w:rPr>
          <w:rFonts w:ascii="Times New Roman" w:hAnsi="Times New Roman"/>
          <w:sz w:val="24"/>
          <w:szCs w:val="24"/>
        </w:rPr>
        <w:lastRenderedPageBreak/>
        <w:t xml:space="preserve">deficiency anemia </w:t>
      </w:r>
      <w:r>
        <w:rPr>
          <w:rFonts w:ascii="Times New Roman" w:hAnsi="Times New Roman"/>
          <w:sz w:val="24"/>
          <w:szCs w:val="24"/>
        </w:rPr>
        <w:t xml:space="preserve"> [Hoh  </w:t>
      </w:r>
      <w:r w:rsidRPr="00281217">
        <w:rPr>
          <w:rFonts w:ascii="Times New Roman" w:hAnsi="Times New Roman"/>
          <w:i/>
          <w:sz w:val="24"/>
          <w:szCs w:val="24"/>
        </w:rPr>
        <w:t>et al.,</w:t>
      </w:r>
      <w:r>
        <w:rPr>
          <w:rFonts w:ascii="Times New Roman" w:hAnsi="Times New Roman"/>
          <w:sz w:val="24"/>
          <w:szCs w:val="24"/>
        </w:rPr>
        <w:t xml:space="preserve"> </w:t>
      </w:r>
      <w:r w:rsidRPr="00A67A5B">
        <w:rPr>
          <w:rFonts w:ascii="Times New Roman" w:hAnsi="Times New Roman"/>
          <w:sz w:val="24"/>
          <w:szCs w:val="24"/>
        </w:rPr>
        <w:t>202</w:t>
      </w:r>
      <w:r>
        <w:rPr>
          <w:rFonts w:ascii="Times New Roman" w:hAnsi="Times New Roman"/>
          <w:sz w:val="24"/>
          <w:szCs w:val="24"/>
        </w:rPr>
        <w:t>3]</w:t>
      </w:r>
      <w:r w:rsidRPr="00117F09">
        <w:rPr>
          <w:rFonts w:ascii="Times New Roman" w:hAnsi="Times New Roman"/>
          <w:sz w:val="24"/>
          <w:szCs w:val="24"/>
        </w:rPr>
        <w:t>. These guidelines recommend iron supplementation as a first-line treatment for iron deficiency anemia and highlight the importance of monitoring iron levels and adjusting treatment as needed.</w:t>
      </w:r>
      <w:r>
        <w:rPr>
          <w:rFonts w:ascii="Times New Roman" w:hAnsi="Times New Roman"/>
          <w:sz w:val="24"/>
          <w:szCs w:val="24"/>
        </w:rPr>
        <w:t xml:space="preserve"> Finally </w:t>
      </w:r>
      <w:r w:rsidRPr="00117F09">
        <w:rPr>
          <w:rFonts w:ascii="Times New Roman" w:hAnsi="Times New Roman"/>
          <w:sz w:val="24"/>
          <w:szCs w:val="24"/>
        </w:rPr>
        <w:t>, iron supplementation is a crucial treatment for iron deficiency anemia, and various methods and strategies are available, including oral and intravenous iron. The choice of iron formulation and route of administration depends on the individual patient's needs and medical history. Further research is needed to optimize iron supplementation strategies and improve patient outcomes.</w:t>
      </w:r>
    </w:p>
    <w:p w14:paraId="169F5642"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Monitoring and Adverse Events</w:t>
      </w:r>
    </w:p>
    <w:p w14:paraId="79BCCE08"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Regular monitoring of hemoglobin levels, blood pressure, and iron status is necessary to ensure safe and effective use of ESAs. Adverse events, such as thromboembolic events, stroke, and hypertension, can occur with ESA therapy, and prompt intervention is necessary to minimize harm</w:t>
      </w:r>
    </w:p>
    <w:p w14:paraId="5B39019D" w14:textId="77777777" w:rsidR="0005414C" w:rsidRPr="00532788" w:rsidRDefault="0005414C" w:rsidP="0005414C">
      <w:pPr>
        <w:pStyle w:val="ListParagraph"/>
        <w:numPr>
          <w:ilvl w:val="0"/>
          <w:numId w:val="6"/>
        </w:numPr>
        <w:spacing w:after="0" w:line="240" w:lineRule="auto"/>
        <w:jc w:val="both"/>
        <w:rPr>
          <w:rFonts w:ascii="Times New Roman" w:hAnsi="Times New Roman"/>
          <w:b/>
          <w:sz w:val="24"/>
          <w:szCs w:val="24"/>
        </w:rPr>
      </w:pPr>
      <w:r w:rsidRPr="00532788">
        <w:rPr>
          <w:rFonts w:ascii="Times New Roman" w:hAnsi="Times New Roman"/>
          <w:b/>
          <w:sz w:val="24"/>
          <w:szCs w:val="24"/>
        </w:rPr>
        <w:t>Clinical Guidelines</w:t>
      </w:r>
    </w:p>
    <w:p w14:paraId="34FFD5DA"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The American Society of Clinical Oncology (ASCO) and the American Society of Hematology (ASH) have developed clinical guidelines for the use of ESAs in patients with cancer </w:t>
      </w:r>
      <w:r>
        <w:rPr>
          <w:rFonts w:ascii="Times New Roman" w:hAnsi="Times New Roman"/>
          <w:sz w:val="24"/>
          <w:szCs w:val="24"/>
        </w:rPr>
        <w:t>[</w:t>
      </w:r>
      <w:proofErr w:type="spellStart"/>
      <w:r w:rsidRPr="00117F09">
        <w:rPr>
          <w:rFonts w:ascii="Times New Roman" w:hAnsi="Times New Roman"/>
          <w:sz w:val="24"/>
          <w:szCs w:val="24"/>
        </w:rPr>
        <w:t>Bohlius</w:t>
      </w:r>
      <w:proofErr w:type="spellEnd"/>
      <w:r w:rsidRPr="00117F09">
        <w:rPr>
          <w:rFonts w:ascii="Times New Roman" w:hAnsi="Times New Roman"/>
          <w:sz w:val="24"/>
          <w:szCs w:val="24"/>
        </w:rPr>
        <w:t xml:space="preserve"> </w:t>
      </w:r>
      <w:r w:rsidRPr="006A11C1">
        <w:rPr>
          <w:rFonts w:ascii="Times New Roman" w:hAnsi="Times New Roman"/>
          <w:i/>
          <w:sz w:val="24"/>
          <w:szCs w:val="24"/>
        </w:rPr>
        <w:t>et al.,</w:t>
      </w:r>
      <w:r w:rsidRPr="006A11C1">
        <w:rPr>
          <w:rFonts w:ascii="Times New Roman" w:hAnsi="Times New Roman"/>
          <w:sz w:val="24"/>
          <w:szCs w:val="24"/>
        </w:rPr>
        <w:t xml:space="preserve"> 2019</w:t>
      </w:r>
      <w:r>
        <w:rPr>
          <w:rFonts w:ascii="Times New Roman" w:hAnsi="Times New Roman"/>
          <w:sz w:val="24"/>
          <w:szCs w:val="24"/>
        </w:rPr>
        <w:t>]</w:t>
      </w:r>
      <w:r w:rsidRPr="006A11C1">
        <w:rPr>
          <w:rFonts w:ascii="Times New Roman" w:hAnsi="Times New Roman"/>
          <w:b/>
          <w:sz w:val="24"/>
          <w:szCs w:val="24"/>
        </w:rPr>
        <w:t>.</w:t>
      </w:r>
      <w:r w:rsidRPr="00117F09">
        <w:rPr>
          <w:rFonts w:ascii="Times New Roman" w:hAnsi="Times New Roman"/>
          <w:sz w:val="24"/>
          <w:szCs w:val="24"/>
        </w:rPr>
        <w:t xml:space="preserve"> These guidelines recommend that ESAs be used to treat anemia in patients with cancer, but emphasize the importance of careful consideration of the benefits and risks of therapy.</w:t>
      </w:r>
    </w:p>
    <w:p w14:paraId="55BBE2A9" w14:textId="77777777" w:rsidR="0005414C" w:rsidRPr="00532788" w:rsidRDefault="0005414C" w:rsidP="0005414C">
      <w:pPr>
        <w:pStyle w:val="ListParagraph"/>
        <w:numPr>
          <w:ilvl w:val="0"/>
          <w:numId w:val="3"/>
        </w:numPr>
        <w:spacing w:after="0" w:line="240" w:lineRule="auto"/>
        <w:jc w:val="both"/>
        <w:rPr>
          <w:rFonts w:ascii="Times New Roman" w:hAnsi="Times New Roman"/>
          <w:b/>
          <w:bCs/>
          <w:sz w:val="24"/>
          <w:szCs w:val="24"/>
        </w:rPr>
      </w:pPr>
      <w:r w:rsidRPr="00532788">
        <w:rPr>
          <w:rFonts w:ascii="Times New Roman" w:hAnsi="Times New Roman"/>
          <w:b/>
          <w:bCs/>
          <w:sz w:val="24"/>
          <w:szCs w:val="24"/>
        </w:rPr>
        <w:t xml:space="preserve">Standardized </w:t>
      </w:r>
      <w:r>
        <w:rPr>
          <w:rFonts w:ascii="Times New Roman" w:hAnsi="Times New Roman"/>
          <w:b/>
          <w:bCs/>
          <w:sz w:val="24"/>
          <w:szCs w:val="24"/>
        </w:rPr>
        <w:t xml:space="preserve">clinical </w:t>
      </w:r>
      <w:r w:rsidRPr="00532788">
        <w:rPr>
          <w:rFonts w:ascii="Times New Roman" w:hAnsi="Times New Roman"/>
          <w:b/>
          <w:bCs/>
          <w:sz w:val="24"/>
          <w:szCs w:val="24"/>
        </w:rPr>
        <w:t>methods and strategies for using tranexamic acid (TXA) for optimization of hematocrit</w:t>
      </w:r>
    </w:p>
    <w:p w14:paraId="23F35EC3"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Tranexamic acid (TXA) is an antifibrinolytic agent that has been widely used to reduce bleeding and transfusion requirements in surgical patients. Optimizing hematocrit levels is crucial in surgical settings, especially for patients undergoing major surgeries. Here's a comprehensive overview of standardized methods and strategies for using TXA for hematocrit optimization:</w:t>
      </w:r>
    </w:p>
    <w:p w14:paraId="4A8731DC" w14:textId="77777777" w:rsidR="0005414C" w:rsidRPr="00B47B47" w:rsidRDefault="0005414C" w:rsidP="0005414C">
      <w:pPr>
        <w:spacing w:after="0" w:line="240" w:lineRule="auto"/>
        <w:jc w:val="both"/>
        <w:rPr>
          <w:rFonts w:ascii="Times New Roman" w:hAnsi="Times New Roman"/>
          <w:sz w:val="24"/>
          <w:szCs w:val="24"/>
        </w:rPr>
      </w:pPr>
      <w:r>
        <w:rPr>
          <w:rFonts w:ascii="Times New Roman" w:hAnsi="Times New Roman"/>
          <w:b/>
          <w:sz w:val="24"/>
          <w:szCs w:val="24"/>
        </w:rPr>
        <w:t xml:space="preserve">a) </w:t>
      </w:r>
      <w:r w:rsidRPr="00B47B47">
        <w:rPr>
          <w:rFonts w:ascii="Times New Roman" w:hAnsi="Times New Roman"/>
          <w:b/>
          <w:sz w:val="24"/>
          <w:szCs w:val="24"/>
        </w:rPr>
        <w:t>Methods of TXA Administration</w:t>
      </w:r>
      <w:r w:rsidRPr="00B47B47">
        <w:rPr>
          <w:rFonts w:ascii="Times New Roman" w:hAnsi="Times New Roman"/>
          <w:sz w:val="24"/>
          <w:szCs w:val="24"/>
        </w:rPr>
        <w:t>:</w:t>
      </w:r>
    </w:p>
    <w:p w14:paraId="3F90A8A7"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Intravenous (IV) Administration TXA is commonly used in surgical settings, with a typical dose of 10-15 mg/kg administered before incision or at the start of surgery </w:t>
      </w:r>
      <w:r>
        <w:rPr>
          <w:rFonts w:ascii="Times New Roman" w:hAnsi="Times New Roman"/>
          <w:sz w:val="24"/>
          <w:szCs w:val="24"/>
        </w:rPr>
        <w:t>[Medscape</w:t>
      </w:r>
      <w:r w:rsidRPr="00190BAD">
        <w:rPr>
          <w:rFonts w:ascii="Times New Roman" w:hAnsi="Times New Roman"/>
          <w:i/>
          <w:sz w:val="24"/>
          <w:szCs w:val="24"/>
        </w:rPr>
        <w:t>,</w:t>
      </w:r>
      <w:r w:rsidRPr="00B47B47">
        <w:rPr>
          <w:rFonts w:ascii="Times New Roman" w:hAnsi="Times New Roman"/>
          <w:sz w:val="24"/>
          <w:szCs w:val="24"/>
        </w:rPr>
        <w:t xml:space="preserve"> 2022</w:t>
      </w:r>
      <w:r>
        <w:rPr>
          <w:rFonts w:ascii="Times New Roman" w:hAnsi="Times New Roman"/>
          <w:sz w:val="24"/>
          <w:szCs w:val="24"/>
        </w:rPr>
        <w:t>]</w:t>
      </w:r>
      <w:r w:rsidRPr="00B47B47">
        <w:rPr>
          <w:rFonts w:ascii="Times New Roman" w:hAnsi="Times New Roman"/>
          <w:sz w:val="24"/>
          <w:szCs w:val="24"/>
        </w:rPr>
        <w:t>.</w:t>
      </w:r>
    </w:p>
    <w:p w14:paraId="2BA2DF71"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2. Topical Administration: Topical TXA can be applied directly to the surgical site, with a typical dose of 1-2 g </w:t>
      </w:r>
      <w:r>
        <w:rPr>
          <w:rFonts w:ascii="Times New Roman" w:hAnsi="Times New Roman"/>
          <w:sz w:val="24"/>
          <w:szCs w:val="24"/>
        </w:rPr>
        <w:t>[Zhou</w:t>
      </w:r>
      <w:r w:rsidRPr="00B47B47">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3]</w:t>
      </w:r>
      <w:r w:rsidRPr="00B47B47">
        <w:rPr>
          <w:rFonts w:ascii="Times New Roman" w:hAnsi="Times New Roman"/>
          <w:sz w:val="24"/>
          <w:szCs w:val="24"/>
        </w:rPr>
        <w:t>.</w:t>
      </w:r>
    </w:p>
    <w:p w14:paraId="2262C48D" w14:textId="77777777" w:rsidR="0005414C" w:rsidRPr="00B47B47"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b) </w:t>
      </w:r>
      <w:r w:rsidRPr="00B47B47">
        <w:rPr>
          <w:rFonts w:ascii="Times New Roman" w:hAnsi="Times New Roman"/>
          <w:b/>
          <w:sz w:val="24"/>
          <w:szCs w:val="24"/>
        </w:rPr>
        <w:t>Strategies for Hematocrit Optimization:</w:t>
      </w:r>
    </w:p>
    <w:p w14:paraId="421B082D"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1. Preoperative TXA Administration: Administering TXA before surgery can help reduce bleeding and improve hematocrit levels (</w:t>
      </w:r>
      <w:proofErr w:type="spellStart"/>
      <w:r>
        <w:rPr>
          <w:rFonts w:ascii="Times New Roman" w:hAnsi="Times New Roman"/>
          <w:sz w:val="24"/>
          <w:szCs w:val="24"/>
        </w:rPr>
        <w:t>Coccolini</w:t>
      </w:r>
      <w:proofErr w:type="spellEnd"/>
      <w:r>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4</w:t>
      </w:r>
      <w:r w:rsidRPr="00B47B47">
        <w:rPr>
          <w:rFonts w:ascii="Times New Roman" w:hAnsi="Times New Roman"/>
          <w:sz w:val="24"/>
          <w:szCs w:val="24"/>
        </w:rPr>
        <w:t>).</w:t>
      </w:r>
    </w:p>
    <w:p w14:paraId="22156D9B"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2. Intraoperative TXA Administration: Administering TXA during surgery can help maintain hematocrit levels and reduce transfusion requirements </w:t>
      </w:r>
      <w:r>
        <w:rPr>
          <w:rFonts w:ascii="Times New Roman" w:hAnsi="Times New Roman"/>
          <w:sz w:val="24"/>
          <w:szCs w:val="24"/>
        </w:rPr>
        <w:t>[</w:t>
      </w:r>
      <w:r w:rsidRPr="00D2785F">
        <w:rPr>
          <w:rFonts w:ascii="Times New Roman" w:hAnsi="Times New Roman"/>
          <w:sz w:val="24"/>
          <w:szCs w:val="24"/>
        </w:rPr>
        <w:t>McQueen</w:t>
      </w:r>
      <w:r w:rsidRPr="00B47B47">
        <w:rPr>
          <w:rFonts w:ascii="Times New Roman" w:hAnsi="Times New Roman"/>
          <w:sz w:val="24"/>
          <w:szCs w:val="24"/>
        </w:rPr>
        <w:t xml:space="preserve"> </w:t>
      </w:r>
      <w:r>
        <w:rPr>
          <w:rFonts w:ascii="Times New Roman" w:hAnsi="Times New Roman"/>
          <w:sz w:val="24"/>
          <w:szCs w:val="24"/>
        </w:rPr>
        <w:t xml:space="preserve"> </w:t>
      </w:r>
      <w:r w:rsidRPr="00125B0D">
        <w:rPr>
          <w:rFonts w:ascii="Times New Roman" w:hAnsi="Times New Roman"/>
          <w:i/>
          <w:sz w:val="24"/>
          <w:szCs w:val="24"/>
        </w:rPr>
        <w:t>et al.,</w:t>
      </w:r>
      <w:r>
        <w:rPr>
          <w:rFonts w:ascii="Times New Roman" w:hAnsi="Times New Roman"/>
          <w:sz w:val="24"/>
          <w:szCs w:val="24"/>
        </w:rPr>
        <w:t xml:space="preserve"> 2015] by  </w:t>
      </w:r>
      <w:r w:rsidRPr="00B47B47">
        <w:rPr>
          <w:rFonts w:ascii="Times New Roman" w:hAnsi="Times New Roman"/>
          <w:sz w:val="24"/>
          <w:szCs w:val="24"/>
        </w:rPr>
        <w:t>POISE-2 Investigators</w:t>
      </w:r>
      <w:r>
        <w:rPr>
          <w:rFonts w:ascii="Times New Roman" w:hAnsi="Times New Roman"/>
          <w:sz w:val="24"/>
          <w:szCs w:val="24"/>
        </w:rPr>
        <w:t xml:space="preserve"> in </w:t>
      </w:r>
      <w:r w:rsidRPr="00B47B47">
        <w:rPr>
          <w:rFonts w:ascii="Times New Roman" w:hAnsi="Times New Roman"/>
          <w:sz w:val="24"/>
          <w:szCs w:val="24"/>
        </w:rPr>
        <w:t>2022.</w:t>
      </w:r>
    </w:p>
    <w:p w14:paraId="2B1AA32F" w14:textId="6BD40DF1"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3. Combination Therapy: Using TXA in combination with other hemostatic agents, such as fibrinogen or prothrombin complex concentrate, may be beneficial in patients with significant bleeding </w:t>
      </w:r>
      <w:r w:rsidR="00E23617">
        <w:rPr>
          <w:rFonts w:ascii="Times New Roman" w:hAnsi="Times New Roman"/>
          <w:sz w:val="24"/>
          <w:szCs w:val="24"/>
        </w:rPr>
        <w:t>[</w:t>
      </w:r>
      <w:r>
        <w:rPr>
          <w:rFonts w:ascii="Times New Roman" w:hAnsi="Times New Roman"/>
          <w:sz w:val="24"/>
          <w:szCs w:val="24"/>
        </w:rPr>
        <w:t xml:space="preserve">Pathak </w:t>
      </w:r>
      <w:r w:rsidRPr="00190BAD">
        <w:rPr>
          <w:rFonts w:ascii="Times New Roman" w:hAnsi="Times New Roman"/>
          <w:i/>
          <w:sz w:val="24"/>
          <w:szCs w:val="24"/>
        </w:rPr>
        <w:t>et al.,</w:t>
      </w:r>
      <w:r w:rsidRPr="00B47B47">
        <w:rPr>
          <w:rFonts w:ascii="Times New Roman" w:hAnsi="Times New Roman"/>
          <w:sz w:val="24"/>
          <w:szCs w:val="24"/>
        </w:rPr>
        <w:t xml:space="preserve"> 201</w:t>
      </w:r>
      <w:r>
        <w:rPr>
          <w:rFonts w:ascii="Times New Roman" w:hAnsi="Times New Roman"/>
          <w:sz w:val="24"/>
          <w:szCs w:val="24"/>
        </w:rPr>
        <w:t>5</w:t>
      </w:r>
      <w:r w:rsidR="00E23617">
        <w:rPr>
          <w:rFonts w:ascii="Times New Roman" w:hAnsi="Times New Roman"/>
          <w:sz w:val="24"/>
          <w:szCs w:val="24"/>
        </w:rPr>
        <w:t>]</w:t>
      </w:r>
      <w:r w:rsidRPr="00B47B47">
        <w:rPr>
          <w:rFonts w:ascii="Times New Roman" w:hAnsi="Times New Roman"/>
          <w:sz w:val="24"/>
          <w:szCs w:val="24"/>
        </w:rPr>
        <w:t>.</w:t>
      </w:r>
    </w:p>
    <w:p w14:paraId="37F30DAD" w14:textId="77777777" w:rsidR="0005414C" w:rsidRPr="00B47B47" w:rsidRDefault="0005414C" w:rsidP="0005414C">
      <w:pPr>
        <w:spacing w:after="0" w:line="240" w:lineRule="auto"/>
        <w:jc w:val="both"/>
        <w:rPr>
          <w:rFonts w:ascii="Times New Roman" w:hAnsi="Times New Roman"/>
          <w:b/>
          <w:bCs/>
          <w:sz w:val="24"/>
          <w:szCs w:val="24"/>
        </w:rPr>
      </w:pPr>
      <w:r>
        <w:rPr>
          <w:rFonts w:ascii="Times New Roman" w:hAnsi="Times New Roman"/>
          <w:b/>
          <w:bCs/>
          <w:sz w:val="24"/>
          <w:szCs w:val="24"/>
        </w:rPr>
        <w:t xml:space="preserve">c) </w:t>
      </w:r>
      <w:r w:rsidRPr="00B47B47">
        <w:rPr>
          <w:rFonts w:ascii="Times New Roman" w:hAnsi="Times New Roman"/>
          <w:b/>
          <w:bCs/>
          <w:sz w:val="24"/>
          <w:szCs w:val="24"/>
        </w:rPr>
        <w:t>Standardized Protocols:</w:t>
      </w:r>
    </w:p>
    <w:p w14:paraId="02608A41" w14:textId="54F0AC3E"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CRASH-3 Protocol: The CRASH-3 trial demonstrated the effectiveness of TXA in reducing head injury-related bleeding </w:t>
      </w:r>
      <w:r w:rsidR="000E10F5">
        <w:rPr>
          <w:rFonts w:ascii="Times New Roman" w:hAnsi="Times New Roman"/>
          <w:sz w:val="24"/>
          <w:szCs w:val="24"/>
        </w:rPr>
        <w:t xml:space="preserve">[Roberts ,2023, </w:t>
      </w:r>
      <w:proofErr w:type="spellStart"/>
      <w:r w:rsidR="000E10F5">
        <w:rPr>
          <w:rFonts w:ascii="Times New Roman" w:hAnsi="Times New Roman"/>
          <w:sz w:val="24"/>
          <w:szCs w:val="24"/>
        </w:rPr>
        <w:t>shander</w:t>
      </w:r>
      <w:proofErr w:type="spellEnd"/>
      <w:r w:rsidR="000E10F5">
        <w:rPr>
          <w:rFonts w:ascii="Times New Roman" w:hAnsi="Times New Roman"/>
          <w:sz w:val="24"/>
          <w:szCs w:val="24"/>
        </w:rPr>
        <w:t xml:space="preserve">  </w:t>
      </w:r>
      <w:r w:rsidR="000E10F5" w:rsidRPr="000E10F5">
        <w:rPr>
          <w:rFonts w:ascii="Times New Roman" w:hAnsi="Times New Roman"/>
          <w:i/>
          <w:sz w:val="24"/>
          <w:szCs w:val="24"/>
        </w:rPr>
        <w:t>et al</w:t>
      </w:r>
      <w:r w:rsidR="000E10F5">
        <w:rPr>
          <w:rFonts w:ascii="Times New Roman" w:hAnsi="Times New Roman"/>
          <w:sz w:val="24"/>
          <w:szCs w:val="24"/>
        </w:rPr>
        <w:t xml:space="preserve"> .,2023 and  </w:t>
      </w:r>
      <w:r w:rsidRPr="00B47B47">
        <w:rPr>
          <w:rFonts w:ascii="Times New Roman" w:hAnsi="Times New Roman"/>
          <w:sz w:val="24"/>
          <w:szCs w:val="24"/>
        </w:rPr>
        <w:t>CRASH-3 Trial Collaborators</w:t>
      </w:r>
      <w:r w:rsidR="000E10F5">
        <w:rPr>
          <w:rFonts w:ascii="Times New Roman" w:hAnsi="Times New Roman"/>
          <w:sz w:val="24"/>
          <w:szCs w:val="24"/>
        </w:rPr>
        <w:t xml:space="preserve"> ,</w:t>
      </w:r>
      <w:r w:rsidRPr="00B47B47">
        <w:rPr>
          <w:rFonts w:ascii="Times New Roman" w:hAnsi="Times New Roman"/>
          <w:sz w:val="24"/>
          <w:szCs w:val="24"/>
        </w:rPr>
        <w:t>20</w:t>
      </w:r>
      <w:r>
        <w:rPr>
          <w:rFonts w:ascii="Times New Roman" w:hAnsi="Times New Roman"/>
          <w:sz w:val="24"/>
          <w:szCs w:val="24"/>
        </w:rPr>
        <w:t>19</w:t>
      </w:r>
      <w:r w:rsidRPr="00B47B47">
        <w:rPr>
          <w:rFonts w:ascii="Times New Roman" w:hAnsi="Times New Roman"/>
          <w:sz w:val="24"/>
          <w:szCs w:val="24"/>
        </w:rPr>
        <w:t>).</w:t>
      </w:r>
    </w:p>
    <w:p w14:paraId="4CA4A260"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2. POISE-3 Protocol: The POISE-3 trial showed that TXA reduced bleeding and transfusion requirements in patients undergoing non-cardiac surgery </w:t>
      </w:r>
      <w:r>
        <w:rPr>
          <w:rFonts w:ascii="Times New Roman" w:hAnsi="Times New Roman"/>
          <w:sz w:val="24"/>
          <w:szCs w:val="24"/>
        </w:rPr>
        <w:t xml:space="preserve">[Devereaux </w:t>
      </w:r>
      <w:r w:rsidRPr="00886A55">
        <w:rPr>
          <w:rFonts w:ascii="Times New Roman" w:hAnsi="Times New Roman"/>
          <w:i/>
          <w:sz w:val="24"/>
          <w:szCs w:val="24"/>
        </w:rPr>
        <w:t>et al.,</w:t>
      </w:r>
      <w:r>
        <w:rPr>
          <w:rFonts w:ascii="Times New Roman" w:hAnsi="Times New Roman"/>
          <w:sz w:val="24"/>
          <w:szCs w:val="24"/>
        </w:rPr>
        <w:t>2022]</w:t>
      </w:r>
      <w:r w:rsidRPr="00B47B47">
        <w:rPr>
          <w:rFonts w:ascii="Times New Roman" w:hAnsi="Times New Roman"/>
          <w:sz w:val="24"/>
          <w:szCs w:val="24"/>
        </w:rPr>
        <w:t>.</w:t>
      </w:r>
    </w:p>
    <w:p w14:paraId="62F610A5" w14:textId="77777777" w:rsidR="0005414C" w:rsidRPr="00532788"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d) </w:t>
      </w:r>
      <w:r w:rsidRPr="00532788">
        <w:rPr>
          <w:rFonts w:ascii="Times New Roman" w:hAnsi="Times New Roman"/>
          <w:b/>
          <w:sz w:val="24"/>
          <w:szCs w:val="24"/>
        </w:rPr>
        <w:t>Benefits of TXA:</w:t>
      </w:r>
    </w:p>
    <w:p w14:paraId="14E97DA2"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Reduced Bleeding: TXA has been shown to reduce bleeding and transfusion requirements in surgical patients </w:t>
      </w:r>
      <w:r>
        <w:rPr>
          <w:rFonts w:ascii="Times New Roman" w:hAnsi="Times New Roman"/>
          <w:sz w:val="24"/>
          <w:szCs w:val="24"/>
        </w:rPr>
        <w:t>[</w:t>
      </w:r>
      <w:proofErr w:type="spellStart"/>
      <w:r>
        <w:rPr>
          <w:rFonts w:ascii="Times New Roman" w:hAnsi="Times New Roman"/>
          <w:sz w:val="24"/>
          <w:szCs w:val="24"/>
        </w:rPr>
        <w:t>Tantavisut</w:t>
      </w:r>
      <w:proofErr w:type="spellEnd"/>
      <w:r>
        <w:rPr>
          <w:rFonts w:ascii="Times New Roman" w:hAnsi="Times New Roman"/>
          <w:sz w:val="24"/>
          <w:szCs w:val="24"/>
        </w:rPr>
        <w:t xml:space="preserve"> </w:t>
      </w:r>
      <w:r w:rsidRPr="00B47B47">
        <w:rPr>
          <w:rFonts w:ascii="Times New Roman" w:hAnsi="Times New Roman"/>
          <w:sz w:val="24"/>
          <w:szCs w:val="24"/>
        </w:rPr>
        <w:t xml:space="preserve"> </w:t>
      </w:r>
      <w:r w:rsidRPr="00532788">
        <w:rPr>
          <w:rFonts w:ascii="Times New Roman" w:hAnsi="Times New Roman"/>
          <w:i/>
          <w:sz w:val="24"/>
          <w:szCs w:val="24"/>
        </w:rPr>
        <w:t>et al</w:t>
      </w:r>
      <w:r w:rsidRPr="00B47B47">
        <w:rPr>
          <w:rFonts w:ascii="Times New Roman" w:hAnsi="Times New Roman"/>
          <w:sz w:val="24"/>
          <w:szCs w:val="24"/>
        </w:rPr>
        <w:t>., 202</w:t>
      </w:r>
      <w:r>
        <w:rPr>
          <w:rFonts w:ascii="Times New Roman" w:hAnsi="Times New Roman"/>
          <w:sz w:val="24"/>
          <w:szCs w:val="24"/>
        </w:rPr>
        <w:t>4]</w:t>
      </w:r>
      <w:r w:rsidRPr="00B47B47">
        <w:rPr>
          <w:rFonts w:ascii="Times New Roman" w:hAnsi="Times New Roman"/>
          <w:sz w:val="24"/>
          <w:szCs w:val="24"/>
        </w:rPr>
        <w:t>.</w:t>
      </w:r>
    </w:p>
    <w:p w14:paraId="5C8574B6"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lastRenderedPageBreak/>
        <w:t xml:space="preserve">2. Improved </w:t>
      </w:r>
      <w:proofErr w:type="spellStart"/>
      <w:r w:rsidRPr="00B47B47">
        <w:rPr>
          <w:rFonts w:ascii="Times New Roman" w:hAnsi="Times New Roman"/>
          <w:sz w:val="24"/>
          <w:szCs w:val="24"/>
        </w:rPr>
        <w:t>Hematocrit:TXA</w:t>
      </w:r>
      <w:proofErr w:type="spellEnd"/>
      <w:r w:rsidRPr="00B47B47">
        <w:rPr>
          <w:rFonts w:ascii="Times New Roman" w:hAnsi="Times New Roman"/>
          <w:sz w:val="24"/>
          <w:szCs w:val="24"/>
        </w:rPr>
        <w:t xml:space="preserve"> can help improve hematocrit levels by reducing bleeding and preserving red blood cells </w:t>
      </w:r>
      <w:r>
        <w:rPr>
          <w:rFonts w:ascii="Times New Roman" w:hAnsi="Times New Roman"/>
          <w:sz w:val="24"/>
          <w:szCs w:val="24"/>
        </w:rPr>
        <w:t xml:space="preserve">[Zhou </w:t>
      </w:r>
      <w:r w:rsidRPr="00B47B47">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xml:space="preserve"> 2023</w:t>
      </w:r>
      <w:r>
        <w:rPr>
          <w:rFonts w:ascii="Times New Roman" w:hAnsi="Times New Roman"/>
          <w:sz w:val="24"/>
          <w:szCs w:val="24"/>
        </w:rPr>
        <w:t>]</w:t>
      </w:r>
      <w:r w:rsidRPr="00B47B47">
        <w:rPr>
          <w:rFonts w:ascii="Times New Roman" w:hAnsi="Times New Roman"/>
          <w:sz w:val="24"/>
          <w:szCs w:val="24"/>
        </w:rPr>
        <w:t>.</w:t>
      </w:r>
    </w:p>
    <w:p w14:paraId="06DB4130"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3. Cost-Effective: TXA is a cost-effective treatment option for reducing bleeding and transfusion requirements </w:t>
      </w:r>
      <w:r>
        <w:rPr>
          <w:rFonts w:ascii="Times New Roman" w:hAnsi="Times New Roman"/>
          <w:sz w:val="24"/>
          <w:szCs w:val="24"/>
        </w:rPr>
        <w:t>[</w:t>
      </w:r>
      <w:r w:rsidRPr="00B47B47">
        <w:rPr>
          <w:rFonts w:ascii="Times New Roman" w:hAnsi="Times New Roman"/>
          <w:sz w:val="24"/>
          <w:szCs w:val="24"/>
        </w:rPr>
        <w:t xml:space="preserve">Guerriero </w:t>
      </w:r>
      <w:r w:rsidRPr="00190BAD">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11]</w:t>
      </w:r>
      <w:r w:rsidRPr="00B47B47">
        <w:rPr>
          <w:rFonts w:ascii="Times New Roman" w:hAnsi="Times New Roman"/>
          <w:sz w:val="24"/>
          <w:szCs w:val="24"/>
        </w:rPr>
        <w:t>.</w:t>
      </w:r>
    </w:p>
    <w:p w14:paraId="24608476" w14:textId="77777777" w:rsidR="0005414C" w:rsidRPr="00B47B47"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e) </w:t>
      </w:r>
      <w:r w:rsidRPr="00B47B47">
        <w:rPr>
          <w:rFonts w:ascii="Times New Roman" w:hAnsi="Times New Roman"/>
          <w:b/>
          <w:sz w:val="24"/>
          <w:szCs w:val="24"/>
        </w:rPr>
        <w:t>Potential Risks and Side Effects:</w:t>
      </w:r>
    </w:p>
    <w:p w14:paraId="25C67B49"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Thromboembolic Events: TXA may increase the risk of thromboembolic events, such as deep vein thrombosis or pulmonary embolism </w:t>
      </w:r>
      <w:r>
        <w:rPr>
          <w:rFonts w:ascii="Times New Roman" w:hAnsi="Times New Roman"/>
          <w:sz w:val="24"/>
          <w:szCs w:val="24"/>
        </w:rPr>
        <w:t>[</w:t>
      </w:r>
      <w:proofErr w:type="spellStart"/>
      <w:r w:rsidRPr="00B47B47">
        <w:rPr>
          <w:rFonts w:ascii="Times New Roman" w:hAnsi="Times New Roman"/>
          <w:sz w:val="24"/>
          <w:szCs w:val="24"/>
        </w:rPr>
        <w:t>Taeuber</w:t>
      </w:r>
      <w:proofErr w:type="spellEnd"/>
      <w:r w:rsidRPr="00B47B47">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202</w:t>
      </w:r>
      <w:r>
        <w:rPr>
          <w:rFonts w:ascii="Times New Roman" w:hAnsi="Times New Roman"/>
          <w:sz w:val="24"/>
          <w:szCs w:val="24"/>
        </w:rPr>
        <w:t>1]</w:t>
      </w:r>
      <w:r w:rsidRPr="00B47B47">
        <w:rPr>
          <w:rFonts w:ascii="Times New Roman" w:hAnsi="Times New Roman"/>
          <w:sz w:val="24"/>
          <w:szCs w:val="24"/>
        </w:rPr>
        <w:t>.</w:t>
      </w:r>
    </w:p>
    <w:p w14:paraId="4A745FE2"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2. Seizures: TXA may increase the risk of seizures, particularly in patients with a history of seizure disorders </w:t>
      </w:r>
      <w:r>
        <w:rPr>
          <w:rFonts w:ascii="Times New Roman" w:hAnsi="Times New Roman"/>
          <w:sz w:val="24"/>
          <w:szCs w:val="24"/>
        </w:rPr>
        <w:t>[</w:t>
      </w:r>
      <w:proofErr w:type="spellStart"/>
      <w:r>
        <w:rPr>
          <w:rFonts w:ascii="Times New Roman" w:hAnsi="Times New Roman"/>
          <w:sz w:val="24"/>
          <w:szCs w:val="24"/>
        </w:rPr>
        <w:t>Lecker</w:t>
      </w:r>
      <w:proofErr w:type="spellEnd"/>
      <w:r>
        <w:rPr>
          <w:rFonts w:ascii="Times New Roman" w:hAnsi="Times New Roman"/>
          <w:sz w:val="24"/>
          <w:szCs w:val="24"/>
        </w:rPr>
        <w:t xml:space="preserve"> </w:t>
      </w:r>
      <w:r w:rsidRPr="00B47B47">
        <w:rPr>
          <w:rFonts w:ascii="Times New Roman" w:hAnsi="Times New Roman"/>
          <w:sz w:val="24"/>
          <w:szCs w:val="24"/>
        </w:rPr>
        <w:t xml:space="preserve"> </w:t>
      </w:r>
      <w:r w:rsidRPr="00190BAD">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16]</w:t>
      </w:r>
      <w:r w:rsidRPr="00B47B47">
        <w:rPr>
          <w:rFonts w:ascii="Times New Roman" w:hAnsi="Times New Roman"/>
          <w:sz w:val="24"/>
          <w:szCs w:val="24"/>
        </w:rPr>
        <w:t>.</w:t>
      </w:r>
    </w:p>
    <w:p w14:paraId="6D8F3C10" w14:textId="77777777" w:rsidR="0005414C" w:rsidRDefault="0005414C" w:rsidP="0005414C">
      <w:pPr>
        <w:spacing w:after="0" w:line="240" w:lineRule="auto"/>
        <w:jc w:val="both"/>
        <w:rPr>
          <w:rFonts w:ascii="Times New Roman" w:hAnsi="Times New Roman"/>
          <w:sz w:val="24"/>
          <w:szCs w:val="24"/>
        </w:rPr>
      </w:pPr>
      <w:r>
        <w:rPr>
          <w:rFonts w:ascii="Times New Roman" w:hAnsi="Times New Roman"/>
          <w:sz w:val="24"/>
          <w:szCs w:val="24"/>
        </w:rPr>
        <w:t xml:space="preserve">Finally </w:t>
      </w:r>
      <w:r w:rsidRPr="00B47B47">
        <w:rPr>
          <w:rFonts w:ascii="Times New Roman" w:hAnsi="Times New Roman"/>
          <w:sz w:val="24"/>
          <w:szCs w:val="24"/>
        </w:rPr>
        <w:t xml:space="preserve">, TXA is a valuable agent for optimizing hematocrit levels in surgical patients. Standardized </w:t>
      </w:r>
      <w:r>
        <w:rPr>
          <w:rFonts w:ascii="Times New Roman" w:hAnsi="Times New Roman"/>
          <w:sz w:val="24"/>
          <w:szCs w:val="24"/>
        </w:rPr>
        <w:t xml:space="preserve">clinical </w:t>
      </w:r>
      <w:r w:rsidRPr="00B47B47">
        <w:rPr>
          <w:rFonts w:ascii="Times New Roman" w:hAnsi="Times New Roman"/>
          <w:sz w:val="24"/>
          <w:szCs w:val="24"/>
        </w:rPr>
        <w:t>methods and strategies for using TXA include preoperative and intraoperative administration, combination therapy, and adherence to established protocols. While TXA is generally safe, potential risks and side effects, such as thromboembolic events and seizures, should be carefully monitored.</w:t>
      </w:r>
    </w:p>
    <w:p w14:paraId="2B001F49" w14:textId="77777777" w:rsidR="0005414C" w:rsidRPr="00532788" w:rsidRDefault="0005414C" w:rsidP="0005414C">
      <w:pPr>
        <w:pStyle w:val="ListParagraph"/>
        <w:numPr>
          <w:ilvl w:val="0"/>
          <w:numId w:val="3"/>
        </w:numPr>
        <w:spacing w:after="0" w:line="240" w:lineRule="auto"/>
        <w:jc w:val="both"/>
        <w:rPr>
          <w:rFonts w:ascii="Times New Roman" w:hAnsi="Times New Roman"/>
          <w:b/>
          <w:sz w:val="24"/>
          <w:szCs w:val="24"/>
        </w:rPr>
      </w:pPr>
      <w:r w:rsidRPr="00532788">
        <w:rPr>
          <w:rFonts w:ascii="Times New Roman" w:hAnsi="Times New Roman"/>
          <w:b/>
          <w:sz w:val="24"/>
          <w:szCs w:val="24"/>
        </w:rPr>
        <w:t>Standardized methods and strategies for using  blood conservation in the optimization of hematocrit</w:t>
      </w:r>
    </w:p>
    <w:p w14:paraId="7C56BDFD" w14:textId="1B5D20F3" w:rsidR="0005414C" w:rsidRPr="00995553"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Blood conservation strategies are essential in optimizing hematocrit levels and reducing the need for blood transfusions. Here are some standardized methods and strategies for blood conservation:</w:t>
      </w:r>
    </w:p>
    <w:p w14:paraId="26C3936A" w14:textId="77777777" w:rsidR="0005414C" w:rsidRPr="00A36662"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a) </w:t>
      </w:r>
      <w:r w:rsidRPr="00A36662">
        <w:rPr>
          <w:rFonts w:ascii="Times New Roman" w:hAnsi="Times New Roman"/>
          <w:b/>
          <w:sz w:val="24"/>
          <w:szCs w:val="24"/>
        </w:rPr>
        <w:t>Preoperative Strategies:</w:t>
      </w:r>
    </w:p>
    <w:p w14:paraId="37FB10C4"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Preoperative Autologous Blood Donation (PABD): PABD involves collecting and storing a patient's own blood before surgery to reduce the need for allogenic blood transfusions </w:t>
      </w:r>
      <w:r>
        <w:rPr>
          <w:rFonts w:ascii="Times New Roman" w:hAnsi="Times New Roman"/>
          <w:sz w:val="24"/>
          <w:szCs w:val="24"/>
        </w:rPr>
        <w:t>[</w:t>
      </w:r>
      <w:proofErr w:type="spellStart"/>
      <w:r>
        <w:rPr>
          <w:rFonts w:ascii="Times New Roman" w:hAnsi="Times New Roman"/>
          <w:sz w:val="24"/>
          <w:szCs w:val="24"/>
        </w:rPr>
        <w:t>Conforti</w:t>
      </w:r>
      <w:proofErr w:type="spellEnd"/>
      <w:r w:rsidRPr="00B47B47">
        <w:rPr>
          <w:rFonts w:ascii="Times New Roman" w:hAnsi="Times New Roman"/>
          <w:sz w:val="24"/>
          <w:szCs w:val="24"/>
        </w:rPr>
        <w:t xml:space="preserve"> </w:t>
      </w:r>
      <w:r w:rsidRPr="00A36662">
        <w:rPr>
          <w:rFonts w:ascii="Times New Roman" w:hAnsi="Times New Roman"/>
          <w:i/>
          <w:sz w:val="24"/>
          <w:szCs w:val="24"/>
        </w:rPr>
        <w:t xml:space="preserve">et al., </w:t>
      </w:r>
      <w:r w:rsidRPr="00B47B47">
        <w:rPr>
          <w:rFonts w:ascii="Times New Roman" w:hAnsi="Times New Roman"/>
          <w:sz w:val="24"/>
          <w:szCs w:val="24"/>
        </w:rPr>
        <w:t>20</w:t>
      </w:r>
      <w:r>
        <w:rPr>
          <w:rFonts w:ascii="Times New Roman" w:hAnsi="Times New Roman"/>
          <w:sz w:val="24"/>
          <w:szCs w:val="24"/>
        </w:rPr>
        <w:t>15]</w:t>
      </w:r>
      <w:r w:rsidRPr="00B47B47">
        <w:rPr>
          <w:rFonts w:ascii="Times New Roman" w:hAnsi="Times New Roman"/>
          <w:sz w:val="24"/>
          <w:szCs w:val="24"/>
        </w:rPr>
        <w:t>.</w:t>
      </w:r>
    </w:p>
    <w:p w14:paraId="35BEFF14"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2. Erythropoietin (EPO) Therapy: EPO therapy can be used to increase red blood cell production and reduce the need for blood transfusions (</w:t>
      </w:r>
      <w:r>
        <w:rPr>
          <w:rFonts w:ascii="Times New Roman" w:hAnsi="Times New Roman"/>
          <w:sz w:val="24"/>
          <w:szCs w:val="24"/>
        </w:rPr>
        <w:t xml:space="preserve">Hakim </w:t>
      </w:r>
      <w:r w:rsidRPr="00B47B47">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4</w:t>
      </w:r>
      <w:r w:rsidRPr="00B47B47">
        <w:rPr>
          <w:rFonts w:ascii="Times New Roman" w:hAnsi="Times New Roman"/>
          <w:sz w:val="24"/>
          <w:szCs w:val="24"/>
        </w:rPr>
        <w:t>).</w:t>
      </w:r>
    </w:p>
    <w:p w14:paraId="7B4C6DDD"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3. Iron Supplementation: Iron supplementation can help optimize hematocrit levels and reduce the need for blood transfusions </w:t>
      </w:r>
      <w:r>
        <w:rPr>
          <w:rFonts w:ascii="Times New Roman" w:hAnsi="Times New Roman"/>
          <w:sz w:val="24"/>
          <w:szCs w:val="24"/>
        </w:rPr>
        <w:t>[</w:t>
      </w:r>
      <w:proofErr w:type="spellStart"/>
      <w:r>
        <w:rPr>
          <w:rFonts w:ascii="Times New Roman" w:hAnsi="Times New Roman"/>
          <w:sz w:val="24"/>
          <w:szCs w:val="24"/>
        </w:rPr>
        <w:t>Conforti</w:t>
      </w:r>
      <w:proofErr w:type="spellEnd"/>
      <w:r w:rsidRPr="00B47B47">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15]</w:t>
      </w:r>
      <w:r w:rsidRPr="00B47B47">
        <w:rPr>
          <w:rFonts w:ascii="Times New Roman" w:hAnsi="Times New Roman"/>
          <w:sz w:val="24"/>
          <w:szCs w:val="24"/>
        </w:rPr>
        <w:t>.</w:t>
      </w:r>
    </w:p>
    <w:p w14:paraId="3E1FC20E" w14:textId="77777777" w:rsidR="0005414C" w:rsidRPr="001907EB"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b) </w:t>
      </w:r>
      <w:r w:rsidRPr="001907EB">
        <w:rPr>
          <w:rFonts w:ascii="Times New Roman" w:hAnsi="Times New Roman"/>
          <w:b/>
          <w:sz w:val="24"/>
          <w:szCs w:val="24"/>
        </w:rPr>
        <w:t>Intraoperative Strategies:</w:t>
      </w:r>
    </w:p>
    <w:p w14:paraId="636455D8"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1.Surgical Technique:</w:t>
      </w:r>
      <w:r>
        <w:rPr>
          <w:rFonts w:ascii="Times New Roman" w:hAnsi="Times New Roman"/>
          <w:sz w:val="24"/>
          <w:szCs w:val="24"/>
        </w:rPr>
        <w:t xml:space="preserve"> </w:t>
      </w:r>
      <w:r w:rsidRPr="00B47B47">
        <w:rPr>
          <w:rFonts w:ascii="Times New Roman" w:hAnsi="Times New Roman"/>
          <w:sz w:val="24"/>
          <w:szCs w:val="24"/>
        </w:rPr>
        <w:t>Surgeons can use techniques that minimize blood loss, such as electrocautery and ligation (</w:t>
      </w:r>
      <w:proofErr w:type="spellStart"/>
      <w:r>
        <w:rPr>
          <w:rFonts w:ascii="Times New Roman" w:hAnsi="Times New Roman"/>
          <w:sz w:val="24"/>
          <w:szCs w:val="24"/>
        </w:rPr>
        <w:t>Tohme</w:t>
      </w:r>
      <w:proofErr w:type="spellEnd"/>
      <w:r>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16</w:t>
      </w:r>
      <w:r w:rsidRPr="00B47B47">
        <w:rPr>
          <w:rFonts w:ascii="Times New Roman" w:hAnsi="Times New Roman"/>
          <w:sz w:val="24"/>
          <w:szCs w:val="24"/>
        </w:rPr>
        <w:t>,).</w:t>
      </w:r>
    </w:p>
    <w:p w14:paraId="1B3E399B"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2. Anesthetic Technique: Anesthesiologists can use techniques that minimize blood loss, such as controlled hypotension (</w:t>
      </w:r>
      <w:r>
        <w:rPr>
          <w:rFonts w:ascii="Times New Roman" w:hAnsi="Times New Roman"/>
          <w:sz w:val="24"/>
          <w:szCs w:val="24"/>
        </w:rPr>
        <w:t xml:space="preserve">Emilia </w:t>
      </w:r>
      <w:r w:rsidRPr="00A36662">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11</w:t>
      </w:r>
      <w:r w:rsidRPr="00B47B47">
        <w:rPr>
          <w:rFonts w:ascii="Times New Roman" w:hAnsi="Times New Roman"/>
          <w:sz w:val="24"/>
          <w:szCs w:val="24"/>
        </w:rPr>
        <w:t>).</w:t>
      </w:r>
    </w:p>
    <w:p w14:paraId="3D34A5A2"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3. Blood Salvage: Blood salvage involves collecting and reinfusing a patient's own blood lost during surgery (</w:t>
      </w:r>
      <w:r>
        <w:rPr>
          <w:rFonts w:ascii="Times New Roman" w:hAnsi="Times New Roman"/>
          <w:sz w:val="24"/>
          <w:szCs w:val="24"/>
        </w:rPr>
        <w:t>Yen</w:t>
      </w:r>
      <w:r w:rsidRPr="00B47B47">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2023).</w:t>
      </w:r>
    </w:p>
    <w:p w14:paraId="27C305C7"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4. Hemostatic Agents:</w:t>
      </w:r>
      <w:r>
        <w:rPr>
          <w:rFonts w:ascii="Times New Roman" w:hAnsi="Times New Roman"/>
          <w:sz w:val="24"/>
          <w:szCs w:val="24"/>
        </w:rPr>
        <w:t xml:space="preserve"> </w:t>
      </w:r>
      <w:r w:rsidRPr="00B47B47">
        <w:rPr>
          <w:rFonts w:ascii="Times New Roman" w:hAnsi="Times New Roman"/>
          <w:sz w:val="24"/>
          <w:szCs w:val="24"/>
        </w:rPr>
        <w:t>Hemostatic agents, such as fibrin glue and thrombin, can be used to control bleeding (</w:t>
      </w:r>
      <w:r>
        <w:rPr>
          <w:rFonts w:ascii="Times New Roman" w:hAnsi="Times New Roman"/>
          <w:sz w:val="24"/>
          <w:szCs w:val="24"/>
        </w:rPr>
        <w:t>Brown  and Solomon ,</w:t>
      </w:r>
      <w:r w:rsidRPr="00B47B47">
        <w:rPr>
          <w:rFonts w:ascii="Times New Roman" w:hAnsi="Times New Roman"/>
          <w:sz w:val="24"/>
          <w:szCs w:val="24"/>
        </w:rPr>
        <w:t>202</w:t>
      </w:r>
      <w:r>
        <w:rPr>
          <w:rFonts w:ascii="Times New Roman" w:hAnsi="Times New Roman"/>
          <w:sz w:val="24"/>
          <w:szCs w:val="24"/>
        </w:rPr>
        <w:t>4</w:t>
      </w:r>
      <w:r w:rsidRPr="00B47B47">
        <w:rPr>
          <w:rFonts w:ascii="Times New Roman" w:hAnsi="Times New Roman"/>
          <w:sz w:val="24"/>
          <w:szCs w:val="24"/>
        </w:rPr>
        <w:t>).</w:t>
      </w:r>
    </w:p>
    <w:p w14:paraId="7FC17988" w14:textId="77777777" w:rsidR="0005414C" w:rsidRPr="00A36662"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c) </w:t>
      </w:r>
      <w:r w:rsidRPr="00A36662">
        <w:rPr>
          <w:rFonts w:ascii="Times New Roman" w:hAnsi="Times New Roman"/>
          <w:b/>
          <w:sz w:val="24"/>
          <w:szCs w:val="24"/>
        </w:rPr>
        <w:t>Postoperative Strategies:</w:t>
      </w:r>
    </w:p>
    <w:p w14:paraId="3C60593B"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1. Postoperative Blood Salvage:</w:t>
      </w:r>
      <w:r>
        <w:rPr>
          <w:rFonts w:ascii="Times New Roman" w:hAnsi="Times New Roman"/>
          <w:sz w:val="24"/>
          <w:szCs w:val="24"/>
        </w:rPr>
        <w:t xml:space="preserve"> </w:t>
      </w:r>
      <w:r w:rsidRPr="00B47B47">
        <w:rPr>
          <w:rFonts w:ascii="Times New Roman" w:hAnsi="Times New Roman"/>
          <w:sz w:val="24"/>
          <w:szCs w:val="24"/>
        </w:rPr>
        <w:t xml:space="preserve">Postoperative blood salvage involves collecting and reinfusing a patient's own blood lost after surgery </w:t>
      </w:r>
      <w:r>
        <w:rPr>
          <w:rFonts w:ascii="Times New Roman" w:hAnsi="Times New Roman"/>
          <w:sz w:val="24"/>
          <w:szCs w:val="24"/>
        </w:rPr>
        <w:t>[</w:t>
      </w:r>
      <w:r w:rsidRPr="00B47B47">
        <w:rPr>
          <w:rFonts w:ascii="Times New Roman" w:hAnsi="Times New Roman"/>
          <w:sz w:val="24"/>
          <w:szCs w:val="24"/>
        </w:rPr>
        <w:t>Car</w:t>
      </w:r>
      <w:r>
        <w:rPr>
          <w:rFonts w:ascii="Times New Roman" w:hAnsi="Times New Roman"/>
          <w:sz w:val="24"/>
          <w:szCs w:val="24"/>
        </w:rPr>
        <w:t>less</w:t>
      </w:r>
      <w:r w:rsidRPr="00B47B47">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w:t>
      </w:r>
      <w:r>
        <w:rPr>
          <w:rFonts w:ascii="Times New Roman" w:hAnsi="Times New Roman"/>
          <w:sz w:val="24"/>
          <w:szCs w:val="24"/>
        </w:rPr>
        <w:t>10]</w:t>
      </w:r>
      <w:r w:rsidRPr="00B47B47">
        <w:rPr>
          <w:rFonts w:ascii="Times New Roman" w:hAnsi="Times New Roman"/>
          <w:sz w:val="24"/>
          <w:szCs w:val="24"/>
        </w:rPr>
        <w:t>.</w:t>
      </w:r>
    </w:p>
    <w:p w14:paraId="574C0BF7"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2. Close Monitoring:</w:t>
      </w:r>
      <w:r>
        <w:rPr>
          <w:rFonts w:ascii="Times New Roman" w:hAnsi="Times New Roman"/>
          <w:sz w:val="24"/>
          <w:szCs w:val="24"/>
        </w:rPr>
        <w:t xml:space="preserve"> </w:t>
      </w:r>
      <w:r w:rsidRPr="00B47B47">
        <w:rPr>
          <w:rFonts w:ascii="Times New Roman" w:hAnsi="Times New Roman"/>
          <w:sz w:val="24"/>
          <w:szCs w:val="24"/>
        </w:rPr>
        <w:t xml:space="preserve">Close monitoring of hematocrit levels and vital signs can help identify patients who require blood transfusions </w:t>
      </w:r>
      <w:r>
        <w:rPr>
          <w:rFonts w:ascii="Times New Roman" w:hAnsi="Times New Roman"/>
          <w:sz w:val="24"/>
          <w:szCs w:val="24"/>
        </w:rPr>
        <w:t xml:space="preserve">[Mondal </w:t>
      </w:r>
      <w:r w:rsidRPr="00A36662">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5]</w:t>
      </w:r>
      <w:r w:rsidRPr="00B47B47">
        <w:rPr>
          <w:rFonts w:ascii="Times New Roman" w:hAnsi="Times New Roman"/>
          <w:sz w:val="24"/>
          <w:szCs w:val="24"/>
        </w:rPr>
        <w:t>.</w:t>
      </w:r>
    </w:p>
    <w:p w14:paraId="1B73F346" w14:textId="77777777" w:rsidR="0005414C" w:rsidRPr="00A36662" w:rsidRDefault="0005414C" w:rsidP="0005414C">
      <w:pPr>
        <w:spacing w:after="0" w:line="240" w:lineRule="auto"/>
        <w:jc w:val="both"/>
        <w:rPr>
          <w:rFonts w:ascii="Times New Roman" w:hAnsi="Times New Roman"/>
          <w:b/>
          <w:sz w:val="24"/>
          <w:szCs w:val="24"/>
        </w:rPr>
      </w:pPr>
      <w:r>
        <w:rPr>
          <w:rFonts w:ascii="Times New Roman" w:hAnsi="Times New Roman"/>
          <w:b/>
          <w:sz w:val="24"/>
          <w:szCs w:val="24"/>
        </w:rPr>
        <w:t xml:space="preserve">d) </w:t>
      </w:r>
      <w:r w:rsidRPr="00A36662">
        <w:rPr>
          <w:rFonts w:ascii="Times New Roman" w:hAnsi="Times New Roman"/>
          <w:b/>
          <w:sz w:val="24"/>
          <w:szCs w:val="24"/>
        </w:rPr>
        <w:t>Standardized Protocols:</w:t>
      </w:r>
    </w:p>
    <w:p w14:paraId="4A489786"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1. Patient Blood Management (PBM) </w:t>
      </w:r>
      <w:proofErr w:type="spellStart"/>
      <w:r w:rsidRPr="00B47B47">
        <w:rPr>
          <w:rFonts w:ascii="Times New Roman" w:hAnsi="Times New Roman"/>
          <w:sz w:val="24"/>
          <w:szCs w:val="24"/>
        </w:rPr>
        <w:t>Programs:PBM</w:t>
      </w:r>
      <w:proofErr w:type="spellEnd"/>
      <w:r w:rsidRPr="00B47B47">
        <w:rPr>
          <w:rFonts w:ascii="Times New Roman" w:hAnsi="Times New Roman"/>
          <w:sz w:val="24"/>
          <w:szCs w:val="24"/>
        </w:rPr>
        <w:t xml:space="preserve"> programs involve a multidisciplinary approach to optimizing blood management in patients undergoing surgery </w:t>
      </w:r>
      <w:r>
        <w:rPr>
          <w:rFonts w:ascii="Times New Roman" w:hAnsi="Times New Roman"/>
          <w:sz w:val="24"/>
          <w:szCs w:val="24"/>
        </w:rPr>
        <w:t>[</w:t>
      </w:r>
      <w:proofErr w:type="spellStart"/>
      <w:r w:rsidRPr="00B47B47">
        <w:rPr>
          <w:rFonts w:ascii="Times New Roman" w:hAnsi="Times New Roman"/>
          <w:sz w:val="24"/>
          <w:szCs w:val="24"/>
        </w:rPr>
        <w:t>Meybohm</w:t>
      </w:r>
      <w:proofErr w:type="spellEnd"/>
      <w:r w:rsidRPr="00B47B47">
        <w:rPr>
          <w:rFonts w:ascii="Times New Roman" w:hAnsi="Times New Roman"/>
          <w:sz w:val="24"/>
          <w:szCs w:val="24"/>
        </w:rPr>
        <w:t xml:space="preserve"> </w:t>
      </w:r>
      <w:r w:rsidRPr="00A36662">
        <w:rPr>
          <w:rFonts w:ascii="Times New Roman" w:hAnsi="Times New Roman"/>
          <w:i/>
          <w:sz w:val="24"/>
          <w:szCs w:val="24"/>
        </w:rPr>
        <w:t>et al.,</w:t>
      </w:r>
      <w:r w:rsidRPr="00B47B47">
        <w:rPr>
          <w:rFonts w:ascii="Times New Roman" w:hAnsi="Times New Roman"/>
          <w:sz w:val="24"/>
          <w:szCs w:val="24"/>
        </w:rPr>
        <w:t xml:space="preserve"> 2023</w:t>
      </w:r>
      <w:r>
        <w:rPr>
          <w:rFonts w:ascii="Times New Roman" w:hAnsi="Times New Roman"/>
          <w:sz w:val="24"/>
          <w:szCs w:val="24"/>
        </w:rPr>
        <w:t>]</w:t>
      </w:r>
    </w:p>
    <w:p w14:paraId="5DE9DA60" w14:textId="77777777" w:rsidR="0005414C" w:rsidRPr="00B47B47" w:rsidRDefault="0005414C" w:rsidP="0005414C">
      <w:pPr>
        <w:spacing w:after="0" w:line="240" w:lineRule="auto"/>
        <w:jc w:val="both"/>
        <w:rPr>
          <w:rFonts w:ascii="Times New Roman" w:hAnsi="Times New Roman"/>
          <w:sz w:val="24"/>
          <w:szCs w:val="24"/>
        </w:rPr>
      </w:pPr>
      <w:r w:rsidRPr="00B47B47">
        <w:rPr>
          <w:rFonts w:ascii="Times New Roman" w:hAnsi="Times New Roman"/>
          <w:sz w:val="24"/>
          <w:szCs w:val="24"/>
        </w:rPr>
        <w:t xml:space="preserve">2. Evidence-Based Transfusion </w:t>
      </w:r>
      <w:proofErr w:type="spellStart"/>
      <w:r w:rsidRPr="00B47B47">
        <w:rPr>
          <w:rFonts w:ascii="Times New Roman" w:hAnsi="Times New Roman"/>
          <w:sz w:val="24"/>
          <w:szCs w:val="24"/>
        </w:rPr>
        <w:t>Guidelines:Evidence-based</w:t>
      </w:r>
      <w:proofErr w:type="spellEnd"/>
      <w:r w:rsidRPr="00B47B47">
        <w:rPr>
          <w:rFonts w:ascii="Times New Roman" w:hAnsi="Times New Roman"/>
          <w:sz w:val="24"/>
          <w:szCs w:val="24"/>
        </w:rPr>
        <w:t xml:space="preserve"> transfusion guidelines can help optimize blood transfusions and reduce unnecessary transfusions </w:t>
      </w:r>
      <w:r>
        <w:rPr>
          <w:rFonts w:ascii="Times New Roman" w:hAnsi="Times New Roman"/>
          <w:sz w:val="24"/>
          <w:szCs w:val="24"/>
        </w:rPr>
        <w:t xml:space="preserve">[Stella </w:t>
      </w:r>
      <w:r w:rsidRPr="00224E18">
        <w:rPr>
          <w:rFonts w:ascii="Times New Roman" w:hAnsi="Times New Roman"/>
          <w:i/>
          <w:sz w:val="24"/>
          <w:szCs w:val="24"/>
        </w:rPr>
        <w:t>et al</w:t>
      </w:r>
      <w:r>
        <w:rPr>
          <w:rFonts w:ascii="Times New Roman" w:hAnsi="Times New Roman"/>
          <w:sz w:val="24"/>
          <w:szCs w:val="24"/>
        </w:rPr>
        <w:t>.</w:t>
      </w:r>
      <w:r w:rsidRPr="00B47B47">
        <w:rPr>
          <w:rFonts w:ascii="Times New Roman" w:hAnsi="Times New Roman"/>
          <w:sz w:val="24"/>
          <w:szCs w:val="24"/>
        </w:rPr>
        <w:t>,2022</w:t>
      </w:r>
      <w:r>
        <w:rPr>
          <w:rFonts w:ascii="Times New Roman" w:hAnsi="Times New Roman"/>
          <w:sz w:val="24"/>
          <w:szCs w:val="24"/>
        </w:rPr>
        <w:t>]</w:t>
      </w:r>
      <w:r w:rsidRPr="00B47B47">
        <w:rPr>
          <w:rFonts w:ascii="Times New Roman" w:hAnsi="Times New Roman"/>
          <w:sz w:val="24"/>
          <w:szCs w:val="24"/>
        </w:rPr>
        <w:t>.</w:t>
      </w:r>
    </w:p>
    <w:p w14:paraId="6F6B87E3" w14:textId="77777777" w:rsidR="0005414C" w:rsidRPr="00117F09" w:rsidRDefault="0005414C" w:rsidP="0005414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Finally </w:t>
      </w:r>
      <w:r w:rsidRPr="00B47B47">
        <w:rPr>
          <w:rFonts w:ascii="Times New Roman" w:hAnsi="Times New Roman"/>
          <w:sz w:val="24"/>
          <w:szCs w:val="24"/>
        </w:rPr>
        <w:t xml:space="preserve">, standardized </w:t>
      </w:r>
      <w:r>
        <w:rPr>
          <w:rFonts w:ascii="Times New Roman" w:hAnsi="Times New Roman"/>
          <w:sz w:val="24"/>
          <w:szCs w:val="24"/>
        </w:rPr>
        <w:t xml:space="preserve">clinical </w:t>
      </w:r>
      <w:r w:rsidRPr="00B47B47">
        <w:rPr>
          <w:rFonts w:ascii="Times New Roman" w:hAnsi="Times New Roman"/>
          <w:sz w:val="24"/>
          <w:szCs w:val="24"/>
        </w:rPr>
        <w:t>methods and strategies for blood conservation can help optimize hematocrit levels and reduce the need for blood transfusions. These strategies include preoperative, intraoperative, and postoperative approaches, as well as standardized protocols such as PBM programs and evidence-based transfusion guidelines.</w:t>
      </w:r>
    </w:p>
    <w:p w14:paraId="0B4908B4" w14:textId="77777777" w:rsidR="0005414C" w:rsidRPr="00532788" w:rsidRDefault="0005414C" w:rsidP="0005414C">
      <w:pPr>
        <w:pStyle w:val="ListParagraph"/>
        <w:numPr>
          <w:ilvl w:val="0"/>
          <w:numId w:val="3"/>
        </w:numPr>
        <w:spacing w:after="0" w:line="240" w:lineRule="auto"/>
        <w:jc w:val="both"/>
        <w:rPr>
          <w:rFonts w:ascii="Times New Roman" w:hAnsi="Times New Roman"/>
          <w:b/>
          <w:sz w:val="24"/>
          <w:szCs w:val="24"/>
        </w:rPr>
      </w:pPr>
      <w:r w:rsidRPr="00532788">
        <w:rPr>
          <w:rFonts w:ascii="Times New Roman" w:hAnsi="Times New Roman"/>
          <w:b/>
          <w:sz w:val="24"/>
          <w:szCs w:val="24"/>
        </w:rPr>
        <w:t xml:space="preserve">Standardized </w:t>
      </w:r>
      <w:r>
        <w:rPr>
          <w:rFonts w:ascii="Times New Roman" w:hAnsi="Times New Roman"/>
          <w:b/>
          <w:sz w:val="24"/>
          <w:szCs w:val="24"/>
        </w:rPr>
        <w:t xml:space="preserve">clinical </w:t>
      </w:r>
      <w:r w:rsidRPr="00532788">
        <w:rPr>
          <w:rFonts w:ascii="Times New Roman" w:hAnsi="Times New Roman"/>
          <w:b/>
          <w:sz w:val="24"/>
          <w:szCs w:val="24"/>
        </w:rPr>
        <w:t>methods and strategies for optimization  of hematocrit or PCV  using nutritive approach</w:t>
      </w:r>
    </w:p>
    <w:p w14:paraId="0BDF90F9" w14:textId="77777777" w:rsidR="0005414C" w:rsidRPr="00532788"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Hematocrit, or packed cell volume (PCV), is a critical parameter in assessing an individual's red blood cell mass and overall health. Optimizing hematocrit levels is essential for maintaining adequate oxygen delivery to tissues and organs. A nutritive approach, focusing on dietary modifications and nutrient supplementation, can play a significant role in optimizing hematocrit levels. This literature review aims to discuss the various methods and strategies for optimizing hematocrit or PCV using a nutritive approach.</w:t>
      </w:r>
    </w:p>
    <w:p w14:paraId="1AC9610C" w14:textId="77777777" w:rsidR="0005414C" w:rsidRPr="00532788" w:rsidRDefault="0005414C" w:rsidP="0005414C">
      <w:pPr>
        <w:pStyle w:val="ListParagraph"/>
        <w:numPr>
          <w:ilvl w:val="0"/>
          <w:numId w:val="7"/>
        </w:numPr>
        <w:spacing w:after="0" w:line="240" w:lineRule="auto"/>
        <w:jc w:val="both"/>
        <w:rPr>
          <w:rFonts w:ascii="Times New Roman" w:hAnsi="Times New Roman"/>
          <w:b/>
          <w:sz w:val="24"/>
          <w:szCs w:val="24"/>
        </w:rPr>
      </w:pPr>
      <w:r w:rsidRPr="00532788">
        <w:rPr>
          <w:rFonts w:ascii="Times New Roman" w:hAnsi="Times New Roman"/>
          <w:b/>
          <w:sz w:val="24"/>
          <w:szCs w:val="24"/>
        </w:rPr>
        <w:t xml:space="preserve">Iron intake  requirement </w:t>
      </w:r>
    </w:p>
    <w:p w14:paraId="3A9CD2DD" w14:textId="77777777" w:rsidR="0005414C"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Iron is a crucial nutrient for hematopoiesis, and adequate iron intake is essential for maintaining healthy red blood cells (</w:t>
      </w:r>
      <w:proofErr w:type="spellStart"/>
      <w:r w:rsidRPr="00117F09">
        <w:rPr>
          <w:rFonts w:ascii="Times New Roman" w:hAnsi="Times New Roman"/>
          <w:sz w:val="24"/>
          <w:szCs w:val="24"/>
        </w:rPr>
        <w:t>Camaschella</w:t>
      </w:r>
      <w:proofErr w:type="spellEnd"/>
      <w:r w:rsidRPr="00117F09">
        <w:rPr>
          <w:rFonts w:ascii="Times New Roman" w:hAnsi="Times New Roman"/>
          <w:sz w:val="24"/>
          <w:szCs w:val="24"/>
        </w:rPr>
        <w:t>, 20</w:t>
      </w:r>
      <w:r>
        <w:rPr>
          <w:rFonts w:ascii="Times New Roman" w:hAnsi="Times New Roman"/>
          <w:sz w:val="24"/>
          <w:szCs w:val="24"/>
        </w:rPr>
        <w:t>19</w:t>
      </w:r>
      <w:r w:rsidRPr="00117F09">
        <w:rPr>
          <w:rFonts w:ascii="Times New Roman" w:hAnsi="Times New Roman"/>
          <w:sz w:val="24"/>
          <w:szCs w:val="24"/>
        </w:rPr>
        <w:t xml:space="preserve">). Iron-rich foods, such as red meat, poultry, fish, and fortified cereals, can help increase iron stores and support hematopoiesis. Iron supplementation, particularly in individuals with iron deficiency anemia, can also help optimize hematocrit levels </w:t>
      </w:r>
      <w:r>
        <w:rPr>
          <w:rFonts w:ascii="Times New Roman" w:hAnsi="Times New Roman"/>
          <w:sz w:val="24"/>
          <w:szCs w:val="24"/>
        </w:rPr>
        <w:t xml:space="preserve">[Mondal </w:t>
      </w:r>
      <w:r w:rsidRPr="00A36662">
        <w:rPr>
          <w:rFonts w:ascii="Times New Roman" w:hAnsi="Times New Roman"/>
          <w:i/>
          <w:sz w:val="24"/>
          <w:szCs w:val="24"/>
        </w:rPr>
        <w:t>et al.,</w:t>
      </w:r>
      <w:r w:rsidRPr="00B47B47">
        <w:rPr>
          <w:rFonts w:ascii="Times New Roman" w:hAnsi="Times New Roman"/>
          <w:sz w:val="24"/>
          <w:szCs w:val="24"/>
        </w:rPr>
        <w:t xml:space="preserve"> 202</w:t>
      </w:r>
      <w:r>
        <w:rPr>
          <w:rFonts w:ascii="Times New Roman" w:hAnsi="Times New Roman"/>
          <w:sz w:val="24"/>
          <w:szCs w:val="24"/>
        </w:rPr>
        <w:t>5]</w:t>
      </w:r>
      <w:r w:rsidRPr="00117F09">
        <w:rPr>
          <w:rFonts w:ascii="Times New Roman" w:hAnsi="Times New Roman"/>
          <w:sz w:val="24"/>
          <w:szCs w:val="24"/>
        </w:rPr>
        <w:t>.</w:t>
      </w:r>
    </w:p>
    <w:p w14:paraId="2D524965" w14:textId="77777777" w:rsidR="0005414C" w:rsidRPr="00117F09" w:rsidRDefault="0005414C" w:rsidP="0005414C">
      <w:pPr>
        <w:spacing w:after="0" w:line="240" w:lineRule="auto"/>
        <w:jc w:val="both"/>
        <w:rPr>
          <w:rFonts w:ascii="Times New Roman" w:hAnsi="Times New Roman"/>
          <w:sz w:val="24"/>
          <w:szCs w:val="24"/>
        </w:rPr>
      </w:pPr>
    </w:p>
    <w:p w14:paraId="48D66AC1" w14:textId="77777777" w:rsidR="0005414C" w:rsidRPr="00532788" w:rsidRDefault="0005414C" w:rsidP="0005414C">
      <w:pPr>
        <w:pStyle w:val="ListParagraph"/>
        <w:numPr>
          <w:ilvl w:val="0"/>
          <w:numId w:val="7"/>
        </w:numPr>
        <w:spacing w:after="0" w:line="240" w:lineRule="auto"/>
        <w:jc w:val="both"/>
        <w:rPr>
          <w:rFonts w:ascii="Times New Roman" w:hAnsi="Times New Roman"/>
          <w:b/>
          <w:sz w:val="24"/>
          <w:szCs w:val="24"/>
        </w:rPr>
      </w:pPr>
      <w:r w:rsidRPr="00532788">
        <w:rPr>
          <w:rFonts w:ascii="Times New Roman" w:hAnsi="Times New Roman"/>
          <w:b/>
          <w:sz w:val="24"/>
          <w:szCs w:val="24"/>
        </w:rPr>
        <w:t xml:space="preserve">Vitamin B12 intake requirement </w:t>
      </w:r>
    </w:p>
    <w:p w14:paraId="64CA3764"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Vitamin B12 plays a critical role in the production of red blood cells, and deficiency can lead to anemia (Green </w:t>
      </w:r>
      <w:r>
        <w:rPr>
          <w:rFonts w:ascii="Times New Roman" w:hAnsi="Times New Roman"/>
          <w:sz w:val="24"/>
          <w:szCs w:val="24"/>
        </w:rPr>
        <w:t xml:space="preserve">&amp; Miller, </w:t>
      </w:r>
      <w:r w:rsidRPr="00117F09">
        <w:rPr>
          <w:rFonts w:ascii="Times New Roman" w:hAnsi="Times New Roman"/>
          <w:sz w:val="24"/>
          <w:szCs w:val="24"/>
        </w:rPr>
        <w:t>20</w:t>
      </w:r>
      <w:r>
        <w:rPr>
          <w:rFonts w:ascii="Times New Roman" w:hAnsi="Times New Roman"/>
          <w:sz w:val="24"/>
          <w:szCs w:val="24"/>
        </w:rPr>
        <w:t>22</w:t>
      </w:r>
      <w:r w:rsidRPr="00117F09">
        <w:rPr>
          <w:rFonts w:ascii="Times New Roman" w:hAnsi="Times New Roman"/>
          <w:sz w:val="24"/>
          <w:szCs w:val="24"/>
        </w:rPr>
        <w:t>). Foods rich in vitamin B12, such as animal products, fish, and fortified plant-based milk, can help maintain adequate vitamin B12 levels. Vitamin B12 supplementation may be necessary for individuals with deficiency or insufficiency.</w:t>
      </w:r>
    </w:p>
    <w:p w14:paraId="3CBBE9E5" w14:textId="77777777" w:rsidR="0005414C" w:rsidRPr="00532788" w:rsidRDefault="0005414C" w:rsidP="0005414C">
      <w:pPr>
        <w:pStyle w:val="ListParagraph"/>
        <w:numPr>
          <w:ilvl w:val="0"/>
          <w:numId w:val="7"/>
        </w:numPr>
        <w:spacing w:after="0" w:line="240" w:lineRule="auto"/>
        <w:jc w:val="both"/>
        <w:rPr>
          <w:rFonts w:ascii="Times New Roman" w:hAnsi="Times New Roman"/>
          <w:b/>
          <w:sz w:val="24"/>
          <w:szCs w:val="24"/>
        </w:rPr>
      </w:pPr>
      <w:r w:rsidRPr="00532788">
        <w:rPr>
          <w:rFonts w:ascii="Times New Roman" w:hAnsi="Times New Roman"/>
          <w:b/>
          <w:sz w:val="24"/>
          <w:szCs w:val="24"/>
        </w:rPr>
        <w:t xml:space="preserve">Folate intake requirement </w:t>
      </w:r>
    </w:p>
    <w:p w14:paraId="1008C59E"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Folate, a B vitamin, is essential for red blood cell production, and deficiency can lead to anemia </w:t>
      </w:r>
      <w:r>
        <w:rPr>
          <w:rFonts w:ascii="Times New Roman" w:hAnsi="Times New Roman"/>
          <w:sz w:val="24"/>
          <w:szCs w:val="24"/>
        </w:rPr>
        <w:t xml:space="preserve">[Hampton </w:t>
      </w:r>
      <w:r w:rsidRPr="00BA078C">
        <w:rPr>
          <w:rFonts w:ascii="Times New Roman" w:hAnsi="Times New Roman"/>
          <w:i/>
          <w:sz w:val="24"/>
          <w:szCs w:val="24"/>
        </w:rPr>
        <w:t>,</w:t>
      </w:r>
      <w:r w:rsidRPr="00117F09">
        <w:rPr>
          <w:rFonts w:ascii="Times New Roman" w:hAnsi="Times New Roman"/>
          <w:sz w:val="24"/>
          <w:szCs w:val="24"/>
        </w:rPr>
        <w:t xml:space="preserve"> 20</w:t>
      </w:r>
      <w:r>
        <w:rPr>
          <w:rFonts w:ascii="Times New Roman" w:hAnsi="Times New Roman"/>
          <w:sz w:val="24"/>
          <w:szCs w:val="24"/>
        </w:rPr>
        <w:t>11 and Sukla,2013]</w:t>
      </w:r>
      <w:r w:rsidRPr="00117F09">
        <w:rPr>
          <w:rFonts w:ascii="Times New Roman" w:hAnsi="Times New Roman"/>
          <w:sz w:val="24"/>
          <w:szCs w:val="24"/>
        </w:rPr>
        <w:t>. Foods rich in folate, such as leafy greens, legumes, and fortified cereals, can help maintain adequate folate levels. Folate supplementation may be necessary for individuals with deficiency or insufficiency.</w:t>
      </w:r>
    </w:p>
    <w:p w14:paraId="3B92068E" w14:textId="77777777" w:rsidR="0005414C" w:rsidRPr="00532788" w:rsidRDefault="0005414C" w:rsidP="0005414C">
      <w:pPr>
        <w:pStyle w:val="ListParagraph"/>
        <w:numPr>
          <w:ilvl w:val="0"/>
          <w:numId w:val="7"/>
        </w:numPr>
        <w:spacing w:after="0" w:line="240" w:lineRule="auto"/>
        <w:jc w:val="both"/>
        <w:rPr>
          <w:rFonts w:ascii="Times New Roman" w:hAnsi="Times New Roman"/>
          <w:b/>
          <w:sz w:val="24"/>
          <w:szCs w:val="24"/>
        </w:rPr>
      </w:pPr>
      <w:r w:rsidRPr="00532788">
        <w:rPr>
          <w:rFonts w:ascii="Times New Roman" w:hAnsi="Times New Roman"/>
          <w:b/>
          <w:sz w:val="24"/>
          <w:szCs w:val="24"/>
        </w:rPr>
        <w:t>Other Nutrients</w:t>
      </w:r>
    </w:p>
    <w:p w14:paraId="6C124C5A" w14:textId="77777777" w:rsidR="0005414C" w:rsidRPr="00117F09"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Other nutrients, such as vitamin B6, copper, and zinc, also play important roles in hematopoiesis (</w:t>
      </w:r>
      <w:proofErr w:type="spellStart"/>
      <w:r>
        <w:rPr>
          <w:rFonts w:ascii="Times New Roman" w:hAnsi="Times New Roman"/>
          <w:sz w:val="24"/>
          <w:szCs w:val="24"/>
        </w:rPr>
        <w:t>Kiani</w:t>
      </w:r>
      <w:proofErr w:type="spellEnd"/>
      <w:r w:rsidRPr="00117F09">
        <w:rPr>
          <w:rFonts w:ascii="Times New Roman" w:hAnsi="Times New Roman"/>
          <w:sz w:val="24"/>
          <w:szCs w:val="24"/>
        </w:rPr>
        <w:t xml:space="preserve"> </w:t>
      </w:r>
      <w:r w:rsidRPr="006A11C1">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2</w:t>
      </w:r>
      <w:r w:rsidRPr="00117F09">
        <w:rPr>
          <w:rFonts w:ascii="Times New Roman" w:hAnsi="Times New Roman"/>
          <w:sz w:val="24"/>
          <w:szCs w:val="24"/>
        </w:rPr>
        <w:t>). Adequate intake of these nutrients through a balanced diet or supplementation can help support healthy red blood cell production.</w:t>
      </w:r>
    </w:p>
    <w:p w14:paraId="1507FF93" w14:textId="77777777" w:rsidR="0005414C" w:rsidRPr="00532788" w:rsidRDefault="0005414C" w:rsidP="0005414C">
      <w:pPr>
        <w:pStyle w:val="ListParagraph"/>
        <w:numPr>
          <w:ilvl w:val="0"/>
          <w:numId w:val="7"/>
        </w:numPr>
        <w:spacing w:after="0" w:line="240" w:lineRule="auto"/>
        <w:jc w:val="both"/>
        <w:rPr>
          <w:rFonts w:ascii="Times New Roman" w:hAnsi="Times New Roman"/>
          <w:b/>
          <w:sz w:val="24"/>
          <w:szCs w:val="24"/>
        </w:rPr>
      </w:pPr>
      <w:r w:rsidRPr="00532788">
        <w:rPr>
          <w:rFonts w:ascii="Times New Roman" w:hAnsi="Times New Roman"/>
          <w:b/>
          <w:sz w:val="24"/>
          <w:szCs w:val="24"/>
        </w:rPr>
        <w:t>Dietary Patterns</w:t>
      </w:r>
    </w:p>
    <w:p w14:paraId="6EE46D03" w14:textId="77777777" w:rsidR="0005414C" w:rsidRPr="00532788" w:rsidRDefault="0005414C" w:rsidP="0005414C">
      <w:pPr>
        <w:spacing w:after="0" w:line="240" w:lineRule="auto"/>
        <w:jc w:val="both"/>
        <w:rPr>
          <w:rFonts w:ascii="Times New Roman" w:hAnsi="Times New Roman"/>
          <w:sz w:val="24"/>
          <w:szCs w:val="24"/>
        </w:rPr>
      </w:pPr>
      <w:r w:rsidRPr="00117F09">
        <w:rPr>
          <w:rFonts w:ascii="Times New Roman" w:hAnsi="Times New Roman"/>
          <w:sz w:val="24"/>
          <w:szCs w:val="24"/>
        </w:rPr>
        <w:t xml:space="preserve">Dietary patterns, such as a Mediterranean-style diet, rich in fruits, vegetables, whole grains, and lean protein sources, can provide adequate nutrients for hematopoiesis </w:t>
      </w:r>
      <w:r>
        <w:rPr>
          <w:rFonts w:ascii="Times New Roman" w:hAnsi="Times New Roman"/>
          <w:sz w:val="24"/>
          <w:szCs w:val="24"/>
        </w:rPr>
        <w:t xml:space="preserve">[Fu </w:t>
      </w:r>
      <w:r w:rsidRPr="00BA078C">
        <w:rPr>
          <w:rFonts w:ascii="Times New Roman" w:hAnsi="Times New Roman"/>
          <w:i/>
          <w:sz w:val="24"/>
          <w:szCs w:val="24"/>
        </w:rPr>
        <w:t>et al.,</w:t>
      </w:r>
      <w:r w:rsidRPr="00117F09">
        <w:rPr>
          <w:rFonts w:ascii="Times New Roman" w:hAnsi="Times New Roman"/>
          <w:sz w:val="24"/>
          <w:szCs w:val="24"/>
        </w:rPr>
        <w:t xml:space="preserve"> 202</w:t>
      </w:r>
      <w:r>
        <w:rPr>
          <w:rFonts w:ascii="Times New Roman" w:hAnsi="Times New Roman"/>
          <w:sz w:val="24"/>
          <w:szCs w:val="24"/>
        </w:rPr>
        <w:t>4]</w:t>
      </w:r>
      <w:r w:rsidRPr="00117F09">
        <w:rPr>
          <w:rFonts w:ascii="Times New Roman" w:hAnsi="Times New Roman"/>
          <w:sz w:val="24"/>
          <w:szCs w:val="24"/>
        </w:rPr>
        <w:t>. A well-planned vegetarian or vegan diet can also provide adequate nutrients for hematopoiesis, with careful attention to iron, vitamin B12, and another essential nutrient intake.</w:t>
      </w:r>
    </w:p>
    <w:p w14:paraId="4C36F849" w14:textId="77777777" w:rsidR="0005414C" w:rsidRDefault="0005414C" w:rsidP="0005414C">
      <w:pPr>
        <w:spacing w:after="0" w:line="240" w:lineRule="auto"/>
        <w:jc w:val="both"/>
        <w:rPr>
          <w:rFonts w:ascii="Times New Roman" w:hAnsi="Times New Roman"/>
          <w:sz w:val="24"/>
          <w:szCs w:val="24"/>
        </w:rPr>
      </w:pPr>
      <w:r>
        <w:rPr>
          <w:rFonts w:ascii="Times New Roman" w:hAnsi="Times New Roman"/>
          <w:sz w:val="24"/>
          <w:szCs w:val="24"/>
        </w:rPr>
        <w:t xml:space="preserve">Finally </w:t>
      </w:r>
      <w:r w:rsidRPr="00117F09">
        <w:rPr>
          <w:rFonts w:ascii="Times New Roman" w:hAnsi="Times New Roman"/>
          <w:sz w:val="24"/>
          <w:szCs w:val="24"/>
        </w:rPr>
        <w:t>, a nutritive approach, focusing on dietary modifications and nutrient supplementation, can play a significant role in optimizing hematocrit or PCV levels. Adequate intake of iron, vitamin B12, folate, and other essential nutrients is crucial for healthy red blood cell production. Further research is needed to determine the most effective dietary patterns and nutrient supplementation strategies for optimizing hematocrit levels.</w:t>
      </w:r>
    </w:p>
    <w:p w14:paraId="73DFED72" w14:textId="77777777" w:rsidR="0005414C" w:rsidRDefault="0005414C" w:rsidP="0005414C">
      <w:pPr>
        <w:spacing w:after="0" w:line="240" w:lineRule="auto"/>
        <w:ind w:left="360"/>
        <w:jc w:val="both"/>
        <w:rPr>
          <w:rFonts w:ascii="Times New Roman" w:hAnsi="Times New Roman"/>
          <w:b/>
          <w:sz w:val="24"/>
          <w:szCs w:val="24"/>
        </w:rPr>
      </w:pPr>
      <w:r>
        <w:rPr>
          <w:rFonts w:ascii="Times New Roman" w:hAnsi="Times New Roman"/>
          <w:b/>
          <w:sz w:val="24"/>
          <w:szCs w:val="24"/>
        </w:rPr>
        <w:t>5)</w:t>
      </w:r>
      <w:r w:rsidRPr="00323963">
        <w:rPr>
          <w:rFonts w:ascii="Times New Roman" w:hAnsi="Times New Roman"/>
          <w:b/>
          <w:sz w:val="24"/>
          <w:szCs w:val="24"/>
        </w:rPr>
        <w:t xml:space="preserve">CONCLUSION </w:t>
      </w:r>
    </w:p>
    <w:p w14:paraId="70A521F3" w14:textId="77777777" w:rsidR="0005414C" w:rsidRPr="00FB6452" w:rsidRDefault="0005414C" w:rsidP="0005414C">
      <w:pPr>
        <w:spacing w:after="0" w:line="240" w:lineRule="auto"/>
        <w:jc w:val="both"/>
        <w:rPr>
          <w:rFonts w:ascii="Times New Roman" w:hAnsi="Times New Roman"/>
          <w:b/>
          <w:sz w:val="24"/>
          <w:szCs w:val="24"/>
        </w:rPr>
      </w:pPr>
      <w:r w:rsidRPr="002D016A">
        <w:rPr>
          <w:rFonts w:ascii="Times New Roman" w:hAnsi="Times New Roman"/>
          <w:sz w:val="24"/>
          <w:szCs w:val="24"/>
        </w:rPr>
        <w:t xml:space="preserve">In conclusion, optimizing preoperative PCV in anemic patients undergoing surgery who refuse allogenic blood transfusion requires a multidisciplinary approach, incorporating evidence-based </w:t>
      </w:r>
      <w:r w:rsidRPr="002D016A">
        <w:rPr>
          <w:rFonts w:ascii="Times New Roman" w:hAnsi="Times New Roman"/>
          <w:sz w:val="24"/>
          <w:szCs w:val="24"/>
        </w:rPr>
        <w:lastRenderedPageBreak/>
        <w:t>strategies such as iron supplementation, erythropoietin therapy, and meticulous surgical techniques. By implementing these standard methods and strategies, healthcare providers can minimize the risks associated with anemia and ensure the best possible outcomes for patients undergoing surgery.</w:t>
      </w:r>
    </w:p>
    <w:p w14:paraId="3236E984" w14:textId="77777777" w:rsidR="00D1732D" w:rsidRDefault="00D1732D" w:rsidP="0005414C">
      <w:pPr>
        <w:spacing w:after="0" w:line="360" w:lineRule="auto"/>
        <w:jc w:val="both"/>
        <w:rPr>
          <w:rFonts w:ascii="Times New Roman" w:eastAsia="Calibri" w:hAnsi="Times New Roman"/>
          <w:b/>
          <w:bCs/>
          <w:sz w:val="20"/>
          <w:szCs w:val="20"/>
          <w:lang w:eastAsia="en-US"/>
        </w:rPr>
      </w:pPr>
    </w:p>
    <w:p w14:paraId="4C5CA539" w14:textId="330DC477" w:rsidR="0005414C" w:rsidRPr="000344B8" w:rsidRDefault="0005414C" w:rsidP="0005414C">
      <w:pPr>
        <w:spacing w:after="0" w:line="360" w:lineRule="auto"/>
        <w:jc w:val="both"/>
        <w:rPr>
          <w:rFonts w:ascii="Times New Roman" w:hAnsi="Times New Roman"/>
          <w:sz w:val="20"/>
          <w:szCs w:val="20"/>
        </w:rPr>
      </w:pPr>
      <w:bookmarkStart w:id="5" w:name="_GoBack"/>
      <w:bookmarkEnd w:id="5"/>
      <w:r w:rsidRPr="000344B8">
        <w:rPr>
          <w:rFonts w:ascii="Times New Roman" w:eastAsia="Calibri" w:hAnsi="Times New Roman"/>
          <w:b/>
          <w:bCs/>
          <w:sz w:val="20"/>
          <w:szCs w:val="20"/>
          <w:lang w:eastAsia="en-US"/>
        </w:rPr>
        <w:t>AVAILABILITY OF DATA AND MATERIALS</w:t>
      </w:r>
      <w:r w:rsidRPr="000344B8">
        <w:rPr>
          <w:rFonts w:ascii="Times New Roman" w:eastAsia="Calibri" w:hAnsi="Times New Roman"/>
          <w:sz w:val="20"/>
          <w:szCs w:val="20"/>
          <w:lang w:eastAsia="en-US"/>
        </w:rPr>
        <w:t>: Datasets generated and analyzed in this study are available from the corresponding author on request.</w:t>
      </w:r>
    </w:p>
    <w:p w14:paraId="193B5613" w14:textId="77777777" w:rsidR="0005414C" w:rsidRPr="000344B8" w:rsidRDefault="0005414C" w:rsidP="0005414C">
      <w:pPr>
        <w:spacing w:after="0" w:line="360" w:lineRule="auto"/>
        <w:jc w:val="both"/>
        <w:rPr>
          <w:rFonts w:ascii="Times New Roman" w:hAnsi="Times New Roman"/>
          <w:sz w:val="20"/>
          <w:szCs w:val="20"/>
        </w:rPr>
      </w:pPr>
      <w:r w:rsidRPr="000344B8">
        <w:rPr>
          <w:rFonts w:ascii="Times New Roman" w:eastAsia="Calibri" w:hAnsi="Times New Roman"/>
          <w:b/>
          <w:bCs/>
          <w:sz w:val="20"/>
          <w:szCs w:val="20"/>
          <w:lang w:eastAsia="en-US"/>
        </w:rPr>
        <w:t>CONSENT FOR PUBLICATION</w:t>
      </w:r>
      <w:r w:rsidRPr="000344B8">
        <w:rPr>
          <w:rFonts w:ascii="Times New Roman" w:eastAsia="Calibri" w:hAnsi="Times New Roman"/>
          <w:sz w:val="20"/>
          <w:szCs w:val="20"/>
          <w:lang w:eastAsia="en-US"/>
        </w:rPr>
        <w:t>: Not applicable.</w:t>
      </w:r>
    </w:p>
    <w:p w14:paraId="1461CCA1" w14:textId="77777777" w:rsidR="0005414C" w:rsidRPr="000344B8" w:rsidRDefault="0005414C" w:rsidP="0005414C">
      <w:pPr>
        <w:spacing w:after="0" w:line="360" w:lineRule="auto"/>
        <w:jc w:val="both"/>
        <w:rPr>
          <w:rFonts w:ascii="Times New Roman" w:hAnsi="Times New Roman"/>
          <w:sz w:val="20"/>
          <w:szCs w:val="20"/>
        </w:rPr>
      </w:pPr>
      <w:r w:rsidRPr="000344B8">
        <w:rPr>
          <w:rFonts w:ascii="Times New Roman" w:eastAsia="Calibri" w:hAnsi="Times New Roman"/>
          <w:b/>
          <w:bCs/>
          <w:sz w:val="20"/>
          <w:szCs w:val="20"/>
          <w:lang w:eastAsia="en-US"/>
        </w:rPr>
        <w:t xml:space="preserve"> COMPETING INTERESTS</w:t>
      </w:r>
      <w:r w:rsidRPr="000344B8">
        <w:rPr>
          <w:rFonts w:ascii="Times New Roman" w:eastAsia="Calibri" w:hAnsi="Times New Roman"/>
          <w:sz w:val="20"/>
          <w:szCs w:val="20"/>
          <w:lang w:eastAsia="en-US"/>
        </w:rPr>
        <w:t>: The authors declare that they have no conflict of interest.</w:t>
      </w:r>
    </w:p>
    <w:p w14:paraId="06F3F909" w14:textId="77777777" w:rsidR="0005414C" w:rsidRPr="000344B8" w:rsidRDefault="0005414C" w:rsidP="0005414C">
      <w:pPr>
        <w:spacing w:after="0" w:line="360" w:lineRule="auto"/>
        <w:jc w:val="both"/>
        <w:rPr>
          <w:rFonts w:ascii="Times New Roman" w:hAnsi="Times New Roman"/>
          <w:b/>
          <w:bCs/>
          <w:iCs/>
          <w:sz w:val="20"/>
          <w:szCs w:val="20"/>
        </w:rPr>
      </w:pPr>
      <w:r w:rsidRPr="000344B8">
        <w:rPr>
          <w:rFonts w:ascii="Times New Roman" w:hAnsi="Times New Roman"/>
          <w:b/>
          <w:bCs/>
          <w:iCs/>
          <w:sz w:val="20"/>
          <w:szCs w:val="20"/>
        </w:rPr>
        <w:t xml:space="preserve">11)DISCLAIMER (ARTICIAL INTELLIGENCE) </w:t>
      </w:r>
    </w:p>
    <w:p w14:paraId="58A578C1" w14:textId="77777777" w:rsidR="0005414C" w:rsidRPr="000344B8" w:rsidRDefault="0005414C" w:rsidP="0005414C">
      <w:pPr>
        <w:spacing w:after="0" w:line="360" w:lineRule="auto"/>
        <w:jc w:val="both"/>
        <w:rPr>
          <w:rFonts w:ascii="Times New Roman" w:hAnsi="Times New Roman"/>
          <w:bCs/>
          <w:iCs/>
          <w:sz w:val="20"/>
          <w:szCs w:val="20"/>
        </w:rPr>
      </w:pPr>
      <w:r w:rsidRPr="000344B8">
        <w:rPr>
          <w:rFonts w:ascii="Times New Roman" w:hAnsi="Times New Roman"/>
          <w:bCs/>
          <w:iCs/>
          <w:sz w:val="20"/>
          <w:szCs w:val="20"/>
        </w:rPr>
        <w:t>Author(s) hereby declare that No generative AI technologies such as Large Language Models, Chat GPT, COPILOT etc.) and text-to-image generators have been used during the writing or editing of this manuscript .</w:t>
      </w:r>
    </w:p>
    <w:p w14:paraId="7AA22059" w14:textId="77777777" w:rsidR="0005414C" w:rsidRDefault="0005414C" w:rsidP="0005414C">
      <w:pPr>
        <w:jc w:val="both"/>
        <w:rPr>
          <w:rFonts w:ascii="Times New Roman" w:hAnsi="Times New Roman"/>
          <w:b/>
          <w:sz w:val="24"/>
          <w:szCs w:val="24"/>
        </w:rPr>
      </w:pPr>
    </w:p>
    <w:p w14:paraId="38BFFA0F" w14:textId="77777777" w:rsidR="0005414C" w:rsidRPr="003E374F" w:rsidRDefault="0005414C" w:rsidP="0005414C">
      <w:pPr>
        <w:jc w:val="both"/>
        <w:rPr>
          <w:rFonts w:ascii="Times New Roman" w:hAnsi="Times New Roman"/>
          <w:b/>
          <w:bCs/>
          <w:sz w:val="20"/>
          <w:szCs w:val="20"/>
        </w:rPr>
      </w:pPr>
      <w:r w:rsidRPr="003E374F">
        <w:rPr>
          <w:rFonts w:ascii="Times New Roman" w:hAnsi="Times New Roman"/>
          <w:b/>
          <w:bCs/>
          <w:sz w:val="20"/>
          <w:szCs w:val="20"/>
        </w:rPr>
        <w:t xml:space="preserve">Validation of references done and completed </w:t>
      </w:r>
    </w:p>
    <w:p w14:paraId="37E8D18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Amer AF, </w:t>
      </w:r>
      <w:proofErr w:type="spellStart"/>
      <w:r w:rsidRPr="00D2785F">
        <w:rPr>
          <w:rFonts w:ascii="Times New Roman" w:hAnsi="Times New Roman"/>
          <w:sz w:val="20"/>
          <w:szCs w:val="20"/>
        </w:rPr>
        <w:t>Elatrozy</w:t>
      </w:r>
      <w:proofErr w:type="spellEnd"/>
      <w:r w:rsidRPr="00D2785F">
        <w:rPr>
          <w:rFonts w:ascii="Times New Roman" w:hAnsi="Times New Roman"/>
          <w:sz w:val="20"/>
          <w:szCs w:val="20"/>
        </w:rPr>
        <w:t xml:space="preserve"> HI, El Mourad MB. Erythropoietin as a prophylactic measure against anemia in critically ill patients: A combined prospective and retrospective study. </w:t>
      </w:r>
      <w:proofErr w:type="spellStart"/>
      <w:r w:rsidRPr="00D2785F">
        <w:rPr>
          <w:rFonts w:ascii="Times New Roman" w:hAnsi="Times New Roman"/>
          <w:sz w:val="20"/>
          <w:szCs w:val="20"/>
        </w:rPr>
        <w:t>Anaesth</w:t>
      </w:r>
      <w:proofErr w:type="spellEnd"/>
      <w:r w:rsidRPr="00D2785F">
        <w:rPr>
          <w:rFonts w:ascii="Times New Roman" w:hAnsi="Times New Roman"/>
          <w:sz w:val="20"/>
          <w:szCs w:val="20"/>
        </w:rPr>
        <w:t>. pain intensive care 2022;26(5):633−639 DOI: 10.35975/apic.v26i5.1481</w:t>
      </w:r>
    </w:p>
    <w:p w14:paraId="79BA740A" w14:textId="77777777" w:rsidR="0005414C" w:rsidRPr="00D2785F" w:rsidRDefault="0005414C" w:rsidP="0005414C">
      <w:pPr>
        <w:ind w:left="1440" w:hanging="1440"/>
        <w:jc w:val="both"/>
        <w:rPr>
          <w:rFonts w:ascii="Times New Roman" w:hAnsi="Times New Roman"/>
          <w:sz w:val="20"/>
          <w:szCs w:val="20"/>
        </w:rPr>
      </w:pPr>
      <w:bookmarkStart w:id="6" w:name="_Hlk213263990"/>
      <w:proofErr w:type="spellStart"/>
      <w:r w:rsidRPr="00D2785F">
        <w:rPr>
          <w:rFonts w:ascii="Times New Roman" w:hAnsi="Times New Roman"/>
          <w:sz w:val="20"/>
          <w:szCs w:val="20"/>
        </w:rPr>
        <w:t>Biccard</w:t>
      </w:r>
      <w:proofErr w:type="spellEnd"/>
      <w:r w:rsidRPr="00D2785F">
        <w:rPr>
          <w:rFonts w:ascii="Times New Roman" w:hAnsi="Times New Roman"/>
          <w:sz w:val="20"/>
          <w:szCs w:val="20"/>
        </w:rPr>
        <w:t xml:space="preserve">, </w:t>
      </w:r>
      <w:bookmarkEnd w:id="6"/>
      <w:r w:rsidRPr="00D2785F">
        <w:rPr>
          <w:rFonts w:ascii="Times New Roman" w:hAnsi="Times New Roman"/>
          <w:sz w:val="20"/>
          <w:szCs w:val="20"/>
        </w:rPr>
        <w:t xml:space="preserve">B.M. and  The African Peri-operative Research Group (APORG) working group (2020), Priorities for peri-operative research in Africa. </w:t>
      </w:r>
      <w:proofErr w:type="spellStart"/>
      <w:r w:rsidRPr="00D2785F">
        <w:rPr>
          <w:rFonts w:ascii="Times New Roman" w:hAnsi="Times New Roman"/>
          <w:sz w:val="20"/>
          <w:szCs w:val="20"/>
        </w:rPr>
        <w:t>Anaesthesia</w:t>
      </w:r>
      <w:proofErr w:type="spellEnd"/>
      <w:r w:rsidRPr="00D2785F">
        <w:rPr>
          <w:rFonts w:ascii="Times New Roman" w:hAnsi="Times New Roman"/>
          <w:sz w:val="20"/>
          <w:szCs w:val="20"/>
        </w:rPr>
        <w:t>, 75: e28-e33. https://doi.org/10.1111/anae.14934</w:t>
      </w:r>
    </w:p>
    <w:p w14:paraId="0102A197"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Bohlius</w:t>
      </w:r>
      <w:proofErr w:type="spellEnd"/>
      <w:r w:rsidRPr="00D2785F">
        <w:rPr>
          <w:rFonts w:ascii="Times New Roman" w:hAnsi="Times New Roman"/>
          <w:sz w:val="20"/>
          <w:szCs w:val="20"/>
        </w:rPr>
        <w:t xml:space="preserve">, J., </w:t>
      </w:r>
      <w:proofErr w:type="spellStart"/>
      <w:r w:rsidRPr="00D2785F">
        <w:rPr>
          <w:rFonts w:ascii="Times New Roman" w:hAnsi="Times New Roman"/>
          <w:sz w:val="20"/>
          <w:szCs w:val="20"/>
        </w:rPr>
        <w:t>Bohlke</w:t>
      </w:r>
      <w:proofErr w:type="spellEnd"/>
      <w:r w:rsidRPr="00D2785F">
        <w:rPr>
          <w:rFonts w:ascii="Times New Roman" w:hAnsi="Times New Roman"/>
          <w:sz w:val="20"/>
          <w:szCs w:val="20"/>
        </w:rPr>
        <w:t xml:space="preserve">, K., Castelli, R., </w:t>
      </w:r>
      <w:proofErr w:type="spellStart"/>
      <w:r w:rsidRPr="00D2785F">
        <w:rPr>
          <w:rFonts w:ascii="Times New Roman" w:hAnsi="Times New Roman"/>
          <w:sz w:val="20"/>
          <w:szCs w:val="20"/>
        </w:rPr>
        <w:t>Djulbegovic</w:t>
      </w:r>
      <w:proofErr w:type="spellEnd"/>
      <w:r w:rsidRPr="00D2785F">
        <w:rPr>
          <w:rFonts w:ascii="Times New Roman" w:hAnsi="Times New Roman"/>
          <w:sz w:val="20"/>
          <w:szCs w:val="20"/>
        </w:rPr>
        <w:t xml:space="preserve">, B., </w:t>
      </w:r>
      <w:proofErr w:type="spellStart"/>
      <w:r w:rsidRPr="00D2785F">
        <w:rPr>
          <w:rFonts w:ascii="Times New Roman" w:hAnsi="Times New Roman"/>
          <w:sz w:val="20"/>
          <w:szCs w:val="20"/>
        </w:rPr>
        <w:t>Lustberg</w:t>
      </w:r>
      <w:proofErr w:type="spellEnd"/>
      <w:r w:rsidRPr="00D2785F">
        <w:rPr>
          <w:rFonts w:ascii="Times New Roman" w:hAnsi="Times New Roman"/>
          <w:sz w:val="20"/>
          <w:szCs w:val="20"/>
        </w:rPr>
        <w:t xml:space="preserve">, M. B., Martino, M., </w:t>
      </w:r>
      <w:proofErr w:type="spellStart"/>
      <w:r w:rsidRPr="00D2785F">
        <w:rPr>
          <w:rFonts w:ascii="Times New Roman" w:hAnsi="Times New Roman"/>
          <w:sz w:val="20"/>
          <w:szCs w:val="20"/>
        </w:rPr>
        <w:t>Mountzios</w:t>
      </w:r>
      <w:proofErr w:type="spellEnd"/>
      <w:r w:rsidRPr="00D2785F">
        <w:rPr>
          <w:rFonts w:ascii="Times New Roman" w:hAnsi="Times New Roman"/>
          <w:sz w:val="20"/>
          <w:szCs w:val="20"/>
        </w:rPr>
        <w:t xml:space="preserve">, G., </w:t>
      </w:r>
      <w:proofErr w:type="spellStart"/>
      <w:r w:rsidRPr="00D2785F">
        <w:rPr>
          <w:rFonts w:ascii="Times New Roman" w:hAnsi="Times New Roman"/>
          <w:sz w:val="20"/>
          <w:szCs w:val="20"/>
        </w:rPr>
        <w:t>Peswani</w:t>
      </w:r>
      <w:proofErr w:type="spellEnd"/>
      <w:r w:rsidRPr="00D2785F">
        <w:rPr>
          <w:rFonts w:ascii="Times New Roman" w:hAnsi="Times New Roman"/>
          <w:sz w:val="20"/>
          <w:szCs w:val="20"/>
        </w:rPr>
        <w:t xml:space="preserve">, N., Porter, L., Tanaka, T. N., </w:t>
      </w:r>
      <w:proofErr w:type="spellStart"/>
      <w:r w:rsidRPr="00D2785F">
        <w:rPr>
          <w:rFonts w:ascii="Times New Roman" w:hAnsi="Times New Roman"/>
          <w:sz w:val="20"/>
          <w:szCs w:val="20"/>
        </w:rPr>
        <w:t>Trifirò</w:t>
      </w:r>
      <w:proofErr w:type="spellEnd"/>
      <w:r w:rsidRPr="00D2785F">
        <w:rPr>
          <w:rFonts w:ascii="Times New Roman" w:hAnsi="Times New Roman"/>
          <w:sz w:val="20"/>
          <w:szCs w:val="20"/>
        </w:rPr>
        <w:t xml:space="preserve">, G., Yang, H., &amp; </w:t>
      </w:r>
      <w:proofErr w:type="spellStart"/>
      <w:r w:rsidRPr="00D2785F">
        <w:rPr>
          <w:rFonts w:ascii="Times New Roman" w:hAnsi="Times New Roman"/>
          <w:sz w:val="20"/>
          <w:szCs w:val="20"/>
        </w:rPr>
        <w:t>Lazo-Langner</w:t>
      </w:r>
      <w:proofErr w:type="spellEnd"/>
      <w:r w:rsidRPr="00D2785F">
        <w:rPr>
          <w:rFonts w:ascii="Times New Roman" w:hAnsi="Times New Roman"/>
          <w:sz w:val="20"/>
          <w:szCs w:val="20"/>
        </w:rPr>
        <w:t>, A. (2019). Management of Cancer-Associated Anemia With Erythropoiesis-Stimulating Agents: ASCO/ASH Clinical Practice Guideline Update. Journal of clinical oncology : official journal of the American Society of Clinical Oncology, 37(15), 1336–1351. https://doi.org/10.1200/JCO.18.02142</w:t>
      </w:r>
    </w:p>
    <w:p w14:paraId="5CFDDE5E"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Bolliger, D., Tanaka, K. A., &amp; Steiner, L. A. (2023). Patient blood management </w:t>
      </w:r>
      <w:proofErr w:type="spellStart"/>
      <w:r w:rsidRPr="00D2785F">
        <w:rPr>
          <w:rFonts w:ascii="Times New Roman" w:hAnsi="Times New Roman"/>
          <w:sz w:val="20"/>
          <w:szCs w:val="20"/>
        </w:rPr>
        <w:t>programmes</w:t>
      </w:r>
      <w:proofErr w:type="spellEnd"/>
      <w:r w:rsidRPr="00D2785F">
        <w:rPr>
          <w:rFonts w:ascii="Times New Roman" w:hAnsi="Times New Roman"/>
          <w:sz w:val="20"/>
          <w:szCs w:val="20"/>
        </w:rPr>
        <w:t xml:space="preserve">: keeping the ball rolling. British journal of </w:t>
      </w:r>
      <w:proofErr w:type="spellStart"/>
      <w:r w:rsidRPr="00D2785F">
        <w:rPr>
          <w:rFonts w:ascii="Times New Roman" w:hAnsi="Times New Roman"/>
          <w:sz w:val="20"/>
          <w:szCs w:val="20"/>
        </w:rPr>
        <w:t>anaesthesia</w:t>
      </w:r>
      <w:proofErr w:type="spellEnd"/>
      <w:r w:rsidRPr="00D2785F">
        <w:rPr>
          <w:rFonts w:ascii="Times New Roman" w:hAnsi="Times New Roman"/>
          <w:sz w:val="20"/>
          <w:szCs w:val="20"/>
        </w:rPr>
        <w:t>, 131(3), 426–428. https://doi.org/10.1016/j.bja.2023.06</w:t>
      </w:r>
    </w:p>
    <w:p w14:paraId="1248A50D"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Brown, K. G. M., &amp; Solomon, M. J. (2024). Topical </w:t>
      </w:r>
      <w:proofErr w:type="spellStart"/>
      <w:r w:rsidRPr="00D2785F">
        <w:rPr>
          <w:rFonts w:ascii="Times New Roman" w:hAnsi="Times New Roman"/>
          <w:sz w:val="20"/>
          <w:szCs w:val="20"/>
        </w:rPr>
        <w:t>haemostatic</w:t>
      </w:r>
      <w:proofErr w:type="spellEnd"/>
      <w:r w:rsidRPr="00D2785F">
        <w:rPr>
          <w:rFonts w:ascii="Times New Roman" w:hAnsi="Times New Roman"/>
          <w:sz w:val="20"/>
          <w:szCs w:val="20"/>
        </w:rPr>
        <w:t xml:space="preserve"> agents in surgery. The British journal of surgery, 111(1), znad361. https://doi.org/10.1093/bjs/znad361</w:t>
      </w:r>
    </w:p>
    <w:p w14:paraId="07F0AE0E"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Buchrits</w:t>
      </w:r>
      <w:proofErr w:type="spellEnd"/>
      <w:r w:rsidRPr="00D2785F">
        <w:rPr>
          <w:rFonts w:ascii="Times New Roman" w:hAnsi="Times New Roman"/>
          <w:sz w:val="20"/>
          <w:szCs w:val="20"/>
        </w:rPr>
        <w:t xml:space="preserve">, S., </w:t>
      </w:r>
      <w:proofErr w:type="spellStart"/>
      <w:r w:rsidRPr="00D2785F">
        <w:rPr>
          <w:rFonts w:ascii="Times New Roman" w:hAnsi="Times New Roman"/>
          <w:sz w:val="20"/>
          <w:szCs w:val="20"/>
        </w:rPr>
        <w:t>Itzhaki</w:t>
      </w:r>
      <w:proofErr w:type="spellEnd"/>
      <w:r w:rsidRPr="00D2785F">
        <w:rPr>
          <w:rFonts w:ascii="Times New Roman" w:hAnsi="Times New Roman"/>
          <w:sz w:val="20"/>
          <w:szCs w:val="20"/>
        </w:rPr>
        <w:t xml:space="preserve">, O., </w:t>
      </w:r>
      <w:proofErr w:type="spellStart"/>
      <w:r w:rsidRPr="00D2785F">
        <w:rPr>
          <w:rFonts w:ascii="Times New Roman" w:hAnsi="Times New Roman"/>
          <w:sz w:val="20"/>
          <w:szCs w:val="20"/>
        </w:rPr>
        <w:t>Avni</w:t>
      </w:r>
      <w:proofErr w:type="spellEnd"/>
      <w:r w:rsidRPr="00D2785F">
        <w:rPr>
          <w:rFonts w:ascii="Times New Roman" w:hAnsi="Times New Roman"/>
          <w:sz w:val="20"/>
          <w:szCs w:val="20"/>
        </w:rPr>
        <w:t xml:space="preserve">, T., </w:t>
      </w:r>
      <w:proofErr w:type="spellStart"/>
      <w:r w:rsidRPr="00D2785F">
        <w:rPr>
          <w:rFonts w:ascii="Times New Roman" w:hAnsi="Times New Roman"/>
          <w:sz w:val="20"/>
          <w:szCs w:val="20"/>
        </w:rPr>
        <w:t>Raanani</w:t>
      </w:r>
      <w:proofErr w:type="spellEnd"/>
      <w:r w:rsidRPr="00D2785F">
        <w:rPr>
          <w:rFonts w:ascii="Times New Roman" w:hAnsi="Times New Roman"/>
          <w:sz w:val="20"/>
          <w:szCs w:val="20"/>
        </w:rPr>
        <w:t xml:space="preserve">, P., &amp; </w:t>
      </w:r>
      <w:proofErr w:type="spellStart"/>
      <w:r w:rsidRPr="00D2785F">
        <w:rPr>
          <w:rFonts w:ascii="Times New Roman" w:hAnsi="Times New Roman"/>
          <w:sz w:val="20"/>
          <w:szCs w:val="20"/>
        </w:rPr>
        <w:t>Gafter-Gvili</w:t>
      </w:r>
      <w:proofErr w:type="spellEnd"/>
      <w:r w:rsidRPr="00D2785F">
        <w:rPr>
          <w:rFonts w:ascii="Times New Roman" w:hAnsi="Times New Roman"/>
          <w:sz w:val="20"/>
          <w:szCs w:val="20"/>
        </w:rPr>
        <w:t>, A. (2022). Intravenous Iron Supplementation for the Treatment of Chemotherapy-Induced Anemia: A Systematic Review and Meta-Analysis of Randomized Controlled Trials. Journal of clinical medicine, 11(14), 4156. https://doi.org/10.3390/jcm11144156</w:t>
      </w:r>
    </w:p>
    <w:p w14:paraId="375209C1"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Camaschella</w:t>
      </w:r>
      <w:proofErr w:type="spellEnd"/>
      <w:r w:rsidRPr="00D2785F">
        <w:rPr>
          <w:rFonts w:ascii="Times New Roman" w:hAnsi="Times New Roman"/>
          <w:sz w:val="20"/>
          <w:szCs w:val="20"/>
        </w:rPr>
        <w:t xml:space="preserve"> C. (2015). Iron deficiency: new insights into diagnosis and treatment. Hematology. American Society of Hematology. Education Program, 2015, 8–13. https://doi.org/10.1182/asheducation-2015.1.8</w:t>
      </w:r>
    </w:p>
    <w:p w14:paraId="614D1391"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Camaschella</w:t>
      </w:r>
      <w:proofErr w:type="spellEnd"/>
      <w:r w:rsidRPr="00D2785F">
        <w:rPr>
          <w:rFonts w:ascii="Times New Roman" w:hAnsi="Times New Roman"/>
          <w:sz w:val="20"/>
          <w:szCs w:val="20"/>
        </w:rPr>
        <w:t xml:space="preserve"> C. Iron deficiency. Blood. 2019;133(1):30-39.. Blood 2023; 141 (6): 682. </w:t>
      </w:r>
      <w:proofErr w:type="spellStart"/>
      <w:r w:rsidRPr="00D2785F">
        <w:rPr>
          <w:rFonts w:ascii="Times New Roman" w:hAnsi="Times New Roman"/>
          <w:sz w:val="20"/>
          <w:szCs w:val="20"/>
        </w:rPr>
        <w:t>doi</w:t>
      </w:r>
      <w:proofErr w:type="spellEnd"/>
      <w:r w:rsidRPr="00D2785F">
        <w:rPr>
          <w:rFonts w:ascii="Times New Roman" w:hAnsi="Times New Roman"/>
          <w:sz w:val="20"/>
          <w:szCs w:val="20"/>
        </w:rPr>
        <w:t>: https://doi.org/10.1182/blood.2022018610</w:t>
      </w:r>
    </w:p>
    <w:p w14:paraId="64F49570"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lastRenderedPageBreak/>
        <w:t xml:space="preserve">Carless, P. A., Henry, D. A., </w:t>
      </w:r>
      <w:proofErr w:type="spellStart"/>
      <w:r w:rsidRPr="00D2785F">
        <w:rPr>
          <w:rFonts w:ascii="Times New Roman" w:hAnsi="Times New Roman"/>
          <w:sz w:val="20"/>
          <w:szCs w:val="20"/>
        </w:rPr>
        <w:t>Moxey</w:t>
      </w:r>
      <w:proofErr w:type="spellEnd"/>
      <w:r w:rsidRPr="00D2785F">
        <w:rPr>
          <w:rFonts w:ascii="Times New Roman" w:hAnsi="Times New Roman"/>
          <w:sz w:val="20"/>
          <w:szCs w:val="20"/>
        </w:rPr>
        <w:t>, A. J., O'Connell, D., Brown, T., &amp; Fergusson, D. A. (2010). Cell salvage for minimizing perioperative allogeneic blood transfusion. The Cochrane database of systematic reviews, 2010(4) CD001888. https://doi.org/10.1002/14651858.CD001888.pub4</w:t>
      </w:r>
    </w:p>
    <w:p w14:paraId="1615DBE2"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Carson, J. L., Stanworth, S. J., Dennis, J. A., </w:t>
      </w:r>
      <w:proofErr w:type="spellStart"/>
      <w:r w:rsidRPr="00D2785F">
        <w:rPr>
          <w:rFonts w:ascii="Times New Roman" w:hAnsi="Times New Roman"/>
          <w:sz w:val="20"/>
          <w:szCs w:val="20"/>
        </w:rPr>
        <w:t>Trivella</w:t>
      </w:r>
      <w:proofErr w:type="spellEnd"/>
      <w:r w:rsidRPr="00D2785F">
        <w:rPr>
          <w:rFonts w:ascii="Times New Roman" w:hAnsi="Times New Roman"/>
          <w:sz w:val="20"/>
          <w:szCs w:val="20"/>
        </w:rPr>
        <w:t xml:space="preserve">, M., </w:t>
      </w:r>
      <w:proofErr w:type="spellStart"/>
      <w:r w:rsidRPr="00D2785F">
        <w:rPr>
          <w:rFonts w:ascii="Times New Roman" w:hAnsi="Times New Roman"/>
          <w:sz w:val="20"/>
          <w:szCs w:val="20"/>
        </w:rPr>
        <w:t>Roubinian</w:t>
      </w:r>
      <w:proofErr w:type="spellEnd"/>
      <w:r w:rsidRPr="00D2785F">
        <w:rPr>
          <w:rFonts w:ascii="Times New Roman" w:hAnsi="Times New Roman"/>
          <w:sz w:val="20"/>
          <w:szCs w:val="20"/>
        </w:rPr>
        <w:t xml:space="preserve">, N., Fergusson, D. A., </w:t>
      </w:r>
      <w:proofErr w:type="spellStart"/>
      <w:r w:rsidRPr="00D2785F">
        <w:rPr>
          <w:rFonts w:ascii="Times New Roman" w:hAnsi="Times New Roman"/>
          <w:sz w:val="20"/>
          <w:szCs w:val="20"/>
        </w:rPr>
        <w:t>Triulzi</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Dorée</w:t>
      </w:r>
      <w:proofErr w:type="spellEnd"/>
      <w:r w:rsidRPr="00D2785F">
        <w:rPr>
          <w:rFonts w:ascii="Times New Roman" w:hAnsi="Times New Roman"/>
          <w:sz w:val="20"/>
          <w:szCs w:val="20"/>
        </w:rPr>
        <w:t>, C., &amp; Hébert, P. C. (2021). Transfusion thresholds for guiding red blood cell transfusion. The Cochrane database of systematic reviews, 12(12), CD002042. https://doi.org/10.1002/14651858.CD002042.pub5</w:t>
      </w:r>
    </w:p>
    <w:p w14:paraId="5FA119AF"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Coccolini</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Shander</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Ceresoli</w:t>
      </w:r>
      <w:proofErr w:type="spellEnd"/>
      <w:r w:rsidRPr="00D2785F">
        <w:rPr>
          <w:rFonts w:ascii="Times New Roman" w:hAnsi="Times New Roman"/>
          <w:sz w:val="20"/>
          <w:szCs w:val="20"/>
        </w:rPr>
        <w:t xml:space="preserve">, M. et al. Strategies to prevent blood loss and reduce transfusion in emergency general surgery, WSES-AAST consensus paper. World J </w:t>
      </w:r>
      <w:proofErr w:type="spellStart"/>
      <w:r w:rsidRPr="00D2785F">
        <w:rPr>
          <w:rFonts w:ascii="Times New Roman" w:hAnsi="Times New Roman"/>
          <w:sz w:val="20"/>
          <w:szCs w:val="20"/>
        </w:rPr>
        <w:t>Emerg</w:t>
      </w:r>
      <w:proofErr w:type="spellEnd"/>
      <w:r w:rsidRPr="00D2785F">
        <w:rPr>
          <w:rFonts w:ascii="Times New Roman" w:hAnsi="Times New Roman"/>
          <w:sz w:val="20"/>
          <w:szCs w:val="20"/>
        </w:rPr>
        <w:t xml:space="preserve"> Surg 19, 26 (2024). https://doi.org/10.1186/s13017-024-00554-7</w:t>
      </w:r>
    </w:p>
    <w:p w14:paraId="42632B56"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Conforti</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Mollo</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Alviggi</w:t>
      </w:r>
      <w:proofErr w:type="spellEnd"/>
      <w:r w:rsidRPr="00D2785F">
        <w:rPr>
          <w:rFonts w:ascii="Times New Roman" w:hAnsi="Times New Roman"/>
          <w:sz w:val="20"/>
          <w:szCs w:val="20"/>
        </w:rPr>
        <w:t xml:space="preserve">, C., </w:t>
      </w:r>
      <w:proofErr w:type="spellStart"/>
      <w:r w:rsidRPr="00D2785F">
        <w:rPr>
          <w:rFonts w:ascii="Times New Roman" w:hAnsi="Times New Roman"/>
          <w:sz w:val="20"/>
          <w:szCs w:val="20"/>
        </w:rPr>
        <w:t>Tsimpanakos</w:t>
      </w:r>
      <w:proofErr w:type="spellEnd"/>
      <w:r w:rsidRPr="00D2785F">
        <w:rPr>
          <w:rFonts w:ascii="Times New Roman" w:hAnsi="Times New Roman"/>
          <w:sz w:val="20"/>
          <w:szCs w:val="20"/>
        </w:rPr>
        <w:t xml:space="preserve">, I., </w:t>
      </w:r>
      <w:proofErr w:type="spellStart"/>
      <w:r w:rsidRPr="00D2785F">
        <w:rPr>
          <w:rFonts w:ascii="Times New Roman" w:hAnsi="Times New Roman"/>
          <w:sz w:val="20"/>
          <w:szCs w:val="20"/>
        </w:rPr>
        <w:t>Strina</w:t>
      </w:r>
      <w:proofErr w:type="spellEnd"/>
      <w:r w:rsidRPr="00D2785F">
        <w:rPr>
          <w:rFonts w:ascii="Times New Roman" w:hAnsi="Times New Roman"/>
          <w:sz w:val="20"/>
          <w:szCs w:val="20"/>
        </w:rPr>
        <w:t xml:space="preserve">, I., </w:t>
      </w:r>
      <w:proofErr w:type="spellStart"/>
      <w:r w:rsidRPr="00D2785F">
        <w:rPr>
          <w:rFonts w:ascii="Times New Roman" w:hAnsi="Times New Roman"/>
          <w:sz w:val="20"/>
          <w:szCs w:val="20"/>
        </w:rPr>
        <w:t>Magos</w:t>
      </w:r>
      <w:proofErr w:type="spellEnd"/>
      <w:r w:rsidRPr="00D2785F">
        <w:rPr>
          <w:rFonts w:ascii="Times New Roman" w:hAnsi="Times New Roman"/>
          <w:sz w:val="20"/>
          <w:szCs w:val="20"/>
        </w:rPr>
        <w:t>, A., &amp; De Placido, G. (2015). Techniques to reduce blood loss during open myomectomy: a qualitative review of literature. European journal of obstetrics, gynecology, and reproductive biology, 192, 90–95. https://doi.org/10.1016/j.ejogrb.2015.05.027</w:t>
      </w:r>
    </w:p>
    <w:p w14:paraId="71825722"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CRASH-3 trial collaborators (2019). Effects of tranexamic acid on death, disability, vascular occlusive events and other morbidities in patients with acute traumatic brain injury (CRASH-3): a randomized, placebo-controlled trial. Lancet (London, England), 394(10210), 1713–1723. https://doi.org/10.1016/S0140-6736(19)32233-0</w:t>
      </w:r>
    </w:p>
    <w:p w14:paraId="3055ABD6"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Devereaux, P. J., </w:t>
      </w:r>
      <w:proofErr w:type="spellStart"/>
      <w:r w:rsidRPr="00D2785F">
        <w:rPr>
          <w:rFonts w:ascii="Times New Roman" w:hAnsi="Times New Roman"/>
          <w:sz w:val="20"/>
          <w:szCs w:val="20"/>
        </w:rPr>
        <w:t>Marcucci</w:t>
      </w:r>
      <w:proofErr w:type="spellEnd"/>
      <w:r w:rsidRPr="00D2785F">
        <w:rPr>
          <w:rFonts w:ascii="Times New Roman" w:hAnsi="Times New Roman"/>
          <w:sz w:val="20"/>
          <w:szCs w:val="20"/>
        </w:rPr>
        <w:t xml:space="preserve">, M., Painter, T. W., </w:t>
      </w:r>
      <w:proofErr w:type="spellStart"/>
      <w:r w:rsidRPr="00D2785F">
        <w:rPr>
          <w:rFonts w:ascii="Times New Roman" w:hAnsi="Times New Roman"/>
          <w:sz w:val="20"/>
          <w:szCs w:val="20"/>
        </w:rPr>
        <w:t>Conen</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Lomivorotov</w:t>
      </w:r>
      <w:proofErr w:type="spellEnd"/>
      <w:r w:rsidRPr="00D2785F">
        <w:rPr>
          <w:rFonts w:ascii="Times New Roman" w:hAnsi="Times New Roman"/>
          <w:sz w:val="20"/>
          <w:szCs w:val="20"/>
        </w:rPr>
        <w:t xml:space="preserve">, V., Sessler, D. I., Chan, M. T. V., Borges, F. K., Martínez-Zapata, M. J., Wang, C. Y., Xavier, D., Ofori, S. N., Wang, M. K., </w:t>
      </w:r>
      <w:proofErr w:type="spellStart"/>
      <w:r w:rsidRPr="00D2785F">
        <w:rPr>
          <w:rFonts w:ascii="Times New Roman" w:hAnsi="Times New Roman"/>
          <w:sz w:val="20"/>
          <w:szCs w:val="20"/>
        </w:rPr>
        <w:t>Efremov</w:t>
      </w:r>
      <w:proofErr w:type="spellEnd"/>
      <w:r w:rsidRPr="00D2785F">
        <w:rPr>
          <w:rFonts w:ascii="Times New Roman" w:hAnsi="Times New Roman"/>
          <w:sz w:val="20"/>
          <w:szCs w:val="20"/>
        </w:rPr>
        <w:t xml:space="preserve">, S., </w:t>
      </w:r>
      <w:proofErr w:type="spellStart"/>
      <w:r w:rsidRPr="00D2785F">
        <w:rPr>
          <w:rFonts w:ascii="Times New Roman" w:hAnsi="Times New Roman"/>
          <w:sz w:val="20"/>
          <w:szCs w:val="20"/>
        </w:rPr>
        <w:t>Landoni</w:t>
      </w:r>
      <w:proofErr w:type="spellEnd"/>
      <w:r w:rsidRPr="00D2785F">
        <w:rPr>
          <w:rFonts w:ascii="Times New Roman" w:hAnsi="Times New Roman"/>
          <w:sz w:val="20"/>
          <w:szCs w:val="20"/>
        </w:rPr>
        <w:t xml:space="preserve">, G., </w:t>
      </w:r>
      <w:proofErr w:type="spellStart"/>
      <w:r w:rsidRPr="00D2785F">
        <w:rPr>
          <w:rFonts w:ascii="Times New Roman" w:hAnsi="Times New Roman"/>
          <w:sz w:val="20"/>
          <w:szCs w:val="20"/>
        </w:rPr>
        <w:t>Kleinlugtenbelt</w:t>
      </w:r>
      <w:proofErr w:type="spellEnd"/>
      <w:r w:rsidRPr="00D2785F">
        <w:rPr>
          <w:rFonts w:ascii="Times New Roman" w:hAnsi="Times New Roman"/>
          <w:sz w:val="20"/>
          <w:szCs w:val="20"/>
        </w:rPr>
        <w:t xml:space="preserve">, Y. V., </w:t>
      </w:r>
      <w:proofErr w:type="spellStart"/>
      <w:r w:rsidRPr="00D2785F">
        <w:rPr>
          <w:rFonts w:ascii="Times New Roman" w:hAnsi="Times New Roman"/>
          <w:sz w:val="20"/>
          <w:szCs w:val="20"/>
        </w:rPr>
        <w:t>Szczeklik</w:t>
      </w:r>
      <w:proofErr w:type="spellEnd"/>
      <w:r w:rsidRPr="00D2785F">
        <w:rPr>
          <w:rFonts w:ascii="Times New Roman" w:hAnsi="Times New Roman"/>
          <w:sz w:val="20"/>
          <w:szCs w:val="20"/>
        </w:rPr>
        <w:t xml:space="preserve">, W., </w:t>
      </w:r>
      <w:proofErr w:type="spellStart"/>
      <w:r w:rsidRPr="00D2785F">
        <w:rPr>
          <w:rFonts w:ascii="Times New Roman" w:hAnsi="Times New Roman"/>
          <w:sz w:val="20"/>
          <w:szCs w:val="20"/>
        </w:rPr>
        <w:t>Schmartz</w:t>
      </w:r>
      <w:proofErr w:type="spellEnd"/>
      <w:r w:rsidRPr="00D2785F">
        <w:rPr>
          <w:rFonts w:ascii="Times New Roman" w:hAnsi="Times New Roman"/>
          <w:sz w:val="20"/>
          <w:szCs w:val="20"/>
        </w:rPr>
        <w:t>, D., Garg, A. X., Short, T. G.,POISE-3 Investigators (2022). Tranexamic Acid in Patients Undergoing Noncardiac Surgery. The New England journal of medicine, 386(21), 1986–1997. https://doi.org/10.1056/NEJMoa2201171</w:t>
      </w:r>
    </w:p>
    <w:p w14:paraId="61AE0D9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Emilia, </w:t>
      </w:r>
      <w:proofErr w:type="spellStart"/>
      <w:r w:rsidRPr="00D2785F">
        <w:rPr>
          <w:rFonts w:ascii="Times New Roman" w:hAnsi="Times New Roman"/>
          <w:sz w:val="20"/>
          <w:szCs w:val="20"/>
        </w:rPr>
        <w:t>Masci</w:t>
      </w:r>
      <w:proofErr w:type="spellEnd"/>
      <w:r w:rsidRPr="00D2785F">
        <w:rPr>
          <w:rFonts w:ascii="Times New Roman" w:hAnsi="Times New Roman"/>
          <w:sz w:val="20"/>
          <w:szCs w:val="20"/>
        </w:rPr>
        <w:t xml:space="preserve"> &amp; Luca, </w:t>
      </w:r>
      <w:proofErr w:type="spellStart"/>
      <w:r w:rsidRPr="00D2785F">
        <w:rPr>
          <w:rFonts w:ascii="Times New Roman" w:hAnsi="Times New Roman"/>
          <w:sz w:val="20"/>
          <w:szCs w:val="20"/>
        </w:rPr>
        <w:t>Santoleri</w:t>
      </w:r>
      <w:proofErr w:type="spellEnd"/>
      <w:r w:rsidRPr="00D2785F">
        <w:rPr>
          <w:rFonts w:ascii="Times New Roman" w:hAnsi="Times New Roman"/>
          <w:sz w:val="20"/>
          <w:szCs w:val="20"/>
        </w:rPr>
        <w:t xml:space="preserve"> &amp; Francesca, </w:t>
      </w:r>
      <w:proofErr w:type="spellStart"/>
      <w:r w:rsidRPr="00D2785F">
        <w:rPr>
          <w:rFonts w:ascii="Times New Roman" w:hAnsi="Times New Roman"/>
          <w:sz w:val="20"/>
          <w:szCs w:val="20"/>
        </w:rPr>
        <w:t>Belloni</w:t>
      </w:r>
      <w:proofErr w:type="spellEnd"/>
      <w:r w:rsidRPr="00D2785F">
        <w:rPr>
          <w:rFonts w:ascii="Times New Roman" w:hAnsi="Times New Roman"/>
          <w:sz w:val="20"/>
          <w:szCs w:val="20"/>
        </w:rPr>
        <w:t xml:space="preserve"> &amp; Luca, </w:t>
      </w:r>
      <w:proofErr w:type="spellStart"/>
      <w:r w:rsidRPr="00D2785F">
        <w:rPr>
          <w:rFonts w:ascii="Times New Roman" w:hAnsi="Times New Roman"/>
          <w:sz w:val="20"/>
          <w:szCs w:val="20"/>
        </w:rPr>
        <w:t>Bottero</w:t>
      </w:r>
      <w:proofErr w:type="spellEnd"/>
      <w:r w:rsidRPr="00D2785F">
        <w:rPr>
          <w:rFonts w:ascii="Times New Roman" w:hAnsi="Times New Roman"/>
          <w:sz w:val="20"/>
          <w:szCs w:val="20"/>
        </w:rPr>
        <w:t xml:space="preserve"> &amp; Paolo, </w:t>
      </w:r>
      <w:proofErr w:type="spellStart"/>
      <w:r w:rsidRPr="00D2785F">
        <w:rPr>
          <w:rFonts w:ascii="Times New Roman" w:hAnsi="Times New Roman"/>
          <w:sz w:val="20"/>
          <w:szCs w:val="20"/>
        </w:rPr>
        <w:t>Stefanini</w:t>
      </w:r>
      <w:proofErr w:type="spellEnd"/>
      <w:r w:rsidRPr="00D2785F">
        <w:rPr>
          <w:rFonts w:ascii="Times New Roman" w:hAnsi="Times New Roman"/>
          <w:sz w:val="20"/>
          <w:szCs w:val="20"/>
        </w:rPr>
        <w:t xml:space="preserve"> &amp; </w:t>
      </w:r>
      <w:proofErr w:type="spellStart"/>
      <w:r w:rsidRPr="00D2785F">
        <w:rPr>
          <w:rFonts w:ascii="Times New Roman" w:hAnsi="Times New Roman"/>
          <w:sz w:val="20"/>
          <w:szCs w:val="20"/>
        </w:rPr>
        <w:t>Faillace</w:t>
      </w:r>
      <w:proofErr w:type="spellEnd"/>
      <w:r w:rsidRPr="00D2785F">
        <w:rPr>
          <w:rFonts w:ascii="Times New Roman" w:hAnsi="Times New Roman"/>
          <w:sz w:val="20"/>
          <w:szCs w:val="20"/>
        </w:rPr>
        <w:t xml:space="preserve">, Giuseppe &amp; </w:t>
      </w:r>
      <w:proofErr w:type="spellStart"/>
      <w:r w:rsidRPr="00D2785F">
        <w:rPr>
          <w:rFonts w:ascii="Times New Roman" w:hAnsi="Times New Roman"/>
          <w:sz w:val="20"/>
          <w:szCs w:val="20"/>
        </w:rPr>
        <w:t>Gianbattista</w:t>
      </w:r>
      <w:proofErr w:type="spellEnd"/>
      <w:r w:rsidRPr="00D2785F">
        <w:rPr>
          <w:rFonts w:ascii="Times New Roman" w:hAnsi="Times New Roman"/>
          <w:sz w:val="20"/>
          <w:szCs w:val="20"/>
        </w:rPr>
        <w:t xml:space="preserve">, Bertani &amp; Carmela, </w:t>
      </w:r>
      <w:proofErr w:type="spellStart"/>
      <w:r w:rsidRPr="00D2785F">
        <w:rPr>
          <w:rFonts w:ascii="Times New Roman" w:hAnsi="Times New Roman"/>
          <w:sz w:val="20"/>
          <w:szCs w:val="20"/>
        </w:rPr>
        <w:t>Montinaro</w:t>
      </w:r>
      <w:proofErr w:type="spellEnd"/>
      <w:r w:rsidRPr="00D2785F">
        <w:rPr>
          <w:rFonts w:ascii="Times New Roman" w:hAnsi="Times New Roman"/>
          <w:sz w:val="20"/>
          <w:szCs w:val="20"/>
        </w:rPr>
        <w:t xml:space="preserve"> &amp; Luigi, Mancini &amp; Mauro, </w:t>
      </w:r>
      <w:proofErr w:type="spellStart"/>
      <w:r w:rsidRPr="00D2785F">
        <w:rPr>
          <w:rFonts w:ascii="Times New Roman" w:hAnsi="Times New Roman"/>
          <w:sz w:val="20"/>
          <w:szCs w:val="20"/>
        </w:rPr>
        <w:t>Longoni</w:t>
      </w:r>
      <w:proofErr w:type="spellEnd"/>
      <w:r w:rsidRPr="00D2785F">
        <w:rPr>
          <w:rFonts w:ascii="Times New Roman" w:hAnsi="Times New Roman"/>
          <w:sz w:val="20"/>
          <w:szCs w:val="20"/>
        </w:rPr>
        <w:t xml:space="preserve">. (2011). Topical hemostatic agents in surgical practice. Transfusion and apheresis science : official journal of the World Apheresis Association : official journal of the European Society for </w:t>
      </w:r>
      <w:proofErr w:type="spellStart"/>
      <w:r w:rsidRPr="00D2785F">
        <w:rPr>
          <w:rFonts w:ascii="Times New Roman" w:hAnsi="Times New Roman"/>
          <w:sz w:val="20"/>
          <w:szCs w:val="20"/>
        </w:rPr>
        <w:t>Haemapheresis</w:t>
      </w:r>
      <w:proofErr w:type="spellEnd"/>
      <w:r w:rsidRPr="00D2785F">
        <w:rPr>
          <w:rFonts w:ascii="Times New Roman" w:hAnsi="Times New Roman"/>
          <w:sz w:val="20"/>
          <w:szCs w:val="20"/>
        </w:rPr>
        <w:t>. 45. 305-11. 10.1016/j.transci.2011.10.013.</w:t>
      </w:r>
    </w:p>
    <w:p w14:paraId="6D4BC2A0" w14:textId="77777777" w:rsidR="0005414C" w:rsidRPr="003E374F" w:rsidRDefault="0005414C" w:rsidP="0005414C">
      <w:pPr>
        <w:ind w:left="1440" w:hanging="1440"/>
        <w:jc w:val="both"/>
        <w:rPr>
          <w:rFonts w:ascii="Times New Roman" w:hAnsi="Times New Roman"/>
          <w:sz w:val="20"/>
          <w:szCs w:val="20"/>
        </w:rPr>
      </w:pPr>
      <w:r w:rsidRPr="003E374F">
        <w:rPr>
          <w:rFonts w:ascii="Times New Roman" w:hAnsi="Times New Roman"/>
          <w:sz w:val="20"/>
          <w:szCs w:val="20"/>
        </w:rPr>
        <w:t>FDA, 2024: FDA Drug Safety Communication: Erythropoiesis-Stimulating Agents (ESAs): Procrit, Epogen and Aranesp Food and Drug Administration (.gov) https://share.google/ltPczRtpIH79nHpuD</w:t>
      </w:r>
    </w:p>
    <w:p w14:paraId="0E76687E" w14:textId="77777777" w:rsidR="0005414C" w:rsidRPr="00D2785F" w:rsidRDefault="0005414C" w:rsidP="0005414C">
      <w:pPr>
        <w:ind w:left="1440" w:hanging="1440"/>
        <w:jc w:val="both"/>
        <w:rPr>
          <w:rFonts w:ascii="Times New Roman" w:hAnsi="Times New Roman"/>
          <w:sz w:val="20"/>
          <w:szCs w:val="20"/>
        </w:rPr>
      </w:pPr>
      <w:bookmarkStart w:id="7" w:name="_Hlk213279208"/>
      <w:proofErr w:type="spellStart"/>
      <w:r w:rsidRPr="00D2785F">
        <w:rPr>
          <w:rFonts w:ascii="Times New Roman" w:hAnsi="Times New Roman"/>
          <w:sz w:val="20"/>
          <w:szCs w:val="20"/>
        </w:rPr>
        <w:t>Filipescu</w:t>
      </w:r>
      <w:bookmarkEnd w:id="7"/>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Ștefan</w:t>
      </w:r>
      <w:proofErr w:type="spellEnd"/>
      <w:r w:rsidRPr="00D2785F">
        <w:rPr>
          <w:rFonts w:ascii="Times New Roman" w:hAnsi="Times New Roman"/>
          <w:sz w:val="20"/>
          <w:szCs w:val="20"/>
        </w:rPr>
        <w:t xml:space="preserve">, M. G., </w:t>
      </w:r>
      <w:proofErr w:type="spellStart"/>
      <w:r w:rsidRPr="00D2785F">
        <w:rPr>
          <w:rFonts w:ascii="Times New Roman" w:hAnsi="Times New Roman"/>
          <w:sz w:val="20"/>
          <w:szCs w:val="20"/>
        </w:rPr>
        <w:t>Turconi</w:t>
      </w:r>
      <w:proofErr w:type="spellEnd"/>
      <w:r w:rsidRPr="00D2785F">
        <w:rPr>
          <w:rFonts w:ascii="Times New Roman" w:hAnsi="Times New Roman"/>
          <w:sz w:val="20"/>
          <w:szCs w:val="20"/>
        </w:rPr>
        <w:t xml:space="preserve">, Ș. I. B., </w:t>
      </w:r>
      <w:proofErr w:type="spellStart"/>
      <w:r w:rsidRPr="00D2785F">
        <w:rPr>
          <w:rFonts w:ascii="Times New Roman" w:hAnsi="Times New Roman"/>
          <w:sz w:val="20"/>
          <w:szCs w:val="20"/>
        </w:rPr>
        <w:t>Corneci</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Droc</w:t>
      </w:r>
      <w:proofErr w:type="spellEnd"/>
      <w:r w:rsidRPr="00D2785F">
        <w:rPr>
          <w:rFonts w:ascii="Times New Roman" w:hAnsi="Times New Roman"/>
          <w:sz w:val="20"/>
          <w:szCs w:val="20"/>
        </w:rPr>
        <w:t xml:space="preserve">, G., </w:t>
      </w:r>
      <w:proofErr w:type="spellStart"/>
      <w:r w:rsidRPr="00D2785F">
        <w:rPr>
          <w:rFonts w:ascii="Times New Roman" w:hAnsi="Times New Roman"/>
          <w:sz w:val="20"/>
          <w:szCs w:val="20"/>
        </w:rPr>
        <w:t>Goicea</w:t>
      </w:r>
      <w:proofErr w:type="spellEnd"/>
      <w:r w:rsidRPr="00D2785F">
        <w:rPr>
          <w:rFonts w:ascii="Times New Roman" w:hAnsi="Times New Roman"/>
          <w:sz w:val="20"/>
          <w:szCs w:val="20"/>
        </w:rPr>
        <w:t xml:space="preserve">, R., </w:t>
      </w:r>
      <w:proofErr w:type="spellStart"/>
      <w:r w:rsidRPr="00D2785F">
        <w:rPr>
          <w:rFonts w:ascii="Times New Roman" w:hAnsi="Times New Roman"/>
          <w:sz w:val="20"/>
          <w:szCs w:val="20"/>
        </w:rPr>
        <w:t>Grigoraș</w:t>
      </w:r>
      <w:proofErr w:type="spellEnd"/>
      <w:r w:rsidRPr="00D2785F">
        <w:rPr>
          <w:rFonts w:ascii="Times New Roman" w:hAnsi="Times New Roman"/>
          <w:sz w:val="20"/>
          <w:szCs w:val="20"/>
        </w:rPr>
        <w:t xml:space="preserve">, I., </w:t>
      </w:r>
      <w:proofErr w:type="spellStart"/>
      <w:r w:rsidRPr="00D2785F">
        <w:rPr>
          <w:rFonts w:ascii="Times New Roman" w:hAnsi="Times New Roman"/>
          <w:sz w:val="20"/>
          <w:szCs w:val="20"/>
        </w:rPr>
        <w:t>Grințescu</w:t>
      </w:r>
      <w:proofErr w:type="spellEnd"/>
      <w:r w:rsidRPr="00D2785F">
        <w:rPr>
          <w:rFonts w:ascii="Times New Roman" w:hAnsi="Times New Roman"/>
          <w:sz w:val="20"/>
          <w:szCs w:val="20"/>
        </w:rPr>
        <w:t xml:space="preserve">, I. M., </w:t>
      </w:r>
      <w:proofErr w:type="spellStart"/>
      <w:r w:rsidRPr="00D2785F">
        <w:rPr>
          <w:rFonts w:ascii="Times New Roman" w:hAnsi="Times New Roman"/>
          <w:sz w:val="20"/>
          <w:szCs w:val="20"/>
        </w:rPr>
        <w:t>Mirea</w:t>
      </w:r>
      <w:proofErr w:type="spellEnd"/>
      <w:r w:rsidRPr="00D2785F">
        <w:rPr>
          <w:rFonts w:ascii="Times New Roman" w:hAnsi="Times New Roman"/>
          <w:sz w:val="20"/>
          <w:szCs w:val="20"/>
        </w:rPr>
        <w:t xml:space="preserve">, L., </w:t>
      </w:r>
      <w:proofErr w:type="spellStart"/>
      <w:r w:rsidRPr="00D2785F">
        <w:rPr>
          <w:rFonts w:ascii="Times New Roman" w:hAnsi="Times New Roman"/>
          <w:sz w:val="20"/>
          <w:szCs w:val="20"/>
        </w:rPr>
        <w:t>Predoi</w:t>
      </w:r>
      <w:proofErr w:type="spellEnd"/>
      <w:r w:rsidRPr="00D2785F">
        <w:rPr>
          <w:rFonts w:ascii="Times New Roman" w:hAnsi="Times New Roman"/>
          <w:sz w:val="20"/>
          <w:szCs w:val="20"/>
        </w:rPr>
        <w:t xml:space="preserve">, C., </w:t>
      </w:r>
      <w:proofErr w:type="spellStart"/>
      <w:r w:rsidRPr="00D2785F">
        <w:rPr>
          <w:rFonts w:ascii="Times New Roman" w:hAnsi="Times New Roman"/>
          <w:sz w:val="20"/>
          <w:szCs w:val="20"/>
        </w:rPr>
        <w:t>Ristescu</w:t>
      </w:r>
      <w:proofErr w:type="spellEnd"/>
      <w:r w:rsidRPr="00D2785F">
        <w:rPr>
          <w:rFonts w:ascii="Times New Roman" w:hAnsi="Times New Roman"/>
          <w:sz w:val="20"/>
          <w:szCs w:val="20"/>
        </w:rPr>
        <w:t xml:space="preserve">, A. I., </w:t>
      </w:r>
      <w:proofErr w:type="spellStart"/>
      <w:r w:rsidRPr="00D2785F">
        <w:rPr>
          <w:rFonts w:ascii="Times New Roman" w:hAnsi="Times New Roman"/>
          <w:sz w:val="20"/>
          <w:szCs w:val="20"/>
        </w:rPr>
        <w:t>Negoiță</w:t>
      </w:r>
      <w:proofErr w:type="spellEnd"/>
      <w:r w:rsidRPr="00D2785F">
        <w:rPr>
          <w:rFonts w:ascii="Times New Roman" w:hAnsi="Times New Roman"/>
          <w:sz w:val="20"/>
          <w:szCs w:val="20"/>
        </w:rPr>
        <w:t xml:space="preserve">, S., </w:t>
      </w:r>
      <w:proofErr w:type="spellStart"/>
      <w:r w:rsidRPr="00D2785F">
        <w:rPr>
          <w:rFonts w:ascii="Times New Roman" w:hAnsi="Times New Roman"/>
          <w:sz w:val="20"/>
          <w:szCs w:val="20"/>
        </w:rPr>
        <w:t>Săndesc</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Scărlătescu</w:t>
      </w:r>
      <w:proofErr w:type="spellEnd"/>
      <w:r w:rsidRPr="00D2785F">
        <w:rPr>
          <w:rFonts w:ascii="Times New Roman" w:hAnsi="Times New Roman"/>
          <w:sz w:val="20"/>
          <w:szCs w:val="20"/>
        </w:rPr>
        <w:t xml:space="preserve">, E., </w:t>
      </w:r>
      <w:proofErr w:type="spellStart"/>
      <w:r w:rsidRPr="00D2785F">
        <w:rPr>
          <w:rFonts w:ascii="Times New Roman" w:hAnsi="Times New Roman"/>
          <w:sz w:val="20"/>
          <w:szCs w:val="20"/>
        </w:rPr>
        <w:t>Văleanu,Todd</w:t>
      </w:r>
      <w:proofErr w:type="spellEnd"/>
      <w:r w:rsidRPr="00D2785F">
        <w:rPr>
          <w:rFonts w:ascii="Times New Roman" w:hAnsi="Times New Roman"/>
          <w:sz w:val="20"/>
          <w:szCs w:val="20"/>
        </w:rPr>
        <w:t xml:space="preserve"> L., Andrei, Ș., &amp; </w:t>
      </w:r>
      <w:proofErr w:type="spellStart"/>
      <w:r w:rsidRPr="00D2785F">
        <w:rPr>
          <w:rFonts w:ascii="Times New Roman" w:hAnsi="Times New Roman"/>
          <w:sz w:val="20"/>
          <w:szCs w:val="20"/>
        </w:rPr>
        <w:t>Tomescu</w:t>
      </w:r>
      <w:proofErr w:type="spellEnd"/>
      <w:r w:rsidRPr="00D2785F">
        <w:rPr>
          <w:rFonts w:ascii="Times New Roman" w:hAnsi="Times New Roman"/>
          <w:sz w:val="20"/>
          <w:szCs w:val="20"/>
        </w:rPr>
        <w:t xml:space="preserve">, D. (2025). Patient Blood Management in 2023: a Nationwide Survey of Anesthesiologists in Romania following the 2018 Guidelines. Blood transfusion = </w:t>
      </w:r>
      <w:proofErr w:type="spellStart"/>
      <w:r w:rsidRPr="00D2785F">
        <w:rPr>
          <w:rFonts w:ascii="Times New Roman" w:hAnsi="Times New Roman"/>
          <w:sz w:val="20"/>
          <w:szCs w:val="20"/>
        </w:rPr>
        <w:t>Trasfusione</w:t>
      </w:r>
      <w:proofErr w:type="spellEnd"/>
      <w:r w:rsidRPr="00D2785F">
        <w:rPr>
          <w:rFonts w:ascii="Times New Roman" w:hAnsi="Times New Roman"/>
          <w:sz w:val="20"/>
          <w:szCs w:val="20"/>
        </w:rPr>
        <w:t xml:space="preserve"> del </w:t>
      </w:r>
      <w:proofErr w:type="spellStart"/>
      <w:r w:rsidRPr="00D2785F">
        <w:rPr>
          <w:rFonts w:ascii="Times New Roman" w:hAnsi="Times New Roman"/>
          <w:sz w:val="20"/>
          <w:szCs w:val="20"/>
        </w:rPr>
        <w:t>sangue</w:t>
      </w:r>
      <w:proofErr w:type="spellEnd"/>
      <w:r w:rsidRPr="00D2785F">
        <w:rPr>
          <w:rFonts w:ascii="Times New Roman" w:hAnsi="Times New Roman"/>
          <w:sz w:val="20"/>
          <w:szCs w:val="20"/>
        </w:rPr>
        <w:t>, 23(3), 232–241. https://doi.org/10.2450/BloodTransfus.776</w:t>
      </w:r>
    </w:p>
    <w:p w14:paraId="6F9360B1"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Fincher SH, Butt W. Red blood cell transfusion in </w:t>
      </w:r>
      <w:proofErr w:type="spellStart"/>
      <w:r w:rsidRPr="00D2785F">
        <w:rPr>
          <w:rFonts w:ascii="Times New Roman" w:hAnsi="Times New Roman"/>
          <w:sz w:val="20"/>
          <w:szCs w:val="20"/>
        </w:rPr>
        <w:t>veno</w:t>
      </w:r>
      <w:proofErr w:type="spellEnd"/>
      <w:r w:rsidRPr="00D2785F">
        <w:rPr>
          <w:rFonts w:ascii="Times New Roman" w:hAnsi="Times New Roman"/>
          <w:sz w:val="20"/>
          <w:szCs w:val="20"/>
        </w:rPr>
        <w:t>-arterial extracorporeal membrane oxygenation – the disconnect between oxygen delivery and tissue oxygenation. Perfusion. 2025;40(1_suppl):15S-28S. doi:10.1177/02676591241239569</w:t>
      </w:r>
    </w:p>
    <w:p w14:paraId="03F16BFA" w14:textId="77777777" w:rsidR="0005414C" w:rsidRPr="003E374F" w:rsidRDefault="0005414C" w:rsidP="0005414C">
      <w:pPr>
        <w:ind w:left="1440" w:hanging="1440"/>
        <w:jc w:val="both"/>
        <w:rPr>
          <w:rFonts w:ascii="Times New Roman" w:hAnsi="Times New Roman"/>
          <w:sz w:val="20"/>
          <w:szCs w:val="20"/>
        </w:rPr>
      </w:pPr>
      <w:proofErr w:type="spellStart"/>
      <w:r w:rsidRPr="003E374F">
        <w:rPr>
          <w:rFonts w:ascii="Times New Roman" w:hAnsi="Times New Roman"/>
          <w:sz w:val="20"/>
          <w:szCs w:val="20"/>
        </w:rPr>
        <w:t>Finfer</w:t>
      </w:r>
      <w:proofErr w:type="spellEnd"/>
      <w:r w:rsidRPr="003E374F">
        <w:rPr>
          <w:rFonts w:ascii="Times New Roman" w:hAnsi="Times New Roman"/>
          <w:sz w:val="20"/>
          <w:szCs w:val="20"/>
        </w:rPr>
        <w:t xml:space="preserve">, S., </w:t>
      </w:r>
      <w:proofErr w:type="spellStart"/>
      <w:r w:rsidRPr="003E374F">
        <w:rPr>
          <w:rFonts w:ascii="Times New Roman" w:hAnsi="Times New Roman"/>
          <w:sz w:val="20"/>
          <w:szCs w:val="20"/>
        </w:rPr>
        <w:t>Myburgh</w:t>
      </w:r>
      <w:proofErr w:type="spellEnd"/>
      <w:r w:rsidRPr="003E374F">
        <w:rPr>
          <w:rFonts w:ascii="Times New Roman" w:hAnsi="Times New Roman"/>
          <w:sz w:val="20"/>
          <w:szCs w:val="20"/>
        </w:rPr>
        <w:t xml:space="preserve">, J., &amp; </w:t>
      </w:r>
      <w:proofErr w:type="spellStart"/>
      <w:r w:rsidRPr="003E374F">
        <w:rPr>
          <w:rFonts w:ascii="Times New Roman" w:hAnsi="Times New Roman"/>
          <w:sz w:val="20"/>
          <w:szCs w:val="20"/>
        </w:rPr>
        <w:t>Bellomo</w:t>
      </w:r>
      <w:proofErr w:type="spellEnd"/>
      <w:r w:rsidRPr="003E374F">
        <w:rPr>
          <w:rFonts w:ascii="Times New Roman" w:hAnsi="Times New Roman"/>
          <w:sz w:val="20"/>
          <w:szCs w:val="20"/>
        </w:rPr>
        <w:t>, R. (2018). Intravenous fluid therapy in critically ill adults. Nature reviews. Nephrology, 14(9), 541–557. https://doi.org/10.1038/s41581-018-0044-0.</w:t>
      </w:r>
    </w:p>
    <w:p w14:paraId="5FC80B18"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lastRenderedPageBreak/>
        <w:t>Franchini</w:t>
      </w:r>
      <w:proofErr w:type="spellEnd"/>
      <w:r w:rsidRPr="00D2785F">
        <w:rPr>
          <w:rFonts w:ascii="Times New Roman" w:hAnsi="Times New Roman"/>
          <w:sz w:val="20"/>
          <w:szCs w:val="20"/>
        </w:rPr>
        <w:t xml:space="preserve">, M., </w:t>
      </w:r>
      <w:proofErr w:type="spellStart"/>
      <w:r w:rsidRPr="00D2785F">
        <w:rPr>
          <w:rFonts w:ascii="Times New Roman" w:hAnsi="Times New Roman"/>
          <w:sz w:val="20"/>
          <w:szCs w:val="20"/>
        </w:rPr>
        <w:t>Marano</w:t>
      </w:r>
      <w:proofErr w:type="spellEnd"/>
      <w:r w:rsidRPr="00D2785F">
        <w:rPr>
          <w:rFonts w:ascii="Times New Roman" w:hAnsi="Times New Roman"/>
          <w:sz w:val="20"/>
          <w:szCs w:val="20"/>
        </w:rPr>
        <w:t xml:space="preserve">, G., </w:t>
      </w:r>
      <w:proofErr w:type="spellStart"/>
      <w:r w:rsidRPr="00D2785F">
        <w:rPr>
          <w:rFonts w:ascii="Times New Roman" w:hAnsi="Times New Roman"/>
          <w:sz w:val="20"/>
          <w:szCs w:val="20"/>
        </w:rPr>
        <w:t>Veropalumbo</w:t>
      </w:r>
      <w:proofErr w:type="spellEnd"/>
      <w:r w:rsidRPr="00D2785F">
        <w:rPr>
          <w:rFonts w:ascii="Times New Roman" w:hAnsi="Times New Roman"/>
          <w:sz w:val="20"/>
          <w:szCs w:val="20"/>
        </w:rPr>
        <w:t xml:space="preserve">, E., </w:t>
      </w:r>
      <w:proofErr w:type="spellStart"/>
      <w:r w:rsidRPr="00D2785F">
        <w:rPr>
          <w:rFonts w:ascii="Times New Roman" w:hAnsi="Times New Roman"/>
          <w:sz w:val="20"/>
          <w:szCs w:val="20"/>
        </w:rPr>
        <w:t>Masiello</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Pati</w:t>
      </w:r>
      <w:proofErr w:type="spellEnd"/>
      <w:r w:rsidRPr="00D2785F">
        <w:rPr>
          <w:rFonts w:ascii="Times New Roman" w:hAnsi="Times New Roman"/>
          <w:sz w:val="20"/>
          <w:szCs w:val="20"/>
        </w:rPr>
        <w:t xml:space="preserve">, I., </w:t>
      </w:r>
      <w:proofErr w:type="spellStart"/>
      <w:r w:rsidRPr="00D2785F">
        <w:rPr>
          <w:rFonts w:ascii="Times New Roman" w:hAnsi="Times New Roman"/>
          <w:sz w:val="20"/>
          <w:szCs w:val="20"/>
        </w:rPr>
        <w:t>Candura</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Profili</w:t>
      </w:r>
      <w:proofErr w:type="spellEnd"/>
      <w:r w:rsidRPr="00D2785F">
        <w:rPr>
          <w:rFonts w:ascii="Times New Roman" w:hAnsi="Times New Roman"/>
          <w:sz w:val="20"/>
          <w:szCs w:val="20"/>
        </w:rPr>
        <w:t xml:space="preserve">, S., Catalano, L., </w:t>
      </w:r>
      <w:proofErr w:type="spellStart"/>
      <w:r w:rsidRPr="00D2785F">
        <w:rPr>
          <w:rFonts w:ascii="Times New Roman" w:hAnsi="Times New Roman"/>
          <w:sz w:val="20"/>
          <w:szCs w:val="20"/>
        </w:rPr>
        <w:t>Piccinini</w:t>
      </w:r>
      <w:proofErr w:type="spellEnd"/>
      <w:r w:rsidRPr="00D2785F">
        <w:rPr>
          <w:rFonts w:ascii="Times New Roman" w:hAnsi="Times New Roman"/>
          <w:sz w:val="20"/>
          <w:szCs w:val="20"/>
        </w:rPr>
        <w:t xml:space="preserve">, V., </w:t>
      </w:r>
      <w:proofErr w:type="spellStart"/>
      <w:r w:rsidRPr="00D2785F">
        <w:rPr>
          <w:rFonts w:ascii="Times New Roman" w:hAnsi="Times New Roman"/>
          <w:sz w:val="20"/>
          <w:szCs w:val="20"/>
        </w:rPr>
        <w:t>Pupella</w:t>
      </w:r>
      <w:proofErr w:type="spellEnd"/>
      <w:r w:rsidRPr="00D2785F">
        <w:rPr>
          <w:rFonts w:ascii="Times New Roman" w:hAnsi="Times New Roman"/>
          <w:sz w:val="20"/>
          <w:szCs w:val="20"/>
        </w:rPr>
        <w:t xml:space="preserve">, S., </w:t>
      </w:r>
      <w:proofErr w:type="spellStart"/>
      <w:r w:rsidRPr="00D2785F">
        <w:rPr>
          <w:rFonts w:ascii="Times New Roman" w:hAnsi="Times New Roman"/>
          <w:sz w:val="20"/>
          <w:szCs w:val="20"/>
        </w:rPr>
        <w:t>Vaglio</w:t>
      </w:r>
      <w:proofErr w:type="spellEnd"/>
      <w:r w:rsidRPr="00D2785F">
        <w:rPr>
          <w:rFonts w:ascii="Times New Roman" w:hAnsi="Times New Roman"/>
          <w:sz w:val="20"/>
          <w:szCs w:val="20"/>
        </w:rPr>
        <w:t xml:space="preserve">, S., &amp; </w:t>
      </w:r>
      <w:proofErr w:type="spellStart"/>
      <w:r w:rsidRPr="00D2785F">
        <w:rPr>
          <w:rFonts w:ascii="Times New Roman" w:hAnsi="Times New Roman"/>
          <w:sz w:val="20"/>
          <w:szCs w:val="20"/>
        </w:rPr>
        <w:t>Liumbruno</w:t>
      </w:r>
      <w:proofErr w:type="spellEnd"/>
      <w:r w:rsidRPr="00D2785F">
        <w:rPr>
          <w:rFonts w:ascii="Times New Roman" w:hAnsi="Times New Roman"/>
          <w:sz w:val="20"/>
          <w:szCs w:val="20"/>
        </w:rPr>
        <w:t xml:space="preserve">, G. M. (2019). Patient Blood Management: a revolutionary approach to transfusion medicine. Blood transfusion = </w:t>
      </w:r>
      <w:proofErr w:type="spellStart"/>
      <w:r w:rsidRPr="00D2785F">
        <w:rPr>
          <w:rFonts w:ascii="Times New Roman" w:hAnsi="Times New Roman"/>
          <w:sz w:val="20"/>
          <w:szCs w:val="20"/>
        </w:rPr>
        <w:t>Trasfusione</w:t>
      </w:r>
      <w:proofErr w:type="spellEnd"/>
      <w:r w:rsidRPr="00D2785F">
        <w:rPr>
          <w:rFonts w:ascii="Times New Roman" w:hAnsi="Times New Roman"/>
          <w:sz w:val="20"/>
          <w:szCs w:val="20"/>
        </w:rPr>
        <w:t xml:space="preserve"> del </w:t>
      </w:r>
      <w:proofErr w:type="spellStart"/>
      <w:r w:rsidRPr="00D2785F">
        <w:rPr>
          <w:rFonts w:ascii="Times New Roman" w:hAnsi="Times New Roman"/>
          <w:sz w:val="20"/>
          <w:szCs w:val="20"/>
        </w:rPr>
        <w:t>sangue</w:t>
      </w:r>
      <w:proofErr w:type="spellEnd"/>
      <w:r w:rsidRPr="00D2785F">
        <w:rPr>
          <w:rFonts w:ascii="Times New Roman" w:hAnsi="Times New Roman"/>
          <w:sz w:val="20"/>
          <w:szCs w:val="20"/>
        </w:rPr>
        <w:t>, 17(3), 191–195. https://doi.org/10.2450/2019.0109-19</w:t>
      </w:r>
    </w:p>
    <w:p w14:paraId="185E772E"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Franchini</w:t>
      </w:r>
      <w:proofErr w:type="spellEnd"/>
      <w:r w:rsidRPr="00D2785F">
        <w:rPr>
          <w:rFonts w:ascii="Times New Roman" w:hAnsi="Times New Roman"/>
          <w:sz w:val="20"/>
          <w:szCs w:val="20"/>
        </w:rPr>
        <w:t xml:space="preserve">, M., </w:t>
      </w:r>
      <w:proofErr w:type="spellStart"/>
      <w:r w:rsidRPr="00D2785F">
        <w:rPr>
          <w:rFonts w:ascii="Times New Roman" w:hAnsi="Times New Roman"/>
          <w:sz w:val="20"/>
          <w:szCs w:val="20"/>
        </w:rPr>
        <w:t>Marano</w:t>
      </w:r>
      <w:proofErr w:type="spellEnd"/>
      <w:r w:rsidRPr="00D2785F">
        <w:rPr>
          <w:rFonts w:ascii="Times New Roman" w:hAnsi="Times New Roman"/>
          <w:sz w:val="20"/>
          <w:szCs w:val="20"/>
        </w:rPr>
        <w:t xml:space="preserve">, G., </w:t>
      </w:r>
      <w:proofErr w:type="spellStart"/>
      <w:r w:rsidRPr="00D2785F">
        <w:rPr>
          <w:rFonts w:ascii="Times New Roman" w:hAnsi="Times New Roman"/>
          <w:sz w:val="20"/>
          <w:szCs w:val="20"/>
        </w:rPr>
        <w:t>Veropalumbo</w:t>
      </w:r>
      <w:proofErr w:type="spellEnd"/>
      <w:r w:rsidRPr="00D2785F">
        <w:rPr>
          <w:rFonts w:ascii="Times New Roman" w:hAnsi="Times New Roman"/>
          <w:sz w:val="20"/>
          <w:szCs w:val="20"/>
        </w:rPr>
        <w:t xml:space="preserve">, E., </w:t>
      </w:r>
      <w:proofErr w:type="spellStart"/>
      <w:r w:rsidRPr="00D2785F">
        <w:rPr>
          <w:rFonts w:ascii="Times New Roman" w:hAnsi="Times New Roman"/>
          <w:sz w:val="20"/>
          <w:szCs w:val="20"/>
        </w:rPr>
        <w:t>Masiello</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Pati</w:t>
      </w:r>
      <w:proofErr w:type="spellEnd"/>
      <w:r w:rsidRPr="00D2785F">
        <w:rPr>
          <w:rFonts w:ascii="Times New Roman" w:hAnsi="Times New Roman"/>
          <w:sz w:val="20"/>
          <w:szCs w:val="20"/>
        </w:rPr>
        <w:t xml:space="preserve">, I., </w:t>
      </w:r>
      <w:proofErr w:type="spellStart"/>
      <w:r w:rsidRPr="00D2785F">
        <w:rPr>
          <w:rFonts w:ascii="Times New Roman" w:hAnsi="Times New Roman"/>
          <w:sz w:val="20"/>
          <w:szCs w:val="20"/>
        </w:rPr>
        <w:t>Candura</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Profili</w:t>
      </w:r>
      <w:proofErr w:type="spellEnd"/>
      <w:r w:rsidRPr="00D2785F">
        <w:rPr>
          <w:rFonts w:ascii="Times New Roman" w:hAnsi="Times New Roman"/>
          <w:sz w:val="20"/>
          <w:szCs w:val="20"/>
        </w:rPr>
        <w:t xml:space="preserve">, S., Catalano, L., </w:t>
      </w:r>
      <w:proofErr w:type="spellStart"/>
      <w:r w:rsidRPr="00D2785F">
        <w:rPr>
          <w:rFonts w:ascii="Times New Roman" w:hAnsi="Times New Roman"/>
          <w:sz w:val="20"/>
          <w:szCs w:val="20"/>
        </w:rPr>
        <w:t>Piccinini</w:t>
      </w:r>
      <w:proofErr w:type="spellEnd"/>
      <w:r w:rsidRPr="00D2785F">
        <w:rPr>
          <w:rFonts w:ascii="Times New Roman" w:hAnsi="Times New Roman"/>
          <w:sz w:val="20"/>
          <w:szCs w:val="20"/>
        </w:rPr>
        <w:t xml:space="preserve">, V., </w:t>
      </w:r>
      <w:proofErr w:type="spellStart"/>
      <w:r w:rsidRPr="00D2785F">
        <w:rPr>
          <w:rFonts w:ascii="Times New Roman" w:hAnsi="Times New Roman"/>
          <w:sz w:val="20"/>
          <w:szCs w:val="20"/>
        </w:rPr>
        <w:t>Pupella</w:t>
      </w:r>
      <w:proofErr w:type="spellEnd"/>
      <w:r w:rsidRPr="00D2785F">
        <w:rPr>
          <w:rFonts w:ascii="Times New Roman" w:hAnsi="Times New Roman"/>
          <w:sz w:val="20"/>
          <w:szCs w:val="20"/>
        </w:rPr>
        <w:t xml:space="preserve">, S., </w:t>
      </w:r>
      <w:proofErr w:type="spellStart"/>
      <w:r w:rsidRPr="00D2785F">
        <w:rPr>
          <w:rFonts w:ascii="Times New Roman" w:hAnsi="Times New Roman"/>
          <w:sz w:val="20"/>
          <w:szCs w:val="20"/>
        </w:rPr>
        <w:t>Vaglio</w:t>
      </w:r>
      <w:proofErr w:type="spellEnd"/>
      <w:r w:rsidRPr="00D2785F">
        <w:rPr>
          <w:rFonts w:ascii="Times New Roman" w:hAnsi="Times New Roman"/>
          <w:sz w:val="20"/>
          <w:szCs w:val="20"/>
        </w:rPr>
        <w:t xml:space="preserve">, S., &amp; </w:t>
      </w:r>
      <w:proofErr w:type="spellStart"/>
      <w:r w:rsidRPr="00D2785F">
        <w:rPr>
          <w:rFonts w:ascii="Times New Roman" w:hAnsi="Times New Roman"/>
          <w:sz w:val="20"/>
          <w:szCs w:val="20"/>
        </w:rPr>
        <w:t>Liumbruno</w:t>
      </w:r>
      <w:proofErr w:type="spellEnd"/>
      <w:r w:rsidRPr="00D2785F">
        <w:rPr>
          <w:rFonts w:ascii="Times New Roman" w:hAnsi="Times New Roman"/>
          <w:sz w:val="20"/>
          <w:szCs w:val="20"/>
        </w:rPr>
        <w:t xml:space="preserve">, G. M. (2019). Patient Blood Management: a revolutionary approach to transfusion medicine. Blood transfusion = </w:t>
      </w:r>
      <w:proofErr w:type="spellStart"/>
      <w:r w:rsidRPr="00D2785F">
        <w:rPr>
          <w:rFonts w:ascii="Times New Roman" w:hAnsi="Times New Roman"/>
          <w:sz w:val="20"/>
          <w:szCs w:val="20"/>
        </w:rPr>
        <w:t>Trasfusione</w:t>
      </w:r>
      <w:proofErr w:type="spellEnd"/>
      <w:r w:rsidRPr="00D2785F">
        <w:rPr>
          <w:rFonts w:ascii="Times New Roman" w:hAnsi="Times New Roman"/>
          <w:sz w:val="20"/>
          <w:szCs w:val="20"/>
        </w:rPr>
        <w:t xml:space="preserve"> del </w:t>
      </w:r>
      <w:proofErr w:type="spellStart"/>
      <w:r w:rsidRPr="00D2785F">
        <w:rPr>
          <w:rFonts w:ascii="Times New Roman" w:hAnsi="Times New Roman"/>
          <w:sz w:val="20"/>
          <w:szCs w:val="20"/>
        </w:rPr>
        <w:t>sangue</w:t>
      </w:r>
      <w:proofErr w:type="spellEnd"/>
      <w:r w:rsidRPr="00D2785F">
        <w:rPr>
          <w:rFonts w:ascii="Times New Roman" w:hAnsi="Times New Roman"/>
          <w:sz w:val="20"/>
          <w:szCs w:val="20"/>
        </w:rPr>
        <w:t>, 17(3), 191–195. https://doi.org/10.2450/2019.0109-19</w:t>
      </w:r>
    </w:p>
    <w:p w14:paraId="7B0EE2EB"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Fu </w:t>
      </w:r>
      <w:proofErr w:type="spellStart"/>
      <w:r w:rsidRPr="00D2785F">
        <w:rPr>
          <w:rFonts w:ascii="Times New Roman" w:hAnsi="Times New Roman"/>
          <w:sz w:val="20"/>
          <w:szCs w:val="20"/>
        </w:rPr>
        <w:t>J,Zeng</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C,Huang</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J,Guo</w:t>
      </w:r>
      <w:proofErr w:type="spellEnd"/>
      <w:r w:rsidRPr="00D2785F">
        <w:rPr>
          <w:rFonts w:ascii="Times New Roman" w:hAnsi="Times New Roman"/>
          <w:sz w:val="20"/>
          <w:szCs w:val="20"/>
        </w:rPr>
        <w:t xml:space="preserve"> J, </w:t>
      </w:r>
      <w:proofErr w:type="spellStart"/>
      <w:r w:rsidRPr="00D2785F">
        <w:rPr>
          <w:rFonts w:ascii="Times New Roman" w:hAnsi="Times New Roman"/>
          <w:sz w:val="20"/>
          <w:szCs w:val="20"/>
        </w:rPr>
        <w:t>Su</w:t>
      </w:r>
      <w:proofErr w:type="spellEnd"/>
      <w:r w:rsidRPr="00D2785F">
        <w:rPr>
          <w:rFonts w:ascii="Times New Roman" w:hAnsi="Times New Roman"/>
          <w:sz w:val="20"/>
          <w:szCs w:val="20"/>
        </w:rPr>
        <w:t xml:space="preserve"> Z, Luo S, Zhang W, Zhang Z, Zhu H and LY(2024): Dietary patterns and </w:t>
      </w:r>
      <w:proofErr w:type="spellStart"/>
      <w:r w:rsidRPr="00D2785F">
        <w:rPr>
          <w:rFonts w:ascii="Times New Roman" w:hAnsi="Times New Roman"/>
          <w:sz w:val="20"/>
          <w:szCs w:val="20"/>
        </w:rPr>
        <w:t>associaton</w:t>
      </w:r>
      <w:proofErr w:type="spellEnd"/>
      <w:r w:rsidRPr="00D2785F">
        <w:rPr>
          <w:rFonts w:ascii="Times New Roman" w:hAnsi="Times New Roman"/>
          <w:sz w:val="20"/>
          <w:szCs w:val="20"/>
        </w:rPr>
        <w:t xml:space="preserve"> with iron deficiency among children and adolescents aged 9-17 years in rural </w:t>
      </w:r>
      <w:proofErr w:type="spellStart"/>
      <w:r w:rsidRPr="00D2785F">
        <w:rPr>
          <w:rFonts w:ascii="Times New Roman" w:hAnsi="Times New Roman"/>
          <w:sz w:val="20"/>
          <w:szCs w:val="20"/>
        </w:rPr>
        <w:t>Guangzhou,China</w:t>
      </w:r>
      <w:proofErr w:type="spellEnd"/>
      <w:r w:rsidRPr="00D2785F">
        <w:rPr>
          <w:rFonts w:ascii="Times New Roman" w:hAnsi="Times New Roman"/>
          <w:sz w:val="20"/>
          <w:szCs w:val="20"/>
        </w:rPr>
        <w:t xml:space="preserve">:  a cross </w:t>
      </w:r>
      <w:proofErr w:type="spellStart"/>
      <w:r w:rsidRPr="00D2785F">
        <w:rPr>
          <w:rFonts w:ascii="Times New Roman" w:hAnsi="Times New Roman"/>
          <w:sz w:val="20"/>
          <w:szCs w:val="20"/>
        </w:rPr>
        <w:t>sectonal</w:t>
      </w:r>
      <w:proofErr w:type="spellEnd"/>
      <w:r w:rsidRPr="00D2785F">
        <w:rPr>
          <w:rFonts w:ascii="Times New Roman" w:hAnsi="Times New Roman"/>
          <w:sz w:val="20"/>
          <w:szCs w:val="20"/>
        </w:rPr>
        <w:t xml:space="preserve"> study Front ,</w:t>
      </w:r>
      <w:proofErr w:type="spellStart"/>
      <w:r w:rsidRPr="00D2785F">
        <w:rPr>
          <w:rFonts w:ascii="Times New Roman" w:hAnsi="Times New Roman"/>
          <w:sz w:val="20"/>
          <w:szCs w:val="20"/>
        </w:rPr>
        <w:t>Nutr</w:t>
      </w:r>
      <w:proofErr w:type="spellEnd"/>
      <w:r w:rsidRPr="00D2785F">
        <w:rPr>
          <w:rFonts w:ascii="Times New Roman" w:hAnsi="Times New Roman"/>
          <w:sz w:val="20"/>
          <w:szCs w:val="20"/>
        </w:rPr>
        <w:t xml:space="preserve"> 111443849 do:103389/fnut20241443849</w:t>
      </w:r>
    </w:p>
    <w:p w14:paraId="05244EF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GBD 2021 </w:t>
      </w:r>
      <w:proofErr w:type="spellStart"/>
      <w:r w:rsidRPr="00D2785F">
        <w:rPr>
          <w:rFonts w:ascii="Times New Roman" w:hAnsi="Times New Roman"/>
          <w:sz w:val="20"/>
          <w:szCs w:val="20"/>
        </w:rPr>
        <w:t>Anaemia</w:t>
      </w:r>
      <w:proofErr w:type="spellEnd"/>
      <w:r w:rsidRPr="00D2785F">
        <w:rPr>
          <w:rFonts w:ascii="Times New Roman" w:hAnsi="Times New Roman"/>
          <w:sz w:val="20"/>
          <w:szCs w:val="20"/>
        </w:rPr>
        <w:t xml:space="preserve"> Collaborators (2023). Prevalence, years lived with disability, and trends in </w:t>
      </w:r>
      <w:proofErr w:type="spellStart"/>
      <w:r w:rsidRPr="00D2785F">
        <w:rPr>
          <w:rFonts w:ascii="Times New Roman" w:hAnsi="Times New Roman"/>
          <w:sz w:val="20"/>
          <w:szCs w:val="20"/>
        </w:rPr>
        <w:t>anaemia</w:t>
      </w:r>
      <w:proofErr w:type="spellEnd"/>
      <w:r w:rsidRPr="00D2785F">
        <w:rPr>
          <w:rFonts w:ascii="Times New Roman" w:hAnsi="Times New Roman"/>
          <w:sz w:val="20"/>
          <w:szCs w:val="20"/>
        </w:rPr>
        <w:t xml:space="preserve"> burden by severity and cause, 1990-2021: findings from the Global Burden of Disease Study 2021. The Lancet. </w:t>
      </w:r>
      <w:proofErr w:type="spellStart"/>
      <w:r w:rsidRPr="00D2785F">
        <w:rPr>
          <w:rFonts w:ascii="Times New Roman" w:hAnsi="Times New Roman"/>
          <w:sz w:val="20"/>
          <w:szCs w:val="20"/>
        </w:rPr>
        <w:t>Haematology</w:t>
      </w:r>
      <w:proofErr w:type="spellEnd"/>
      <w:r w:rsidRPr="00D2785F">
        <w:rPr>
          <w:rFonts w:ascii="Times New Roman" w:hAnsi="Times New Roman"/>
          <w:sz w:val="20"/>
          <w:szCs w:val="20"/>
        </w:rPr>
        <w:t>, 10(9), e713–e734. https://doi.org/10.1016/S2352-3026(23)00160-6</w:t>
      </w:r>
    </w:p>
    <w:p w14:paraId="5CF5AA99"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Goodnough, L. T., &amp; </w:t>
      </w:r>
      <w:proofErr w:type="spellStart"/>
      <w:r w:rsidRPr="00D2785F">
        <w:rPr>
          <w:rFonts w:ascii="Times New Roman" w:hAnsi="Times New Roman"/>
          <w:sz w:val="20"/>
          <w:szCs w:val="20"/>
        </w:rPr>
        <w:t>Shander</w:t>
      </w:r>
      <w:proofErr w:type="spellEnd"/>
      <w:r w:rsidRPr="00D2785F">
        <w:rPr>
          <w:rFonts w:ascii="Times New Roman" w:hAnsi="Times New Roman"/>
          <w:sz w:val="20"/>
          <w:szCs w:val="20"/>
        </w:rPr>
        <w:t>, A. (2012). Patient blood management. Anesthesiology, 116(6), 1367–1376. https://doi.org/10.1097/ALN.0b013e318254d1a3</w:t>
      </w:r>
    </w:p>
    <w:p w14:paraId="579EA61E" w14:textId="1386AA86" w:rsidR="0005414C" w:rsidRPr="003E374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Görlinger</w:t>
      </w:r>
      <w:proofErr w:type="spellEnd"/>
      <w:r w:rsidRPr="00D2785F">
        <w:rPr>
          <w:rFonts w:ascii="Times New Roman" w:hAnsi="Times New Roman"/>
          <w:sz w:val="20"/>
          <w:szCs w:val="20"/>
        </w:rPr>
        <w:t xml:space="preserve"> K. Implementation of Patient Blood Management – A Long and Winding Road but Worth Doing! J Card </w:t>
      </w:r>
      <w:proofErr w:type="spellStart"/>
      <w:r w:rsidRPr="00D2785F">
        <w:rPr>
          <w:rFonts w:ascii="Times New Roman" w:hAnsi="Times New Roman"/>
          <w:sz w:val="20"/>
          <w:szCs w:val="20"/>
        </w:rPr>
        <w:t>Crit</w:t>
      </w:r>
      <w:proofErr w:type="spellEnd"/>
      <w:r w:rsidRPr="00D2785F">
        <w:rPr>
          <w:rFonts w:ascii="Times New Roman" w:hAnsi="Times New Roman"/>
          <w:sz w:val="20"/>
          <w:szCs w:val="20"/>
        </w:rPr>
        <w:t xml:space="preserve"> Care TSS. 2024;8:1-4. </w:t>
      </w:r>
      <w:proofErr w:type="spellStart"/>
      <w:r w:rsidRPr="00D2785F">
        <w:rPr>
          <w:rFonts w:ascii="Times New Roman" w:hAnsi="Times New Roman"/>
          <w:sz w:val="20"/>
          <w:szCs w:val="20"/>
        </w:rPr>
        <w:t>doi</w:t>
      </w:r>
      <w:proofErr w:type="spellEnd"/>
      <w:r w:rsidRPr="00D2785F">
        <w:rPr>
          <w:rFonts w:ascii="Times New Roman" w:hAnsi="Times New Roman"/>
          <w:sz w:val="20"/>
          <w:szCs w:val="20"/>
        </w:rPr>
        <w:t>: 10.25259/JCCC_24S1_KGIE</w:t>
      </w:r>
    </w:p>
    <w:p w14:paraId="7C57B45F"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Green, R., Allen, L. H., </w:t>
      </w:r>
      <w:proofErr w:type="spellStart"/>
      <w:r w:rsidRPr="00D2785F">
        <w:rPr>
          <w:rFonts w:ascii="Times New Roman" w:hAnsi="Times New Roman"/>
          <w:sz w:val="20"/>
          <w:szCs w:val="20"/>
        </w:rPr>
        <w:t>Bjørke-Monsen</w:t>
      </w:r>
      <w:proofErr w:type="spellEnd"/>
      <w:r w:rsidRPr="00D2785F">
        <w:rPr>
          <w:rFonts w:ascii="Times New Roman" w:hAnsi="Times New Roman"/>
          <w:sz w:val="20"/>
          <w:szCs w:val="20"/>
        </w:rPr>
        <w:t xml:space="preserve">, A. L., Brito, A., </w:t>
      </w:r>
      <w:proofErr w:type="spellStart"/>
      <w:r w:rsidRPr="00D2785F">
        <w:rPr>
          <w:rFonts w:ascii="Times New Roman" w:hAnsi="Times New Roman"/>
          <w:sz w:val="20"/>
          <w:szCs w:val="20"/>
        </w:rPr>
        <w:t>Guéant</w:t>
      </w:r>
      <w:proofErr w:type="spellEnd"/>
      <w:r w:rsidRPr="00D2785F">
        <w:rPr>
          <w:rFonts w:ascii="Times New Roman" w:hAnsi="Times New Roman"/>
          <w:sz w:val="20"/>
          <w:szCs w:val="20"/>
        </w:rPr>
        <w:t xml:space="preserve">, J. L., Miller, J. W., Molloy, A. M., </w:t>
      </w:r>
      <w:proofErr w:type="spellStart"/>
      <w:r w:rsidRPr="00D2785F">
        <w:rPr>
          <w:rFonts w:ascii="Times New Roman" w:hAnsi="Times New Roman"/>
          <w:sz w:val="20"/>
          <w:szCs w:val="20"/>
        </w:rPr>
        <w:t>Nexo</w:t>
      </w:r>
      <w:proofErr w:type="spellEnd"/>
      <w:r w:rsidRPr="00D2785F">
        <w:rPr>
          <w:rFonts w:ascii="Times New Roman" w:hAnsi="Times New Roman"/>
          <w:sz w:val="20"/>
          <w:szCs w:val="20"/>
        </w:rPr>
        <w:t xml:space="preserve">, E., Stabler, S., </w:t>
      </w:r>
      <w:proofErr w:type="spellStart"/>
      <w:r w:rsidRPr="00D2785F">
        <w:rPr>
          <w:rFonts w:ascii="Times New Roman" w:hAnsi="Times New Roman"/>
          <w:sz w:val="20"/>
          <w:szCs w:val="20"/>
        </w:rPr>
        <w:t>Toh</w:t>
      </w:r>
      <w:proofErr w:type="spellEnd"/>
      <w:r w:rsidRPr="00D2785F">
        <w:rPr>
          <w:rFonts w:ascii="Times New Roman" w:hAnsi="Times New Roman"/>
          <w:sz w:val="20"/>
          <w:szCs w:val="20"/>
        </w:rPr>
        <w:t xml:space="preserve">, B. H., </w:t>
      </w:r>
      <w:proofErr w:type="spellStart"/>
      <w:r w:rsidRPr="00D2785F">
        <w:rPr>
          <w:rFonts w:ascii="Times New Roman" w:hAnsi="Times New Roman"/>
          <w:sz w:val="20"/>
          <w:szCs w:val="20"/>
        </w:rPr>
        <w:t>Ueland</w:t>
      </w:r>
      <w:proofErr w:type="spellEnd"/>
      <w:r w:rsidRPr="00D2785F">
        <w:rPr>
          <w:rFonts w:ascii="Times New Roman" w:hAnsi="Times New Roman"/>
          <w:sz w:val="20"/>
          <w:szCs w:val="20"/>
        </w:rPr>
        <w:t xml:space="preserve">, P. M., &amp; </w:t>
      </w:r>
      <w:proofErr w:type="spellStart"/>
      <w:r w:rsidRPr="00D2785F">
        <w:rPr>
          <w:rFonts w:ascii="Times New Roman" w:hAnsi="Times New Roman"/>
          <w:sz w:val="20"/>
          <w:szCs w:val="20"/>
        </w:rPr>
        <w:t>Yajnik</w:t>
      </w:r>
      <w:proofErr w:type="spellEnd"/>
      <w:r w:rsidRPr="00D2785F">
        <w:rPr>
          <w:rFonts w:ascii="Times New Roman" w:hAnsi="Times New Roman"/>
          <w:sz w:val="20"/>
          <w:szCs w:val="20"/>
        </w:rPr>
        <w:t>, C. (2017). Vitamin B12 deficiency. Nature reviews. Disease primers, 3, 17040. https://doi.org/10.1038/nrdp.2017.40</w:t>
      </w:r>
    </w:p>
    <w:p w14:paraId="4BAF9ACB"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Gross, Irwin &amp; Seifert, Burkhardt &amp; Hofmann, Axel &amp; </w:t>
      </w:r>
      <w:proofErr w:type="spellStart"/>
      <w:r w:rsidRPr="00D2785F">
        <w:rPr>
          <w:rFonts w:ascii="Times New Roman" w:hAnsi="Times New Roman"/>
          <w:sz w:val="20"/>
          <w:szCs w:val="20"/>
        </w:rPr>
        <w:t>Spahn</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Donat</w:t>
      </w:r>
      <w:proofErr w:type="spellEnd"/>
      <w:r w:rsidRPr="00D2785F">
        <w:rPr>
          <w:rFonts w:ascii="Times New Roman" w:hAnsi="Times New Roman"/>
          <w:sz w:val="20"/>
          <w:szCs w:val="20"/>
        </w:rPr>
        <w:t xml:space="preserve">. (2014). Patient blood management in cardiac surgery </w:t>
      </w:r>
      <w:proofErr w:type="spellStart"/>
      <w:r w:rsidRPr="00D2785F">
        <w:rPr>
          <w:rFonts w:ascii="Times New Roman" w:hAnsi="Times New Roman"/>
          <w:sz w:val="20"/>
          <w:szCs w:val="20"/>
        </w:rPr>
        <w:t>resu</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I'mlts</w:t>
      </w:r>
      <w:proofErr w:type="spellEnd"/>
      <w:r w:rsidRPr="00D2785F">
        <w:rPr>
          <w:rFonts w:ascii="Times New Roman" w:hAnsi="Times New Roman"/>
          <w:sz w:val="20"/>
          <w:szCs w:val="20"/>
        </w:rPr>
        <w:t xml:space="preserve"> in fewer transfusions and better outcome: Patient Blood Management in Cardiac Surgery. Transfusion. 55. 10.1111/trf.12946</w:t>
      </w:r>
    </w:p>
    <w:p w14:paraId="2AD2485F"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Guerriero, Carla &amp; Cairns, John &amp; </w:t>
      </w:r>
      <w:proofErr w:type="spellStart"/>
      <w:r w:rsidRPr="00D2785F">
        <w:rPr>
          <w:rFonts w:ascii="Times New Roman" w:hAnsi="Times New Roman"/>
          <w:sz w:val="20"/>
          <w:szCs w:val="20"/>
        </w:rPr>
        <w:t>Perel</w:t>
      </w:r>
      <w:proofErr w:type="spellEnd"/>
      <w:r w:rsidRPr="00D2785F">
        <w:rPr>
          <w:rFonts w:ascii="Times New Roman" w:hAnsi="Times New Roman"/>
          <w:sz w:val="20"/>
          <w:szCs w:val="20"/>
        </w:rPr>
        <w:t xml:space="preserve">, Pablo &amp; Shakur-Still, </w:t>
      </w:r>
      <w:proofErr w:type="spellStart"/>
      <w:r w:rsidRPr="00D2785F">
        <w:rPr>
          <w:rFonts w:ascii="Times New Roman" w:hAnsi="Times New Roman"/>
          <w:sz w:val="20"/>
          <w:szCs w:val="20"/>
        </w:rPr>
        <w:t>Haleema</w:t>
      </w:r>
      <w:proofErr w:type="spellEnd"/>
      <w:r w:rsidRPr="00D2785F">
        <w:rPr>
          <w:rFonts w:ascii="Times New Roman" w:hAnsi="Times New Roman"/>
          <w:sz w:val="20"/>
          <w:szCs w:val="20"/>
        </w:rPr>
        <w:t xml:space="preserve"> &amp; Roberts, Ian. (2011). Cost-Effectiveness Analysis of Administering Tranexamic Acid to Bleeding Trauma Patients Using Evidence from the CRASH-2 Trial. </w:t>
      </w:r>
      <w:proofErr w:type="spellStart"/>
      <w:r w:rsidRPr="00D2785F">
        <w:rPr>
          <w:rFonts w:ascii="Times New Roman" w:hAnsi="Times New Roman"/>
          <w:sz w:val="20"/>
          <w:szCs w:val="20"/>
        </w:rPr>
        <w:t>PloS</w:t>
      </w:r>
      <w:proofErr w:type="spellEnd"/>
      <w:r w:rsidRPr="00D2785F">
        <w:rPr>
          <w:rFonts w:ascii="Times New Roman" w:hAnsi="Times New Roman"/>
          <w:sz w:val="20"/>
          <w:szCs w:val="20"/>
        </w:rPr>
        <w:t xml:space="preserve"> one. 6. e18987. 10.1371/journal.pone.0018987.</w:t>
      </w:r>
    </w:p>
    <w:p w14:paraId="602F2A32"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Hakim, S. M., Ahmad, A. H. M., &amp; Amer, A. M. (2024). Effect of Preoperative Recombinant Human Erythropoietin on the Need for Blood Transfusion and Surgical Outcomes in Adult Patients Undergoing Cardiac Surgery: A Systematic Review and Meta-Analysis with Trial Sequential Analysis. Journal of cardiothoracic and vascular anesthesia, 38(10), 2402–2411. https://doi.org/10.1053/j.jvca.2024.06.013</w:t>
      </w:r>
    </w:p>
    <w:p w14:paraId="0C729729"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Hampton, Tracy. (2011). Vitamin B 12 Deficiency and Folate. JAMA. 306. 366. 10.1001/jama.2011.1011</w:t>
      </w:r>
    </w:p>
    <w:p w14:paraId="231DAEF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Hoh, B. L., Ko, N. U., Amin-</w:t>
      </w:r>
      <w:proofErr w:type="spellStart"/>
      <w:r w:rsidRPr="00D2785F">
        <w:rPr>
          <w:rFonts w:ascii="Times New Roman" w:hAnsi="Times New Roman"/>
          <w:sz w:val="20"/>
          <w:szCs w:val="20"/>
        </w:rPr>
        <w:t>Hanjani</w:t>
      </w:r>
      <w:proofErr w:type="spellEnd"/>
      <w:r w:rsidRPr="00D2785F">
        <w:rPr>
          <w:rFonts w:ascii="Times New Roman" w:hAnsi="Times New Roman"/>
          <w:sz w:val="20"/>
          <w:szCs w:val="20"/>
        </w:rPr>
        <w:t xml:space="preserve">, S., Chou, S. H.-Y., Cruz-Flores, S., </w:t>
      </w:r>
      <w:proofErr w:type="spellStart"/>
      <w:r w:rsidRPr="00D2785F">
        <w:rPr>
          <w:rFonts w:ascii="Times New Roman" w:hAnsi="Times New Roman"/>
          <w:sz w:val="20"/>
          <w:szCs w:val="20"/>
        </w:rPr>
        <w:t>Dangayach</w:t>
      </w:r>
      <w:proofErr w:type="spellEnd"/>
      <w:r w:rsidRPr="00D2785F">
        <w:rPr>
          <w:rFonts w:ascii="Times New Roman" w:hAnsi="Times New Roman"/>
          <w:sz w:val="20"/>
          <w:szCs w:val="20"/>
        </w:rPr>
        <w:t xml:space="preserve">, N. S., </w:t>
      </w:r>
      <w:proofErr w:type="spellStart"/>
      <w:r w:rsidRPr="00D2785F">
        <w:rPr>
          <w:rFonts w:ascii="Times New Roman" w:hAnsi="Times New Roman"/>
          <w:sz w:val="20"/>
          <w:szCs w:val="20"/>
        </w:rPr>
        <w:t>Derdeyn</w:t>
      </w:r>
      <w:proofErr w:type="spellEnd"/>
      <w:r w:rsidRPr="00D2785F">
        <w:rPr>
          <w:rFonts w:ascii="Times New Roman" w:hAnsi="Times New Roman"/>
          <w:sz w:val="20"/>
          <w:szCs w:val="20"/>
        </w:rPr>
        <w:t xml:space="preserve">, C. P., Du, R., </w:t>
      </w:r>
      <w:proofErr w:type="spellStart"/>
      <w:r w:rsidRPr="00D2785F">
        <w:rPr>
          <w:rFonts w:ascii="Times New Roman" w:hAnsi="Times New Roman"/>
          <w:sz w:val="20"/>
          <w:szCs w:val="20"/>
        </w:rPr>
        <w:t>Hänggi</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Hetts</w:t>
      </w:r>
      <w:proofErr w:type="spellEnd"/>
      <w:r w:rsidRPr="00D2785F">
        <w:rPr>
          <w:rFonts w:ascii="Times New Roman" w:hAnsi="Times New Roman"/>
          <w:sz w:val="20"/>
          <w:szCs w:val="20"/>
        </w:rPr>
        <w:t xml:space="preserve">, S. W., </w:t>
      </w:r>
      <w:proofErr w:type="spellStart"/>
      <w:r w:rsidRPr="00D2785F">
        <w:rPr>
          <w:rFonts w:ascii="Times New Roman" w:hAnsi="Times New Roman"/>
          <w:sz w:val="20"/>
          <w:szCs w:val="20"/>
        </w:rPr>
        <w:t>Ifejika</w:t>
      </w:r>
      <w:proofErr w:type="spellEnd"/>
      <w:r w:rsidRPr="00D2785F">
        <w:rPr>
          <w:rFonts w:ascii="Times New Roman" w:hAnsi="Times New Roman"/>
          <w:sz w:val="20"/>
          <w:szCs w:val="20"/>
        </w:rPr>
        <w:t xml:space="preserve">, N. L., Johnson, R., </w:t>
      </w:r>
      <w:proofErr w:type="spellStart"/>
      <w:r w:rsidRPr="00D2785F">
        <w:rPr>
          <w:rFonts w:ascii="Times New Roman" w:hAnsi="Times New Roman"/>
          <w:sz w:val="20"/>
          <w:szCs w:val="20"/>
        </w:rPr>
        <w:t>Keigher</w:t>
      </w:r>
      <w:proofErr w:type="spellEnd"/>
      <w:r w:rsidRPr="00D2785F">
        <w:rPr>
          <w:rFonts w:ascii="Times New Roman" w:hAnsi="Times New Roman"/>
          <w:sz w:val="20"/>
          <w:szCs w:val="20"/>
        </w:rPr>
        <w:t>, K. M., Leslie-</w:t>
      </w:r>
      <w:proofErr w:type="spellStart"/>
      <w:r w:rsidRPr="00D2785F">
        <w:rPr>
          <w:rFonts w:ascii="Times New Roman" w:hAnsi="Times New Roman"/>
          <w:sz w:val="20"/>
          <w:szCs w:val="20"/>
        </w:rPr>
        <w:t>Mazwi</w:t>
      </w:r>
      <w:proofErr w:type="spellEnd"/>
      <w:r w:rsidRPr="00D2785F">
        <w:rPr>
          <w:rFonts w:ascii="Times New Roman" w:hAnsi="Times New Roman"/>
          <w:sz w:val="20"/>
          <w:szCs w:val="20"/>
        </w:rPr>
        <w:t xml:space="preserve">, T. M., </w:t>
      </w:r>
      <w:proofErr w:type="spellStart"/>
      <w:r w:rsidRPr="00D2785F">
        <w:rPr>
          <w:rFonts w:ascii="Times New Roman" w:hAnsi="Times New Roman"/>
          <w:sz w:val="20"/>
          <w:szCs w:val="20"/>
        </w:rPr>
        <w:t>Lucke-Wold</w:t>
      </w:r>
      <w:proofErr w:type="spellEnd"/>
      <w:r w:rsidRPr="00D2785F">
        <w:rPr>
          <w:rFonts w:ascii="Times New Roman" w:hAnsi="Times New Roman"/>
          <w:sz w:val="20"/>
          <w:szCs w:val="20"/>
        </w:rPr>
        <w:t xml:space="preserve">, B., </w:t>
      </w:r>
      <w:proofErr w:type="spellStart"/>
      <w:r w:rsidRPr="00D2785F">
        <w:rPr>
          <w:rFonts w:ascii="Times New Roman" w:hAnsi="Times New Roman"/>
          <w:sz w:val="20"/>
          <w:szCs w:val="20"/>
        </w:rPr>
        <w:t>Rabinstein</w:t>
      </w:r>
      <w:proofErr w:type="spellEnd"/>
      <w:r w:rsidRPr="00D2785F">
        <w:rPr>
          <w:rFonts w:ascii="Times New Roman" w:hAnsi="Times New Roman"/>
          <w:sz w:val="20"/>
          <w:szCs w:val="20"/>
        </w:rPr>
        <w:t xml:space="preserve">, A. A., </w:t>
      </w:r>
      <w:proofErr w:type="spellStart"/>
      <w:r w:rsidRPr="00D2785F">
        <w:rPr>
          <w:rFonts w:ascii="Times New Roman" w:hAnsi="Times New Roman"/>
          <w:sz w:val="20"/>
          <w:szCs w:val="20"/>
        </w:rPr>
        <w:t>Robicsek</w:t>
      </w:r>
      <w:proofErr w:type="spellEnd"/>
      <w:r w:rsidRPr="00D2785F">
        <w:rPr>
          <w:rFonts w:ascii="Times New Roman" w:hAnsi="Times New Roman"/>
          <w:sz w:val="20"/>
          <w:szCs w:val="20"/>
        </w:rPr>
        <w:t xml:space="preserve">, S. A., Stapleton, C. J., Suarez, J. I., </w:t>
      </w:r>
      <w:proofErr w:type="spellStart"/>
      <w:r w:rsidRPr="00D2785F">
        <w:rPr>
          <w:rFonts w:ascii="Times New Roman" w:hAnsi="Times New Roman"/>
          <w:sz w:val="20"/>
          <w:szCs w:val="20"/>
        </w:rPr>
        <w:t>Tjoumakaris</w:t>
      </w:r>
      <w:proofErr w:type="spellEnd"/>
      <w:r w:rsidRPr="00D2785F">
        <w:rPr>
          <w:rFonts w:ascii="Times New Roman" w:hAnsi="Times New Roman"/>
          <w:sz w:val="20"/>
          <w:szCs w:val="20"/>
        </w:rPr>
        <w:t>, S. I., Welch, B. G. (2023). 2023 Guideline for the Management of Patients With Aneurysmal Subarachnoid Hemorrhage: A Guideline From the American Heart Association/American Stroke Association. Stroke, 54(7), e314–e370. https://doi.org/10.1161/STR.0000000000000436</w:t>
      </w:r>
    </w:p>
    <w:p w14:paraId="44CD7CD0"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lastRenderedPageBreak/>
        <w:t xml:space="preserve"> Iijima Y. (2020). The ethics of blood transfusion refusal in clinical practice among legal and medical professions in Japan. Nagoya journal of medical science, 82(2), 193–204. https://doi.org/10.18999/nagjms</w:t>
      </w:r>
    </w:p>
    <w:p w14:paraId="1A3A1DEB"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Jody A. </w:t>
      </w:r>
      <w:proofErr w:type="spellStart"/>
      <w:r w:rsidRPr="00D2785F">
        <w:rPr>
          <w:rFonts w:ascii="Times New Roman" w:hAnsi="Times New Roman"/>
          <w:sz w:val="20"/>
          <w:szCs w:val="20"/>
        </w:rPr>
        <w:t>Rusch</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Diederick</w:t>
      </w:r>
      <w:proofErr w:type="spellEnd"/>
      <w:r w:rsidRPr="00D2785F">
        <w:rPr>
          <w:rFonts w:ascii="Times New Roman" w:hAnsi="Times New Roman"/>
          <w:sz w:val="20"/>
          <w:szCs w:val="20"/>
        </w:rPr>
        <w:t xml:space="preserve"> J. van der Westhuizen, Robert S. Gill, Vernon J. </w:t>
      </w:r>
      <w:proofErr w:type="spellStart"/>
      <w:r w:rsidRPr="00D2785F">
        <w:rPr>
          <w:rFonts w:ascii="Times New Roman" w:hAnsi="Times New Roman"/>
          <w:sz w:val="20"/>
          <w:szCs w:val="20"/>
        </w:rPr>
        <w:t>Louw,Diagnosing</w:t>
      </w:r>
      <w:proofErr w:type="spellEnd"/>
      <w:r w:rsidRPr="00D2785F">
        <w:rPr>
          <w:rFonts w:ascii="Times New Roman" w:hAnsi="Times New Roman"/>
          <w:sz w:val="20"/>
          <w:szCs w:val="20"/>
        </w:rPr>
        <w:t xml:space="preserve"> iron deficiency: Controversies and novel </w:t>
      </w:r>
      <w:proofErr w:type="spellStart"/>
      <w:r w:rsidRPr="00D2785F">
        <w:rPr>
          <w:rFonts w:ascii="Times New Roman" w:hAnsi="Times New Roman"/>
          <w:sz w:val="20"/>
          <w:szCs w:val="20"/>
        </w:rPr>
        <w:t>metrics,Best</w:t>
      </w:r>
      <w:proofErr w:type="spellEnd"/>
      <w:r w:rsidRPr="00D2785F">
        <w:rPr>
          <w:rFonts w:ascii="Times New Roman" w:hAnsi="Times New Roman"/>
          <w:sz w:val="20"/>
          <w:szCs w:val="20"/>
        </w:rPr>
        <w:t xml:space="preserve"> Practice &amp; Research Clinical </w:t>
      </w:r>
      <w:proofErr w:type="spellStart"/>
      <w:r w:rsidRPr="00D2785F">
        <w:rPr>
          <w:rFonts w:ascii="Times New Roman" w:hAnsi="Times New Roman"/>
          <w:sz w:val="20"/>
          <w:szCs w:val="20"/>
        </w:rPr>
        <w:t>Anaesthesiology,Volume</w:t>
      </w:r>
      <w:proofErr w:type="spellEnd"/>
      <w:r w:rsidRPr="00D2785F">
        <w:rPr>
          <w:rFonts w:ascii="Times New Roman" w:hAnsi="Times New Roman"/>
          <w:sz w:val="20"/>
          <w:szCs w:val="20"/>
        </w:rPr>
        <w:t xml:space="preserve"> 37, Issue 4,2023,Pages 451-467,ISSN 1521-6896,https://doi.org/10.1016/j.bpa.2023.11.001.(https://www.sciencedirect.com/science/article/pii/S152168962300054X)</w:t>
      </w:r>
    </w:p>
    <w:p w14:paraId="429A787E"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Karmkrit</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Jain,Madhukar</w:t>
      </w:r>
      <w:proofErr w:type="spellEnd"/>
      <w:r w:rsidRPr="00D2785F">
        <w:rPr>
          <w:rFonts w:ascii="Times New Roman" w:hAnsi="Times New Roman"/>
          <w:sz w:val="20"/>
          <w:szCs w:val="20"/>
        </w:rPr>
        <w:t xml:space="preserve"> Rajaram </w:t>
      </w:r>
      <w:proofErr w:type="spellStart"/>
      <w:r w:rsidRPr="00D2785F">
        <w:rPr>
          <w:rFonts w:ascii="Times New Roman" w:hAnsi="Times New Roman"/>
          <w:sz w:val="20"/>
          <w:szCs w:val="20"/>
        </w:rPr>
        <w:t>Wag,Sunil</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Kumar,Gaurav</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Singal</w:t>
      </w:r>
      <w:proofErr w:type="spellEnd"/>
      <w:r w:rsidRPr="00D2785F">
        <w:rPr>
          <w:rFonts w:ascii="Times New Roman" w:hAnsi="Times New Roman"/>
          <w:sz w:val="20"/>
          <w:szCs w:val="20"/>
        </w:rPr>
        <w:t xml:space="preserve"> Impact of Preoperative Anemia on Postoperative Outcomes in Vascular Surgery Patients:  European Journal of Cardiovascular </w:t>
      </w:r>
      <w:proofErr w:type="spellStart"/>
      <w:r w:rsidRPr="00D2785F">
        <w:rPr>
          <w:rFonts w:ascii="Times New Roman" w:hAnsi="Times New Roman"/>
          <w:sz w:val="20"/>
          <w:szCs w:val="20"/>
        </w:rPr>
        <w:t>Medicine,Volume</w:t>
      </w:r>
      <w:proofErr w:type="spellEnd"/>
      <w:r w:rsidRPr="00D2785F">
        <w:rPr>
          <w:rFonts w:ascii="Times New Roman" w:hAnsi="Times New Roman"/>
          <w:sz w:val="20"/>
          <w:szCs w:val="20"/>
        </w:rPr>
        <w:t xml:space="preserve"> 15 Issue 1 (Jan - Feb, 2025)  Pages 87 - 91Cross-Sectional Studyhttps://healthcare-bulletin.co.uk/article/impact-of-preoperative-anemia-on-postoperative-outcomes-in-vascular-surgery-patients-a-cross-sectional-study-2687/</w:t>
      </w:r>
    </w:p>
    <w:p w14:paraId="3B0D557C"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Kiani</w:t>
      </w:r>
      <w:proofErr w:type="spellEnd"/>
      <w:r w:rsidRPr="00D2785F">
        <w:rPr>
          <w:rFonts w:ascii="Times New Roman" w:hAnsi="Times New Roman"/>
          <w:sz w:val="20"/>
          <w:szCs w:val="20"/>
        </w:rPr>
        <w:t xml:space="preserve">, A. K., </w:t>
      </w:r>
      <w:proofErr w:type="spellStart"/>
      <w:r w:rsidRPr="00D2785F">
        <w:rPr>
          <w:rFonts w:ascii="Times New Roman" w:hAnsi="Times New Roman"/>
          <w:sz w:val="20"/>
          <w:szCs w:val="20"/>
        </w:rPr>
        <w:t>Dhuli</w:t>
      </w:r>
      <w:proofErr w:type="spellEnd"/>
      <w:r w:rsidRPr="00D2785F">
        <w:rPr>
          <w:rFonts w:ascii="Times New Roman" w:hAnsi="Times New Roman"/>
          <w:sz w:val="20"/>
          <w:szCs w:val="20"/>
        </w:rPr>
        <w:t xml:space="preserve">, K., Donato, K., </w:t>
      </w:r>
      <w:proofErr w:type="spellStart"/>
      <w:r w:rsidRPr="00D2785F">
        <w:rPr>
          <w:rFonts w:ascii="Times New Roman" w:hAnsi="Times New Roman"/>
          <w:sz w:val="20"/>
          <w:szCs w:val="20"/>
        </w:rPr>
        <w:t>Aquilanti</w:t>
      </w:r>
      <w:proofErr w:type="spellEnd"/>
      <w:r w:rsidRPr="00D2785F">
        <w:rPr>
          <w:rFonts w:ascii="Times New Roman" w:hAnsi="Times New Roman"/>
          <w:sz w:val="20"/>
          <w:szCs w:val="20"/>
        </w:rPr>
        <w:t xml:space="preserve">, B., </w:t>
      </w:r>
      <w:proofErr w:type="spellStart"/>
      <w:r w:rsidRPr="00D2785F">
        <w:rPr>
          <w:rFonts w:ascii="Times New Roman" w:hAnsi="Times New Roman"/>
          <w:sz w:val="20"/>
          <w:szCs w:val="20"/>
        </w:rPr>
        <w:t>Velluti</w:t>
      </w:r>
      <w:proofErr w:type="spellEnd"/>
      <w:r w:rsidRPr="00D2785F">
        <w:rPr>
          <w:rFonts w:ascii="Times New Roman" w:hAnsi="Times New Roman"/>
          <w:sz w:val="20"/>
          <w:szCs w:val="20"/>
        </w:rPr>
        <w:t xml:space="preserve">, V., Matera, G., Iaconelli, A., Connelly, S. T., </w:t>
      </w:r>
      <w:proofErr w:type="spellStart"/>
      <w:r w:rsidRPr="00D2785F">
        <w:rPr>
          <w:rFonts w:ascii="Times New Roman" w:hAnsi="Times New Roman"/>
          <w:sz w:val="20"/>
          <w:szCs w:val="20"/>
        </w:rPr>
        <w:t>Bellinato</w:t>
      </w:r>
      <w:proofErr w:type="spellEnd"/>
      <w:r w:rsidRPr="00D2785F">
        <w:rPr>
          <w:rFonts w:ascii="Times New Roman" w:hAnsi="Times New Roman"/>
          <w:sz w:val="20"/>
          <w:szCs w:val="20"/>
        </w:rPr>
        <w:t xml:space="preserve">, F., </w:t>
      </w:r>
      <w:proofErr w:type="spellStart"/>
      <w:r w:rsidRPr="00D2785F">
        <w:rPr>
          <w:rFonts w:ascii="Times New Roman" w:hAnsi="Times New Roman"/>
          <w:sz w:val="20"/>
          <w:szCs w:val="20"/>
        </w:rPr>
        <w:t>Gisondi</w:t>
      </w:r>
      <w:proofErr w:type="spellEnd"/>
      <w:r w:rsidRPr="00D2785F">
        <w:rPr>
          <w:rFonts w:ascii="Times New Roman" w:hAnsi="Times New Roman"/>
          <w:sz w:val="20"/>
          <w:szCs w:val="20"/>
        </w:rPr>
        <w:t xml:space="preserve">, P., &amp; </w:t>
      </w:r>
      <w:proofErr w:type="spellStart"/>
      <w:r w:rsidRPr="00D2785F">
        <w:rPr>
          <w:rFonts w:ascii="Times New Roman" w:hAnsi="Times New Roman"/>
          <w:sz w:val="20"/>
          <w:szCs w:val="20"/>
        </w:rPr>
        <w:t>Bertelli</w:t>
      </w:r>
      <w:proofErr w:type="spellEnd"/>
      <w:r w:rsidRPr="00D2785F">
        <w:rPr>
          <w:rFonts w:ascii="Times New Roman" w:hAnsi="Times New Roman"/>
          <w:sz w:val="20"/>
          <w:szCs w:val="20"/>
        </w:rPr>
        <w:t>, M. (2022). Main nutritional deficiencies. Journal of preventive medicine and hygiene, 63(2 Suppl 3), E93–E101. https://doi.org/10.15167/2421-4248/jpmh2022.63.2S3.2752</w:t>
      </w:r>
    </w:p>
    <w:p w14:paraId="09955C7A"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Kietaibl</w:t>
      </w:r>
      <w:proofErr w:type="spellEnd"/>
      <w:r w:rsidRPr="00D2785F">
        <w:rPr>
          <w:rFonts w:ascii="Times New Roman" w:hAnsi="Times New Roman"/>
          <w:sz w:val="20"/>
          <w:szCs w:val="20"/>
        </w:rPr>
        <w:t xml:space="preserve">, S., Ahmed, A., </w:t>
      </w:r>
      <w:proofErr w:type="spellStart"/>
      <w:r w:rsidRPr="00D2785F">
        <w:rPr>
          <w:rFonts w:ascii="Times New Roman" w:hAnsi="Times New Roman"/>
          <w:sz w:val="20"/>
          <w:szCs w:val="20"/>
        </w:rPr>
        <w:t>Afshari</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Albaladejo</w:t>
      </w:r>
      <w:proofErr w:type="spellEnd"/>
      <w:r w:rsidRPr="00D2785F">
        <w:rPr>
          <w:rFonts w:ascii="Times New Roman" w:hAnsi="Times New Roman"/>
          <w:sz w:val="20"/>
          <w:szCs w:val="20"/>
        </w:rPr>
        <w:t xml:space="preserve">, P., </w:t>
      </w:r>
      <w:proofErr w:type="spellStart"/>
      <w:r w:rsidRPr="00D2785F">
        <w:rPr>
          <w:rFonts w:ascii="Times New Roman" w:hAnsi="Times New Roman"/>
          <w:sz w:val="20"/>
          <w:szCs w:val="20"/>
        </w:rPr>
        <w:t>Aldecoa</w:t>
      </w:r>
      <w:proofErr w:type="spellEnd"/>
      <w:r w:rsidRPr="00D2785F">
        <w:rPr>
          <w:rFonts w:ascii="Times New Roman" w:hAnsi="Times New Roman"/>
          <w:sz w:val="20"/>
          <w:szCs w:val="20"/>
        </w:rPr>
        <w:t xml:space="preserve">, C., </w:t>
      </w:r>
      <w:proofErr w:type="spellStart"/>
      <w:r w:rsidRPr="00D2785F">
        <w:rPr>
          <w:rFonts w:ascii="Times New Roman" w:hAnsi="Times New Roman"/>
          <w:sz w:val="20"/>
          <w:szCs w:val="20"/>
        </w:rPr>
        <w:t>Barauskas</w:t>
      </w:r>
      <w:proofErr w:type="spellEnd"/>
      <w:r w:rsidRPr="00D2785F">
        <w:rPr>
          <w:rFonts w:ascii="Times New Roman" w:hAnsi="Times New Roman"/>
          <w:sz w:val="20"/>
          <w:szCs w:val="20"/>
        </w:rPr>
        <w:t xml:space="preserve">, G., ... &amp; </w:t>
      </w:r>
      <w:proofErr w:type="spellStart"/>
      <w:r w:rsidRPr="00D2785F">
        <w:rPr>
          <w:rFonts w:ascii="Times New Roman" w:hAnsi="Times New Roman"/>
          <w:sz w:val="20"/>
          <w:szCs w:val="20"/>
        </w:rPr>
        <w:t>Zacharowski</w:t>
      </w:r>
      <w:proofErr w:type="spellEnd"/>
      <w:r w:rsidRPr="00D2785F">
        <w:rPr>
          <w:rFonts w:ascii="Times New Roman" w:hAnsi="Times New Roman"/>
          <w:sz w:val="20"/>
          <w:szCs w:val="20"/>
        </w:rPr>
        <w:t xml:space="preserve">, K. (2022). Management of severe peri-operative bleeding: Guidelines from the European Society of </w:t>
      </w:r>
      <w:proofErr w:type="spellStart"/>
      <w:r w:rsidRPr="00D2785F">
        <w:rPr>
          <w:rFonts w:ascii="Times New Roman" w:hAnsi="Times New Roman"/>
          <w:sz w:val="20"/>
          <w:szCs w:val="20"/>
        </w:rPr>
        <w:t>Anaesthesiology</w:t>
      </w:r>
      <w:proofErr w:type="spellEnd"/>
      <w:r w:rsidRPr="00D2785F">
        <w:rPr>
          <w:rFonts w:ascii="Times New Roman" w:hAnsi="Times New Roman"/>
          <w:sz w:val="20"/>
          <w:szCs w:val="20"/>
        </w:rPr>
        <w:t xml:space="preserve"> and Intensive Care. Second update 2022.Source: National Institutes of Health (.gov) https://pubmed.ncbi.nlm.nih.gov/24296821/</w:t>
      </w:r>
    </w:p>
    <w:p w14:paraId="42097369"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Lecker</w:t>
      </w:r>
      <w:proofErr w:type="spellEnd"/>
      <w:r w:rsidRPr="00D2785F">
        <w:rPr>
          <w:rFonts w:ascii="Times New Roman" w:hAnsi="Times New Roman"/>
          <w:sz w:val="20"/>
          <w:szCs w:val="20"/>
        </w:rPr>
        <w:t xml:space="preserve">, I., Wang, D. S., </w:t>
      </w:r>
      <w:proofErr w:type="spellStart"/>
      <w:r w:rsidRPr="00D2785F">
        <w:rPr>
          <w:rFonts w:ascii="Times New Roman" w:hAnsi="Times New Roman"/>
          <w:sz w:val="20"/>
          <w:szCs w:val="20"/>
        </w:rPr>
        <w:t>Whissell</w:t>
      </w:r>
      <w:proofErr w:type="spellEnd"/>
      <w:r w:rsidRPr="00D2785F">
        <w:rPr>
          <w:rFonts w:ascii="Times New Roman" w:hAnsi="Times New Roman"/>
          <w:sz w:val="20"/>
          <w:szCs w:val="20"/>
        </w:rPr>
        <w:t xml:space="preserve">, P. D., </w:t>
      </w:r>
      <w:proofErr w:type="spellStart"/>
      <w:r w:rsidRPr="00D2785F">
        <w:rPr>
          <w:rFonts w:ascii="Times New Roman" w:hAnsi="Times New Roman"/>
          <w:sz w:val="20"/>
          <w:szCs w:val="20"/>
        </w:rPr>
        <w:t>Avramescu</w:t>
      </w:r>
      <w:proofErr w:type="spellEnd"/>
      <w:r w:rsidRPr="00D2785F">
        <w:rPr>
          <w:rFonts w:ascii="Times New Roman" w:hAnsi="Times New Roman"/>
          <w:sz w:val="20"/>
          <w:szCs w:val="20"/>
        </w:rPr>
        <w:t xml:space="preserve">, S., Mazer, C. D., &amp; </w:t>
      </w:r>
      <w:proofErr w:type="spellStart"/>
      <w:r w:rsidRPr="00D2785F">
        <w:rPr>
          <w:rFonts w:ascii="Times New Roman" w:hAnsi="Times New Roman"/>
          <w:sz w:val="20"/>
          <w:szCs w:val="20"/>
        </w:rPr>
        <w:t>Orser</w:t>
      </w:r>
      <w:proofErr w:type="spellEnd"/>
      <w:r w:rsidRPr="00D2785F">
        <w:rPr>
          <w:rFonts w:ascii="Times New Roman" w:hAnsi="Times New Roman"/>
          <w:sz w:val="20"/>
          <w:szCs w:val="20"/>
        </w:rPr>
        <w:t>, B. A. (2016). Tranexamic†« acid-associated seizures: Causes and treatment. Annals of neurology, 79(1), 18–26. https://doi.org/10.1002/ana.2455</w:t>
      </w:r>
    </w:p>
    <w:p w14:paraId="7F9D5ABB" w14:textId="77777777" w:rsidR="0005414C" w:rsidRPr="003E374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Marcel Adler, Francisco Herrera-Gómez ,</w:t>
      </w:r>
      <w:proofErr w:type="spellStart"/>
      <w:r w:rsidRPr="00D2785F">
        <w:rPr>
          <w:rFonts w:ascii="Times New Roman" w:hAnsi="Times New Roman"/>
          <w:sz w:val="20"/>
          <w:szCs w:val="20"/>
        </w:rPr>
        <w:t>Débora</w:t>
      </w:r>
      <w:proofErr w:type="spellEnd"/>
      <w:r w:rsidRPr="00D2785F">
        <w:rPr>
          <w:rFonts w:ascii="Times New Roman" w:hAnsi="Times New Roman"/>
          <w:sz w:val="20"/>
          <w:szCs w:val="20"/>
        </w:rPr>
        <w:t xml:space="preserve"> Martín-</w:t>
      </w:r>
      <w:proofErr w:type="spellStart"/>
      <w:r w:rsidRPr="00D2785F">
        <w:rPr>
          <w:rFonts w:ascii="Times New Roman" w:hAnsi="Times New Roman"/>
          <w:sz w:val="20"/>
          <w:szCs w:val="20"/>
        </w:rPr>
        <w:t>García,Marie</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Gavid</w:t>
      </w:r>
      <w:proofErr w:type="spellEnd"/>
      <w:r w:rsidRPr="00D2785F">
        <w:rPr>
          <w:rFonts w:ascii="Times New Roman" w:hAnsi="Times New Roman"/>
          <w:sz w:val="20"/>
          <w:szCs w:val="20"/>
        </w:rPr>
        <w:t xml:space="preserve"> ,F. Javier Álvarez ,and Carlos Ochoa-</w:t>
      </w:r>
      <w:proofErr w:type="spellStart"/>
      <w:r w:rsidRPr="00D2785F">
        <w:rPr>
          <w:rFonts w:ascii="Times New Roman" w:hAnsi="Times New Roman"/>
          <w:sz w:val="20"/>
          <w:szCs w:val="20"/>
        </w:rPr>
        <w:t>Sangrador</w:t>
      </w:r>
      <w:proofErr w:type="spellEnd"/>
      <w:r w:rsidRPr="00D2785F">
        <w:rPr>
          <w:rFonts w:ascii="Times New Roman" w:hAnsi="Times New Roman"/>
          <w:sz w:val="20"/>
          <w:szCs w:val="20"/>
        </w:rPr>
        <w:t xml:space="preserve"> .The Impact of Iron Supplementation for Treating Anemia in Patients with Chronic Kidney Disease: Results from Pairwise and Network Meta-Analyses of Randomized Controlled Trials Pharmaceuticals 2020, 13(5), 85; https://doi.p </w:t>
      </w:r>
      <w:proofErr w:type="spellStart"/>
      <w:r w:rsidRPr="00D2785F">
        <w:rPr>
          <w:rFonts w:ascii="Times New Roman" w:hAnsi="Times New Roman"/>
          <w:sz w:val="20"/>
          <w:szCs w:val="20"/>
        </w:rPr>
        <w:t>soorg</w:t>
      </w:r>
      <w:proofErr w:type="spellEnd"/>
      <w:r w:rsidRPr="00D2785F">
        <w:rPr>
          <w:rFonts w:ascii="Times New Roman" w:hAnsi="Times New Roman"/>
          <w:sz w:val="20"/>
          <w:szCs w:val="20"/>
        </w:rPr>
        <w:t>/10.3390/ph13050085</w:t>
      </w:r>
    </w:p>
    <w:p w14:paraId="52AEC519"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McQueen K, Coonan T, Ottaway A, et al. Anesthesia and Perioperative Care. In: </w:t>
      </w:r>
      <w:proofErr w:type="spellStart"/>
      <w:r w:rsidRPr="00D2785F">
        <w:rPr>
          <w:rFonts w:ascii="Times New Roman" w:hAnsi="Times New Roman"/>
          <w:sz w:val="20"/>
          <w:szCs w:val="20"/>
        </w:rPr>
        <w:t>Debas</w:t>
      </w:r>
      <w:proofErr w:type="spellEnd"/>
      <w:r w:rsidRPr="00D2785F">
        <w:rPr>
          <w:rFonts w:ascii="Times New Roman" w:hAnsi="Times New Roman"/>
          <w:sz w:val="20"/>
          <w:szCs w:val="20"/>
        </w:rPr>
        <w:t xml:space="preserve"> HT, Donkor P, Gawande A, et al., editors. Essential Surgery: Disease Control Priorities, Third Edition (Volume 1). Washington (DC): The International Bank for Reconstruction and Development / The World Bank; 2015 Apr 2. Chapter 15. Available from: https://www.ncbi.nlm.nih.gov/books/NBK333510/ </w:t>
      </w:r>
      <w:proofErr w:type="spellStart"/>
      <w:r w:rsidRPr="00D2785F">
        <w:rPr>
          <w:rFonts w:ascii="Times New Roman" w:hAnsi="Times New Roman"/>
          <w:sz w:val="20"/>
          <w:szCs w:val="20"/>
        </w:rPr>
        <w:t>doi</w:t>
      </w:r>
      <w:proofErr w:type="spellEnd"/>
      <w:r w:rsidRPr="00D2785F">
        <w:rPr>
          <w:rFonts w:ascii="Times New Roman" w:hAnsi="Times New Roman"/>
          <w:sz w:val="20"/>
          <w:szCs w:val="20"/>
        </w:rPr>
        <w:t>: 10.1596/978-1-4648-0346-8_ch15</w:t>
      </w:r>
    </w:p>
    <w:p w14:paraId="15CC3204" w14:textId="77777777" w:rsidR="0005414C" w:rsidRPr="003E374F" w:rsidRDefault="0005414C" w:rsidP="0005414C">
      <w:pPr>
        <w:ind w:left="1440" w:hanging="1440"/>
        <w:jc w:val="both"/>
        <w:rPr>
          <w:rFonts w:ascii="Times New Roman" w:hAnsi="Times New Roman"/>
          <w:sz w:val="20"/>
          <w:szCs w:val="20"/>
        </w:rPr>
      </w:pPr>
      <w:proofErr w:type="spellStart"/>
      <w:r w:rsidRPr="003E374F">
        <w:rPr>
          <w:rFonts w:ascii="Times New Roman" w:hAnsi="Times New Roman"/>
          <w:sz w:val="20"/>
          <w:szCs w:val="20"/>
        </w:rPr>
        <w:t>Molla</w:t>
      </w:r>
      <w:proofErr w:type="spellEnd"/>
      <w:r w:rsidRPr="003E374F">
        <w:rPr>
          <w:rFonts w:ascii="Times New Roman" w:hAnsi="Times New Roman"/>
          <w:sz w:val="20"/>
          <w:szCs w:val="20"/>
        </w:rPr>
        <w:t xml:space="preserve">, M.T., </w:t>
      </w:r>
      <w:proofErr w:type="spellStart"/>
      <w:r w:rsidRPr="003E374F">
        <w:rPr>
          <w:rFonts w:ascii="Times New Roman" w:hAnsi="Times New Roman"/>
          <w:sz w:val="20"/>
          <w:szCs w:val="20"/>
        </w:rPr>
        <w:t>Endeshaw</w:t>
      </w:r>
      <w:proofErr w:type="spellEnd"/>
      <w:r w:rsidRPr="003E374F">
        <w:rPr>
          <w:rFonts w:ascii="Times New Roman" w:hAnsi="Times New Roman"/>
          <w:sz w:val="20"/>
          <w:szCs w:val="20"/>
        </w:rPr>
        <w:t xml:space="preserve">, A.S., Asfaw, G. et al. The association between preoperative anemia and postoperative mortality among non-cardiac surgical patients in Northwest Ethiopia: a prospective cohort study. BMC </w:t>
      </w:r>
      <w:proofErr w:type="spellStart"/>
      <w:r w:rsidRPr="003E374F">
        <w:rPr>
          <w:rFonts w:ascii="Times New Roman" w:hAnsi="Times New Roman"/>
          <w:sz w:val="20"/>
          <w:szCs w:val="20"/>
        </w:rPr>
        <w:t>Anesthesiol</w:t>
      </w:r>
      <w:proofErr w:type="spellEnd"/>
      <w:r w:rsidRPr="003E374F">
        <w:rPr>
          <w:rFonts w:ascii="Times New Roman" w:hAnsi="Times New Roman"/>
          <w:sz w:val="20"/>
          <w:szCs w:val="20"/>
        </w:rPr>
        <w:t xml:space="preserve"> 25, 19 (2025). https://doi.org/10.1186/s12871-025-02900-x.</w:t>
      </w:r>
    </w:p>
    <w:p w14:paraId="55A78670"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Mondal H, Zubair M. Hematocrit. [Updated 2024 Oct 6]. In: </w:t>
      </w:r>
      <w:proofErr w:type="spellStart"/>
      <w:r w:rsidRPr="00D2785F">
        <w:rPr>
          <w:rFonts w:ascii="Times New Roman" w:hAnsi="Times New Roman"/>
          <w:sz w:val="20"/>
          <w:szCs w:val="20"/>
        </w:rPr>
        <w:t>StatPearls</w:t>
      </w:r>
      <w:proofErr w:type="spellEnd"/>
      <w:r w:rsidRPr="00D2785F">
        <w:rPr>
          <w:rFonts w:ascii="Times New Roman" w:hAnsi="Times New Roman"/>
          <w:sz w:val="20"/>
          <w:szCs w:val="20"/>
        </w:rPr>
        <w:t xml:space="preserve"> [Internet]. Treasure Island (FL): </w:t>
      </w:r>
      <w:proofErr w:type="spellStart"/>
      <w:r w:rsidRPr="00D2785F">
        <w:rPr>
          <w:rFonts w:ascii="Times New Roman" w:hAnsi="Times New Roman"/>
          <w:sz w:val="20"/>
          <w:szCs w:val="20"/>
        </w:rPr>
        <w:t>StatPearls</w:t>
      </w:r>
      <w:proofErr w:type="spellEnd"/>
      <w:r w:rsidRPr="00D2785F">
        <w:rPr>
          <w:rFonts w:ascii="Times New Roman" w:hAnsi="Times New Roman"/>
          <w:sz w:val="20"/>
          <w:szCs w:val="20"/>
        </w:rPr>
        <w:t xml:space="preserve"> Publishing; 2025 Jan-. Available from: https://www.ncbi.nlm.nih.gov/books/NBK542276/</w:t>
      </w:r>
    </w:p>
    <w:p w14:paraId="16DD5F5D" w14:textId="77777777" w:rsidR="0005414C" w:rsidRPr="003E374F" w:rsidRDefault="0005414C" w:rsidP="0005414C">
      <w:pPr>
        <w:ind w:left="1440" w:hanging="1440"/>
        <w:jc w:val="both"/>
        <w:rPr>
          <w:rFonts w:ascii="Times New Roman" w:hAnsi="Times New Roman"/>
          <w:sz w:val="20"/>
          <w:szCs w:val="20"/>
        </w:rPr>
      </w:pPr>
      <w:proofErr w:type="spellStart"/>
      <w:r w:rsidRPr="003E374F">
        <w:rPr>
          <w:rFonts w:ascii="Times New Roman" w:hAnsi="Times New Roman"/>
          <w:sz w:val="20"/>
          <w:szCs w:val="20"/>
        </w:rPr>
        <w:t>Moum</w:t>
      </w:r>
      <w:proofErr w:type="spellEnd"/>
      <w:r w:rsidRPr="003E374F">
        <w:rPr>
          <w:rFonts w:ascii="Times New Roman" w:hAnsi="Times New Roman"/>
          <w:sz w:val="20"/>
          <w:szCs w:val="20"/>
        </w:rPr>
        <w:t>, B., &amp; Lindgren, S. (2025). Iron Deficiency and Iron Deficiency Anemia in Chronic Disease-Common, Important, and Treatable. Journal of clinical medicine, 14(13), 4519. https://doi.org/10.3390/jcm14134519</w:t>
      </w:r>
    </w:p>
    <w:p w14:paraId="45A0431C"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lastRenderedPageBreak/>
        <w:t xml:space="preserve">Musallam, K. M., Tamim, H. M., Richards, T., </w:t>
      </w:r>
      <w:proofErr w:type="spellStart"/>
      <w:r w:rsidRPr="00D2785F">
        <w:rPr>
          <w:rFonts w:ascii="Times New Roman" w:hAnsi="Times New Roman"/>
          <w:sz w:val="20"/>
          <w:szCs w:val="20"/>
        </w:rPr>
        <w:t>Spahn</w:t>
      </w:r>
      <w:proofErr w:type="spellEnd"/>
      <w:r w:rsidRPr="00D2785F">
        <w:rPr>
          <w:rFonts w:ascii="Times New Roman" w:hAnsi="Times New Roman"/>
          <w:sz w:val="20"/>
          <w:szCs w:val="20"/>
        </w:rPr>
        <w:t xml:space="preserve">, D. R., </w:t>
      </w:r>
      <w:proofErr w:type="spellStart"/>
      <w:r w:rsidRPr="00D2785F">
        <w:rPr>
          <w:rFonts w:ascii="Times New Roman" w:hAnsi="Times New Roman"/>
          <w:sz w:val="20"/>
          <w:szCs w:val="20"/>
        </w:rPr>
        <w:t>Rosendaal</w:t>
      </w:r>
      <w:proofErr w:type="spellEnd"/>
      <w:r w:rsidRPr="00D2785F">
        <w:rPr>
          <w:rFonts w:ascii="Times New Roman" w:hAnsi="Times New Roman"/>
          <w:sz w:val="20"/>
          <w:szCs w:val="20"/>
        </w:rPr>
        <w:t xml:space="preserve">, F. R., </w:t>
      </w:r>
      <w:proofErr w:type="spellStart"/>
      <w:r w:rsidRPr="00D2785F">
        <w:rPr>
          <w:rFonts w:ascii="Times New Roman" w:hAnsi="Times New Roman"/>
          <w:sz w:val="20"/>
          <w:szCs w:val="20"/>
        </w:rPr>
        <w:t>Habbal</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Khreiss</w:t>
      </w:r>
      <w:proofErr w:type="spellEnd"/>
      <w:r w:rsidRPr="00D2785F">
        <w:rPr>
          <w:rFonts w:ascii="Times New Roman" w:hAnsi="Times New Roman"/>
          <w:sz w:val="20"/>
          <w:szCs w:val="20"/>
        </w:rPr>
        <w:t xml:space="preserve">, M., </w:t>
      </w:r>
      <w:proofErr w:type="spellStart"/>
      <w:r w:rsidRPr="00D2785F">
        <w:rPr>
          <w:rFonts w:ascii="Times New Roman" w:hAnsi="Times New Roman"/>
          <w:sz w:val="20"/>
          <w:szCs w:val="20"/>
        </w:rPr>
        <w:t>Dahdaleh</w:t>
      </w:r>
      <w:proofErr w:type="spellEnd"/>
      <w:r w:rsidRPr="00D2785F">
        <w:rPr>
          <w:rFonts w:ascii="Times New Roman" w:hAnsi="Times New Roman"/>
          <w:sz w:val="20"/>
          <w:szCs w:val="20"/>
        </w:rPr>
        <w:t xml:space="preserve">, F. S., </w:t>
      </w:r>
      <w:proofErr w:type="spellStart"/>
      <w:r w:rsidRPr="00D2785F">
        <w:rPr>
          <w:rFonts w:ascii="Times New Roman" w:hAnsi="Times New Roman"/>
          <w:sz w:val="20"/>
          <w:szCs w:val="20"/>
        </w:rPr>
        <w:t>Khavandi</w:t>
      </w:r>
      <w:proofErr w:type="spellEnd"/>
      <w:r w:rsidRPr="00D2785F">
        <w:rPr>
          <w:rFonts w:ascii="Times New Roman" w:hAnsi="Times New Roman"/>
          <w:sz w:val="20"/>
          <w:szCs w:val="20"/>
        </w:rPr>
        <w:t xml:space="preserve">, K., Sfeir, P. M., </w:t>
      </w:r>
      <w:proofErr w:type="spellStart"/>
      <w:r w:rsidRPr="00D2785F">
        <w:rPr>
          <w:rFonts w:ascii="Times New Roman" w:hAnsi="Times New Roman"/>
          <w:sz w:val="20"/>
          <w:szCs w:val="20"/>
        </w:rPr>
        <w:t>Soweid</w:t>
      </w:r>
      <w:proofErr w:type="spellEnd"/>
      <w:r w:rsidRPr="00D2785F">
        <w:rPr>
          <w:rFonts w:ascii="Times New Roman" w:hAnsi="Times New Roman"/>
          <w:sz w:val="20"/>
          <w:szCs w:val="20"/>
        </w:rPr>
        <w:t xml:space="preserve">, A., </w:t>
      </w:r>
      <w:proofErr w:type="spellStart"/>
      <w:r w:rsidRPr="00D2785F">
        <w:rPr>
          <w:rFonts w:ascii="Times New Roman" w:hAnsi="Times New Roman"/>
          <w:sz w:val="20"/>
          <w:szCs w:val="20"/>
        </w:rPr>
        <w:t>Hoballah</w:t>
      </w:r>
      <w:proofErr w:type="spellEnd"/>
      <w:r w:rsidRPr="00D2785F">
        <w:rPr>
          <w:rFonts w:ascii="Times New Roman" w:hAnsi="Times New Roman"/>
          <w:sz w:val="20"/>
          <w:szCs w:val="20"/>
        </w:rPr>
        <w:t xml:space="preserve">, J. J., Taher, A. T., &amp; Jamali, F. R. (2011). Preoperative </w:t>
      </w:r>
      <w:proofErr w:type="spellStart"/>
      <w:r w:rsidRPr="00D2785F">
        <w:rPr>
          <w:rFonts w:ascii="Times New Roman" w:hAnsi="Times New Roman"/>
          <w:sz w:val="20"/>
          <w:szCs w:val="20"/>
        </w:rPr>
        <w:t>anaemia</w:t>
      </w:r>
      <w:proofErr w:type="spellEnd"/>
      <w:r w:rsidRPr="00D2785F">
        <w:rPr>
          <w:rFonts w:ascii="Times New Roman" w:hAnsi="Times New Roman"/>
          <w:sz w:val="20"/>
          <w:szCs w:val="20"/>
        </w:rPr>
        <w:t xml:space="preserve"> and postoperative outcomes in non-cardiac surgery: a retrospective cohort study. Lancet (London, England), 378(9800), 1396–1407. https://doi.org/10.1016/S0140-6736(11)61381-0 </w:t>
      </w:r>
    </w:p>
    <w:p w14:paraId="303B5839" w14:textId="77777777" w:rsidR="0005414C" w:rsidRPr="003E374F" w:rsidRDefault="0005414C" w:rsidP="0005414C">
      <w:pPr>
        <w:ind w:left="1440" w:hanging="1440"/>
        <w:jc w:val="both"/>
        <w:rPr>
          <w:rFonts w:ascii="Times New Roman" w:hAnsi="Times New Roman"/>
          <w:sz w:val="20"/>
          <w:szCs w:val="20"/>
        </w:rPr>
      </w:pPr>
      <w:proofErr w:type="spellStart"/>
      <w:r w:rsidRPr="003E374F">
        <w:rPr>
          <w:rFonts w:ascii="Times New Roman" w:hAnsi="Times New Roman"/>
          <w:sz w:val="20"/>
          <w:szCs w:val="20"/>
        </w:rPr>
        <w:t>Myburgh</w:t>
      </w:r>
      <w:proofErr w:type="spellEnd"/>
      <w:r w:rsidRPr="003E374F">
        <w:rPr>
          <w:rFonts w:ascii="Times New Roman" w:hAnsi="Times New Roman"/>
          <w:sz w:val="20"/>
          <w:szCs w:val="20"/>
        </w:rPr>
        <w:t xml:space="preserve">, J. A., </w:t>
      </w:r>
      <w:proofErr w:type="spellStart"/>
      <w:r w:rsidRPr="003E374F">
        <w:rPr>
          <w:rFonts w:ascii="Times New Roman" w:hAnsi="Times New Roman"/>
          <w:sz w:val="20"/>
          <w:szCs w:val="20"/>
        </w:rPr>
        <w:t>Finfer</w:t>
      </w:r>
      <w:proofErr w:type="spellEnd"/>
      <w:r w:rsidRPr="003E374F">
        <w:rPr>
          <w:rFonts w:ascii="Times New Roman" w:hAnsi="Times New Roman"/>
          <w:sz w:val="20"/>
          <w:szCs w:val="20"/>
        </w:rPr>
        <w:t xml:space="preserve">, S., </w:t>
      </w:r>
      <w:proofErr w:type="spellStart"/>
      <w:r w:rsidRPr="003E374F">
        <w:rPr>
          <w:rFonts w:ascii="Times New Roman" w:hAnsi="Times New Roman"/>
          <w:sz w:val="20"/>
          <w:szCs w:val="20"/>
        </w:rPr>
        <w:t>Bellomo</w:t>
      </w:r>
      <w:proofErr w:type="spellEnd"/>
      <w:r w:rsidRPr="003E374F">
        <w:rPr>
          <w:rFonts w:ascii="Times New Roman" w:hAnsi="Times New Roman"/>
          <w:sz w:val="20"/>
          <w:szCs w:val="20"/>
        </w:rPr>
        <w:t xml:space="preserve">, R., </w:t>
      </w:r>
      <w:proofErr w:type="spellStart"/>
      <w:r w:rsidRPr="003E374F">
        <w:rPr>
          <w:rFonts w:ascii="Times New Roman" w:hAnsi="Times New Roman"/>
          <w:sz w:val="20"/>
          <w:szCs w:val="20"/>
        </w:rPr>
        <w:t>Billot</w:t>
      </w:r>
      <w:proofErr w:type="spellEnd"/>
      <w:r w:rsidRPr="003E374F">
        <w:rPr>
          <w:rFonts w:ascii="Times New Roman" w:hAnsi="Times New Roman"/>
          <w:sz w:val="20"/>
          <w:szCs w:val="20"/>
        </w:rPr>
        <w:t xml:space="preserve">, L., Cass, A., </w:t>
      </w:r>
      <w:proofErr w:type="spellStart"/>
      <w:r w:rsidRPr="003E374F">
        <w:rPr>
          <w:rFonts w:ascii="Times New Roman" w:hAnsi="Times New Roman"/>
          <w:sz w:val="20"/>
          <w:szCs w:val="20"/>
        </w:rPr>
        <w:t>Gattas</w:t>
      </w:r>
      <w:proofErr w:type="spellEnd"/>
      <w:r w:rsidRPr="003E374F">
        <w:rPr>
          <w:rFonts w:ascii="Times New Roman" w:hAnsi="Times New Roman"/>
          <w:sz w:val="20"/>
          <w:szCs w:val="20"/>
        </w:rPr>
        <w:t xml:space="preserve">, D., Glass, P., Lipman, J., Liu, B., McArthur, C., McGuinness, S., </w:t>
      </w:r>
      <w:proofErr w:type="spellStart"/>
      <w:r w:rsidRPr="003E374F">
        <w:rPr>
          <w:rFonts w:ascii="Times New Roman" w:hAnsi="Times New Roman"/>
          <w:sz w:val="20"/>
          <w:szCs w:val="20"/>
        </w:rPr>
        <w:t>Rajbhandari</w:t>
      </w:r>
      <w:proofErr w:type="spellEnd"/>
      <w:r w:rsidRPr="003E374F">
        <w:rPr>
          <w:rFonts w:ascii="Times New Roman" w:hAnsi="Times New Roman"/>
          <w:sz w:val="20"/>
          <w:szCs w:val="20"/>
        </w:rPr>
        <w:t>, D., Taylor, C. B., Webb, S. A., CHEST Investigators, &amp; Australian and New Zealand Intensive Care Society Clinical Trials Group (2012). Hydroxyethyl starch or saline for fluid resuscitation in intensive care. The New England journal of medicine, 367(20), 1901–1911. https://doi.org/10.1056/NEJMoa1209759.</w:t>
      </w:r>
    </w:p>
    <w:p w14:paraId="6FB44E62"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Patel, P. A., </w:t>
      </w:r>
      <w:proofErr w:type="spellStart"/>
      <w:r w:rsidRPr="00D2785F">
        <w:rPr>
          <w:rFonts w:ascii="Times New Roman" w:hAnsi="Times New Roman"/>
          <w:sz w:val="20"/>
          <w:szCs w:val="20"/>
        </w:rPr>
        <w:t>Afini</w:t>
      </w:r>
      <w:proofErr w:type="spellEnd"/>
      <w:r w:rsidRPr="00D2785F">
        <w:rPr>
          <w:rFonts w:ascii="Times New Roman" w:hAnsi="Times New Roman"/>
          <w:sz w:val="20"/>
          <w:szCs w:val="20"/>
        </w:rPr>
        <w:t>, A. S., &amp; Patel, M. R. (2025). Impact of preoperative anemia on postoperative outcomes in abdominal surgery. International Journal of Current Pharmaceutical Review and Research, 17(9), 550-555. Retrieved from  http://www.ijcpr.com/</w:t>
      </w:r>
    </w:p>
    <w:p w14:paraId="732FF0F9"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Pathak, S., Hakeem, A., Pike, T., Toogood, G. J., Simpson, M., Prasad, K. R., &amp; </w:t>
      </w:r>
      <w:proofErr w:type="spellStart"/>
      <w:r w:rsidRPr="00D2785F">
        <w:rPr>
          <w:rFonts w:ascii="Times New Roman" w:hAnsi="Times New Roman"/>
          <w:sz w:val="20"/>
          <w:szCs w:val="20"/>
        </w:rPr>
        <w:t>Miskovic</w:t>
      </w:r>
      <w:proofErr w:type="spellEnd"/>
      <w:r w:rsidRPr="00D2785F">
        <w:rPr>
          <w:rFonts w:ascii="Times New Roman" w:hAnsi="Times New Roman"/>
          <w:sz w:val="20"/>
          <w:szCs w:val="20"/>
        </w:rPr>
        <w:t xml:space="preserve">, D. </w:t>
      </w:r>
      <w:proofErr w:type="spellStart"/>
      <w:r w:rsidRPr="00D2785F">
        <w:rPr>
          <w:rFonts w:ascii="Times New Roman" w:hAnsi="Times New Roman"/>
          <w:sz w:val="20"/>
          <w:szCs w:val="20"/>
        </w:rPr>
        <w:t>Anaesthetic</w:t>
      </w:r>
      <w:proofErr w:type="spellEnd"/>
      <w:r w:rsidRPr="00D2785F">
        <w:rPr>
          <w:rFonts w:ascii="Times New Roman" w:hAnsi="Times New Roman"/>
          <w:sz w:val="20"/>
          <w:szCs w:val="20"/>
        </w:rPr>
        <w:t xml:space="preserve"> and pharmacological techniques to decrease blood loss in liver surgery: a systematic review. ANZ journal of surgery, 85(12), 923–930. https://doi.org/10.1111/ans.13195</w:t>
      </w:r>
    </w:p>
    <w:p w14:paraId="113C658A"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Patrice Wendling and Catherine Hackett,POISE-3 Backs Wider Use of Tranexamic Acid in Noncardiac </w:t>
      </w:r>
      <w:proofErr w:type="spellStart"/>
      <w:r w:rsidRPr="00D2785F">
        <w:rPr>
          <w:rFonts w:ascii="Times New Roman" w:hAnsi="Times New Roman"/>
          <w:sz w:val="20"/>
          <w:szCs w:val="20"/>
        </w:rPr>
        <w:t>Surgery,Medscape</w:t>
      </w:r>
      <w:proofErr w:type="spellEnd"/>
      <w:r w:rsidRPr="00D2785F">
        <w:rPr>
          <w:rFonts w:ascii="Times New Roman" w:hAnsi="Times New Roman"/>
          <w:sz w:val="20"/>
          <w:szCs w:val="20"/>
        </w:rPr>
        <w:t>, 2022 online .Source: Medscape https://share.google/qoO0xNeGl1XhaZ0ht</w:t>
      </w:r>
    </w:p>
    <w:p w14:paraId="551013F5"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Petrini C. (2014). Ethical and legal aspects of refusal of blood transfusions by Jehovah's Witnesses, with particular reference to Italy. Blood transfusion = </w:t>
      </w:r>
      <w:proofErr w:type="spellStart"/>
      <w:r w:rsidRPr="00D2785F">
        <w:rPr>
          <w:rFonts w:ascii="Times New Roman" w:hAnsi="Times New Roman"/>
          <w:sz w:val="20"/>
          <w:szCs w:val="20"/>
        </w:rPr>
        <w:t>Trasfusione</w:t>
      </w:r>
      <w:proofErr w:type="spellEnd"/>
      <w:r w:rsidRPr="00D2785F">
        <w:rPr>
          <w:rFonts w:ascii="Times New Roman" w:hAnsi="Times New Roman"/>
          <w:sz w:val="20"/>
          <w:szCs w:val="20"/>
        </w:rPr>
        <w:t xml:space="preserve"> del </w:t>
      </w:r>
      <w:proofErr w:type="spellStart"/>
      <w:r w:rsidRPr="00D2785F">
        <w:rPr>
          <w:rFonts w:ascii="Times New Roman" w:hAnsi="Times New Roman"/>
          <w:sz w:val="20"/>
          <w:szCs w:val="20"/>
        </w:rPr>
        <w:t>sangue</w:t>
      </w:r>
      <w:proofErr w:type="spellEnd"/>
      <w:r w:rsidRPr="00D2785F">
        <w:rPr>
          <w:rFonts w:ascii="Times New Roman" w:hAnsi="Times New Roman"/>
          <w:sz w:val="20"/>
          <w:szCs w:val="20"/>
        </w:rPr>
        <w:t>, 12 Suppl 1(Suppl 1), s395–s401. https://doi.org/10.2450/2013.0017-13</w:t>
      </w:r>
    </w:p>
    <w:p w14:paraId="64DA7A0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Roberts, I., Brenner, A., &amp; Shakur-Still, H. (2023). Tranexamic acid for bleeding: Much more than a treatment for postpartum hemorrhage. American journal of obstetrics &amp; gynecology MFM, 5(2S), 100722. https://doi.org/10.1016/j.ajogmf.2022.100722</w:t>
      </w:r>
    </w:p>
    <w:p w14:paraId="2C87C76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Rohr, M., </w:t>
      </w:r>
      <w:proofErr w:type="spellStart"/>
      <w:r w:rsidRPr="00D2785F">
        <w:rPr>
          <w:rFonts w:ascii="Times New Roman" w:hAnsi="Times New Roman"/>
          <w:sz w:val="20"/>
          <w:szCs w:val="20"/>
        </w:rPr>
        <w:t>Brandenblurg</w:t>
      </w:r>
      <w:proofErr w:type="spellEnd"/>
      <w:r w:rsidRPr="00D2785F">
        <w:rPr>
          <w:rFonts w:ascii="Times New Roman" w:hAnsi="Times New Roman"/>
          <w:sz w:val="20"/>
          <w:szCs w:val="20"/>
        </w:rPr>
        <w:t>, V. &amp; Brunner-La Rocca, HP. How to diagnose iron deficiency in chronic disease: A review of current methods and potential marker for the outcome. Eur J Med Res 28, 15 (2023). https://doi.org/10.1186/s40001-022-00922-6</w:t>
      </w:r>
    </w:p>
    <w:p w14:paraId="6FF91C4B" w14:textId="77777777" w:rsidR="0005414C" w:rsidRPr="003E374F" w:rsidRDefault="0005414C" w:rsidP="0005414C">
      <w:pPr>
        <w:ind w:left="1440" w:hanging="1440"/>
        <w:jc w:val="both"/>
        <w:rPr>
          <w:rFonts w:ascii="Times New Roman" w:hAnsi="Times New Roman"/>
          <w:sz w:val="20"/>
          <w:szCs w:val="20"/>
        </w:rPr>
      </w:pPr>
      <w:proofErr w:type="spellStart"/>
      <w:r w:rsidRPr="003E374F">
        <w:rPr>
          <w:rFonts w:ascii="Times New Roman" w:hAnsi="Times New Roman"/>
          <w:sz w:val="20"/>
          <w:szCs w:val="20"/>
        </w:rPr>
        <w:t>Shander</w:t>
      </w:r>
      <w:proofErr w:type="spellEnd"/>
      <w:r w:rsidRPr="003E374F">
        <w:rPr>
          <w:rFonts w:ascii="Times New Roman" w:hAnsi="Times New Roman"/>
          <w:sz w:val="20"/>
          <w:szCs w:val="20"/>
        </w:rPr>
        <w:t xml:space="preserve">, A., Corwin, H. L., Meier, J., Auerbach, M., </w:t>
      </w:r>
      <w:proofErr w:type="spellStart"/>
      <w:r w:rsidRPr="003E374F">
        <w:rPr>
          <w:rFonts w:ascii="Times New Roman" w:hAnsi="Times New Roman"/>
          <w:sz w:val="20"/>
          <w:szCs w:val="20"/>
        </w:rPr>
        <w:t>Bisbe</w:t>
      </w:r>
      <w:proofErr w:type="spellEnd"/>
      <w:r w:rsidRPr="003E374F">
        <w:rPr>
          <w:rFonts w:ascii="Times New Roman" w:hAnsi="Times New Roman"/>
          <w:sz w:val="20"/>
          <w:szCs w:val="20"/>
        </w:rPr>
        <w:t xml:space="preserve">, E., Blitz, J., Erhard, J., </w:t>
      </w:r>
      <w:proofErr w:type="spellStart"/>
      <w:r w:rsidRPr="003E374F">
        <w:rPr>
          <w:rFonts w:ascii="Times New Roman" w:hAnsi="Times New Roman"/>
          <w:sz w:val="20"/>
          <w:szCs w:val="20"/>
        </w:rPr>
        <w:t>Faraoni</w:t>
      </w:r>
      <w:proofErr w:type="spellEnd"/>
      <w:r w:rsidRPr="003E374F">
        <w:rPr>
          <w:rFonts w:ascii="Times New Roman" w:hAnsi="Times New Roman"/>
          <w:sz w:val="20"/>
          <w:szCs w:val="20"/>
        </w:rPr>
        <w:t xml:space="preserve">, D., Farmer, S. L., Frank, S. M., </w:t>
      </w:r>
      <w:proofErr w:type="spellStart"/>
      <w:r w:rsidRPr="003E374F">
        <w:rPr>
          <w:rFonts w:ascii="Times New Roman" w:hAnsi="Times New Roman"/>
          <w:sz w:val="20"/>
          <w:szCs w:val="20"/>
        </w:rPr>
        <w:t>Girelli</w:t>
      </w:r>
      <w:proofErr w:type="spellEnd"/>
      <w:r w:rsidRPr="003E374F">
        <w:rPr>
          <w:rFonts w:ascii="Times New Roman" w:hAnsi="Times New Roman"/>
          <w:sz w:val="20"/>
          <w:szCs w:val="20"/>
        </w:rPr>
        <w:t xml:space="preserve">, D., Hall, T., Hardy, J. F., Hofmann, A., Lee, C. K., Leung, T. W., Ozawa, S., </w:t>
      </w:r>
      <w:proofErr w:type="spellStart"/>
      <w:r w:rsidRPr="003E374F">
        <w:rPr>
          <w:rFonts w:ascii="Times New Roman" w:hAnsi="Times New Roman"/>
          <w:sz w:val="20"/>
          <w:szCs w:val="20"/>
        </w:rPr>
        <w:t>Sathar</w:t>
      </w:r>
      <w:proofErr w:type="spellEnd"/>
      <w:r w:rsidRPr="003E374F">
        <w:rPr>
          <w:rFonts w:ascii="Times New Roman" w:hAnsi="Times New Roman"/>
          <w:sz w:val="20"/>
          <w:szCs w:val="20"/>
        </w:rPr>
        <w:t xml:space="preserve">, J., </w:t>
      </w:r>
      <w:proofErr w:type="spellStart"/>
      <w:r w:rsidRPr="003E374F">
        <w:rPr>
          <w:rFonts w:ascii="Times New Roman" w:hAnsi="Times New Roman"/>
          <w:sz w:val="20"/>
          <w:szCs w:val="20"/>
        </w:rPr>
        <w:t>Spahn</w:t>
      </w:r>
      <w:proofErr w:type="spellEnd"/>
      <w:r w:rsidRPr="003E374F">
        <w:rPr>
          <w:rFonts w:ascii="Times New Roman" w:hAnsi="Times New Roman"/>
          <w:sz w:val="20"/>
          <w:szCs w:val="20"/>
        </w:rPr>
        <w:t>, D. R., Torres, R., Muñoz, M. (2023). Recommendations From the International Consensus Conference on Anemia Management in Surgical Patients (ICCAMS). Annals of surgery, 277(4), 581–590. https://doi.org/10.1097/SLA.0000000000005721.</w:t>
      </w:r>
    </w:p>
    <w:p w14:paraId="42BF68B3"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Shander</w:t>
      </w:r>
      <w:proofErr w:type="spellEnd"/>
      <w:r w:rsidRPr="00D2785F">
        <w:rPr>
          <w:rFonts w:ascii="Times New Roman" w:hAnsi="Times New Roman"/>
          <w:sz w:val="20"/>
          <w:szCs w:val="20"/>
        </w:rPr>
        <w:t xml:space="preserve">, A., Hardy, J. F., Ozawa, S., Farmer, S. L., Hofmann, A., Frank, S. M., </w:t>
      </w:r>
      <w:proofErr w:type="spellStart"/>
      <w:r w:rsidRPr="00D2785F">
        <w:rPr>
          <w:rFonts w:ascii="Times New Roman" w:hAnsi="Times New Roman"/>
          <w:sz w:val="20"/>
          <w:szCs w:val="20"/>
        </w:rPr>
        <w:t>Kor</w:t>
      </w:r>
      <w:proofErr w:type="spellEnd"/>
      <w:r w:rsidRPr="00D2785F">
        <w:rPr>
          <w:rFonts w:ascii="Times New Roman" w:hAnsi="Times New Roman"/>
          <w:sz w:val="20"/>
          <w:szCs w:val="20"/>
        </w:rPr>
        <w:t xml:space="preserve">, D. J., </w:t>
      </w:r>
      <w:proofErr w:type="spellStart"/>
      <w:r w:rsidRPr="00D2785F">
        <w:rPr>
          <w:rFonts w:ascii="Times New Roman" w:hAnsi="Times New Roman"/>
          <w:sz w:val="20"/>
          <w:szCs w:val="20"/>
        </w:rPr>
        <w:t>Faraoni</w:t>
      </w:r>
      <w:proofErr w:type="spellEnd"/>
      <w:r w:rsidRPr="00D2785F">
        <w:rPr>
          <w:rFonts w:ascii="Times New Roman" w:hAnsi="Times New Roman"/>
          <w:sz w:val="20"/>
          <w:szCs w:val="20"/>
        </w:rPr>
        <w:t>, D., Freedman, J., &amp; Collaborators (2022). A Global Definition of Patient Blood Management. Anesthesia and analgesia, 135(3), 476–488. https://doi.org/10.1213/ANE.0000000000005873</w:t>
      </w:r>
    </w:p>
    <w:p w14:paraId="442073D1"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Shander</w:t>
      </w:r>
      <w:proofErr w:type="spellEnd"/>
      <w:r w:rsidRPr="00D2785F">
        <w:rPr>
          <w:rFonts w:ascii="Times New Roman" w:hAnsi="Times New Roman"/>
          <w:sz w:val="20"/>
          <w:szCs w:val="20"/>
        </w:rPr>
        <w:t xml:space="preserve">, A., Hofmann, A., </w:t>
      </w:r>
      <w:proofErr w:type="spellStart"/>
      <w:r w:rsidRPr="00D2785F">
        <w:rPr>
          <w:rFonts w:ascii="Times New Roman" w:hAnsi="Times New Roman"/>
          <w:sz w:val="20"/>
          <w:szCs w:val="20"/>
        </w:rPr>
        <w:t>Isbister</w:t>
      </w:r>
      <w:proofErr w:type="spellEnd"/>
      <w:r w:rsidRPr="00D2785F">
        <w:rPr>
          <w:rFonts w:ascii="Times New Roman" w:hAnsi="Times New Roman"/>
          <w:sz w:val="20"/>
          <w:szCs w:val="20"/>
        </w:rPr>
        <w:t xml:space="preserve">, J., &amp; Van </w:t>
      </w:r>
      <w:proofErr w:type="spellStart"/>
      <w:r w:rsidRPr="00D2785F">
        <w:rPr>
          <w:rFonts w:ascii="Times New Roman" w:hAnsi="Times New Roman"/>
          <w:sz w:val="20"/>
          <w:szCs w:val="20"/>
        </w:rPr>
        <w:t>Aken</w:t>
      </w:r>
      <w:proofErr w:type="spellEnd"/>
      <w:r w:rsidRPr="00D2785F">
        <w:rPr>
          <w:rFonts w:ascii="Times New Roman" w:hAnsi="Times New Roman"/>
          <w:sz w:val="20"/>
          <w:szCs w:val="20"/>
        </w:rPr>
        <w:t xml:space="preserve">, H. (2013). Patient blood management--the new frontier. Best practice &amp; research. Clinical </w:t>
      </w:r>
      <w:proofErr w:type="spellStart"/>
      <w:r w:rsidRPr="00D2785F">
        <w:rPr>
          <w:rFonts w:ascii="Times New Roman" w:hAnsi="Times New Roman"/>
          <w:sz w:val="20"/>
          <w:szCs w:val="20"/>
        </w:rPr>
        <w:t>anaesthesiology</w:t>
      </w:r>
      <w:proofErr w:type="spellEnd"/>
      <w:r w:rsidRPr="00D2785F">
        <w:rPr>
          <w:rFonts w:ascii="Times New Roman" w:hAnsi="Times New Roman"/>
          <w:sz w:val="20"/>
          <w:szCs w:val="20"/>
        </w:rPr>
        <w:t>, 27(1), 5–10. https://doi.org/10.1016/j.bpa.2013.01.001</w:t>
      </w:r>
    </w:p>
    <w:p w14:paraId="2C07FC22"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lastRenderedPageBreak/>
        <w:t>Shander</w:t>
      </w:r>
      <w:proofErr w:type="spellEnd"/>
      <w:r w:rsidRPr="00D2785F">
        <w:rPr>
          <w:rFonts w:ascii="Times New Roman" w:hAnsi="Times New Roman"/>
          <w:sz w:val="20"/>
          <w:szCs w:val="20"/>
        </w:rPr>
        <w:t xml:space="preserve">, A., Van </w:t>
      </w:r>
      <w:proofErr w:type="spellStart"/>
      <w:r w:rsidRPr="00D2785F">
        <w:rPr>
          <w:rFonts w:ascii="Times New Roman" w:hAnsi="Times New Roman"/>
          <w:sz w:val="20"/>
          <w:szCs w:val="20"/>
        </w:rPr>
        <w:t>Aken</w:t>
      </w:r>
      <w:proofErr w:type="spellEnd"/>
      <w:r w:rsidRPr="00D2785F">
        <w:rPr>
          <w:rFonts w:ascii="Times New Roman" w:hAnsi="Times New Roman"/>
          <w:sz w:val="20"/>
          <w:szCs w:val="20"/>
        </w:rPr>
        <w:t xml:space="preserve">, H., </w:t>
      </w:r>
      <w:proofErr w:type="spellStart"/>
      <w:r w:rsidRPr="00D2785F">
        <w:rPr>
          <w:rFonts w:ascii="Times New Roman" w:hAnsi="Times New Roman"/>
          <w:sz w:val="20"/>
          <w:szCs w:val="20"/>
        </w:rPr>
        <w:t>Colomina</w:t>
      </w:r>
      <w:proofErr w:type="spellEnd"/>
      <w:r w:rsidRPr="00D2785F">
        <w:rPr>
          <w:rFonts w:ascii="Times New Roman" w:hAnsi="Times New Roman"/>
          <w:sz w:val="20"/>
          <w:szCs w:val="20"/>
        </w:rPr>
        <w:t xml:space="preserve">, M. J., </w:t>
      </w:r>
      <w:proofErr w:type="spellStart"/>
      <w:r w:rsidRPr="00D2785F">
        <w:rPr>
          <w:rFonts w:ascii="Times New Roman" w:hAnsi="Times New Roman"/>
          <w:sz w:val="20"/>
          <w:szCs w:val="20"/>
        </w:rPr>
        <w:t>Gombotz</w:t>
      </w:r>
      <w:proofErr w:type="spellEnd"/>
      <w:r w:rsidRPr="00D2785F">
        <w:rPr>
          <w:rFonts w:ascii="Times New Roman" w:hAnsi="Times New Roman"/>
          <w:sz w:val="20"/>
          <w:szCs w:val="20"/>
        </w:rPr>
        <w:t xml:space="preserve">, H., Hofmann, A., </w:t>
      </w:r>
      <w:proofErr w:type="spellStart"/>
      <w:r w:rsidRPr="00D2785F">
        <w:rPr>
          <w:rFonts w:ascii="Times New Roman" w:hAnsi="Times New Roman"/>
          <w:sz w:val="20"/>
          <w:szCs w:val="20"/>
        </w:rPr>
        <w:t>Krauspe</w:t>
      </w:r>
      <w:proofErr w:type="spellEnd"/>
      <w:r w:rsidRPr="00D2785F">
        <w:rPr>
          <w:rFonts w:ascii="Times New Roman" w:hAnsi="Times New Roman"/>
          <w:sz w:val="20"/>
          <w:szCs w:val="20"/>
        </w:rPr>
        <w:t xml:space="preserve">, R., </w:t>
      </w:r>
      <w:proofErr w:type="spellStart"/>
      <w:r w:rsidRPr="00D2785F">
        <w:rPr>
          <w:rFonts w:ascii="Times New Roman" w:hAnsi="Times New Roman"/>
          <w:sz w:val="20"/>
          <w:szCs w:val="20"/>
        </w:rPr>
        <w:t>Lasocki</w:t>
      </w:r>
      <w:proofErr w:type="spellEnd"/>
      <w:r w:rsidRPr="00D2785F">
        <w:rPr>
          <w:rFonts w:ascii="Times New Roman" w:hAnsi="Times New Roman"/>
          <w:sz w:val="20"/>
          <w:szCs w:val="20"/>
        </w:rPr>
        <w:t xml:space="preserve">, S., Richards, T., </w:t>
      </w:r>
      <w:proofErr w:type="spellStart"/>
      <w:r w:rsidRPr="00D2785F">
        <w:rPr>
          <w:rFonts w:ascii="Times New Roman" w:hAnsi="Times New Roman"/>
          <w:sz w:val="20"/>
          <w:szCs w:val="20"/>
        </w:rPr>
        <w:t>Slappendel</w:t>
      </w:r>
      <w:proofErr w:type="spellEnd"/>
      <w:r w:rsidRPr="00D2785F">
        <w:rPr>
          <w:rFonts w:ascii="Times New Roman" w:hAnsi="Times New Roman"/>
          <w:sz w:val="20"/>
          <w:szCs w:val="20"/>
        </w:rPr>
        <w:t xml:space="preserve">, R., &amp; </w:t>
      </w:r>
      <w:proofErr w:type="spellStart"/>
      <w:r w:rsidRPr="00D2785F">
        <w:rPr>
          <w:rFonts w:ascii="Times New Roman" w:hAnsi="Times New Roman"/>
          <w:sz w:val="20"/>
          <w:szCs w:val="20"/>
        </w:rPr>
        <w:t>Spahn</w:t>
      </w:r>
      <w:proofErr w:type="spellEnd"/>
      <w:r w:rsidRPr="00D2785F">
        <w:rPr>
          <w:rFonts w:ascii="Times New Roman" w:hAnsi="Times New Roman"/>
          <w:sz w:val="20"/>
          <w:szCs w:val="20"/>
        </w:rPr>
        <w:t xml:space="preserve">, D. R. (2012). Patient blood management in Europe. British journal of </w:t>
      </w:r>
      <w:proofErr w:type="spellStart"/>
      <w:r w:rsidRPr="00D2785F">
        <w:rPr>
          <w:rFonts w:ascii="Times New Roman" w:hAnsi="Times New Roman"/>
          <w:sz w:val="20"/>
          <w:szCs w:val="20"/>
        </w:rPr>
        <w:t>anaesthesia</w:t>
      </w:r>
      <w:proofErr w:type="spellEnd"/>
      <w:r w:rsidRPr="00D2785F">
        <w:rPr>
          <w:rFonts w:ascii="Times New Roman" w:hAnsi="Times New Roman"/>
          <w:sz w:val="20"/>
          <w:szCs w:val="20"/>
        </w:rPr>
        <w:t>, 109(1), 55–68. https://doi.org/10.1093/bja/aes139</w:t>
      </w:r>
    </w:p>
    <w:p w14:paraId="49606AB5"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Spahn</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Donat</w:t>
      </w:r>
      <w:proofErr w:type="spellEnd"/>
      <w:r w:rsidRPr="00D2785F">
        <w:rPr>
          <w:rFonts w:ascii="Times New Roman" w:hAnsi="Times New Roman"/>
          <w:sz w:val="20"/>
          <w:szCs w:val="20"/>
        </w:rPr>
        <w:t xml:space="preserve"> R (2016). Patient Blood Management: success and potential in the future. Annals of Surgery, 264(2):212-213.DOI: https://doi.org/10.1097/SLA.0000000000001787</w:t>
      </w:r>
    </w:p>
    <w:p w14:paraId="12EA911A"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Stella T. Chou, </w:t>
      </w:r>
      <w:proofErr w:type="spellStart"/>
      <w:r w:rsidRPr="00D2785F">
        <w:rPr>
          <w:rFonts w:ascii="Times New Roman" w:hAnsi="Times New Roman"/>
          <w:sz w:val="20"/>
          <w:szCs w:val="20"/>
        </w:rPr>
        <w:t>Mouaz</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Alsawas</w:t>
      </w:r>
      <w:proofErr w:type="spellEnd"/>
      <w:r w:rsidRPr="00D2785F">
        <w:rPr>
          <w:rFonts w:ascii="Times New Roman" w:hAnsi="Times New Roman"/>
          <w:sz w:val="20"/>
          <w:szCs w:val="20"/>
        </w:rPr>
        <w:t xml:space="preserve">, Ross M. Fasano, Joshua J. Field, Jeanne E. Hendrickson, Jo Howard, Michelle </w:t>
      </w:r>
      <w:proofErr w:type="spellStart"/>
      <w:r w:rsidRPr="00D2785F">
        <w:rPr>
          <w:rFonts w:ascii="Times New Roman" w:hAnsi="Times New Roman"/>
          <w:sz w:val="20"/>
          <w:szCs w:val="20"/>
        </w:rPr>
        <w:t>Kameka</w:t>
      </w:r>
      <w:proofErr w:type="spellEnd"/>
      <w:r w:rsidRPr="00D2785F">
        <w:rPr>
          <w:rFonts w:ascii="Times New Roman" w:hAnsi="Times New Roman"/>
          <w:sz w:val="20"/>
          <w:szCs w:val="20"/>
        </w:rPr>
        <w:t xml:space="preserve">, Janet L. Kwiatkowski, France </w:t>
      </w:r>
      <w:proofErr w:type="spellStart"/>
      <w:r w:rsidRPr="00D2785F">
        <w:rPr>
          <w:rFonts w:ascii="Times New Roman" w:hAnsi="Times New Roman"/>
          <w:sz w:val="20"/>
          <w:szCs w:val="20"/>
        </w:rPr>
        <w:t>Pirenne</w:t>
      </w:r>
      <w:proofErr w:type="spellEnd"/>
      <w:r w:rsidRPr="00D2785F">
        <w:rPr>
          <w:rFonts w:ascii="Times New Roman" w:hAnsi="Times New Roman"/>
          <w:sz w:val="20"/>
          <w:szCs w:val="20"/>
        </w:rPr>
        <w:t xml:space="preserve">, Patricia A. Shi, Sean R. Stowell, </w:t>
      </w:r>
      <w:proofErr w:type="spellStart"/>
      <w:r w:rsidRPr="00D2785F">
        <w:rPr>
          <w:rFonts w:ascii="Times New Roman" w:hAnsi="Times New Roman"/>
          <w:sz w:val="20"/>
          <w:szCs w:val="20"/>
        </w:rPr>
        <w:t>Swee</w:t>
      </w:r>
      <w:proofErr w:type="spellEnd"/>
      <w:r w:rsidRPr="00D2785F">
        <w:rPr>
          <w:rFonts w:ascii="Times New Roman" w:hAnsi="Times New Roman"/>
          <w:sz w:val="20"/>
          <w:szCs w:val="20"/>
        </w:rPr>
        <w:t xml:space="preserve"> Lay Thein, Connie M. </w:t>
      </w:r>
      <w:proofErr w:type="spellStart"/>
      <w:r w:rsidRPr="00D2785F">
        <w:rPr>
          <w:rFonts w:ascii="Times New Roman" w:hAnsi="Times New Roman"/>
          <w:sz w:val="20"/>
          <w:szCs w:val="20"/>
        </w:rPr>
        <w:t>Westhoff</w:t>
      </w:r>
      <w:proofErr w:type="spellEnd"/>
      <w:r w:rsidRPr="00D2785F">
        <w:rPr>
          <w:rFonts w:ascii="Times New Roman" w:hAnsi="Times New Roman"/>
          <w:sz w:val="20"/>
          <w:szCs w:val="20"/>
        </w:rPr>
        <w:t xml:space="preserve">, Trisha E. Wong, Elie A. </w:t>
      </w:r>
      <w:proofErr w:type="spellStart"/>
      <w:r w:rsidRPr="00D2785F">
        <w:rPr>
          <w:rFonts w:ascii="Times New Roman" w:hAnsi="Times New Roman"/>
          <w:sz w:val="20"/>
          <w:szCs w:val="20"/>
        </w:rPr>
        <w:t>Akl</w:t>
      </w:r>
      <w:proofErr w:type="spellEnd"/>
      <w:r w:rsidRPr="00D2785F">
        <w:rPr>
          <w:rFonts w:ascii="Times New Roman" w:hAnsi="Times New Roman"/>
          <w:sz w:val="20"/>
          <w:szCs w:val="20"/>
        </w:rPr>
        <w:t xml:space="preserve">; American Society of Hematology 2020 guidelines for sickle cell disease: transfusion support. Blood Adv 2020; 4 (2): 327–355. </w:t>
      </w:r>
      <w:proofErr w:type="spellStart"/>
      <w:r w:rsidRPr="00D2785F">
        <w:rPr>
          <w:rFonts w:ascii="Times New Roman" w:hAnsi="Times New Roman"/>
          <w:sz w:val="20"/>
          <w:szCs w:val="20"/>
        </w:rPr>
        <w:t>doi</w:t>
      </w:r>
      <w:proofErr w:type="spellEnd"/>
      <w:r w:rsidRPr="00D2785F">
        <w:rPr>
          <w:rFonts w:ascii="Times New Roman" w:hAnsi="Times New Roman"/>
          <w:sz w:val="20"/>
          <w:szCs w:val="20"/>
        </w:rPr>
        <w:t>: https://doi.org/10.1182/bloodadvances.2019001143</w:t>
      </w:r>
    </w:p>
    <w:p w14:paraId="4BCD42C6"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Sukla</w:t>
      </w:r>
      <w:proofErr w:type="spellEnd"/>
      <w:r w:rsidRPr="00D2785F">
        <w:rPr>
          <w:rFonts w:ascii="Times New Roman" w:hAnsi="Times New Roman"/>
          <w:sz w:val="20"/>
          <w:szCs w:val="20"/>
        </w:rPr>
        <w:t xml:space="preserve">, Krishna &amp; Nagar, Rachana &amp; </w:t>
      </w:r>
      <w:proofErr w:type="spellStart"/>
      <w:r w:rsidRPr="00D2785F">
        <w:rPr>
          <w:rFonts w:ascii="Times New Roman" w:hAnsi="Times New Roman"/>
          <w:sz w:val="20"/>
          <w:szCs w:val="20"/>
        </w:rPr>
        <w:t>Rajiva</w:t>
      </w:r>
      <w:proofErr w:type="spellEnd"/>
      <w:r w:rsidRPr="00D2785F">
        <w:rPr>
          <w:rFonts w:ascii="Times New Roman" w:hAnsi="Times New Roman"/>
          <w:sz w:val="20"/>
          <w:szCs w:val="20"/>
        </w:rPr>
        <w:t xml:space="preserve">, Raman. (2013). Vitamin-B12 and Folate deficiency, major contributing factors for </w:t>
      </w:r>
      <w:proofErr w:type="spellStart"/>
      <w:r w:rsidRPr="00D2785F">
        <w:rPr>
          <w:rFonts w:ascii="Times New Roman" w:hAnsi="Times New Roman"/>
          <w:sz w:val="20"/>
          <w:szCs w:val="20"/>
        </w:rPr>
        <w:t>anaemia</w:t>
      </w:r>
      <w:proofErr w:type="spellEnd"/>
      <w:r w:rsidRPr="00D2785F">
        <w:rPr>
          <w:rFonts w:ascii="Times New Roman" w:hAnsi="Times New Roman"/>
          <w:sz w:val="20"/>
          <w:szCs w:val="20"/>
        </w:rPr>
        <w:t xml:space="preserve">: A population-based study. e-SPEN Journal. 9. 10.1016/j.clnme.2013.11.003. </w:t>
      </w:r>
    </w:p>
    <w:p w14:paraId="1C8785D7"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Taeuber</w:t>
      </w:r>
      <w:proofErr w:type="spellEnd"/>
      <w:r w:rsidRPr="00D2785F">
        <w:rPr>
          <w:rFonts w:ascii="Times New Roman" w:hAnsi="Times New Roman"/>
          <w:sz w:val="20"/>
          <w:szCs w:val="20"/>
        </w:rPr>
        <w:t xml:space="preserve">, I., Weibel, S., Herrmann, E., </w:t>
      </w:r>
      <w:proofErr w:type="spellStart"/>
      <w:r w:rsidRPr="00D2785F">
        <w:rPr>
          <w:rFonts w:ascii="Times New Roman" w:hAnsi="Times New Roman"/>
          <w:sz w:val="20"/>
          <w:szCs w:val="20"/>
        </w:rPr>
        <w:t>Neef</w:t>
      </w:r>
      <w:proofErr w:type="spellEnd"/>
      <w:r w:rsidRPr="00D2785F">
        <w:rPr>
          <w:rFonts w:ascii="Times New Roman" w:hAnsi="Times New Roman"/>
          <w:sz w:val="20"/>
          <w:szCs w:val="20"/>
        </w:rPr>
        <w:t xml:space="preserve">, V., Schlesinger, T., </w:t>
      </w:r>
      <w:proofErr w:type="spellStart"/>
      <w:r w:rsidRPr="00D2785F">
        <w:rPr>
          <w:rFonts w:ascii="Times New Roman" w:hAnsi="Times New Roman"/>
          <w:sz w:val="20"/>
          <w:szCs w:val="20"/>
        </w:rPr>
        <w:t>Kranke</w:t>
      </w:r>
      <w:proofErr w:type="spellEnd"/>
      <w:r w:rsidRPr="00D2785F">
        <w:rPr>
          <w:rFonts w:ascii="Times New Roman" w:hAnsi="Times New Roman"/>
          <w:sz w:val="20"/>
          <w:szCs w:val="20"/>
        </w:rPr>
        <w:t xml:space="preserve">, P., </w:t>
      </w:r>
      <w:proofErr w:type="spellStart"/>
      <w:r w:rsidRPr="00D2785F">
        <w:rPr>
          <w:rFonts w:ascii="Times New Roman" w:hAnsi="Times New Roman"/>
          <w:sz w:val="20"/>
          <w:szCs w:val="20"/>
        </w:rPr>
        <w:t>Messroghli</w:t>
      </w:r>
      <w:proofErr w:type="spellEnd"/>
      <w:r w:rsidRPr="00D2785F">
        <w:rPr>
          <w:rFonts w:ascii="Times New Roman" w:hAnsi="Times New Roman"/>
          <w:sz w:val="20"/>
          <w:szCs w:val="20"/>
        </w:rPr>
        <w:t xml:space="preserve">, L., </w:t>
      </w:r>
      <w:proofErr w:type="spellStart"/>
      <w:r w:rsidRPr="00D2785F">
        <w:rPr>
          <w:rFonts w:ascii="Times New Roman" w:hAnsi="Times New Roman"/>
          <w:sz w:val="20"/>
          <w:szCs w:val="20"/>
        </w:rPr>
        <w:t>Zacharowski</w:t>
      </w:r>
      <w:proofErr w:type="spellEnd"/>
      <w:r w:rsidRPr="00D2785F">
        <w:rPr>
          <w:rFonts w:ascii="Times New Roman" w:hAnsi="Times New Roman"/>
          <w:sz w:val="20"/>
          <w:szCs w:val="20"/>
        </w:rPr>
        <w:t xml:space="preserve">, K., </w:t>
      </w:r>
      <w:proofErr w:type="spellStart"/>
      <w:r w:rsidRPr="00D2785F">
        <w:rPr>
          <w:rFonts w:ascii="Times New Roman" w:hAnsi="Times New Roman"/>
          <w:sz w:val="20"/>
          <w:szCs w:val="20"/>
        </w:rPr>
        <w:t>Choorapoikayil</w:t>
      </w:r>
      <w:proofErr w:type="spellEnd"/>
      <w:r w:rsidRPr="00D2785F">
        <w:rPr>
          <w:rFonts w:ascii="Times New Roman" w:hAnsi="Times New Roman"/>
          <w:sz w:val="20"/>
          <w:szCs w:val="20"/>
        </w:rPr>
        <w:t xml:space="preserve">, S., &amp; </w:t>
      </w:r>
      <w:proofErr w:type="spellStart"/>
      <w:r w:rsidRPr="00D2785F">
        <w:rPr>
          <w:rFonts w:ascii="Times New Roman" w:hAnsi="Times New Roman"/>
          <w:sz w:val="20"/>
          <w:szCs w:val="20"/>
        </w:rPr>
        <w:t>Meybohm</w:t>
      </w:r>
      <w:proofErr w:type="spellEnd"/>
      <w:r w:rsidRPr="00D2785F">
        <w:rPr>
          <w:rFonts w:ascii="Times New Roman" w:hAnsi="Times New Roman"/>
          <w:sz w:val="20"/>
          <w:szCs w:val="20"/>
        </w:rPr>
        <w:t>, P. (2021). Association of Intravenous Tranexamic Acid With Thromboembolic Events and Mortality: A Systematic Review, Meta-analysis, and Meta-regression. JAMA surgery, 156(6), e210884. Advance online publication. https://doi.org/10.100p</w:t>
      </w:r>
    </w:p>
    <w:p w14:paraId="16264FC4"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w:t>
      </w:r>
      <w:proofErr w:type="spellStart"/>
      <w:r w:rsidRPr="00D2785F">
        <w:rPr>
          <w:rFonts w:ascii="Times New Roman" w:hAnsi="Times New Roman"/>
          <w:sz w:val="20"/>
          <w:szCs w:val="20"/>
        </w:rPr>
        <w:t>Tantavisut</w:t>
      </w:r>
      <w:proofErr w:type="spellEnd"/>
      <w:r w:rsidRPr="00D2785F">
        <w:rPr>
          <w:rFonts w:ascii="Times New Roman" w:hAnsi="Times New Roman"/>
          <w:sz w:val="20"/>
          <w:szCs w:val="20"/>
        </w:rPr>
        <w:t xml:space="preserve">, Saran &amp; </w:t>
      </w:r>
      <w:proofErr w:type="spellStart"/>
      <w:r w:rsidRPr="00D2785F">
        <w:rPr>
          <w:rFonts w:ascii="Times New Roman" w:hAnsi="Times New Roman"/>
          <w:sz w:val="20"/>
          <w:szCs w:val="20"/>
        </w:rPr>
        <w:t>Artykbay</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Sanzhar</w:t>
      </w:r>
      <w:proofErr w:type="spellEnd"/>
      <w:r w:rsidRPr="00D2785F">
        <w:rPr>
          <w:rFonts w:ascii="Times New Roman" w:hAnsi="Times New Roman"/>
          <w:sz w:val="20"/>
          <w:szCs w:val="20"/>
        </w:rPr>
        <w:t xml:space="preserve"> &amp; </w:t>
      </w:r>
      <w:proofErr w:type="spellStart"/>
      <w:r w:rsidRPr="00D2785F">
        <w:rPr>
          <w:rFonts w:ascii="Times New Roman" w:hAnsi="Times New Roman"/>
          <w:sz w:val="20"/>
          <w:szCs w:val="20"/>
        </w:rPr>
        <w:t>Tangwiwat</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Pasawiss</w:t>
      </w:r>
      <w:proofErr w:type="spellEnd"/>
      <w:r w:rsidRPr="00D2785F">
        <w:rPr>
          <w:rFonts w:ascii="Times New Roman" w:hAnsi="Times New Roman"/>
          <w:sz w:val="20"/>
          <w:szCs w:val="20"/>
        </w:rPr>
        <w:t xml:space="preserve"> &amp; </w:t>
      </w:r>
      <w:proofErr w:type="spellStart"/>
      <w:r w:rsidRPr="00D2785F">
        <w:rPr>
          <w:rFonts w:ascii="Times New Roman" w:hAnsi="Times New Roman"/>
          <w:sz w:val="20"/>
          <w:szCs w:val="20"/>
        </w:rPr>
        <w:t>Susantitaphong</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Paweena</w:t>
      </w:r>
      <w:proofErr w:type="spellEnd"/>
      <w:r w:rsidRPr="00D2785F">
        <w:rPr>
          <w:rFonts w:ascii="Times New Roman" w:hAnsi="Times New Roman"/>
          <w:sz w:val="20"/>
          <w:szCs w:val="20"/>
        </w:rPr>
        <w:t xml:space="preserve">. (2024). Topical Tranexamic Acid in Hip and Knee Surgery: A Meta-Analysis of Randomized Controlled Trials. 10.21203/rs.3.rs-4007605/v1. </w:t>
      </w:r>
    </w:p>
    <w:p w14:paraId="56CED0B1" w14:textId="77777777" w:rsidR="0005414C" w:rsidRPr="00D2785F" w:rsidRDefault="0005414C" w:rsidP="0005414C">
      <w:pPr>
        <w:ind w:left="1440" w:hanging="1440"/>
        <w:jc w:val="both"/>
        <w:rPr>
          <w:rFonts w:ascii="Times New Roman" w:hAnsi="Times New Roman"/>
          <w:sz w:val="20"/>
          <w:szCs w:val="20"/>
        </w:rPr>
      </w:pPr>
      <w:proofErr w:type="spellStart"/>
      <w:r w:rsidRPr="00D2785F">
        <w:rPr>
          <w:rFonts w:ascii="Times New Roman" w:hAnsi="Times New Roman"/>
          <w:sz w:val="20"/>
          <w:szCs w:val="20"/>
        </w:rPr>
        <w:t>Tohme</w:t>
      </w:r>
      <w:proofErr w:type="spellEnd"/>
      <w:r w:rsidRPr="00D2785F">
        <w:rPr>
          <w:rFonts w:ascii="Times New Roman" w:hAnsi="Times New Roman"/>
          <w:sz w:val="20"/>
          <w:szCs w:val="20"/>
        </w:rPr>
        <w:t xml:space="preserve">, S., Varley, P. R., </w:t>
      </w:r>
      <w:proofErr w:type="spellStart"/>
      <w:r w:rsidRPr="00D2785F">
        <w:rPr>
          <w:rFonts w:ascii="Times New Roman" w:hAnsi="Times New Roman"/>
          <w:sz w:val="20"/>
          <w:szCs w:val="20"/>
        </w:rPr>
        <w:t>Landsittel</w:t>
      </w:r>
      <w:proofErr w:type="spellEnd"/>
      <w:r w:rsidRPr="00D2785F">
        <w:rPr>
          <w:rFonts w:ascii="Times New Roman" w:hAnsi="Times New Roman"/>
          <w:sz w:val="20"/>
          <w:szCs w:val="20"/>
        </w:rPr>
        <w:t xml:space="preserve">, D. P., Chidi, A. P., &amp; Tsung, A. (2016). Preoperative anemia and postoperative outcomes after hepatectomy. HPB : the official journal of the International </w:t>
      </w:r>
      <w:proofErr w:type="spellStart"/>
      <w:r w:rsidRPr="00D2785F">
        <w:rPr>
          <w:rFonts w:ascii="Times New Roman" w:hAnsi="Times New Roman"/>
          <w:sz w:val="20"/>
          <w:szCs w:val="20"/>
        </w:rPr>
        <w:t>Hepato</w:t>
      </w:r>
      <w:proofErr w:type="spellEnd"/>
      <w:r w:rsidRPr="00D2785F">
        <w:rPr>
          <w:rFonts w:ascii="Times New Roman" w:hAnsi="Times New Roman"/>
          <w:sz w:val="20"/>
          <w:szCs w:val="20"/>
        </w:rPr>
        <w:t xml:space="preserve"> </w:t>
      </w:r>
      <w:proofErr w:type="spellStart"/>
      <w:r w:rsidRPr="00D2785F">
        <w:rPr>
          <w:rFonts w:ascii="Times New Roman" w:hAnsi="Times New Roman"/>
          <w:sz w:val="20"/>
          <w:szCs w:val="20"/>
        </w:rPr>
        <w:t>Pancreato</w:t>
      </w:r>
      <w:proofErr w:type="spellEnd"/>
      <w:r w:rsidRPr="00D2785F">
        <w:rPr>
          <w:rFonts w:ascii="Times New Roman" w:hAnsi="Times New Roman"/>
          <w:sz w:val="20"/>
          <w:szCs w:val="20"/>
        </w:rPr>
        <w:t xml:space="preserve"> Biliary Association, 18(3), 255–261. https://doi.org/10.1016/j.hpb.2015.09.002</w:t>
      </w:r>
    </w:p>
    <w:p w14:paraId="572902DF" w14:textId="77777777" w:rsidR="0005414C" w:rsidRPr="003E374F" w:rsidRDefault="0005414C" w:rsidP="0005414C">
      <w:pPr>
        <w:ind w:left="1440" w:hanging="1440"/>
        <w:jc w:val="both"/>
        <w:rPr>
          <w:rFonts w:ascii="Times New Roman" w:hAnsi="Times New Roman"/>
          <w:sz w:val="20"/>
          <w:szCs w:val="20"/>
        </w:rPr>
      </w:pPr>
      <w:r w:rsidRPr="003E374F">
        <w:rPr>
          <w:rFonts w:ascii="Times New Roman" w:hAnsi="Times New Roman"/>
          <w:sz w:val="20"/>
          <w:szCs w:val="20"/>
        </w:rPr>
        <w:t xml:space="preserve">World Health Organization (WHO) ,2011: </w:t>
      </w:r>
      <w:proofErr w:type="spellStart"/>
      <w:r w:rsidRPr="003E374F">
        <w:rPr>
          <w:rFonts w:ascii="Times New Roman" w:hAnsi="Times New Roman"/>
          <w:sz w:val="20"/>
          <w:szCs w:val="20"/>
        </w:rPr>
        <w:t>Haemoglobin</w:t>
      </w:r>
      <w:proofErr w:type="spellEnd"/>
      <w:r w:rsidRPr="003E374F">
        <w:rPr>
          <w:rFonts w:ascii="Times New Roman" w:hAnsi="Times New Roman"/>
          <w:sz w:val="20"/>
          <w:szCs w:val="20"/>
        </w:rPr>
        <w:t xml:space="preserve"> concentrations for the diagnosis of </w:t>
      </w:r>
      <w:proofErr w:type="spellStart"/>
      <w:r w:rsidRPr="003E374F">
        <w:rPr>
          <w:rFonts w:ascii="Times New Roman" w:hAnsi="Times New Roman"/>
          <w:sz w:val="20"/>
          <w:szCs w:val="20"/>
        </w:rPr>
        <w:t>anaemia</w:t>
      </w:r>
      <w:proofErr w:type="spellEnd"/>
      <w:r w:rsidRPr="003E374F">
        <w:rPr>
          <w:rFonts w:ascii="Times New Roman" w:hAnsi="Times New Roman"/>
          <w:sz w:val="20"/>
          <w:szCs w:val="20"/>
        </w:rPr>
        <w:t xml:space="preserve"> and assessment of severity ,https://share.google/4WsyAM8eDmzx5l4La.</w:t>
      </w:r>
    </w:p>
    <w:p w14:paraId="5B60066B" w14:textId="77777777" w:rsidR="0005414C" w:rsidRPr="003E374F" w:rsidRDefault="0005414C" w:rsidP="0005414C">
      <w:pPr>
        <w:ind w:left="1440" w:hanging="1440"/>
        <w:jc w:val="both"/>
        <w:rPr>
          <w:rFonts w:ascii="Times New Roman" w:hAnsi="Times New Roman"/>
          <w:sz w:val="20"/>
          <w:szCs w:val="20"/>
        </w:rPr>
      </w:pPr>
      <w:r w:rsidRPr="003E374F">
        <w:rPr>
          <w:rFonts w:ascii="Times New Roman" w:hAnsi="Times New Roman"/>
          <w:sz w:val="20"/>
          <w:szCs w:val="20"/>
        </w:rPr>
        <w:t xml:space="preserve">World Health Organization (WHO),2024: Guideline on </w:t>
      </w:r>
      <w:proofErr w:type="spellStart"/>
      <w:r w:rsidRPr="003E374F">
        <w:rPr>
          <w:rFonts w:ascii="Times New Roman" w:hAnsi="Times New Roman"/>
          <w:sz w:val="20"/>
          <w:szCs w:val="20"/>
        </w:rPr>
        <w:t>haemoglobin</w:t>
      </w:r>
      <w:proofErr w:type="spellEnd"/>
      <w:r w:rsidRPr="003E374F">
        <w:rPr>
          <w:rFonts w:ascii="Times New Roman" w:hAnsi="Times New Roman"/>
          <w:sz w:val="20"/>
          <w:szCs w:val="20"/>
        </w:rPr>
        <w:t xml:space="preserve"> cutoffs to define </w:t>
      </w:r>
      <w:proofErr w:type="spellStart"/>
      <w:r w:rsidRPr="003E374F">
        <w:rPr>
          <w:rFonts w:ascii="Times New Roman" w:hAnsi="Times New Roman"/>
          <w:sz w:val="20"/>
          <w:szCs w:val="20"/>
        </w:rPr>
        <w:t>anaemia</w:t>
      </w:r>
      <w:proofErr w:type="spellEnd"/>
      <w:r w:rsidRPr="003E374F">
        <w:rPr>
          <w:rFonts w:ascii="Times New Roman" w:hAnsi="Times New Roman"/>
          <w:sz w:val="20"/>
          <w:szCs w:val="20"/>
        </w:rPr>
        <w:t xml:space="preserve"> in individuals and populations https://share.google/RcurSW5qirBFb3w48.</w:t>
      </w:r>
    </w:p>
    <w:p w14:paraId="0DE315CF" w14:textId="77777777" w:rsidR="0005414C" w:rsidRPr="00D2785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 xml:space="preserve"> Xu J-Y, Tian X-D, Yang Y-M, Song J-H and Wei J-M (2022) Preoperative Anemia Is a Predictor of Worse Postoperative Outcomes Following Open Pancreatoduodenectomy: A Propensity Score-Based Analysis. Front. Med. 9:818805. </w:t>
      </w:r>
      <w:proofErr w:type="spellStart"/>
      <w:r w:rsidRPr="00D2785F">
        <w:rPr>
          <w:rFonts w:ascii="Times New Roman" w:hAnsi="Times New Roman"/>
          <w:sz w:val="20"/>
          <w:szCs w:val="20"/>
        </w:rPr>
        <w:t>doi</w:t>
      </w:r>
      <w:proofErr w:type="spellEnd"/>
      <w:r w:rsidRPr="00D2785F">
        <w:rPr>
          <w:rFonts w:ascii="Times New Roman" w:hAnsi="Times New Roman"/>
          <w:sz w:val="20"/>
          <w:szCs w:val="20"/>
        </w:rPr>
        <w:t>: 10.3389/fmed.2022.818805</w:t>
      </w:r>
    </w:p>
    <w:p w14:paraId="5BC85EFE" w14:textId="77777777" w:rsidR="0005414C" w:rsidRPr="003E374F" w:rsidRDefault="0005414C" w:rsidP="0005414C">
      <w:pPr>
        <w:ind w:left="1440" w:hanging="1440"/>
        <w:jc w:val="both"/>
        <w:rPr>
          <w:rFonts w:ascii="Times New Roman" w:hAnsi="Times New Roman"/>
          <w:sz w:val="20"/>
          <w:szCs w:val="20"/>
        </w:rPr>
      </w:pPr>
      <w:r w:rsidRPr="00D2785F">
        <w:rPr>
          <w:rFonts w:ascii="Times New Roman" w:hAnsi="Times New Roman"/>
          <w:sz w:val="20"/>
          <w:szCs w:val="20"/>
        </w:rPr>
        <w:t>Yen, S. H., Lin, P. C., Chen, B., Huang, C. C., &amp; Wang, J. W. (2017). Topical Tranexamic Acid Reduces Blood Loss in Minimally Invasive Total Knee Arthroplasty Receiving Rivaroxaban. BioMed research international, 2017, 9105645. https://doi.org/10.1155/2017/9105645</w:t>
      </w:r>
    </w:p>
    <w:p w14:paraId="30F12A57" w14:textId="77777777" w:rsidR="0005414C" w:rsidRPr="003E374F" w:rsidRDefault="0005414C" w:rsidP="0005414C">
      <w:pPr>
        <w:ind w:left="1440" w:hanging="1440"/>
        <w:jc w:val="both"/>
        <w:rPr>
          <w:rFonts w:ascii="Times New Roman" w:hAnsi="Times New Roman"/>
          <w:sz w:val="20"/>
          <w:szCs w:val="20"/>
        </w:rPr>
      </w:pPr>
      <w:r w:rsidRPr="003E374F">
        <w:rPr>
          <w:rFonts w:ascii="Times New Roman" w:hAnsi="Times New Roman"/>
          <w:sz w:val="20"/>
          <w:szCs w:val="20"/>
        </w:rPr>
        <w:t>Zhou, Y., Wang, A., Yeung, L. F., Qi, Y. P., Pfeiffer, C. M., &amp; Crider, K. S. (2023). Folate and vitamin B12 usual intake and biomarker status by intake source in United States adults aged ≥19 y: NHANES 2007-2018. The American journal of clinical nutrition, 118(1), 241–254. https://doi.org/10.1016/j.ajcnut.2023.05.016</w:t>
      </w:r>
    </w:p>
    <w:p w14:paraId="4AF5F84A" w14:textId="77777777" w:rsidR="004535B1" w:rsidRPr="003E374F" w:rsidRDefault="004535B1">
      <w:pPr>
        <w:rPr>
          <w:rFonts w:ascii="Times New Roman" w:hAnsi="Times New Roman"/>
          <w:sz w:val="20"/>
          <w:szCs w:val="20"/>
        </w:rPr>
      </w:pPr>
    </w:p>
    <w:sectPr w:rsidR="004535B1" w:rsidRPr="003E37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B9545" w14:textId="77777777" w:rsidR="00C15A05" w:rsidRDefault="00C15A05" w:rsidP="00D1732D">
      <w:pPr>
        <w:spacing w:after="0" w:line="240" w:lineRule="auto"/>
      </w:pPr>
      <w:r>
        <w:separator/>
      </w:r>
    </w:p>
  </w:endnote>
  <w:endnote w:type="continuationSeparator" w:id="0">
    <w:p w14:paraId="250CCF2B" w14:textId="77777777" w:rsidR="00C15A05" w:rsidRDefault="00C15A05" w:rsidP="00D1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345E" w14:textId="77777777" w:rsidR="00D1732D" w:rsidRDefault="00D17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3E33" w14:textId="77777777" w:rsidR="00D1732D" w:rsidRDefault="00D17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D68F" w14:textId="77777777" w:rsidR="00D1732D" w:rsidRDefault="00D1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E48B" w14:textId="77777777" w:rsidR="00C15A05" w:rsidRDefault="00C15A05" w:rsidP="00D1732D">
      <w:pPr>
        <w:spacing w:after="0" w:line="240" w:lineRule="auto"/>
      </w:pPr>
      <w:r>
        <w:separator/>
      </w:r>
    </w:p>
  </w:footnote>
  <w:footnote w:type="continuationSeparator" w:id="0">
    <w:p w14:paraId="1B4845FE" w14:textId="77777777" w:rsidR="00C15A05" w:rsidRDefault="00C15A05" w:rsidP="00D1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5607" w14:textId="4144E8C9" w:rsidR="00D1732D" w:rsidRDefault="00D1732D">
    <w:pPr>
      <w:pStyle w:val="Header"/>
    </w:pPr>
    <w:r>
      <w:rPr>
        <w:noProof/>
      </w:rPr>
      <w:pict w14:anchorId="1F70B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5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3B3A" w14:textId="26E4F99A" w:rsidR="00D1732D" w:rsidRDefault="00D1732D">
    <w:pPr>
      <w:pStyle w:val="Header"/>
    </w:pPr>
    <w:r>
      <w:rPr>
        <w:noProof/>
      </w:rPr>
      <w:pict w14:anchorId="7EA1F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5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79F0" w14:textId="6C34480F" w:rsidR="00D1732D" w:rsidRDefault="00D1732D">
    <w:pPr>
      <w:pStyle w:val="Header"/>
    </w:pPr>
    <w:r>
      <w:rPr>
        <w:noProof/>
      </w:rPr>
      <w:pict w14:anchorId="3D186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5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02C"/>
    <w:multiLevelType w:val="hybridMultilevel"/>
    <w:tmpl w:val="5D26E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3B65"/>
    <w:multiLevelType w:val="hybridMultilevel"/>
    <w:tmpl w:val="E4726DBC"/>
    <w:lvl w:ilvl="0" w:tplc="12FA3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E3C17"/>
    <w:multiLevelType w:val="hybridMultilevel"/>
    <w:tmpl w:val="32626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777B5"/>
    <w:multiLevelType w:val="hybridMultilevel"/>
    <w:tmpl w:val="C624E304"/>
    <w:lvl w:ilvl="0" w:tplc="8C484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28E3"/>
    <w:multiLevelType w:val="hybridMultilevel"/>
    <w:tmpl w:val="192AA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65FCA"/>
    <w:multiLevelType w:val="hybridMultilevel"/>
    <w:tmpl w:val="EB7ED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55CC0"/>
    <w:multiLevelType w:val="hybridMultilevel"/>
    <w:tmpl w:val="89B6848C"/>
    <w:lvl w:ilvl="0" w:tplc="4CD4C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4C"/>
    <w:rsid w:val="0005414C"/>
    <w:rsid w:val="000E10F5"/>
    <w:rsid w:val="00397142"/>
    <w:rsid w:val="003E374F"/>
    <w:rsid w:val="004535B1"/>
    <w:rsid w:val="00785DFD"/>
    <w:rsid w:val="00995553"/>
    <w:rsid w:val="00B56CA3"/>
    <w:rsid w:val="00C15A05"/>
    <w:rsid w:val="00D1732D"/>
    <w:rsid w:val="00E23617"/>
    <w:rsid w:val="00FB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07B35"/>
  <w15:chartTrackingRefBased/>
  <w15:docId w15:val="{832255E9-9926-473C-9733-57EA3969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14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14C"/>
    <w:pPr>
      <w:spacing w:after="0" w:line="240" w:lineRule="auto"/>
    </w:pPr>
    <w:rPr>
      <w:rFonts w:ascii="Calibri" w:eastAsia="SimSun" w:hAnsi="Calibri" w:cs="Times New Roman"/>
      <w:lang w:eastAsia="zh-CN"/>
    </w:rPr>
  </w:style>
  <w:style w:type="paragraph" w:styleId="ListParagraph">
    <w:name w:val="List Paragraph"/>
    <w:basedOn w:val="Normal"/>
    <w:uiPriority w:val="34"/>
    <w:qFormat/>
    <w:rsid w:val="0005414C"/>
    <w:pPr>
      <w:ind w:left="720"/>
      <w:contextualSpacing/>
    </w:pPr>
  </w:style>
  <w:style w:type="paragraph" w:styleId="Header">
    <w:name w:val="header"/>
    <w:basedOn w:val="Normal"/>
    <w:link w:val="HeaderChar"/>
    <w:uiPriority w:val="99"/>
    <w:unhideWhenUsed/>
    <w:rsid w:val="00D1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2D"/>
    <w:rPr>
      <w:rFonts w:ascii="Calibri" w:eastAsia="SimSun" w:hAnsi="Calibri" w:cs="Times New Roman"/>
      <w:lang w:eastAsia="zh-CN"/>
    </w:rPr>
  </w:style>
  <w:style w:type="paragraph" w:styleId="Footer">
    <w:name w:val="footer"/>
    <w:basedOn w:val="Normal"/>
    <w:link w:val="FooterChar"/>
    <w:uiPriority w:val="99"/>
    <w:unhideWhenUsed/>
    <w:rsid w:val="00D1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2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888B-427E-40E2-BD45-761DF023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7019</Words>
  <Characters>40012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SDI 1084</cp:lastModifiedBy>
  <cp:revision>3</cp:revision>
  <dcterms:created xsi:type="dcterms:W3CDTF">2025-11-05T22:10:00Z</dcterms:created>
  <dcterms:modified xsi:type="dcterms:W3CDTF">2025-11-06T13:31:00Z</dcterms:modified>
</cp:coreProperties>
</file>