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154F3" w14:textId="77777777" w:rsidR="00455E72" w:rsidRDefault="00455E72" w:rsidP="00455E72">
      <w:pPr>
        <w:spacing w:before="100" w:beforeAutospacing="1" w:after="100" w:afterAutospacing="1" w:line="240" w:lineRule="auto"/>
        <w:jc w:val="center"/>
        <w:outlineLvl w:val="2"/>
        <w:rPr>
          <w:rFonts w:eastAsia="Times New Roman" w:cstheme="minorHAnsi"/>
          <w:b/>
          <w:bCs/>
          <w:sz w:val="24"/>
          <w:szCs w:val="24"/>
        </w:rPr>
      </w:pPr>
      <w:r w:rsidRPr="00455E72">
        <w:rPr>
          <w:rFonts w:eastAsia="Times New Roman" w:cstheme="minorHAnsi"/>
          <w:b/>
          <w:bCs/>
          <w:sz w:val="24"/>
          <w:szCs w:val="24"/>
        </w:rPr>
        <w:t xml:space="preserve">Cancer in the Context of Inflammatory Bowel </w:t>
      </w:r>
      <w:proofErr w:type="gramStart"/>
      <w:r w:rsidRPr="00455E72">
        <w:rPr>
          <w:rFonts w:eastAsia="Times New Roman" w:cstheme="minorHAnsi"/>
          <w:b/>
          <w:bCs/>
          <w:sz w:val="24"/>
          <w:szCs w:val="24"/>
        </w:rPr>
        <w:t>Disease:</w:t>
      </w:r>
      <w:proofErr w:type="gramEnd"/>
      <w:r w:rsidRPr="00455E72">
        <w:rPr>
          <w:rFonts w:eastAsia="Times New Roman" w:cstheme="minorHAnsi"/>
          <w:b/>
          <w:bCs/>
          <w:sz w:val="24"/>
          <w:szCs w:val="24"/>
        </w:rPr>
        <w:t xml:space="preserve"> A Review of 16 Cases</w:t>
      </w:r>
    </w:p>
    <w:p w14:paraId="38CC2D08" w14:textId="77777777" w:rsidR="00C567AD" w:rsidRDefault="00C567AD" w:rsidP="00E1267F">
      <w:pPr>
        <w:spacing w:before="100" w:beforeAutospacing="1" w:after="100" w:afterAutospacing="1" w:line="240" w:lineRule="auto"/>
        <w:jc w:val="center"/>
        <w:outlineLvl w:val="2"/>
        <w:rPr>
          <w:rFonts w:eastAsia="Times New Roman" w:cstheme="minorHAnsi"/>
          <w:sz w:val="24"/>
          <w:szCs w:val="24"/>
        </w:rPr>
      </w:pPr>
    </w:p>
    <w:p w14:paraId="55B92CA1" w14:textId="77777777" w:rsidR="00C567AD" w:rsidRPr="007803AB" w:rsidRDefault="00C567AD" w:rsidP="00C567AD">
      <w:pPr>
        <w:pStyle w:val="Heading3"/>
        <w:rPr>
          <w:rFonts w:asciiTheme="minorHAnsi" w:hAnsiTheme="minorHAnsi" w:cstheme="minorHAnsi"/>
          <w:sz w:val="24"/>
          <w:szCs w:val="22"/>
        </w:rPr>
      </w:pPr>
      <w:r w:rsidRPr="007803AB">
        <w:rPr>
          <w:rFonts w:asciiTheme="minorHAnsi" w:hAnsiTheme="minorHAnsi" w:cstheme="minorHAnsi"/>
          <w:sz w:val="24"/>
          <w:szCs w:val="22"/>
        </w:rPr>
        <w:t>Abstract</w:t>
      </w:r>
    </w:p>
    <w:p w14:paraId="3BF1F5A7" w14:textId="77777777" w:rsidR="00C567AD" w:rsidRPr="007803AB" w:rsidRDefault="00C567AD" w:rsidP="00C567AD">
      <w:pPr>
        <w:pStyle w:val="NormalWeb"/>
        <w:rPr>
          <w:rFonts w:asciiTheme="minorHAnsi" w:hAnsiTheme="minorHAnsi" w:cstheme="minorHAnsi"/>
          <w:b/>
          <w:bCs/>
          <w:szCs w:val="22"/>
        </w:rPr>
      </w:pPr>
      <w:proofErr w:type="gramStart"/>
      <w:r w:rsidRPr="007803AB">
        <w:rPr>
          <w:rStyle w:val="Strong"/>
          <w:rFonts w:asciiTheme="minorHAnsi" w:hAnsiTheme="minorHAnsi" w:cstheme="minorHAnsi"/>
          <w:szCs w:val="22"/>
        </w:rPr>
        <w:t>Introduction:</w:t>
      </w:r>
      <w:proofErr w:type="gramEnd"/>
      <w:r w:rsidRPr="007803AB">
        <w:rPr>
          <w:rFonts w:asciiTheme="minorHAnsi" w:hAnsiTheme="minorHAnsi" w:cstheme="minorHAnsi"/>
          <w:sz w:val="22"/>
          <w:szCs w:val="22"/>
        </w:rPr>
        <w:br/>
        <w:t>Inflammatory bowel diseases (IBD), including Crohn’s disease and ulcerative colitis, are associated with an increased risk of neoplastic complications due to chronic inflammation, immune dysregulation, and immunosuppressive treatments. This study aims to evaluate the incidence of cancers in IBD patients, describe their clinical characteristics, and analyze their therapeutic impact.</w:t>
      </w:r>
    </w:p>
    <w:p w14:paraId="4C69E75A" w14:textId="77777777" w:rsidR="00C567AD" w:rsidRPr="007803AB" w:rsidRDefault="00C567AD" w:rsidP="00C567AD">
      <w:pPr>
        <w:pStyle w:val="NormalWeb"/>
        <w:rPr>
          <w:rFonts w:asciiTheme="minorHAnsi" w:hAnsiTheme="minorHAnsi" w:cstheme="minorHAnsi"/>
          <w:sz w:val="22"/>
          <w:szCs w:val="22"/>
        </w:rPr>
      </w:pPr>
      <w:r w:rsidRPr="007803AB">
        <w:rPr>
          <w:rStyle w:val="Strong"/>
          <w:rFonts w:asciiTheme="minorHAnsi" w:hAnsiTheme="minorHAnsi" w:cstheme="minorHAnsi"/>
          <w:szCs w:val="22"/>
        </w:rPr>
        <w:t xml:space="preserve">Materials and </w:t>
      </w:r>
      <w:proofErr w:type="gramStart"/>
      <w:r w:rsidRPr="007803AB">
        <w:rPr>
          <w:rStyle w:val="Strong"/>
          <w:rFonts w:asciiTheme="minorHAnsi" w:hAnsiTheme="minorHAnsi" w:cstheme="minorHAnsi"/>
          <w:szCs w:val="22"/>
        </w:rPr>
        <w:t>Methods:</w:t>
      </w:r>
      <w:proofErr w:type="gramEnd"/>
      <w:r w:rsidRPr="007803AB">
        <w:rPr>
          <w:rFonts w:asciiTheme="minorHAnsi" w:hAnsiTheme="minorHAnsi" w:cstheme="minorHAnsi"/>
          <w:szCs w:val="22"/>
        </w:rPr>
        <w:br/>
      </w:r>
      <w:r w:rsidRPr="007803AB">
        <w:rPr>
          <w:rFonts w:asciiTheme="minorHAnsi" w:hAnsiTheme="minorHAnsi" w:cstheme="minorHAnsi"/>
          <w:sz w:val="22"/>
          <w:szCs w:val="22"/>
        </w:rPr>
        <w:t>This retrospective descriptive study was conducted from July 2017 to July 2025 in the Gastroenterology Department of Ibn Rochd University Hospital, Casablanca. Patients followed for IBD who developed cancer after diagnosis were included. Data analysis was performed usin</w:t>
      </w:r>
      <w:bookmarkStart w:id="0" w:name="_GoBack"/>
      <w:bookmarkEnd w:id="0"/>
      <w:r w:rsidRPr="007803AB">
        <w:rPr>
          <w:rFonts w:asciiTheme="minorHAnsi" w:hAnsiTheme="minorHAnsi" w:cstheme="minorHAnsi"/>
          <w:sz w:val="22"/>
          <w:szCs w:val="22"/>
        </w:rPr>
        <w:t>g JAMOVI software version 2.3.9.</w:t>
      </w:r>
    </w:p>
    <w:p w14:paraId="15DD3FD0" w14:textId="77777777" w:rsidR="00C567AD" w:rsidRPr="007803AB" w:rsidRDefault="00C567AD" w:rsidP="00C567AD">
      <w:pPr>
        <w:pStyle w:val="NormalWeb"/>
        <w:rPr>
          <w:rFonts w:asciiTheme="minorHAnsi" w:hAnsiTheme="minorHAnsi" w:cstheme="minorHAnsi"/>
          <w:sz w:val="22"/>
          <w:szCs w:val="22"/>
        </w:rPr>
      </w:pPr>
      <w:proofErr w:type="gramStart"/>
      <w:r w:rsidRPr="007803AB">
        <w:rPr>
          <w:rStyle w:val="Strong"/>
          <w:rFonts w:asciiTheme="minorHAnsi" w:hAnsiTheme="minorHAnsi" w:cstheme="minorHAnsi"/>
          <w:szCs w:val="22"/>
        </w:rPr>
        <w:t>Results:</w:t>
      </w:r>
      <w:proofErr w:type="gramEnd"/>
      <w:r w:rsidRPr="007803AB">
        <w:rPr>
          <w:rFonts w:asciiTheme="minorHAnsi" w:hAnsiTheme="minorHAnsi" w:cstheme="minorHAnsi"/>
          <w:szCs w:val="22"/>
        </w:rPr>
        <w:br/>
      </w:r>
      <w:r w:rsidRPr="007803AB">
        <w:rPr>
          <w:rFonts w:asciiTheme="minorHAnsi" w:hAnsiTheme="minorHAnsi" w:cstheme="minorHAnsi"/>
          <w:sz w:val="22"/>
          <w:szCs w:val="22"/>
        </w:rPr>
        <w:t xml:space="preserve">Among 491 patients monitored for IBD, 16 cancer cases were identified (3.25%). The median age was 47.5 </w:t>
      </w:r>
      <w:proofErr w:type="gramStart"/>
      <w:r w:rsidRPr="007803AB">
        <w:rPr>
          <w:rFonts w:asciiTheme="minorHAnsi" w:hAnsiTheme="minorHAnsi" w:cstheme="minorHAnsi"/>
          <w:sz w:val="22"/>
          <w:szCs w:val="22"/>
        </w:rPr>
        <w:t>years;</w:t>
      </w:r>
      <w:proofErr w:type="gramEnd"/>
      <w:r w:rsidRPr="007803AB">
        <w:rPr>
          <w:rFonts w:asciiTheme="minorHAnsi" w:hAnsiTheme="minorHAnsi" w:cstheme="minorHAnsi"/>
          <w:sz w:val="22"/>
          <w:szCs w:val="22"/>
        </w:rPr>
        <w:t xml:space="preserve"> 62.5% were female. The majority of cases (81.3%) involved Crohn’s disease, predominantly ileocolonic localization. The most frequent tumor sites were colorectal, gynecological, and hematological (19% each). Tumors were diagnosed at an early stage in 62.5% of cases. Treatments varied according to cancer type and stage. The outcome was favorable in 56.3% of cases, with a mortality rate of 18.8%.</w:t>
      </w:r>
    </w:p>
    <w:p w14:paraId="63E5D96A" w14:textId="77777777" w:rsidR="00C567AD" w:rsidRDefault="00C567AD" w:rsidP="00C567AD">
      <w:pPr>
        <w:pStyle w:val="NormalWeb"/>
      </w:pPr>
      <w:proofErr w:type="gramStart"/>
      <w:r w:rsidRPr="007803AB">
        <w:rPr>
          <w:rStyle w:val="Strong"/>
          <w:rFonts w:asciiTheme="minorHAnsi" w:hAnsiTheme="minorHAnsi" w:cstheme="minorHAnsi"/>
          <w:szCs w:val="22"/>
        </w:rPr>
        <w:t>Conclusion:</w:t>
      </w:r>
      <w:proofErr w:type="gramEnd"/>
      <w:r w:rsidRPr="007803AB">
        <w:rPr>
          <w:rFonts w:asciiTheme="minorHAnsi" w:hAnsiTheme="minorHAnsi" w:cstheme="minorHAnsi"/>
          <w:szCs w:val="22"/>
        </w:rPr>
        <w:br/>
      </w:r>
      <w:r w:rsidRPr="007803AB">
        <w:rPr>
          <w:rFonts w:asciiTheme="minorHAnsi" w:hAnsiTheme="minorHAnsi" w:cstheme="minorHAnsi"/>
          <w:sz w:val="22"/>
          <w:szCs w:val="22"/>
        </w:rPr>
        <w:t>Patients with IBD have a significant risk of cancer, justifying close surveillance and tailored multidisciplinary management</w:t>
      </w:r>
      <w:r>
        <w:t>.</w:t>
      </w:r>
    </w:p>
    <w:p w14:paraId="69FC4B71" w14:textId="77777777" w:rsidR="00C567AD" w:rsidRPr="00E1267F" w:rsidRDefault="00C567AD" w:rsidP="00E1267F">
      <w:pPr>
        <w:spacing w:before="100" w:beforeAutospacing="1" w:after="100" w:afterAutospacing="1" w:line="240" w:lineRule="auto"/>
        <w:jc w:val="center"/>
        <w:outlineLvl w:val="2"/>
        <w:rPr>
          <w:rFonts w:eastAsia="Times New Roman" w:cstheme="minorHAnsi"/>
          <w:sz w:val="24"/>
          <w:szCs w:val="24"/>
        </w:rPr>
      </w:pPr>
    </w:p>
    <w:p w14:paraId="6124C0EC" w14:textId="77777777" w:rsidR="00455E72" w:rsidRDefault="00455E72" w:rsidP="00455E72">
      <w:pPr>
        <w:spacing w:before="100" w:beforeAutospacing="1" w:after="100" w:afterAutospacing="1" w:line="240" w:lineRule="auto"/>
        <w:outlineLvl w:val="3"/>
        <w:rPr>
          <w:rFonts w:eastAsia="Times New Roman" w:cstheme="minorHAnsi"/>
          <w:b/>
          <w:bCs/>
          <w:sz w:val="24"/>
          <w:szCs w:val="24"/>
        </w:rPr>
      </w:pPr>
      <w:r w:rsidRPr="00455E72">
        <w:rPr>
          <w:rFonts w:eastAsia="Times New Roman" w:cstheme="minorHAnsi"/>
          <w:b/>
          <w:bCs/>
          <w:sz w:val="24"/>
          <w:szCs w:val="24"/>
        </w:rPr>
        <w:t>Introduction</w:t>
      </w:r>
      <w:r w:rsidR="000B0C7F">
        <w:rPr>
          <w:rFonts w:eastAsia="Times New Roman" w:cstheme="minorHAnsi"/>
          <w:b/>
          <w:bCs/>
          <w:sz w:val="24"/>
          <w:szCs w:val="24"/>
        </w:rPr>
        <w:t> :</w:t>
      </w:r>
    </w:p>
    <w:p w14:paraId="5A0A04FC" w14:textId="77777777" w:rsidR="000B0C7F" w:rsidRPr="00EA4237" w:rsidRDefault="000B0C7F" w:rsidP="000B0C7F">
      <w:pPr>
        <w:pStyle w:val="NormalWeb"/>
        <w:rPr>
          <w:rFonts w:asciiTheme="minorHAnsi" w:hAnsiTheme="minorHAnsi" w:cstheme="minorHAnsi"/>
          <w:sz w:val="22"/>
        </w:rPr>
      </w:pPr>
      <w:r w:rsidRPr="00EA4237">
        <w:rPr>
          <w:rFonts w:asciiTheme="minorHAnsi" w:hAnsiTheme="minorHAnsi" w:cstheme="minorHAnsi"/>
          <w:sz w:val="22"/>
        </w:rPr>
        <w:t>Inflammatory bowel diseases (IBD), including Crohn’s disease and ulcerative colitis, are chronic inflammatory disorders of the gastrointestinal tract.</w:t>
      </w:r>
      <w:r w:rsidRPr="00EA4237">
        <w:rPr>
          <w:rFonts w:asciiTheme="minorHAnsi" w:hAnsiTheme="minorHAnsi" w:cstheme="minorHAnsi"/>
          <w:sz w:val="22"/>
        </w:rPr>
        <w:br/>
        <w:t>The persistent inflammatory state leads to profound alterations in the intestinal ecosystem, characterized by dysregulation of the local immune response, disruption of the epithelial barrier, and imbalance of the gut microbiota.</w:t>
      </w:r>
      <w:r w:rsidRPr="00EA4237">
        <w:rPr>
          <w:rFonts w:asciiTheme="minorHAnsi" w:hAnsiTheme="minorHAnsi" w:cstheme="minorHAnsi"/>
          <w:sz w:val="22"/>
        </w:rPr>
        <w:br/>
        <w:t>These pathophysiological disturbances promote the development of severe complications, among which neoplastic transformations represent a major concern.</w:t>
      </w:r>
    </w:p>
    <w:p w14:paraId="4D6E1CED" w14:textId="77777777" w:rsidR="000B0C7F" w:rsidRPr="00EA4237" w:rsidRDefault="000B0C7F" w:rsidP="000B0C7F">
      <w:pPr>
        <w:pStyle w:val="NormalWeb"/>
        <w:rPr>
          <w:rFonts w:asciiTheme="minorHAnsi" w:hAnsiTheme="minorHAnsi" w:cstheme="minorHAnsi"/>
          <w:sz w:val="22"/>
        </w:rPr>
      </w:pPr>
      <w:r w:rsidRPr="00EA4237">
        <w:rPr>
          <w:rFonts w:asciiTheme="minorHAnsi" w:hAnsiTheme="minorHAnsi" w:cstheme="minorHAnsi"/>
          <w:sz w:val="22"/>
        </w:rPr>
        <w:t>Patients with long-standing IBD exhibit a significantly increased risk of developing various types of cancer, foremost among them colorectal cancer. Therefore, the identification and early detection of dysplastic lesions constitute key steps in colorectal cancer surveillance among IBD patients.</w:t>
      </w:r>
    </w:p>
    <w:p w14:paraId="145880B9" w14:textId="77777777" w:rsidR="000B0C7F" w:rsidRPr="00EA4237" w:rsidRDefault="000B0C7F" w:rsidP="000B0C7F">
      <w:pPr>
        <w:pStyle w:val="NormalWeb"/>
        <w:rPr>
          <w:rFonts w:asciiTheme="minorHAnsi" w:hAnsiTheme="minorHAnsi" w:cstheme="minorHAnsi"/>
          <w:sz w:val="22"/>
        </w:rPr>
      </w:pPr>
      <w:r w:rsidRPr="00EA4237">
        <w:rPr>
          <w:rFonts w:asciiTheme="minorHAnsi" w:hAnsiTheme="minorHAnsi" w:cstheme="minorHAnsi"/>
          <w:sz w:val="22"/>
        </w:rPr>
        <w:t>The diagnosis of dysplasia is primarily based on regular endoscopic monitoring, enhanced by chromoendoscopy—particularly Narrow Band Imaging (NBI) technology—and histological examination, which allows for the distinction between low-grade and high-grade dysplasia.</w:t>
      </w:r>
    </w:p>
    <w:p w14:paraId="224EFDC5" w14:textId="77777777" w:rsidR="000B0C7F" w:rsidRPr="00EA4237" w:rsidRDefault="000B0C7F" w:rsidP="000B0C7F">
      <w:pPr>
        <w:pStyle w:val="NormalWeb"/>
        <w:rPr>
          <w:rFonts w:asciiTheme="minorHAnsi" w:hAnsiTheme="minorHAnsi" w:cstheme="minorHAnsi"/>
          <w:sz w:val="22"/>
        </w:rPr>
      </w:pPr>
      <w:r w:rsidRPr="00EA4237">
        <w:rPr>
          <w:rFonts w:asciiTheme="minorHAnsi" w:hAnsiTheme="minorHAnsi" w:cstheme="minorHAnsi"/>
          <w:sz w:val="22"/>
        </w:rPr>
        <w:lastRenderedPageBreak/>
        <w:t xml:space="preserve">In addition to IBD itself, other risk factors contribute to colorectal carcinogenesis. These include the coexistence of primary sclerosing cholangitis at the time of initial diagnosis, which increases the risk of dysplasia and colorectal cancer by fourfold in cases associated with ulcerative colitis </w:t>
      </w:r>
      <w:r w:rsidR="00955CAE">
        <w:rPr>
          <w:rFonts w:asciiTheme="minorHAnsi" w:hAnsiTheme="minorHAnsi" w:cstheme="minorHAnsi"/>
          <w:b/>
          <w:sz w:val="22"/>
        </w:rPr>
        <w:t>(17</w:t>
      </w:r>
      <w:r w:rsidRPr="00EA4237">
        <w:rPr>
          <w:rFonts w:asciiTheme="minorHAnsi" w:hAnsiTheme="minorHAnsi" w:cstheme="minorHAnsi"/>
          <w:b/>
          <w:sz w:val="22"/>
        </w:rPr>
        <w:t>).</w:t>
      </w:r>
      <w:r w:rsidRPr="00EA4237">
        <w:rPr>
          <w:rFonts w:asciiTheme="minorHAnsi" w:hAnsiTheme="minorHAnsi" w:cstheme="minorHAnsi"/>
          <w:sz w:val="22"/>
        </w:rPr>
        <w:t xml:space="preserve"> Similarly, a first-degree family history of colorectal cancer doubles the risk among patients with colonic IBD, and this risk increases ninefold when the familial cancer occurred before the age of 50 </w:t>
      </w:r>
      <w:r w:rsidR="00955CAE">
        <w:rPr>
          <w:rFonts w:asciiTheme="minorHAnsi" w:hAnsiTheme="minorHAnsi" w:cstheme="minorHAnsi"/>
          <w:b/>
          <w:sz w:val="22"/>
        </w:rPr>
        <w:t>(18</w:t>
      </w:r>
      <w:r w:rsidRPr="00EA4237">
        <w:rPr>
          <w:rFonts w:asciiTheme="minorHAnsi" w:hAnsiTheme="minorHAnsi" w:cstheme="minorHAnsi"/>
          <w:b/>
          <w:sz w:val="22"/>
        </w:rPr>
        <w:t>)</w:t>
      </w:r>
      <w:r w:rsidRPr="00EA4237">
        <w:rPr>
          <w:rFonts w:asciiTheme="minorHAnsi" w:hAnsiTheme="minorHAnsi" w:cstheme="minorHAnsi"/>
          <w:sz w:val="22"/>
        </w:rPr>
        <w:t>.</w:t>
      </w:r>
    </w:p>
    <w:p w14:paraId="4B6A29C2" w14:textId="77777777" w:rsidR="000B0C7F" w:rsidRPr="00EA4237" w:rsidRDefault="000B0C7F" w:rsidP="000B0C7F">
      <w:pPr>
        <w:pStyle w:val="NormalWeb"/>
        <w:rPr>
          <w:rFonts w:asciiTheme="minorHAnsi" w:hAnsiTheme="minorHAnsi" w:cstheme="minorHAnsi"/>
          <w:sz w:val="22"/>
        </w:rPr>
      </w:pPr>
      <w:r w:rsidRPr="00EA4237">
        <w:rPr>
          <w:rFonts w:asciiTheme="minorHAnsi" w:hAnsiTheme="minorHAnsi" w:cstheme="minorHAnsi"/>
          <w:sz w:val="22"/>
        </w:rPr>
        <w:t xml:space="preserve">Moreover, other neoplastic disorders may also occur in patients with IBD, such as hematologic malignancies, skin cancers, and extra-digestive tumors </w:t>
      </w:r>
      <w:r w:rsidRPr="00EA4237">
        <w:rPr>
          <w:rFonts w:asciiTheme="minorHAnsi" w:hAnsiTheme="minorHAnsi" w:cstheme="minorHAnsi"/>
          <w:b/>
          <w:sz w:val="22"/>
        </w:rPr>
        <w:t>(1).</w:t>
      </w:r>
    </w:p>
    <w:p w14:paraId="42D0E459" w14:textId="77777777" w:rsidR="000B0C7F" w:rsidRPr="00EA4237" w:rsidRDefault="000B0C7F" w:rsidP="00EA4237">
      <w:pPr>
        <w:pStyle w:val="NormalWeb"/>
        <w:rPr>
          <w:rFonts w:asciiTheme="minorHAnsi" w:hAnsiTheme="minorHAnsi" w:cstheme="minorHAnsi"/>
          <w:sz w:val="22"/>
        </w:rPr>
      </w:pPr>
      <w:r w:rsidRPr="00EA4237">
        <w:rPr>
          <w:rFonts w:asciiTheme="minorHAnsi" w:hAnsiTheme="minorHAnsi" w:cstheme="minorHAnsi"/>
          <w:sz w:val="22"/>
        </w:rPr>
        <w:t>The aim of this study is to assess the incidence of neoplastic complications in patients with inflammatory bowel disease, to describe their clinical characteristics, and to evaluate their impact on the therapeutic management of IBD.</w:t>
      </w:r>
    </w:p>
    <w:p w14:paraId="62D5013F" w14:textId="77777777" w:rsidR="00455E72" w:rsidRDefault="00455E72" w:rsidP="00455E72">
      <w:pPr>
        <w:spacing w:before="100" w:beforeAutospacing="1" w:after="100" w:afterAutospacing="1" w:line="240" w:lineRule="auto"/>
        <w:outlineLvl w:val="3"/>
        <w:rPr>
          <w:rFonts w:eastAsia="Times New Roman" w:cstheme="minorHAnsi"/>
          <w:b/>
          <w:bCs/>
          <w:sz w:val="24"/>
          <w:szCs w:val="24"/>
        </w:rPr>
      </w:pPr>
      <w:r w:rsidRPr="00455E72">
        <w:rPr>
          <w:rFonts w:eastAsia="Times New Roman" w:cstheme="minorHAnsi"/>
          <w:b/>
          <w:bCs/>
          <w:sz w:val="24"/>
          <w:szCs w:val="24"/>
        </w:rPr>
        <w:t>Materials and Methods</w:t>
      </w:r>
      <w:r w:rsidR="00EA4237">
        <w:rPr>
          <w:rFonts w:eastAsia="Times New Roman" w:cstheme="minorHAnsi"/>
          <w:b/>
          <w:bCs/>
          <w:sz w:val="24"/>
          <w:szCs w:val="24"/>
        </w:rPr>
        <w:t> :</w:t>
      </w:r>
    </w:p>
    <w:p w14:paraId="209DC2B4"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This study was a retrospective and descriptive analysis conducted over a seven-year period, from July 2017 to July 2025, within the Department of Gastroenterology at the Ibn Rochd University Hospital Center (CHU) in Casablanca.</w:t>
      </w:r>
      <w:r w:rsidRPr="00EA4237">
        <w:rPr>
          <w:rFonts w:asciiTheme="minorHAnsi" w:hAnsiTheme="minorHAnsi" w:cstheme="minorHAnsi"/>
          <w:sz w:val="22"/>
        </w:rPr>
        <w:br/>
        <w:t>It included all patients diagnosed with inflammatory bowel disease (IBD) who subsequently developed a malignant tumor, regardless of its anatomical location.</w:t>
      </w:r>
    </w:p>
    <w:p w14:paraId="5F432DAF"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Patients were excluded if their clinical or paraclinical data were incomplete, or if a malignant tumor had been diagnosed prior to the onset of inflammatory bowel disease.</w:t>
      </w:r>
    </w:p>
    <w:p w14:paraId="2F3C788E"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Data were collected from hospitalization records and outpatient follow-up files, both from the Gastroenterology Department and the Diagnostic Center consultations.</w:t>
      </w:r>
      <w:r w:rsidRPr="00EA4237">
        <w:rPr>
          <w:rFonts w:asciiTheme="minorHAnsi" w:hAnsiTheme="minorHAnsi" w:cstheme="minorHAnsi"/>
          <w:sz w:val="22"/>
        </w:rPr>
        <w:br/>
        <w:t xml:space="preserve">Data entry and statistical analyses were performed </w:t>
      </w:r>
      <w:r w:rsidRPr="00955CAE">
        <w:rPr>
          <w:rFonts w:asciiTheme="minorHAnsi" w:hAnsiTheme="minorHAnsi" w:cstheme="minorHAnsi"/>
          <w:sz w:val="22"/>
        </w:rPr>
        <w:t xml:space="preserve">using </w:t>
      </w:r>
      <w:r w:rsidRPr="00955CAE">
        <w:rPr>
          <w:rStyle w:val="Strong"/>
          <w:rFonts w:asciiTheme="minorHAnsi" w:hAnsiTheme="minorHAnsi" w:cstheme="minorHAnsi"/>
          <w:sz w:val="22"/>
        </w:rPr>
        <w:t>JAMOVI software (version 2.3.9)</w:t>
      </w:r>
      <w:r w:rsidRPr="00955CAE">
        <w:rPr>
          <w:rFonts w:asciiTheme="minorHAnsi" w:hAnsiTheme="minorHAnsi" w:cstheme="minorHAnsi"/>
          <w:sz w:val="22"/>
        </w:rPr>
        <w:t>.</w:t>
      </w:r>
    </w:p>
    <w:p w14:paraId="3DE99B3B"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Descriptive statistics were computed for continuous variables, including means, standard deviations, minimum and </w:t>
      </w:r>
      <w:proofErr w:type="gramStart"/>
      <w:r w:rsidRPr="00EA4237">
        <w:rPr>
          <w:rFonts w:asciiTheme="minorHAnsi" w:hAnsiTheme="minorHAnsi" w:cstheme="minorHAnsi"/>
          <w:sz w:val="22"/>
        </w:rPr>
        <w:t>maximum values</w:t>
      </w:r>
      <w:proofErr w:type="gramEnd"/>
      <w:r w:rsidRPr="00EA4237">
        <w:rPr>
          <w:rFonts w:asciiTheme="minorHAnsi" w:hAnsiTheme="minorHAnsi" w:cstheme="minorHAnsi"/>
          <w:sz w:val="22"/>
        </w:rPr>
        <w:t>, and 95% confidence intervals (CI).</w:t>
      </w:r>
    </w:p>
    <w:p w14:paraId="45F4F063" w14:textId="77777777" w:rsidR="00455E72" w:rsidRPr="00455E72" w:rsidRDefault="00455E72" w:rsidP="00455E72">
      <w:pPr>
        <w:spacing w:before="100" w:beforeAutospacing="1" w:after="100" w:afterAutospacing="1" w:line="240" w:lineRule="auto"/>
        <w:outlineLvl w:val="3"/>
        <w:rPr>
          <w:rFonts w:eastAsia="Times New Roman" w:cstheme="minorHAnsi"/>
          <w:b/>
          <w:bCs/>
          <w:sz w:val="24"/>
          <w:szCs w:val="24"/>
        </w:rPr>
      </w:pPr>
      <w:r w:rsidRPr="00455E72">
        <w:rPr>
          <w:rFonts w:eastAsia="Times New Roman" w:cstheme="minorHAnsi"/>
          <w:b/>
          <w:bCs/>
          <w:sz w:val="24"/>
          <w:szCs w:val="24"/>
        </w:rPr>
        <w:t>Results</w:t>
      </w:r>
      <w:r w:rsidR="00C56135">
        <w:rPr>
          <w:rFonts w:eastAsia="Times New Roman" w:cstheme="minorHAnsi"/>
          <w:b/>
          <w:bCs/>
          <w:sz w:val="24"/>
          <w:szCs w:val="24"/>
        </w:rPr>
        <w:t> :</w:t>
      </w:r>
    </w:p>
    <w:p w14:paraId="60B6EA84" w14:textId="77777777" w:rsidR="00455E72" w:rsidRPr="00EA4237" w:rsidRDefault="00455E72" w:rsidP="00455E72">
      <w:pPr>
        <w:spacing w:before="100" w:beforeAutospacing="1" w:after="100" w:afterAutospacing="1" w:line="240" w:lineRule="auto"/>
        <w:rPr>
          <w:rFonts w:eastAsia="Times New Roman" w:cstheme="minorHAnsi"/>
          <w:szCs w:val="24"/>
        </w:rPr>
      </w:pPr>
      <w:r w:rsidRPr="00EA4237">
        <w:rPr>
          <w:rFonts w:eastAsia="Times New Roman" w:cstheme="minorHAnsi"/>
          <w:szCs w:val="24"/>
        </w:rPr>
        <w:t>Out of 491 IBD patient records reviewed during the study period, 16 patients (3.25%) were diagnosed with malignancies.</w:t>
      </w:r>
      <w:r w:rsidRPr="00EA4237">
        <w:rPr>
          <w:rFonts w:eastAsia="Times New Roman" w:cstheme="minorHAnsi"/>
          <w:szCs w:val="24"/>
        </w:rPr>
        <w:br/>
        <w:t>The median age at cancer diagnosis was 47.5 ± 10.4 years. There was a female predominance (62.5%, n=10), with a male-to-female ratio of 0.6.</w:t>
      </w:r>
      <w:r w:rsidRPr="00EA4237">
        <w:rPr>
          <w:rFonts w:eastAsia="Times New Roman" w:cstheme="minorHAnsi"/>
          <w:szCs w:val="24"/>
        </w:rPr>
        <w:br/>
        <w:t>A family history of cancer was absent in 87.5% of cases (n=14). One patient (6.3%) reported a paternal history of prostate cancer, and another (6.3%) a maternal history of breast cancer.</w:t>
      </w:r>
    </w:p>
    <w:p w14:paraId="644FC103" w14:textId="77777777" w:rsidR="00455E72" w:rsidRPr="00EA4237" w:rsidRDefault="00455E72" w:rsidP="00455E72">
      <w:pPr>
        <w:spacing w:before="100" w:beforeAutospacing="1" w:after="100" w:afterAutospacing="1" w:line="240" w:lineRule="auto"/>
        <w:rPr>
          <w:rFonts w:eastAsia="Times New Roman" w:cstheme="minorHAnsi"/>
          <w:szCs w:val="24"/>
        </w:rPr>
      </w:pPr>
      <w:r w:rsidRPr="00EA4237">
        <w:rPr>
          <w:rFonts w:eastAsia="Times New Roman" w:cstheme="minorHAnsi"/>
          <w:szCs w:val="24"/>
        </w:rPr>
        <w:t>Among the 16 patients who developed malignancies, 13 (81.3%) had Crohn’s disease, including one case with a coexisting retroviral infection, while 3 patients (18.7%) had ulcerative colitis.</w:t>
      </w:r>
      <w:r w:rsidRPr="00EA4237">
        <w:rPr>
          <w:rFonts w:eastAsia="Times New Roman" w:cstheme="minorHAnsi"/>
          <w:szCs w:val="24"/>
        </w:rPr>
        <w:br/>
        <w:t>In Crohn’s disease, the ileocolic location was the most common (68.8%, n=11), and 2 patients (12.6%) presented with perianal disease.</w:t>
      </w:r>
      <w:r w:rsidRPr="00EA4237">
        <w:rPr>
          <w:rFonts w:eastAsia="Times New Roman" w:cstheme="minorHAnsi"/>
          <w:szCs w:val="24"/>
        </w:rPr>
        <w:br/>
        <w:t>In ulcerative colitis, all patients (100%, n=3) had left-sided colitis.</w:t>
      </w:r>
    </w:p>
    <w:p w14:paraId="62AC81FB" w14:textId="77777777" w:rsidR="00455E72" w:rsidRPr="00EA4237" w:rsidRDefault="00455E72" w:rsidP="00455E72">
      <w:pPr>
        <w:spacing w:before="100" w:beforeAutospacing="1" w:after="100" w:afterAutospacing="1" w:line="240" w:lineRule="auto"/>
        <w:rPr>
          <w:rFonts w:eastAsia="Times New Roman" w:cstheme="minorHAnsi"/>
          <w:szCs w:val="24"/>
        </w:rPr>
      </w:pPr>
      <w:r w:rsidRPr="00EA4237">
        <w:rPr>
          <w:rFonts w:eastAsia="Times New Roman" w:cstheme="minorHAnsi"/>
          <w:szCs w:val="24"/>
        </w:rPr>
        <w:t>Regarding IBD maintenance therapy, the majority of patients (66.7%, n=10) were receiving azathioprine. Biologic therapy was used in 3 patients (20%), and 2 patients (13.3%) were treated with 5-aminosalicylic acid (5-ASA).</w:t>
      </w:r>
      <w:r w:rsidRPr="00EA4237">
        <w:rPr>
          <w:rFonts w:eastAsia="Times New Roman" w:cstheme="minorHAnsi"/>
          <w:szCs w:val="24"/>
        </w:rPr>
        <w:br/>
        <w:t>The mean duration of IBD before cancer diagnosis was 10 years, ranging from 1 to 34 years.</w:t>
      </w:r>
    </w:p>
    <w:p w14:paraId="0F03579F" w14:textId="77777777" w:rsidR="00455E72" w:rsidRPr="00EA4237" w:rsidRDefault="00455E72" w:rsidP="00455E72">
      <w:pPr>
        <w:pStyle w:val="NormalWeb"/>
        <w:rPr>
          <w:rFonts w:asciiTheme="minorHAnsi" w:hAnsiTheme="minorHAnsi" w:cstheme="minorHAnsi"/>
          <w:bCs/>
          <w:sz w:val="22"/>
        </w:rPr>
      </w:pPr>
      <w:r w:rsidRPr="00EA4237">
        <w:rPr>
          <w:rStyle w:val="Strong"/>
          <w:rFonts w:asciiTheme="minorHAnsi" w:hAnsiTheme="minorHAnsi" w:cstheme="minorHAnsi"/>
          <w:b w:val="0"/>
          <w:sz w:val="22"/>
        </w:rPr>
        <w:lastRenderedPageBreak/>
        <w:t>Nine distinct tumor sites were identified in our study. The most frequent locations were colorectal, gynecological, and hematological cancers, each accounting for 18.8% of cases (n = 3). Biliary tract cancer ranked second, representing 12.5% of cases (n = 2). Other tumor sites observed included anal, pulmonary, prostatic, bladder, and pancreatic cancers, each reported in 6.3% of cases (n = 1),</w:t>
      </w:r>
      <w:r w:rsidR="00E215FB" w:rsidRPr="00EA4237">
        <w:rPr>
          <w:rStyle w:val="Strong"/>
          <w:rFonts w:asciiTheme="minorHAnsi" w:hAnsiTheme="minorHAnsi" w:cstheme="minorHAnsi"/>
          <w:b w:val="0"/>
          <w:sz w:val="22"/>
        </w:rPr>
        <w:t xml:space="preserve"> </w:t>
      </w:r>
      <w:r w:rsidRPr="00EA4237">
        <w:rPr>
          <w:rStyle w:val="Strong"/>
          <w:rFonts w:asciiTheme="minorHAnsi" w:hAnsiTheme="minorHAnsi" w:cstheme="minorHAnsi"/>
          <w:sz w:val="22"/>
        </w:rPr>
        <w:t>Figure 1.</w:t>
      </w:r>
    </w:p>
    <w:p w14:paraId="0E4535A6" w14:textId="77777777" w:rsidR="00455E72" w:rsidRPr="00455E72" w:rsidRDefault="00702CEA" w:rsidP="00455E72">
      <w:pPr>
        <w:spacing w:before="100" w:beforeAutospacing="1" w:after="100" w:afterAutospacing="1" w:line="240" w:lineRule="auto"/>
        <w:rPr>
          <w:rFonts w:eastAsia="Times New Roman" w:cstheme="minorHAnsi"/>
          <w:sz w:val="24"/>
          <w:szCs w:val="24"/>
        </w:rPr>
      </w:pPr>
      <w:r>
        <w:rPr>
          <w:rFonts w:cstheme="minorHAnsi"/>
          <w:noProof/>
          <w:sz w:val="24"/>
          <w:szCs w:val="24"/>
          <w:lang w:eastAsia="en-US"/>
        </w:rPr>
        <w:pict w14:anchorId="396ABC41">
          <v:shapetype id="_x0000_t202" coordsize="21600,21600" o:spt="202" path="m,l,21600r21600,l21600,xe">
            <v:stroke joinstyle="miter"/>
            <v:path gradientshapeok="t" o:connecttype="rect"/>
          </v:shapetype>
          <v:shape id="_x0000_s1026" type="#_x0000_t202" style="position:absolute;margin-left:6.75pt;margin-top:221pt;width:237.7pt;height:19.75pt;z-index:251660288;mso-width-relative:margin;mso-height-relative:margin">
            <v:textbox>
              <w:txbxContent>
                <w:p w14:paraId="46F6EC9D" w14:textId="77777777" w:rsidR="002A47F3" w:rsidRPr="002A47F3" w:rsidRDefault="002A47F3">
                  <w:pPr>
                    <w:rPr>
                      <w:b/>
                      <w:sz w:val="20"/>
                    </w:rPr>
                  </w:pPr>
                  <w:r w:rsidRPr="002A47F3">
                    <w:rPr>
                      <w:b/>
                      <w:sz w:val="20"/>
                    </w:rPr>
                    <w:t xml:space="preserve">Figure </w:t>
                  </w:r>
                  <w:proofErr w:type="gramStart"/>
                  <w:r w:rsidRPr="002A47F3">
                    <w:rPr>
                      <w:b/>
                      <w:sz w:val="20"/>
                    </w:rPr>
                    <w:t>1:</w:t>
                  </w:r>
                  <w:proofErr w:type="gramEnd"/>
                  <w:r w:rsidRPr="002A47F3">
                    <w:rPr>
                      <w:b/>
                      <w:sz w:val="20"/>
                    </w:rPr>
                    <w:t xml:space="preserve"> Distribution according to tumor localization.</w:t>
                  </w:r>
                </w:p>
              </w:txbxContent>
            </v:textbox>
          </v:shape>
        </w:pict>
      </w:r>
      <w:r w:rsidR="00455E72" w:rsidRPr="00455E72">
        <w:rPr>
          <w:rFonts w:eastAsia="Times New Roman" w:cstheme="minorHAnsi"/>
          <w:noProof/>
          <w:sz w:val="24"/>
          <w:szCs w:val="24"/>
        </w:rPr>
        <w:drawing>
          <wp:inline distT="0" distB="0" distL="0" distR="0" wp14:anchorId="4EC4D12B" wp14:editId="6F994A5E">
            <wp:extent cx="4572000" cy="2743200"/>
            <wp:effectExtent l="19050" t="0" r="1905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27CE57" w14:textId="77777777" w:rsidR="00FB16EA" w:rsidRDefault="00FB16EA">
      <w:pPr>
        <w:rPr>
          <w:rFonts w:cstheme="minorHAnsi"/>
          <w:sz w:val="24"/>
          <w:szCs w:val="24"/>
        </w:rPr>
      </w:pPr>
    </w:p>
    <w:p w14:paraId="62239973" w14:textId="0F9B8CD5" w:rsidR="002A47F3" w:rsidRDefault="002A47F3">
      <w:r>
        <w:t xml:space="preserve">Tumors were diagnosed at an early stage without locoregional extension or distant metastasis in 62.5% of patients. Locoregional metastasis was observed in 25% of patients, while distant hepatic metastasis was found in 12.5% of cases </w:t>
      </w:r>
      <w:r w:rsidR="00FD128B">
        <w:rPr>
          <w:b/>
        </w:rPr>
        <w:t>Table</w:t>
      </w:r>
      <w:r>
        <w:rPr>
          <w:b/>
        </w:rPr>
        <w:t xml:space="preserve"> </w:t>
      </w:r>
      <w:r w:rsidR="00E91A31">
        <w:rPr>
          <w:b/>
        </w:rPr>
        <w:t>1</w:t>
      </w:r>
      <w:r w:rsidRPr="002A47F3">
        <w:rPr>
          <w:b/>
        </w:rPr>
        <w:t>.</w:t>
      </w:r>
    </w:p>
    <w:tbl>
      <w:tblPr>
        <w:tblW w:w="7320" w:type="dxa"/>
        <w:tblCellMar>
          <w:left w:w="70" w:type="dxa"/>
          <w:right w:w="70" w:type="dxa"/>
        </w:tblCellMar>
        <w:tblLook w:val="04A0" w:firstRow="1" w:lastRow="0" w:firstColumn="1" w:lastColumn="0" w:noHBand="0" w:noVBand="1"/>
      </w:tblPr>
      <w:tblGrid>
        <w:gridCol w:w="732"/>
        <w:gridCol w:w="732"/>
        <w:gridCol w:w="732"/>
        <w:gridCol w:w="732"/>
        <w:gridCol w:w="732"/>
        <w:gridCol w:w="732"/>
        <w:gridCol w:w="732"/>
        <w:gridCol w:w="732"/>
        <w:gridCol w:w="732"/>
        <w:gridCol w:w="732"/>
      </w:tblGrid>
      <w:tr w:rsidR="002A47F3" w:rsidRPr="00575F7D" w14:paraId="6A65B211" w14:textId="77777777" w:rsidTr="00E215FB">
        <w:trPr>
          <w:trHeight w:val="453"/>
        </w:trPr>
        <w:tc>
          <w:tcPr>
            <w:tcW w:w="7320" w:type="dxa"/>
            <w:gridSpan w:val="10"/>
            <w:tcBorders>
              <w:top w:val="single" w:sz="8" w:space="0" w:color="auto"/>
              <w:left w:val="single" w:sz="8" w:space="0" w:color="auto"/>
              <w:bottom w:val="single" w:sz="8" w:space="0" w:color="333333"/>
              <w:right w:val="single" w:sz="8" w:space="0" w:color="000000"/>
            </w:tcBorders>
            <w:vAlign w:val="center"/>
            <w:hideMark/>
          </w:tcPr>
          <w:p w14:paraId="0AC2B350" w14:textId="77777777" w:rsidR="002A47F3" w:rsidRPr="00575F7D" w:rsidRDefault="002A47F3" w:rsidP="00A013FF">
            <w:pPr>
              <w:spacing w:after="0" w:line="240" w:lineRule="auto"/>
              <w:jc w:val="center"/>
              <w:rPr>
                <w:rFonts w:ascii="Calibri" w:eastAsia="Times New Roman" w:hAnsi="Calibri" w:cs="Calibri"/>
                <w:b/>
                <w:bCs/>
                <w:color w:val="FF0000"/>
                <w:sz w:val="18"/>
                <w:szCs w:val="18"/>
                <w:u w:val="single"/>
              </w:rPr>
            </w:pPr>
            <w:r>
              <w:rPr>
                <w:rFonts w:ascii="Calibri" w:eastAsia="Times New Roman" w:hAnsi="Calibri" w:cs="Calibri"/>
                <w:b/>
                <w:bCs/>
                <w:color w:val="FF0000"/>
                <w:szCs w:val="18"/>
                <w:u w:val="single"/>
              </w:rPr>
              <w:t xml:space="preserve">Locoregional </w:t>
            </w:r>
            <w:proofErr w:type="gramStart"/>
            <w:r>
              <w:rPr>
                <w:rFonts w:ascii="Calibri" w:eastAsia="Times New Roman" w:hAnsi="Calibri" w:cs="Calibri"/>
                <w:b/>
                <w:bCs/>
                <w:color w:val="FF0000"/>
                <w:szCs w:val="18"/>
                <w:u w:val="single"/>
              </w:rPr>
              <w:t>extension  and</w:t>
            </w:r>
            <w:proofErr w:type="gramEnd"/>
            <w:r>
              <w:rPr>
                <w:rFonts w:ascii="Calibri" w:eastAsia="Times New Roman" w:hAnsi="Calibri" w:cs="Calibri"/>
                <w:b/>
                <w:bCs/>
                <w:color w:val="FF0000"/>
                <w:szCs w:val="18"/>
                <w:u w:val="single"/>
              </w:rPr>
              <w:t xml:space="preserve"> distant metastasis</w:t>
            </w:r>
            <w:r w:rsidRPr="00575F7D">
              <w:rPr>
                <w:rFonts w:ascii="Calibri" w:eastAsia="Times New Roman" w:hAnsi="Calibri" w:cs="Calibri"/>
                <w:b/>
                <w:bCs/>
                <w:color w:val="FF0000"/>
                <w:szCs w:val="18"/>
                <w:u w:val="single"/>
              </w:rPr>
              <w:t xml:space="preserve"> </w:t>
            </w:r>
          </w:p>
        </w:tc>
      </w:tr>
      <w:tr w:rsidR="002A47F3" w:rsidRPr="00575F7D" w14:paraId="6EA94972" w14:textId="77777777" w:rsidTr="00E215FB">
        <w:trPr>
          <w:trHeight w:val="453"/>
        </w:trPr>
        <w:tc>
          <w:tcPr>
            <w:tcW w:w="1464" w:type="dxa"/>
            <w:gridSpan w:val="2"/>
            <w:tcBorders>
              <w:top w:val="single" w:sz="8" w:space="0" w:color="333333"/>
              <w:left w:val="single" w:sz="8" w:space="0" w:color="auto"/>
              <w:bottom w:val="single" w:sz="8" w:space="0" w:color="333333"/>
              <w:right w:val="nil"/>
            </w:tcBorders>
            <w:vAlign w:val="center"/>
            <w:hideMark/>
          </w:tcPr>
          <w:p w14:paraId="5A6D243F" w14:textId="77777777" w:rsidR="002A47F3" w:rsidRPr="00575F7D" w:rsidRDefault="002A47F3" w:rsidP="00A013F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Nodal involvment</w:t>
            </w:r>
          </w:p>
        </w:tc>
        <w:tc>
          <w:tcPr>
            <w:tcW w:w="1464" w:type="dxa"/>
            <w:gridSpan w:val="2"/>
            <w:tcBorders>
              <w:top w:val="single" w:sz="8" w:space="0" w:color="333333"/>
              <w:left w:val="nil"/>
              <w:bottom w:val="single" w:sz="8" w:space="0" w:color="333333"/>
              <w:right w:val="nil"/>
            </w:tcBorders>
            <w:vAlign w:val="center"/>
            <w:hideMark/>
          </w:tcPr>
          <w:p w14:paraId="28145835" w14:textId="77777777" w:rsidR="002A47F3" w:rsidRPr="00575F7D" w:rsidRDefault="002A47F3" w:rsidP="002A47F3">
            <w:pPr>
              <w:spacing w:after="0" w:line="240" w:lineRule="auto"/>
              <w:rPr>
                <w:rFonts w:ascii="Calibri" w:eastAsia="Times New Roman" w:hAnsi="Calibri" w:cs="Calibri"/>
                <w:b/>
                <w:bCs/>
                <w:color w:val="000000"/>
                <w:sz w:val="18"/>
                <w:szCs w:val="18"/>
              </w:rPr>
            </w:pPr>
            <w:proofErr w:type="gramStart"/>
            <w:r>
              <w:rPr>
                <w:rFonts w:ascii="Calibri" w:eastAsia="Times New Roman" w:hAnsi="Calibri" w:cs="Calibri"/>
                <w:b/>
                <w:bCs/>
                <w:color w:val="000000"/>
                <w:sz w:val="18"/>
                <w:szCs w:val="18"/>
              </w:rPr>
              <w:t>me</w:t>
            </w:r>
            <w:r w:rsidRPr="00575F7D">
              <w:rPr>
                <w:rFonts w:ascii="Calibri" w:eastAsia="Times New Roman" w:hAnsi="Calibri" w:cs="Calibri"/>
                <w:b/>
                <w:bCs/>
                <w:color w:val="000000"/>
                <w:sz w:val="18"/>
                <w:szCs w:val="18"/>
              </w:rPr>
              <w:t>tastas</w:t>
            </w:r>
            <w:r>
              <w:rPr>
                <w:rFonts w:ascii="Calibri" w:eastAsia="Times New Roman" w:hAnsi="Calibri" w:cs="Calibri"/>
                <w:b/>
                <w:bCs/>
                <w:color w:val="000000"/>
                <w:sz w:val="18"/>
                <w:szCs w:val="18"/>
              </w:rPr>
              <w:t>is</w:t>
            </w:r>
            <w:proofErr w:type="gramEnd"/>
          </w:p>
        </w:tc>
        <w:tc>
          <w:tcPr>
            <w:tcW w:w="1464" w:type="dxa"/>
            <w:gridSpan w:val="2"/>
            <w:tcBorders>
              <w:top w:val="single" w:sz="8" w:space="0" w:color="333333"/>
              <w:left w:val="nil"/>
              <w:bottom w:val="single" w:sz="8" w:space="0" w:color="333333"/>
              <w:right w:val="nil"/>
            </w:tcBorders>
            <w:vAlign w:val="center"/>
            <w:hideMark/>
          </w:tcPr>
          <w:p w14:paraId="2F88C27F" w14:textId="77777777" w:rsidR="002A47F3" w:rsidRPr="00575F7D" w:rsidRDefault="002A47F3" w:rsidP="00A013F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Quantity</w:t>
            </w:r>
          </w:p>
        </w:tc>
        <w:tc>
          <w:tcPr>
            <w:tcW w:w="1464" w:type="dxa"/>
            <w:gridSpan w:val="2"/>
            <w:tcBorders>
              <w:top w:val="single" w:sz="8" w:space="0" w:color="333333"/>
              <w:left w:val="nil"/>
              <w:bottom w:val="single" w:sz="8" w:space="0" w:color="333333"/>
              <w:right w:val="nil"/>
            </w:tcBorders>
            <w:vAlign w:val="center"/>
            <w:hideMark/>
          </w:tcPr>
          <w:p w14:paraId="2C9A426D" w14:textId="77777777" w:rsidR="002A47F3" w:rsidRPr="00575F7D" w:rsidRDefault="002A47F3" w:rsidP="00A013FF">
            <w:pPr>
              <w:spacing w:after="0" w:line="240" w:lineRule="auto"/>
              <w:jc w:val="center"/>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du Total</w:t>
            </w:r>
          </w:p>
        </w:tc>
        <w:tc>
          <w:tcPr>
            <w:tcW w:w="1464" w:type="dxa"/>
            <w:gridSpan w:val="2"/>
            <w:tcBorders>
              <w:top w:val="single" w:sz="8" w:space="0" w:color="333333"/>
              <w:left w:val="nil"/>
              <w:bottom w:val="single" w:sz="8" w:space="0" w:color="333333"/>
              <w:right w:val="single" w:sz="8" w:space="0" w:color="000000"/>
            </w:tcBorders>
            <w:vAlign w:val="center"/>
            <w:hideMark/>
          </w:tcPr>
          <w:p w14:paraId="34F32398" w14:textId="77777777" w:rsidR="002A47F3" w:rsidRPr="00575F7D" w:rsidRDefault="002A47F3" w:rsidP="00A013FF">
            <w:pPr>
              <w:spacing w:after="0" w:line="240" w:lineRule="auto"/>
              <w:jc w:val="center"/>
              <w:rPr>
                <w:rFonts w:ascii="Calibri" w:eastAsia="Times New Roman" w:hAnsi="Calibri" w:cs="Calibri"/>
                <w:b/>
                <w:bCs/>
                <w:color w:val="000000"/>
                <w:sz w:val="18"/>
                <w:szCs w:val="18"/>
              </w:rPr>
            </w:pPr>
          </w:p>
        </w:tc>
      </w:tr>
      <w:tr w:rsidR="002A47F3" w:rsidRPr="00575F7D" w14:paraId="7649BE92" w14:textId="77777777" w:rsidTr="00A013FF">
        <w:trPr>
          <w:trHeight w:val="431"/>
        </w:trPr>
        <w:tc>
          <w:tcPr>
            <w:tcW w:w="732" w:type="dxa"/>
            <w:tcBorders>
              <w:top w:val="nil"/>
              <w:left w:val="single" w:sz="8" w:space="0" w:color="auto"/>
              <w:bottom w:val="nil"/>
              <w:right w:val="nil"/>
            </w:tcBorders>
            <w:vAlign w:val="bottom"/>
            <w:hideMark/>
          </w:tcPr>
          <w:p w14:paraId="6F738256" w14:textId="77777777" w:rsidR="002A47F3" w:rsidRPr="00575F7D" w:rsidRDefault="002A47F3" w:rsidP="00A013F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         No</w:t>
            </w:r>
          </w:p>
        </w:tc>
        <w:tc>
          <w:tcPr>
            <w:tcW w:w="732" w:type="dxa"/>
            <w:tcBorders>
              <w:top w:val="nil"/>
              <w:left w:val="nil"/>
              <w:bottom w:val="nil"/>
              <w:right w:val="nil"/>
            </w:tcBorders>
            <w:vAlign w:val="bottom"/>
            <w:hideMark/>
          </w:tcPr>
          <w:p w14:paraId="3D5C1B0C"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1186744D" w14:textId="77777777" w:rsidR="002A47F3" w:rsidRPr="00575F7D" w:rsidRDefault="002A47F3" w:rsidP="00A013F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             </w:t>
            </w:r>
            <w:r w:rsidRPr="00575F7D">
              <w:rPr>
                <w:rFonts w:ascii="Calibri" w:eastAsia="Times New Roman" w:hAnsi="Calibri" w:cs="Calibri"/>
                <w:b/>
                <w:bCs/>
                <w:color w:val="000000"/>
                <w:sz w:val="18"/>
                <w:szCs w:val="18"/>
              </w:rPr>
              <w:t>No</w:t>
            </w:r>
          </w:p>
        </w:tc>
        <w:tc>
          <w:tcPr>
            <w:tcW w:w="732" w:type="dxa"/>
            <w:tcBorders>
              <w:top w:val="nil"/>
              <w:left w:val="nil"/>
              <w:bottom w:val="nil"/>
              <w:right w:val="nil"/>
            </w:tcBorders>
            <w:vAlign w:val="bottom"/>
            <w:hideMark/>
          </w:tcPr>
          <w:p w14:paraId="6E2878C0"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21AD423B"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10</w:t>
            </w:r>
          </w:p>
        </w:tc>
        <w:tc>
          <w:tcPr>
            <w:tcW w:w="732" w:type="dxa"/>
            <w:tcBorders>
              <w:top w:val="nil"/>
              <w:left w:val="nil"/>
              <w:bottom w:val="nil"/>
              <w:right w:val="nil"/>
            </w:tcBorders>
            <w:vAlign w:val="bottom"/>
            <w:hideMark/>
          </w:tcPr>
          <w:p w14:paraId="0ED29B3E"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409A49C7" w14:textId="77777777" w:rsidR="002A47F3" w:rsidRPr="00575F7D" w:rsidRDefault="00E215FB" w:rsidP="00E215FB">
            <w:pPr>
              <w:spacing w:after="0" w:line="240" w:lineRule="auto"/>
              <w:ind w:right="-261"/>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   </w:t>
            </w:r>
            <w:r w:rsidR="002A47F3" w:rsidRPr="00575F7D">
              <w:rPr>
                <w:rFonts w:ascii="Calibri" w:eastAsia="Times New Roman" w:hAnsi="Calibri" w:cs="Calibri"/>
                <w:b/>
                <w:bCs/>
                <w:color w:val="000000"/>
                <w:sz w:val="18"/>
                <w:szCs w:val="18"/>
              </w:rPr>
              <w:t>62.5 %</w:t>
            </w:r>
          </w:p>
        </w:tc>
        <w:tc>
          <w:tcPr>
            <w:tcW w:w="732" w:type="dxa"/>
            <w:tcBorders>
              <w:top w:val="nil"/>
              <w:left w:val="nil"/>
              <w:bottom w:val="nil"/>
              <w:right w:val="nil"/>
            </w:tcBorders>
            <w:vAlign w:val="bottom"/>
            <w:hideMark/>
          </w:tcPr>
          <w:p w14:paraId="7A0D303B"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67003893"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p>
        </w:tc>
        <w:tc>
          <w:tcPr>
            <w:tcW w:w="732" w:type="dxa"/>
            <w:tcBorders>
              <w:top w:val="nil"/>
              <w:left w:val="nil"/>
              <w:bottom w:val="nil"/>
              <w:right w:val="single" w:sz="8" w:space="0" w:color="auto"/>
            </w:tcBorders>
            <w:vAlign w:val="bottom"/>
            <w:hideMark/>
          </w:tcPr>
          <w:p w14:paraId="0E874409" w14:textId="77777777" w:rsidR="002A47F3" w:rsidRPr="00575F7D" w:rsidRDefault="002A47F3" w:rsidP="00A013FF">
            <w:pPr>
              <w:spacing w:after="0" w:line="240" w:lineRule="auto"/>
              <w:rPr>
                <w:rFonts w:ascii="Calibri" w:eastAsia="Times New Roman" w:hAnsi="Calibri" w:cs="Calibri"/>
                <w:color w:val="000000"/>
                <w:sz w:val="18"/>
                <w:szCs w:val="18"/>
              </w:rPr>
            </w:pPr>
            <w:r w:rsidRPr="00575F7D">
              <w:rPr>
                <w:rFonts w:ascii="Calibri" w:eastAsia="Times New Roman" w:hAnsi="Calibri" w:cs="Calibri"/>
                <w:color w:val="000000"/>
                <w:sz w:val="18"/>
                <w:szCs w:val="18"/>
              </w:rPr>
              <w:t> </w:t>
            </w:r>
          </w:p>
        </w:tc>
      </w:tr>
      <w:tr w:rsidR="002A47F3" w:rsidRPr="00575F7D" w14:paraId="43C2C80B" w14:textId="77777777" w:rsidTr="00A013FF">
        <w:trPr>
          <w:trHeight w:val="431"/>
        </w:trPr>
        <w:tc>
          <w:tcPr>
            <w:tcW w:w="732" w:type="dxa"/>
            <w:tcBorders>
              <w:top w:val="nil"/>
              <w:left w:val="single" w:sz="8" w:space="0" w:color="auto"/>
              <w:bottom w:val="nil"/>
              <w:right w:val="nil"/>
            </w:tcBorders>
            <w:vAlign w:val="bottom"/>
            <w:hideMark/>
          </w:tcPr>
          <w:p w14:paraId="0620D4D0" w14:textId="77777777" w:rsidR="002A47F3" w:rsidRPr="00575F7D" w:rsidRDefault="002A47F3" w:rsidP="00A013F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        </w:t>
            </w:r>
            <w:proofErr w:type="gramStart"/>
            <w:r>
              <w:rPr>
                <w:rFonts w:ascii="Calibri" w:eastAsia="Times New Roman" w:hAnsi="Calibri" w:cs="Calibri"/>
                <w:b/>
                <w:bCs/>
                <w:color w:val="000000"/>
                <w:sz w:val="18"/>
                <w:szCs w:val="18"/>
              </w:rPr>
              <w:t>yes</w:t>
            </w:r>
            <w:proofErr w:type="gramEnd"/>
          </w:p>
        </w:tc>
        <w:tc>
          <w:tcPr>
            <w:tcW w:w="732" w:type="dxa"/>
            <w:tcBorders>
              <w:top w:val="nil"/>
              <w:left w:val="nil"/>
              <w:bottom w:val="nil"/>
              <w:right w:val="nil"/>
            </w:tcBorders>
            <w:vAlign w:val="bottom"/>
            <w:hideMark/>
          </w:tcPr>
          <w:p w14:paraId="3490E716"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35FE0152" w14:textId="77777777"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No</w:t>
            </w:r>
          </w:p>
        </w:tc>
        <w:tc>
          <w:tcPr>
            <w:tcW w:w="732" w:type="dxa"/>
            <w:tcBorders>
              <w:top w:val="nil"/>
              <w:left w:val="nil"/>
              <w:bottom w:val="nil"/>
              <w:right w:val="nil"/>
            </w:tcBorders>
            <w:vAlign w:val="bottom"/>
            <w:hideMark/>
          </w:tcPr>
          <w:p w14:paraId="6C8587D2"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59B865BE"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4</w:t>
            </w:r>
          </w:p>
        </w:tc>
        <w:tc>
          <w:tcPr>
            <w:tcW w:w="732" w:type="dxa"/>
            <w:tcBorders>
              <w:top w:val="nil"/>
              <w:left w:val="nil"/>
              <w:bottom w:val="nil"/>
              <w:right w:val="nil"/>
            </w:tcBorders>
            <w:vAlign w:val="bottom"/>
            <w:hideMark/>
          </w:tcPr>
          <w:p w14:paraId="12241DF1"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0E9D59F4"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25.0 %</w:t>
            </w:r>
          </w:p>
        </w:tc>
        <w:tc>
          <w:tcPr>
            <w:tcW w:w="732" w:type="dxa"/>
            <w:tcBorders>
              <w:top w:val="nil"/>
              <w:left w:val="nil"/>
              <w:bottom w:val="nil"/>
              <w:right w:val="nil"/>
            </w:tcBorders>
            <w:vAlign w:val="bottom"/>
            <w:hideMark/>
          </w:tcPr>
          <w:p w14:paraId="4590B058" w14:textId="77777777"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14:paraId="5AC9FD7A"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p>
        </w:tc>
        <w:tc>
          <w:tcPr>
            <w:tcW w:w="732" w:type="dxa"/>
            <w:tcBorders>
              <w:top w:val="nil"/>
              <w:left w:val="nil"/>
              <w:bottom w:val="nil"/>
              <w:right w:val="single" w:sz="8" w:space="0" w:color="auto"/>
            </w:tcBorders>
            <w:vAlign w:val="bottom"/>
            <w:hideMark/>
          </w:tcPr>
          <w:p w14:paraId="120E258A" w14:textId="77777777" w:rsidR="002A47F3" w:rsidRPr="00575F7D" w:rsidRDefault="002A47F3" w:rsidP="00A013FF">
            <w:pPr>
              <w:spacing w:after="0" w:line="240" w:lineRule="auto"/>
              <w:rPr>
                <w:rFonts w:ascii="Calibri" w:eastAsia="Times New Roman" w:hAnsi="Calibri" w:cs="Calibri"/>
                <w:color w:val="000000"/>
                <w:sz w:val="18"/>
                <w:szCs w:val="18"/>
              </w:rPr>
            </w:pPr>
            <w:r w:rsidRPr="00575F7D">
              <w:rPr>
                <w:rFonts w:ascii="Calibri" w:eastAsia="Times New Roman" w:hAnsi="Calibri" w:cs="Calibri"/>
                <w:color w:val="000000"/>
                <w:sz w:val="18"/>
                <w:szCs w:val="18"/>
              </w:rPr>
              <w:t> </w:t>
            </w:r>
          </w:p>
        </w:tc>
      </w:tr>
      <w:tr w:rsidR="002A47F3" w:rsidRPr="00575F7D" w14:paraId="4419D174" w14:textId="77777777" w:rsidTr="00A013FF">
        <w:trPr>
          <w:trHeight w:val="453"/>
        </w:trPr>
        <w:tc>
          <w:tcPr>
            <w:tcW w:w="732" w:type="dxa"/>
            <w:tcBorders>
              <w:top w:val="nil"/>
              <w:left w:val="single" w:sz="8" w:space="0" w:color="auto"/>
              <w:bottom w:val="single" w:sz="8" w:space="0" w:color="auto"/>
              <w:right w:val="nil"/>
            </w:tcBorders>
            <w:vAlign w:val="bottom"/>
            <w:hideMark/>
          </w:tcPr>
          <w:p w14:paraId="22812E95" w14:textId="77777777"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w:t>
            </w:r>
          </w:p>
        </w:tc>
        <w:tc>
          <w:tcPr>
            <w:tcW w:w="732" w:type="dxa"/>
            <w:tcBorders>
              <w:top w:val="nil"/>
              <w:left w:val="nil"/>
              <w:bottom w:val="single" w:sz="8" w:space="0" w:color="auto"/>
              <w:right w:val="nil"/>
            </w:tcBorders>
            <w:vAlign w:val="bottom"/>
            <w:hideMark/>
          </w:tcPr>
          <w:p w14:paraId="50E4C2C6" w14:textId="77777777"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w:t>
            </w:r>
          </w:p>
        </w:tc>
        <w:tc>
          <w:tcPr>
            <w:tcW w:w="732" w:type="dxa"/>
            <w:tcBorders>
              <w:top w:val="nil"/>
              <w:left w:val="nil"/>
              <w:bottom w:val="single" w:sz="8" w:space="0" w:color="auto"/>
              <w:right w:val="nil"/>
            </w:tcBorders>
            <w:vAlign w:val="bottom"/>
            <w:hideMark/>
          </w:tcPr>
          <w:p w14:paraId="73110C0E" w14:textId="77777777" w:rsidR="002A47F3" w:rsidRPr="00575F7D" w:rsidRDefault="00E215FB" w:rsidP="00A013FF">
            <w:pPr>
              <w:spacing w:after="0" w:line="240" w:lineRule="auto"/>
              <w:rPr>
                <w:rFonts w:ascii="Calibri" w:eastAsia="Times New Roman" w:hAnsi="Calibri" w:cs="Calibri"/>
                <w:b/>
                <w:bCs/>
                <w:color w:val="000000"/>
                <w:sz w:val="18"/>
                <w:szCs w:val="18"/>
              </w:rPr>
            </w:pPr>
            <w:proofErr w:type="gramStart"/>
            <w:r>
              <w:rPr>
                <w:rFonts w:ascii="Calibri" w:eastAsia="Times New Roman" w:hAnsi="Calibri" w:cs="Calibri"/>
                <w:b/>
                <w:bCs/>
                <w:color w:val="000000"/>
                <w:sz w:val="18"/>
                <w:szCs w:val="18"/>
              </w:rPr>
              <w:t>ye</w:t>
            </w:r>
            <w:r w:rsidR="002A47F3">
              <w:rPr>
                <w:rFonts w:ascii="Calibri" w:eastAsia="Times New Roman" w:hAnsi="Calibri" w:cs="Calibri"/>
                <w:b/>
                <w:bCs/>
                <w:color w:val="000000"/>
                <w:sz w:val="18"/>
                <w:szCs w:val="18"/>
              </w:rPr>
              <w:t>s</w:t>
            </w:r>
            <w:proofErr w:type="gramEnd"/>
          </w:p>
        </w:tc>
        <w:tc>
          <w:tcPr>
            <w:tcW w:w="732" w:type="dxa"/>
            <w:tcBorders>
              <w:top w:val="nil"/>
              <w:left w:val="nil"/>
              <w:bottom w:val="single" w:sz="8" w:space="0" w:color="auto"/>
              <w:right w:val="nil"/>
            </w:tcBorders>
            <w:vAlign w:val="bottom"/>
            <w:hideMark/>
          </w:tcPr>
          <w:p w14:paraId="70086507" w14:textId="77777777"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w:t>
            </w:r>
          </w:p>
        </w:tc>
        <w:tc>
          <w:tcPr>
            <w:tcW w:w="732" w:type="dxa"/>
            <w:tcBorders>
              <w:top w:val="nil"/>
              <w:left w:val="nil"/>
              <w:bottom w:val="single" w:sz="8" w:space="0" w:color="auto"/>
              <w:right w:val="nil"/>
            </w:tcBorders>
            <w:vAlign w:val="bottom"/>
            <w:hideMark/>
          </w:tcPr>
          <w:p w14:paraId="0D18A5C6"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2</w:t>
            </w:r>
          </w:p>
        </w:tc>
        <w:tc>
          <w:tcPr>
            <w:tcW w:w="732" w:type="dxa"/>
            <w:tcBorders>
              <w:top w:val="nil"/>
              <w:left w:val="nil"/>
              <w:bottom w:val="single" w:sz="8" w:space="0" w:color="auto"/>
              <w:right w:val="nil"/>
            </w:tcBorders>
            <w:vAlign w:val="bottom"/>
            <w:hideMark/>
          </w:tcPr>
          <w:p w14:paraId="059C4386" w14:textId="77777777"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w:t>
            </w:r>
          </w:p>
        </w:tc>
        <w:tc>
          <w:tcPr>
            <w:tcW w:w="732" w:type="dxa"/>
            <w:tcBorders>
              <w:top w:val="nil"/>
              <w:left w:val="nil"/>
              <w:bottom w:val="single" w:sz="8" w:space="0" w:color="auto"/>
              <w:right w:val="nil"/>
            </w:tcBorders>
            <w:vAlign w:val="bottom"/>
            <w:hideMark/>
          </w:tcPr>
          <w:p w14:paraId="56D70DB2"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12.5 %</w:t>
            </w:r>
          </w:p>
        </w:tc>
        <w:tc>
          <w:tcPr>
            <w:tcW w:w="732" w:type="dxa"/>
            <w:tcBorders>
              <w:top w:val="nil"/>
              <w:left w:val="nil"/>
              <w:bottom w:val="single" w:sz="8" w:space="0" w:color="auto"/>
              <w:right w:val="nil"/>
            </w:tcBorders>
            <w:vAlign w:val="bottom"/>
            <w:hideMark/>
          </w:tcPr>
          <w:p w14:paraId="13355157" w14:textId="77777777"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w:t>
            </w:r>
          </w:p>
        </w:tc>
        <w:tc>
          <w:tcPr>
            <w:tcW w:w="732" w:type="dxa"/>
            <w:tcBorders>
              <w:top w:val="nil"/>
              <w:left w:val="nil"/>
              <w:bottom w:val="single" w:sz="8" w:space="0" w:color="auto"/>
              <w:right w:val="nil"/>
            </w:tcBorders>
            <w:vAlign w:val="bottom"/>
            <w:hideMark/>
          </w:tcPr>
          <w:p w14:paraId="7F7E2AC1" w14:textId="77777777" w:rsidR="002A47F3" w:rsidRPr="00575F7D" w:rsidRDefault="002A47F3" w:rsidP="00A013FF">
            <w:pPr>
              <w:spacing w:after="0" w:line="240" w:lineRule="auto"/>
              <w:jc w:val="right"/>
              <w:rPr>
                <w:rFonts w:ascii="Calibri" w:eastAsia="Times New Roman" w:hAnsi="Calibri" w:cs="Calibri"/>
                <w:b/>
                <w:bCs/>
                <w:color w:val="000000"/>
                <w:sz w:val="18"/>
                <w:szCs w:val="18"/>
              </w:rPr>
            </w:pPr>
          </w:p>
        </w:tc>
        <w:tc>
          <w:tcPr>
            <w:tcW w:w="732" w:type="dxa"/>
            <w:tcBorders>
              <w:top w:val="nil"/>
              <w:left w:val="nil"/>
              <w:bottom w:val="single" w:sz="8" w:space="0" w:color="auto"/>
              <w:right w:val="single" w:sz="8" w:space="0" w:color="auto"/>
            </w:tcBorders>
            <w:vAlign w:val="bottom"/>
            <w:hideMark/>
          </w:tcPr>
          <w:p w14:paraId="263B1824" w14:textId="77777777" w:rsidR="002A47F3" w:rsidRPr="00575F7D" w:rsidRDefault="002A47F3" w:rsidP="00A013FF">
            <w:pPr>
              <w:spacing w:after="0" w:line="240" w:lineRule="auto"/>
              <w:rPr>
                <w:rFonts w:ascii="Calibri" w:eastAsia="Times New Roman" w:hAnsi="Calibri" w:cs="Calibri"/>
                <w:color w:val="000000"/>
                <w:sz w:val="18"/>
                <w:szCs w:val="18"/>
              </w:rPr>
            </w:pPr>
            <w:r w:rsidRPr="00575F7D">
              <w:rPr>
                <w:rFonts w:ascii="Calibri" w:eastAsia="Times New Roman" w:hAnsi="Calibri" w:cs="Calibri"/>
                <w:color w:val="000000"/>
                <w:sz w:val="18"/>
                <w:szCs w:val="18"/>
              </w:rPr>
              <w:t> </w:t>
            </w:r>
          </w:p>
        </w:tc>
      </w:tr>
    </w:tbl>
    <w:p w14:paraId="2D8527B5" w14:textId="77777777" w:rsidR="002A47F3" w:rsidRDefault="00702CEA">
      <w:pPr>
        <w:rPr>
          <w:rFonts w:cstheme="minorHAnsi"/>
          <w:sz w:val="24"/>
          <w:szCs w:val="24"/>
        </w:rPr>
      </w:pPr>
      <w:r>
        <w:rPr>
          <w:rFonts w:ascii="Times New Roman" w:hAnsi="Times New Roman" w:cs="Times New Roman"/>
          <w:noProof/>
          <w:sz w:val="24"/>
          <w:szCs w:val="24"/>
        </w:rPr>
        <w:pict w14:anchorId="66C6D9A1">
          <v:shape id="_x0000_s1029" type="#_x0000_t202" style="position:absolute;margin-left:14.55pt;margin-top:3pt;width:296.85pt;height:23.4pt;z-index:251663360;mso-position-horizontal-relative:text;mso-position-vertical-relative:text;mso-width-relative:margin;mso-height-relative:margin">
            <v:textbox>
              <w:txbxContent>
                <w:p w14:paraId="764A88D6" w14:textId="270041F6" w:rsidR="00E215FB" w:rsidRPr="007605F4" w:rsidRDefault="00312ED0" w:rsidP="00E215FB">
                  <w:pPr>
                    <w:pStyle w:val="ListParagraph"/>
                    <w:spacing w:after="0" w:line="360" w:lineRule="auto"/>
                    <w:ind w:left="0"/>
                    <w:jc w:val="center"/>
                    <w:rPr>
                      <w:rFonts w:ascii="Times New Roman" w:hAnsi="Times New Roman" w:cs="Times New Roman"/>
                      <w:b/>
                      <w:bCs/>
                      <w:i/>
                      <w:iCs/>
                      <w:szCs w:val="28"/>
                    </w:rPr>
                  </w:pPr>
                  <w:r>
                    <w:rPr>
                      <w:rFonts w:ascii="Times New Roman" w:hAnsi="Times New Roman" w:cs="Times New Roman"/>
                      <w:b/>
                      <w:bCs/>
                      <w:i/>
                      <w:iCs/>
                      <w:szCs w:val="28"/>
                    </w:rPr>
                    <w:t>TABLE</w:t>
                  </w:r>
                  <w:r w:rsidR="00E215FB">
                    <w:rPr>
                      <w:rFonts w:ascii="Times New Roman" w:hAnsi="Times New Roman" w:cs="Times New Roman"/>
                      <w:b/>
                      <w:bCs/>
                      <w:i/>
                      <w:iCs/>
                      <w:szCs w:val="28"/>
                    </w:rPr>
                    <w:t xml:space="preserve"> </w:t>
                  </w:r>
                  <w:proofErr w:type="gramStart"/>
                  <w:r w:rsidR="00E91A31">
                    <w:rPr>
                      <w:rFonts w:ascii="Times New Roman" w:hAnsi="Times New Roman" w:cs="Times New Roman"/>
                      <w:b/>
                      <w:bCs/>
                      <w:i/>
                      <w:iCs/>
                      <w:szCs w:val="28"/>
                    </w:rPr>
                    <w:t>1</w:t>
                  </w:r>
                  <w:r w:rsidR="00E215FB" w:rsidRPr="007605F4">
                    <w:rPr>
                      <w:rFonts w:ascii="Times New Roman" w:hAnsi="Times New Roman" w:cs="Times New Roman"/>
                      <w:b/>
                      <w:bCs/>
                      <w:i/>
                      <w:iCs/>
                      <w:szCs w:val="28"/>
                    </w:rPr>
                    <w:t>:</w:t>
                  </w:r>
                  <w:proofErr w:type="gramEnd"/>
                  <w:r w:rsidR="00E215FB" w:rsidRPr="007605F4">
                    <w:rPr>
                      <w:rFonts w:ascii="Times New Roman" w:hAnsi="Times New Roman" w:cs="Times New Roman"/>
                      <w:b/>
                      <w:bCs/>
                      <w:i/>
                      <w:iCs/>
                      <w:szCs w:val="28"/>
                    </w:rPr>
                    <w:t xml:space="preserve"> </w:t>
                  </w:r>
                  <w:r w:rsidR="00E215FB">
                    <w:rPr>
                      <w:rFonts w:ascii="Times New Roman" w:hAnsi="Times New Roman" w:cs="Times New Roman"/>
                      <w:b/>
                      <w:bCs/>
                      <w:i/>
                      <w:iCs/>
                      <w:szCs w:val="28"/>
                    </w:rPr>
                    <w:t xml:space="preserve">distribution according to tumor extension </w:t>
                  </w:r>
                </w:p>
                <w:p w14:paraId="24707381" w14:textId="77777777" w:rsidR="00E215FB" w:rsidRDefault="00E215FB" w:rsidP="00E215FB"/>
              </w:txbxContent>
            </v:textbox>
          </v:shape>
        </w:pict>
      </w:r>
    </w:p>
    <w:p w14:paraId="6851190D" w14:textId="77777777" w:rsidR="00EE5675" w:rsidRPr="00EE5675" w:rsidRDefault="00EE5675">
      <w:pPr>
        <w:rPr>
          <w:rFonts w:cstheme="minorHAnsi"/>
          <w:sz w:val="24"/>
          <w:szCs w:val="24"/>
        </w:rPr>
      </w:pPr>
    </w:p>
    <w:p w14:paraId="0A3B00CF" w14:textId="31BABD7B" w:rsidR="00EE5675" w:rsidRDefault="00EE5675">
      <w:pPr>
        <w:rPr>
          <w:rFonts w:cstheme="minorHAnsi"/>
          <w:b/>
        </w:rPr>
      </w:pPr>
      <w:r w:rsidRPr="00EE5675">
        <w:rPr>
          <w:rFonts w:cstheme="minorHAnsi"/>
        </w:rPr>
        <w:t xml:space="preserve">All therapeutic decisions were made during a multidisciplinary team meeting, following a comprehensive assessment that included clinical, biological, and histological data, as well as an evaluation of locoregional and distant tumor extension </w:t>
      </w:r>
      <w:r w:rsidRPr="00EE5675">
        <w:rPr>
          <w:rFonts w:cstheme="minorHAnsi"/>
          <w:b/>
        </w:rPr>
        <w:t xml:space="preserve">(Figure </w:t>
      </w:r>
      <w:r w:rsidR="00E91A31">
        <w:rPr>
          <w:rFonts w:cstheme="minorHAnsi"/>
          <w:b/>
        </w:rPr>
        <w:t>2</w:t>
      </w:r>
      <w:r w:rsidRPr="00EE5675">
        <w:rPr>
          <w:rFonts w:cstheme="minorHAnsi"/>
          <w:b/>
        </w:rPr>
        <w:t>).</w:t>
      </w:r>
    </w:p>
    <w:p w14:paraId="149ACD0F" w14:textId="77777777" w:rsidR="00EB2FEF" w:rsidRDefault="00702CEA">
      <w:pPr>
        <w:rPr>
          <w:rFonts w:cstheme="minorHAnsi"/>
          <w:sz w:val="24"/>
          <w:szCs w:val="24"/>
        </w:rPr>
      </w:pPr>
      <w:r>
        <w:rPr>
          <w:rFonts w:cstheme="minorHAnsi"/>
          <w:sz w:val="24"/>
          <w:szCs w:val="24"/>
        </w:rPr>
        <w:lastRenderedPageBreak/>
        <w:pict w14:anchorId="7597DB76">
          <v:shape id="_x0000_s1028" type="#_x0000_t202" style="position:absolute;margin-left:23.85pt;margin-top:228.9pt;width:181.55pt;height:23.4pt;z-index:251662336;mso-width-relative:margin;mso-height-relative:margin">
            <v:textbox>
              <w:txbxContent>
                <w:p w14:paraId="26154328" w14:textId="5022980F" w:rsidR="00E215FB" w:rsidRPr="00EB2FEF" w:rsidRDefault="00E215FB" w:rsidP="00E215FB">
                  <w:pPr>
                    <w:pStyle w:val="ListParagraph"/>
                    <w:spacing w:after="0" w:line="360" w:lineRule="auto"/>
                    <w:ind w:left="0"/>
                    <w:jc w:val="center"/>
                    <w:rPr>
                      <w:rFonts w:ascii="Times New Roman" w:hAnsi="Times New Roman" w:cs="Times New Roman"/>
                      <w:b/>
                      <w:bCs/>
                      <w:i/>
                      <w:iCs/>
                      <w:szCs w:val="28"/>
                    </w:rPr>
                  </w:pPr>
                  <w:r>
                    <w:rPr>
                      <w:rFonts w:ascii="Times New Roman" w:hAnsi="Times New Roman" w:cs="Times New Roman"/>
                      <w:b/>
                      <w:bCs/>
                      <w:i/>
                      <w:iCs/>
                      <w:szCs w:val="28"/>
                    </w:rPr>
                    <w:t xml:space="preserve">Figure </w:t>
                  </w:r>
                  <w:r w:rsidR="00C17430">
                    <w:rPr>
                      <w:rFonts w:ascii="Times New Roman" w:hAnsi="Times New Roman" w:cs="Times New Roman"/>
                      <w:b/>
                      <w:bCs/>
                      <w:i/>
                      <w:iCs/>
                      <w:szCs w:val="28"/>
                    </w:rPr>
                    <w:t>2</w:t>
                  </w:r>
                  <w:r w:rsidR="00EE5675">
                    <w:rPr>
                      <w:rFonts w:ascii="Times New Roman" w:hAnsi="Times New Roman" w:cs="Times New Roman"/>
                      <w:b/>
                      <w:bCs/>
                      <w:i/>
                      <w:iCs/>
                      <w:szCs w:val="28"/>
                    </w:rPr>
                    <w:t> :</w:t>
                  </w:r>
                  <w:r w:rsidR="00EE5675" w:rsidRPr="00EE5675">
                    <w:t xml:space="preserve"> </w:t>
                  </w:r>
                  <w:r w:rsidR="00EE5675" w:rsidRPr="00EB2FEF">
                    <w:rPr>
                      <w:b/>
                    </w:rPr>
                    <w:t>Tumor treatment</w:t>
                  </w:r>
                </w:p>
                <w:p w14:paraId="18BE25C8" w14:textId="77777777" w:rsidR="00E215FB" w:rsidRDefault="00E215FB" w:rsidP="00E215FB"/>
              </w:txbxContent>
            </v:textbox>
          </v:shape>
        </w:pict>
      </w:r>
      <w:r w:rsidR="00EB2FEF" w:rsidRPr="00EB2FEF">
        <w:rPr>
          <w:rFonts w:cstheme="minorHAnsi"/>
          <w:noProof/>
          <w:sz w:val="24"/>
          <w:szCs w:val="24"/>
        </w:rPr>
        <w:drawing>
          <wp:inline distT="0" distB="0" distL="0" distR="0" wp14:anchorId="5DCB463C" wp14:editId="5A525C1D">
            <wp:extent cx="4572000" cy="2743200"/>
            <wp:effectExtent l="19050" t="0" r="1905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B97359" w14:textId="77777777" w:rsidR="00EB2FEF" w:rsidRDefault="00EB2FEF" w:rsidP="00EB2FEF">
      <w:pPr>
        <w:rPr>
          <w:rFonts w:cstheme="minorHAnsi"/>
          <w:sz w:val="24"/>
          <w:szCs w:val="24"/>
        </w:rPr>
      </w:pPr>
    </w:p>
    <w:p w14:paraId="128AC7F8" w14:textId="77777777" w:rsidR="00EB2FEF" w:rsidRPr="00EB2FEF" w:rsidRDefault="00EB2FEF" w:rsidP="00EB2FEF">
      <w:pPr>
        <w:spacing w:before="100" w:beforeAutospacing="1" w:after="100" w:afterAutospacing="1" w:line="240" w:lineRule="auto"/>
        <w:rPr>
          <w:rFonts w:eastAsia="Times New Roman" w:cstheme="minorHAnsi"/>
        </w:rPr>
      </w:pPr>
      <w:r w:rsidRPr="00EB2FEF">
        <w:rPr>
          <w:rFonts w:eastAsia="Times New Roman" w:cstheme="minorHAnsi"/>
        </w:rPr>
        <w:t>Among our patients, surgical treatment alone was decided in 25% of cases (n = 4), surgery combined with chemoradiotherapy was performed in others, and chemotherapy alone was administered as well. Three patients received palliative treatment, while one patient underwent combined surgery and hormone therapy.</w:t>
      </w:r>
    </w:p>
    <w:p w14:paraId="71263621" w14:textId="77777777" w:rsidR="00EB2FEF" w:rsidRPr="00EB2FEF" w:rsidRDefault="00EB2FEF" w:rsidP="00EB2FEF">
      <w:pPr>
        <w:spacing w:before="100" w:beforeAutospacing="1" w:after="100" w:afterAutospacing="1" w:line="240" w:lineRule="auto"/>
        <w:rPr>
          <w:rFonts w:eastAsia="Times New Roman" w:cstheme="minorHAnsi"/>
        </w:rPr>
      </w:pPr>
      <w:r w:rsidRPr="00EB2FEF">
        <w:rPr>
          <w:rFonts w:eastAsia="Times New Roman" w:cstheme="minorHAnsi"/>
        </w:rPr>
        <w:t>Immunosuppressive maintenance therapy for IBD was discontinued in all patients until cancer remission, with decisions regarding reintroduction made on a case-by-case basis after multidisciplinary IBD team review.</w:t>
      </w:r>
    </w:p>
    <w:p w14:paraId="61F7834D" w14:textId="77777777" w:rsidR="00EB2FEF" w:rsidRPr="00EB2FEF" w:rsidRDefault="00EB2FEF" w:rsidP="00EB2FEF">
      <w:pPr>
        <w:spacing w:before="100" w:beforeAutospacing="1" w:after="100" w:afterAutospacing="1" w:line="240" w:lineRule="auto"/>
        <w:rPr>
          <w:rFonts w:eastAsia="Times New Roman" w:cstheme="minorHAnsi"/>
        </w:rPr>
      </w:pPr>
      <w:r w:rsidRPr="00EB2FEF">
        <w:rPr>
          <w:rFonts w:eastAsia="Times New Roman" w:cstheme="minorHAnsi"/>
        </w:rPr>
        <w:t>The clinical course was favorable in 9 patients (56.3%), 3 patients (18.8%) died, and 4 patients (25%) were still undergoing treatment at the time of reporting.</w:t>
      </w:r>
    </w:p>
    <w:p w14:paraId="6F750FCA" w14:textId="77777777" w:rsidR="00EB2FEF" w:rsidRDefault="00EB2FEF" w:rsidP="00EB2FEF">
      <w:pPr>
        <w:spacing w:before="100" w:beforeAutospacing="1" w:after="100" w:afterAutospacing="1" w:line="240" w:lineRule="auto"/>
        <w:outlineLvl w:val="2"/>
        <w:rPr>
          <w:rFonts w:eastAsia="Times New Roman" w:cstheme="minorHAnsi"/>
          <w:b/>
          <w:bCs/>
          <w:sz w:val="24"/>
        </w:rPr>
      </w:pPr>
      <w:r w:rsidRPr="00EB2FEF">
        <w:rPr>
          <w:rFonts w:eastAsia="Times New Roman" w:cstheme="minorHAnsi"/>
          <w:b/>
          <w:bCs/>
          <w:sz w:val="24"/>
        </w:rPr>
        <w:t>Discussion</w:t>
      </w:r>
      <w:r w:rsidR="00EA4237">
        <w:rPr>
          <w:rFonts w:eastAsia="Times New Roman" w:cstheme="minorHAnsi"/>
          <w:b/>
          <w:bCs/>
          <w:sz w:val="24"/>
        </w:rPr>
        <w:t> :</w:t>
      </w:r>
    </w:p>
    <w:p w14:paraId="78EBAB05"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The literature highlights an increased incidence of cancer among patients with inflammatory bowel disease (IBD), with an estimated lifetime risk of neoplasia ranging from 10% to 15% in affected individuals </w:t>
      </w:r>
      <w:r w:rsidR="00955CAE">
        <w:rPr>
          <w:rFonts w:asciiTheme="minorHAnsi" w:hAnsiTheme="minorHAnsi" w:cstheme="minorHAnsi"/>
          <w:b/>
          <w:sz w:val="22"/>
        </w:rPr>
        <w:t>(1</w:t>
      </w:r>
      <w:r w:rsidRPr="00EA4237">
        <w:rPr>
          <w:rFonts w:asciiTheme="minorHAnsi" w:hAnsiTheme="minorHAnsi" w:cstheme="minorHAnsi"/>
          <w:b/>
          <w:sz w:val="22"/>
        </w:rPr>
        <w:t>).</w:t>
      </w:r>
      <w:r w:rsidRPr="00EA4237">
        <w:rPr>
          <w:rFonts w:asciiTheme="minorHAnsi" w:hAnsiTheme="minorHAnsi" w:cstheme="minorHAnsi"/>
          <w:sz w:val="22"/>
        </w:rPr>
        <w:br/>
        <w:t xml:space="preserve">A meta-analysis of 116 studies published in 2001 reported that the cumulative risk of developing colorectal cancer (CRC) in patients with ulcerative colitis (UC) was approximately 2% after 10 years of disease evolution, 8% after 20 years, and 18% after 30 years </w:t>
      </w:r>
      <w:r w:rsidR="00955CAE">
        <w:rPr>
          <w:rFonts w:asciiTheme="minorHAnsi" w:hAnsiTheme="minorHAnsi" w:cstheme="minorHAnsi"/>
          <w:b/>
          <w:sz w:val="22"/>
        </w:rPr>
        <w:t>(2</w:t>
      </w:r>
      <w:r w:rsidRPr="00EA4237">
        <w:rPr>
          <w:rFonts w:asciiTheme="minorHAnsi" w:hAnsiTheme="minorHAnsi" w:cstheme="minorHAnsi"/>
          <w:b/>
          <w:sz w:val="22"/>
        </w:rPr>
        <w:t>).</w:t>
      </w:r>
      <w:r w:rsidRPr="00EA4237">
        <w:rPr>
          <w:rFonts w:asciiTheme="minorHAnsi" w:hAnsiTheme="minorHAnsi" w:cstheme="minorHAnsi"/>
          <w:sz w:val="22"/>
        </w:rPr>
        <w:br/>
        <w:t xml:space="preserve">Similarly, a meta-analysis conducted by Jess </w:t>
      </w:r>
      <w:r w:rsidRPr="00EA4237">
        <w:rPr>
          <w:rStyle w:val="Emphasis"/>
          <w:rFonts w:asciiTheme="minorHAnsi" w:hAnsiTheme="minorHAnsi" w:cstheme="minorHAnsi"/>
          <w:sz w:val="22"/>
        </w:rPr>
        <w:t>et al.</w:t>
      </w:r>
      <w:r w:rsidRPr="00EA4237">
        <w:rPr>
          <w:rFonts w:asciiTheme="minorHAnsi" w:hAnsiTheme="minorHAnsi" w:cstheme="minorHAnsi"/>
          <w:sz w:val="22"/>
        </w:rPr>
        <w:t xml:space="preserve"> </w:t>
      </w:r>
      <w:proofErr w:type="gramStart"/>
      <w:r w:rsidRPr="00EA4237">
        <w:rPr>
          <w:rFonts w:asciiTheme="minorHAnsi" w:hAnsiTheme="minorHAnsi" w:cstheme="minorHAnsi"/>
          <w:sz w:val="22"/>
        </w:rPr>
        <w:t>in</w:t>
      </w:r>
      <w:proofErr w:type="gramEnd"/>
      <w:r w:rsidRPr="00EA4237">
        <w:rPr>
          <w:rFonts w:asciiTheme="minorHAnsi" w:hAnsiTheme="minorHAnsi" w:cstheme="minorHAnsi"/>
          <w:sz w:val="22"/>
        </w:rPr>
        <w:t xml:space="preserve"> 2012 estimated a relative risk of CRC of 2.4% in patients with UC compared with the general population </w:t>
      </w:r>
      <w:r w:rsidR="00955CAE">
        <w:rPr>
          <w:rFonts w:asciiTheme="minorHAnsi" w:hAnsiTheme="minorHAnsi" w:cstheme="minorHAnsi"/>
          <w:b/>
          <w:sz w:val="22"/>
        </w:rPr>
        <w:t>(6</w:t>
      </w:r>
      <w:r w:rsidRPr="00EA4237">
        <w:rPr>
          <w:rFonts w:asciiTheme="minorHAnsi" w:hAnsiTheme="minorHAnsi" w:cstheme="minorHAnsi"/>
          <w:b/>
          <w:sz w:val="22"/>
        </w:rPr>
        <w:t>).</w:t>
      </w:r>
    </w:p>
    <w:p w14:paraId="040CDBBA"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Several more recent studies, however, have demonstrated lower cumulative incidence </w:t>
      </w:r>
      <w:proofErr w:type="gramStart"/>
      <w:r w:rsidRPr="00EA4237">
        <w:rPr>
          <w:rFonts w:asciiTheme="minorHAnsi" w:hAnsiTheme="minorHAnsi" w:cstheme="minorHAnsi"/>
          <w:sz w:val="22"/>
        </w:rPr>
        <w:t>rates:</w:t>
      </w:r>
      <w:proofErr w:type="gramEnd"/>
      <w:r w:rsidRPr="00EA4237">
        <w:rPr>
          <w:rFonts w:asciiTheme="minorHAnsi" w:hAnsiTheme="minorHAnsi" w:cstheme="minorHAnsi"/>
          <w:sz w:val="22"/>
        </w:rPr>
        <w:t xml:space="preserve"> 2.5% at 20 years, 7.6% at 30 years, and 10.8% at 40 years of disease duration, as reported by Rutter </w:t>
      </w:r>
      <w:r w:rsidRPr="00EA4237">
        <w:rPr>
          <w:rStyle w:val="Emphasis"/>
          <w:rFonts w:asciiTheme="minorHAnsi" w:hAnsiTheme="minorHAnsi" w:cstheme="minorHAnsi"/>
          <w:sz w:val="22"/>
        </w:rPr>
        <w:t>et al.</w:t>
      </w:r>
      <w:r w:rsidRPr="00EA4237">
        <w:rPr>
          <w:rFonts w:asciiTheme="minorHAnsi" w:hAnsiTheme="minorHAnsi" w:cstheme="minorHAnsi"/>
          <w:sz w:val="22"/>
        </w:rPr>
        <w:t xml:space="preserve">, and 1%, 3%, and 7% at 10, 20, and 30 years respectively, in an Australian cohort </w:t>
      </w:r>
      <w:r w:rsidR="00955CAE">
        <w:rPr>
          <w:rFonts w:asciiTheme="minorHAnsi" w:hAnsiTheme="minorHAnsi" w:cstheme="minorHAnsi"/>
          <w:b/>
          <w:sz w:val="22"/>
        </w:rPr>
        <w:t>(19–20</w:t>
      </w:r>
      <w:r w:rsidRPr="00EA4237">
        <w:rPr>
          <w:rFonts w:asciiTheme="minorHAnsi" w:hAnsiTheme="minorHAnsi" w:cstheme="minorHAnsi"/>
          <w:b/>
          <w:sz w:val="22"/>
        </w:rPr>
        <w:t>).</w:t>
      </w:r>
    </w:p>
    <w:p w14:paraId="7C561A40"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Conversely, the risk of CRC also appears to be increased in patients with colonic Crohn’s disease, with relative risk estimates ranging between 2.64 and 5.6 </w:t>
      </w:r>
      <w:r w:rsidR="00955CAE">
        <w:rPr>
          <w:rFonts w:asciiTheme="minorHAnsi" w:hAnsiTheme="minorHAnsi" w:cstheme="minorHAnsi"/>
          <w:b/>
          <w:sz w:val="22"/>
        </w:rPr>
        <w:t>(21–23</w:t>
      </w:r>
      <w:r w:rsidRPr="00EA4237">
        <w:rPr>
          <w:rFonts w:asciiTheme="minorHAnsi" w:hAnsiTheme="minorHAnsi" w:cstheme="minorHAnsi"/>
          <w:b/>
          <w:sz w:val="22"/>
        </w:rPr>
        <w:t>).</w:t>
      </w:r>
    </w:p>
    <w:p w14:paraId="0E3A057C"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Perianal lesions in Crohn’s disease (CD) promote a state of chronic inflammation, predisposing affected patients to dysplasia and anal canal carcinoma </w:t>
      </w:r>
      <w:r w:rsidR="00955CAE">
        <w:rPr>
          <w:rFonts w:asciiTheme="minorHAnsi" w:hAnsiTheme="minorHAnsi" w:cstheme="minorHAnsi"/>
          <w:b/>
          <w:sz w:val="22"/>
        </w:rPr>
        <w:t>(24</w:t>
      </w:r>
      <w:r w:rsidRPr="00EA4237">
        <w:rPr>
          <w:rFonts w:asciiTheme="minorHAnsi" w:hAnsiTheme="minorHAnsi" w:cstheme="minorHAnsi"/>
          <w:b/>
          <w:sz w:val="22"/>
        </w:rPr>
        <w:t>).</w:t>
      </w:r>
      <w:r w:rsidRPr="00EA4237">
        <w:rPr>
          <w:rFonts w:asciiTheme="minorHAnsi" w:hAnsiTheme="minorHAnsi" w:cstheme="minorHAnsi"/>
          <w:sz w:val="22"/>
        </w:rPr>
        <w:br/>
      </w:r>
      <w:r w:rsidRPr="00EA4237">
        <w:rPr>
          <w:rFonts w:asciiTheme="minorHAnsi" w:hAnsiTheme="minorHAnsi" w:cstheme="minorHAnsi"/>
          <w:sz w:val="22"/>
        </w:rPr>
        <w:lastRenderedPageBreak/>
        <w:t xml:space="preserve">The incidence of squamous cell carcinoma of the anal canal is slightly increased among individuals with perianal Crohn’s disease </w:t>
      </w:r>
      <w:r w:rsidR="00955CAE">
        <w:rPr>
          <w:rFonts w:asciiTheme="minorHAnsi" w:hAnsiTheme="minorHAnsi" w:cstheme="minorHAnsi"/>
          <w:b/>
          <w:sz w:val="22"/>
        </w:rPr>
        <w:t>(3,4</w:t>
      </w:r>
      <w:r w:rsidRPr="00EA4237">
        <w:rPr>
          <w:rFonts w:asciiTheme="minorHAnsi" w:hAnsiTheme="minorHAnsi" w:cstheme="minorHAnsi"/>
          <w:b/>
          <w:sz w:val="22"/>
        </w:rPr>
        <w:t>)</w:t>
      </w:r>
      <w:r w:rsidRPr="00EA4237">
        <w:rPr>
          <w:rFonts w:asciiTheme="minorHAnsi" w:hAnsiTheme="minorHAnsi" w:cstheme="minorHAnsi"/>
          <w:sz w:val="22"/>
        </w:rPr>
        <w:t xml:space="preserve">, likely due to a combination of chronic mucosal inflammation and an overrepresentation of high-risk human papillomavirus (HPV) serotypes within this patient population </w:t>
      </w:r>
      <w:r w:rsidR="00955CAE">
        <w:rPr>
          <w:rFonts w:asciiTheme="minorHAnsi" w:hAnsiTheme="minorHAnsi" w:cstheme="minorHAnsi"/>
          <w:b/>
          <w:sz w:val="22"/>
        </w:rPr>
        <w:t>(5</w:t>
      </w:r>
      <w:r w:rsidRPr="00EA4237">
        <w:rPr>
          <w:rFonts w:asciiTheme="minorHAnsi" w:hAnsiTheme="minorHAnsi" w:cstheme="minorHAnsi"/>
          <w:b/>
          <w:sz w:val="22"/>
        </w:rPr>
        <w:t>).</w:t>
      </w:r>
    </w:p>
    <w:p w14:paraId="62F11FD1"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In our study, one case of anal canal squamous cell carcinoma was identified in a female patient with coexisting perianal Crohn’s disease and retroviral (HIV) infection.</w:t>
      </w:r>
    </w:p>
    <w:p w14:paraId="575E707D" w14:textId="77777777"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Long-term immunosuppressive therapy in patients with inflammatory bowel disease has been associated with an increased incidence of extra-intestinal malignancies, particularly cutaneous, hematologic, and gynecologic cancers.</w:t>
      </w:r>
      <w:r w:rsidRPr="00EA4237">
        <w:rPr>
          <w:rFonts w:asciiTheme="minorHAnsi" w:hAnsiTheme="minorHAnsi" w:cstheme="minorHAnsi"/>
          <w:sz w:val="22"/>
        </w:rPr>
        <w:br/>
        <w:t xml:space="preserve">This risk appears to be more pronounced with combination therapy, especially when azathioprine is used concomitantly with anti–tumor necrosis factor (anti-TNF) agents </w:t>
      </w:r>
      <w:r w:rsidR="00955CAE">
        <w:rPr>
          <w:rFonts w:asciiTheme="minorHAnsi" w:hAnsiTheme="minorHAnsi" w:cstheme="minorHAnsi"/>
          <w:b/>
          <w:sz w:val="22"/>
        </w:rPr>
        <w:t>(6–10</w:t>
      </w:r>
      <w:r w:rsidRPr="00EA4237">
        <w:rPr>
          <w:rFonts w:asciiTheme="minorHAnsi" w:hAnsiTheme="minorHAnsi" w:cstheme="minorHAnsi"/>
          <w:b/>
          <w:sz w:val="22"/>
        </w:rPr>
        <w:t>).</w:t>
      </w:r>
    </w:p>
    <w:p w14:paraId="5D0E43E6" w14:textId="77777777" w:rsid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In our cohort, more than half of the patients (66.7%, </w:t>
      </w:r>
      <w:r w:rsidRPr="00EA4237">
        <w:rPr>
          <w:rStyle w:val="Emphasis"/>
          <w:rFonts w:asciiTheme="minorHAnsi" w:hAnsiTheme="minorHAnsi" w:cstheme="minorHAnsi"/>
          <w:sz w:val="22"/>
        </w:rPr>
        <w:t>n</w:t>
      </w:r>
      <w:r w:rsidRPr="00EA4237">
        <w:rPr>
          <w:rFonts w:asciiTheme="minorHAnsi" w:hAnsiTheme="minorHAnsi" w:cstheme="minorHAnsi"/>
          <w:sz w:val="22"/>
        </w:rPr>
        <w:t xml:space="preserve"> = 10) were receiving azathioprine.</w:t>
      </w:r>
      <w:r w:rsidRPr="00EA4237">
        <w:rPr>
          <w:rFonts w:asciiTheme="minorHAnsi" w:hAnsiTheme="minorHAnsi" w:cstheme="minorHAnsi"/>
          <w:sz w:val="22"/>
        </w:rPr>
        <w:br/>
        <w:t xml:space="preserve">Beaugerie </w:t>
      </w:r>
      <w:r w:rsidRPr="00EA4237">
        <w:rPr>
          <w:rStyle w:val="Emphasis"/>
          <w:rFonts w:asciiTheme="minorHAnsi" w:hAnsiTheme="minorHAnsi" w:cstheme="minorHAnsi"/>
          <w:sz w:val="22"/>
        </w:rPr>
        <w:t>et al.</w:t>
      </w:r>
      <w:r w:rsidRPr="00EA4237">
        <w:rPr>
          <w:rFonts w:asciiTheme="minorHAnsi" w:hAnsiTheme="minorHAnsi" w:cstheme="minorHAnsi"/>
          <w:sz w:val="22"/>
        </w:rPr>
        <w:t xml:space="preserve">, in the CESAME study, demonstrated an increased risk of cutaneous malignancies in IBD patients treated with thiopurines </w:t>
      </w:r>
      <w:r w:rsidR="00955CAE">
        <w:rPr>
          <w:rFonts w:asciiTheme="minorHAnsi" w:hAnsiTheme="minorHAnsi" w:cstheme="minorHAnsi"/>
          <w:b/>
          <w:sz w:val="22"/>
        </w:rPr>
        <w:t>(11</w:t>
      </w:r>
      <w:r w:rsidRPr="00EA4237">
        <w:rPr>
          <w:rFonts w:asciiTheme="minorHAnsi" w:hAnsiTheme="minorHAnsi" w:cstheme="minorHAnsi"/>
          <w:b/>
          <w:sz w:val="22"/>
        </w:rPr>
        <w:t>).</w:t>
      </w:r>
      <w:r w:rsidRPr="00EA4237">
        <w:rPr>
          <w:rFonts w:asciiTheme="minorHAnsi" w:hAnsiTheme="minorHAnsi" w:cstheme="minorHAnsi"/>
          <w:sz w:val="22"/>
        </w:rPr>
        <w:br/>
        <w:t>In contrast, no cases of skin cancer were reported in our series.</w:t>
      </w:r>
    </w:p>
    <w:p w14:paraId="074FBC41" w14:textId="77777777" w:rsidR="00663850" w:rsidRPr="00663850" w:rsidRDefault="00663850" w:rsidP="00663850">
      <w:pPr>
        <w:pStyle w:val="NormalWeb"/>
        <w:rPr>
          <w:rFonts w:asciiTheme="minorHAnsi" w:hAnsiTheme="minorHAnsi" w:cstheme="minorHAnsi"/>
          <w:sz w:val="22"/>
        </w:rPr>
      </w:pPr>
      <w:r w:rsidRPr="00663850">
        <w:rPr>
          <w:rFonts w:asciiTheme="minorHAnsi" w:hAnsiTheme="minorHAnsi" w:cstheme="minorHAnsi"/>
          <w:sz w:val="22"/>
        </w:rPr>
        <w:t xml:space="preserve">Additionally, a Danish study conducted in 2015 reported a slight increase in the risk of high-grade cervical intraepithelial lesions in certain patients </w:t>
      </w:r>
      <w:r w:rsidR="00955CAE">
        <w:rPr>
          <w:rFonts w:asciiTheme="minorHAnsi" w:hAnsiTheme="minorHAnsi" w:cstheme="minorHAnsi"/>
          <w:b/>
          <w:sz w:val="22"/>
        </w:rPr>
        <w:t>(12</w:t>
      </w:r>
      <w:r w:rsidRPr="00663850">
        <w:rPr>
          <w:rFonts w:asciiTheme="minorHAnsi" w:hAnsiTheme="minorHAnsi" w:cstheme="minorHAnsi"/>
          <w:b/>
          <w:sz w:val="22"/>
        </w:rPr>
        <w:t>),</w:t>
      </w:r>
      <w:r w:rsidRPr="00663850">
        <w:rPr>
          <w:rFonts w:asciiTheme="minorHAnsi" w:hAnsiTheme="minorHAnsi" w:cstheme="minorHAnsi"/>
          <w:sz w:val="22"/>
        </w:rPr>
        <w:t xml:space="preserve"> supporting the recommendation for annual cervical cytology screening </w:t>
      </w:r>
      <w:r w:rsidR="00955CAE">
        <w:rPr>
          <w:rFonts w:asciiTheme="minorHAnsi" w:hAnsiTheme="minorHAnsi" w:cstheme="minorHAnsi"/>
          <w:b/>
          <w:sz w:val="22"/>
        </w:rPr>
        <w:t>(13</w:t>
      </w:r>
      <w:r w:rsidRPr="00663850">
        <w:rPr>
          <w:rFonts w:asciiTheme="minorHAnsi" w:hAnsiTheme="minorHAnsi" w:cstheme="minorHAnsi"/>
          <w:b/>
          <w:sz w:val="22"/>
        </w:rPr>
        <w:t>).</w:t>
      </w:r>
      <w:r w:rsidRPr="00663850">
        <w:rPr>
          <w:rFonts w:asciiTheme="minorHAnsi" w:hAnsiTheme="minorHAnsi" w:cstheme="minorHAnsi"/>
          <w:sz w:val="22"/>
        </w:rPr>
        <w:br/>
        <w:t>In our cohort, 19% of patients developed a gynecologic malignancy.</w:t>
      </w:r>
    </w:p>
    <w:p w14:paraId="18F5BA18" w14:textId="77777777" w:rsidR="00663850" w:rsidRPr="00663850" w:rsidRDefault="00663850" w:rsidP="00663850">
      <w:pPr>
        <w:pStyle w:val="NormalWeb"/>
        <w:rPr>
          <w:rFonts w:asciiTheme="minorHAnsi" w:hAnsiTheme="minorHAnsi" w:cstheme="minorHAnsi"/>
          <w:sz w:val="22"/>
        </w:rPr>
      </w:pPr>
      <w:r w:rsidRPr="00663850">
        <w:rPr>
          <w:rFonts w:asciiTheme="minorHAnsi" w:hAnsiTheme="minorHAnsi" w:cstheme="minorHAnsi"/>
          <w:sz w:val="22"/>
        </w:rPr>
        <w:t xml:space="preserve">Regarding the risk of urothelial cancer associated with Crohn’s disease, Kappelman </w:t>
      </w:r>
      <w:r w:rsidRPr="00663850">
        <w:rPr>
          <w:rStyle w:val="Emphasis"/>
          <w:rFonts w:asciiTheme="minorHAnsi" w:hAnsiTheme="minorHAnsi" w:cstheme="minorHAnsi"/>
          <w:sz w:val="22"/>
        </w:rPr>
        <w:t>et al.</w:t>
      </w:r>
      <w:r w:rsidRPr="00663850">
        <w:rPr>
          <w:rFonts w:asciiTheme="minorHAnsi" w:hAnsiTheme="minorHAnsi" w:cstheme="minorHAnsi"/>
          <w:sz w:val="22"/>
        </w:rPr>
        <w:t xml:space="preserve"> </w:t>
      </w:r>
      <w:proofErr w:type="gramStart"/>
      <w:r w:rsidRPr="00663850">
        <w:rPr>
          <w:rFonts w:asciiTheme="minorHAnsi" w:hAnsiTheme="minorHAnsi" w:cstheme="minorHAnsi"/>
          <w:sz w:val="22"/>
        </w:rPr>
        <w:t>did</w:t>
      </w:r>
      <w:proofErr w:type="gramEnd"/>
      <w:r w:rsidRPr="00663850">
        <w:rPr>
          <w:rFonts w:asciiTheme="minorHAnsi" w:hAnsiTheme="minorHAnsi" w:cstheme="minorHAnsi"/>
          <w:sz w:val="22"/>
        </w:rPr>
        <w:t xml:space="preserve"> not observe an increased risk </w:t>
      </w:r>
      <w:r w:rsidR="00955CAE">
        <w:rPr>
          <w:rFonts w:asciiTheme="minorHAnsi" w:hAnsiTheme="minorHAnsi" w:cstheme="minorHAnsi"/>
          <w:b/>
          <w:sz w:val="22"/>
        </w:rPr>
        <w:t>(14</w:t>
      </w:r>
      <w:r w:rsidRPr="00663850">
        <w:rPr>
          <w:rFonts w:asciiTheme="minorHAnsi" w:hAnsiTheme="minorHAnsi" w:cstheme="minorHAnsi"/>
          <w:b/>
          <w:sz w:val="22"/>
        </w:rPr>
        <w:t>).</w:t>
      </w:r>
      <w:r w:rsidRPr="00663850">
        <w:rPr>
          <w:rFonts w:asciiTheme="minorHAnsi" w:hAnsiTheme="minorHAnsi" w:cstheme="minorHAnsi"/>
          <w:b/>
          <w:sz w:val="22"/>
        </w:rPr>
        <w:br/>
      </w:r>
      <w:r w:rsidRPr="00663850">
        <w:rPr>
          <w:rFonts w:asciiTheme="minorHAnsi" w:hAnsiTheme="minorHAnsi" w:cstheme="minorHAnsi"/>
          <w:sz w:val="22"/>
        </w:rPr>
        <w:t xml:space="preserve">In contrast, Pedersen </w:t>
      </w:r>
      <w:r w:rsidRPr="00663850">
        <w:rPr>
          <w:rStyle w:val="Emphasis"/>
          <w:rFonts w:asciiTheme="minorHAnsi" w:hAnsiTheme="minorHAnsi" w:cstheme="minorHAnsi"/>
          <w:sz w:val="22"/>
        </w:rPr>
        <w:t>et al.</w:t>
      </w:r>
      <w:r w:rsidRPr="00663850">
        <w:rPr>
          <w:rFonts w:asciiTheme="minorHAnsi" w:hAnsiTheme="minorHAnsi" w:cstheme="minorHAnsi"/>
          <w:sz w:val="22"/>
        </w:rPr>
        <w:t xml:space="preserve"> </w:t>
      </w:r>
      <w:proofErr w:type="gramStart"/>
      <w:r w:rsidRPr="00663850">
        <w:rPr>
          <w:rFonts w:asciiTheme="minorHAnsi" w:hAnsiTheme="minorHAnsi" w:cstheme="minorHAnsi"/>
          <w:sz w:val="22"/>
        </w:rPr>
        <w:t>reported</w:t>
      </w:r>
      <w:proofErr w:type="gramEnd"/>
      <w:r w:rsidRPr="00663850">
        <w:rPr>
          <w:rFonts w:asciiTheme="minorHAnsi" w:hAnsiTheme="minorHAnsi" w:cstheme="minorHAnsi"/>
          <w:sz w:val="22"/>
        </w:rPr>
        <w:t xml:space="preserve"> a significant association between Crohn’s disease and urothelial cancer, with a standardized incidence ratio (SIR) of 2.03 (95% CI: 1.14–3.63) </w:t>
      </w:r>
      <w:r w:rsidR="00955CAE">
        <w:rPr>
          <w:rFonts w:asciiTheme="minorHAnsi" w:hAnsiTheme="minorHAnsi" w:cstheme="minorHAnsi"/>
          <w:b/>
          <w:sz w:val="22"/>
        </w:rPr>
        <w:t>(15</w:t>
      </w:r>
      <w:r w:rsidRPr="00663850">
        <w:rPr>
          <w:rFonts w:asciiTheme="minorHAnsi" w:hAnsiTheme="minorHAnsi" w:cstheme="minorHAnsi"/>
          <w:b/>
          <w:sz w:val="22"/>
        </w:rPr>
        <w:t>).</w:t>
      </w:r>
      <w:r w:rsidRPr="00663850">
        <w:rPr>
          <w:rFonts w:asciiTheme="minorHAnsi" w:hAnsiTheme="minorHAnsi" w:cstheme="minorHAnsi"/>
          <w:sz w:val="22"/>
        </w:rPr>
        <w:br/>
        <w:t>In our study, hepatobiliary, pancreatic, and vesico-prostatic cancers were detected in 13% and 6% of patients, respectively.</w:t>
      </w:r>
    </w:p>
    <w:p w14:paraId="25F0F234" w14:textId="77777777" w:rsidR="00663850" w:rsidRPr="00663850" w:rsidRDefault="00663850" w:rsidP="00663850">
      <w:pPr>
        <w:pStyle w:val="NormalWeb"/>
        <w:rPr>
          <w:rFonts w:asciiTheme="minorHAnsi" w:hAnsiTheme="minorHAnsi" w:cstheme="minorHAnsi"/>
          <w:sz w:val="22"/>
        </w:rPr>
      </w:pPr>
      <w:r w:rsidRPr="00663850">
        <w:rPr>
          <w:rFonts w:asciiTheme="minorHAnsi" w:hAnsiTheme="minorHAnsi" w:cstheme="minorHAnsi"/>
          <w:sz w:val="22"/>
        </w:rPr>
        <w:t xml:space="preserve">Primary sclerosing cholangitis (PSC) represents the most significant risk factor for cholangiocarcinoma in developed countries </w:t>
      </w:r>
      <w:r w:rsidR="00955CAE">
        <w:rPr>
          <w:rFonts w:asciiTheme="minorHAnsi" w:hAnsiTheme="minorHAnsi" w:cstheme="minorHAnsi"/>
          <w:b/>
          <w:sz w:val="22"/>
        </w:rPr>
        <w:t>(25,26</w:t>
      </w:r>
      <w:r w:rsidRPr="00663850">
        <w:rPr>
          <w:rFonts w:asciiTheme="minorHAnsi" w:hAnsiTheme="minorHAnsi" w:cstheme="minorHAnsi"/>
          <w:b/>
          <w:sz w:val="22"/>
        </w:rPr>
        <w:t>).</w:t>
      </w:r>
      <w:r w:rsidRPr="00663850">
        <w:rPr>
          <w:rFonts w:asciiTheme="minorHAnsi" w:hAnsiTheme="minorHAnsi" w:cstheme="minorHAnsi"/>
          <w:sz w:val="22"/>
        </w:rPr>
        <w:br/>
        <w:t xml:space="preserve">Indeed, patients with PSC have a 400-fold increased risk of developing cholangiocarcinoma compared to the general population </w:t>
      </w:r>
      <w:r w:rsidR="00955CAE">
        <w:rPr>
          <w:rFonts w:asciiTheme="minorHAnsi" w:hAnsiTheme="minorHAnsi" w:cstheme="minorHAnsi"/>
          <w:b/>
          <w:sz w:val="22"/>
        </w:rPr>
        <w:t>(27</w:t>
      </w:r>
      <w:r w:rsidRPr="00663850">
        <w:rPr>
          <w:rFonts w:asciiTheme="minorHAnsi" w:hAnsiTheme="minorHAnsi" w:cstheme="minorHAnsi"/>
          <w:b/>
          <w:sz w:val="22"/>
        </w:rPr>
        <w:t>),</w:t>
      </w:r>
      <w:r w:rsidRPr="00663850">
        <w:rPr>
          <w:rFonts w:asciiTheme="minorHAnsi" w:hAnsiTheme="minorHAnsi" w:cstheme="minorHAnsi"/>
          <w:sz w:val="22"/>
        </w:rPr>
        <w:t xml:space="preserve"> with an annual risk estimated at 2% and a 30-year cumulative incidence of 20% </w:t>
      </w:r>
      <w:r w:rsidR="00955CAE">
        <w:rPr>
          <w:rFonts w:asciiTheme="minorHAnsi" w:hAnsiTheme="minorHAnsi" w:cstheme="minorHAnsi"/>
          <w:b/>
          <w:sz w:val="22"/>
        </w:rPr>
        <w:t>(27,28</w:t>
      </w:r>
      <w:r w:rsidRPr="00663850">
        <w:rPr>
          <w:rFonts w:asciiTheme="minorHAnsi" w:hAnsiTheme="minorHAnsi" w:cstheme="minorHAnsi"/>
          <w:b/>
          <w:sz w:val="22"/>
        </w:rPr>
        <w:t>).</w:t>
      </w:r>
    </w:p>
    <w:p w14:paraId="2788734F" w14:textId="77777777" w:rsidR="00663850" w:rsidRPr="00663850" w:rsidRDefault="00663850" w:rsidP="00663850">
      <w:pPr>
        <w:pStyle w:val="NormalWeb"/>
        <w:rPr>
          <w:rFonts w:asciiTheme="minorHAnsi" w:hAnsiTheme="minorHAnsi" w:cstheme="minorHAnsi"/>
          <w:sz w:val="22"/>
        </w:rPr>
      </w:pPr>
      <w:r w:rsidRPr="00663850">
        <w:rPr>
          <w:rFonts w:asciiTheme="minorHAnsi" w:hAnsiTheme="minorHAnsi" w:cstheme="minorHAnsi"/>
          <w:sz w:val="22"/>
        </w:rPr>
        <w:t>Screening for cholangiocarcinoma in patients with PSC, a condition closely associated with ulcerative colitis (UC), remains a major clinical challenge due to the lack of standardized, consensus-based strategies.</w:t>
      </w:r>
      <w:r w:rsidRPr="00663850">
        <w:rPr>
          <w:rFonts w:asciiTheme="minorHAnsi" w:hAnsiTheme="minorHAnsi" w:cstheme="minorHAnsi"/>
          <w:sz w:val="22"/>
        </w:rPr>
        <w:br/>
        <w:t xml:space="preserve">Although annual surveillance using magnetic resonance imaging (MRI) combined with serum CA 19-9 measurement is commonly recommended </w:t>
      </w:r>
      <w:r w:rsidR="00955CAE">
        <w:rPr>
          <w:rFonts w:asciiTheme="minorHAnsi" w:hAnsiTheme="minorHAnsi" w:cstheme="minorHAnsi"/>
          <w:b/>
          <w:sz w:val="22"/>
        </w:rPr>
        <w:t>(16</w:t>
      </w:r>
      <w:r w:rsidRPr="00663850">
        <w:rPr>
          <w:rFonts w:asciiTheme="minorHAnsi" w:hAnsiTheme="minorHAnsi" w:cstheme="minorHAnsi"/>
          <w:b/>
          <w:sz w:val="22"/>
        </w:rPr>
        <w:t>),</w:t>
      </w:r>
      <w:r w:rsidRPr="00663850">
        <w:rPr>
          <w:rFonts w:asciiTheme="minorHAnsi" w:hAnsiTheme="minorHAnsi" w:cstheme="minorHAnsi"/>
          <w:sz w:val="22"/>
        </w:rPr>
        <w:t xml:space="preserve"> these approaches have limited sensitivity and their diagnostic performance remains a matter of debate.</w:t>
      </w:r>
    </w:p>
    <w:p w14:paraId="38BC5CF1" w14:textId="77777777" w:rsidR="00EA4237" w:rsidRDefault="00663850" w:rsidP="00663850">
      <w:pPr>
        <w:pStyle w:val="NormalWeb"/>
        <w:rPr>
          <w:rFonts w:asciiTheme="minorHAnsi" w:hAnsiTheme="minorHAnsi" w:cstheme="minorHAnsi"/>
          <w:sz w:val="22"/>
        </w:rPr>
      </w:pPr>
      <w:r w:rsidRPr="00663850">
        <w:rPr>
          <w:rFonts w:asciiTheme="minorHAnsi" w:hAnsiTheme="minorHAnsi" w:cstheme="minorHAnsi"/>
          <w:sz w:val="22"/>
        </w:rPr>
        <w:t xml:space="preserve">Given the risk of cholangiocarcinoma, cholecystectomy is recommended for any patient presenting with a gallbladder lesion larger than 0.8 cm </w:t>
      </w:r>
      <w:r w:rsidR="00955CAE">
        <w:rPr>
          <w:rFonts w:asciiTheme="minorHAnsi" w:hAnsiTheme="minorHAnsi" w:cstheme="minorHAnsi"/>
          <w:b/>
          <w:sz w:val="22"/>
        </w:rPr>
        <w:t>(29</w:t>
      </w:r>
      <w:r w:rsidRPr="00663850">
        <w:rPr>
          <w:rFonts w:asciiTheme="minorHAnsi" w:hAnsiTheme="minorHAnsi" w:cstheme="minorHAnsi"/>
          <w:b/>
          <w:sz w:val="22"/>
        </w:rPr>
        <w:t>).</w:t>
      </w:r>
      <w:r w:rsidRPr="00663850">
        <w:rPr>
          <w:rFonts w:asciiTheme="minorHAnsi" w:hAnsiTheme="minorHAnsi" w:cstheme="minorHAnsi"/>
          <w:b/>
          <w:sz w:val="22"/>
        </w:rPr>
        <w:br/>
      </w:r>
      <w:r w:rsidRPr="00663850">
        <w:rPr>
          <w:rFonts w:asciiTheme="minorHAnsi" w:hAnsiTheme="minorHAnsi" w:cstheme="minorHAnsi"/>
          <w:sz w:val="22"/>
        </w:rPr>
        <w:t>In the absence of specific clinical manifestations, screening relies primarily on iterative surveillance and sustained clinical vigilance.</w:t>
      </w:r>
    </w:p>
    <w:p w14:paraId="2D4648B8" w14:textId="77777777" w:rsidR="005C41FE" w:rsidRPr="005C41FE" w:rsidRDefault="005C41FE" w:rsidP="005C41FE">
      <w:pPr>
        <w:pStyle w:val="NormalWeb"/>
        <w:rPr>
          <w:rFonts w:asciiTheme="minorHAnsi" w:hAnsiTheme="minorHAnsi" w:cstheme="minorHAnsi"/>
          <w:sz w:val="22"/>
        </w:rPr>
      </w:pPr>
      <w:r w:rsidRPr="005C41FE">
        <w:rPr>
          <w:rFonts w:asciiTheme="minorHAnsi" w:hAnsiTheme="minorHAnsi" w:cstheme="minorHAnsi"/>
          <w:sz w:val="22"/>
        </w:rPr>
        <w:t xml:space="preserve">Small bowel adenocarcinoma is rare, accounting for less than 2% of all gastrointestinal malignancies </w:t>
      </w:r>
      <w:r w:rsidR="00955CAE">
        <w:rPr>
          <w:rFonts w:asciiTheme="minorHAnsi" w:hAnsiTheme="minorHAnsi" w:cstheme="minorHAnsi"/>
          <w:b/>
          <w:sz w:val="22"/>
        </w:rPr>
        <w:t>(30</w:t>
      </w:r>
      <w:r w:rsidRPr="005C41FE">
        <w:rPr>
          <w:rFonts w:asciiTheme="minorHAnsi" w:hAnsiTheme="minorHAnsi" w:cstheme="minorHAnsi"/>
          <w:b/>
          <w:sz w:val="22"/>
        </w:rPr>
        <w:t>).</w:t>
      </w:r>
      <w:r w:rsidRPr="005C41FE">
        <w:rPr>
          <w:rFonts w:asciiTheme="minorHAnsi" w:hAnsiTheme="minorHAnsi" w:cstheme="minorHAnsi"/>
          <w:sz w:val="22"/>
        </w:rPr>
        <w:br/>
      </w:r>
      <w:r w:rsidRPr="005C41FE">
        <w:rPr>
          <w:rFonts w:asciiTheme="minorHAnsi" w:hAnsiTheme="minorHAnsi" w:cstheme="minorHAnsi"/>
          <w:sz w:val="22"/>
        </w:rPr>
        <w:lastRenderedPageBreak/>
        <w:t xml:space="preserve">The most frequent location is the duodenum (approximately 50% of cases), followed by the jejunum (30%) and ileum (20%), except in the context of Crohn’s disease, where over 75% of cases are ileal </w:t>
      </w:r>
      <w:r w:rsidR="00955CAE">
        <w:rPr>
          <w:rFonts w:asciiTheme="minorHAnsi" w:hAnsiTheme="minorHAnsi" w:cstheme="minorHAnsi"/>
          <w:b/>
          <w:sz w:val="22"/>
        </w:rPr>
        <w:t>(31</w:t>
      </w:r>
      <w:r w:rsidRPr="005C41FE">
        <w:rPr>
          <w:rFonts w:asciiTheme="minorHAnsi" w:hAnsiTheme="minorHAnsi" w:cstheme="minorHAnsi"/>
          <w:b/>
          <w:sz w:val="22"/>
        </w:rPr>
        <w:t>).</w:t>
      </w:r>
    </w:p>
    <w:p w14:paraId="7C607309" w14:textId="77777777" w:rsidR="005C41FE" w:rsidRDefault="005C41FE" w:rsidP="005C41FE">
      <w:pPr>
        <w:pStyle w:val="NormalWeb"/>
        <w:rPr>
          <w:rFonts w:asciiTheme="minorHAnsi" w:hAnsiTheme="minorHAnsi" w:cstheme="minorHAnsi"/>
          <w:b/>
          <w:sz w:val="22"/>
        </w:rPr>
      </w:pPr>
      <w:r w:rsidRPr="005C41FE">
        <w:rPr>
          <w:rFonts w:asciiTheme="minorHAnsi" w:hAnsiTheme="minorHAnsi" w:cstheme="minorHAnsi"/>
          <w:sz w:val="22"/>
        </w:rPr>
        <w:t>Risk factors for the development of small bowel adenocarcinoma include disease duration, site of inflammation, young age, male sex, and prior bowel-conserving surgery</w:t>
      </w:r>
      <w:r w:rsidR="00955CAE">
        <w:rPr>
          <w:rFonts w:asciiTheme="minorHAnsi" w:hAnsiTheme="minorHAnsi" w:cstheme="minorHAnsi"/>
          <w:b/>
          <w:sz w:val="22"/>
        </w:rPr>
        <w:t xml:space="preserve"> (32</w:t>
      </w:r>
      <w:r w:rsidRPr="005C41FE">
        <w:rPr>
          <w:rFonts w:asciiTheme="minorHAnsi" w:hAnsiTheme="minorHAnsi" w:cstheme="minorHAnsi"/>
          <w:b/>
          <w:sz w:val="22"/>
        </w:rPr>
        <w:t>).</w:t>
      </w:r>
      <w:r w:rsidRPr="005C41FE">
        <w:rPr>
          <w:rFonts w:asciiTheme="minorHAnsi" w:hAnsiTheme="minorHAnsi" w:cstheme="minorHAnsi"/>
          <w:sz w:val="22"/>
        </w:rPr>
        <w:br/>
        <w:t xml:space="preserve">Regarding disease duration, one study reported that the risk of ileal adenocarcinoma in Crohn’s disease was 0.2% after 10 years of disease evolution, increasing to 2.2% after 25 years </w:t>
      </w:r>
      <w:r w:rsidR="00955CAE">
        <w:rPr>
          <w:rFonts w:asciiTheme="minorHAnsi" w:hAnsiTheme="minorHAnsi" w:cstheme="minorHAnsi"/>
          <w:b/>
          <w:sz w:val="22"/>
        </w:rPr>
        <w:t>(32</w:t>
      </w:r>
      <w:r w:rsidRPr="005C41FE">
        <w:rPr>
          <w:rFonts w:asciiTheme="minorHAnsi" w:hAnsiTheme="minorHAnsi" w:cstheme="minorHAnsi"/>
          <w:b/>
          <w:sz w:val="22"/>
        </w:rPr>
        <w:t>).</w:t>
      </w:r>
    </w:p>
    <w:p w14:paraId="1B2A2951" w14:textId="77777777" w:rsidR="009E67FC" w:rsidRPr="009E67FC" w:rsidRDefault="009E67FC" w:rsidP="009E67FC">
      <w:r w:rsidRPr="009E67FC">
        <w:t xml:space="preserve">Currently, there are no well-defined recommendations regarding the screening for small bowel adenocarcinoma in patients with inflammatory bowel disease (IBD) </w:t>
      </w:r>
      <w:r w:rsidRPr="009E67FC">
        <w:rPr>
          <w:b/>
        </w:rPr>
        <w:t>(33).</w:t>
      </w:r>
      <w:r w:rsidRPr="009E67FC">
        <w:br/>
        <w:t xml:space="preserve">Moreover, in a 2017 study by Grolleau et al., evaluating the diagnostic performance of capsule endoscopy for the detection of small bowel tumors, the reported sensitivity was 83.3%, with a negative predictive value of 97.6% </w:t>
      </w:r>
      <w:r w:rsidRPr="009E67FC">
        <w:rPr>
          <w:b/>
        </w:rPr>
        <w:t>(34)</w:t>
      </w:r>
    </w:p>
    <w:p w14:paraId="3B7FC472" w14:textId="77777777" w:rsidR="005C41FE" w:rsidRPr="009E67FC" w:rsidRDefault="005C41FE" w:rsidP="009E67FC">
      <w:r w:rsidRPr="009E67FC">
        <w:t>In our study, no cases of small bowel adenocarcinoma were detected.</w:t>
      </w:r>
    </w:p>
    <w:p w14:paraId="2FA00FD9" w14:textId="77777777" w:rsidR="009E67FC" w:rsidRPr="009E67FC" w:rsidRDefault="009E67FC" w:rsidP="009E67FC">
      <w:r w:rsidRPr="009E67FC">
        <w:t>Following restorative proctocolectomy with ileal pouch–anal anastomosis (IPAA), the risk of developing adenocarcinoma within the pouch is estimated to be less than 5%.</w:t>
      </w:r>
      <w:r w:rsidRPr="009E67FC">
        <w:br/>
        <w:t xml:space="preserve">In a review of 26 cases, adenocarcinoma of the pouch was reported to occur either in the presence or absence of dysplasia or cancer in the colectomy specimen, among patients operated on for ulcerative colitis or Crohn’s disease who underwent proctocolectomy with IPAA </w:t>
      </w:r>
      <w:r w:rsidRPr="009E67FC">
        <w:rPr>
          <w:b/>
        </w:rPr>
        <w:t>(35).</w:t>
      </w:r>
    </w:p>
    <w:p w14:paraId="2A8CC7C8" w14:textId="77777777" w:rsidR="009E67FC" w:rsidRPr="009E67FC" w:rsidRDefault="009E67FC" w:rsidP="009E67FC">
      <w:r w:rsidRPr="009E67FC">
        <w:t xml:space="preserve">Accordingly, annual endoscopic surveillance with systematic biopsies of the ileal pouch is recommended after IPAA, particularly in patients with a history of dysplasia or colorectal carcinoma in the colectomy specimen, concomitant primary sclerosing cholangitis, persistent mucosal atrophy, or severe inflammation of the pouch </w:t>
      </w:r>
      <w:r w:rsidRPr="009E67FC">
        <w:rPr>
          <w:b/>
        </w:rPr>
        <w:t>(36).</w:t>
      </w:r>
    </w:p>
    <w:p w14:paraId="75D91639" w14:textId="77777777" w:rsidR="00EB2FEF" w:rsidRPr="00EB2FEF" w:rsidRDefault="00EB2FEF" w:rsidP="00EB2FEF">
      <w:pPr>
        <w:spacing w:before="100" w:beforeAutospacing="1" w:after="100" w:afterAutospacing="1" w:line="240" w:lineRule="auto"/>
        <w:outlineLvl w:val="2"/>
        <w:rPr>
          <w:rFonts w:eastAsia="Times New Roman" w:cstheme="minorHAnsi"/>
          <w:b/>
          <w:bCs/>
          <w:sz w:val="24"/>
        </w:rPr>
      </w:pPr>
      <w:r w:rsidRPr="00EB2FEF">
        <w:rPr>
          <w:rFonts w:eastAsia="Times New Roman" w:cstheme="minorHAnsi"/>
          <w:b/>
          <w:bCs/>
          <w:sz w:val="24"/>
        </w:rPr>
        <w:t>Conclusion</w:t>
      </w:r>
      <w:r w:rsidR="00663850">
        <w:rPr>
          <w:rFonts w:eastAsia="Times New Roman" w:cstheme="minorHAnsi"/>
          <w:b/>
          <w:bCs/>
          <w:sz w:val="24"/>
        </w:rPr>
        <w:t> :</w:t>
      </w:r>
    </w:p>
    <w:p w14:paraId="24368F5B" w14:textId="77777777" w:rsidR="00EB2FEF" w:rsidRDefault="00EB2FEF" w:rsidP="00EB2FEF">
      <w:pPr>
        <w:spacing w:before="100" w:beforeAutospacing="1" w:after="100" w:afterAutospacing="1" w:line="240" w:lineRule="auto"/>
        <w:rPr>
          <w:rFonts w:eastAsia="Times New Roman" w:cstheme="minorHAnsi"/>
        </w:rPr>
      </w:pPr>
      <w:r w:rsidRPr="00EB2FEF">
        <w:rPr>
          <w:rFonts w:eastAsia="Times New Roman" w:cstheme="minorHAnsi"/>
        </w:rPr>
        <w:t>Inflammatory bowel diseases (IBD), beyond their gastrointestinal manifestations, are associated with an increased risk of various cancers.</w:t>
      </w:r>
      <w:r w:rsidRPr="00EB2FEF">
        <w:rPr>
          <w:rFonts w:eastAsia="Times New Roman" w:cstheme="minorHAnsi"/>
        </w:rPr>
        <w:br/>
        <w:t>While colorectal cancer remains the most extensively documented, other tumor types, including hepatobiliary cancers, lymphomas, skin cancers, and lung cancers, are also more frequent in this population.</w:t>
      </w:r>
      <w:r w:rsidRPr="00EB2FEF">
        <w:rPr>
          <w:rFonts w:eastAsia="Times New Roman" w:cstheme="minorHAnsi"/>
        </w:rPr>
        <w:br/>
        <w:t>This risk is linked to the chronic inflammation characteristic of IBD, prolonged use of immunosuppressive therapies, and modifiable environmental risk factors.</w:t>
      </w:r>
      <w:r w:rsidRPr="00EB2FEF">
        <w:rPr>
          <w:rFonts w:eastAsia="Times New Roman" w:cstheme="minorHAnsi"/>
        </w:rPr>
        <w:br/>
        <w:t>In this context, targeted oncological screening is essential, although no universal strategy has yet been established.</w:t>
      </w:r>
    </w:p>
    <w:p w14:paraId="5C265945" w14:textId="77777777" w:rsidR="00C56135" w:rsidRPr="007C6F6E" w:rsidRDefault="00C56135" w:rsidP="00C56135">
      <w:pPr>
        <w:tabs>
          <w:tab w:val="left" w:pos="3544"/>
        </w:tabs>
        <w:spacing w:after="0"/>
        <w:rPr>
          <w:rFonts w:cstheme="minorHAnsi"/>
          <w:b/>
          <w:u w:val="single"/>
        </w:rPr>
      </w:pPr>
      <w:r w:rsidRPr="007C6F6E">
        <w:rPr>
          <w:rFonts w:cstheme="minorHAnsi"/>
          <w:b/>
          <w:u w:val="single"/>
        </w:rPr>
        <w:t>Reference :</w:t>
      </w:r>
    </w:p>
    <w:p w14:paraId="463B8348" w14:textId="77777777" w:rsidR="00C56135" w:rsidRPr="007C6F6E" w:rsidRDefault="00C56135" w:rsidP="00955CAE">
      <w:pPr>
        <w:pStyle w:val="NormalWeb"/>
        <w:spacing w:before="0" w:beforeAutospacing="0" w:after="0" w:afterAutospacing="0"/>
        <w:jc w:val="both"/>
        <w:rPr>
          <w:rFonts w:asciiTheme="minorHAnsi" w:hAnsiTheme="minorHAnsi" w:cstheme="minorHAnsi"/>
          <w:sz w:val="22"/>
          <w:szCs w:val="22"/>
          <w:lang w:val="nl-NL"/>
        </w:rPr>
      </w:pPr>
    </w:p>
    <w:p w14:paraId="74284B7A"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en-US"/>
        </w:rPr>
      </w:pPr>
      <w:r w:rsidRPr="007C6F6E">
        <w:rPr>
          <w:rFonts w:asciiTheme="minorHAnsi" w:hAnsiTheme="minorHAnsi" w:cstheme="minorHAnsi"/>
          <w:sz w:val="22"/>
          <w:szCs w:val="22"/>
        </w:rPr>
        <w:t xml:space="preserve">Eaden JA, Abrams KR, Mayberry JF. The risk of colorectal cancer in ulcerative </w:t>
      </w:r>
      <w:proofErr w:type="gramStart"/>
      <w:r w:rsidRPr="007C6F6E">
        <w:rPr>
          <w:rFonts w:asciiTheme="minorHAnsi" w:hAnsiTheme="minorHAnsi" w:cstheme="minorHAnsi"/>
          <w:sz w:val="22"/>
          <w:szCs w:val="22"/>
        </w:rPr>
        <w:t>colitis:</w:t>
      </w:r>
      <w:proofErr w:type="gramEnd"/>
      <w:r w:rsidRPr="007C6F6E">
        <w:rPr>
          <w:rFonts w:asciiTheme="minorHAnsi" w:hAnsiTheme="minorHAnsi" w:cstheme="minorHAnsi"/>
          <w:sz w:val="22"/>
          <w:szCs w:val="22"/>
        </w:rPr>
        <w:t xml:space="preserve"> A meta-analysis. Gut 2001 ; 48 : 526-35.</w:t>
      </w:r>
    </w:p>
    <w:p w14:paraId="48E47DDB" w14:textId="77777777" w:rsidR="00C56135" w:rsidRPr="007C6F6E" w:rsidRDefault="00C56135" w:rsidP="00C56135">
      <w:pPr>
        <w:pStyle w:val="NormalWeb"/>
        <w:spacing w:before="0" w:beforeAutospacing="0" w:after="0" w:afterAutospacing="0"/>
        <w:jc w:val="both"/>
        <w:rPr>
          <w:rFonts w:asciiTheme="minorHAnsi" w:hAnsiTheme="minorHAnsi" w:cstheme="minorHAnsi"/>
          <w:sz w:val="22"/>
          <w:szCs w:val="22"/>
          <w:lang w:val="en-US"/>
        </w:rPr>
      </w:pPr>
    </w:p>
    <w:p w14:paraId="00BD2230"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nl-NL"/>
        </w:rPr>
      </w:pPr>
      <w:r w:rsidRPr="007C6F6E">
        <w:rPr>
          <w:rFonts w:asciiTheme="minorHAnsi" w:hAnsiTheme="minorHAnsi" w:cstheme="minorHAnsi"/>
          <w:bCs/>
          <w:sz w:val="22"/>
          <w:szCs w:val="22"/>
          <w:lang w:val="nl-NL"/>
        </w:rPr>
        <w:t xml:space="preserve">Khan N, Abbas AM, Lichtenstein GR, Loftus EV Jr, Bazzano LA. </w:t>
      </w:r>
      <w:r w:rsidRPr="007C6F6E">
        <w:rPr>
          <w:rFonts w:asciiTheme="minorHAnsi" w:hAnsiTheme="minorHAnsi" w:cstheme="minorHAnsi"/>
          <w:sz w:val="22"/>
          <w:szCs w:val="22"/>
          <w:lang w:val="en-US"/>
        </w:rPr>
        <w:t>Risk of lymphoma in patients with ulcerative colitis treated with thiopurines: a nationwide retrospective cohort study.</w:t>
      </w:r>
      <w:r w:rsidRPr="007C6F6E">
        <w:rPr>
          <w:rStyle w:val="apple-converted-space"/>
          <w:rFonts w:asciiTheme="minorHAnsi" w:hAnsiTheme="minorHAnsi" w:cstheme="minorHAnsi"/>
          <w:sz w:val="22"/>
          <w:szCs w:val="22"/>
          <w:lang w:val="en-US"/>
        </w:rPr>
        <w:t> </w:t>
      </w:r>
      <w:r w:rsidRPr="007C6F6E">
        <w:rPr>
          <w:rStyle w:val="Emphasis"/>
          <w:rFonts w:asciiTheme="minorHAnsi" w:hAnsiTheme="minorHAnsi" w:cstheme="minorHAnsi"/>
          <w:i w:val="0"/>
          <w:iCs w:val="0"/>
          <w:sz w:val="22"/>
          <w:szCs w:val="22"/>
          <w:lang w:val="en-US"/>
        </w:rPr>
        <w:t>Gastroenterology</w:t>
      </w:r>
      <w:r w:rsidRPr="007C6F6E">
        <w:rPr>
          <w:rFonts w:asciiTheme="minorHAnsi" w:hAnsiTheme="minorHAnsi" w:cstheme="minorHAnsi"/>
          <w:sz w:val="22"/>
          <w:szCs w:val="22"/>
          <w:lang w:val="en-US"/>
        </w:rPr>
        <w:t xml:space="preserve">. </w:t>
      </w:r>
      <w:r w:rsidRPr="007C6F6E">
        <w:rPr>
          <w:rFonts w:asciiTheme="minorHAnsi" w:hAnsiTheme="minorHAnsi" w:cstheme="minorHAnsi"/>
          <w:i/>
          <w:iCs/>
          <w:sz w:val="22"/>
          <w:szCs w:val="22"/>
          <w:lang w:val="en-US"/>
        </w:rPr>
        <w:t xml:space="preserve">2013 Nov;145(5):1007–1015.e3. </w:t>
      </w:r>
      <w:proofErr w:type="gramStart"/>
      <w:r w:rsidRPr="007C6F6E">
        <w:rPr>
          <w:rFonts w:asciiTheme="minorHAnsi" w:hAnsiTheme="minorHAnsi" w:cstheme="minorHAnsi"/>
          <w:i/>
          <w:iCs/>
          <w:sz w:val="22"/>
          <w:szCs w:val="22"/>
          <w:lang w:val="en-US"/>
        </w:rPr>
        <w:t>doi:10.1053/j.gastro</w:t>
      </w:r>
      <w:proofErr w:type="gramEnd"/>
      <w:r w:rsidRPr="007C6F6E">
        <w:rPr>
          <w:rFonts w:asciiTheme="minorHAnsi" w:hAnsiTheme="minorHAnsi" w:cstheme="minorHAnsi"/>
          <w:i/>
          <w:iCs/>
          <w:sz w:val="22"/>
          <w:szCs w:val="22"/>
          <w:lang w:val="en-US"/>
        </w:rPr>
        <w:t>.2013.07.035.</w:t>
      </w:r>
    </w:p>
    <w:p w14:paraId="72D546EE" w14:textId="77777777" w:rsidR="00C56135" w:rsidRPr="007C6F6E" w:rsidRDefault="00C56135" w:rsidP="00C56135">
      <w:pPr>
        <w:pStyle w:val="NormalWeb"/>
        <w:spacing w:before="0" w:beforeAutospacing="0" w:after="0" w:afterAutospacing="0"/>
        <w:jc w:val="both"/>
        <w:rPr>
          <w:rFonts w:asciiTheme="minorHAnsi" w:hAnsiTheme="minorHAnsi" w:cstheme="minorHAnsi"/>
          <w:sz w:val="22"/>
          <w:szCs w:val="22"/>
          <w:lang w:val="nl-NL"/>
        </w:rPr>
      </w:pPr>
    </w:p>
    <w:p w14:paraId="7B0EFAD7" w14:textId="77777777" w:rsidR="00C56135" w:rsidRPr="007C6F6E" w:rsidRDefault="00C56135" w:rsidP="00C56135">
      <w:pPr>
        <w:pStyle w:val="ListParagraph"/>
        <w:numPr>
          <w:ilvl w:val="0"/>
          <w:numId w:val="1"/>
        </w:numPr>
        <w:spacing w:after="0" w:line="240" w:lineRule="auto"/>
        <w:ind w:left="426"/>
        <w:jc w:val="both"/>
        <w:rPr>
          <w:rFonts w:cstheme="minorHAnsi"/>
          <w:i/>
          <w:iCs/>
          <w:lang w:val="en-US"/>
        </w:rPr>
      </w:pPr>
      <w:r w:rsidRPr="007C6F6E">
        <w:rPr>
          <w:rFonts w:cstheme="minorHAnsi"/>
          <w:bCs/>
          <w:lang w:val="en-US"/>
        </w:rPr>
        <w:t>Vuitton L, Jacquin E, Parmentier AL </w:t>
      </w:r>
      <w:r w:rsidRPr="007C6F6E">
        <w:rPr>
          <w:rFonts w:cstheme="minorHAnsi"/>
          <w:lang w:val="en-US"/>
        </w:rPr>
        <w:t xml:space="preserve">et High prevalence of anal canal high-risk Human Papilloma virus infection in patients with Crohn’s disease. </w:t>
      </w:r>
      <w:r w:rsidRPr="007C6F6E">
        <w:rPr>
          <w:rFonts w:cstheme="minorHAnsi"/>
          <w:i/>
          <w:iCs/>
          <w:lang w:val="en-US"/>
        </w:rPr>
        <w:t>Clin Gastroenterol Hepatol 2018.</w:t>
      </w:r>
    </w:p>
    <w:p w14:paraId="08BA0285" w14:textId="77777777" w:rsidR="00C56135" w:rsidRPr="007C6F6E" w:rsidRDefault="00C56135" w:rsidP="00C56135">
      <w:pPr>
        <w:spacing w:after="0" w:line="240" w:lineRule="auto"/>
        <w:jc w:val="both"/>
        <w:rPr>
          <w:rFonts w:cstheme="minorHAnsi"/>
          <w:i/>
          <w:iCs/>
          <w:lang w:val="en-US"/>
        </w:rPr>
      </w:pPr>
    </w:p>
    <w:p w14:paraId="62FF57E5"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i/>
          <w:iCs/>
          <w:sz w:val="22"/>
          <w:szCs w:val="22"/>
          <w:lang w:val="en-US"/>
        </w:rPr>
      </w:pPr>
      <w:r w:rsidRPr="007C6F6E">
        <w:rPr>
          <w:rFonts w:asciiTheme="minorHAnsi" w:hAnsiTheme="minorHAnsi" w:cstheme="minorHAnsi"/>
          <w:bCs/>
          <w:sz w:val="22"/>
          <w:szCs w:val="22"/>
          <w:lang w:val="en-US"/>
        </w:rPr>
        <w:t>Thia KT, Loftus EV, Sandborn WJ, Yang S-K.</w:t>
      </w:r>
      <w:r w:rsidRPr="007C6F6E">
        <w:rPr>
          <w:rFonts w:asciiTheme="minorHAnsi" w:hAnsiTheme="minorHAnsi" w:cstheme="minorHAnsi"/>
          <w:sz w:val="22"/>
          <w:szCs w:val="22"/>
          <w:lang w:val="en-US"/>
        </w:rPr>
        <w:t xml:space="preserve"> An update on the epidemiology of inflammatory bowel disease in Asia</w:t>
      </w:r>
      <w:r w:rsidRPr="007C6F6E">
        <w:rPr>
          <w:rFonts w:asciiTheme="minorHAnsi" w:hAnsiTheme="minorHAnsi" w:cstheme="minorHAnsi"/>
          <w:i/>
          <w:iCs/>
          <w:sz w:val="22"/>
          <w:szCs w:val="22"/>
          <w:lang w:val="en-US"/>
        </w:rPr>
        <w:t>. Am J Gastroenterol. 2008 Dec.</w:t>
      </w:r>
    </w:p>
    <w:p w14:paraId="78DBD324" w14:textId="77777777" w:rsidR="00C56135" w:rsidRPr="007C6F6E" w:rsidRDefault="00C56135" w:rsidP="00C56135">
      <w:pPr>
        <w:pStyle w:val="NormalWeb"/>
        <w:spacing w:before="0" w:beforeAutospacing="0" w:after="0" w:afterAutospacing="0"/>
        <w:jc w:val="both"/>
        <w:rPr>
          <w:rFonts w:asciiTheme="minorHAnsi" w:hAnsiTheme="minorHAnsi" w:cstheme="minorHAnsi"/>
          <w:i/>
          <w:iCs/>
          <w:sz w:val="22"/>
          <w:szCs w:val="22"/>
          <w:lang w:val="en-US"/>
        </w:rPr>
      </w:pPr>
    </w:p>
    <w:p w14:paraId="243FFBF3"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i/>
          <w:iCs/>
          <w:sz w:val="22"/>
          <w:szCs w:val="22"/>
        </w:rPr>
      </w:pPr>
      <w:r w:rsidRPr="007C6F6E">
        <w:rPr>
          <w:rFonts w:asciiTheme="minorHAnsi" w:hAnsiTheme="minorHAnsi" w:cstheme="minorHAnsi"/>
          <w:bCs/>
          <w:sz w:val="22"/>
          <w:szCs w:val="22"/>
          <w:lang w:val="en-US"/>
        </w:rPr>
        <w:t>Yang S-K, Yun S, Kim J-H, Park JY, Kim HY, Kim Y-H, et al.</w:t>
      </w:r>
      <w:r w:rsidRPr="007C6F6E">
        <w:rPr>
          <w:rFonts w:asciiTheme="minorHAnsi" w:hAnsiTheme="minorHAnsi" w:cstheme="minorHAnsi"/>
          <w:sz w:val="22"/>
          <w:szCs w:val="22"/>
          <w:lang w:val="en-US"/>
        </w:rPr>
        <w:t xml:space="preserve"> Epidemiology of inflammatory bowel disease in the Songpa-Kangdong district, Seoul, Korea, 1986- 2005: a KASID study. </w:t>
      </w:r>
      <w:r w:rsidRPr="007C6F6E">
        <w:rPr>
          <w:rFonts w:asciiTheme="minorHAnsi" w:hAnsiTheme="minorHAnsi" w:cstheme="minorHAnsi"/>
          <w:i/>
          <w:iCs/>
          <w:sz w:val="22"/>
          <w:szCs w:val="22"/>
        </w:rPr>
        <w:t>InflammBowel Dis. 2008 Apr.</w:t>
      </w:r>
    </w:p>
    <w:p w14:paraId="45B15419" w14:textId="77777777" w:rsidR="00C56135" w:rsidRPr="007C6F6E" w:rsidRDefault="00C56135" w:rsidP="00C56135">
      <w:pPr>
        <w:pStyle w:val="NormalWeb"/>
        <w:spacing w:before="0" w:beforeAutospacing="0" w:after="0" w:afterAutospacing="0"/>
        <w:jc w:val="both"/>
        <w:rPr>
          <w:rFonts w:asciiTheme="minorHAnsi" w:hAnsiTheme="minorHAnsi" w:cstheme="minorHAnsi"/>
          <w:i/>
          <w:iCs/>
          <w:sz w:val="22"/>
          <w:szCs w:val="22"/>
        </w:rPr>
      </w:pPr>
    </w:p>
    <w:p w14:paraId="3EF40D1D"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en-US"/>
        </w:rPr>
      </w:pPr>
      <w:r w:rsidRPr="007C6F6E">
        <w:rPr>
          <w:rFonts w:asciiTheme="minorHAnsi" w:hAnsiTheme="minorHAnsi" w:cstheme="minorHAnsi"/>
          <w:bCs/>
          <w:sz w:val="22"/>
          <w:szCs w:val="22"/>
          <w:lang w:val="en-US"/>
        </w:rPr>
        <w:t xml:space="preserve">Jess T, et al. </w:t>
      </w:r>
      <w:r w:rsidRPr="007C6F6E">
        <w:rPr>
          <w:rFonts w:asciiTheme="minorHAnsi" w:hAnsiTheme="minorHAnsi" w:cstheme="minorHAnsi"/>
          <w:sz w:val="22"/>
          <w:szCs w:val="22"/>
          <w:lang w:val="en-US"/>
        </w:rPr>
        <w:t>"Risk of colorectal cancer in inflammatory bowel disease: a meta-analysis of population-based cohort studies."</w:t>
      </w:r>
      <w:r w:rsidRPr="007C6F6E">
        <w:rPr>
          <w:rStyle w:val="apple-converted-space"/>
          <w:rFonts w:asciiTheme="minorHAnsi" w:hAnsiTheme="minorHAnsi" w:cstheme="minorHAnsi"/>
          <w:sz w:val="22"/>
          <w:szCs w:val="22"/>
          <w:lang w:val="en-US"/>
        </w:rPr>
        <w:t> </w:t>
      </w:r>
      <w:r w:rsidRPr="007C6F6E">
        <w:rPr>
          <w:rStyle w:val="Emphasis"/>
          <w:rFonts w:asciiTheme="minorHAnsi" w:hAnsiTheme="minorHAnsi" w:cstheme="minorHAnsi"/>
          <w:sz w:val="22"/>
          <w:szCs w:val="22"/>
          <w:lang w:val="en-US"/>
        </w:rPr>
        <w:t>Clin Gastroenterol Hepatol</w:t>
      </w:r>
      <w:r w:rsidRPr="007C6F6E">
        <w:rPr>
          <w:rFonts w:asciiTheme="minorHAnsi" w:hAnsiTheme="minorHAnsi" w:cstheme="minorHAnsi"/>
          <w:sz w:val="22"/>
          <w:szCs w:val="22"/>
          <w:lang w:val="en-US"/>
        </w:rPr>
        <w:t>. 2012.</w:t>
      </w:r>
    </w:p>
    <w:p w14:paraId="33A7D6B2" w14:textId="77777777" w:rsidR="00C56135" w:rsidRPr="007C6F6E" w:rsidRDefault="00C56135" w:rsidP="00C56135">
      <w:pPr>
        <w:pStyle w:val="NormalWeb"/>
        <w:spacing w:before="0" w:beforeAutospacing="0" w:after="0" w:afterAutospacing="0"/>
        <w:jc w:val="both"/>
        <w:rPr>
          <w:rFonts w:asciiTheme="minorHAnsi" w:hAnsiTheme="minorHAnsi" w:cstheme="minorHAnsi"/>
          <w:sz w:val="22"/>
          <w:szCs w:val="22"/>
          <w:lang w:val="en-US"/>
        </w:rPr>
      </w:pPr>
    </w:p>
    <w:p w14:paraId="48E4373E" w14:textId="77777777" w:rsidR="00C56135" w:rsidRPr="007C6F6E" w:rsidRDefault="00C56135" w:rsidP="00C56135">
      <w:pPr>
        <w:pStyle w:val="ListParagraph"/>
        <w:numPr>
          <w:ilvl w:val="0"/>
          <w:numId w:val="1"/>
        </w:numPr>
        <w:spacing w:after="0" w:line="240" w:lineRule="auto"/>
        <w:ind w:left="426"/>
        <w:jc w:val="both"/>
        <w:rPr>
          <w:rFonts w:cstheme="minorHAnsi"/>
          <w:i/>
          <w:iCs/>
          <w:lang w:val="en-US"/>
        </w:rPr>
      </w:pPr>
      <w:r w:rsidRPr="007C6F6E">
        <w:rPr>
          <w:rFonts w:cstheme="minorHAnsi"/>
          <w:bCs/>
          <w:lang w:val="fr-MA"/>
        </w:rPr>
        <w:t>Beaugerie L, Carrat F, Nahon S et al. </w:t>
      </w:r>
      <w:r w:rsidRPr="007C6F6E">
        <w:rPr>
          <w:rFonts w:cstheme="minorHAnsi"/>
          <w:lang w:val="en-US"/>
        </w:rPr>
        <w:t xml:space="preserve">High risk of anal and rectal cancer in patients with anal and/or perianal Crohn’s disease. </w:t>
      </w:r>
      <w:r w:rsidRPr="007C6F6E">
        <w:rPr>
          <w:rFonts w:cstheme="minorHAnsi"/>
          <w:i/>
          <w:iCs/>
          <w:lang w:val="en-US"/>
        </w:rPr>
        <w:t>Clin Gastroenterol Hepatol 2018.</w:t>
      </w:r>
    </w:p>
    <w:p w14:paraId="7628116C" w14:textId="77777777" w:rsidR="00C56135" w:rsidRPr="007C6F6E" w:rsidRDefault="00C56135" w:rsidP="00C56135">
      <w:pPr>
        <w:spacing w:after="0" w:line="240" w:lineRule="auto"/>
        <w:jc w:val="both"/>
        <w:rPr>
          <w:rFonts w:cstheme="minorHAnsi"/>
          <w:i/>
          <w:iCs/>
          <w:lang w:val="en-US"/>
        </w:rPr>
      </w:pPr>
    </w:p>
    <w:p w14:paraId="7A315C82"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nl-NL"/>
        </w:rPr>
      </w:pPr>
      <w:r w:rsidRPr="007C6F6E">
        <w:rPr>
          <w:rFonts w:asciiTheme="minorHAnsi" w:hAnsiTheme="minorHAnsi" w:cstheme="minorHAnsi"/>
          <w:sz w:val="22"/>
          <w:szCs w:val="22"/>
          <w:shd w:val="clear" w:color="auto" w:fill="FFFFFF"/>
        </w:rPr>
        <w:t>Bourrier A., Carrat F., Colombel J.-F., Bouvier A.-M., Abitbol V., Marteau P., Cosnes J., Simon T., Peyrin-Biroulet L., Beaugerie L., et al. Excès de risque de cancers des voies urinaires chez les patients recevant des thiopurines pour une maladie inflammatoire de l’intestin : une étude de cohorte observationnelle prospective. Alimentation. Pharmacol.</w:t>
      </w:r>
    </w:p>
    <w:p w14:paraId="52B6E63B" w14:textId="77777777" w:rsidR="00C56135" w:rsidRPr="007C6F6E" w:rsidRDefault="00C56135" w:rsidP="00C56135">
      <w:pPr>
        <w:pStyle w:val="NormalWeb"/>
        <w:spacing w:before="0" w:beforeAutospacing="0" w:after="0" w:afterAutospacing="0"/>
        <w:jc w:val="both"/>
        <w:rPr>
          <w:rFonts w:asciiTheme="minorHAnsi" w:hAnsiTheme="minorHAnsi" w:cstheme="minorHAnsi"/>
          <w:sz w:val="22"/>
          <w:szCs w:val="22"/>
          <w:lang w:val="nl-NL"/>
        </w:rPr>
      </w:pPr>
    </w:p>
    <w:p w14:paraId="4DAB3AC7"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nl-NL"/>
        </w:rPr>
      </w:pPr>
      <w:r w:rsidRPr="007C6F6E">
        <w:rPr>
          <w:rFonts w:asciiTheme="minorHAnsi" w:hAnsiTheme="minorHAnsi" w:cstheme="minorHAnsi"/>
          <w:sz w:val="22"/>
          <w:szCs w:val="22"/>
          <w:shd w:val="clear" w:color="auto" w:fill="FFFFFF"/>
        </w:rPr>
        <w:t xml:space="preserve">Long, M.D., Herfarth, H.H., Pipkin, C.A., Porter, C.Q., Sandler, R.S., Kappelman, M.D. Risque accru de cancer de la peau autre que le mélanome chez les patients atteints d’une maladie inflammatoire de l’intestin. Clin. Gastro-entérol. Hépatol. </w:t>
      </w:r>
      <w:proofErr w:type="gramStart"/>
      <w:r w:rsidRPr="007C6F6E">
        <w:rPr>
          <w:rFonts w:asciiTheme="minorHAnsi" w:hAnsiTheme="minorHAnsi" w:cstheme="minorHAnsi"/>
          <w:sz w:val="22"/>
          <w:szCs w:val="22"/>
          <w:shd w:val="clear" w:color="auto" w:fill="FFFFFF"/>
        </w:rPr>
        <w:t>2010;</w:t>
      </w:r>
      <w:proofErr w:type="gramEnd"/>
      <w:r w:rsidRPr="007C6F6E">
        <w:rPr>
          <w:rFonts w:asciiTheme="minorHAnsi" w:hAnsiTheme="minorHAnsi" w:cstheme="minorHAnsi"/>
          <w:sz w:val="22"/>
          <w:szCs w:val="22"/>
          <w:shd w:val="clear" w:color="auto" w:fill="FFFFFF"/>
        </w:rPr>
        <w:t xml:space="preserve"> 8:268–274.</w:t>
      </w:r>
    </w:p>
    <w:p w14:paraId="3CFAB9DD" w14:textId="77777777" w:rsidR="00C56135" w:rsidRPr="007C6F6E" w:rsidRDefault="00C56135" w:rsidP="00C56135">
      <w:pPr>
        <w:pStyle w:val="NormalWeb"/>
        <w:spacing w:before="0" w:beforeAutospacing="0" w:after="0" w:afterAutospacing="0"/>
        <w:ind w:left="426"/>
        <w:jc w:val="both"/>
        <w:rPr>
          <w:rFonts w:asciiTheme="minorHAnsi" w:hAnsiTheme="minorHAnsi" w:cstheme="minorHAnsi"/>
          <w:sz w:val="22"/>
          <w:szCs w:val="22"/>
          <w:lang w:val="nl-NL"/>
        </w:rPr>
      </w:pPr>
    </w:p>
    <w:p w14:paraId="79B91764" w14:textId="77777777"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nl-NL"/>
        </w:rPr>
      </w:pPr>
      <w:r w:rsidRPr="007C6F6E">
        <w:rPr>
          <w:rFonts w:asciiTheme="minorHAnsi" w:hAnsiTheme="minorHAnsi" w:cstheme="minorHAnsi"/>
          <w:sz w:val="22"/>
          <w:szCs w:val="22"/>
          <w:shd w:val="clear" w:color="auto" w:fill="FFFFFF"/>
        </w:rPr>
        <w:t xml:space="preserve">Lopez A., Mounier M., Bouvier A.M., Carrat F., Maynadié M., Beaugerie L., Peyrin-Biroulet L. Risque accru de leucémies myéloïdes aiguës et de syndromes myélodysplasiques chez les patients ayant reçu un traitement à la thiopurine pour une maladie inflammatoire de l’intestin. Clin. Gastro-entérol. Hépatol. </w:t>
      </w:r>
      <w:proofErr w:type="gramStart"/>
      <w:r w:rsidRPr="007C6F6E">
        <w:rPr>
          <w:rFonts w:asciiTheme="minorHAnsi" w:hAnsiTheme="minorHAnsi" w:cstheme="minorHAnsi"/>
          <w:sz w:val="22"/>
          <w:szCs w:val="22"/>
          <w:shd w:val="clear" w:color="auto" w:fill="FFFFFF"/>
        </w:rPr>
        <w:t>2014;</w:t>
      </w:r>
      <w:proofErr w:type="gramEnd"/>
      <w:r w:rsidRPr="007C6F6E">
        <w:rPr>
          <w:rFonts w:asciiTheme="minorHAnsi" w:hAnsiTheme="minorHAnsi" w:cstheme="minorHAnsi"/>
          <w:sz w:val="22"/>
          <w:szCs w:val="22"/>
          <w:shd w:val="clear" w:color="auto" w:fill="FFFFFF"/>
        </w:rPr>
        <w:t xml:space="preserve"> 12:1324–1329. </w:t>
      </w:r>
    </w:p>
    <w:p w14:paraId="4CC35BCD" w14:textId="77777777" w:rsidR="00C56135" w:rsidRPr="007C6F6E" w:rsidRDefault="00C56135" w:rsidP="00C56135">
      <w:pPr>
        <w:pStyle w:val="ListParagraph"/>
        <w:rPr>
          <w:rFonts w:cstheme="minorHAnsi"/>
          <w:lang w:val="nl-NL"/>
        </w:rPr>
      </w:pPr>
    </w:p>
    <w:p w14:paraId="7DA5A6B4" w14:textId="77777777" w:rsidR="00C56135" w:rsidRPr="007C6F6E" w:rsidRDefault="00C56135" w:rsidP="00C56135">
      <w:pPr>
        <w:pStyle w:val="NormalWeb"/>
        <w:numPr>
          <w:ilvl w:val="0"/>
          <w:numId w:val="1"/>
        </w:numPr>
        <w:spacing w:before="0" w:beforeAutospacing="0" w:after="0" w:afterAutospacing="0" w:line="276" w:lineRule="auto"/>
        <w:ind w:left="426"/>
        <w:jc w:val="both"/>
        <w:rPr>
          <w:rFonts w:asciiTheme="minorHAnsi" w:hAnsiTheme="minorHAnsi" w:cstheme="minorHAnsi"/>
          <w:i/>
          <w:iCs/>
          <w:sz w:val="22"/>
          <w:szCs w:val="22"/>
          <w:lang w:val="en-US"/>
        </w:rPr>
      </w:pPr>
      <w:r w:rsidRPr="007C6F6E">
        <w:rPr>
          <w:rFonts w:asciiTheme="minorHAnsi" w:hAnsiTheme="minorHAnsi" w:cstheme="minorHAnsi"/>
          <w:bCs/>
          <w:sz w:val="22"/>
          <w:szCs w:val="22"/>
          <w:lang w:val="en-US"/>
        </w:rPr>
        <w:t>Beaugerie L, et al.</w:t>
      </w:r>
      <w:r w:rsidRPr="007C6F6E">
        <w:rPr>
          <w:rFonts w:asciiTheme="minorHAnsi" w:hAnsiTheme="minorHAnsi" w:cstheme="minorHAnsi"/>
          <w:sz w:val="22"/>
          <w:szCs w:val="22"/>
          <w:lang w:val="en-US"/>
        </w:rPr>
        <w:t xml:space="preserve"> "Risk of </w:t>
      </w:r>
      <w:proofErr w:type="gramStart"/>
      <w:r w:rsidRPr="007C6F6E">
        <w:rPr>
          <w:rFonts w:asciiTheme="minorHAnsi" w:hAnsiTheme="minorHAnsi" w:cstheme="minorHAnsi"/>
          <w:sz w:val="22"/>
          <w:szCs w:val="22"/>
          <w:lang w:val="en-US"/>
        </w:rPr>
        <w:t>non melanoma</w:t>
      </w:r>
      <w:proofErr w:type="gramEnd"/>
      <w:r w:rsidRPr="007C6F6E">
        <w:rPr>
          <w:rFonts w:asciiTheme="minorHAnsi" w:hAnsiTheme="minorHAnsi" w:cstheme="minorHAnsi"/>
          <w:sz w:val="22"/>
          <w:szCs w:val="22"/>
          <w:lang w:val="en-US"/>
        </w:rPr>
        <w:t xml:space="preserve"> skin cancers in patients with inflammatory bowel disease treated with thiopurines: a nationwide nested case-control study</w:t>
      </w:r>
      <w:r w:rsidRPr="007C6F6E">
        <w:rPr>
          <w:rFonts w:asciiTheme="minorHAnsi" w:hAnsiTheme="minorHAnsi" w:cstheme="minorHAnsi"/>
          <w:i/>
          <w:iCs/>
          <w:sz w:val="22"/>
          <w:szCs w:val="22"/>
          <w:lang w:val="en-US"/>
        </w:rPr>
        <w:t>."</w:t>
      </w:r>
      <w:r w:rsidRPr="007C6F6E">
        <w:rPr>
          <w:rStyle w:val="apple-converted-space"/>
          <w:rFonts w:asciiTheme="minorHAnsi" w:hAnsiTheme="minorHAnsi" w:cstheme="minorHAnsi"/>
          <w:i/>
          <w:iCs/>
          <w:sz w:val="22"/>
          <w:szCs w:val="22"/>
          <w:lang w:val="en-US"/>
        </w:rPr>
        <w:t> </w:t>
      </w:r>
      <w:r w:rsidRPr="007C6F6E">
        <w:rPr>
          <w:rStyle w:val="Emphasis"/>
          <w:rFonts w:asciiTheme="minorHAnsi" w:hAnsiTheme="minorHAnsi" w:cstheme="minorHAnsi"/>
          <w:i w:val="0"/>
          <w:iCs w:val="0"/>
          <w:sz w:val="22"/>
          <w:szCs w:val="22"/>
          <w:lang w:val="en-US"/>
        </w:rPr>
        <w:t>Lancet</w:t>
      </w:r>
      <w:r w:rsidRPr="007C6F6E">
        <w:rPr>
          <w:rFonts w:asciiTheme="minorHAnsi" w:hAnsiTheme="minorHAnsi" w:cstheme="minorHAnsi"/>
          <w:i/>
          <w:iCs/>
          <w:sz w:val="22"/>
          <w:szCs w:val="22"/>
          <w:lang w:val="en-US"/>
        </w:rPr>
        <w:t>. 2009.</w:t>
      </w:r>
    </w:p>
    <w:p w14:paraId="56F9426C" w14:textId="77777777" w:rsidR="00C56135" w:rsidRPr="007C6F6E" w:rsidRDefault="00C56135" w:rsidP="00C56135">
      <w:pPr>
        <w:pStyle w:val="NormalWeb"/>
        <w:spacing w:before="0" w:beforeAutospacing="0" w:after="0" w:afterAutospacing="0" w:line="276" w:lineRule="auto"/>
        <w:jc w:val="both"/>
        <w:rPr>
          <w:rFonts w:asciiTheme="minorHAnsi" w:hAnsiTheme="minorHAnsi" w:cstheme="minorHAnsi"/>
          <w:i/>
          <w:iCs/>
          <w:sz w:val="22"/>
          <w:szCs w:val="22"/>
          <w:lang w:val="en-US"/>
        </w:rPr>
      </w:pPr>
    </w:p>
    <w:p w14:paraId="33760CF7" w14:textId="77777777" w:rsidR="00C56135" w:rsidRPr="007C6F6E" w:rsidRDefault="00C56135" w:rsidP="00C56135">
      <w:pPr>
        <w:pStyle w:val="ListParagraph"/>
        <w:numPr>
          <w:ilvl w:val="0"/>
          <w:numId w:val="1"/>
        </w:numPr>
        <w:spacing w:after="0" w:line="276" w:lineRule="auto"/>
        <w:ind w:left="426"/>
        <w:jc w:val="both"/>
        <w:rPr>
          <w:rFonts w:cstheme="minorHAnsi"/>
          <w:i/>
          <w:iCs/>
          <w:lang w:val="en-US"/>
        </w:rPr>
      </w:pPr>
      <w:r w:rsidRPr="007C6F6E">
        <w:rPr>
          <w:rFonts w:cstheme="minorHAnsi"/>
          <w:bCs/>
          <w:lang w:val="en-US"/>
        </w:rPr>
        <w:t>Kristensen LE, et al.</w:t>
      </w:r>
      <w:r w:rsidRPr="007C6F6E">
        <w:rPr>
          <w:rFonts w:cstheme="minorHAnsi"/>
          <w:lang w:val="en-US"/>
        </w:rPr>
        <w:t xml:space="preserve"> "Cervical neoplasia in women with inflammatory bowel disease: a Danish cohort study." </w:t>
      </w:r>
      <w:r w:rsidRPr="007C6F6E">
        <w:rPr>
          <w:rFonts w:cstheme="minorHAnsi"/>
          <w:i/>
          <w:iCs/>
          <w:lang w:val="en-US"/>
        </w:rPr>
        <w:t>Clin Gastroenterol Hepatol. 2015.</w:t>
      </w:r>
    </w:p>
    <w:p w14:paraId="52DC3081" w14:textId="77777777" w:rsidR="00C56135" w:rsidRPr="007C6F6E" w:rsidRDefault="00C56135" w:rsidP="00C56135">
      <w:pPr>
        <w:spacing w:after="0"/>
        <w:jc w:val="both"/>
        <w:rPr>
          <w:rFonts w:cstheme="minorHAnsi"/>
          <w:i/>
          <w:iCs/>
          <w:lang w:val="en-US"/>
        </w:rPr>
      </w:pPr>
    </w:p>
    <w:p w14:paraId="643D975C" w14:textId="77777777" w:rsidR="00C56135" w:rsidRPr="007C6F6E" w:rsidRDefault="00C56135" w:rsidP="00C56135">
      <w:pPr>
        <w:pStyle w:val="ListParagraph"/>
        <w:numPr>
          <w:ilvl w:val="0"/>
          <w:numId w:val="1"/>
        </w:numPr>
        <w:spacing w:after="0" w:line="276" w:lineRule="auto"/>
        <w:ind w:left="426"/>
        <w:jc w:val="both"/>
        <w:rPr>
          <w:rFonts w:cstheme="minorHAnsi"/>
          <w:lang w:val="nl-NL"/>
        </w:rPr>
      </w:pPr>
      <w:r w:rsidRPr="007C6F6E">
        <w:rPr>
          <w:rFonts w:cstheme="minorHAnsi"/>
          <w:bCs/>
          <w:lang w:val="en-US"/>
        </w:rPr>
        <w:t>Elmahdi R, Moran GW, Irving PM, et al.</w:t>
      </w:r>
      <w:r w:rsidRPr="007C6F6E">
        <w:rPr>
          <w:rFonts w:cstheme="minorHAnsi"/>
          <w:lang w:val="en-US"/>
        </w:rPr>
        <w:t xml:space="preserve"> Risk of Cervical Cancer in Inflammatory Bowel Disease: A Meta-Analysis of Population-Based Studies.</w:t>
      </w:r>
      <w:r w:rsidRPr="007C6F6E">
        <w:rPr>
          <w:rStyle w:val="apple-converted-space"/>
          <w:rFonts w:cstheme="minorHAnsi"/>
          <w:lang w:val="en-US"/>
        </w:rPr>
        <w:t> </w:t>
      </w:r>
      <w:r w:rsidRPr="007C6F6E">
        <w:rPr>
          <w:rStyle w:val="Emphasis"/>
          <w:rFonts w:cstheme="minorHAnsi"/>
          <w:lang w:val="nl-NL"/>
        </w:rPr>
        <w:t>ClinTranslGastroenterol.</w:t>
      </w:r>
      <w:r w:rsidRPr="007C6F6E">
        <w:rPr>
          <w:rStyle w:val="apple-converted-space"/>
          <w:rFonts w:cstheme="minorHAnsi"/>
          <w:lang w:val="nl-NL"/>
        </w:rPr>
        <w:t> </w:t>
      </w:r>
      <w:r w:rsidRPr="007C6F6E">
        <w:rPr>
          <w:rFonts w:cstheme="minorHAnsi"/>
          <w:lang w:val="nl-NL"/>
        </w:rPr>
        <w:t>2022.</w:t>
      </w:r>
    </w:p>
    <w:p w14:paraId="29E47DBD" w14:textId="77777777" w:rsidR="00C56135" w:rsidRPr="007C6F6E" w:rsidRDefault="00C56135" w:rsidP="00C56135">
      <w:pPr>
        <w:spacing w:after="0"/>
        <w:jc w:val="both"/>
        <w:rPr>
          <w:rFonts w:cstheme="minorHAnsi"/>
          <w:lang w:val="nl-NL"/>
        </w:rPr>
      </w:pPr>
    </w:p>
    <w:p w14:paraId="3DB882EB" w14:textId="77777777" w:rsidR="00C56135" w:rsidRPr="007C6F6E" w:rsidRDefault="00C56135" w:rsidP="00C56135">
      <w:pPr>
        <w:pStyle w:val="ListParagraph"/>
        <w:numPr>
          <w:ilvl w:val="0"/>
          <w:numId w:val="1"/>
        </w:numPr>
        <w:spacing w:after="0" w:line="276" w:lineRule="auto"/>
        <w:ind w:left="426"/>
        <w:jc w:val="both"/>
        <w:rPr>
          <w:rFonts w:cstheme="minorHAnsi"/>
          <w:lang w:val="nl-NL"/>
        </w:rPr>
      </w:pPr>
      <w:r w:rsidRPr="007C6F6E">
        <w:rPr>
          <w:rFonts w:cstheme="minorHAnsi"/>
          <w:shd w:val="clear" w:color="auto" w:fill="FFFFFF"/>
        </w:rPr>
        <w:t>Kappelman M.D., Farkas D.K., Long M.D., Erichsen R., Sandler R.S., Sørensen H.T., Baron J.A. Risque de cancer chez les patients atteints de maladies inflammatoires de l’intestin : une étude de cohorte basée sur la population à l’échelle nationale avec 30 ans d’évaluation de suivi. Clin. Gastro-entérol. Hépatol. 2014.</w:t>
      </w:r>
    </w:p>
    <w:p w14:paraId="6A83413E" w14:textId="77777777" w:rsidR="00C56135" w:rsidRPr="007C6F6E" w:rsidRDefault="00C56135" w:rsidP="00C56135">
      <w:pPr>
        <w:spacing w:after="0"/>
        <w:jc w:val="both"/>
        <w:rPr>
          <w:rFonts w:cstheme="minorHAnsi"/>
          <w:lang w:val="nl-NL"/>
        </w:rPr>
      </w:pPr>
    </w:p>
    <w:p w14:paraId="486AD97D" w14:textId="77777777" w:rsidR="00C56135" w:rsidRPr="007C6F6E" w:rsidRDefault="00C56135" w:rsidP="00C56135">
      <w:pPr>
        <w:pStyle w:val="ListParagraph"/>
        <w:numPr>
          <w:ilvl w:val="0"/>
          <w:numId w:val="1"/>
        </w:numPr>
        <w:spacing w:after="0" w:line="276" w:lineRule="auto"/>
        <w:ind w:left="426"/>
        <w:jc w:val="both"/>
        <w:rPr>
          <w:rFonts w:cstheme="minorHAnsi"/>
          <w:lang w:val="nl-NL"/>
        </w:rPr>
      </w:pPr>
      <w:r w:rsidRPr="007C6F6E">
        <w:rPr>
          <w:rFonts w:cstheme="minorHAnsi"/>
          <w:shd w:val="clear" w:color="auto" w:fill="FFFFFF"/>
        </w:rPr>
        <w:t xml:space="preserve">Pedersen N., Duricova D., Elkjaer M., Gamborg M., Munkholm P., Jess T. Risque de cancer extra-intestinal dans les maladies inflammatoires de l’intestin : méta-analyse des études de cohorte basées sur la population. Am. J. Gastroenterol. 2010 ; </w:t>
      </w:r>
      <w:proofErr w:type="gramStart"/>
      <w:r w:rsidRPr="007C6F6E">
        <w:rPr>
          <w:rFonts w:cstheme="minorHAnsi"/>
          <w:shd w:val="clear" w:color="auto" w:fill="FFFFFF"/>
        </w:rPr>
        <w:t>105:</w:t>
      </w:r>
      <w:proofErr w:type="gramEnd"/>
      <w:r w:rsidRPr="007C6F6E">
        <w:rPr>
          <w:rFonts w:cstheme="minorHAnsi"/>
          <w:shd w:val="clear" w:color="auto" w:fill="FFFFFF"/>
        </w:rPr>
        <w:t>1480–1487.</w:t>
      </w:r>
    </w:p>
    <w:p w14:paraId="462674D0" w14:textId="77777777" w:rsidR="00C56135" w:rsidRPr="007C6F6E" w:rsidRDefault="00C56135" w:rsidP="00C56135">
      <w:pPr>
        <w:spacing w:after="0"/>
        <w:jc w:val="both"/>
        <w:rPr>
          <w:rFonts w:cstheme="minorHAnsi"/>
          <w:lang w:val="nl-NL"/>
        </w:rPr>
      </w:pPr>
    </w:p>
    <w:p w14:paraId="4C5C38B0"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Style w:val="Strong"/>
          <w:rFonts w:cstheme="minorHAnsi"/>
          <w:b w:val="0"/>
          <w:lang w:val="en-US"/>
        </w:rPr>
        <w:t>Mowat C, Cole A, Windsor A, et al.</w:t>
      </w:r>
      <w:r w:rsidRPr="007C6F6E">
        <w:rPr>
          <w:rStyle w:val="Strong"/>
          <w:rFonts w:cstheme="minorHAnsi"/>
          <w:b w:val="0"/>
          <w:bCs w:val="0"/>
          <w:lang w:val="en-US"/>
        </w:rPr>
        <w:t xml:space="preserve"> Guidelines for the management of inflammatory bowel disease in adults.</w:t>
      </w:r>
      <w:r w:rsidRPr="007C6F6E">
        <w:rPr>
          <w:rStyle w:val="apple-converted-space"/>
          <w:rFonts w:cstheme="minorHAnsi"/>
          <w:lang w:val="en-US"/>
        </w:rPr>
        <w:t> </w:t>
      </w:r>
      <w:r w:rsidRPr="007C6F6E">
        <w:rPr>
          <w:rFonts w:cstheme="minorHAnsi"/>
          <w:i/>
          <w:iCs/>
          <w:lang w:val="en-GB"/>
        </w:rPr>
        <w:t>2011.</w:t>
      </w:r>
    </w:p>
    <w:p w14:paraId="08F78BB6" w14:textId="77777777" w:rsidR="00C56135" w:rsidRPr="007C6F6E" w:rsidRDefault="00C56135" w:rsidP="00C56135">
      <w:pPr>
        <w:pStyle w:val="ListParagraph"/>
        <w:rPr>
          <w:rFonts w:cstheme="minorHAnsi"/>
          <w:lang w:val="en-US"/>
        </w:rPr>
      </w:pPr>
    </w:p>
    <w:p w14:paraId="1BB77B71"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Soetikno RM, Lin OS, Heidenreich PA, et al. Increased risk of colorectal neoplasia in patients with primary sclerosing cholangitis and ulcerative </w:t>
      </w:r>
      <w:proofErr w:type="gramStart"/>
      <w:r w:rsidRPr="007C6F6E">
        <w:rPr>
          <w:rFonts w:cstheme="minorHAnsi"/>
        </w:rPr>
        <w:t>colitis:</w:t>
      </w:r>
      <w:proofErr w:type="gramEnd"/>
      <w:r w:rsidRPr="007C6F6E">
        <w:rPr>
          <w:rFonts w:cstheme="minorHAnsi"/>
        </w:rPr>
        <w:t xml:space="preserve"> A meta-analysis. Gastrointest Endosc 2002 ; 56 : 48-54.</w:t>
      </w:r>
    </w:p>
    <w:p w14:paraId="69076BF9" w14:textId="77777777" w:rsidR="00C56135" w:rsidRPr="007C6F6E" w:rsidRDefault="00C56135" w:rsidP="00C56135">
      <w:pPr>
        <w:pStyle w:val="ListParagraph"/>
        <w:rPr>
          <w:rFonts w:cstheme="minorHAnsi"/>
          <w:lang w:val="en-US"/>
        </w:rPr>
      </w:pPr>
    </w:p>
    <w:p w14:paraId="5CC62C10"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Askling J, Dickman PW, Karlén P, et al. Family history as a risk factor for colorectal cancer in inflammatory bowel disease. Gastroenterology 2001 ; 120 : 1356-62.</w:t>
      </w:r>
    </w:p>
    <w:p w14:paraId="39953E46" w14:textId="77777777" w:rsidR="00C56135" w:rsidRPr="007C6F6E" w:rsidRDefault="00C56135" w:rsidP="00C56135">
      <w:pPr>
        <w:pStyle w:val="ListParagraph"/>
        <w:rPr>
          <w:rFonts w:cstheme="minorHAnsi"/>
          <w:lang w:val="en-US"/>
        </w:rPr>
      </w:pPr>
    </w:p>
    <w:p w14:paraId="2D82E2D1"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Selinger CP, Andrews JM, Titman A, and al, Sydney IBD Cohort Study Group. Long-term follow-up reveals low incidence of colorectal cancer, but frequent need for resection, among Australian patients with inflammatory bowel disease. Clin Gastroenterol Hepatol 2014 ; 12 : 644-50.</w:t>
      </w:r>
    </w:p>
    <w:p w14:paraId="1144282C" w14:textId="77777777" w:rsidR="00C56135" w:rsidRPr="007C6F6E" w:rsidRDefault="00C56135" w:rsidP="00C56135">
      <w:pPr>
        <w:pStyle w:val="ListParagraph"/>
        <w:rPr>
          <w:rFonts w:cstheme="minorHAnsi"/>
          <w:lang w:val="en-US"/>
        </w:rPr>
      </w:pPr>
    </w:p>
    <w:p w14:paraId="7EC5D4F5"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Rutter MD, Saunders BP, Wilkinson KH, and al. Thirty-year analysis of a colonoscopic surveillance program for neoplasia in ulcerative colitis. Gas troenterology 2006 ; 130 : 1030-8.</w:t>
      </w:r>
    </w:p>
    <w:p w14:paraId="0687A4F5" w14:textId="77777777" w:rsidR="00C56135" w:rsidRPr="007C6F6E" w:rsidRDefault="00C56135" w:rsidP="00C56135">
      <w:pPr>
        <w:pStyle w:val="ListParagraph"/>
        <w:rPr>
          <w:rFonts w:cstheme="minorHAnsi"/>
          <w:lang w:val="en-US"/>
        </w:rPr>
      </w:pPr>
    </w:p>
    <w:p w14:paraId="1CCFF87D"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Bernstein CN, Blanchard JF, Kliewer E, and al. Cancer risk in patients with inflammatory bowel </w:t>
      </w:r>
      <w:proofErr w:type="gramStart"/>
      <w:r w:rsidRPr="007C6F6E">
        <w:rPr>
          <w:rFonts w:cstheme="minorHAnsi"/>
        </w:rPr>
        <w:t>disease:</w:t>
      </w:r>
      <w:proofErr w:type="gramEnd"/>
      <w:r w:rsidRPr="007C6F6E">
        <w:rPr>
          <w:rFonts w:cstheme="minorHAnsi"/>
        </w:rPr>
        <w:t xml:space="preserve"> A population-based study. Cancer 2001 ; 91 : 854-62.</w:t>
      </w:r>
    </w:p>
    <w:p w14:paraId="717C90B3" w14:textId="77777777" w:rsidR="00C56135" w:rsidRPr="007C6F6E" w:rsidRDefault="00C56135" w:rsidP="00C56135">
      <w:pPr>
        <w:pStyle w:val="ListParagraph"/>
        <w:rPr>
          <w:rFonts w:cstheme="minorHAnsi"/>
          <w:lang w:val="en-US"/>
        </w:rPr>
      </w:pPr>
    </w:p>
    <w:p w14:paraId="52C81332"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Ekbom A, Helmick C, Zack M, et al. Increased risk of large-bowel cancer in Crohn’s disease with colonic involvement. Lancet 1990 ; 336 : 357-9.</w:t>
      </w:r>
    </w:p>
    <w:p w14:paraId="60953BDB" w14:textId="77777777" w:rsidR="00C56135" w:rsidRPr="007C6F6E" w:rsidRDefault="00C56135" w:rsidP="00C56135">
      <w:pPr>
        <w:pStyle w:val="ListParagraph"/>
        <w:rPr>
          <w:rFonts w:cstheme="minorHAnsi"/>
          <w:lang w:val="en-US"/>
        </w:rPr>
      </w:pPr>
    </w:p>
    <w:p w14:paraId="58262077"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Lutgens </w:t>
      </w:r>
      <w:proofErr w:type="gramStart"/>
      <w:r w:rsidRPr="007C6F6E">
        <w:rPr>
          <w:rFonts w:cstheme="minorHAnsi"/>
        </w:rPr>
        <w:t>MW,van</w:t>
      </w:r>
      <w:proofErr w:type="gramEnd"/>
      <w:r w:rsidRPr="007C6F6E">
        <w:rPr>
          <w:rFonts w:cstheme="minorHAnsi"/>
        </w:rPr>
        <w:t xml:space="preserve"> Oijen MG,van der Heijden GJ, and al. Declining risk of colorectal cancer in inflammatory bowel </w:t>
      </w:r>
      <w:proofErr w:type="gramStart"/>
      <w:r w:rsidRPr="007C6F6E">
        <w:rPr>
          <w:rFonts w:cstheme="minorHAnsi"/>
        </w:rPr>
        <w:t>disease:</w:t>
      </w:r>
      <w:proofErr w:type="gramEnd"/>
      <w:r w:rsidRPr="007C6F6E">
        <w:rPr>
          <w:rFonts w:cstheme="minorHAnsi"/>
        </w:rPr>
        <w:t xml:space="preserve"> An updated meta analysis of population-based cohort studies. Inflamm Bowel Dis 2013 ; 19 : 789-99.</w:t>
      </w:r>
    </w:p>
    <w:p w14:paraId="49B86240" w14:textId="77777777" w:rsidR="00C56135" w:rsidRPr="007C6F6E" w:rsidRDefault="00C56135" w:rsidP="00C56135">
      <w:pPr>
        <w:pStyle w:val="ListParagraph"/>
        <w:rPr>
          <w:rFonts w:cstheme="minorHAnsi"/>
          <w:lang w:val="en-US"/>
        </w:rPr>
      </w:pPr>
    </w:p>
    <w:p w14:paraId="419E161B"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Siproudhis L. Lésions anopérinéales de la maladie de Crohn. Post’U2018, 159-66.</w:t>
      </w:r>
    </w:p>
    <w:p w14:paraId="68C2D004" w14:textId="77777777" w:rsidR="00C56135" w:rsidRPr="007C6F6E" w:rsidRDefault="00C56135" w:rsidP="00C56135">
      <w:pPr>
        <w:pStyle w:val="ListParagraph"/>
        <w:rPr>
          <w:rFonts w:cstheme="minorHAnsi"/>
          <w:lang w:val="en-US"/>
        </w:rPr>
      </w:pPr>
    </w:p>
    <w:p w14:paraId="14B30ADD"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Lazaridis KN, LaRusso NF. Primary sclerosing cholangitis. N Engl J Med 2016 ; 375 : 1161-70.</w:t>
      </w:r>
    </w:p>
    <w:p w14:paraId="33B478DB" w14:textId="77777777" w:rsidR="00C56135" w:rsidRPr="007C6F6E" w:rsidRDefault="00C56135" w:rsidP="00C56135">
      <w:pPr>
        <w:pStyle w:val="ListParagraph"/>
        <w:rPr>
          <w:rFonts w:cstheme="minorHAnsi"/>
          <w:lang w:val="en-US"/>
        </w:rPr>
      </w:pPr>
    </w:p>
    <w:p w14:paraId="2D8D48B8"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Dyson JK, Beuers U, Jones DEJ, et al. Primary sclerosing cholangitis. Lancet 2018 ; 391 : 2547-59.</w:t>
      </w:r>
    </w:p>
    <w:p w14:paraId="202B888C" w14:textId="77777777" w:rsidR="00C56135" w:rsidRPr="007C6F6E" w:rsidRDefault="00C56135" w:rsidP="00C56135">
      <w:pPr>
        <w:pStyle w:val="ListParagraph"/>
        <w:rPr>
          <w:rFonts w:cstheme="minorHAnsi"/>
          <w:lang w:val="en-US"/>
        </w:rPr>
      </w:pPr>
    </w:p>
    <w:p w14:paraId="41222432"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Boonstra K, Weersma RK, van Erpecum KJ, et al. Population-based epidemiology, malignancy risk, and outcome of primary sclerosing cholangitis. Hepatology 2013 ; 58 : 2045-55.</w:t>
      </w:r>
    </w:p>
    <w:p w14:paraId="55D37AFD" w14:textId="77777777" w:rsidR="00C56135" w:rsidRPr="007C6F6E" w:rsidRDefault="00C56135" w:rsidP="00C56135">
      <w:pPr>
        <w:pStyle w:val="ListParagraph"/>
        <w:rPr>
          <w:rFonts w:cstheme="minorHAnsi"/>
          <w:lang w:val="en-US"/>
        </w:rPr>
      </w:pPr>
    </w:p>
    <w:p w14:paraId="2D221A2C"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Rizvi S, Eaton JE, Gores GJ. Primary sclerosing cholangitis as a premalignant biliary tract disease : surveillance and management. Clin Gastroenterol Hepatol 2015 ; 13 : 2152-65.</w:t>
      </w:r>
    </w:p>
    <w:p w14:paraId="1052D0CB" w14:textId="77777777" w:rsidR="00C56135" w:rsidRPr="007C6F6E" w:rsidRDefault="00C56135" w:rsidP="00C56135">
      <w:pPr>
        <w:pStyle w:val="ListParagraph"/>
        <w:rPr>
          <w:rFonts w:cstheme="minorHAnsi"/>
          <w:lang w:val="en-US"/>
        </w:rPr>
      </w:pPr>
    </w:p>
    <w:p w14:paraId="5420C82C" w14:textId="77777777"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Lindor KD, Kowdley KV, Harrison ME. ACG Clinical </w:t>
      </w:r>
      <w:proofErr w:type="gramStart"/>
      <w:r w:rsidRPr="007C6F6E">
        <w:rPr>
          <w:rFonts w:cstheme="minorHAnsi"/>
        </w:rPr>
        <w:t>Guideline:</w:t>
      </w:r>
      <w:proofErr w:type="gramEnd"/>
      <w:r w:rsidRPr="007C6F6E">
        <w:rPr>
          <w:rFonts w:cstheme="minorHAnsi"/>
        </w:rPr>
        <w:t xml:space="preserve"> Primary sclerosing cholangitis. Am J Gastroenterol 2015 ; 110 : 646-59.</w:t>
      </w:r>
    </w:p>
    <w:p w14:paraId="08AC2451" w14:textId="77777777" w:rsidR="00BC2802" w:rsidRPr="007C6F6E" w:rsidRDefault="00BC2802" w:rsidP="00BC2802">
      <w:pPr>
        <w:pStyle w:val="ListParagraph"/>
        <w:rPr>
          <w:rFonts w:cstheme="minorHAnsi"/>
          <w:lang w:val="en-US"/>
        </w:rPr>
      </w:pPr>
    </w:p>
    <w:p w14:paraId="4EF9F338" w14:textId="77777777" w:rsidR="00BC2802" w:rsidRPr="007C6F6E" w:rsidRDefault="00BC2802" w:rsidP="00C56135">
      <w:pPr>
        <w:pStyle w:val="ListParagraph"/>
        <w:numPr>
          <w:ilvl w:val="0"/>
          <w:numId w:val="1"/>
        </w:numPr>
        <w:spacing w:after="0" w:line="276" w:lineRule="auto"/>
        <w:ind w:left="426"/>
        <w:jc w:val="both"/>
        <w:rPr>
          <w:rFonts w:cstheme="minorHAnsi"/>
          <w:lang w:val="en-US"/>
        </w:rPr>
      </w:pPr>
      <w:r w:rsidRPr="007C6F6E">
        <w:t xml:space="preserve">Aparicio T, Henriques J, Svrcek M, Zaanan A, Manfredi S, Casadei-Gardini A, Tougeron D, Gornet JM, Jary M, Terrebonne E, Piessen G, Afchain P, Lecaille C, Pocard M, Lecomte T, Rimini M, Di Fiore F, Le Brun Ly V, Cascinu S, Vernerey D, Laurent Puig P. Genomic profiling of small bowel adenocarcinoma: a pooled analysis from 3 databases. Br J Cancer. 2024 </w:t>
      </w:r>
      <w:proofErr w:type="gramStart"/>
      <w:r w:rsidRPr="007C6F6E">
        <w:t>Jul;</w:t>
      </w:r>
      <w:proofErr w:type="gramEnd"/>
      <w:r w:rsidRPr="007C6F6E">
        <w:t>131(1):49-62.</w:t>
      </w:r>
    </w:p>
    <w:p w14:paraId="65F4833C" w14:textId="77777777" w:rsidR="00BC2802" w:rsidRPr="007C6F6E" w:rsidRDefault="00BC2802" w:rsidP="00BC2802">
      <w:pPr>
        <w:pStyle w:val="ListParagraph"/>
        <w:rPr>
          <w:rFonts w:cstheme="minorHAnsi"/>
          <w:lang w:val="en-US"/>
        </w:rPr>
      </w:pPr>
    </w:p>
    <w:p w14:paraId="705B711B" w14:textId="77777777" w:rsidR="00BC2802" w:rsidRPr="007C6F6E" w:rsidRDefault="00BC2802" w:rsidP="00C56135">
      <w:pPr>
        <w:pStyle w:val="ListParagraph"/>
        <w:numPr>
          <w:ilvl w:val="0"/>
          <w:numId w:val="1"/>
        </w:numPr>
        <w:spacing w:after="0" w:line="276" w:lineRule="auto"/>
        <w:ind w:left="426"/>
        <w:jc w:val="both"/>
        <w:rPr>
          <w:rFonts w:cstheme="minorHAnsi"/>
          <w:lang w:val="en-US"/>
        </w:rPr>
      </w:pPr>
      <w:r w:rsidRPr="007C6F6E">
        <w:lastRenderedPageBreak/>
        <w:t>Dosse</w:t>
      </w:r>
      <w:r w:rsidR="006B1065" w:rsidRPr="007C6F6E">
        <w:t>tt LA, White LM, Welch DC, and al</w:t>
      </w:r>
      <w:r w:rsidRPr="007C6F6E">
        <w:t xml:space="preserve">. Small bowel adenocarcinoma complicating Crohn’s </w:t>
      </w:r>
      <w:proofErr w:type="gramStart"/>
      <w:r w:rsidRPr="007C6F6E">
        <w:t>disease:</w:t>
      </w:r>
      <w:proofErr w:type="gramEnd"/>
      <w:r w:rsidRPr="007C6F6E">
        <w:t xml:space="preserve"> Case series and review of the literature. Am Surg 2007 ; 73 : 1181-7.</w:t>
      </w:r>
    </w:p>
    <w:p w14:paraId="7F0F109E" w14:textId="77777777" w:rsidR="006B1065" w:rsidRPr="007C6F6E" w:rsidRDefault="006B1065" w:rsidP="006B1065">
      <w:pPr>
        <w:pStyle w:val="ListParagraph"/>
        <w:rPr>
          <w:rFonts w:cstheme="minorHAnsi"/>
          <w:lang w:val="en-US"/>
        </w:rPr>
      </w:pPr>
    </w:p>
    <w:p w14:paraId="7FFD6851" w14:textId="77777777" w:rsidR="009E67FC" w:rsidRPr="007C6F6E" w:rsidRDefault="006B1065" w:rsidP="009E67FC">
      <w:pPr>
        <w:pStyle w:val="ListParagraph"/>
        <w:numPr>
          <w:ilvl w:val="0"/>
          <w:numId w:val="1"/>
        </w:numPr>
        <w:spacing w:after="0" w:line="276" w:lineRule="auto"/>
        <w:ind w:left="426"/>
        <w:jc w:val="both"/>
        <w:rPr>
          <w:rFonts w:cstheme="minorHAnsi"/>
          <w:lang w:val="en-US"/>
        </w:rPr>
      </w:pPr>
      <w:r w:rsidRPr="007C6F6E">
        <w:t xml:space="preserve">Egan </w:t>
      </w:r>
      <w:proofErr w:type="gramStart"/>
      <w:r w:rsidRPr="007C6F6E">
        <w:t>L ,D’IncaR</w:t>
      </w:r>
      <w:proofErr w:type="gramEnd"/>
      <w:r w:rsidRPr="007C6F6E">
        <w:t xml:space="preserve"> ,Jess T, and al. Non-colorectal intestinal tract carcinomas in inflammatory bowel </w:t>
      </w:r>
      <w:proofErr w:type="gramStart"/>
      <w:r w:rsidRPr="007C6F6E">
        <w:t>disease:</w:t>
      </w:r>
      <w:proofErr w:type="gramEnd"/>
      <w:r w:rsidRPr="007C6F6E">
        <w:t xml:space="preserve"> results of the 3rd ECCO Pathogenesis Scientific Workshop (II). J Crohn’s Colitis 2014 ; 8 : 19-30.</w:t>
      </w:r>
    </w:p>
    <w:p w14:paraId="3797F36C" w14:textId="77777777" w:rsidR="009E67FC" w:rsidRPr="007C6F6E" w:rsidRDefault="009E67FC" w:rsidP="009E67FC">
      <w:pPr>
        <w:pStyle w:val="ListParagraph"/>
        <w:rPr>
          <w:rFonts w:cstheme="minorHAnsi"/>
          <w:lang w:val="en-US"/>
        </w:rPr>
      </w:pPr>
    </w:p>
    <w:p w14:paraId="5B6243C9" w14:textId="77777777" w:rsidR="009E67FC" w:rsidRPr="007C6F6E" w:rsidRDefault="009E67FC" w:rsidP="009E67FC">
      <w:pPr>
        <w:pStyle w:val="ListParagraph"/>
        <w:spacing w:after="0" w:line="276" w:lineRule="auto"/>
        <w:ind w:left="426"/>
        <w:jc w:val="both"/>
        <w:rPr>
          <w:rFonts w:cstheme="minorHAnsi"/>
          <w:lang w:val="en-US"/>
        </w:rPr>
      </w:pPr>
    </w:p>
    <w:p w14:paraId="63CF4FC8" w14:textId="77777777" w:rsidR="009E67FC" w:rsidRPr="007C6F6E" w:rsidRDefault="009E67FC" w:rsidP="009E67FC">
      <w:pPr>
        <w:pStyle w:val="ListParagraph"/>
        <w:numPr>
          <w:ilvl w:val="0"/>
          <w:numId w:val="1"/>
        </w:numPr>
        <w:spacing w:after="0" w:line="276" w:lineRule="auto"/>
        <w:ind w:left="426"/>
        <w:jc w:val="both"/>
        <w:rPr>
          <w:rFonts w:cstheme="minorHAnsi"/>
          <w:lang w:val="en-US"/>
        </w:rPr>
      </w:pPr>
      <w:r w:rsidRPr="007C6F6E">
        <w:t xml:space="preserve">Annese V, Beaugerie L, Egan L, et al. European evidence-based </w:t>
      </w:r>
      <w:proofErr w:type="gramStart"/>
      <w:r w:rsidRPr="007C6F6E">
        <w:t>consensus:</w:t>
      </w:r>
      <w:proofErr w:type="gramEnd"/>
      <w:r w:rsidRPr="007C6F6E">
        <w:t xml:space="preserve"> Inflammatory bowel disease and malignancies. J Crohn’s Colitis 2015 ; 9 : 945-65.</w:t>
      </w:r>
    </w:p>
    <w:p w14:paraId="23349CBA" w14:textId="77777777" w:rsidR="009E67FC" w:rsidRPr="007C6F6E" w:rsidRDefault="009E67FC" w:rsidP="009E67FC">
      <w:pPr>
        <w:pStyle w:val="ListParagraph"/>
        <w:rPr>
          <w:rFonts w:cstheme="minorHAnsi"/>
          <w:lang w:val="en-US"/>
        </w:rPr>
      </w:pPr>
    </w:p>
    <w:p w14:paraId="346D42B8" w14:textId="77777777" w:rsidR="009E67FC" w:rsidRPr="007C6F6E" w:rsidRDefault="009E67FC" w:rsidP="009E67FC">
      <w:pPr>
        <w:pStyle w:val="ListParagraph"/>
        <w:numPr>
          <w:ilvl w:val="0"/>
          <w:numId w:val="1"/>
        </w:numPr>
        <w:spacing w:after="0" w:line="276" w:lineRule="auto"/>
        <w:ind w:left="426"/>
        <w:jc w:val="both"/>
        <w:rPr>
          <w:rFonts w:cstheme="minorHAnsi"/>
          <w:lang w:val="en-US"/>
        </w:rPr>
      </w:pPr>
      <w:r w:rsidRPr="007C6F6E">
        <w:t xml:space="preserve">Grolleau C, Pote NM, Guedj NS, et al. Small bowel adenocarcinoma complicating Crohn’s </w:t>
      </w:r>
      <w:proofErr w:type="gramStart"/>
      <w:r w:rsidRPr="007C6F6E">
        <w:t>disease:</w:t>
      </w:r>
      <w:proofErr w:type="gramEnd"/>
      <w:r w:rsidRPr="007C6F6E">
        <w:t xml:space="preserve"> A single-centre experience emphasizing the importance of screening for dysplasia. Virchows Arch Int J Pathol 2017 ; 471 : 611-7.</w:t>
      </w:r>
    </w:p>
    <w:p w14:paraId="5EA55AB1" w14:textId="77777777" w:rsidR="009E67FC" w:rsidRPr="007C6F6E" w:rsidRDefault="009E67FC" w:rsidP="009E67FC">
      <w:pPr>
        <w:pStyle w:val="ListParagraph"/>
        <w:rPr>
          <w:rFonts w:cstheme="minorHAnsi"/>
          <w:lang w:val="en-US"/>
        </w:rPr>
      </w:pPr>
    </w:p>
    <w:p w14:paraId="08952DF1" w14:textId="77777777" w:rsidR="009E67FC" w:rsidRPr="007C6F6E" w:rsidRDefault="009E67FC" w:rsidP="009E67FC">
      <w:pPr>
        <w:pStyle w:val="ListParagraph"/>
        <w:numPr>
          <w:ilvl w:val="0"/>
          <w:numId w:val="1"/>
        </w:numPr>
        <w:spacing w:after="0" w:line="276" w:lineRule="auto"/>
        <w:ind w:left="426"/>
        <w:jc w:val="both"/>
        <w:rPr>
          <w:rFonts w:cstheme="minorHAnsi"/>
          <w:lang w:val="en-US"/>
        </w:rPr>
      </w:pPr>
      <w:r w:rsidRPr="007C6F6E">
        <w:t>Branco BC, Harpaz N, Sachar DB, et al. Colorectal carcinoma in indeterminate colitis. Inflamm Bowel Dis 2009 ; 15 : 1076-81.</w:t>
      </w:r>
    </w:p>
    <w:p w14:paraId="5E1030C5" w14:textId="77777777" w:rsidR="009E67FC" w:rsidRPr="007C6F6E" w:rsidRDefault="009E67FC" w:rsidP="009E67FC">
      <w:pPr>
        <w:pStyle w:val="ListParagraph"/>
      </w:pPr>
    </w:p>
    <w:p w14:paraId="2E2BD494" w14:textId="77777777" w:rsidR="009E67FC" w:rsidRPr="007C6F6E" w:rsidRDefault="009E67FC" w:rsidP="009E67FC">
      <w:pPr>
        <w:pStyle w:val="ListParagraph"/>
        <w:numPr>
          <w:ilvl w:val="0"/>
          <w:numId w:val="1"/>
        </w:numPr>
        <w:spacing w:after="0" w:line="276" w:lineRule="auto"/>
        <w:ind w:left="426"/>
        <w:jc w:val="both"/>
        <w:rPr>
          <w:rFonts w:cstheme="minorHAnsi"/>
          <w:lang w:val="en-US"/>
        </w:rPr>
      </w:pPr>
      <w:r w:rsidRPr="007C6F6E">
        <w:t>Annese V, Daperno M, Rutter MD, et al. European evidence-based consensus for endoscopy in inflammatory bowel disease. J Crohn’s Colitis 2013 ; 22 : 265-8.</w:t>
      </w:r>
    </w:p>
    <w:p w14:paraId="6286F187" w14:textId="77777777" w:rsidR="00C56135" w:rsidRPr="00EB2FEF" w:rsidRDefault="00C56135" w:rsidP="00EB2FEF">
      <w:pPr>
        <w:spacing w:before="100" w:beforeAutospacing="1" w:after="100" w:afterAutospacing="1" w:line="240" w:lineRule="auto"/>
        <w:rPr>
          <w:rFonts w:ascii="Times New Roman" w:eastAsia="Times New Roman" w:hAnsi="Times New Roman" w:cs="Times New Roman"/>
          <w:sz w:val="24"/>
          <w:szCs w:val="24"/>
        </w:rPr>
      </w:pPr>
    </w:p>
    <w:p w14:paraId="430F34D6" w14:textId="77777777" w:rsidR="007803AB" w:rsidRPr="00EB2FEF" w:rsidRDefault="007803AB" w:rsidP="00EB2FEF">
      <w:pPr>
        <w:rPr>
          <w:rFonts w:cstheme="minorHAnsi"/>
          <w:sz w:val="24"/>
          <w:szCs w:val="24"/>
        </w:rPr>
      </w:pPr>
    </w:p>
    <w:sectPr w:rsidR="007803AB" w:rsidRPr="00EB2FEF" w:rsidSect="00E215FB">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85B52" w14:textId="77777777" w:rsidR="00702CEA" w:rsidRDefault="00702CEA" w:rsidP="00EE57C7">
      <w:pPr>
        <w:spacing w:after="0" w:line="240" w:lineRule="auto"/>
      </w:pPr>
      <w:r>
        <w:separator/>
      </w:r>
    </w:p>
  </w:endnote>
  <w:endnote w:type="continuationSeparator" w:id="0">
    <w:p w14:paraId="4D98FD32" w14:textId="77777777" w:rsidR="00702CEA" w:rsidRDefault="00702CEA" w:rsidP="00EE5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6F55" w14:textId="77777777" w:rsidR="00EE57C7" w:rsidRDefault="00EE5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06192" w14:textId="77777777" w:rsidR="00EE57C7" w:rsidRDefault="00EE5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2B40E" w14:textId="77777777" w:rsidR="00EE57C7" w:rsidRDefault="00EE5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56CDE" w14:textId="77777777" w:rsidR="00702CEA" w:rsidRDefault="00702CEA" w:rsidP="00EE57C7">
      <w:pPr>
        <w:spacing w:after="0" w:line="240" w:lineRule="auto"/>
      </w:pPr>
      <w:r>
        <w:separator/>
      </w:r>
    </w:p>
  </w:footnote>
  <w:footnote w:type="continuationSeparator" w:id="0">
    <w:p w14:paraId="32ACF151" w14:textId="77777777" w:rsidR="00702CEA" w:rsidRDefault="00702CEA" w:rsidP="00EE5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7DB2" w14:textId="226F5886" w:rsidR="00EE57C7" w:rsidRDefault="00EE57C7">
    <w:pPr>
      <w:pStyle w:val="Header"/>
    </w:pPr>
    <w:r>
      <w:rPr>
        <w:noProof/>
      </w:rPr>
      <w:pict w14:anchorId="57EC6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08079" o:spid="_x0000_s2050"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73685" w14:textId="01969D00" w:rsidR="00EE57C7" w:rsidRDefault="00EE57C7">
    <w:pPr>
      <w:pStyle w:val="Header"/>
    </w:pPr>
    <w:r>
      <w:rPr>
        <w:noProof/>
      </w:rPr>
      <w:pict w14:anchorId="54E21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08080" o:spid="_x0000_s2051"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5D7C" w14:textId="76AC280B" w:rsidR="00EE57C7" w:rsidRDefault="00EE57C7">
    <w:pPr>
      <w:pStyle w:val="Header"/>
    </w:pPr>
    <w:r>
      <w:rPr>
        <w:noProof/>
      </w:rPr>
      <w:pict w14:anchorId="776EF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08078" o:spid="_x0000_s2049"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07B83"/>
    <w:multiLevelType w:val="hybridMultilevel"/>
    <w:tmpl w:val="02E2D35E"/>
    <w:lvl w:ilvl="0" w:tplc="337EBE4E">
      <w:start w:val="1"/>
      <w:numFmt w:val="decimal"/>
      <w:lvlText w:val="%1."/>
      <w:lvlJc w:val="left"/>
      <w:pPr>
        <w:ind w:left="720" w:hanging="360"/>
      </w:pPr>
      <w:rPr>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5E72"/>
    <w:rsid w:val="000A2B72"/>
    <w:rsid w:val="000B0C7F"/>
    <w:rsid w:val="001E7196"/>
    <w:rsid w:val="00281D6F"/>
    <w:rsid w:val="002929AD"/>
    <w:rsid w:val="002A47F3"/>
    <w:rsid w:val="00311F5A"/>
    <w:rsid w:val="00312ED0"/>
    <w:rsid w:val="00331F85"/>
    <w:rsid w:val="003971B5"/>
    <w:rsid w:val="004515E1"/>
    <w:rsid w:val="00455E72"/>
    <w:rsid w:val="005C41FE"/>
    <w:rsid w:val="005D308F"/>
    <w:rsid w:val="00601E40"/>
    <w:rsid w:val="00663850"/>
    <w:rsid w:val="006B1065"/>
    <w:rsid w:val="00702CEA"/>
    <w:rsid w:val="007059EC"/>
    <w:rsid w:val="007803AB"/>
    <w:rsid w:val="00783C21"/>
    <w:rsid w:val="007879AC"/>
    <w:rsid w:val="007C6F6E"/>
    <w:rsid w:val="007E63F1"/>
    <w:rsid w:val="00903CCC"/>
    <w:rsid w:val="00955CAE"/>
    <w:rsid w:val="009A377C"/>
    <w:rsid w:val="009E67FC"/>
    <w:rsid w:val="00A566C4"/>
    <w:rsid w:val="00B82D28"/>
    <w:rsid w:val="00BC2802"/>
    <w:rsid w:val="00BD09FC"/>
    <w:rsid w:val="00C17430"/>
    <w:rsid w:val="00C44351"/>
    <w:rsid w:val="00C55A83"/>
    <w:rsid w:val="00C56135"/>
    <w:rsid w:val="00C567AD"/>
    <w:rsid w:val="00DA2ECE"/>
    <w:rsid w:val="00E1267F"/>
    <w:rsid w:val="00E215FB"/>
    <w:rsid w:val="00E428AF"/>
    <w:rsid w:val="00E91A31"/>
    <w:rsid w:val="00EA4237"/>
    <w:rsid w:val="00EA5761"/>
    <w:rsid w:val="00EB2FEF"/>
    <w:rsid w:val="00EE5675"/>
    <w:rsid w:val="00EE57C7"/>
    <w:rsid w:val="00FB16EA"/>
    <w:rsid w:val="00FB2E88"/>
    <w:rsid w:val="00FD12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61AB10"/>
  <w15:docId w15:val="{965E99F7-D080-4E18-8BCE-3F17F892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6EA"/>
  </w:style>
  <w:style w:type="paragraph" w:styleId="Heading3">
    <w:name w:val="heading 3"/>
    <w:basedOn w:val="Normal"/>
    <w:link w:val="Heading3Char"/>
    <w:uiPriority w:val="9"/>
    <w:qFormat/>
    <w:rsid w:val="00455E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55E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5E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55E72"/>
    <w:rPr>
      <w:rFonts w:ascii="Times New Roman" w:eastAsia="Times New Roman" w:hAnsi="Times New Roman" w:cs="Times New Roman"/>
      <w:b/>
      <w:bCs/>
      <w:sz w:val="24"/>
      <w:szCs w:val="24"/>
    </w:rPr>
  </w:style>
  <w:style w:type="character" w:styleId="Strong">
    <w:name w:val="Strong"/>
    <w:basedOn w:val="DefaultParagraphFont"/>
    <w:uiPriority w:val="22"/>
    <w:qFormat/>
    <w:rsid w:val="00455E72"/>
    <w:rPr>
      <w:b/>
      <w:bCs/>
    </w:rPr>
  </w:style>
  <w:style w:type="paragraph" w:styleId="NormalWeb">
    <w:name w:val="Normal (Web)"/>
    <w:basedOn w:val="Normal"/>
    <w:uiPriority w:val="99"/>
    <w:unhideWhenUsed/>
    <w:rsid w:val="00455E7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5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E72"/>
    <w:rPr>
      <w:rFonts w:ascii="Tahoma" w:hAnsi="Tahoma" w:cs="Tahoma"/>
      <w:sz w:val="16"/>
      <w:szCs w:val="16"/>
    </w:rPr>
  </w:style>
  <w:style w:type="paragraph" w:styleId="ListParagraph">
    <w:name w:val="List Paragraph"/>
    <w:basedOn w:val="Normal"/>
    <w:uiPriority w:val="34"/>
    <w:qFormat/>
    <w:rsid w:val="00E215FB"/>
    <w:pPr>
      <w:spacing w:after="160" w:line="259" w:lineRule="auto"/>
      <w:ind w:left="720"/>
      <w:contextualSpacing/>
    </w:pPr>
    <w:rPr>
      <w:rFonts w:eastAsiaTheme="minorHAnsi"/>
      <w:lang w:eastAsia="en-US"/>
    </w:rPr>
  </w:style>
  <w:style w:type="character" w:styleId="Emphasis">
    <w:name w:val="Emphasis"/>
    <w:basedOn w:val="DefaultParagraphFont"/>
    <w:uiPriority w:val="20"/>
    <w:qFormat/>
    <w:rsid w:val="007803AB"/>
    <w:rPr>
      <w:i/>
      <w:iCs/>
    </w:rPr>
  </w:style>
  <w:style w:type="character" w:customStyle="1" w:styleId="apple-converted-space">
    <w:name w:val="apple-converted-space"/>
    <w:basedOn w:val="DefaultParagraphFont"/>
    <w:rsid w:val="007803AB"/>
  </w:style>
  <w:style w:type="character" w:styleId="Hyperlink">
    <w:name w:val="Hyperlink"/>
    <w:basedOn w:val="DefaultParagraphFont"/>
    <w:uiPriority w:val="99"/>
    <w:unhideWhenUsed/>
    <w:rsid w:val="00E1267F"/>
    <w:rPr>
      <w:color w:val="0000FF" w:themeColor="hyperlink"/>
      <w:u w:val="single"/>
    </w:rPr>
  </w:style>
  <w:style w:type="character" w:styleId="UnresolvedMention">
    <w:name w:val="Unresolved Mention"/>
    <w:basedOn w:val="DefaultParagraphFont"/>
    <w:uiPriority w:val="99"/>
    <w:semiHidden/>
    <w:unhideWhenUsed/>
    <w:rsid w:val="00E1267F"/>
    <w:rPr>
      <w:color w:val="605E5C"/>
      <w:shd w:val="clear" w:color="auto" w:fill="E1DFDD"/>
    </w:rPr>
  </w:style>
  <w:style w:type="paragraph" w:styleId="Header">
    <w:name w:val="header"/>
    <w:basedOn w:val="Normal"/>
    <w:link w:val="HeaderChar"/>
    <w:uiPriority w:val="99"/>
    <w:unhideWhenUsed/>
    <w:rsid w:val="00EE5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C7"/>
  </w:style>
  <w:style w:type="paragraph" w:styleId="Footer">
    <w:name w:val="footer"/>
    <w:basedOn w:val="Normal"/>
    <w:link w:val="FooterChar"/>
    <w:uiPriority w:val="99"/>
    <w:unhideWhenUsed/>
    <w:rsid w:val="00EE5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5571">
      <w:bodyDiv w:val="1"/>
      <w:marLeft w:val="0"/>
      <w:marRight w:val="0"/>
      <w:marTop w:val="0"/>
      <w:marBottom w:val="0"/>
      <w:divBdr>
        <w:top w:val="none" w:sz="0" w:space="0" w:color="auto"/>
        <w:left w:val="none" w:sz="0" w:space="0" w:color="auto"/>
        <w:bottom w:val="none" w:sz="0" w:space="0" w:color="auto"/>
        <w:right w:val="none" w:sz="0" w:space="0" w:color="auto"/>
      </w:divBdr>
    </w:div>
    <w:div w:id="383481743">
      <w:bodyDiv w:val="1"/>
      <w:marLeft w:val="0"/>
      <w:marRight w:val="0"/>
      <w:marTop w:val="0"/>
      <w:marBottom w:val="0"/>
      <w:divBdr>
        <w:top w:val="none" w:sz="0" w:space="0" w:color="auto"/>
        <w:left w:val="none" w:sz="0" w:space="0" w:color="auto"/>
        <w:bottom w:val="none" w:sz="0" w:space="0" w:color="auto"/>
        <w:right w:val="none" w:sz="0" w:space="0" w:color="auto"/>
      </w:divBdr>
    </w:div>
    <w:div w:id="501891663">
      <w:bodyDiv w:val="1"/>
      <w:marLeft w:val="0"/>
      <w:marRight w:val="0"/>
      <w:marTop w:val="0"/>
      <w:marBottom w:val="0"/>
      <w:divBdr>
        <w:top w:val="none" w:sz="0" w:space="0" w:color="auto"/>
        <w:left w:val="none" w:sz="0" w:space="0" w:color="auto"/>
        <w:bottom w:val="none" w:sz="0" w:space="0" w:color="auto"/>
        <w:right w:val="none" w:sz="0" w:space="0" w:color="auto"/>
      </w:divBdr>
    </w:div>
    <w:div w:id="654844484">
      <w:bodyDiv w:val="1"/>
      <w:marLeft w:val="0"/>
      <w:marRight w:val="0"/>
      <w:marTop w:val="0"/>
      <w:marBottom w:val="0"/>
      <w:divBdr>
        <w:top w:val="none" w:sz="0" w:space="0" w:color="auto"/>
        <w:left w:val="none" w:sz="0" w:space="0" w:color="auto"/>
        <w:bottom w:val="none" w:sz="0" w:space="0" w:color="auto"/>
        <w:right w:val="none" w:sz="0" w:space="0" w:color="auto"/>
      </w:divBdr>
    </w:div>
    <w:div w:id="735857648">
      <w:bodyDiv w:val="1"/>
      <w:marLeft w:val="0"/>
      <w:marRight w:val="0"/>
      <w:marTop w:val="0"/>
      <w:marBottom w:val="0"/>
      <w:divBdr>
        <w:top w:val="none" w:sz="0" w:space="0" w:color="auto"/>
        <w:left w:val="none" w:sz="0" w:space="0" w:color="auto"/>
        <w:bottom w:val="none" w:sz="0" w:space="0" w:color="auto"/>
        <w:right w:val="none" w:sz="0" w:space="0" w:color="auto"/>
      </w:divBdr>
    </w:div>
    <w:div w:id="803931947">
      <w:bodyDiv w:val="1"/>
      <w:marLeft w:val="0"/>
      <w:marRight w:val="0"/>
      <w:marTop w:val="0"/>
      <w:marBottom w:val="0"/>
      <w:divBdr>
        <w:top w:val="none" w:sz="0" w:space="0" w:color="auto"/>
        <w:left w:val="none" w:sz="0" w:space="0" w:color="auto"/>
        <w:bottom w:val="none" w:sz="0" w:space="0" w:color="auto"/>
        <w:right w:val="none" w:sz="0" w:space="0" w:color="auto"/>
      </w:divBdr>
    </w:div>
    <w:div w:id="857503042">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
    <w:div w:id="1224415657">
      <w:bodyDiv w:val="1"/>
      <w:marLeft w:val="0"/>
      <w:marRight w:val="0"/>
      <w:marTop w:val="0"/>
      <w:marBottom w:val="0"/>
      <w:divBdr>
        <w:top w:val="none" w:sz="0" w:space="0" w:color="auto"/>
        <w:left w:val="none" w:sz="0" w:space="0" w:color="auto"/>
        <w:bottom w:val="none" w:sz="0" w:space="0" w:color="auto"/>
        <w:right w:val="none" w:sz="0" w:space="0" w:color="auto"/>
      </w:divBdr>
    </w:div>
    <w:div w:id="1540239308">
      <w:bodyDiv w:val="1"/>
      <w:marLeft w:val="0"/>
      <w:marRight w:val="0"/>
      <w:marTop w:val="0"/>
      <w:marBottom w:val="0"/>
      <w:divBdr>
        <w:top w:val="none" w:sz="0" w:space="0" w:color="auto"/>
        <w:left w:val="none" w:sz="0" w:space="0" w:color="auto"/>
        <w:bottom w:val="none" w:sz="0" w:space="0" w:color="auto"/>
        <w:right w:val="none" w:sz="0" w:space="0" w:color="auto"/>
      </w:divBdr>
    </w:div>
    <w:div w:id="1593007814">
      <w:bodyDiv w:val="1"/>
      <w:marLeft w:val="0"/>
      <w:marRight w:val="0"/>
      <w:marTop w:val="0"/>
      <w:marBottom w:val="0"/>
      <w:divBdr>
        <w:top w:val="none" w:sz="0" w:space="0" w:color="auto"/>
        <w:left w:val="none" w:sz="0" w:space="0" w:color="auto"/>
        <w:bottom w:val="none" w:sz="0" w:space="0" w:color="auto"/>
        <w:right w:val="none" w:sz="0" w:space="0" w:color="auto"/>
      </w:divBdr>
    </w:div>
    <w:div w:id="193173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ouveau%20Feuille%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K%20et%20mic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600" b="1" i="0" u="none" strike="noStrike" baseline="0"/>
              <a:t>Tumor Localization</a:t>
            </a:r>
            <a:endParaRPr lang="fr-FR" sz="1200"/>
          </a:p>
        </c:rich>
      </c:tx>
      <c:layout>
        <c:manualLayout>
          <c:xMode val="edge"/>
          <c:yMode val="edge"/>
          <c:x val="0.32509711286089238"/>
          <c:y val="0.89569444444444513"/>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dLbl>
              <c:idx val="1"/>
              <c:tx>
                <c:rich>
                  <a:bodyPr/>
                  <a:lstStyle/>
                  <a:p>
                    <a:r>
                      <a:rPr lang="en-US"/>
                      <a:t>gynecological
19%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D27-47DD-AF2A-6D8299082C4D}"/>
                </c:ext>
              </c:extLst>
            </c:dLbl>
            <c:dLbl>
              <c:idx val="2"/>
              <c:tx>
                <c:rich>
                  <a:bodyPr/>
                  <a:lstStyle/>
                  <a:p>
                    <a:r>
                      <a:rPr lang="en-US"/>
                      <a:t>hematology
19%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D27-47DD-AF2A-6D8299082C4D}"/>
                </c:ext>
              </c:extLst>
            </c:dLbl>
            <c:dLbl>
              <c:idx val="3"/>
              <c:tx>
                <c:rich>
                  <a:bodyPr/>
                  <a:lstStyle/>
                  <a:p>
                    <a:r>
                      <a:rPr lang="en-US"/>
                      <a:t>hepatobiliary
13%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D27-47DD-AF2A-6D8299082C4D}"/>
                </c:ext>
              </c:extLst>
            </c:dLbl>
            <c:dLbl>
              <c:idx val="4"/>
              <c:layout>
                <c:manualLayout>
                  <c:x val="-6.5662729658792721E-3"/>
                  <c:y val="-0.11495333916593752"/>
                </c:manualLayout>
              </c:layout>
              <c:tx>
                <c:rich>
                  <a:bodyPr/>
                  <a:lstStyle/>
                  <a:p>
                    <a:r>
                      <a:rPr lang="en-US" sz="1000"/>
                      <a:t>prostatic
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D27-47DD-AF2A-6D8299082C4D}"/>
                </c:ext>
              </c:extLst>
            </c:dLbl>
            <c:dLbl>
              <c:idx val="5"/>
              <c:layout>
                <c:manualLayout>
                  <c:x val="2.3546369203849518E-2"/>
                  <c:y val="1.3039515893846602E-3"/>
                </c:manualLayout>
              </c:layout>
              <c:tx>
                <c:rich>
                  <a:bodyPr/>
                  <a:lstStyle/>
                  <a:p>
                    <a:r>
                      <a:rPr lang="en-US" sz="1000"/>
                      <a:t>anale</a:t>
                    </a:r>
                  </a:p>
                  <a:p>
                    <a:r>
                      <a:rPr lang="en-US" sz="1000"/>
                      <a:t>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D27-47DD-AF2A-6D8299082C4D}"/>
                </c:ext>
              </c:extLst>
            </c:dLbl>
            <c:dLbl>
              <c:idx val="6"/>
              <c:layout>
                <c:manualLayout>
                  <c:x val="4.0730533683289577E-2"/>
                  <c:y val="1.1801181102362232E-2"/>
                </c:manualLayout>
              </c:layout>
              <c:tx>
                <c:rich>
                  <a:bodyPr/>
                  <a:lstStyle/>
                  <a:p>
                    <a:r>
                      <a:rPr lang="en-US" sz="900"/>
                      <a:t>pulmonairy
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D27-47DD-AF2A-6D8299082C4D}"/>
                </c:ext>
              </c:extLst>
            </c:dLbl>
            <c:dLbl>
              <c:idx val="7"/>
              <c:layout>
                <c:manualLayout>
                  <c:x val="3.6118657042869644E-2"/>
                  <c:y val="5.6029454651501933E-3"/>
                </c:manualLayout>
              </c:layout>
              <c:tx>
                <c:rich>
                  <a:bodyPr/>
                  <a:lstStyle/>
                  <a:p>
                    <a:r>
                      <a:rPr lang="en-US" sz="1000"/>
                      <a:t>vesicale</a:t>
                    </a:r>
                  </a:p>
                  <a:p>
                    <a:r>
                      <a:rPr lang="en-US" sz="1000"/>
                      <a:t>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4D27-47DD-AF2A-6D8299082C4D}"/>
                </c:ext>
              </c:extLst>
            </c:dLbl>
            <c:dLbl>
              <c:idx val="8"/>
              <c:tx>
                <c:rich>
                  <a:bodyPr/>
                  <a:lstStyle/>
                  <a:p>
                    <a:r>
                      <a:rPr lang="en-US"/>
                      <a:t>pancreatic
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D27-47DD-AF2A-6D8299082C4D}"/>
                </c:ext>
              </c:extLst>
            </c:dLbl>
            <c:spPr>
              <a:noFill/>
              <a:ln>
                <a:noFill/>
              </a:ln>
              <a:effectLst/>
            </c:spPr>
            <c:txPr>
              <a:bodyPr/>
              <a:lstStyle/>
              <a:p>
                <a:pPr>
                  <a:defRPr sz="1000"/>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Feuil1!$F$8:$F$16</c:f>
              <c:strCache>
                <c:ptCount val="9"/>
                <c:pt idx="0">
                  <c:v>Colorectal</c:v>
                </c:pt>
                <c:pt idx="1">
                  <c:v>gynecologique</c:v>
                </c:pt>
                <c:pt idx="2">
                  <c:v>hématologique</c:v>
                </c:pt>
                <c:pt idx="3">
                  <c:v>hépato-biliare</c:v>
                </c:pt>
                <c:pt idx="4">
                  <c:v>prostatique</c:v>
                </c:pt>
                <c:pt idx="5">
                  <c:v>anale</c:v>
                </c:pt>
                <c:pt idx="6">
                  <c:v>pulmonaire</c:v>
                </c:pt>
                <c:pt idx="7">
                  <c:v>vésicale</c:v>
                </c:pt>
                <c:pt idx="8">
                  <c:v>pancréatique</c:v>
                </c:pt>
              </c:strCache>
            </c:strRef>
          </c:cat>
          <c:val>
            <c:numRef>
              <c:f>Feuil1!$G$8:$G$16</c:f>
              <c:numCache>
                <c:formatCode>General</c:formatCode>
                <c:ptCount val="9"/>
                <c:pt idx="0">
                  <c:v>3</c:v>
                </c:pt>
                <c:pt idx="1">
                  <c:v>3</c:v>
                </c:pt>
                <c:pt idx="2">
                  <c:v>3</c:v>
                </c:pt>
                <c:pt idx="3">
                  <c:v>2</c:v>
                </c:pt>
                <c:pt idx="4">
                  <c:v>1</c:v>
                </c:pt>
                <c:pt idx="5">
                  <c:v>1</c:v>
                </c:pt>
                <c:pt idx="6">
                  <c:v>1</c:v>
                </c:pt>
                <c:pt idx="7">
                  <c:v>1</c:v>
                </c:pt>
                <c:pt idx="8">
                  <c:v>1</c:v>
                </c:pt>
              </c:numCache>
            </c:numRef>
          </c:val>
          <c:extLst>
            <c:ext xmlns:c16="http://schemas.microsoft.com/office/drawing/2014/chart" uri="{C3380CC4-5D6E-409C-BE32-E72D297353CC}">
              <c16:uniqueId val="{00000008-4D27-47DD-AF2A-6D8299082C4D}"/>
            </c:ext>
          </c:extLst>
        </c:ser>
        <c:ser>
          <c:idx val="1"/>
          <c:order val="1"/>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Feuil1!$F$8:$F$16</c:f>
              <c:strCache>
                <c:ptCount val="9"/>
                <c:pt idx="0">
                  <c:v>Colorectal</c:v>
                </c:pt>
                <c:pt idx="1">
                  <c:v>gynecologique</c:v>
                </c:pt>
                <c:pt idx="2">
                  <c:v>hématologique</c:v>
                </c:pt>
                <c:pt idx="3">
                  <c:v>hépato-biliare</c:v>
                </c:pt>
                <c:pt idx="4">
                  <c:v>prostatique</c:v>
                </c:pt>
                <c:pt idx="5">
                  <c:v>anale</c:v>
                </c:pt>
                <c:pt idx="6">
                  <c:v>pulmonaire</c:v>
                </c:pt>
                <c:pt idx="7">
                  <c:v>vésicale</c:v>
                </c:pt>
                <c:pt idx="8">
                  <c:v>pancréatique</c:v>
                </c:pt>
              </c:strCache>
            </c:strRef>
          </c:cat>
          <c:val>
            <c:numRef>
              <c:f>Feuil1!$H$8:$H$16</c:f>
              <c:numCache>
                <c:formatCode>0.00%</c:formatCode>
                <c:ptCount val="9"/>
                <c:pt idx="0">
                  <c:v>0.18800000000000033</c:v>
                </c:pt>
                <c:pt idx="1">
                  <c:v>0.18800000000000033</c:v>
                </c:pt>
                <c:pt idx="2">
                  <c:v>0.18800000000000033</c:v>
                </c:pt>
                <c:pt idx="3">
                  <c:v>0.125</c:v>
                </c:pt>
                <c:pt idx="4">
                  <c:v>6.3000000000000014E-2</c:v>
                </c:pt>
                <c:pt idx="5">
                  <c:v>6.3000000000000014E-2</c:v>
                </c:pt>
                <c:pt idx="6">
                  <c:v>6.3000000000000014E-2</c:v>
                </c:pt>
                <c:pt idx="7">
                  <c:v>6.3000000000000014E-2</c:v>
                </c:pt>
                <c:pt idx="8">
                  <c:v>6.3000000000000014E-2</c:v>
                </c:pt>
              </c:numCache>
            </c:numRef>
          </c:val>
          <c:extLst>
            <c:ext xmlns:c16="http://schemas.microsoft.com/office/drawing/2014/chart" uri="{C3380CC4-5D6E-409C-BE32-E72D297353CC}">
              <c16:uniqueId val="{00000009-4D27-47DD-AF2A-6D8299082C4D}"/>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Feuil1!$E$27</c:f>
              <c:strCache>
                <c:ptCount val="1"/>
                <c:pt idx="0">
                  <c:v>%</c:v>
                </c:pt>
              </c:strCache>
            </c:strRef>
          </c:tx>
          <c:invertIfNegative val="0"/>
          <c:dLbls>
            <c:dLbl>
              <c:idx val="0"/>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7D-472C-9E43-9C9B4AD28C19}"/>
                </c:ext>
              </c:extLst>
            </c:dLbl>
            <c:dLbl>
              <c:idx val="1"/>
              <c:tx>
                <c:rich>
                  <a:bodyPr/>
                  <a:lstStyle/>
                  <a:p>
                    <a:r>
                      <a:rPr lang="en-US"/>
                      <a:t>18,8%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7D-472C-9E43-9C9B4AD28C19}"/>
                </c:ext>
              </c:extLst>
            </c:dLbl>
            <c:dLbl>
              <c:idx val="2"/>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7D-472C-9E43-9C9B4AD28C19}"/>
                </c:ext>
              </c:extLst>
            </c:dLbl>
            <c:dLbl>
              <c:idx val="3"/>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7D-472C-9E43-9C9B4AD28C19}"/>
                </c:ext>
              </c:extLst>
            </c:dLbl>
            <c:dLbl>
              <c:idx val="4"/>
              <c:tx>
                <c:rich>
                  <a:bodyPr/>
                  <a:lstStyle/>
                  <a:p>
                    <a:r>
                      <a:rPr lang="en-US"/>
                      <a:t>24,9%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7D-472C-9E43-9C9B4AD28C1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Feuil1!$D$28:$D$32</c:f>
              <c:strCache>
                <c:ptCount val="5"/>
                <c:pt idx="0">
                  <c:v>surgey</c:v>
                </c:pt>
                <c:pt idx="1">
                  <c:v>Palliative care</c:v>
                </c:pt>
                <c:pt idx="2">
                  <c:v>chimiotherapy</c:v>
                </c:pt>
                <c:pt idx="3">
                  <c:v>surgery + hormotherapy</c:v>
                </c:pt>
                <c:pt idx="4">
                  <c:v>Surgery + chemoradiotherapy</c:v>
                </c:pt>
              </c:strCache>
            </c:strRef>
          </c:cat>
          <c:val>
            <c:numRef>
              <c:f>Feuil1!$E$28:$E$32</c:f>
              <c:numCache>
                <c:formatCode>General</c:formatCode>
                <c:ptCount val="5"/>
                <c:pt idx="0">
                  <c:v>25</c:v>
                </c:pt>
                <c:pt idx="1">
                  <c:v>18.8</c:v>
                </c:pt>
                <c:pt idx="2">
                  <c:v>25</c:v>
                </c:pt>
                <c:pt idx="3">
                  <c:v>6.3</c:v>
                </c:pt>
                <c:pt idx="4">
                  <c:v>24.9</c:v>
                </c:pt>
              </c:numCache>
            </c:numRef>
          </c:val>
          <c:extLst>
            <c:ext xmlns:c16="http://schemas.microsoft.com/office/drawing/2014/chart" uri="{C3380CC4-5D6E-409C-BE32-E72D297353CC}">
              <c16:uniqueId val="{00000005-D17D-472C-9E43-9C9B4AD28C19}"/>
            </c:ext>
          </c:extLst>
        </c:ser>
        <c:dLbls>
          <c:showLegendKey val="0"/>
          <c:showVal val="1"/>
          <c:showCatName val="0"/>
          <c:showSerName val="0"/>
          <c:showPercent val="0"/>
          <c:showBubbleSize val="0"/>
        </c:dLbls>
        <c:gapWidth val="150"/>
        <c:overlap val="-25"/>
        <c:axId val="130061824"/>
        <c:axId val="130063360"/>
      </c:barChart>
      <c:catAx>
        <c:axId val="130061824"/>
        <c:scaling>
          <c:orientation val="minMax"/>
        </c:scaling>
        <c:delete val="0"/>
        <c:axPos val="b"/>
        <c:numFmt formatCode="General" sourceLinked="0"/>
        <c:majorTickMark val="none"/>
        <c:minorTickMark val="none"/>
        <c:tickLblPos val="nextTo"/>
        <c:crossAx val="130063360"/>
        <c:crosses val="autoZero"/>
        <c:auto val="1"/>
        <c:lblAlgn val="ctr"/>
        <c:lblOffset val="100"/>
        <c:noMultiLvlLbl val="0"/>
      </c:catAx>
      <c:valAx>
        <c:axId val="130063360"/>
        <c:scaling>
          <c:orientation val="minMax"/>
        </c:scaling>
        <c:delete val="1"/>
        <c:axPos val="l"/>
        <c:numFmt formatCode="General" sourceLinked="1"/>
        <c:majorTickMark val="out"/>
        <c:minorTickMark val="none"/>
        <c:tickLblPos val="nextTo"/>
        <c:crossAx val="13006182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9</Pages>
  <Words>3162</Words>
  <Characters>18026</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77</cp:revision>
  <dcterms:created xsi:type="dcterms:W3CDTF">2025-10-02T22:23:00Z</dcterms:created>
  <dcterms:modified xsi:type="dcterms:W3CDTF">2025-11-03T07:19:00Z</dcterms:modified>
</cp:coreProperties>
</file>