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922C2" w14:textId="77777777" w:rsidR="00754C9A" w:rsidRDefault="00754C9A" w:rsidP="00441B6F">
      <w:pPr>
        <w:pStyle w:val="Title"/>
        <w:spacing w:after="0"/>
        <w:jc w:val="both"/>
        <w:rPr>
          <w:rFonts w:ascii="Arial" w:hAnsi="Arial" w:cs="Arial"/>
        </w:rPr>
      </w:pPr>
    </w:p>
    <w:p w14:paraId="34875899" w14:textId="77777777" w:rsidR="000476EC" w:rsidRPr="000476EC" w:rsidRDefault="000476EC" w:rsidP="000476EC">
      <w:pPr>
        <w:pStyle w:val="Author"/>
        <w:spacing w:line="240" w:lineRule="auto"/>
        <w:rPr>
          <w:rFonts w:ascii="Arial" w:hAnsi="Arial" w:cs="Arial"/>
          <w:bCs/>
          <w:i/>
          <w:iCs/>
          <w:kern w:val="28"/>
          <w:sz w:val="36"/>
        </w:rPr>
      </w:pPr>
      <w:r w:rsidRPr="000476EC">
        <w:rPr>
          <w:rFonts w:ascii="Arial" w:hAnsi="Arial" w:cs="Arial"/>
          <w:bCs/>
          <w:iCs/>
          <w:kern w:val="28"/>
          <w:sz w:val="36"/>
        </w:rPr>
        <w:t xml:space="preserve">Micronucleus Test in Swiss Albino Mice Exposed to Cadmium and Ameliorating effect of </w:t>
      </w:r>
      <w:proofErr w:type="spellStart"/>
      <w:r w:rsidRPr="000476EC">
        <w:rPr>
          <w:rFonts w:ascii="Arial" w:hAnsi="Arial" w:cs="Arial"/>
          <w:bCs/>
          <w:i/>
          <w:iCs/>
          <w:kern w:val="28"/>
          <w:sz w:val="36"/>
        </w:rPr>
        <w:t>Nyctanthes</w:t>
      </w:r>
      <w:proofErr w:type="spellEnd"/>
      <w:r w:rsidRPr="000476EC">
        <w:rPr>
          <w:rFonts w:ascii="Arial" w:hAnsi="Arial" w:cs="Arial"/>
          <w:bCs/>
          <w:i/>
          <w:iCs/>
          <w:kern w:val="28"/>
          <w:sz w:val="36"/>
        </w:rPr>
        <w:t xml:space="preserve"> </w:t>
      </w:r>
      <w:proofErr w:type="spellStart"/>
      <w:r w:rsidRPr="000476EC">
        <w:rPr>
          <w:rFonts w:ascii="Arial" w:hAnsi="Arial" w:cs="Arial"/>
          <w:bCs/>
          <w:i/>
          <w:iCs/>
          <w:kern w:val="28"/>
          <w:sz w:val="36"/>
        </w:rPr>
        <w:t>arbortristis</w:t>
      </w:r>
      <w:proofErr w:type="spellEnd"/>
    </w:p>
    <w:p w14:paraId="475EC39E" w14:textId="77777777" w:rsidR="00163BC4" w:rsidRPr="00163BC4" w:rsidRDefault="00163BC4" w:rsidP="00441B6F">
      <w:pPr>
        <w:pStyle w:val="Author"/>
        <w:spacing w:line="240" w:lineRule="auto"/>
        <w:rPr>
          <w:rFonts w:ascii="Arial" w:hAnsi="Arial" w:cs="Arial"/>
          <w:bCs/>
          <w:iCs/>
          <w:kern w:val="28"/>
          <w:sz w:val="36"/>
        </w:rPr>
      </w:pPr>
    </w:p>
    <w:p w14:paraId="5F3608F5" w14:textId="77777777" w:rsidR="002C57D2" w:rsidRPr="00FB3A86" w:rsidRDefault="002C57D2" w:rsidP="00441B6F">
      <w:pPr>
        <w:pStyle w:val="Affiliation"/>
        <w:spacing w:after="0" w:line="240" w:lineRule="auto"/>
        <w:jc w:val="both"/>
        <w:rPr>
          <w:rFonts w:ascii="Arial" w:hAnsi="Arial" w:cs="Arial"/>
        </w:rPr>
      </w:pPr>
    </w:p>
    <w:p w14:paraId="37028C07" w14:textId="77777777" w:rsidR="00B01FCD" w:rsidRDefault="00E9249F"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7CB86FD" wp14:editId="36067A38">
                <wp:extent cx="5303520" cy="635"/>
                <wp:effectExtent l="0" t="12700" r="5080" b="12065"/>
                <wp:docPr id="6457758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335D5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77C2A708" w14:textId="77777777" w:rsidR="000D5E07" w:rsidRDefault="000D5E07" w:rsidP="00441B6F">
      <w:pPr>
        <w:pStyle w:val="Copyright"/>
        <w:spacing w:after="0" w:line="240" w:lineRule="auto"/>
        <w:jc w:val="both"/>
        <w:rPr>
          <w:rFonts w:ascii="Arial" w:hAnsi="Arial" w:cs="Arial"/>
        </w:rPr>
      </w:pPr>
    </w:p>
    <w:p w14:paraId="018ECA7B" w14:textId="77777777" w:rsidR="000D5E07" w:rsidRDefault="000D5E07" w:rsidP="00441B6F">
      <w:pPr>
        <w:pStyle w:val="Copyright"/>
        <w:spacing w:after="0" w:line="240" w:lineRule="auto"/>
        <w:jc w:val="both"/>
        <w:rPr>
          <w:rFonts w:ascii="Arial" w:hAnsi="Arial" w:cs="Arial"/>
        </w:rPr>
      </w:pPr>
    </w:p>
    <w:p w14:paraId="5DFA8BCD" w14:textId="77777777" w:rsidR="000D5E07" w:rsidRDefault="000D5E07" w:rsidP="000D5E07">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FD21D60" w14:textId="77777777" w:rsidR="000D5E07" w:rsidRPr="00FB3A86" w:rsidRDefault="000D5E07" w:rsidP="000D5E07">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0D5E07" w:rsidRPr="001E44FE" w14:paraId="15C5E139" w14:textId="77777777" w:rsidTr="00762E1D">
        <w:tc>
          <w:tcPr>
            <w:tcW w:w="9576" w:type="dxa"/>
            <w:shd w:val="clear" w:color="auto" w:fill="F2F2F2"/>
          </w:tcPr>
          <w:p w14:paraId="6ABDD260" w14:textId="77777777" w:rsidR="000D5E07" w:rsidRPr="00BF7B75" w:rsidRDefault="000D5E07" w:rsidP="00762E1D">
            <w:pPr>
              <w:pStyle w:val="Body"/>
              <w:spacing w:before="240" w:after="0"/>
              <w:rPr>
                <w:rFonts w:ascii="Arial" w:eastAsia="Calibri" w:hAnsi="Arial" w:cs="Arial"/>
                <w:szCs w:val="22"/>
              </w:rPr>
            </w:pPr>
            <w:r w:rsidRPr="00BA1B01">
              <w:rPr>
                <w:rFonts w:ascii="Arial" w:eastAsia="Calibri" w:hAnsi="Arial" w:cs="Arial"/>
                <w:b/>
                <w:szCs w:val="22"/>
              </w:rPr>
              <w:t xml:space="preserve">Aims: </w:t>
            </w:r>
            <w:r w:rsidRPr="00BF7B75">
              <w:rPr>
                <w:rFonts w:ascii="Arial" w:eastAsia="Calibri" w:hAnsi="Arial" w:cs="Arial"/>
                <w:szCs w:val="22"/>
              </w:rPr>
              <w:t>The present study aimed to assess the genotoxic effects of cadmium chloride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 and the protective efficacy of </w:t>
            </w:r>
            <w:proofErr w:type="spellStart"/>
            <w:r w:rsidRPr="00BF7B75">
              <w:rPr>
                <w:rFonts w:ascii="Arial" w:eastAsia="Calibri" w:hAnsi="Arial" w:cs="Arial"/>
                <w:i/>
                <w:iCs/>
                <w:szCs w:val="22"/>
              </w:rPr>
              <w:t>Nyctanthes</w:t>
            </w:r>
            <w:proofErr w:type="spellEnd"/>
            <w:r w:rsidR="009C36D7">
              <w:rPr>
                <w:rFonts w:ascii="Arial" w:eastAsia="Calibri" w:hAnsi="Arial" w:cs="Arial"/>
                <w:i/>
                <w:iCs/>
                <w:szCs w:val="22"/>
              </w:rPr>
              <w:t xml:space="preserve">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using the micronucleus assay in Swiss albino mice.</w:t>
            </w:r>
          </w:p>
          <w:p w14:paraId="0F3C994D" w14:textId="77777777" w:rsidR="000D5E07" w:rsidRPr="00BA1B01" w:rsidRDefault="000D5E07" w:rsidP="00762E1D">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BF7B75">
              <w:rPr>
                <w:rFonts w:ascii="Arial" w:eastAsia="Calibri" w:hAnsi="Arial" w:cs="Arial"/>
                <w:szCs w:val="22"/>
              </w:rPr>
              <w:t>Experimental, controlled </w:t>
            </w:r>
            <w:r w:rsidRPr="00232DD2">
              <w:rPr>
                <w:rFonts w:ascii="Arial" w:eastAsia="Calibri" w:hAnsi="Arial" w:cs="Arial"/>
                <w:szCs w:val="22"/>
              </w:rPr>
              <w:t>in vivo</w:t>
            </w:r>
            <w:r w:rsidRPr="00BF7B75">
              <w:rPr>
                <w:rFonts w:ascii="Arial" w:eastAsia="Calibri" w:hAnsi="Arial" w:cs="Arial"/>
                <w:szCs w:val="22"/>
              </w:rPr>
              <w:t> study using laboratory mice as the animal model.</w:t>
            </w:r>
          </w:p>
          <w:p w14:paraId="22D1CC15" w14:textId="77777777" w:rsidR="000D5E07" w:rsidRPr="00BA1B01" w:rsidRDefault="000D5E07" w:rsidP="00762E1D">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BF7B75">
              <w:rPr>
                <w:rFonts w:ascii="Arial" w:eastAsia="Calibri" w:hAnsi="Arial" w:cs="Arial"/>
                <w:szCs w:val="22"/>
              </w:rPr>
              <w:t>The experiment was conducted in the Department of Zoology,</w:t>
            </w:r>
            <w:r>
              <w:rPr>
                <w:rFonts w:ascii="Arial" w:eastAsia="Calibri" w:hAnsi="Arial" w:cs="Arial"/>
                <w:szCs w:val="22"/>
              </w:rPr>
              <w:t xml:space="preserve"> T.M.B.U. </w:t>
            </w:r>
            <w:r w:rsidRPr="00BF7B75">
              <w:rPr>
                <w:rFonts w:ascii="Arial" w:eastAsia="Calibri" w:hAnsi="Arial" w:cs="Arial"/>
                <w:szCs w:val="22"/>
              </w:rPr>
              <w:t xml:space="preserve">Mice were divided into </w:t>
            </w:r>
            <w:r>
              <w:rPr>
                <w:rFonts w:ascii="Arial" w:eastAsia="Calibri" w:hAnsi="Arial" w:cs="Arial"/>
                <w:szCs w:val="22"/>
              </w:rPr>
              <w:t>four</w:t>
            </w:r>
            <w:r w:rsidRPr="00BF7B75">
              <w:rPr>
                <w:rFonts w:ascii="Arial" w:eastAsia="Calibri" w:hAnsi="Arial" w:cs="Arial"/>
                <w:szCs w:val="22"/>
              </w:rPr>
              <w:t xml:space="preserve"> groups: control,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(CD), </w:t>
            </w:r>
            <w:r w:rsidRPr="00BF7B75">
              <w:rPr>
                <w:rFonts w:ascii="Arial" w:eastAsia="Calibri" w:hAnsi="Arial" w:cs="Arial"/>
                <w:i/>
                <w:iCs/>
                <w:szCs w:val="22"/>
              </w:rPr>
              <w:t>N. arbor-tristis</w:t>
            </w:r>
            <w:r w:rsidRPr="00BF7B75">
              <w:rPr>
                <w:rFonts w:ascii="Arial" w:eastAsia="Calibri" w:hAnsi="Arial" w:cs="Arial"/>
                <w:szCs w:val="22"/>
              </w:rPr>
              <w:t> alone (NA) and co-treatment group (CD + NA</w:t>
            </w:r>
            <w:r>
              <w:rPr>
                <w:rFonts w:ascii="Arial" w:eastAsia="Calibri" w:hAnsi="Arial" w:cs="Arial"/>
                <w:szCs w:val="22"/>
              </w:rPr>
              <w:t>)</w:t>
            </w:r>
            <w:r w:rsidRPr="00BF7B75">
              <w:rPr>
                <w:rFonts w:ascii="Arial" w:eastAsia="Calibri" w:hAnsi="Arial" w:cs="Arial"/>
                <w:szCs w:val="22"/>
              </w:rPr>
              <w:t>.</w:t>
            </w:r>
          </w:p>
          <w:p w14:paraId="658F0271" w14:textId="77777777" w:rsidR="000D5E07" w:rsidRPr="00BA1B01" w:rsidRDefault="000D5E07" w:rsidP="00762E1D">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BF7B75">
              <w:rPr>
                <w:rFonts w:ascii="Arial" w:eastAsia="Calibri" w:hAnsi="Arial" w:cs="Arial"/>
                <w:szCs w:val="22"/>
              </w:rPr>
              <w:t>Bone marrow smears were prepared and stained for the micronucleus test, and the PCE/NCE ratio was calculated as an indicator of cytotoxicity. Data were analyzed using ANOVA followed by Tukey’s test.</w:t>
            </w:r>
          </w:p>
          <w:p w14:paraId="3A5D8776" w14:textId="77777777" w:rsidR="000D5E07" w:rsidRPr="009A5FDB" w:rsidRDefault="000D5E07" w:rsidP="00762E1D">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A5FDB">
              <w:rPr>
                <w:rFonts w:ascii="Arial" w:eastAsia="Calibri" w:hAnsi="Arial" w:cs="Arial"/>
                <w:szCs w:val="22"/>
              </w:rPr>
              <w:t>S</w:t>
            </w:r>
            <w:r w:rsidRPr="009A5FDB">
              <w:rPr>
                <w:rFonts w:ascii="Arial" w:eastAsia="Calibri" w:hAnsi="Arial" w:cs="Arial"/>
                <w:szCs w:val="22"/>
              </w:rPr>
              <w:t>ignificant increase</w:t>
            </w:r>
            <w:r w:rsidRPr="00BF7B75">
              <w:rPr>
                <w:rFonts w:ascii="Arial" w:eastAsia="Calibri" w:hAnsi="Arial" w:cs="Arial"/>
                <w:szCs w:val="22"/>
              </w:rPr>
              <w:t xml:space="preserve"> in the frequency of </w:t>
            </w:r>
            <w:proofErr w:type="spellStart"/>
            <w:r w:rsidRPr="00BF7B75">
              <w:rPr>
                <w:rFonts w:ascii="Arial" w:eastAsia="Calibri" w:hAnsi="Arial" w:cs="Arial"/>
                <w:szCs w:val="22"/>
              </w:rPr>
              <w:t>micronucleated</w:t>
            </w:r>
            <w:proofErr w:type="spellEnd"/>
            <w:r w:rsidRPr="00BF7B75">
              <w:rPr>
                <w:rFonts w:ascii="Arial" w:eastAsia="Calibri" w:hAnsi="Arial" w:cs="Arial"/>
                <w:szCs w:val="22"/>
              </w:rPr>
              <w:t xml:space="preserve"> PCEs and NCEs in the </w:t>
            </w:r>
            <w:proofErr w:type="spellStart"/>
            <w:r w:rsidRPr="00BF7B75">
              <w:rPr>
                <w:rFonts w:ascii="Arial" w:eastAsia="Calibri" w:hAnsi="Arial" w:cs="Arial"/>
                <w:szCs w:val="22"/>
              </w:rPr>
              <w:t>CdCl</w:t>
            </w:r>
            <w:proofErr w:type="spellEnd"/>
            <w:r w:rsidRPr="00BF7B75">
              <w:rPr>
                <w:rFonts w:ascii="Cambria Math" w:eastAsia="Calibri" w:hAnsi="Cambria Math" w:cs="Cambria Math"/>
                <w:szCs w:val="22"/>
              </w:rPr>
              <w:t>₂</w:t>
            </w:r>
            <w:r w:rsidRPr="00BF7B75">
              <w:rPr>
                <w:rFonts w:ascii="Arial" w:eastAsia="Calibri" w:hAnsi="Arial" w:cs="Arial"/>
                <w:szCs w:val="22"/>
              </w:rPr>
              <w:t>-treated group (total 11.75%) compared to control, confirming cadmium</w:t>
            </w:r>
            <w:r w:rsidR="00D4038B">
              <w:rPr>
                <w:rFonts w:ascii="Arial" w:eastAsia="Calibri" w:hAnsi="Arial" w:cs="Arial"/>
                <w:szCs w:val="22"/>
              </w:rPr>
              <w:t xml:space="preserve"> </w:t>
            </w:r>
            <w:r w:rsidRPr="00BF7B75">
              <w:rPr>
                <w:rFonts w:ascii="Arial" w:eastAsia="Calibri" w:hAnsi="Arial" w:cs="Arial"/>
                <w:szCs w:val="22"/>
              </w:rPr>
              <w:t>induced genotoxicity. Co-treatment with </w:t>
            </w:r>
            <w:r w:rsidRPr="00BF7B75">
              <w:rPr>
                <w:rFonts w:ascii="Arial" w:eastAsia="Calibri" w:hAnsi="Arial" w:cs="Arial"/>
                <w:i/>
                <w:iCs/>
                <w:szCs w:val="22"/>
              </w:rPr>
              <w:t xml:space="preserve">N. </w:t>
            </w:r>
            <w:proofErr w:type="spellStart"/>
            <w:r w:rsidRPr="00BF7B75">
              <w:rPr>
                <w:rFonts w:ascii="Arial" w:eastAsia="Calibri" w:hAnsi="Arial" w:cs="Arial"/>
                <w:i/>
                <w:iCs/>
                <w:szCs w:val="22"/>
              </w:rPr>
              <w:t>arbortristis</w:t>
            </w:r>
            <w:proofErr w:type="spellEnd"/>
            <w:r w:rsidRPr="00BF7B75">
              <w:rPr>
                <w:rFonts w:ascii="Arial" w:eastAsia="Calibri" w:hAnsi="Arial" w:cs="Arial"/>
                <w:szCs w:val="22"/>
              </w:rPr>
              <w:t xml:space="preserve"> significantly reduced the micronucleus frequency </w:t>
            </w:r>
            <w:r w:rsidRPr="009A5FDB">
              <w:rPr>
                <w:rFonts w:ascii="Arial" w:eastAsia="Calibri" w:hAnsi="Arial" w:cs="Arial"/>
                <w:szCs w:val="22"/>
              </w:rPr>
              <w:t>to 3.54%,</w:t>
            </w:r>
            <w:r w:rsidRPr="00BF7B75">
              <w:rPr>
                <w:rFonts w:ascii="Arial" w:eastAsia="Calibri" w:hAnsi="Arial" w:cs="Arial"/>
                <w:szCs w:val="22"/>
              </w:rPr>
              <w:t xml:space="preserve"> indicating effective protection. The PCE/NCE ratio, reduced to </w:t>
            </w:r>
            <w:r w:rsidRPr="009A5FDB">
              <w:rPr>
                <w:rFonts w:ascii="Arial" w:eastAsia="Calibri" w:hAnsi="Arial" w:cs="Arial"/>
                <w:szCs w:val="22"/>
              </w:rPr>
              <w:t>0.93 in the Cd group, increased to 1.10 in the CD</w:t>
            </w:r>
            <w:r w:rsidR="009A5FDB" w:rsidRPr="009A5FDB">
              <w:rPr>
                <w:rFonts w:ascii="Arial" w:eastAsia="Calibri" w:hAnsi="Arial" w:cs="Arial"/>
                <w:szCs w:val="22"/>
              </w:rPr>
              <w:t xml:space="preserve"> </w:t>
            </w:r>
            <w:r w:rsidRPr="009A5FDB">
              <w:rPr>
                <w:rFonts w:ascii="Arial" w:eastAsia="Calibri" w:hAnsi="Arial" w:cs="Arial"/>
                <w:szCs w:val="22"/>
              </w:rPr>
              <w:t>+ NA group</w:t>
            </w:r>
            <w:r w:rsidR="009A5FDB" w:rsidRPr="009A5FDB">
              <w:rPr>
                <w:rFonts w:ascii="Arial" w:eastAsia="Calibri" w:hAnsi="Arial" w:cs="Arial"/>
                <w:szCs w:val="22"/>
              </w:rPr>
              <w:t>.</w:t>
            </w:r>
          </w:p>
          <w:p w14:paraId="31228E9D" w14:textId="77777777" w:rsidR="000D5E07" w:rsidRPr="00BA1B01" w:rsidRDefault="000D5E07" w:rsidP="00762E1D">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C</w:t>
            </w:r>
            <w:r w:rsidRPr="000D5E07">
              <w:rPr>
                <w:rFonts w:ascii="Arial" w:eastAsia="Calibri" w:hAnsi="Arial" w:cs="Arial"/>
                <w:szCs w:val="22"/>
              </w:rPr>
              <w:t>admium chloride induced marked genotoxic and cytotoxic effects in mice bone marrow, while </w:t>
            </w:r>
            <w:r w:rsidRPr="000D5E07">
              <w:rPr>
                <w:rFonts w:ascii="Arial" w:eastAsia="Calibri" w:hAnsi="Arial" w:cs="Arial"/>
                <w:i/>
                <w:iCs/>
                <w:szCs w:val="22"/>
              </w:rPr>
              <w:t>N</w:t>
            </w:r>
            <w:r w:rsidR="00232DD2">
              <w:rPr>
                <w:rFonts w:ascii="Arial" w:eastAsia="Calibri" w:hAnsi="Arial" w:cs="Arial"/>
                <w:i/>
                <w:iCs/>
                <w:szCs w:val="22"/>
              </w:rPr>
              <w:t>.</w:t>
            </w:r>
            <w:r w:rsidRPr="000D5E07">
              <w:rPr>
                <w:rFonts w:ascii="Arial" w:eastAsia="Calibri" w:hAnsi="Arial" w:cs="Arial"/>
                <w:i/>
                <w:iCs/>
                <w:szCs w:val="22"/>
              </w:rPr>
              <w:t xml:space="preserve"> </w:t>
            </w:r>
            <w:proofErr w:type="spellStart"/>
            <w:r w:rsidRPr="000D5E07">
              <w:rPr>
                <w:rFonts w:ascii="Arial" w:eastAsia="Calibri" w:hAnsi="Arial" w:cs="Arial"/>
                <w:i/>
                <w:iCs/>
                <w:szCs w:val="22"/>
              </w:rPr>
              <w:t>arbortristis</w:t>
            </w:r>
            <w:proofErr w:type="spellEnd"/>
            <w:r w:rsidRPr="000D5E07">
              <w:rPr>
                <w:rFonts w:ascii="Arial" w:eastAsia="Calibri" w:hAnsi="Arial" w:cs="Arial"/>
                <w:i/>
                <w:iCs/>
                <w:szCs w:val="22"/>
              </w:rPr>
              <w:t xml:space="preserve"> </w:t>
            </w:r>
            <w:r w:rsidRPr="000D5E07">
              <w:rPr>
                <w:rFonts w:ascii="Arial" w:eastAsia="Calibri" w:hAnsi="Arial" w:cs="Arial"/>
                <w:szCs w:val="22"/>
              </w:rPr>
              <w:t>exhibited significant antigenotoxic and antioxidant activity, restoring bone marrow function</w:t>
            </w:r>
            <w:r w:rsidR="009A5FDB">
              <w:rPr>
                <w:rFonts w:ascii="Arial" w:eastAsia="Calibri" w:hAnsi="Arial" w:cs="Arial"/>
                <w:szCs w:val="22"/>
              </w:rPr>
              <w:t>, indicating</w:t>
            </w:r>
            <w:r w:rsidRPr="000D5E07">
              <w:rPr>
                <w:rFonts w:ascii="Arial" w:eastAsia="Calibri" w:hAnsi="Arial" w:cs="Arial"/>
                <w:szCs w:val="22"/>
              </w:rPr>
              <w:t xml:space="preserve"> its potential as a natural protective agent against cadmium-induced damage.</w:t>
            </w:r>
          </w:p>
        </w:tc>
      </w:tr>
    </w:tbl>
    <w:p w14:paraId="635E066C" w14:textId="77777777" w:rsidR="000D5E07" w:rsidRDefault="000D5E07" w:rsidP="000D5E07">
      <w:pPr>
        <w:pStyle w:val="Body"/>
        <w:spacing w:after="0"/>
        <w:rPr>
          <w:rFonts w:ascii="Arial" w:hAnsi="Arial" w:cs="Arial"/>
          <w:i/>
        </w:rPr>
      </w:pPr>
    </w:p>
    <w:p w14:paraId="29293859" w14:textId="77777777" w:rsidR="000D5E07" w:rsidRPr="000D5E07" w:rsidRDefault="000D5E07" w:rsidP="000D5E07">
      <w:pPr>
        <w:pStyle w:val="Body"/>
        <w:spacing w:after="0"/>
        <w:rPr>
          <w:rFonts w:ascii="Arial" w:hAnsi="Arial" w:cs="Arial"/>
          <w:i/>
        </w:rPr>
        <w:sectPr w:rsidR="000D5E07" w:rsidRPr="000D5E07" w:rsidSect="009F6D0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i/>
        </w:rPr>
        <w:t xml:space="preserve">Keywords: </w:t>
      </w:r>
      <w:r w:rsidRPr="00BF7B75">
        <w:rPr>
          <w:rFonts w:ascii="Arial" w:hAnsi="Arial" w:cs="Arial"/>
          <w:i/>
        </w:rPr>
        <w:t>Cadmium chloride; </w:t>
      </w:r>
      <w:proofErr w:type="spellStart"/>
      <w:r w:rsidRPr="00BF7B75">
        <w:rPr>
          <w:rFonts w:ascii="Arial" w:hAnsi="Arial" w:cs="Arial"/>
          <w:i/>
          <w:iCs/>
        </w:rPr>
        <w:t>Nyctanthes</w:t>
      </w:r>
      <w:proofErr w:type="spellEnd"/>
      <w:r w:rsidRPr="00BF7B75">
        <w:rPr>
          <w:rFonts w:ascii="Arial" w:hAnsi="Arial" w:cs="Arial"/>
          <w:i/>
          <w:iCs/>
        </w:rPr>
        <w:t xml:space="preserve"> </w:t>
      </w:r>
      <w:proofErr w:type="spellStart"/>
      <w:r w:rsidRPr="00BF7B75">
        <w:rPr>
          <w:rFonts w:ascii="Arial" w:hAnsi="Arial" w:cs="Arial"/>
          <w:i/>
          <w:iCs/>
        </w:rPr>
        <w:t>arbortristis</w:t>
      </w:r>
      <w:proofErr w:type="spellEnd"/>
      <w:r w:rsidRPr="00BF7B75">
        <w:rPr>
          <w:rFonts w:ascii="Arial" w:hAnsi="Arial" w:cs="Arial"/>
          <w:i/>
        </w:rPr>
        <w:t>; Micronucleus test</w:t>
      </w:r>
      <w:r>
        <w:rPr>
          <w:rFonts w:ascii="Arial" w:hAnsi="Arial" w:cs="Arial"/>
          <w:i/>
        </w:rPr>
        <w:t xml:space="preserve">; </w:t>
      </w:r>
      <w:r w:rsidRPr="00BF7B75">
        <w:rPr>
          <w:rFonts w:ascii="Arial" w:hAnsi="Arial" w:cs="Arial"/>
          <w:i/>
        </w:rPr>
        <w:t xml:space="preserve">Antioxidant; </w:t>
      </w:r>
      <w:proofErr w:type="spellStart"/>
      <w:r w:rsidRPr="00BF7B75">
        <w:rPr>
          <w:rFonts w:ascii="Arial" w:hAnsi="Arial" w:cs="Arial"/>
          <w:i/>
        </w:rPr>
        <w:t>Cytoprotection</w:t>
      </w:r>
      <w:proofErr w:type="spellEnd"/>
      <w:r w:rsidRPr="00BF7B75">
        <w:rPr>
          <w:rFonts w:ascii="Arial" w:hAnsi="Arial" w:cs="Arial"/>
          <w:i/>
        </w:rPr>
        <w:t>; Bone marrow; PCE/NCE ratio; Heavy metal toxicity</w:t>
      </w:r>
      <w:r w:rsidR="00232DD2">
        <w:rPr>
          <w:rFonts w:ascii="Arial" w:hAnsi="Arial" w:cs="Arial"/>
          <w:i/>
        </w:rPr>
        <w:t>.</w:t>
      </w:r>
    </w:p>
    <w:p w14:paraId="2D638361"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DB3D9EE" w14:textId="77777777" w:rsidR="00790ADA" w:rsidRPr="00FB3A86" w:rsidRDefault="00790ADA" w:rsidP="00441B6F">
      <w:pPr>
        <w:pStyle w:val="AbstHead"/>
        <w:spacing w:after="0"/>
        <w:jc w:val="both"/>
        <w:rPr>
          <w:rFonts w:ascii="Arial" w:hAnsi="Arial" w:cs="Arial"/>
        </w:rPr>
      </w:pPr>
    </w:p>
    <w:p w14:paraId="57BC7A6B" w14:textId="77777777" w:rsidR="000476EC" w:rsidRPr="000476EC" w:rsidRDefault="000476EC" w:rsidP="000476EC">
      <w:pPr>
        <w:pStyle w:val="Body"/>
        <w:rPr>
          <w:rFonts w:ascii="Arial" w:hAnsi="Arial" w:cs="Arial"/>
        </w:rPr>
      </w:pPr>
      <w:r w:rsidRPr="000476EC">
        <w:rPr>
          <w:rFonts w:ascii="Arial" w:hAnsi="Arial" w:cs="Arial"/>
        </w:rPr>
        <w:t xml:space="preserve">Industrialization has raised our standards of living at the cost of destruction of our environment. Annually, industries are emanating tons of waste materials in liquid, solid and gaseous forms in the environment indiscriminately without proper treatment. Such industrial waste contains toxic and carcinogenic elements out of which our major concern is the heavy metal pollutants. On the global scale, heavy metal pollution has become a serious environmental issue </w:t>
      </w:r>
      <w:r w:rsidR="00520324">
        <w:rPr>
          <w:rFonts w:ascii="Arial" w:hAnsi="Arial" w:cs="Arial"/>
        </w:rPr>
        <w:t>(</w:t>
      </w:r>
      <w:r w:rsidR="00520324" w:rsidRPr="00232DD2">
        <w:rPr>
          <w:rFonts w:ascii="Arial" w:hAnsi="Arial" w:cs="Arial"/>
          <w:iCs/>
        </w:rPr>
        <w:t>Briffa</w:t>
      </w:r>
      <w:r w:rsidR="00520324">
        <w:rPr>
          <w:rFonts w:ascii="Arial" w:hAnsi="Arial" w:cs="Arial"/>
          <w:iCs/>
        </w:rPr>
        <w:t xml:space="preserve"> et al., 2020)</w:t>
      </w:r>
      <w:r w:rsidRPr="000476EC">
        <w:rPr>
          <w:rFonts w:ascii="Arial" w:hAnsi="Arial" w:cs="Arial"/>
        </w:rPr>
        <w:t>.</w:t>
      </w:r>
    </w:p>
    <w:p w14:paraId="74B1377B" w14:textId="77777777" w:rsidR="000D5E07" w:rsidRDefault="000476EC" w:rsidP="000476EC">
      <w:pPr>
        <w:pStyle w:val="Body"/>
        <w:rPr>
          <w:rFonts w:ascii="Arial" w:hAnsi="Arial" w:cs="Arial"/>
          <w:lang w:val="en-IN"/>
        </w:rPr>
      </w:pPr>
      <w:r w:rsidRPr="000476EC">
        <w:rPr>
          <w:rFonts w:ascii="Arial" w:hAnsi="Arial" w:cs="Arial"/>
          <w:lang w:val="en-IN"/>
        </w:rPr>
        <w:t xml:space="preserve">Heavy metals are defined as metallic elements that have a relatively high density compared to water </w:t>
      </w:r>
      <w:r w:rsidR="00005009">
        <w:rPr>
          <w:rFonts w:ascii="Arial" w:hAnsi="Arial" w:cs="Arial"/>
          <w:lang w:val="en-IN"/>
        </w:rPr>
        <w:t>(</w:t>
      </w:r>
      <w:r w:rsidR="00005009" w:rsidRPr="00005009">
        <w:rPr>
          <w:rFonts w:ascii="Arial" w:hAnsi="Arial" w:cs="Arial"/>
          <w:iCs/>
        </w:rPr>
        <w:t>Ali &amp; Khan,</w:t>
      </w:r>
      <w:r w:rsidR="00005009">
        <w:rPr>
          <w:rFonts w:ascii="Arial" w:hAnsi="Arial" w:cs="Arial"/>
          <w:iCs/>
        </w:rPr>
        <w:t xml:space="preserve"> </w:t>
      </w:r>
      <w:r w:rsidR="00005009" w:rsidRPr="00005009">
        <w:rPr>
          <w:rFonts w:ascii="Arial" w:hAnsi="Arial" w:cs="Arial"/>
          <w:iCs/>
        </w:rPr>
        <w:t xml:space="preserve">2018). </w:t>
      </w:r>
      <w:r w:rsidRPr="000476EC">
        <w:rPr>
          <w:rFonts w:ascii="Arial" w:hAnsi="Arial" w:cs="Arial"/>
          <w:lang w:val="en-IN"/>
        </w:rPr>
        <w:t xml:space="preserve">In recent years, there has been an increasing ecological and global public health concern associated with environmental contamination by these metals. Also, human exposure has risen dramatically as a result of an exponential increase of their use in several industrial, agricultural, domestic and technological applications </w:t>
      </w:r>
      <w:r w:rsidR="00005009">
        <w:rPr>
          <w:rFonts w:ascii="Arial" w:hAnsi="Arial" w:cs="Arial"/>
          <w:lang w:val="en-IN"/>
        </w:rPr>
        <w:t>(</w:t>
      </w:r>
      <w:r w:rsidR="00005009" w:rsidRPr="00005009">
        <w:rPr>
          <w:rFonts w:ascii="Arial" w:hAnsi="Arial" w:cs="Arial"/>
          <w:iCs/>
        </w:rPr>
        <w:t>Rehman</w:t>
      </w:r>
      <w:r w:rsidR="00005009">
        <w:rPr>
          <w:rFonts w:ascii="Arial" w:hAnsi="Arial" w:cs="Arial"/>
          <w:iCs/>
        </w:rPr>
        <w:t xml:space="preserve"> et al., 2018; Mitra et al., 2022)</w:t>
      </w:r>
    </w:p>
    <w:p w14:paraId="4DAA5701" w14:textId="77777777" w:rsidR="000476EC" w:rsidRPr="000476EC" w:rsidRDefault="000D5E07" w:rsidP="000476EC">
      <w:pPr>
        <w:pStyle w:val="Body"/>
        <w:rPr>
          <w:rFonts w:ascii="Arial" w:hAnsi="Arial" w:cs="Arial"/>
          <w:lang w:val="en-IN"/>
        </w:rPr>
      </w:pPr>
      <w:r w:rsidRPr="000D5E07">
        <w:rPr>
          <w:rFonts w:ascii="Arial" w:hAnsi="Arial" w:cs="Arial"/>
        </w:rPr>
        <w:t xml:space="preserve">Although heavy metals occur naturally in the Earth’s crust, most ecological pollution and human exposure result from anthropogenic activities such as mining, smelting, industrial production, and the use of </w:t>
      </w:r>
      <w:proofErr w:type="gramStart"/>
      <w:r w:rsidRPr="000D5E07">
        <w:rPr>
          <w:rFonts w:ascii="Arial" w:hAnsi="Arial" w:cs="Arial"/>
        </w:rPr>
        <w:t>metal</w:t>
      </w:r>
      <w:r w:rsidR="00D4038B">
        <w:rPr>
          <w:rFonts w:ascii="Arial" w:hAnsi="Arial" w:cs="Arial"/>
        </w:rPr>
        <w:t xml:space="preserve"> </w:t>
      </w:r>
      <w:r w:rsidRPr="000D5E07">
        <w:rPr>
          <w:rFonts w:ascii="Arial" w:hAnsi="Arial" w:cs="Arial"/>
        </w:rPr>
        <w:t>based</w:t>
      </w:r>
      <w:proofErr w:type="gramEnd"/>
      <w:r w:rsidRPr="000D5E07">
        <w:rPr>
          <w:rFonts w:ascii="Arial" w:hAnsi="Arial" w:cs="Arial"/>
        </w:rPr>
        <w:t xml:space="preserve"> compounds in agriculture and domestic applications (Tchounwou et al., 2012; Acharya, 2024). These metals can disrupt the structure and function of vital cellular components, including membranes, mitochondria, the endoplasmic reticulum, nucleus and lysosomes. They interfere with key enzymes responsible for metabolism, detoxification and cellular repair. Moreover, metal ions may bind to DNA and nuclear proteins, causing strand breaks, conformational alterations and changes in gene expression that can impair cell cycle regulation and induce apoptosis or carcinogenesis (Parida &amp; Patel, 2023).</w:t>
      </w:r>
    </w:p>
    <w:p w14:paraId="1AD89BCE" w14:textId="77777777" w:rsidR="00946628" w:rsidRDefault="000D5E07" w:rsidP="000476EC">
      <w:pPr>
        <w:pStyle w:val="Body"/>
        <w:rPr>
          <w:rFonts w:ascii="Arial" w:hAnsi="Arial" w:cs="Arial"/>
          <w:iCs/>
        </w:rPr>
      </w:pPr>
      <w:r w:rsidRPr="000D5E07">
        <w:rPr>
          <w:rFonts w:ascii="Arial" w:hAnsi="Arial" w:cs="Arial"/>
        </w:rPr>
        <w:t>Among these, cadmium (Cd) is regarded as one of the most hazardous heavy metals due to its high toxicity, lack of biological function, non-biodegradability and long environmental persistence with a half-life of about 30 years (Tchounwou et al., 2012).</w:t>
      </w:r>
      <w:r>
        <w:rPr>
          <w:rFonts w:ascii="Arial" w:hAnsi="Arial" w:cs="Arial"/>
          <w:lang w:val="en-IN"/>
        </w:rPr>
        <w:t xml:space="preserve"> </w:t>
      </w:r>
      <w:r w:rsidR="000476EC" w:rsidRPr="000476EC">
        <w:rPr>
          <w:rFonts w:ascii="Arial" w:hAnsi="Arial" w:cs="Arial"/>
        </w:rPr>
        <w:t>Earth’s crust is rich in Cd sources, found generally in combination with ores of copper, zinc</w:t>
      </w:r>
      <w:r w:rsidR="00005009">
        <w:rPr>
          <w:rFonts w:ascii="Arial" w:hAnsi="Arial" w:cs="Arial"/>
        </w:rPr>
        <w:t xml:space="preserve"> </w:t>
      </w:r>
      <w:r w:rsidR="000476EC" w:rsidRPr="000476EC">
        <w:rPr>
          <w:rFonts w:ascii="Arial" w:hAnsi="Arial" w:cs="Arial"/>
        </w:rPr>
        <w:t xml:space="preserve">and lead </w:t>
      </w:r>
      <w:r w:rsidR="00820B01">
        <w:rPr>
          <w:rFonts w:ascii="Arial" w:hAnsi="Arial" w:cs="Arial"/>
        </w:rPr>
        <w:t>(</w:t>
      </w:r>
      <w:r w:rsidR="00820B01" w:rsidRPr="00820B01">
        <w:rPr>
          <w:rFonts w:ascii="Arial" w:hAnsi="Arial" w:cs="Arial"/>
          <w:iCs/>
        </w:rPr>
        <w:t>Naja</w:t>
      </w:r>
      <w:r w:rsidR="00820B01">
        <w:rPr>
          <w:rFonts w:ascii="Arial" w:hAnsi="Arial" w:cs="Arial"/>
          <w:iCs/>
        </w:rPr>
        <w:t xml:space="preserve"> </w:t>
      </w:r>
      <w:r w:rsidR="00820B01" w:rsidRPr="00820B01">
        <w:rPr>
          <w:rFonts w:ascii="Arial" w:hAnsi="Arial" w:cs="Arial"/>
          <w:iCs/>
        </w:rPr>
        <w:t>&amp; Volesky, 2017)</w:t>
      </w:r>
      <w:r w:rsidR="000476EC" w:rsidRPr="000476EC">
        <w:rPr>
          <w:rFonts w:ascii="Arial" w:hAnsi="Arial" w:cs="Arial"/>
        </w:rPr>
        <w:t xml:space="preserve">, however its prevalence in huge amounts are due to anthropogenic activities such as electroplating, mining, stabilizing plastics, alloy, cement, pigment, manufacturing batteries, fossil fuel combustion, high phosphate fertilizers and municipal and sewage sludge incineration </w:t>
      </w:r>
      <w:r w:rsidR="0014554A">
        <w:rPr>
          <w:rFonts w:ascii="Arial" w:hAnsi="Arial" w:cs="Arial"/>
        </w:rPr>
        <w:t>(Guo et al., 2024)</w:t>
      </w:r>
      <w:r w:rsidR="000476EC" w:rsidRPr="000476EC">
        <w:rPr>
          <w:rFonts w:ascii="Arial" w:hAnsi="Arial" w:cs="Arial"/>
        </w:rPr>
        <w:t xml:space="preserve">.Some natural processes including weathering of rock, volcanic eruption, wind dust, marine aerosol, forest fire and erosion are major contributing factors of environmental Cd pollution </w:t>
      </w:r>
      <w:r w:rsidR="00946628">
        <w:rPr>
          <w:rFonts w:ascii="Arial" w:hAnsi="Arial" w:cs="Arial"/>
        </w:rPr>
        <w:t>(</w:t>
      </w:r>
      <w:r w:rsidR="00946628" w:rsidRPr="00946628">
        <w:rPr>
          <w:rFonts w:ascii="Arial" w:hAnsi="Arial" w:cs="Arial"/>
          <w:iCs/>
        </w:rPr>
        <w:t>Zhang</w:t>
      </w:r>
      <w:r w:rsidR="00946628">
        <w:rPr>
          <w:rFonts w:ascii="Arial" w:hAnsi="Arial" w:cs="Arial"/>
          <w:iCs/>
        </w:rPr>
        <w:t xml:space="preserve"> </w:t>
      </w:r>
      <w:r w:rsidR="00946628" w:rsidRPr="00946628">
        <w:rPr>
          <w:rFonts w:ascii="Arial" w:hAnsi="Arial" w:cs="Arial"/>
          <w:iCs/>
        </w:rPr>
        <w:t>&amp; Wang</w:t>
      </w:r>
      <w:r w:rsidR="00946628">
        <w:rPr>
          <w:rFonts w:ascii="Arial" w:hAnsi="Arial" w:cs="Arial"/>
          <w:iCs/>
        </w:rPr>
        <w:t>,</w:t>
      </w:r>
      <w:r w:rsidR="00946628" w:rsidRPr="00946628">
        <w:rPr>
          <w:rFonts w:ascii="Arial" w:hAnsi="Arial" w:cs="Arial"/>
          <w:iCs/>
        </w:rPr>
        <w:t xml:space="preserve"> 2020). </w:t>
      </w:r>
    </w:p>
    <w:p w14:paraId="02DDEA88" w14:textId="77777777" w:rsidR="006C2199" w:rsidRPr="00232DD2" w:rsidRDefault="006C2199" w:rsidP="000476EC">
      <w:pPr>
        <w:pStyle w:val="Body"/>
        <w:rPr>
          <w:rFonts w:ascii="Arial" w:hAnsi="Arial" w:cs="Arial"/>
          <w:lang w:val="en-IN"/>
        </w:rPr>
      </w:pPr>
      <w:r w:rsidRPr="006C2199">
        <w:rPr>
          <w:rFonts w:ascii="Arial" w:hAnsi="Arial" w:cs="Arial"/>
        </w:rPr>
        <w:t>Several studies have highlighted the antigenotoxic potential of herbal antioxidants in mitigating heavy metal</w:t>
      </w:r>
      <w:r w:rsidR="00D4038B">
        <w:rPr>
          <w:rFonts w:ascii="Arial" w:hAnsi="Arial" w:cs="Arial"/>
        </w:rPr>
        <w:t xml:space="preserve"> </w:t>
      </w:r>
      <w:r w:rsidRPr="006C2199">
        <w:rPr>
          <w:rFonts w:ascii="Arial" w:hAnsi="Arial" w:cs="Arial"/>
        </w:rPr>
        <w:t>induced toxicity. </w:t>
      </w:r>
      <w:r w:rsidRPr="006C2199">
        <w:rPr>
          <w:rFonts w:ascii="Arial" w:hAnsi="Arial" w:cs="Arial"/>
          <w:i/>
          <w:iCs/>
        </w:rPr>
        <w:t>N</w:t>
      </w:r>
      <w:r w:rsidR="00946628">
        <w:rPr>
          <w:rFonts w:ascii="Arial" w:hAnsi="Arial" w:cs="Arial"/>
          <w:i/>
          <w:iCs/>
        </w:rPr>
        <w:t>.</w:t>
      </w:r>
      <w:r w:rsidRPr="006C2199">
        <w:rPr>
          <w:rFonts w:ascii="Arial" w:hAnsi="Arial" w:cs="Arial"/>
          <w:i/>
          <w:iCs/>
        </w:rPr>
        <w:t xml:space="preserve"> </w:t>
      </w:r>
      <w:proofErr w:type="spellStart"/>
      <w:r w:rsidRPr="006C2199">
        <w:rPr>
          <w:rFonts w:ascii="Arial" w:hAnsi="Arial" w:cs="Arial"/>
          <w:i/>
          <w:iCs/>
        </w:rPr>
        <w:t>arbortristis</w:t>
      </w:r>
      <w:proofErr w:type="spellEnd"/>
      <w:r w:rsidR="00232DD2">
        <w:rPr>
          <w:rFonts w:ascii="Arial" w:hAnsi="Arial" w:cs="Arial"/>
        </w:rPr>
        <w:t xml:space="preserve"> </w:t>
      </w:r>
      <w:r w:rsidRPr="006C2199">
        <w:rPr>
          <w:rFonts w:ascii="Arial" w:hAnsi="Arial" w:cs="Arial"/>
        </w:rPr>
        <w:t>(commonly</w:t>
      </w:r>
      <w:r w:rsidR="00232DD2">
        <w:rPr>
          <w:rFonts w:ascii="Arial" w:hAnsi="Arial" w:cs="Arial"/>
        </w:rPr>
        <w:t xml:space="preserve"> </w:t>
      </w:r>
      <w:r w:rsidRPr="006C2199">
        <w:rPr>
          <w:rFonts w:ascii="Arial" w:hAnsi="Arial" w:cs="Arial"/>
        </w:rPr>
        <w:t>known as Night Jasmine, </w:t>
      </w:r>
      <w:proofErr w:type="spellStart"/>
      <w:r w:rsidRPr="006C2199">
        <w:rPr>
          <w:rFonts w:ascii="Arial" w:hAnsi="Arial" w:cs="Arial"/>
        </w:rPr>
        <w:t>Harsinghar</w:t>
      </w:r>
      <w:proofErr w:type="spellEnd"/>
      <w:r w:rsidR="004F627F">
        <w:rPr>
          <w:rFonts w:ascii="Arial" w:hAnsi="Arial" w:cs="Arial"/>
        </w:rPr>
        <w:t xml:space="preserve"> </w:t>
      </w:r>
      <w:r w:rsidRPr="006C2199">
        <w:rPr>
          <w:rFonts w:ascii="Arial" w:hAnsi="Arial" w:cs="Arial"/>
        </w:rPr>
        <w:t>or </w:t>
      </w:r>
      <w:proofErr w:type="spellStart"/>
      <w:r w:rsidRPr="006C2199">
        <w:rPr>
          <w:rFonts w:ascii="Arial" w:hAnsi="Arial" w:cs="Arial"/>
        </w:rPr>
        <w:t>Parijat</w:t>
      </w:r>
      <w:proofErr w:type="spellEnd"/>
      <w:r w:rsidRPr="006C2199">
        <w:rPr>
          <w:rFonts w:ascii="Arial" w:hAnsi="Arial" w:cs="Arial"/>
        </w:rPr>
        <w:t xml:space="preserve">) is a well-known medicinal plant belonging to the family Oleaceae, typically found as a hardy shrub or small tree native to tropical and subtropical regions (Jain </w:t>
      </w:r>
      <w:r w:rsidR="00005009">
        <w:rPr>
          <w:rFonts w:ascii="Arial" w:hAnsi="Arial" w:cs="Arial"/>
        </w:rPr>
        <w:t>&amp;</w:t>
      </w:r>
      <w:r w:rsidRPr="006C2199">
        <w:rPr>
          <w:rFonts w:ascii="Arial" w:hAnsi="Arial" w:cs="Arial"/>
        </w:rPr>
        <w:t xml:space="preserve"> Pandey, 2016; Chamoli et al., 2019; Thapa</w:t>
      </w:r>
      <w:r w:rsidR="004F627F">
        <w:rPr>
          <w:rFonts w:ascii="Arial" w:hAnsi="Arial" w:cs="Arial"/>
        </w:rPr>
        <w:t xml:space="preserve"> </w:t>
      </w:r>
      <w:r w:rsidR="00005009">
        <w:rPr>
          <w:rFonts w:ascii="Arial" w:hAnsi="Arial" w:cs="Arial"/>
        </w:rPr>
        <w:t>&amp;</w:t>
      </w:r>
      <w:r w:rsidRPr="006C2199">
        <w:rPr>
          <w:rFonts w:ascii="Arial" w:hAnsi="Arial" w:cs="Arial"/>
        </w:rPr>
        <w:t xml:space="preserve"> Kumar, 2024). This plant is a rich source of diverse phytochemicals distributed throughout its different parts. The leaves are particularly abundant in tannic acid, benzoic acid, methyl salicylate, carotene, resinous compounds, glucose, ascorbic acid, fructose, flavanol glycosides and oleanolic acid (Rani et al., 2012; Jain </w:t>
      </w:r>
      <w:r w:rsidR="00005009">
        <w:rPr>
          <w:rFonts w:ascii="Arial" w:hAnsi="Arial" w:cs="Arial"/>
        </w:rPr>
        <w:t>&amp;</w:t>
      </w:r>
      <w:r w:rsidRPr="006C2199">
        <w:rPr>
          <w:rFonts w:ascii="Arial" w:hAnsi="Arial" w:cs="Arial"/>
        </w:rPr>
        <w:t xml:space="preserve"> Pandey, 2016). In traditional Indian medicine, </w:t>
      </w:r>
      <w:r w:rsidRPr="006C2199">
        <w:rPr>
          <w:rFonts w:ascii="Arial" w:hAnsi="Arial" w:cs="Arial"/>
          <w:i/>
          <w:iCs/>
        </w:rPr>
        <w:t>N. arbor-tristis</w:t>
      </w:r>
      <w:r w:rsidRPr="006C2199">
        <w:rPr>
          <w:rFonts w:ascii="Arial" w:hAnsi="Arial" w:cs="Arial"/>
        </w:rPr>
        <w:t> has long been valued for its wide therapeutic applications. Pharmacological investigations have demonstrated that it possesses a broad spectrum of biological activities, including antiviral, antihistaminic, antioxidant, antileishmanial, antipyretic, antimalarial, antifungal and anti-inflammatory effects.</w:t>
      </w:r>
      <w:r w:rsidR="00232DD2">
        <w:rPr>
          <w:rFonts w:ascii="Arial" w:hAnsi="Arial" w:cs="Arial"/>
        </w:rPr>
        <w:t xml:space="preserve"> </w:t>
      </w:r>
      <w:r w:rsidR="00232DD2" w:rsidRPr="00232DD2">
        <w:rPr>
          <w:rFonts w:ascii="Arial" w:hAnsi="Arial" w:cs="Arial"/>
        </w:rPr>
        <w:t>Therefore, the present study aims to investigate the genotoxic effects of cadmium on the bone marrow cells of Swiss albino mice using the micronucleus assay. It specifically focuses on evaluating the frequency of micronuclei formation in polychromatic erythrocytes (PCEs) and </w:t>
      </w:r>
      <w:proofErr w:type="spellStart"/>
      <w:r w:rsidR="00232DD2" w:rsidRPr="00232DD2">
        <w:rPr>
          <w:rFonts w:ascii="Arial" w:hAnsi="Arial" w:cs="Arial"/>
        </w:rPr>
        <w:t>normochromatic</w:t>
      </w:r>
      <w:proofErr w:type="spellEnd"/>
      <w:r w:rsidR="00232DD2" w:rsidRPr="00232DD2">
        <w:rPr>
          <w:rFonts w:ascii="Arial" w:hAnsi="Arial" w:cs="Arial"/>
        </w:rPr>
        <w:t xml:space="preserve"> erythrocytes (NCEs) following cadmium exposure and further examines the protective efficacy of </w:t>
      </w:r>
      <w:r w:rsidR="00232DD2" w:rsidRPr="00232DD2">
        <w:rPr>
          <w:rFonts w:ascii="Arial" w:hAnsi="Arial" w:cs="Arial"/>
          <w:i/>
          <w:iCs/>
        </w:rPr>
        <w:t>N</w:t>
      </w:r>
      <w:r w:rsidR="00232DD2">
        <w:rPr>
          <w:rFonts w:ascii="Arial" w:hAnsi="Arial" w:cs="Arial"/>
          <w:i/>
          <w:iCs/>
        </w:rPr>
        <w:t>.</w:t>
      </w:r>
      <w:r w:rsidR="00232DD2" w:rsidRPr="00232DD2">
        <w:rPr>
          <w:rFonts w:ascii="Arial" w:hAnsi="Arial" w:cs="Arial"/>
          <w:i/>
          <w:iCs/>
        </w:rPr>
        <w:t xml:space="preserve"> </w:t>
      </w:r>
      <w:proofErr w:type="spellStart"/>
      <w:r w:rsidR="00232DD2" w:rsidRPr="00232DD2">
        <w:rPr>
          <w:rFonts w:ascii="Arial" w:hAnsi="Arial" w:cs="Arial"/>
          <w:i/>
          <w:iCs/>
        </w:rPr>
        <w:t>arbortristis</w:t>
      </w:r>
      <w:proofErr w:type="spellEnd"/>
      <w:r w:rsidR="00232DD2" w:rsidRPr="00232DD2">
        <w:rPr>
          <w:rFonts w:ascii="Arial" w:hAnsi="Arial" w:cs="Arial"/>
        </w:rPr>
        <w:t> leaf extract in mitigating cadmium-induced genotoxicity.</w:t>
      </w:r>
    </w:p>
    <w:p w14:paraId="167B1BD5" w14:textId="77777777" w:rsidR="00B01FCD" w:rsidRDefault="00B01FCD" w:rsidP="00441B6F">
      <w:pPr>
        <w:pStyle w:val="Body"/>
        <w:spacing w:after="0"/>
        <w:rPr>
          <w:rFonts w:ascii="Arial" w:hAnsi="Arial" w:cs="Arial"/>
        </w:rPr>
      </w:pPr>
    </w:p>
    <w:p w14:paraId="0BE7653E" w14:textId="77777777" w:rsidR="00790ADA" w:rsidRPr="00FB3A86" w:rsidRDefault="00790ADA" w:rsidP="00441B6F">
      <w:pPr>
        <w:pStyle w:val="Body"/>
        <w:spacing w:after="0"/>
        <w:rPr>
          <w:rFonts w:ascii="Arial" w:hAnsi="Arial" w:cs="Arial"/>
        </w:rPr>
      </w:pPr>
    </w:p>
    <w:p w14:paraId="4723C21B" w14:textId="77777777" w:rsidR="00D4038B" w:rsidRDefault="00D4038B" w:rsidP="00441B6F">
      <w:pPr>
        <w:pStyle w:val="AbstHead"/>
        <w:spacing w:after="0"/>
        <w:jc w:val="both"/>
        <w:rPr>
          <w:rFonts w:ascii="Arial" w:hAnsi="Arial" w:cs="Arial"/>
        </w:rPr>
      </w:pPr>
    </w:p>
    <w:p w14:paraId="41DA63B2" w14:textId="77777777" w:rsidR="00D4038B" w:rsidRDefault="00D4038B" w:rsidP="00441B6F">
      <w:pPr>
        <w:pStyle w:val="AbstHead"/>
        <w:spacing w:after="0"/>
        <w:jc w:val="both"/>
        <w:rPr>
          <w:rFonts w:ascii="Arial" w:hAnsi="Arial" w:cs="Arial"/>
        </w:rPr>
      </w:pPr>
    </w:p>
    <w:p w14:paraId="722F6DF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9B8A4F" w14:textId="77777777" w:rsidR="000476EC" w:rsidRDefault="000476EC" w:rsidP="00441B6F">
      <w:pPr>
        <w:pStyle w:val="Body"/>
        <w:spacing w:after="0"/>
        <w:rPr>
          <w:rFonts w:ascii="Arial" w:hAnsi="Arial" w:cs="Arial"/>
        </w:rPr>
      </w:pPr>
    </w:p>
    <w:p w14:paraId="0A15B4DF" w14:textId="77777777" w:rsidR="00F05EEA" w:rsidRPr="00F05EEA" w:rsidRDefault="00F05EEA" w:rsidP="00F05EEA">
      <w:pPr>
        <w:pStyle w:val="Body"/>
        <w:spacing w:after="0"/>
        <w:rPr>
          <w:rFonts w:ascii="Arial" w:hAnsi="Arial" w:cs="Arial"/>
          <w:b/>
          <w:bCs/>
          <w:lang w:val="en-IN"/>
        </w:rPr>
      </w:pPr>
      <w:bookmarkStart w:id="0" w:name="_Hlk169003359"/>
      <w:r w:rsidRPr="00F05EEA">
        <w:rPr>
          <w:rFonts w:ascii="Arial" w:hAnsi="Arial" w:cs="Arial"/>
          <w:b/>
          <w:bCs/>
          <w:lang w:val="en-IN"/>
        </w:rPr>
        <w:t>2.</w:t>
      </w:r>
      <w:r w:rsidR="00836A58">
        <w:rPr>
          <w:rFonts w:ascii="Arial" w:hAnsi="Arial" w:cs="Arial"/>
          <w:b/>
          <w:bCs/>
          <w:lang w:val="en-IN"/>
        </w:rPr>
        <w:t>1</w:t>
      </w:r>
      <w:r w:rsidRPr="00F05EEA">
        <w:rPr>
          <w:rFonts w:ascii="Arial" w:hAnsi="Arial" w:cs="Arial"/>
          <w:b/>
          <w:bCs/>
          <w:lang w:val="en-IN"/>
        </w:rPr>
        <w:t xml:space="preserve">. Chemicals: </w:t>
      </w:r>
    </w:p>
    <w:p w14:paraId="7DC87D04" w14:textId="77777777" w:rsidR="00F05EEA" w:rsidRPr="00F05EEA" w:rsidRDefault="00F05EEA" w:rsidP="00F05EEA">
      <w:pPr>
        <w:pStyle w:val="Body"/>
        <w:spacing w:after="0"/>
        <w:rPr>
          <w:rFonts w:ascii="Arial" w:hAnsi="Arial" w:cs="Arial"/>
          <w:lang w:val="en-IN"/>
        </w:rPr>
      </w:pPr>
      <w:r w:rsidRPr="00F05EEA">
        <w:rPr>
          <w:rFonts w:ascii="Arial" w:hAnsi="Arial" w:cs="Arial"/>
          <w:lang w:val="en-IN"/>
        </w:rPr>
        <w:t xml:space="preserve">All biochemical reagents used in this study were procured from </w:t>
      </w:r>
      <w:proofErr w:type="spellStart"/>
      <w:r w:rsidRPr="00F05EEA">
        <w:rPr>
          <w:rFonts w:ascii="Arial" w:hAnsi="Arial" w:cs="Arial"/>
          <w:lang w:val="en-IN"/>
        </w:rPr>
        <w:t>Loba</w:t>
      </w:r>
      <w:proofErr w:type="spellEnd"/>
      <w:r w:rsidRPr="00F05EEA">
        <w:rPr>
          <w:rFonts w:ascii="Arial" w:hAnsi="Arial" w:cs="Arial"/>
          <w:lang w:val="en-IN"/>
        </w:rPr>
        <w:t xml:space="preserve"> </w:t>
      </w:r>
      <w:proofErr w:type="spellStart"/>
      <w:r w:rsidRPr="00F05EEA">
        <w:rPr>
          <w:rFonts w:ascii="Arial" w:hAnsi="Arial" w:cs="Arial"/>
          <w:lang w:val="en-IN"/>
        </w:rPr>
        <w:t>Chemie</w:t>
      </w:r>
      <w:proofErr w:type="spellEnd"/>
      <w:r w:rsidRPr="00F05EEA">
        <w:rPr>
          <w:rFonts w:ascii="Arial" w:hAnsi="Arial" w:cs="Arial"/>
          <w:lang w:val="en-IN"/>
        </w:rPr>
        <w:t xml:space="preserve"> </w:t>
      </w:r>
      <w:proofErr w:type="spellStart"/>
      <w:r w:rsidRPr="00F05EEA">
        <w:rPr>
          <w:rFonts w:ascii="Arial" w:hAnsi="Arial" w:cs="Arial"/>
          <w:lang w:val="en-IN"/>
        </w:rPr>
        <w:t>Pvt.</w:t>
      </w:r>
      <w:proofErr w:type="spellEnd"/>
      <w:r w:rsidRPr="00F05EEA">
        <w:rPr>
          <w:rFonts w:ascii="Arial" w:hAnsi="Arial" w:cs="Arial"/>
          <w:lang w:val="en-IN"/>
        </w:rPr>
        <w:t xml:space="preserve"> Ltd., Mumbai. Cadmium chloride was acquired from </w:t>
      </w:r>
      <w:proofErr w:type="spellStart"/>
      <w:r w:rsidRPr="00F05EEA">
        <w:rPr>
          <w:rFonts w:ascii="Arial" w:hAnsi="Arial" w:cs="Arial"/>
          <w:lang w:val="en-IN"/>
        </w:rPr>
        <w:t>Himedia</w:t>
      </w:r>
      <w:proofErr w:type="spellEnd"/>
      <w:r w:rsidRPr="00F05EEA">
        <w:rPr>
          <w:rFonts w:ascii="Arial" w:hAnsi="Arial" w:cs="Arial"/>
          <w:lang w:val="en-IN"/>
        </w:rPr>
        <w:t xml:space="preserve"> Laboratories </w:t>
      </w:r>
      <w:proofErr w:type="spellStart"/>
      <w:r w:rsidRPr="00F05EEA">
        <w:rPr>
          <w:rFonts w:ascii="Arial" w:hAnsi="Arial" w:cs="Arial"/>
          <w:lang w:val="en-IN"/>
        </w:rPr>
        <w:t>Pvt.</w:t>
      </w:r>
      <w:proofErr w:type="spellEnd"/>
      <w:r w:rsidRPr="00F05EEA">
        <w:rPr>
          <w:rFonts w:ascii="Arial" w:hAnsi="Arial" w:cs="Arial"/>
          <w:lang w:val="en-IN"/>
        </w:rPr>
        <w:t xml:space="preserve"> Ltd., Mumbai. The </w:t>
      </w:r>
      <w:proofErr w:type="spellStart"/>
      <w:r w:rsidRPr="00F05EEA">
        <w:rPr>
          <w:rFonts w:ascii="Arial" w:hAnsi="Arial" w:cs="Arial"/>
          <w:lang w:val="en-IN"/>
        </w:rPr>
        <w:t>CdCl</w:t>
      </w:r>
      <w:proofErr w:type="spellEnd"/>
      <w:r w:rsidRPr="00F05EEA">
        <w:rPr>
          <w:rFonts w:ascii="Cambria Math" w:hAnsi="Cambria Math" w:cs="Cambria Math"/>
          <w:lang w:val="en-IN"/>
        </w:rPr>
        <w:t>₂</w:t>
      </w:r>
      <w:r w:rsidRPr="00F05EEA">
        <w:rPr>
          <w:rFonts w:ascii="Arial" w:hAnsi="Arial" w:cs="Arial"/>
          <w:lang w:val="en-IN"/>
        </w:rPr>
        <w:t xml:space="preserve"> was administered orally to the mice by dissolving it in distilled water and delivering it via gavage.</w:t>
      </w:r>
    </w:p>
    <w:p w14:paraId="0F70F087" w14:textId="77777777" w:rsidR="00F05EEA" w:rsidRPr="00F05EEA" w:rsidRDefault="00F05EEA" w:rsidP="00F05EEA">
      <w:pPr>
        <w:pStyle w:val="Body"/>
        <w:spacing w:after="0"/>
        <w:rPr>
          <w:rFonts w:ascii="Arial" w:hAnsi="Arial" w:cs="Arial"/>
          <w:lang w:val="en-IN"/>
        </w:rPr>
      </w:pPr>
    </w:p>
    <w:p w14:paraId="7AC81812" w14:textId="77777777" w:rsidR="00F05EEA" w:rsidRPr="00F05EEA" w:rsidRDefault="00F05EEA" w:rsidP="00F05EEA">
      <w:pPr>
        <w:pStyle w:val="Body"/>
        <w:spacing w:after="0"/>
        <w:rPr>
          <w:rFonts w:ascii="Arial" w:hAnsi="Arial" w:cs="Arial"/>
          <w:b/>
          <w:bCs/>
          <w:lang w:val="en-IN"/>
        </w:rPr>
      </w:pPr>
      <w:r w:rsidRPr="00F05EEA">
        <w:rPr>
          <w:rFonts w:ascii="Arial" w:hAnsi="Arial" w:cs="Arial"/>
          <w:b/>
          <w:bCs/>
          <w:lang w:val="en-IN"/>
        </w:rPr>
        <w:t>2.2. Test Animal:</w:t>
      </w:r>
    </w:p>
    <w:p w14:paraId="6950711C" w14:textId="77777777" w:rsidR="00F05EEA" w:rsidRDefault="00F05EEA" w:rsidP="00F05EEA">
      <w:pPr>
        <w:pStyle w:val="Body"/>
        <w:spacing w:after="0"/>
        <w:rPr>
          <w:rFonts w:ascii="Arial" w:hAnsi="Arial" w:cs="Arial"/>
          <w:lang w:val="en-IN"/>
        </w:rPr>
      </w:pPr>
      <w:r w:rsidRPr="00F05EEA">
        <w:rPr>
          <w:rFonts w:ascii="Arial" w:hAnsi="Arial" w:cs="Arial"/>
          <w:lang w:val="en-IN"/>
        </w:rPr>
        <w:t xml:space="preserve">Four to five week (25-30g) old Swiss albino mice were maintained in the animal house of the Mahavir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under the standard laboratory condition. Animals are divided into 4 groups (n=6) in each group and were acclimatized for 10 days before experiment.</w:t>
      </w:r>
    </w:p>
    <w:p w14:paraId="4E1021B4" w14:textId="77777777" w:rsidR="00836A58" w:rsidRPr="00F05EEA" w:rsidRDefault="00836A58" w:rsidP="00F05EEA">
      <w:pPr>
        <w:pStyle w:val="Body"/>
        <w:spacing w:after="0"/>
        <w:rPr>
          <w:rFonts w:ascii="Arial" w:hAnsi="Arial" w:cs="Arial"/>
          <w:lang w:val="en-IN"/>
        </w:rPr>
      </w:pPr>
    </w:p>
    <w:p w14:paraId="5BE9CAC2" w14:textId="77777777" w:rsidR="00F05EEA" w:rsidRPr="00F05EEA" w:rsidRDefault="00F05EEA" w:rsidP="00F05EEA">
      <w:pPr>
        <w:pStyle w:val="Body"/>
        <w:spacing w:after="0"/>
        <w:rPr>
          <w:rFonts w:ascii="Arial" w:hAnsi="Arial" w:cs="Arial"/>
          <w:b/>
          <w:bCs/>
          <w:lang w:val="en-IN"/>
        </w:rPr>
      </w:pPr>
      <w:r w:rsidRPr="00F05EEA">
        <w:rPr>
          <w:rFonts w:ascii="Arial" w:hAnsi="Arial" w:cs="Arial"/>
          <w:b/>
          <w:bCs/>
          <w:lang w:val="en-IN"/>
        </w:rPr>
        <w:t>2.</w:t>
      </w:r>
      <w:r w:rsidR="00836A58">
        <w:rPr>
          <w:rFonts w:ascii="Arial" w:hAnsi="Arial" w:cs="Arial"/>
          <w:b/>
          <w:bCs/>
          <w:lang w:val="en-IN"/>
        </w:rPr>
        <w:t>3</w:t>
      </w:r>
      <w:r w:rsidRPr="00F05EEA">
        <w:rPr>
          <w:rFonts w:ascii="Arial" w:hAnsi="Arial" w:cs="Arial"/>
          <w:b/>
          <w:bCs/>
          <w:lang w:val="en-IN"/>
        </w:rPr>
        <w:t xml:space="preserve">. Plant Material: </w:t>
      </w:r>
    </w:p>
    <w:p w14:paraId="3314628C" w14:textId="77777777" w:rsidR="00F05EEA" w:rsidRPr="00F05EEA" w:rsidRDefault="00F05EEA" w:rsidP="00F05EEA">
      <w:pPr>
        <w:pStyle w:val="Body"/>
        <w:spacing w:after="0"/>
        <w:rPr>
          <w:rFonts w:ascii="Arial" w:hAnsi="Arial" w:cs="Arial"/>
          <w:lang w:val="en-IN"/>
        </w:rPr>
      </w:pPr>
      <w:r w:rsidRPr="00F05EEA">
        <w:rPr>
          <w:rFonts w:ascii="Arial" w:hAnsi="Arial" w:cs="Arial"/>
          <w:lang w:val="en-IN"/>
        </w:rPr>
        <w:t xml:space="preserve">Fresh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collected from University Department of Zoology, T.M.B.U., Bhagalpur. The </w:t>
      </w:r>
      <w:r w:rsidRPr="00F05EEA">
        <w:rPr>
          <w:rFonts w:ascii="Arial" w:hAnsi="Arial" w:cs="Arial"/>
          <w:i/>
          <w:iCs/>
          <w:lang w:val="en-IN"/>
        </w:rPr>
        <w:t xml:space="preserve">N. </w:t>
      </w:r>
      <w:proofErr w:type="spellStart"/>
      <w:r w:rsidRPr="00F05EEA">
        <w:rPr>
          <w:rFonts w:ascii="Arial" w:hAnsi="Arial" w:cs="Arial"/>
          <w:i/>
          <w:iCs/>
          <w:lang w:val="en-IN"/>
        </w:rPr>
        <w:t>arbortristis</w:t>
      </w:r>
      <w:proofErr w:type="spellEnd"/>
      <w:r w:rsidRPr="00F05EEA">
        <w:rPr>
          <w:rFonts w:ascii="Arial" w:hAnsi="Arial" w:cs="Arial"/>
          <w:lang w:val="en-IN"/>
        </w:rPr>
        <w:t xml:space="preserve"> leaves were washed properly three times with distilled water. The materials were air dried under hot air oven at 55°C for 3 hours and was grinded well in the grinder. Fine powder of the plant material was collected by filtering the grinder content with thin cloth. Powdered </w:t>
      </w:r>
      <w:proofErr w:type="gramStart"/>
      <w:r w:rsidRPr="00F05EEA">
        <w:rPr>
          <w:rFonts w:ascii="Arial" w:hAnsi="Arial" w:cs="Arial"/>
          <w:lang w:val="en-IN"/>
        </w:rPr>
        <w:t>sample</w:t>
      </w:r>
      <w:r w:rsidR="00836A58">
        <w:rPr>
          <w:rFonts w:ascii="Arial" w:hAnsi="Arial" w:cs="Arial"/>
          <w:lang w:val="en-IN"/>
        </w:rPr>
        <w:t xml:space="preserve"> </w:t>
      </w:r>
      <w:r w:rsidRPr="00F05EEA">
        <w:rPr>
          <w:rFonts w:ascii="Arial" w:hAnsi="Arial" w:cs="Arial"/>
          <w:lang w:val="en-IN"/>
        </w:rPr>
        <w:t xml:space="preserve"> w</w:t>
      </w:r>
      <w:r w:rsidR="00836A58">
        <w:rPr>
          <w:rFonts w:ascii="Arial" w:hAnsi="Arial" w:cs="Arial"/>
          <w:lang w:val="en-IN"/>
        </w:rPr>
        <w:t>as</w:t>
      </w:r>
      <w:proofErr w:type="gramEnd"/>
      <w:r w:rsidR="00836A58">
        <w:rPr>
          <w:rFonts w:ascii="Arial" w:hAnsi="Arial" w:cs="Arial"/>
          <w:lang w:val="en-IN"/>
        </w:rPr>
        <w:t xml:space="preserve"> </w:t>
      </w:r>
      <w:r w:rsidRPr="00F05EEA">
        <w:rPr>
          <w:rFonts w:ascii="Arial" w:hAnsi="Arial" w:cs="Arial"/>
          <w:lang w:val="en-IN"/>
        </w:rPr>
        <w:t>then stored in</w:t>
      </w:r>
      <w:r w:rsidR="00836A58">
        <w:rPr>
          <w:rFonts w:ascii="Arial" w:hAnsi="Arial" w:cs="Arial"/>
          <w:lang w:val="en-IN"/>
        </w:rPr>
        <w:t xml:space="preserve"> </w:t>
      </w:r>
      <w:r w:rsidRPr="00F05EEA">
        <w:rPr>
          <w:rFonts w:ascii="Arial" w:hAnsi="Arial" w:cs="Arial"/>
          <w:lang w:val="en-IN"/>
        </w:rPr>
        <w:t>airtight containers until the time of the extraction.</w:t>
      </w:r>
    </w:p>
    <w:p w14:paraId="3015682E" w14:textId="77777777" w:rsidR="00F05EEA" w:rsidRPr="00F05EEA" w:rsidRDefault="00F05EEA" w:rsidP="00F05EEA">
      <w:pPr>
        <w:pStyle w:val="Body"/>
        <w:spacing w:after="0"/>
        <w:rPr>
          <w:rFonts w:ascii="Arial" w:hAnsi="Arial" w:cs="Arial"/>
          <w:b/>
          <w:bCs/>
          <w:lang w:val="en-IN"/>
        </w:rPr>
      </w:pPr>
    </w:p>
    <w:bookmarkEnd w:id="0"/>
    <w:p w14:paraId="404A85F3" w14:textId="77777777" w:rsidR="00836A58" w:rsidRDefault="00836A58" w:rsidP="00836A58">
      <w:pPr>
        <w:pStyle w:val="Body"/>
        <w:spacing w:after="0"/>
        <w:rPr>
          <w:rFonts w:ascii="Arial" w:hAnsi="Arial" w:cs="Arial"/>
          <w:b/>
          <w:bCs/>
          <w:lang w:val="en-IN"/>
        </w:rPr>
      </w:pPr>
      <w:r w:rsidRPr="00484539">
        <w:rPr>
          <w:rFonts w:ascii="Arial" w:hAnsi="Arial" w:cs="Arial"/>
          <w:b/>
          <w:bCs/>
        </w:rPr>
        <w:t>2.4.</w:t>
      </w:r>
      <w:r>
        <w:rPr>
          <w:rFonts w:ascii="Arial" w:hAnsi="Arial" w:cs="Arial"/>
        </w:rPr>
        <w:t xml:space="preserve"> </w:t>
      </w:r>
      <w:r w:rsidRPr="00484539">
        <w:rPr>
          <w:rFonts w:ascii="Arial" w:hAnsi="Arial" w:cs="Arial"/>
          <w:b/>
          <w:bCs/>
          <w:lang w:val="en-IN"/>
        </w:rPr>
        <w:t>Plant Extract Preparation</w:t>
      </w:r>
    </w:p>
    <w:p w14:paraId="0601A1EF" w14:textId="77777777" w:rsidR="00836A58" w:rsidRPr="00484539" w:rsidRDefault="00836A58" w:rsidP="00836A58">
      <w:pPr>
        <w:pStyle w:val="Body"/>
        <w:rPr>
          <w:rFonts w:ascii="Arial" w:hAnsi="Arial" w:cs="Arial"/>
          <w:b/>
          <w:bCs/>
          <w:lang w:val="en-IN"/>
        </w:rPr>
      </w:pPr>
      <w:r w:rsidRPr="00484539">
        <w:rPr>
          <w:rFonts w:ascii="Arial" w:hAnsi="Arial" w:cs="Arial"/>
          <w:lang w:val="en-IN"/>
        </w:rPr>
        <w:t xml:space="preserve">100gms of powdered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 xml:space="preserve">were soaked in double distilled water for 72 hours with occasional shaking. Afterwards both the extracts were filtered using Whatman filter paper No. 1 and Buchner funnel. The solvents were removed under pressure in rotatory evaporator at 50˚C and the dried </w:t>
      </w:r>
      <w:r w:rsidRPr="00484539">
        <w:rPr>
          <w:rFonts w:ascii="Arial" w:hAnsi="Arial" w:cs="Arial"/>
          <w:i/>
          <w:iCs/>
          <w:lang w:val="en-IN"/>
        </w:rPr>
        <w:t xml:space="preserve">N. </w:t>
      </w:r>
      <w:proofErr w:type="spellStart"/>
      <w:r w:rsidRPr="00484539">
        <w:rPr>
          <w:rFonts w:ascii="Arial" w:hAnsi="Arial" w:cs="Arial"/>
          <w:i/>
          <w:iCs/>
          <w:lang w:val="en-IN"/>
        </w:rPr>
        <w:t>arbortristis</w:t>
      </w:r>
      <w:proofErr w:type="spellEnd"/>
      <w:r w:rsidRPr="00484539">
        <w:rPr>
          <w:rFonts w:ascii="Arial" w:hAnsi="Arial" w:cs="Arial"/>
          <w:i/>
          <w:iCs/>
          <w:lang w:val="en-IN"/>
        </w:rPr>
        <w:t xml:space="preserve"> </w:t>
      </w:r>
      <w:r w:rsidRPr="00484539">
        <w:rPr>
          <w:rFonts w:ascii="Arial" w:hAnsi="Arial" w:cs="Arial"/>
          <w:lang w:val="en-IN"/>
        </w:rPr>
        <w:t>seed powder was stored at 4˚C for further study.</w:t>
      </w:r>
    </w:p>
    <w:p w14:paraId="07ADFB76" w14:textId="3040F140" w:rsidR="00F05EEA" w:rsidRDefault="00F05EEA" w:rsidP="00F05EEA">
      <w:pPr>
        <w:pStyle w:val="Body"/>
        <w:spacing w:after="0"/>
        <w:rPr>
          <w:rFonts w:ascii="Arial" w:hAnsi="Arial" w:cs="Arial"/>
          <w:b/>
          <w:bCs/>
          <w:lang w:val="en-IN"/>
        </w:rPr>
      </w:pPr>
      <w:r w:rsidRPr="00F05EEA">
        <w:rPr>
          <w:rFonts w:ascii="Arial" w:hAnsi="Arial" w:cs="Arial"/>
          <w:b/>
          <w:bCs/>
          <w:lang w:val="en-IN"/>
        </w:rPr>
        <w:t>2.</w:t>
      </w:r>
      <w:r w:rsidR="00836A58">
        <w:rPr>
          <w:rFonts w:ascii="Arial" w:hAnsi="Arial" w:cs="Arial"/>
          <w:b/>
          <w:bCs/>
          <w:lang w:val="en-IN"/>
        </w:rPr>
        <w:t>5</w:t>
      </w:r>
      <w:r w:rsidRPr="00F05EEA">
        <w:rPr>
          <w:rFonts w:ascii="Arial" w:hAnsi="Arial" w:cs="Arial"/>
          <w:b/>
          <w:bCs/>
          <w:lang w:val="en-IN"/>
        </w:rPr>
        <w:t>. Experimental Protocol</w:t>
      </w:r>
    </w:p>
    <w:p w14:paraId="696AAB29" w14:textId="77777777" w:rsidR="00C50A99" w:rsidRDefault="00C50A99" w:rsidP="00F05EEA">
      <w:pPr>
        <w:pStyle w:val="Body"/>
        <w:spacing w:after="0"/>
        <w:rPr>
          <w:rFonts w:ascii="Arial" w:hAnsi="Arial" w:cs="Arial"/>
          <w:b/>
          <w:bCs/>
          <w:lang w:val="en-IN"/>
        </w:rPr>
      </w:pPr>
    </w:p>
    <w:p w14:paraId="60E7373F" w14:textId="59448270" w:rsidR="00C50A99" w:rsidRPr="00F05EEA" w:rsidRDefault="00C50A99" w:rsidP="00F05EEA">
      <w:pPr>
        <w:pStyle w:val="Body"/>
        <w:spacing w:after="0"/>
        <w:rPr>
          <w:rFonts w:ascii="Arial" w:hAnsi="Arial" w:cs="Arial"/>
          <w:b/>
          <w:bCs/>
          <w:lang w:val="en-IN"/>
        </w:rPr>
      </w:pPr>
      <w:r>
        <w:rPr>
          <w:rFonts w:ascii="Arial" w:hAnsi="Arial" w:cs="Arial"/>
          <w:b/>
          <w:bCs/>
          <w:lang w:val="en-IN"/>
        </w:rPr>
        <w:t xml:space="preserve">Table </w:t>
      </w:r>
      <w:proofErr w:type="gramStart"/>
      <w:r>
        <w:rPr>
          <w:rFonts w:ascii="Arial" w:hAnsi="Arial" w:cs="Arial"/>
          <w:b/>
          <w:bCs/>
          <w:lang w:val="en-IN"/>
        </w:rPr>
        <w:t>1 :</w:t>
      </w:r>
      <w:proofErr w:type="gramEnd"/>
      <w:r>
        <w:rPr>
          <w:rFonts w:ascii="Arial" w:hAnsi="Arial" w:cs="Arial"/>
          <w:b/>
          <w:bCs/>
          <w:lang w:val="en-IN"/>
        </w:rPr>
        <w:t xml:space="preserve"> </w:t>
      </w:r>
      <w:r w:rsidR="000C59FA" w:rsidRPr="000C59FA">
        <w:rPr>
          <w:rFonts w:ascii="Arial" w:hAnsi="Arial" w:cs="Arial"/>
          <w:b/>
          <w:bCs/>
          <w:lang w:val="en-IN"/>
        </w:rPr>
        <w:t xml:space="preserve">The Effects of Cadmium and N. </w:t>
      </w:r>
      <w:proofErr w:type="spellStart"/>
      <w:r w:rsidR="000C59FA" w:rsidRPr="000C59FA">
        <w:rPr>
          <w:rFonts w:ascii="Arial" w:hAnsi="Arial" w:cs="Arial"/>
          <w:b/>
          <w:bCs/>
          <w:lang w:val="en-IN"/>
        </w:rPr>
        <w:t>arbortristis</w:t>
      </w:r>
      <w:proofErr w:type="spellEnd"/>
      <w:r w:rsidR="000C59FA" w:rsidRPr="000C59FA">
        <w:rPr>
          <w:rFonts w:ascii="Arial" w:hAnsi="Arial" w:cs="Arial"/>
          <w:b/>
          <w:bCs/>
          <w:lang w:val="en-IN"/>
        </w:rPr>
        <w:t xml:space="preserve"> </w:t>
      </w:r>
      <w:r w:rsidR="00673F2E">
        <w:rPr>
          <w:rFonts w:ascii="Arial" w:hAnsi="Arial" w:cs="Arial"/>
          <w:b/>
          <w:bCs/>
          <w:lang w:val="en-IN"/>
        </w:rPr>
        <w:t xml:space="preserve">on </w:t>
      </w:r>
      <w:r w:rsidR="000C59FA" w:rsidRPr="000C59FA">
        <w:rPr>
          <w:rFonts w:ascii="Arial" w:hAnsi="Arial" w:cs="Arial"/>
          <w:b/>
          <w:bCs/>
          <w:lang w:val="en-IN"/>
        </w:rPr>
        <w:t>Experimental Animals</w:t>
      </w:r>
    </w:p>
    <w:p w14:paraId="389482BC" w14:textId="77777777" w:rsidR="00F05EEA" w:rsidRPr="00F05EEA" w:rsidRDefault="00F05EEA" w:rsidP="00836A58">
      <w:pPr>
        <w:pStyle w:val="Body"/>
        <w:spacing w:after="0"/>
        <w:rPr>
          <w:rFonts w:ascii="Arial" w:hAnsi="Arial" w:cs="Arial"/>
          <w:b/>
          <w:bCs/>
          <w:lang w:val="en-IN"/>
        </w:rPr>
      </w:pPr>
      <w:r w:rsidRPr="00F05EEA">
        <w:rPr>
          <w:rFonts w:ascii="Arial" w:hAnsi="Arial" w:cs="Arial"/>
          <w:b/>
          <w:bCs/>
          <w:noProof/>
          <w:lang w:val="en-IN"/>
        </w:rPr>
        <mc:AlternateContent>
          <mc:Choice Requires="wps">
            <w:drawing>
              <wp:anchor distT="0" distB="0" distL="114300" distR="114300" simplePos="0" relativeHeight="251660288" behindDoc="0" locked="0" layoutInCell="1" allowOverlap="1" wp14:anchorId="318B75CF" wp14:editId="4E335A45">
                <wp:simplePos x="0" y="0"/>
                <wp:positionH relativeFrom="column">
                  <wp:posOffset>41275</wp:posOffset>
                </wp:positionH>
                <wp:positionV relativeFrom="paragraph">
                  <wp:posOffset>133350</wp:posOffset>
                </wp:positionV>
                <wp:extent cx="5650230" cy="23495"/>
                <wp:effectExtent l="0" t="0" r="1270" b="1905"/>
                <wp:wrapNone/>
                <wp:docPr id="138464653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76B6B2" id="AutoShape 4" o:spid="_x0000_s1026" type="#_x0000_t32" style="position:absolute;margin-left:3.25pt;margin-top:10.5pt;width:444.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">
                <o:lock v:ext="edit" shapetype="f"/>
              </v:shape>
            </w:pict>
          </mc:Fallback>
        </mc:AlternateContent>
      </w:r>
    </w:p>
    <w:p w14:paraId="346827DC" w14:textId="77777777" w:rsidR="00F05EEA" w:rsidRPr="00F05EEA" w:rsidRDefault="00F05EEA" w:rsidP="00836A58">
      <w:pPr>
        <w:pStyle w:val="Body"/>
        <w:spacing w:after="0"/>
        <w:ind w:firstLine="720"/>
        <w:rPr>
          <w:rFonts w:ascii="Arial" w:hAnsi="Arial" w:cs="Arial"/>
          <w:b/>
          <w:bCs/>
          <w:lang w:val="en-IN"/>
        </w:rPr>
      </w:pPr>
      <w:r w:rsidRPr="00F05EEA">
        <w:rPr>
          <w:rFonts w:ascii="Arial" w:hAnsi="Arial" w:cs="Arial"/>
          <w:b/>
          <w:bCs/>
          <w:noProof/>
          <w:lang w:val="en-IN"/>
        </w:rPr>
        <mc:AlternateContent>
          <mc:Choice Requires="wps">
            <w:drawing>
              <wp:anchor distT="0" distB="0" distL="114300" distR="114300" simplePos="0" relativeHeight="251661312" behindDoc="0" locked="0" layoutInCell="1" allowOverlap="1" wp14:anchorId="231ADB44" wp14:editId="585A7D25">
                <wp:simplePos x="0" y="0"/>
                <wp:positionH relativeFrom="column">
                  <wp:posOffset>41275</wp:posOffset>
                </wp:positionH>
                <wp:positionV relativeFrom="paragraph">
                  <wp:posOffset>167640</wp:posOffset>
                </wp:positionV>
                <wp:extent cx="5650230" cy="23495"/>
                <wp:effectExtent l="0" t="0" r="1270" b="1905"/>
                <wp:wrapNone/>
                <wp:docPr id="9604902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0BECE3" id="AutoShape 3" o:spid="_x0000_s1026" type="#_x0000_t32" style="position:absolute;margin-left:3.25pt;margin-top:13.2pt;width:444.9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">
                <o:lock v:ext="edit" shapetype="f"/>
              </v:shape>
            </w:pict>
          </mc:Fallback>
        </mc:AlternateContent>
      </w:r>
      <w:r w:rsidRPr="00F05EEA">
        <w:rPr>
          <w:rFonts w:ascii="Arial" w:hAnsi="Arial" w:cs="Arial"/>
          <w:b/>
          <w:bCs/>
          <w:lang w:val="en-IN"/>
        </w:rPr>
        <w:t>Groups                                                                       Application</w:t>
      </w:r>
    </w:p>
    <w:p w14:paraId="1ACDFA4A" w14:textId="77777777" w:rsidR="00836A58" w:rsidRDefault="00F05EEA" w:rsidP="00F05EEA">
      <w:pPr>
        <w:pStyle w:val="Body"/>
        <w:spacing w:after="0"/>
        <w:rPr>
          <w:rFonts w:ascii="Arial" w:hAnsi="Arial" w:cs="Arial"/>
          <w:b/>
          <w:bCs/>
          <w:lang w:val="en-IN"/>
        </w:rPr>
      </w:pPr>
      <w:r w:rsidRPr="00F05EEA">
        <w:rPr>
          <w:rFonts w:ascii="Arial" w:hAnsi="Arial" w:cs="Arial"/>
          <w:b/>
          <w:bCs/>
          <w:lang w:val="en-IN"/>
        </w:rPr>
        <w:t xml:space="preserve">   </w:t>
      </w:r>
    </w:p>
    <w:p w14:paraId="6B07BAC7" w14:textId="77777777" w:rsidR="00F05EEA" w:rsidRPr="00F05EEA" w:rsidRDefault="00F05EEA" w:rsidP="00836A58">
      <w:pPr>
        <w:pStyle w:val="Body"/>
        <w:spacing w:after="0"/>
        <w:ind w:firstLine="720"/>
        <w:jc w:val="left"/>
        <w:rPr>
          <w:rFonts w:ascii="Arial" w:hAnsi="Arial" w:cs="Arial"/>
          <w:b/>
          <w:bCs/>
          <w:lang w:val="en-IN"/>
        </w:rPr>
      </w:pPr>
      <w:r w:rsidRPr="00F05EEA">
        <w:rPr>
          <w:rFonts w:ascii="Arial" w:hAnsi="Arial" w:cs="Arial"/>
          <w:b/>
          <w:bCs/>
          <w:lang w:val="en-IN"/>
        </w:rPr>
        <w:t xml:space="preserve">Group I (C)                                                                   </w:t>
      </w:r>
      <w:r w:rsidRPr="00F05EEA">
        <w:rPr>
          <w:rFonts w:ascii="Arial" w:hAnsi="Arial" w:cs="Arial"/>
          <w:lang w:val="en-IN"/>
        </w:rPr>
        <w:t>Control</w:t>
      </w:r>
    </w:p>
    <w:p w14:paraId="22955297" w14:textId="77777777" w:rsidR="00F05EEA" w:rsidRPr="00F05EEA" w:rsidRDefault="00F05EEA" w:rsidP="00836A58">
      <w:pPr>
        <w:pStyle w:val="Body"/>
        <w:spacing w:after="0"/>
        <w:ind w:firstLine="720"/>
        <w:jc w:val="left"/>
        <w:rPr>
          <w:rFonts w:ascii="Arial" w:hAnsi="Arial" w:cs="Arial"/>
          <w:b/>
          <w:bCs/>
          <w:lang w:val="en-IN"/>
        </w:rPr>
      </w:pPr>
      <w:r w:rsidRPr="00F05EEA">
        <w:rPr>
          <w:rFonts w:ascii="Arial" w:hAnsi="Arial" w:cs="Arial"/>
          <w:b/>
          <w:bCs/>
          <w:lang w:val="en-IN"/>
        </w:rPr>
        <w:t xml:space="preserve">Group II (CD)                                                  </w:t>
      </w:r>
      <w:r w:rsidRPr="00F05EEA">
        <w:rPr>
          <w:rFonts w:ascii="Arial" w:hAnsi="Arial" w:cs="Arial"/>
          <w:lang w:val="en-IN"/>
        </w:rPr>
        <w:t>Cadmium (</w:t>
      </w:r>
      <w:r w:rsidR="00163118">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w:t>
      </w:r>
      <w:proofErr w:type="gramStart"/>
      <w:r w:rsidRPr="00F05EEA">
        <w:rPr>
          <w:rFonts w:ascii="Arial" w:hAnsi="Arial" w:cs="Arial"/>
          <w:lang w:val="en-IN"/>
        </w:rPr>
        <w:t>b.wt</w:t>
      </w:r>
      <w:proofErr w:type="spellEnd"/>
      <w:proofErr w:type="gramEnd"/>
      <w:r w:rsidRPr="00F05EEA">
        <w:rPr>
          <w:rFonts w:ascii="Arial" w:hAnsi="Arial" w:cs="Arial"/>
          <w:lang w:val="en-IN"/>
        </w:rPr>
        <w:t>)</w:t>
      </w:r>
    </w:p>
    <w:p w14:paraId="558E2CB7" w14:textId="77777777" w:rsidR="00F05EEA" w:rsidRPr="00F05EEA" w:rsidRDefault="00F05EEA" w:rsidP="00836A58">
      <w:pPr>
        <w:pStyle w:val="Body"/>
        <w:spacing w:after="0"/>
        <w:ind w:firstLine="720"/>
        <w:jc w:val="left"/>
        <w:rPr>
          <w:rFonts w:ascii="Arial" w:hAnsi="Arial" w:cs="Arial"/>
          <w:lang w:val="en-IN"/>
        </w:rPr>
      </w:pPr>
      <w:r w:rsidRPr="00F05EEA">
        <w:rPr>
          <w:rFonts w:ascii="Arial" w:hAnsi="Arial" w:cs="Arial"/>
          <w:b/>
          <w:bCs/>
          <w:lang w:val="en-IN"/>
        </w:rPr>
        <w:t>Group III (</w:t>
      </w:r>
      <w:proofErr w:type="gramStart"/>
      <w:r w:rsidR="00836A58">
        <w:rPr>
          <w:rFonts w:ascii="Arial" w:hAnsi="Arial" w:cs="Arial"/>
          <w:b/>
          <w:bCs/>
          <w:lang w:val="en-IN"/>
        </w:rPr>
        <w:t>NA</w:t>
      </w:r>
      <w:r w:rsidRPr="00F05EEA">
        <w:rPr>
          <w:rFonts w:ascii="Arial" w:hAnsi="Arial" w:cs="Arial"/>
          <w:b/>
          <w:bCs/>
          <w:lang w:val="en-IN"/>
        </w:rPr>
        <w:t xml:space="preserve">)   </w:t>
      </w:r>
      <w:proofErr w:type="gramEnd"/>
      <w:r w:rsidRPr="00F05EEA">
        <w:rPr>
          <w:rFonts w:ascii="Arial" w:hAnsi="Arial" w:cs="Arial"/>
          <w:b/>
          <w:bCs/>
          <w:lang w:val="en-IN"/>
        </w:rPr>
        <w:t xml:space="preserve">                                          </w:t>
      </w:r>
      <w:proofErr w:type="spellStart"/>
      <w:r w:rsidR="00836A58">
        <w:rPr>
          <w:rFonts w:ascii="Arial" w:hAnsi="Arial" w:cs="Arial"/>
          <w:i/>
          <w:iCs/>
          <w:lang w:val="en-IN"/>
        </w:rPr>
        <w:t>N.arbortristis</w:t>
      </w:r>
      <w:proofErr w:type="spellEnd"/>
      <w:r w:rsidRPr="00F05EEA">
        <w:rPr>
          <w:rFonts w:ascii="Arial" w:hAnsi="Arial" w:cs="Arial"/>
          <w:i/>
          <w:iCs/>
          <w:lang w:val="en-IN"/>
        </w:rPr>
        <w:t xml:space="preserve"> </w:t>
      </w:r>
      <w:r w:rsidRPr="00F05EEA">
        <w:rPr>
          <w:rFonts w:ascii="Arial" w:hAnsi="Arial" w:cs="Arial"/>
          <w:lang w:val="en-IN"/>
        </w:rPr>
        <w:t>(</w:t>
      </w:r>
      <w:r w:rsidR="00836A58">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4A565BB8" w14:textId="77777777" w:rsidR="00F05EEA" w:rsidRPr="00F05EEA" w:rsidRDefault="00F05EEA" w:rsidP="00836A58">
      <w:pPr>
        <w:pStyle w:val="Body"/>
        <w:spacing w:after="0"/>
        <w:ind w:firstLine="720"/>
        <w:jc w:val="left"/>
        <w:rPr>
          <w:rFonts w:ascii="Arial" w:hAnsi="Arial" w:cs="Arial"/>
          <w:lang w:val="en-IN"/>
        </w:rPr>
      </w:pPr>
      <w:r w:rsidRPr="00F05EEA">
        <w:rPr>
          <w:rFonts w:ascii="Arial" w:hAnsi="Arial" w:cs="Arial"/>
          <w:b/>
          <w:bCs/>
          <w:lang w:val="en-IN"/>
        </w:rPr>
        <w:t>Group IV (CD+</w:t>
      </w:r>
      <w:proofErr w:type="gramStart"/>
      <w:r w:rsidRPr="00F05EEA">
        <w:rPr>
          <w:rFonts w:ascii="Arial" w:hAnsi="Arial" w:cs="Arial"/>
          <w:b/>
          <w:bCs/>
          <w:lang w:val="en-IN"/>
        </w:rPr>
        <w:t>N</w:t>
      </w:r>
      <w:r w:rsidR="00836A58">
        <w:rPr>
          <w:rFonts w:ascii="Arial" w:hAnsi="Arial" w:cs="Arial"/>
          <w:b/>
          <w:bCs/>
          <w:lang w:val="en-IN"/>
        </w:rPr>
        <w:t>A</w:t>
      </w:r>
      <w:r w:rsidRPr="00F05EEA">
        <w:rPr>
          <w:rFonts w:ascii="Arial" w:hAnsi="Arial" w:cs="Arial"/>
          <w:b/>
          <w:bCs/>
          <w:lang w:val="en-IN"/>
        </w:rPr>
        <w:t xml:space="preserve">)   </w:t>
      </w:r>
      <w:proofErr w:type="gramEnd"/>
      <w:r w:rsidRPr="00F05EEA">
        <w:rPr>
          <w:rFonts w:ascii="Arial" w:hAnsi="Arial" w:cs="Arial"/>
          <w:b/>
          <w:bCs/>
          <w:lang w:val="en-IN"/>
        </w:rPr>
        <w:t xml:space="preserve">            </w:t>
      </w:r>
      <w:r w:rsidRPr="00F05EEA">
        <w:rPr>
          <w:rFonts w:ascii="Arial" w:hAnsi="Arial" w:cs="Arial"/>
          <w:lang w:val="en-IN"/>
        </w:rPr>
        <w:t>Cadmium (</w:t>
      </w:r>
      <w:r w:rsidR="00163118">
        <w:rPr>
          <w:rFonts w:ascii="Arial" w:hAnsi="Arial" w:cs="Arial"/>
          <w:lang w:val="en-IN"/>
        </w:rPr>
        <w:t>3</w:t>
      </w:r>
      <w:r w:rsidRPr="00F05EEA">
        <w:rPr>
          <w:rFonts w:ascii="Arial" w:hAnsi="Arial" w:cs="Arial"/>
          <w:lang w:val="en-IN"/>
        </w:rPr>
        <w:t>mg/</w:t>
      </w:r>
      <w:proofErr w:type="spellStart"/>
      <w:r w:rsidRPr="00F05EEA">
        <w:rPr>
          <w:rFonts w:ascii="Arial" w:hAnsi="Arial" w:cs="Arial"/>
          <w:lang w:val="en-IN"/>
        </w:rPr>
        <w:t>kg.b.wt</w:t>
      </w:r>
      <w:proofErr w:type="spellEnd"/>
      <w:r w:rsidRPr="00F05EEA">
        <w:rPr>
          <w:rFonts w:ascii="Arial" w:hAnsi="Arial" w:cs="Arial"/>
          <w:lang w:val="en-IN"/>
        </w:rPr>
        <w:t>)+</w:t>
      </w:r>
      <w:proofErr w:type="spellStart"/>
      <w:r w:rsidR="00836A58">
        <w:rPr>
          <w:rFonts w:ascii="Arial" w:hAnsi="Arial" w:cs="Arial"/>
          <w:i/>
          <w:iCs/>
          <w:lang w:val="en-IN"/>
        </w:rPr>
        <w:t>N.arbortristis</w:t>
      </w:r>
      <w:proofErr w:type="spellEnd"/>
      <w:r w:rsidRPr="00F05EEA">
        <w:rPr>
          <w:rFonts w:ascii="Arial" w:hAnsi="Arial" w:cs="Arial"/>
          <w:lang w:val="en-IN"/>
        </w:rPr>
        <w:t xml:space="preserve"> (</w:t>
      </w:r>
      <w:r w:rsidR="00836A58">
        <w:rPr>
          <w:rFonts w:ascii="Arial" w:hAnsi="Arial" w:cs="Arial"/>
          <w:lang w:val="en-IN"/>
        </w:rPr>
        <w:t>4</w:t>
      </w:r>
      <w:r w:rsidRPr="00F05EEA">
        <w:rPr>
          <w:rFonts w:ascii="Arial" w:hAnsi="Arial" w:cs="Arial"/>
          <w:lang w:val="en-IN"/>
        </w:rPr>
        <w:t>00mg/</w:t>
      </w:r>
      <w:proofErr w:type="spellStart"/>
      <w:r w:rsidRPr="00F05EEA">
        <w:rPr>
          <w:rFonts w:ascii="Arial" w:hAnsi="Arial" w:cs="Arial"/>
          <w:lang w:val="en-IN"/>
        </w:rPr>
        <w:t>kg.b.wt</w:t>
      </w:r>
      <w:proofErr w:type="spellEnd"/>
      <w:r w:rsidRPr="00F05EEA">
        <w:rPr>
          <w:rFonts w:ascii="Arial" w:hAnsi="Arial" w:cs="Arial"/>
          <w:lang w:val="en-IN"/>
        </w:rPr>
        <w:t>.)</w:t>
      </w:r>
    </w:p>
    <w:p w14:paraId="6E09899E" w14:textId="77777777" w:rsidR="00F05EEA" w:rsidRPr="00F05EEA" w:rsidRDefault="00F05EEA" w:rsidP="00836A58">
      <w:pPr>
        <w:pStyle w:val="Body"/>
        <w:spacing w:after="0"/>
        <w:jc w:val="left"/>
        <w:rPr>
          <w:rFonts w:ascii="Arial" w:hAnsi="Arial" w:cs="Arial"/>
          <w:b/>
          <w:bCs/>
          <w:lang w:val="en-IN"/>
        </w:rPr>
      </w:pPr>
      <w:r w:rsidRPr="00F05EEA">
        <w:rPr>
          <w:rFonts w:ascii="Arial" w:hAnsi="Arial" w:cs="Arial"/>
          <w:b/>
          <w:bCs/>
          <w:noProof/>
          <w:lang w:val="en-IN"/>
        </w:rPr>
        <mc:AlternateContent>
          <mc:Choice Requires="wps">
            <w:drawing>
              <wp:anchor distT="0" distB="0" distL="114300" distR="114300" simplePos="0" relativeHeight="251659264" behindDoc="0" locked="0" layoutInCell="1" allowOverlap="1" wp14:anchorId="227FCC2F" wp14:editId="1BC8F574">
                <wp:simplePos x="0" y="0"/>
                <wp:positionH relativeFrom="column">
                  <wp:posOffset>46990</wp:posOffset>
                </wp:positionH>
                <wp:positionV relativeFrom="paragraph">
                  <wp:posOffset>45720</wp:posOffset>
                </wp:positionV>
                <wp:extent cx="5650230" cy="23495"/>
                <wp:effectExtent l="0" t="0" r="1270" b="1905"/>
                <wp:wrapNone/>
                <wp:docPr id="2942971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0230" cy="23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642689" id="AutoShape 2" o:spid="_x0000_s1026" type="#_x0000_t32" style="position:absolute;margin-left:3.7pt;margin-top:3.6pt;width:444.9pt;height:1.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">
                <o:lock v:ext="edit" shapetype="f"/>
              </v:shape>
            </w:pict>
          </mc:Fallback>
        </mc:AlternateContent>
      </w:r>
    </w:p>
    <w:p w14:paraId="7EF16230" w14:textId="77777777" w:rsidR="00F05EEA" w:rsidRPr="00F05EEA" w:rsidRDefault="00F05EEA" w:rsidP="00F05EEA">
      <w:pPr>
        <w:pStyle w:val="Body"/>
        <w:spacing w:after="0"/>
        <w:rPr>
          <w:rFonts w:ascii="Arial" w:hAnsi="Arial" w:cs="Arial"/>
          <w:lang w:val="en-IN"/>
        </w:rPr>
      </w:pPr>
      <w:r w:rsidRPr="00F05EEA">
        <w:rPr>
          <w:rFonts w:ascii="Arial" w:hAnsi="Arial" w:cs="Arial"/>
          <w:lang w:val="en-IN"/>
        </w:rPr>
        <w:t>Treatment duration of this work was 35days</w:t>
      </w:r>
    </w:p>
    <w:p w14:paraId="0D50CBF1" w14:textId="77777777" w:rsidR="00F05EEA" w:rsidRPr="00F05EEA" w:rsidRDefault="00F05EEA" w:rsidP="00F05EEA">
      <w:pPr>
        <w:pStyle w:val="Body"/>
        <w:spacing w:after="0"/>
        <w:rPr>
          <w:rFonts w:ascii="Arial" w:hAnsi="Arial" w:cs="Arial"/>
          <w:lang w:val="en-IN"/>
        </w:rPr>
      </w:pPr>
    </w:p>
    <w:p w14:paraId="6FACA3CE" w14:textId="77777777" w:rsidR="00790ADA" w:rsidRPr="00A245B4" w:rsidRDefault="00A245B4" w:rsidP="00441B6F">
      <w:pPr>
        <w:pStyle w:val="Body"/>
        <w:spacing w:after="0"/>
        <w:rPr>
          <w:rFonts w:ascii="Arial" w:hAnsi="Arial" w:cs="Arial"/>
          <w:b/>
          <w:bCs/>
          <w:lang w:val="en-IN"/>
        </w:rPr>
      </w:pPr>
      <w:r w:rsidRPr="00F05EEA">
        <w:rPr>
          <w:rFonts w:ascii="Arial" w:hAnsi="Arial" w:cs="Arial"/>
          <w:b/>
          <w:bCs/>
          <w:lang w:val="en-IN"/>
        </w:rPr>
        <w:t>2.</w:t>
      </w:r>
      <w:r>
        <w:rPr>
          <w:rFonts w:ascii="Arial" w:hAnsi="Arial" w:cs="Arial"/>
          <w:b/>
          <w:bCs/>
          <w:lang w:val="en-IN"/>
        </w:rPr>
        <w:t>6</w:t>
      </w:r>
      <w:r w:rsidRPr="00F05EEA">
        <w:rPr>
          <w:rFonts w:ascii="Arial" w:hAnsi="Arial" w:cs="Arial"/>
          <w:b/>
          <w:bCs/>
          <w:lang w:val="en-IN"/>
        </w:rPr>
        <w:t>. Experimental Protocol:</w:t>
      </w:r>
    </w:p>
    <w:p w14:paraId="4D150C13" w14:textId="77777777" w:rsidR="00036DCC" w:rsidRDefault="00D4038B" w:rsidP="00D4038B">
      <w:pPr>
        <w:ind w:firstLine="720"/>
        <w:jc w:val="both"/>
        <w:rPr>
          <w:rFonts w:ascii="Arial" w:hAnsi="Arial" w:cs="Arial"/>
          <w:lang w:val="en-IN"/>
        </w:rPr>
      </w:pPr>
      <w:r w:rsidRPr="00036DCC">
        <w:rPr>
          <w:rFonts w:ascii="Arial" w:hAnsi="Arial" w:cs="Arial"/>
          <w:lang w:val="en-IN"/>
        </w:rPr>
        <w:t xml:space="preserve">. </w:t>
      </w:r>
      <w:r w:rsidRPr="00036DCC">
        <w:rPr>
          <w:rFonts w:ascii="Arial" w:hAnsi="Arial" w:cs="Arial"/>
          <w:lang w:eastAsia="en-GB"/>
        </w:rPr>
        <w:t>The slides were prepared following the methodology suggested by Schmid (1976), with slight modifications as described by Das and Kar (1986) and Salamone and Heddle (1983).</w:t>
      </w:r>
      <w:r>
        <w:rPr>
          <w:rFonts w:ascii="Arial" w:hAnsi="Arial" w:cs="Arial"/>
          <w:lang w:eastAsia="en-GB"/>
        </w:rPr>
        <w:t xml:space="preserve"> </w:t>
      </w:r>
      <w:r w:rsidR="00484539" w:rsidRPr="00036DCC">
        <w:rPr>
          <w:rFonts w:ascii="Arial" w:hAnsi="Arial" w:cs="Arial"/>
          <w:lang w:val="en-IN"/>
        </w:rPr>
        <w:t>A drop of suspension was placed on clean, grease-free slides, which were kept on a damp cloth to prevent cell rupture. The suspension was then evenly spread to create a uniform smear. The slides were air-dried and fixed in absolute methanol for 10 minutes. After fixation, the slides were dried again, coded</w:t>
      </w:r>
      <w:r w:rsidR="00036DCC" w:rsidRPr="00036DCC">
        <w:rPr>
          <w:rFonts w:ascii="Arial" w:hAnsi="Arial" w:cs="Arial"/>
          <w:lang w:val="en-IN"/>
        </w:rPr>
        <w:t xml:space="preserve"> </w:t>
      </w:r>
      <w:r w:rsidR="00484539" w:rsidRPr="00036DCC">
        <w:rPr>
          <w:rFonts w:ascii="Arial" w:hAnsi="Arial" w:cs="Arial"/>
          <w:lang w:val="en-IN"/>
        </w:rPr>
        <w:t>and stored for staining</w:t>
      </w:r>
      <w:r>
        <w:rPr>
          <w:rFonts w:ascii="Arial" w:hAnsi="Arial" w:cs="Arial"/>
          <w:lang w:val="en-IN"/>
        </w:rPr>
        <w:t>.</w:t>
      </w:r>
    </w:p>
    <w:p w14:paraId="3B7D00A8" w14:textId="77777777" w:rsidR="00D4038B" w:rsidRPr="00036DCC" w:rsidRDefault="00D4038B" w:rsidP="00D4038B">
      <w:pPr>
        <w:ind w:firstLine="720"/>
        <w:jc w:val="both"/>
        <w:rPr>
          <w:rFonts w:ascii="Arial" w:hAnsi="Arial" w:cs="Arial"/>
          <w:lang w:eastAsia="en-GB"/>
        </w:rPr>
      </w:pPr>
    </w:p>
    <w:p w14:paraId="458EF902" w14:textId="77777777" w:rsidR="00F05EEA" w:rsidRPr="00A245B4" w:rsidRDefault="00A245B4" w:rsidP="00A245B4">
      <w:pPr>
        <w:pStyle w:val="Body"/>
        <w:spacing w:after="0"/>
        <w:rPr>
          <w:rFonts w:ascii="Arial" w:hAnsi="Arial" w:cs="Arial"/>
          <w:b/>
          <w:bCs/>
          <w:lang w:val="en-IN"/>
        </w:rPr>
      </w:pPr>
      <w:r>
        <w:rPr>
          <w:rFonts w:ascii="Arial" w:hAnsi="Arial" w:cs="Arial"/>
          <w:b/>
          <w:bCs/>
          <w:lang w:val="en-IN"/>
        </w:rPr>
        <w:t xml:space="preserve">2.7. </w:t>
      </w:r>
      <w:r w:rsidR="00F05EEA" w:rsidRPr="00A245B4">
        <w:rPr>
          <w:rFonts w:ascii="Arial" w:hAnsi="Arial" w:cs="Arial"/>
          <w:b/>
          <w:bCs/>
          <w:lang w:val="en-IN"/>
        </w:rPr>
        <w:t>Slide Screening:</w:t>
      </w:r>
    </w:p>
    <w:p w14:paraId="18F3A29D" w14:textId="77777777" w:rsidR="00820B01" w:rsidRDefault="00820B01" w:rsidP="00F05EEA">
      <w:pPr>
        <w:pStyle w:val="Body"/>
        <w:rPr>
          <w:rFonts w:ascii="Arial" w:hAnsi="Arial" w:cs="Arial"/>
          <w:lang w:val="en-IN"/>
        </w:rPr>
      </w:pPr>
      <w:proofErr w:type="spellStart"/>
      <w:r w:rsidRPr="00F05EEA">
        <w:rPr>
          <w:rFonts w:ascii="Arial" w:hAnsi="Arial" w:cs="Arial"/>
          <w:lang w:val="en-IN"/>
        </w:rPr>
        <w:t>Micronucleated</w:t>
      </w:r>
      <w:proofErr w:type="spellEnd"/>
      <w:r w:rsidRPr="00F05EEA">
        <w:rPr>
          <w:rFonts w:ascii="Arial" w:hAnsi="Arial" w:cs="Arial"/>
          <w:lang w:val="en-IN"/>
        </w:rPr>
        <w:t xml:space="preserve"> PCEs and NCEs were recorded, but micronuclei in transition-phase cells were not counted. For each animal in the experimental groups, 1,000–2,000 PCEs and an equivalent number of NCEs were counted to determine the presence of micronuclei. Most affected cells contained a single micronucleus, though cells with two or three micronuclei were also noted, albeit rarely. The percentage frequencies of </w:t>
      </w:r>
      <w:proofErr w:type="spellStart"/>
      <w:r w:rsidRPr="00F05EEA">
        <w:rPr>
          <w:rFonts w:ascii="Arial" w:hAnsi="Arial" w:cs="Arial"/>
          <w:lang w:val="en-IN"/>
        </w:rPr>
        <w:t>micronucleated</w:t>
      </w:r>
      <w:proofErr w:type="spellEnd"/>
      <w:r w:rsidRPr="00F05EEA">
        <w:rPr>
          <w:rFonts w:ascii="Arial" w:hAnsi="Arial" w:cs="Arial"/>
          <w:lang w:val="en-IN"/>
        </w:rPr>
        <w:t xml:space="preserve"> PCEs and NCEs were calculated</w:t>
      </w:r>
      <w:r w:rsidR="00D4038B">
        <w:rPr>
          <w:rFonts w:ascii="Arial" w:hAnsi="Arial" w:cs="Arial"/>
          <w:lang w:val="en-IN"/>
        </w:rPr>
        <w:t>.</w:t>
      </w:r>
    </w:p>
    <w:p w14:paraId="55B20F31" w14:textId="77777777" w:rsidR="00F05EEA" w:rsidRPr="00F05EEA" w:rsidRDefault="00F05EEA" w:rsidP="00F05EEA">
      <w:pPr>
        <w:pStyle w:val="Body"/>
        <w:rPr>
          <w:rFonts w:ascii="Arial" w:hAnsi="Arial" w:cs="Arial"/>
          <w:lang w:val="en-IN"/>
        </w:rPr>
      </w:pPr>
      <w:r w:rsidRPr="00F05EEA">
        <w:rPr>
          <w:rFonts w:ascii="Arial" w:hAnsi="Arial" w:cs="Arial"/>
          <w:lang w:val="en-IN"/>
        </w:rPr>
        <w:t xml:space="preserve">Newly formed RNA-containing erythrocytes, known as polychromatic erythrocytes (PCEs), stained blue, while older erythrocytes lacking RNA, referred to as </w:t>
      </w:r>
      <w:proofErr w:type="spellStart"/>
      <w:r w:rsidRPr="00F05EEA">
        <w:rPr>
          <w:rFonts w:ascii="Arial" w:hAnsi="Arial" w:cs="Arial"/>
          <w:lang w:val="en-IN"/>
        </w:rPr>
        <w:t>normochromatic</w:t>
      </w:r>
      <w:proofErr w:type="spellEnd"/>
      <w:r w:rsidRPr="00F05EEA">
        <w:rPr>
          <w:rFonts w:ascii="Arial" w:hAnsi="Arial" w:cs="Arial"/>
          <w:lang w:val="en-IN"/>
        </w:rPr>
        <w:t xml:space="preserve"> erythrocytes (NCEs), appeared pink. PCEs gradually differentiated into NCEs over time. </w:t>
      </w:r>
    </w:p>
    <w:p w14:paraId="2AFDA072" w14:textId="77777777" w:rsidR="00D4038B" w:rsidRDefault="00D4038B" w:rsidP="00A4349D">
      <w:pPr>
        <w:pStyle w:val="Head1"/>
        <w:spacing w:after="0"/>
        <w:jc w:val="both"/>
        <w:rPr>
          <w:rFonts w:ascii="Arial" w:hAnsi="Arial" w:cs="Arial"/>
          <w:caps w:val="0"/>
        </w:rPr>
      </w:pPr>
      <w:r>
        <w:rPr>
          <w:rFonts w:ascii="Arial" w:hAnsi="Arial" w:cs="Arial"/>
        </w:rPr>
        <w:lastRenderedPageBreak/>
        <w:t xml:space="preserve">2.8. </w:t>
      </w:r>
      <w:r>
        <w:rPr>
          <w:rFonts w:ascii="Arial" w:hAnsi="Arial" w:cs="Arial"/>
          <w:caps w:val="0"/>
        </w:rPr>
        <w:t>Statistical Analysis:</w:t>
      </w:r>
    </w:p>
    <w:p w14:paraId="5F01007E" w14:textId="77777777" w:rsidR="00D4038B" w:rsidRPr="00402588" w:rsidRDefault="00402588" w:rsidP="00A4349D">
      <w:pPr>
        <w:pStyle w:val="Head1"/>
        <w:spacing w:after="0"/>
        <w:jc w:val="both"/>
        <w:rPr>
          <w:rFonts w:ascii="Arial" w:hAnsi="Arial" w:cs="Arial"/>
          <w:b w:val="0"/>
          <w:bCs/>
          <w:sz w:val="20"/>
        </w:rPr>
      </w:pPr>
      <w:r w:rsidRPr="00402588">
        <w:rPr>
          <w:rFonts w:ascii="Arial" w:hAnsi="Arial" w:cs="Arial"/>
          <w:b w:val="0"/>
          <w:bCs/>
          <w:caps w:val="0"/>
          <w:sz w:val="20"/>
          <w:lang w:eastAsia="en-GB"/>
        </w:rPr>
        <w:t xml:space="preserve">Statistical evaluations were conducted using </w:t>
      </w:r>
      <w:r>
        <w:rPr>
          <w:rFonts w:ascii="Arial" w:hAnsi="Arial" w:cs="Arial"/>
          <w:b w:val="0"/>
          <w:bCs/>
          <w:caps w:val="0"/>
          <w:sz w:val="20"/>
          <w:lang w:eastAsia="en-GB"/>
        </w:rPr>
        <w:t>O</w:t>
      </w:r>
      <w:r w:rsidRPr="00402588">
        <w:rPr>
          <w:rFonts w:ascii="Arial" w:hAnsi="Arial" w:cs="Arial"/>
          <w:b w:val="0"/>
          <w:bCs/>
          <w:caps w:val="0"/>
          <w:sz w:val="20"/>
          <w:lang w:eastAsia="en-GB"/>
        </w:rPr>
        <w:t xml:space="preserve">ne-way </w:t>
      </w:r>
      <w:r>
        <w:rPr>
          <w:rFonts w:ascii="Arial" w:hAnsi="Arial" w:cs="Arial"/>
          <w:b w:val="0"/>
          <w:bCs/>
          <w:caps w:val="0"/>
          <w:sz w:val="20"/>
          <w:lang w:eastAsia="en-GB"/>
        </w:rPr>
        <w:t>A</w:t>
      </w:r>
      <w:r w:rsidRPr="00402588">
        <w:rPr>
          <w:rFonts w:ascii="Arial" w:hAnsi="Arial" w:cs="Arial"/>
          <w:b w:val="0"/>
          <w:bCs/>
          <w:caps w:val="0"/>
          <w:sz w:val="20"/>
          <w:lang w:eastAsia="en-GB"/>
        </w:rPr>
        <w:t xml:space="preserve">nalysis of </w:t>
      </w:r>
      <w:r>
        <w:rPr>
          <w:rFonts w:ascii="Arial" w:hAnsi="Arial" w:cs="Arial"/>
          <w:b w:val="0"/>
          <w:bCs/>
          <w:caps w:val="0"/>
          <w:sz w:val="20"/>
          <w:lang w:eastAsia="en-GB"/>
        </w:rPr>
        <w:t>V</w:t>
      </w:r>
      <w:r w:rsidRPr="00402588">
        <w:rPr>
          <w:rFonts w:ascii="Arial" w:hAnsi="Arial" w:cs="Arial"/>
          <w:b w:val="0"/>
          <w:bCs/>
          <w:caps w:val="0"/>
          <w:sz w:val="20"/>
          <w:lang w:eastAsia="en-GB"/>
        </w:rPr>
        <w:t>ariance (</w:t>
      </w:r>
      <w:r>
        <w:rPr>
          <w:rFonts w:ascii="Arial" w:hAnsi="Arial" w:cs="Arial"/>
          <w:b w:val="0"/>
          <w:bCs/>
          <w:caps w:val="0"/>
          <w:sz w:val="20"/>
          <w:lang w:eastAsia="en-GB"/>
        </w:rPr>
        <w:t>ANOVA</w:t>
      </w:r>
      <w:r w:rsidRPr="00402588">
        <w:rPr>
          <w:rFonts w:ascii="Arial" w:hAnsi="Arial" w:cs="Arial"/>
          <w:b w:val="0"/>
          <w:bCs/>
          <w:caps w:val="0"/>
          <w:sz w:val="20"/>
          <w:lang w:eastAsia="en-GB"/>
        </w:rPr>
        <w:t xml:space="preserve">) followed by </w:t>
      </w:r>
      <w:r>
        <w:rPr>
          <w:rFonts w:ascii="Arial" w:hAnsi="Arial" w:cs="Arial"/>
          <w:b w:val="0"/>
          <w:bCs/>
          <w:caps w:val="0"/>
          <w:sz w:val="20"/>
          <w:lang w:eastAsia="en-GB"/>
        </w:rPr>
        <w:t>T</w:t>
      </w:r>
      <w:r w:rsidRPr="00402588">
        <w:rPr>
          <w:rFonts w:ascii="Arial" w:hAnsi="Arial" w:cs="Arial"/>
          <w:b w:val="0"/>
          <w:bCs/>
          <w:caps w:val="0"/>
          <w:sz w:val="20"/>
          <w:lang w:eastAsia="en-GB"/>
        </w:rPr>
        <w:t xml:space="preserve">ukey's </w:t>
      </w:r>
      <w:r>
        <w:rPr>
          <w:rFonts w:ascii="Arial" w:hAnsi="Arial" w:cs="Arial"/>
          <w:b w:val="0"/>
          <w:bCs/>
          <w:caps w:val="0"/>
          <w:sz w:val="20"/>
          <w:lang w:eastAsia="en-GB"/>
        </w:rPr>
        <w:t>H</w:t>
      </w:r>
      <w:r w:rsidRPr="00402588">
        <w:rPr>
          <w:rFonts w:ascii="Arial" w:hAnsi="Arial" w:cs="Arial"/>
          <w:b w:val="0"/>
          <w:bCs/>
          <w:caps w:val="0"/>
          <w:sz w:val="20"/>
          <w:lang w:eastAsia="en-GB"/>
        </w:rPr>
        <w:t xml:space="preserve">onest </w:t>
      </w:r>
      <w:r>
        <w:rPr>
          <w:rFonts w:ascii="Arial" w:hAnsi="Arial" w:cs="Arial"/>
          <w:b w:val="0"/>
          <w:bCs/>
          <w:caps w:val="0"/>
          <w:sz w:val="20"/>
          <w:lang w:eastAsia="en-GB"/>
        </w:rPr>
        <w:t>S</w:t>
      </w:r>
      <w:r w:rsidRPr="00402588">
        <w:rPr>
          <w:rFonts w:ascii="Arial" w:hAnsi="Arial" w:cs="Arial"/>
          <w:b w:val="0"/>
          <w:bCs/>
          <w:caps w:val="0"/>
          <w:sz w:val="20"/>
          <w:lang w:eastAsia="en-GB"/>
        </w:rPr>
        <w:t xml:space="preserve">ignificant </w:t>
      </w:r>
      <w:r>
        <w:rPr>
          <w:rFonts w:ascii="Arial" w:hAnsi="Arial" w:cs="Arial"/>
          <w:b w:val="0"/>
          <w:bCs/>
          <w:caps w:val="0"/>
          <w:sz w:val="20"/>
          <w:lang w:eastAsia="en-GB"/>
        </w:rPr>
        <w:t>D</w:t>
      </w:r>
      <w:r w:rsidRPr="00402588">
        <w:rPr>
          <w:rFonts w:ascii="Arial" w:hAnsi="Arial" w:cs="Arial"/>
          <w:b w:val="0"/>
          <w:bCs/>
          <w:caps w:val="0"/>
          <w:sz w:val="20"/>
          <w:lang w:eastAsia="en-GB"/>
        </w:rPr>
        <w:t>ifference (</w:t>
      </w:r>
      <w:r>
        <w:rPr>
          <w:rFonts w:ascii="Arial" w:hAnsi="Arial" w:cs="Arial"/>
          <w:b w:val="0"/>
          <w:bCs/>
          <w:caps w:val="0"/>
          <w:sz w:val="20"/>
          <w:lang w:eastAsia="en-GB"/>
        </w:rPr>
        <w:t>HSD</w:t>
      </w:r>
      <w:r w:rsidRPr="00402588">
        <w:rPr>
          <w:rFonts w:ascii="Arial" w:hAnsi="Arial" w:cs="Arial"/>
          <w:b w:val="0"/>
          <w:bCs/>
          <w:caps w:val="0"/>
          <w:sz w:val="20"/>
          <w:lang w:eastAsia="en-GB"/>
        </w:rPr>
        <w:t>) post hoc test.</w:t>
      </w:r>
    </w:p>
    <w:p w14:paraId="447CBBC3" w14:textId="77777777" w:rsidR="00D4038B" w:rsidRDefault="00D4038B" w:rsidP="00A4349D">
      <w:pPr>
        <w:pStyle w:val="Head1"/>
        <w:spacing w:after="0"/>
        <w:jc w:val="both"/>
        <w:rPr>
          <w:rFonts w:ascii="Arial" w:hAnsi="Arial" w:cs="Arial"/>
        </w:rPr>
      </w:pPr>
    </w:p>
    <w:p w14:paraId="003C0774" w14:textId="77777777" w:rsidR="00163118" w:rsidRPr="00A4349D" w:rsidRDefault="00000F8F" w:rsidP="00A4349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9F697ED" w14:textId="77777777" w:rsidR="00163118" w:rsidRPr="00163118" w:rsidRDefault="00163118" w:rsidP="00163118">
      <w:pPr>
        <w:pStyle w:val="Body"/>
        <w:spacing w:after="0"/>
        <w:rPr>
          <w:rFonts w:ascii="Arial" w:hAnsi="Arial" w:cs="Arial"/>
          <w:lang w:val="en-IN"/>
        </w:rPr>
      </w:pPr>
      <w:r w:rsidRPr="00163118">
        <w:rPr>
          <w:rFonts w:ascii="Arial" w:hAnsi="Arial" w:cs="Arial"/>
          <w:lang w:val="en-IN"/>
        </w:rPr>
        <w:t xml:space="preserve">Analysis of variance (ANOVA) revealed a statistically significant difference among all experimental groups for the frequency of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cells, with an F-value of 431.08 (p&lt;0.05). Similarly, highly significant differences were observed in the frequencies of </w:t>
      </w:r>
      <w:proofErr w:type="spellStart"/>
      <w:r w:rsidRPr="00163118">
        <w:rPr>
          <w:rFonts w:ascii="Arial" w:hAnsi="Arial" w:cs="Arial"/>
          <w:lang w:val="en-IN"/>
        </w:rPr>
        <w:t>micronucleated</w:t>
      </w:r>
      <w:proofErr w:type="spellEnd"/>
      <w:r w:rsidRPr="00163118">
        <w:rPr>
          <w:rFonts w:ascii="Arial" w:hAnsi="Arial" w:cs="Arial"/>
          <w:lang w:val="en-IN"/>
        </w:rPr>
        <w:t> polychromatic erythrocytes (PCEs) and </w:t>
      </w:r>
      <w:proofErr w:type="spellStart"/>
      <w:r w:rsidRPr="00163118">
        <w:rPr>
          <w:rFonts w:ascii="Arial" w:hAnsi="Arial" w:cs="Arial"/>
          <w:lang w:val="en-IN"/>
        </w:rPr>
        <w:t>normochromatic</w:t>
      </w:r>
      <w:proofErr w:type="spellEnd"/>
      <w:r w:rsidRPr="00163118">
        <w:rPr>
          <w:rFonts w:ascii="Arial" w:hAnsi="Arial" w:cs="Arial"/>
          <w:lang w:val="en-IN"/>
        </w:rPr>
        <w:t xml:space="preserve"> erythrocytes (NCEs), with corresponding F-values of 315.85 and 93.93, respectively.</w:t>
      </w:r>
    </w:p>
    <w:p w14:paraId="242F2E13" w14:textId="77777777" w:rsidR="006C2199" w:rsidRPr="006C2199" w:rsidRDefault="00163118" w:rsidP="006C2199">
      <w:pPr>
        <w:pStyle w:val="Body"/>
        <w:spacing w:before="240"/>
        <w:rPr>
          <w:rFonts w:ascii="Arial" w:hAnsi="Arial" w:cs="Arial"/>
          <w:lang w:val="en-IN"/>
        </w:rPr>
      </w:pPr>
      <w:r w:rsidRPr="00163118">
        <w:rPr>
          <w:rFonts w:ascii="Arial" w:hAnsi="Arial" w:cs="Arial"/>
          <w:lang w:val="en-IN"/>
        </w:rPr>
        <w:t>According to Tukey’s post hoc test, the group treated with cadmium chloride (CD) exhibited a marked and significant elevation in the total micronucleus frequency, reaching 11.75%, compared with the control. In this group, the percentage of </w:t>
      </w:r>
      <w:proofErr w:type="spellStart"/>
      <w:r w:rsidRPr="00163118">
        <w:rPr>
          <w:rFonts w:ascii="Arial" w:hAnsi="Arial" w:cs="Arial"/>
          <w:lang w:val="en-IN"/>
        </w:rPr>
        <w:t>micronucleated</w:t>
      </w:r>
      <w:proofErr w:type="spellEnd"/>
      <w:r w:rsidRPr="00163118">
        <w:rPr>
          <w:rFonts w:ascii="Arial" w:hAnsi="Arial" w:cs="Arial"/>
          <w:lang w:val="en-IN"/>
        </w:rPr>
        <w:t xml:space="preserve"> PCEs increased substantially from 1.15% in the control to 10.81%, while </w:t>
      </w:r>
      <w:proofErr w:type="spellStart"/>
      <w:r w:rsidRPr="00163118">
        <w:rPr>
          <w:rFonts w:ascii="Arial" w:hAnsi="Arial" w:cs="Arial"/>
          <w:lang w:val="en-IN"/>
        </w:rPr>
        <w:t>micronucleated</w:t>
      </w:r>
      <w:proofErr w:type="spellEnd"/>
      <w:r w:rsidRPr="00163118">
        <w:rPr>
          <w:rFonts w:ascii="Arial" w:hAnsi="Arial" w:cs="Arial"/>
          <w:lang w:val="en-IN"/>
        </w:rPr>
        <w:t xml:space="preserve"> NCEs</w:t>
      </w:r>
      <w:r w:rsidRPr="00A4349D">
        <w:rPr>
          <w:rFonts w:ascii="Arial" w:hAnsi="Arial" w:cs="Arial"/>
          <w:lang w:val="en-IN"/>
        </w:rPr>
        <w:t xml:space="preserve"> </w:t>
      </w:r>
      <w:r w:rsidRPr="00163118">
        <w:rPr>
          <w:rFonts w:ascii="Arial" w:hAnsi="Arial" w:cs="Arial"/>
          <w:lang w:val="en-IN"/>
        </w:rPr>
        <w:t>rose from 0.95% to 11.53%. This pronounced increase indicates the genotoxic potential of cadmium chloride, reflecting its ability to induce chromosomal damage in bone marrow erythrocytes.</w:t>
      </w:r>
      <w:r w:rsidR="006C2199" w:rsidRPr="006C2199">
        <w:rPr>
          <w:rFonts w:ascii="Arial" w:hAnsi="Arial" w:cs="Arial"/>
          <w:lang w:val="en-IN"/>
        </w:rPr>
        <w:t xml:space="preserve"> The marked elevation in total </w:t>
      </w:r>
      <w:proofErr w:type="spellStart"/>
      <w:r w:rsidR="006C2199" w:rsidRPr="006C2199">
        <w:rPr>
          <w:rFonts w:ascii="Arial" w:hAnsi="Arial" w:cs="Arial"/>
          <w:lang w:val="en-IN"/>
        </w:rPr>
        <w:t>micronucleated</w:t>
      </w:r>
      <w:proofErr w:type="spellEnd"/>
      <w:r w:rsidR="006C2199" w:rsidRPr="006C2199">
        <w:rPr>
          <w:rFonts w:ascii="Arial" w:hAnsi="Arial" w:cs="Arial"/>
          <w:lang w:val="en-IN"/>
        </w:rPr>
        <w:t xml:space="preserve"> cells, as well as in PCEs and NCEs, reflects chromosomal breakage and spindle apparatus disruption, leading to the formation of acentric fragments or lagging chromosomes during cell division. These findings are consistent with earlier reports that cadmium induces clastogenic and </w:t>
      </w:r>
      <w:proofErr w:type="spellStart"/>
      <w:r w:rsidR="006C2199" w:rsidRPr="006C2199">
        <w:rPr>
          <w:rFonts w:ascii="Arial" w:hAnsi="Arial" w:cs="Arial"/>
          <w:lang w:val="en-IN"/>
        </w:rPr>
        <w:t>aneugenic</w:t>
      </w:r>
      <w:proofErr w:type="spellEnd"/>
      <w:r w:rsidR="006C2199" w:rsidRPr="006C2199">
        <w:rPr>
          <w:rFonts w:ascii="Arial" w:hAnsi="Arial" w:cs="Arial"/>
          <w:lang w:val="en-IN"/>
        </w:rPr>
        <w:t xml:space="preserve"> effects in mammalian bone marrow cells (El-Ghor et al., 2010).</w:t>
      </w:r>
    </w:p>
    <w:p w14:paraId="410761FB" w14:textId="77777777" w:rsidR="00163118" w:rsidRPr="00163118" w:rsidRDefault="00163118" w:rsidP="009A5FDB">
      <w:pPr>
        <w:pStyle w:val="Body"/>
        <w:spacing w:before="240" w:after="0"/>
        <w:rPr>
          <w:rFonts w:ascii="Arial" w:hAnsi="Arial" w:cs="Arial"/>
          <w:lang w:val="en-IN"/>
        </w:rPr>
      </w:pPr>
      <w:r w:rsidRPr="00163118">
        <w:rPr>
          <w:rFonts w:ascii="Arial" w:hAnsi="Arial" w:cs="Arial"/>
          <w:lang w:val="en-IN"/>
        </w:rPr>
        <w:t>Co-administration of </w:t>
      </w:r>
      <w:r w:rsidRPr="00163118">
        <w:rPr>
          <w:rFonts w:ascii="Arial" w:hAnsi="Arial" w:cs="Arial"/>
          <w:i/>
          <w:iCs/>
          <w:lang w:val="en-IN"/>
        </w:rPr>
        <w:t>N</w:t>
      </w:r>
      <w:r w:rsidRPr="00A4349D">
        <w:rPr>
          <w:rFonts w:ascii="Arial" w:hAnsi="Arial" w:cs="Arial"/>
          <w:i/>
          <w:iCs/>
          <w:lang w:val="en-IN"/>
        </w:rPr>
        <w:t>.</w:t>
      </w:r>
      <w:r w:rsidRPr="00163118">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(CD+NA) with cadmium chloride, however, significantly reduced the total </w:t>
      </w:r>
      <w:proofErr w:type="spellStart"/>
      <w:r w:rsidRPr="00163118">
        <w:rPr>
          <w:rFonts w:ascii="Arial" w:hAnsi="Arial" w:cs="Arial"/>
          <w:lang w:val="en-IN"/>
        </w:rPr>
        <w:t>micronucleated</w:t>
      </w:r>
      <w:proofErr w:type="spellEnd"/>
      <w:r w:rsidRPr="00163118">
        <w:rPr>
          <w:rFonts w:ascii="Arial" w:hAnsi="Arial" w:cs="Arial"/>
          <w:lang w:val="en-IN"/>
        </w:rPr>
        <w:t xml:space="preserve"> cell frequency to 3.54% (p&lt;0.05), suggesting a marked protective effect</w:t>
      </w:r>
      <w:r w:rsidR="004C31C9">
        <w:rPr>
          <w:rFonts w:ascii="Arial" w:hAnsi="Arial" w:cs="Arial"/>
          <w:lang w:val="en-IN"/>
        </w:rPr>
        <w:t xml:space="preserve"> (Fig.1)</w:t>
      </w:r>
      <w:r w:rsidRPr="00163118">
        <w:rPr>
          <w:rFonts w:ascii="Arial" w:hAnsi="Arial" w:cs="Arial"/>
          <w:lang w:val="en-IN"/>
        </w:rPr>
        <w:t>. The individual frequencies of PCEs and NCEs were also significantly decreased to 3.76% and 3.21%, respectively, compared with the cadmium-only group.</w:t>
      </w:r>
      <w:r w:rsidR="009A5FDB">
        <w:rPr>
          <w:rFonts w:ascii="Arial" w:hAnsi="Arial" w:cs="Arial"/>
          <w:lang w:val="en-IN"/>
        </w:rPr>
        <w:t xml:space="preserve"> </w:t>
      </w:r>
      <w:r w:rsidRPr="00163118">
        <w:rPr>
          <w:rFonts w:ascii="Arial" w:hAnsi="Arial" w:cs="Arial"/>
          <w:lang w:val="en-IN"/>
        </w:rPr>
        <w:t>The group treated with </w:t>
      </w:r>
      <w:r w:rsidRPr="00163118">
        <w:rPr>
          <w:rFonts w:ascii="Arial" w:hAnsi="Arial" w:cs="Arial"/>
          <w:i/>
          <w:iCs/>
          <w:lang w:val="en-IN"/>
        </w:rPr>
        <w:t>N</w:t>
      </w:r>
      <w:r w:rsidRPr="00A4349D">
        <w:rPr>
          <w:rFonts w:ascii="Arial" w:hAnsi="Arial" w:cs="Arial"/>
          <w:i/>
          <w:iCs/>
          <w:lang w:val="en-IN"/>
        </w:rPr>
        <w:t xml:space="preserve">. </w:t>
      </w:r>
      <w:proofErr w:type="spellStart"/>
      <w:r w:rsidRPr="00163118">
        <w:rPr>
          <w:rFonts w:ascii="Arial" w:hAnsi="Arial" w:cs="Arial"/>
          <w:i/>
          <w:iCs/>
          <w:lang w:val="en-IN"/>
        </w:rPr>
        <w:t>arbortristis</w:t>
      </w:r>
      <w:proofErr w:type="spellEnd"/>
      <w:r w:rsidRPr="00163118">
        <w:rPr>
          <w:rFonts w:ascii="Arial" w:hAnsi="Arial" w:cs="Arial"/>
          <w:lang w:val="en-IN"/>
        </w:rPr>
        <w:t xml:space="preserve"> alone did not differ significantly from the control (p &gt; 0.05), confirming that extracts are non-genotoxic by themselves. </w:t>
      </w:r>
    </w:p>
    <w:p w14:paraId="5346A663" w14:textId="77777777" w:rsidR="006C2199" w:rsidRPr="006C2199" w:rsidRDefault="00163118" w:rsidP="006C2199">
      <w:pPr>
        <w:pStyle w:val="Body"/>
        <w:spacing w:before="240"/>
        <w:rPr>
          <w:rFonts w:ascii="Arial" w:hAnsi="Arial" w:cs="Arial"/>
          <w:lang w:val="en-IN"/>
        </w:rPr>
      </w:pPr>
      <w:r w:rsidRPr="00163118">
        <w:rPr>
          <w:rFonts w:ascii="Arial" w:hAnsi="Arial" w:cs="Arial"/>
          <w:lang w:val="en-IN"/>
        </w:rPr>
        <w:t xml:space="preserve">The relative PCEs/NCEs ratio, an important indicator of cytotoxicity, was also affected. In the cadmium chloride-treated group (CD), this ratio decreased markedly from 1.21 in the control to 0.93, signifying bone marrow cytotoxicity and suppression of erythropoiesis due to cadmium exposure. </w:t>
      </w:r>
      <w:r w:rsidR="006C2199" w:rsidRPr="006C2199">
        <w:rPr>
          <w:rFonts w:ascii="Arial" w:hAnsi="Arial" w:cs="Arial"/>
          <w:lang w:val="en-IN"/>
        </w:rPr>
        <w:t xml:space="preserve">This reduction can be attributed to cadmium-induced oxidative stress, which impairs hematopoietic stem cell proliferation and differentiation (Rani et al., 2014). Cadmium is known to generate reactive oxygen species (ROS) and interfere with the cellular antioxidant </w:t>
      </w:r>
      <w:proofErr w:type="spellStart"/>
      <w:r w:rsidR="006C2199" w:rsidRPr="006C2199">
        <w:rPr>
          <w:rFonts w:ascii="Arial" w:hAnsi="Arial" w:cs="Arial"/>
          <w:lang w:val="en-IN"/>
        </w:rPr>
        <w:t>defense</w:t>
      </w:r>
      <w:proofErr w:type="spellEnd"/>
      <w:r w:rsidR="006C2199" w:rsidRPr="006C2199">
        <w:rPr>
          <w:rFonts w:ascii="Arial" w:hAnsi="Arial" w:cs="Arial"/>
          <w:lang w:val="en-IN"/>
        </w:rPr>
        <w:t xml:space="preserve"> system, leading to lipid peroxidation, DNA strand breaks, and chromosomal aberrations (Genchi et al., 2020).</w:t>
      </w:r>
    </w:p>
    <w:p w14:paraId="5869F363" w14:textId="77777777" w:rsidR="00163118" w:rsidRPr="00163118" w:rsidRDefault="00163118" w:rsidP="009A5FDB">
      <w:pPr>
        <w:pStyle w:val="Body"/>
        <w:spacing w:before="240" w:after="0"/>
        <w:rPr>
          <w:rFonts w:ascii="Arial" w:hAnsi="Arial" w:cs="Arial"/>
          <w:lang w:val="en-IN"/>
        </w:rPr>
      </w:pPr>
      <w:r w:rsidRPr="00163118">
        <w:rPr>
          <w:rFonts w:ascii="Arial" w:hAnsi="Arial" w:cs="Arial"/>
          <w:lang w:val="en-IN"/>
        </w:rPr>
        <w:t>In contrast, co-treatment with </w:t>
      </w:r>
      <w:r w:rsidRPr="00163118">
        <w:rPr>
          <w:rFonts w:ascii="Arial" w:hAnsi="Arial" w:cs="Arial"/>
          <w:i/>
          <w:iCs/>
          <w:lang w:val="en-IN"/>
        </w:rPr>
        <w:t>N</w:t>
      </w:r>
      <w:r w:rsidR="00A4349D" w:rsidRPr="006C2199">
        <w:rPr>
          <w:rFonts w:ascii="Arial" w:hAnsi="Arial" w:cs="Arial"/>
          <w:i/>
          <w:iCs/>
          <w:lang w:val="en-IN"/>
        </w:rPr>
        <w:t>.</w:t>
      </w:r>
      <w:r w:rsidRPr="00163118">
        <w:rPr>
          <w:rFonts w:ascii="Arial" w:hAnsi="Arial" w:cs="Arial"/>
          <w:i/>
          <w:iCs/>
          <w:lang w:val="en-IN"/>
        </w:rPr>
        <w:t xml:space="preserve"> </w:t>
      </w:r>
      <w:proofErr w:type="spellStart"/>
      <w:proofErr w:type="gramStart"/>
      <w:r w:rsidRPr="00163118">
        <w:rPr>
          <w:rFonts w:ascii="Arial" w:hAnsi="Arial" w:cs="Arial"/>
          <w:i/>
          <w:iCs/>
          <w:lang w:val="en-IN"/>
        </w:rPr>
        <w:t>arbortristis</w:t>
      </w:r>
      <w:proofErr w:type="spellEnd"/>
      <w:r w:rsidRPr="00163118">
        <w:rPr>
          <w:rFonts w:ascii="Arial" w:hAnsi="Arial" w:cs="Arial"/>
          <w:i/>
          <w:iCs/>
          <w:lang w:val="en-IN"/>
        </w:rPr>
        <w:t> </w:t>
      </w:r>
      <w:r w:rsidR="00A4349D" w:rsidRPr="006C2199">
        <w:rPr>
          <w:rFonts w:ascii="Arial" w:hAnsi="Arial" w:cs="Arial"/>
          <w:i/>
          <w:iCs/>
          <w:lang w:val="en-IN"/>
        </w:rPr>
        <w:t xml:space="preserve"> </w:t>
      </w:r>
      <w:r w:rsidRPr="00163118">
        <w:rPr>
          <w:rFonts w:ascii="Arial" w:hAnsi="Arial" w:cs="Arial"/>
          <w:lang w:val="en-IN"/>
        </w:rPr>
        <w:t>restored</w:t>
      </w:r>
      <w:proofErr w:type="gramEnd"/>
      <w:r w:rsidRPr="00163118">
        <w:rPr>
          <w:rFonts w:ascii="Arial" w:hAnsi="Arial" w:cs="Arial"/>
          <w:lang w:val="en-IN"/>
        </w:rPr>
        <w:t xml:space="preserve"> the PCEs/NCEs ratio toward normal values, increasing it to 1.10</w:t>
      </w:r>
      <w:r w:rsidR="00A4349D" w:rsidRPr="006C2199">
        <w:rPr>
          <w:rFonts w:ascii="Arial" w:hAnsi="Arial" w:cs="Arial"/>
          <w:lang w:val="en-IN"/>
        </w:rPr>
        <w:t xml:space="preserve">, </w:t>
      </w:r>
      <w:r w:rsidRPr="00163118">
        <w:rPr>
          <w:rFonts w:ascii="Arial" w:hAnsi="Arial" w:cs="Arial"/>
          <w:lang w:val="en-IN"/>
        </w:rPr>
        <w:t>indicating a reversal of cadmium</w:t>
      </w:r>
      <w:r w:rsidR="00926DE3">
        <w:rPr>
          <w:rFonts w:ascii="Arial" w:hAnsi="Arial" w:cs="Arial"/>
          <w:lang w:val="en-IN"/>
        </w:rPr>
        <w:t xml:space="preserve"> </w:t>
      </w:r>
      <w:r w:rsidRPr="00163118">
        <w:rPr>
          <w:rFonts w:ascii="Arial" w:hAnsi="Arial" w:cs="Arial"/>
          <w:lang w:val="en-IN"/>
        </w:rPr>
        <w:t>induced cytotoxic effects and improved bone marrow cell proliferation.</w:t>
      </w:r>
      <w:r w:rsidR="006C2199" w:rsidRPr="006C2199">
        <w:rPr>
          <w:i/>
          <w:iCs/>
          <w:color w:val="000000"/>
        </w:rPr>
        <w:t xml:space="preserve"> As </w:t>
      </w:r>
      <w:r w:rsidR="006C2199" w:rsidRPr="006C2199">
        <w:rPr>
          <w:rFonts w:ascii="Arial" w:hAnsi="Arial" w:cs="Arial"/>
          <w:i/>
          <w:iCs/>
        </w:rPr>
        <w:t>N</w:t>
      </w:r>
      <w:r w:rsidR="00926DE3">
        <w:rPr>
          <w:rFonts w:ascii="Arial" w:hAnsi="Arial" w:cs="Arial"/>
          <w:i/>
          <w:iCs/>
        </w:rPr>
        <w:t>.</w:t>
      </w:r>
      <w:r w:rsidR="006C2199" w:rsidRPr="006C2199">
        <w:rPr>
          <w:rFonts w:ascii="Arial" w:hAnsi="Arial" w:cs="Arial"/>
          <w:i/>
          <w:iCs/>
        </w:rPr>
        <w:t xml:space="preserve"> </w:t>
      </w:r>
      <w:proofErr w:type="spellStart"/>
      <w:r w:rsidR="006C2199" w:rsidRPr="006C2199">
        <w:rPr>
          <w:rFonts w:ascii="Arial" w:hAnsi="Arial" w:cs="Arial"/>
          <w:i/>
          <w:iCs/>
        </w:rPr>
        <w:t>arbortristis</w:t>
      </w:r>
      <w:proofErr w:type="spellEnd"/>
      <w:r w:rsidR="006C2199" w:rsidRPr="006C2199">
        <w:rPr>
          <w:rFonts w:ascii="Arial" w:hAnsi="Arial" w:cs="Arial"/>
        </w:rPr>
        <w:t> is rich in phytoconstituents such as flavonoids, iridoid glycosides and phenolic compounds, which possess potent free radical–scavenging properties</w:t>
      </w:r>
      <w:r w:rsidR="00CC01AB">
        <w:rPr>
          <w:rFonts w:ascii="Arial" w:hAnsi="Arial" w:cs="Arial"/>
        </w:rPr>
        <w:t xml:space="preserve">. </w:t>
      </w:r>
      <w:r w:rsidR="006C2199" w:rsidRPr="006C2199">
        <w:rPr>
          <w:rFonts w:ascii="Arial" w:hAnsi="Arial" w:cs="Arial"/>
        </w:rPr>
        <w:t>These bioactive compounds may neutralize ROS and prevent oxidative damage to DNA, thereby reducing chromosomal fragmentation and micronucleus formation.</w:t>
      </w:r>
    </w:p>
    <w:p w14:paraId="73AB0B7B" w14:textId="77777777" w:rsidR="00163118" w:rsidRPr="00E83F54" w:rsidRDefault="00163118" w:rsidP="00BF7B75">
      <w:pPr>
        <w:pStyle w:val="Body"/>
        <w:spacing w:after="0"/>
        <w:rPr>
          <w:rFonts w:ascii="Arial" w:hAnsi="Arial" w:cs="Arial"/>
          <w:lang w:val="en-IN"/>
        </w:rPr>
      </w:pPr>
    </w:p>
    <w:p w14:paraId="03E46AD1" w14:textId="77777777" w:rsidR="00BF7B75" w:rsidRDefault="009B4989" w:rsidP="00A4349D">
      <w:pPr>
        <w:pStyle w:val="Body"/>
        <w:spacing w:before="240"/>
        <w:jc w:val="center"/>
        <w:rPr>
          <w:rFonts w:ascii="Arial" w:hAnsi="Arial" w:cs="Arial"/>
          <w:lang w:val="en-IN"/>
        </w:rPr>
      </w:pPr>
      <w:r w:rsidRPr="009B4989">
        <w:rPr>
          <w:rFonts w:ascii="Arial" w:hAnsi="Arial" w:cs="Arial"/>
          <w:b/>
          <w:bCs/>
          <w:noProof/>
          <w:sz w:val="22"/>
          <w:szCs w:val="22"/>
        </w:rPr>
        <w:lastRenderedPageBreak/>
        <w:drawing>
          <wp:inline distT="0" distB="0" distL="0" distR="0" wp14:anchorId="077D1678" wp14:editId="64D3BD54">
            <wp:extent cx="5349875" cy="3474720"/>
            <wp:effectExtent l="0" t="0" r="0" b="5080"/>
            <wp:docPr id="651854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54555" name=""/>
                    <pic:cNvPicPr/>
                  </pic:nvPicPr>
                  <pic:blipFill>
                    <a:blip r:embed="rId14"/>
                    <a:stretch>
                      <a:fillRect/>
                    </a:stretch>
                  </pic:blipFill>
                  <pic:spPr>
                    <a:xfrm>
                      <a:off x="0" y="0"/>
                      <a:ext cx="5361292" cy="3482135"/>
                    </a:xfrm>
                    <a:prstGeom prst="rect">
                      <a:avLst/>
                    </a:prstGeom>
                  </pic:spPr>
                </pic:pic>
              </a:graphicData>
            </a:graphic>
          </wp:inline>
        </w:drawing>
      </w:r>
    </w:p>
    <w:p w14:paraId="6CE29496" w14:textId="77777777" w:rsidR="00BF7B75" w:rsidRPr="00BD5D2B" w:rsidRDefault="00BF7B75" w:rsidP="009B4989">
      <w:pPr>
        <w:autoSpaceDE w:val="0"/>
        <w:autoSpaceDN w:val="0"/>
        <w:adjustRightInd w:val="0"/>
        <w:jc w:val="center"/>
        <w:rPr>
          <w:rFonts w:ascii="Arial" w:hAnsi="Arial" w:cs="Arial"/>
          <w:b/>
          <w:bCs/>
          <w:szCs w:val="22"/>
          <w:lang w:val="en-IN"/>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BD5D2B" w:rsidRPr="00BD5D2B">
        <w:rPr>
          <w:rFonts w:ascii="Arial" w:hAnsi="Arial" w:cs="Arial"/>
          <w:b/>
          <w:bCs/>
          <w:szCs w:val="22"/>
          <w:lang w:val="en-IN"/>
        </w:rPr>
        <w:t xml:space="preserve">Frequency of PCEs, NCEs and total </w:t>
      </w:r>
      <w:proofErr w:type="spellStart"/>
      <w:r w:rsidR="00BD5D2B" w:rsidRPr="00BD5D2B">
        <w:rPr>
          <w:rFonts w:ascii="Arial" w:hAnsi="Arial" w:cs="Arial"/>
          <w:b/>
          <w:bCs/>
          <w:szCs w:val="22"/>
          <w:lang w:val="en-IN"/>
        </w:rPr>
        <w:t>micronucleated</w:t>
      </w:r>
      <w:proofErr w:type="spellEnd"/>
      <w:r w:rsidR="00BD5D2B" w:rsidRPr="00BD5D2B">
        <w:rPr>
          <w:rFonts w:ascii="Arial" w:hAnsi="Arial" w:cs="Arial"/>
          <w:b/>
          <w:bCs/>
          <w:szCs w:val="22"/>
          <w:lang w:val="en-IN"/>
        </w:rPr>
        <w:t xml:space="preserve"> cells in mice treated with CdCl</w:t>
      </w:r>
      <w:r w:rsidR="00BD5D2B" w:rsidRPr="00BD5D2B">
        <w:rPr>
          <w:rFonts w:ascii="Arial" w:hAnsi="Arial" w:cs="Arial"/>
          <w:b/>
          <w:bCs/>
          <w:szCs w:val="22"/>
          <w:vertAlign w:val="subscript"/>
          <w:lang w:val="en-IN"/>
        </w:rPr>
        <w:t xml:space="preserve">2 </w:t>
      </w:r>
      <w:r w:rsidR="009B4989">
        <w:rPr>
          <w:rFonts w:ascii="Arial" w:hAnsi="Arial" w:cs="Arial"/>
          <w:b/>
          <w:bCs/>
          <w:szCs w:val="22"/>
          <w:lang w:val="en-IN"/>
        </w:rPr>
        <w:t xml:space="preserve">(CD), </w:t>
      </w:r>
      <w:r w:rsidR="00BD5D2B" w:rsidRPr="00BD5D2B">
        <w:rPr>
          <w:rFonts w:ascii="Arial" w:hAnsi="Arial" w:cs="Arial"/>
          <w:b/>
          <w:bCs/>
          <w:i/>
          <w:iCs/>
          <w:szCs w:val="22"/>
          <w:lang w:val="en-IN"/>
        </w:rPr>
        <w:t xml:space="preserve">N. </w:t>
      </w:r>
      <w:proofErr w:type="spellStart"/>
      <w:r w:rsidR="00BD5D2B" w:rsidRPr="00BD5D2B">
        <w:rPr>
          <w:rFonts w:ascii="Arial" w:hAnsi="Arial" w:cs="Arial"/>
          <w:b/>
          <w:bCs/>
          <w:i/>
          <w:iCs/>
          <w:szCs w:val="22"/>
          <w:lang w:val="en-IN"/>
        </w:rPr>
        <w:t>arbortristis</w:t>
      </w:r>
      <w:proofErr w:type="spellEnd"/>
      <w:r w:rsidR="00BD5D2B" w:rsidRPr="00BD5D2B">
        <w:rPr>
          <w:rFonts w:ascii="Arial" w:hAnsi="Arial" w:cs="Arial"/>
          <w:b/>
          <w:bCs/>
          <w:szCs w:val="22"/>
          <w:lang w:val="en-IN"/>
        </w:rPr>
        <w:t xml:space="preserve"> leaf extract.</w:t>
      </w:r>
    </w:p>
    <w:p w14:paraId="4B6B3554" w14:textId="77777777" w:rsidR="00BF7B75" w:rsidRPr="008247A6" w:rsidRDefault="00BF7B75" w:rsidP="00BF7B75">
      <w:pPr>
        <w:ind w:left="360"/>
        <w:jc w:val="both"/>
        <w:rPr>
          <w:rFonts w:ascii="Arial" w:hAnsi="Arial" w:cs="Arial"/>
          <w:i/>
          <w:sz w:val="18"/>
        </w:rPr>
      </w:pPr>
      <w:r w:rsidRPr="008247A6">
        <w:rPr>
          <w:rFonts w:ascii="Arial" w:hAnsi="Arial" w:cs="Arial"/>
          <w:i/>
          <w:sz w:val="18"/>
        </w:rPr>
        <w:t>Test drugs:  significant from normal control, * P &lt; 0.05; ** P &lt; 0.001</w:t>
      </w:r>
    </w:p>
    <w:p w14:paraId="6AE9B4A6" w14:textId="77777777" w:rsidR="00BF7B75" w:rsidRPr="008247A6" w:rsidRDefault="00BF7B75" w:rsidP="004F3EE7">
      <w:pPr>
        <w:autoSpaceDE w:val="0"/>
        <w:autoSpaceDN w:val="0"/>
        <w:adjustRightInd w:val="0"/>
        <w:spacing w:line="360" w:lineRule="auto"/>
        <w:ind w:left="360"/>
        <w:jc w:val="both"/>
        <w:rPr>
          <w:rFonts w:ascii="Arial" w:hAnsi="Arial" w:cs="Arial"/>
          <w:i/>
          <w:sz w:val="18"/>
        </w:rPr>
      </w:pPr>
      <w:r w:rsidRPr="008247A6">
        <w:rPr>
          <w:rFonts w:ascii="Arial" w:hAnsi="Arial" w:cs="Arial"/>
          <w:i/>
          <w:sz w:val="18"/>
        </w:rPr>
        <w:t>Mean</w:t>
      </w:r>
      <w:r w:rsidR="004F3EE7">
        <w:rPr>
          <w:rFonts w:ascii="Arial" w:hAnsi="Arial" w:cs="Arial"/>
          <w:i/>
          <w:sz w:val="18"/>
        </w:rPr>
        <w:t>%</w:t>
      </w:r>
      <w:r w:rsidRPr="008247A6">
        <w:rPr>
          <w:rFonts w:ascii="Arial" w:hAnsi="Arial" w:cs="Arial"/>
          <w:i/>
          <w:sz w:val="18"/>
        </w:rPr>
        <w:t xml:space="preserve"> ± S.E.M = Mean</w:t>
      </w:r>
      <w:r w:rsidR="004F3EE7">
        <w:rPr>
          <w:rFonts w:ascii="Arial" w:hAnsi="Arial" w:cs="Arial"/>
          <w:i/>
          <w:sz w:val="18"/>
        </w:rPr>
        <w:t>%</w:t>
      </w:r>
      <w:r w:rsidRPr="008247A6">
        <w:rPr>
          <w:rFonts w:ascii="Arial" w:hAnsi="Arial" w:cs="Arial"/>
          <w:i/>
          <w:sz w:val="18"/>
        </w:rPr>
        <w:t xml:space="preserve"> values ± Standard error of means</w:t>
      </w:r>
      <w:r w:rsidR="004F3EE7">
        <w:rPr>
          <w:rFonts w:ascii="Arial" w:hAnsi="Arial" w:cs="Arial"/>
          <w:i/>
          <w:sz w:val="18"/>
        </w:rPr>
        <w:t>%</w:t>
      </w:r>
      <w:r w:rsidRPr="008247A6">
        <w:rPr>
          <w:rFonts w:ascii="Arial" w:hAnsi="Arial" w:cs="Arial"/>
          <w:i/>
          <w:sz w:val="18"/>
        </w:rPr>
        <w:t xml:space="preserve"> of</w:t>
      </w:r>
      <w:r w:rsidR="004F3EE7">
        <w:rPr>
          <w:rFonts w:ascii="Arial" w:hAnsi="Arial" w:cs="Arial"/>
          <w:i/>
          <w:sz w:val="18"/>
        </w:rPr>
        <w:t xml:space="preserve"> four</w:t>
      </w:r>
      <w:r w:rsidRPr="008247A6">
        <w:rPr>
          <w:rFonts w:ascii="Arial" w:hAnsi="Arial" w:cs="Arial"/>
          <w:i/>
          <w:sz w:val="18"/>
        </w:rPr>
        <w:t xml:space="preserve"> experiments</w:t>
      </w:r>
    </w:p>
    <w:p w14:paraId="22C43C0B" w14:textId="77777777" w:rsidR="00BF7B75" w:rsidRDefault="00BF7B75" w:rsidP="00BF7B75">
      <w:pPr>
        <w:pStyle w:val="Body"/>
        <w:spacing w:before="240"/>
        <w:rPr>
          <w:rFonts w:ascii="Arial" w:hAnsi="Arial" w:cs="Arial"/>
          <w:lang w:val="en-IN"/>
        </w:rPr>
      </w:pPr>
    </w:p>
    <w:p w14:paraId="5D402FA9" w14:textId="77777777" w:rsidR="00926DE3" w:rsidRDefault="00926DE3" w:rsidP="00926DE3">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271530B" w14:textId="77777777" w:rsidR="00926DE3" w:rsidRPr="00FB3A86" w:rsidRDefault="00926DE3" w:rsidP="00926DE3">
      <w:pPr>
        <w:pStyle w:val="ConcHead"/>
        <w:spacing w:after="0"/>
        <w:jc w:val="both"/>
        <w:rPr>
          <w:rFonts w:ascii="Arial" w:hAnsi="Arial" w:cs="Arial"/>
        </w:rPr>
      </w:pPr>
    </w:p>
    <w:p w14:paraId="508B8F02" w14:textId="77777777" w:rsidR="00926DE3" w:rsidRPr="00163118" w:rsidRDefault="00926DE3" w:rsidP="00926DE3">
      <w:pPr>
        <w:pStyle w:val="Body"/>
        <w:spacing w:after="0"/>
        <w:rPr>
          <w:rFonts w:ascii="Arial" w:hAnsi="Arial" w:cs="Arial"/>
          <w:lang w:val="en-IN"/>
        </w:rPr>
      </w:pPr>
      <w:r w:rsidRPr="00163118">
        <w:rPr>
          <w:rFonts w:ascii="Arial" w:hAnsi="Arial" w:cs="Arial"/>
          <w:lang w:val="en-IN"/>
        </w:rPr>
        <w:t xml:space="preserve">The present study clearly demonstrates the genotoxic and cytotoxic potential of cadmium chloride as evidenced by the significant increase in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PCEs and NCEs and the concomitant reduction in the PCE/NCE ratio. These findings confirm that cadmium exposure leads to chromosomal damage and suppression of erythropoietic activity in bone marrow cells, primarily through oxidative stress–mediated mechanisms.</w:t>
      </w:r>
      <w:r w:rsidR="00CC01AB">
        <w:rPr>
          <w:rFonts w:ascii="Arial" w:hAnsi="Arial" w:cs="Arial"/>
          <w:lang w:val="en-IN"/>
        </w:rPr>
        <w:t xml:space="preserve"> </w:t>
      </w:r>
      <w:r w:rsidRPr="00163118">
        <w:rPr>
          <w:rFonts w:ascii="Arial" w:hAnsi="Arial" w:cs="Arial"/>
          <w:lang w:val="en-IN"/>
        </w:rPr>
        <w:t>Co-treatment with </w:t>
      </w:r>
      <w:r w:rsidRPr="00820B01">
        <w:rPr>
          <w:rFonts w:ascii="Arial" w:hAnsi="Arial" w:cs="Arial"/>
          <w:i/>
          <w:iCs/>
          <w:lang w:val="en-IN"/>
        </w:rPr>
        <w:t>N</w:t>
      </w:r>
      <w:r w:rsidR="00820B01" w:rsidRPr="00820B01">
        <w:rPr>
          <w:rFonts w:ascii="Arial" w:hAnsi="Arial" w:cs="Arial"/>
          <w:i/>
          <w:iCs/>
          <w:lang w:val="en-IN"/>
        </w:rPr>
        <w:t>.</w:t>
      </w:r>
      <w:r w:rsidRPr="00820B01">
        <w:rPr>
          <w:rFonts w:ascii="Arial" w:hAnsi="Arial" w:cs="Arial"/>
          <w:i/>
          <w:iCs/>
          <w:lang w:val="en-IN"/>
        </w:rPr>
        <w:t xml:space="preserve"> </w:t>
      </w:r>
      <w:proofErr w:type="spellStart"/>
      <w:proofErr w:type="gramStart"/>
      <w:r w:rsidRPr="00820B01">
        <w:rPr>
          <w:rFonts w:ascii="Arial" w:hAnsi="Arial" w:cs="Arial"/>
          <w:i/>
          <w:iCs/>
          <w:lang w:val="en-IN"/>
        </w:rPr>
        <w:t>arbortristis</w:t>
      </w:r>
      <w:proofErr w:type="spellEnd"/>
      <w:r w:rsidRPr="00820B01">
        <w:rPr>
          <w:rFonts w:ascii="Arial" w:hAnsi="Arial" w:cs="Arial"/>
          <w:i/>
          <w:iCs/>
          <w:lang w:val="en-IN"/>
        </w:rPr>
        <w:t> </w:t>
      </w:r>
      <w:r w:rsidR="00CC01AB" w:rsidRPr="00163118">
        <w:rPr>
          <w:rFonts w:ascii="Arial" w:hAnsi="Arial" w:cs="Arial"/>
          <w:lang w:val="en-IN"/>
        </w:rPr>
        <w:t xml:space="preserve"> </w:t>
      </w:r>
      <w:r w:rsidRPr="00163118">
        <w:rPr>
          <w:rFonts w:ascii="Arial" w:hAnsi="Arial" w:cs="Arial"/>
          <w:lang w:val="en-IN"/>
        </w:rPr>
        <w:t>significantly</w:t>
      </w:r>
      <w:proofErr w:type="gramEnd"/>
      <w:r w:rsidRPr="00163118">
        <w:rPr>
          <w:rFonts w:ascii="Arial" w:hAnsi="Arial" w:cs="Arial"/>
          <w:lang w:val="en-IN"/>
        </w:rPr>
        <w:t xml:space="preserve"> ameliorated cadmium</w:t>
      </w:r>
      <w:r w:rsidR="00CC01AB">
        <w:rPr>
          <w:rFonts w:ascii="Arial" w:hAnsi="Arial" w:cs="Arial"/>
          <w:lang w:val="en-IN"/>
        </w:rPr>
        <w:t xml:space="preserve"> </w:t>
      </w:r>
      <w:r w:rsidRPr="00163118">
        <w:rPr>
          <w:rFonts w:ascii="Arial" w:hAnsi="Arial" w:cs="Arial"/>
          <w:lang w:val="en-IN"/>
        </w:rPr>
        <w:t xml:space="preserve">induced genotoxicity by reducing the frequency of </w:t>
      </w:r>
      <w:proofErr w:type="spellStart"/>
      <w:r w:rsidRPr="00163118">
        <w:rPr>
          <w:rFonts w:ascii="Arial" w:hAnsi="Arial" w:cs="Arial"/>
          <w:lang w:val="en-IN"/>
        </w:rPr>
        <w:t>micronucleated</w:t>
      </w:r>
      <w:proofErr w:type="spellEnd"/>
      <w:r w:rsidRPr="00163118">
        <w:rPr>
          <w:rFonts w:ascii="Arial" w:hAnsi="Arial" w:cs="Arial"/>
          <w:lang w:val="en-IN"/>
        </w:rPr>
        <w:t xml:space="preserve"> cells and restoring the PCE/NCE ratio toward normal values. The protective efficacy of plant extract may be attributed to </w:t>
      </w:r>
      <w:r w:rsidR="00CC01AB">
        <w:rPr>
          <w:rFonts w:ascii="Arial" w:hAnsi="Arial" w:cs="Arial"/>
          <w:lang w:val="en-IN"/>
        </w:rPr>
        <w:t>its</w:t>
      </w:r>
      <w:r w:rsidRPr="00163118">
        <w:rPr>
          <w:rFonts w:ascii="Arial" w:hAnsi="Arial" w:cs="Arial"/>
          <w:lang w:val="en-IN"/>
        </w:rPr>
        <w:t> phytochemical constituents, which possess potent antioxidant, anti-inflammatory and metal-chelating properties that counteract free radical</w:t>
      </w:r>
      <w:r w:rsidR="00CC01AB">
        <w:rPr>
          <w:rFonts w:ascii="Arial" w:hAnsi="Arial" w:cs="Arial"/>
          <w:lang w:val="en-IN"/>
        </w:rPr>
        <w:t xml:space="preserve"> </w:t>
      </w:r>
      <w:r w:rsidRPr="00163118">
        <w:rPr>
          <w:rFonts w:ascii="Arial" w:hAnsi="Arial" w:cs="Arial"/>
          <w:lang w:val="en-IN"/>
        </w:rPr>
        <w:t>mediated DNA damage.</w:t>
      </w:r>
      <w:r w:rsidR="00CC01AB">
        <w:rPr>
          <w:rFonts w:ascii="Arial" w:hAnsi="Arial" w:cs="Arial"/>
          <w:lang w:val="en-IN"/>
        </w:rPr>
        <w:t xml:space="preserve"> </w:t>
      </w:r>
      <w:r w:rsidRPr="00163118">
        <w:rPr>
          <w:rFonts w:ascii="Arial" w:hAnsi="Arial" w:cs="Arial"/>
          <w:lang w:val="en-IN"/>
        </w:rPr>
        <w:t>Overall, the results indicate that natural antioxidants from medicinal plants can serve as effective protective agents against cadmium</w:t>
      </w:r>
      <w:r w:rsidR="00820B01">
        <w:rPr>
          <w:rFonts w:ascii="Arial" w:hAnsi="Arial" w:cs="Arial"/>
          <w:lang w:val="en-IN"/>
        </w:rPr>
        <w:t xml:space="preserve"> </w:t>
      </w:r>
      <w:r w:rsidRPr="00163118">
        <w:rPr>
          <w:rFonts w:ascii="Arial" w:hAnsi="Arial" w:cs="Arial"/>
          <w:lang w:val="en-IN"/>
        </w:rPr>
        <w:t>induced genotoxicity, thereby emphasizing their potential role in preventive and therapeutic strategies against environmental and occupational exposure to toxic metals.</w:t>
      </w:r>
    </w:p>
    <w:p w14:paraId="14FA1A8C" w14:textId="77777777" w:rsidR="00926DE3" w:rsidRDefault="00926DE3" w:rsidP="00926DE3">
      <w:pPr>
        <w:pStyle w:val="AcknHead"/>
        <w:spacing w:after="0"/>
        <w:jc w:val="both"/>
        <w:rPr>
          <w:rFonts w:ascii="Arial" w:hAnsi="Arial" w:cs="Arial"/>
        </w:rPr>
      </w:pPr>
    </w:p>
    <w:p w14:paraId="37A81679" w14:textId="77777777" w:rsidR="00926DE3" w:rsidRDefault="00926DE3" w:rsidP="00926DE3">
      <w:pPr>
        <w:pStyle w:val="ReferHead"/>
        <w:spacing w:after="0"/>
        <w:jc w:val="both"/>
        <w:rPr>
          <w:rFonts w:ascii="Arial" w:hAnsi="Arial" w:cs="Arial"/>
          <w:b w:val="0"/>
          <w:caps w:val="0"/>
          <w:sz w:val="20"/>
        </w:rPr>
      </w:pPr>
      <w:bookmarkStart w:id="1" w:name="_GoBack"/>
      <w:bookmarkEnd w:id="1"/>
    </w:p>
    <w:p w14:paraId="4672F4DA" w14:textId="77777777" w:rsidR="00926DE3" w:rsidRPr="002B685A" w:rsidRDefault="00926DE3" w:rsidP="00926DE3">
      <w:pPr>
        <w:pStyle w:val="ReferHead"/>
        <w:spacing w:after="0"/>
        <w:jc w:val="both"/>
        <w:rPr>
          <w:rFonts w:ascii="Arial" w:hAnsi="Arial" w:cs="Arial"/>
          <w:bCs/>
        </w:rPr>
      </w:pPr>
      <w:r>
        <w:rPr>
          <w:rFonts w:ascii="Arial" w:hAnsi="Arial" w:cs="Arial"/>
          <w:bCs/>
        </w:rPr>
        <w:t xml:space="preserve">Ethical approval </w:t>
      </w:r>
    </w:p>
    <w:p w14:paraId="43282151" w14:textId="77777777" w:rsidR="00926DE3" w:rsidRDefault="00926DE3" w:rsidP="00926DE3">
      <w:pPr>
        <w:pStyle w:val="Body"/>
        <w:spacing w:after="0"/>
        <w:rPr>
          <w:rFonts w:ascii="Arial" w:hAnsi="Arial" w:cs="Arial"/>
          <w:lang w:val="en-IN"/>
        </w:rPr>
      </w:pPr>
      <w:r w:rsidRPr="00F05EEA">
        <w:rPr>
          <w:rFonts w:ascii="Arial" w:hAnsi="Arial" w:cs="Arial"/>
          <w:lang w:val="en-IN"/>
        </w:rPr>
        <w:t xml:space="preserve">This work was approved by the Committee on the Ethics of Animal Experiments of Mahavir Cancer </w:t>
      </w:r>
      <w:proofErr w:type="spellStart"/>
      <w:r w:rsidRPr="00F05EEA">
        <w:rPr>
          <w:rFonts w:ascii="Arial" w:hAnsi="Arial" w:cs="Arial"/>
          <w:lang w:val="en-IN"/>
        </w:rPr>
        <w:t>Sansthan</w:t>
      </w:r>
      <w:proofErr w:type="spellEnd"/>
      <w:r w:rsidRPr="00F05EEA">
        <w:rPr>
          <w:rFonts w:ascii="Arial" w:hAnsi="Arial" w:cs="Arial"/>
          <w:lang w:val="en-IN"/>
        </w:rPr>
        <w:t xml:space="preserve"> &amp; Research Centre, Patna with IAEC No. 2023/1B-01/11/23</w:t>
      </w:r>
    </w:p>
    <w:p w14:paraId="7592FD42" w14:textId="77777777" w:rsidR="00926DE3" w:rsidRPr="00926DE3" w:rsidRDefault="00926DE3" w:rsidP="00926DE3">
      <w:pPr>
        <w:pStyle w:val="Body"/>
        <w:spacing w:after="0"/>
        <w:rPr>
          <w:rFonts w:ascii="Arial" w:hAnsi="Arial" w:cs="Arial"/>
          <w:lang w:val="en-IN"/>
        </w:rPr>
      </w:pPr>
    </w:p>
    <w:p w14:paraId="230ACF34" w14:textId="77777777" w:rsidR="00CC01AB" w:rsidRPr="00CC01AB" w:rsidRDefault="00926DE3" w:rsidP="00CC01AB">
      <w:pPr>
        <w:pStyle w:val="ReferHead"/>
        <w:spacing w:after="0"/>
        <w:jc w:val="both"/>
        <w:rPr>
          <w:rFonts w:ascii="Arial" w:hAnsi="Arial" w:cs="Arial"/>
        </w:rPr>
      </w:pPr>
      <w:r w:rsidRPr="00FB3A86">
        <w:rPr>
          <w:rFonts w:ascii="Arial" w:hAnsi="Arial" w:cs="Arial"/>
        </w:rPr>
        <w:t>References</w:t>
      </w:r>
    </w:p>
    <w:p w14:paraId="70BBCC0A" w14:textId="77777777" w:rsidR="00CC01AB" w:rsidRDefault="00CC01AB" w:rsidP="00CC01AB">
      <w:pPr>
        <w:pStyle w:val="Body"/>
        <w:rPr>
          <w:rFonts w:ascii="Arial" w:hAnsi="Arial" w:cs="Arial"/>
          <w:iCs/>
          <w:lang w:val="en-IN"/>
        </w:rPr>
      </w:pPr>
      <w:r w:rsidRPr="00EF5236">
        <w:rPr>
          <w:rFonts w:ascii="Arial" w:hAnsi="Arial" w:cs="Arial"/>
          <w:iCs/>
          <w:lang w:val="en-IN"/>
        </w:rPr>
        <w:t>Acharya, S. (2024). Heavy Metal Contamination in Food: Sources, Impact, and Remedy. In </w:t>
      </w:r>
      <w:r w:rsidRPr="00EF5236">
        <w:rPr>
          <w:rFonts w:ascii="Arial" w:hAnsi="Arial" w:cs="Arial"/>
          <w:i/>
          <w:iCs/>
          <w:lang w:val="en-IN"/>
        </w:rPr>
        <w:t>Food Safety and Quality in the Global South</w:t>
      </w:r>
      <w:r w:rsidRPr="00EF5236">
        <w:rPr>
          <w:rFonts w:ascii="Arial" w:hAnsi="Arial" w:cs="Arial"/>
          <w:iCs/>
          <w:lang w:val="en-IN"/>
        </w:rPr>
        <w:t xml:space="preserve">. </w:t>
      </w:r>
      <w:r w:rsidRPr="00EF5236">
        <w:rPr>
          <w:rFonts w:ascii="Arial" w:hAnsi="Arial" w:cs="Arial"/>
          <w:i/>
          <w:iCs/>
          <w:lang w:val="en-IN"/>
        </w:rPr>
        <w:t xml:space="preserve">Springer Nature </w:t>
      </w:r>
      <w:r w:rsidRPr="00EF5236">
        <w:rPr>
          <w:rFonts w:ascii="Arial" w:hAnsi="Arial" w:cs="Arial"/>
          <w:iCs/>
          <w:lang w:val="en-IN"/>
        </w:rPr>
        <w:t xml:space="preserve">233-261. </w:t>
      </w:r>
    </w:p>
    <w:p w14:paraId="6F8F86C7" w14:textId="77777777" w:rsidR="00CC01AB" w:rsidRDefault="00CC01AB" w:rsidP="00CC01AB">
      <w:pPr>
        <w:pStyle w:val="Body"/>
        <w:rPr>
          <w:rFonts w:ascii="Arial" w:hAnsi="Arial" w:cs="Arial"/>
          <w:iCs/>
        </w:rPr>
      </w:pPr>
      <w:r w:rsidRPr="00005009">
        <w:rPr>
          <w:rFonts w:ascii="Arial" w:hAnsi="Arial" w:cs="Arial"/>
          <w:iCs/>
        </w:rPr>
        <w:lastRenderedPageBreak/>
        <w:t>Ali, H., &amp; Khan, E. (2018). What are heavy metals? Long-standing controversy over the scientific use of the term ‘heavy metals’–proposal of a comprehensive definition. </w:t>
      </w:r>
      <w:r w:rsidRPr="00005009">
        <w:rPr>
          <w:rFonts w:ascii="Arial" w:hAnsi="Arial" w:cs="Arial"/>
          <w:i/>
          <w:iCs/>
        </w:rPr>
        <w:t>Toxicological &amp; Environmental Chemistry</w:t>
      </w:r>
      <w:r w:rsidRPr="00005009">
        <w:rPr>
          <w:rFonts w:ascii="Arial" w:hAnsi="Arial" w:cs="Arial"/>
          <w:iCs/>
        </w:rPr>
        <w:t>, </w:t>
      </w:r>
      <w:r w:rsidRPr="00005009">
        <w:rPr>
          <w:rFonts w:ascii="Arial" w:hAnsi="Arial" w:cs="Arial"/>
          <w:i/>
          <w:iCs/>
        </w:rPr>
        <w:t>100</w:t>
      </w:r>
      <w:r w:rsidRPr="00005009">
        <w:rPr>
          <w:rFonts w:ascii="Arial" w:hAnsi="Arial" w:cs="Arial"/>
          <w:iCs/>
        </w:rPr>
        <w:t>(1), 6-19.</w:t>
      </w:r>
    </w:p>
    <w:p w14:paraId="703276E7" w14:textId="77777777" w:rsidR="00CC01AB" w:rsidRDefault="00CC01AB" w:rsidP="00CC01AB">
      <w:pPr>
        <w:pStyle w:val="Body"/>
        <w:rPr>
          <w:rFonts w:ascii="Arial" w:hAnsi="Arial" w:cs="Arial"/>
          <w:iCs/>
        </w:rPr>
      </w:pPr>
      <w:r w:rsidRPr="00232DD2">
        <w:rPr>
          <w:rFonts w:ascii="Arial" w:hAnsi="Arial" w:cs="Arial"/>
          <w:iCs/>
        </w:rPr>
        <w:t>Briffa, J., Sinagra, E., &amp; Blundell, R. (2020). Heavy metal pollution in the environment and their toxicological effects on humans. </w:t>
      </w:r>
      <w:proofErr w:type="spellStart"/>
      <w:r w:rsidRPr="00232DD2">
        <w:rPr>
          <w:rFonts w:ascii="Arial" w:hAnsi="Arial" w:cs="Arial"/>
          <w:i/>
        </w:rPr>
        <w:t>Heliyon</w:t>
      </w:r>
      <w:proofErr w:type="spellEnd"/>
      <w:r w:rsidRPr="00232DD2">
        <w:rPr>
          <w:rFonts w:ascii="Arial" w:hAnsi="Arial" w:cs="Arial"/>
          <w:iCs/>
        </w:rPr>
        <w:t>, 6(9), 2405-8440.</w:t>
      </w:r>
    </w:p>
    <w:p w14:paraId="5B086A70" w14:textId="77777777" w:rsidR="00CC01AB" w:rsidRDefault="00CC01AB" w:rsidP="00CC01AB">
      <w:pPr>
        <w:pStyle w:val="Body"/>
        <w:rPr>
          <w:rFonts w:ascii="Arial" w:hAnsi="Arial" w:cs="Arial"/>
          <w:iCs/>
          <w:lang w:val="en-IN"/>
        </w:rPr>
      </w:pPr>
      <w:r w:rsidRPr="00060776">
        <w:rPr>
          <w:rFonts w:ascii="Arial" w:hAnsi="Arial" w:cs="Arial"/>
          <w:iCs/>
          <w:lang w:val="en-IN"/>
        </w:rPr>
        <w:t>Chamoli, R. T., Minj, S.</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Singh, V. (2019). Phytochemical chemical characters of </w:t>
      </w:r>
      <w:proofErr w:type="spellStart"/>
      <w:r w:rsidRPr="00060776">
        <w:rPr>
          <w:rFonts w:ascii="Arial" w:hAnsi="Arial" w:cs="Arial"/>
          <w:i/>
          <w:iCs/>
          <w:lang w:val="en-IN"/>
        </w:rPr>
        <w:t>Nyctanthes</w:t>
      </w:r>
      <w:proofErr w:type="spellEnd"/>
      <w:r w:rsidRPr="00060776">
        <w:rPr>
          <w:rFonts w:ascii="Arial" w:hAnsi="Arial" w:cs="Arial"/>
          <w:i/>
          <w:iCs/>
          <w:lang w:val="en-IN"/>
        </w:rPr>
        <w:t xml:space="preserve"> </w:t>
      </w:r>
      <w:proofErr w:type="spellStart"/>
      <w:r w:rsidRPr="00060776">
        <w:rPr>
          <w:rFonts w:ascii="Arial" w:hAnsi="Arial" w:cs="Arial"/>
          <w:i/>
          <w:iCs/>
          <w:lang w:val="en-IN"/>
        </w:rPr>
        <w:t>arbor-tristis</w:t>
      </w:r>
      <w:proofErr w:type="spellEnd"/>
      <w:r w:rsidRPr="00060776">
        <w:rPr>
          <w:rFonts w:ascii="Arial" w:hAnsi="Arial" w:cs="Arial"/>
          <w:iCs/>
          <w:lang w:val="en-IN"/>
        </w:rPr>
        <w:t xml:space="preserve"> Linn.: A promising medicinal plant. </w:t>
      </w:r>
      <w:r w:rsidRPr="00060776">
        <w:rPr>
          <w:rFonts w:ascii="Arial" w:hAnsi="Arial" w:cs="Arial"/>
          <w:i/>
          <w:iCs/>
          <w:lang w:val="en-IN"/>
        </w:rPr>
        <w:t>Journal of Medicinal Plant Research</w:t>
      </w:r>
      <w:r w:rsidRPr="00060776">
        <w:rPr>
          <w:rFonts w:ascii="Arial" w:hAnsi="Arial" w:cs="Arial"/>
          <w:iCs/>
          <w:lang w:val="en-IN"/>
        </w:rPr>
        <w:t>, </w:t>
      </w:r>
      <w:r w:rsidRPr="00060776">
        <w:rPr>
          <w:rFonts w:ascii="Arial" w:hAnsi="Arial" w:cs="Arial"/>
          <w:b/>
          <w:bCs/>
          <w:iCs/>
          <w:lang w:val="en-IN"/>
        </w:rPr>
        <w:t xml:space="preserve">7(6): </w:t>
      </w:r>
      <w:r w:rsidRPr="00060776">
        <w:rPr>
          <w:rFonts w:ascii="Arial" w:hAnsi="Arial" w:cs="Arial"/>
          <w:iCs/>
          <w:lang w:val="en-IN"/>
        </w:rPr>
        <w:t>141-143.</w:t>
      </w:r>
    </w:p>
    <w:p w14:paraId="6CE82187" w14:textId="77777777" w:rsidR="00CC01AB" w:rsidRDefault="00CC01AB" w:rsidP="00CC01AB">
      <w:pPr>
        <w:pStyle w:val="Body"/>
        <w:rPr>
          <w:rFonts w:ascii="Arial" w:hAnsi="Arial" w:cs="Arial"/>
          <w:iCs/>
        </w:rPr>
      </w:pPr>
      <w:r w:rsidRPr="001C2148">
        <w:rPr>
          <w:rFonts w:ascii="Arial" w:hAnsi="Arial" w:cs="Arial"/>
          <w:iCs/>
        </w:rPr>
        <w:t>Das, R. K., &amp; Kar, R. N. (1986). Genotoxic effects of three benzodiazepine tranquilizers in mouse bone marrow as revealed by the micronucleus test. </w:t>
      </w:r>
      <w:proofErr w:type="spellStart"/>
      <w:r w:rsidRPr="001C2148">
        <w:rPr>
          <w:rFonts w:ascii="Arial" w:hAnsi="Arial" w:cs="Arial"/>
          <w:i/>
          <w:iCs/>
        </w:rPr>
        <w:t>Caryologia</w:t>
      </w:r>
      <w:proofErr w:type="spellEnd"/>
      <w:r w:rsidRPr="001C2148">
        <w:rPr>
          <w:rFonts w:ascii="Arial" w:hAnsi="Arial" w:cs="Arial"/>
          <w:iCs/>
        </w:rPr>
        <w:t>, </w:t>
      </w:r>
      <w:r w:rsidRPr="001C2148">
        <w:rPr>
          <w:rFonts w:ascii="Arial" w:hAnsi="Arial" w:cs="Arial"/>
          <w:i/>
          <w:iCs/>
        </w:rPr>
        <w:t>39</w:t>
      </w:r>
      <w:r w:rsidRPr="001C2148">
        <w:rPr>
          <w:rFonts w:ascii="Arial" w:hAnsi="Arial" w:cs="Arial"/>
          <w:iCs/>
        </w:rPr>
        <w:t>(2), 193-198.</w:t>
      </w:r>
    </w:p>
    <w:p w14:paraId="205B25E4" w14:textId="77777777" w:rsidR="00CC01AB" w:rsidRDefault="00CC01AB" w:rsidP="00CC01AB">
      <w:pPr>
        <w:pStyle w:val="Body"/>
        <w:rPr>
          <w:rFonts w:ascii="Arial" w:hAnsi="Arial" w:cs="Arial"/>
          <w:iCs/>
        </w:rPr>
      </w:pPr>
      <w:r w:rsidRPr="00F72134">
        <w:rPr>
          <w:rFonts w:ascii="Arial" w:hAnsi="Arial" w:cs="Arial"/>
          <w:iCs/>
        </w:rPr>
        <w:t xml:space="preserve">El-Ghor, A. A., </w:t>
      </w:r>
      <w:proofErr w:type="spellStart"/>
      <w:r w:rsidRPr="00F72134">
        <w:rPr>
          <w:rFonts w:ascii="Arial" w:hAnsi="Arial" w:cs="Arial"/>
          <w:iCs/>
        </w:rPr>
        <w:t>Noshy</w:t>
      </w:r>
      <w:proofErr w:type="spellEnd"/>
      <w:r w:rsidRPr="00F72134">
        <w:rPr>
          <w:rFonts w:ascii="Arial" w:hAnsi="Arial" w:cs="Arial"/>
          <w:iCs/>
        </w:rPr>
        <w:t xml:space="preserve">, M. M., El Ashmaoui, H. M., Eid, J. I., &amp; </w:t>
      </w:r>
      <w:proofErr w:type="spellStart"/>
      <w:r w:rsidRPr="00F72134">
        <w:rPr>
          <w:rFonts w:ascii="Arial" w:hAnsi="Arial" w:cs="Arial"/>
          <w:iCs/>
        </w:rPr>
        <w:t>Hassanane</w:t>
      </w:r>
      <w:proofErr w:type="spellEnd"/>
      <w:r w:rsidRPr="00F72134">
        <w:rPr>
          <w:rFonts w:ascii="Arial" w:hAnsi="Arial" w:cs="Arial"/>
          <w:iCs/>
        </w:rPr>
        <w:t>, M. S. (2010). Microsatellite instability at three microsatellite loci (D6mit3, D9mit2 and D15Mgh1) located in different common fragile sites of rats exposed to cadmium. </w:t>
      </w:r>
      <w:r w:rsidRPr="00F72134">
        <w:rPr>
          <w:rFonts w:ascii="Arial" w:hAnsi="Arial" w:cs="Arial"/>
          <w:i/>
          <w:iCs/>
        </w:rPr>
        <w:t>Mutation Research/Genetic Toxicology and Environmental Mutagenesis</w:t>
      </w:r>
      <w:r w:rsidRPr="00F72134">
        <w:rPr>
          <w:rFonts w:ascii="Arial" w:hAnsi="Arial" w:cs="Arial"/>
          <w:iCs/>
        </w:rPr>
        <w:t>, </w:t>
      </w:r>
      <w:r w:rsidRPr="00F72134">
        <w:rPr>
          <w:rFonts w:ascii="Arial" w:hAnsi="Arial" w:cs="Arial"/>
          <w:i/>
          <w:iCs/>
        </w:rPr>
        <w:t>696</w:t>
      </w:r>
      <w:r w:rsidRPr="00F72134">
        <w:rPr>
          <w:rFonts w:ascii="Arial" w:hAnsi="Arial" w:cs="Arial"/>
          <w:iCs/>
        </w:rPr>
        <w:t>(2), 160-166.</w:t>
      </w:r>
    </w:p>
    <w:p w14:paraId="63C95A64" w14:textId="77777777" w:rsidR="00CC01AB" w:rsidRPr="00CC01AB" w:rsidRDefault="00CC01AB" w:rsidP="00CC01AB">
      <w:pPr>
        <w:pStyle w:val="Body"/>
        <w:rPr>
          <w:rFonts w:ascii="Arial" w:hAnsi="Arial" w:cs="Arial"/>
          <w:iCs/>
          <w:lang w:val="en-IN"/>
        </w:rPr>
      </w:pPr>
      <w:r w:rsidRPr="00CC01AB">
        <w:rPr>
          <w:rFonts w:ascii="Arial" w:hAnsi="Arial" w:cs="Arial"/>
          <w:iCs/>
          <w:lang w:val="en-IN"/>
        </w:rPr>
        <w:t>Genchi, G., Sinicropi, M. S., Lauria, G., Carocci, A.</w:t>
      </w:r>
      <w:r>
        <w:rPr>
          <w:rFonts w:ascii="Arial" w:hAnsi="Arial" w:cs="Arial"/>
          <w:iCs/>
          <w:lang w:val="en-IN"/>
        </w:rPr>
        <w:t>,</w:t>
      </w:r>
      <w:r w:rsidRPr="00CC01AB">
        <w:rPr>
          <w:rFonts w:ascii="Arial" w:hAnsi="Arial" w:cs="Arial"/>
          <w:iCs/>
          <w:lang w:val="en-IN"/>
        </w:rPr>
        <w:t xml:space="preserve"> </w:t>
      </w:r>
      <w:r>
        <w:rPr>
          <w:rFonts w:ascii="Arial" w:hAnsi="Arial" w:cs="Arial"/>
          <w:iCs/>
          <w:lang w:val="en-IN"/>
        </w:rPr>
        <w:t>&amp;</w:t>
      </w:r>
      <w:r w:rsidRPr="00CC01AB">
        <w:rPr>
          <w:rFonts w:ascii="Arial" w:hAnsi="Arial" w:cs="Arial"/>
          <w:iCs/>
          <w:lang w:val="en-IN"/>
        </w:rPr>
        <w:t xml:space="preserve"> Catalano, A. (2020). The effects of cadmium toxicity. </w:t>
      </w:r>
      <w:r w:rsidRPr="00CC01AB">
        <w:rPr>
          <w:rFonts w:ascii="Arial" w:hAnsi="Arial" w:cs="Arial"/>
          <w:i/>
          <w:iCs/>
          <w:lang w:val="en-IN"/>
        </w:rPr>
        <w:t>International journal of environmental research and public health</w:t>
      </w:r>
      <w:r w:rsidRPr="00CC01AB">
        <w:rPr>
          <w:rFonts w:ascii="Arial" w:hAnsi="Arial" w:cs="Arial"/>
          <w:iCs/>
          <w:lang w:val="en-IN"/>
        </w:rPr>
        <w:t>, 17(11)</w:t>
      </w:r>
      <w:r>
        <w:rPr>
          <w:rFonts w:ascii="Arial" w:hAnsi="Arial" w:cs="Arial"/>
          <w:iCs/>
          <w:lang w:val="en-IN"/>
        </w:rPr>
        <w:t xml:space="preserve">, </w:t>
      </w:r>
      <w:r w:rsidRPr="00CC01AB">
        <w:rPr>
          <w:rFonts w:ascii="Arial" w:hAnsi="Arial" w:cs="Arial"/>
          <w:iCs/>
          <w:lang w:val="en-IN"/>
        </w:rPr>
        <w:t>3782.</w:t>
      </w:r>
    </w:p>
    <w:p w14:paraId="3E9DA1DE" w14:textId="77777777" w:rsidR="00CC01AB" w:rsidRDefault="00CC01AB" w:rsidP="00CC01AB">
      <w:pPr>
        <w:pStyle w:val="Body"/>
        <w:rPr>
          <w:rFonts w:ascii="Arial" w:hAnsi="Arial" w:cs="Arial"/>
          <w:iCs/>
        </w:rPr>
      </w:pPr>
      <w:r w:rsidRPr="0014554A">
        <w:rPr>
          <w:rFonts w:ascii="Arial" w:hAnsi="Arial" w:cs="Arial"/>
          <w:iCs/>
        </w:rPr>
        <w:t>Guo, S., Wang, H., Liu, X., Zhang, Z., &amp; Liu, Y. (2024). Approaches for the treatment and resource utilization of electroplating sludge. </w:t>
      </w:r>
      <w:r w:rsidRPr="0014554A">
        <w:rPr>
          <w:rFonts w:ascii="Arial" w:hAnsi="Arial" w:cs="Arial"/>
          <w:i/>
          <w:iCs/>
        </w:rPr>
        <w:t>Materials</w:t>
      </w:r>
      <w:r w:rsidRPr="0014554A">
        <w:rPr>
          <w:rFonts w:ascii="Arial" w:hAnsi="Arial" w:cs="Arial"/>
          <w:iCs/>
        </w:rPr>
        <w:t>, </w:t>
      </w:r>
      <w:r w:rsidRPr="0014554A">
        <w:rPr>
          <w:rFonts w:ascii="Arial" w:hAnsi="Arial" w:cs="Arial"/>
          <w:i/>
          <w:iCs/>
        </w:rPr>
        <w:t>17</w:t>
      </w:r>
      <w:r w:rsidRPr="0014554A">
        <w:rPr>
          <w:rFonts w:ascii="Arial" w:hAnsi="Arial" w:cs="Arial"/>
          <w:iCs/>
        </w:rPr>
        <w:t>(7), 1707.</w:t>
      </w:r>
    </w:p>
    <w:p w14:paraId="40579EEF" w14:textId="77777777" w:rsidR="00CC01AB" w:rsidRDefault="00CC01AB" w:rsidP="00CC01AB">
      <w:pPr>
        <w:pStyle w:val="Body"/>
        <w:rPr>
          <w:rFonts w:ascii="Arial" w:hAnsi="Arial" w:cs="Arial"/>
          <w:iCs/>
          <w:lang w:val="en-IN"/>
        </w:rPr>
      </w:pPr>
      <w:r w:rsidRPr="00946628">
        <w:rPr>
          <w:rFonts w:ascii="Arial" w:hAnsi="Arial" w:cs="Arial"/>
          <w:iCs/>
          <w:lang w:val="en-IN"/>
        </w:rPr>
        <w:t>Jain, P. K.</w:t>
      </w:r>
      <w:r>
        <w:rPr>
          <w:rFonts w:ascii="Arial" w:hAnsi="Arial" w:cs="Arial"/>
          <w:iCs/>
          <w:lang w:val="en-IN"/>
        </w:rPr>
        <w:t>,</w:t>
      </w:r>
      <w:r w:rsidRPr="00946628">
        <w:rPr>
          <w:rFonts w:ascii="Arial" w:hAnsi="Arial" w:cs="Arial"/>
          <w:iCs/>
          <w:lang w:val="en-IN"/>
        </w:rPr>
        <w:t xml:space="preserve"> </w:t>
      </w:r>
      <w:r>
        <w:rPr>
          <w:rFonts w:ascii="Arial" w:hAnsi="Arial" w:cs="Arial"/>
          <w:iCs/>
          <w:lang w:val="en-IN"/>
        </w:rPr>
        <w:t>&amp;</w:t>
      </w:r>
      <w:r w:rsidRPr="00946628">
        <w:rPr>
          <w:rFonts w:ascii="Arial" w:hAnsi="Arial" w:cs="Arial"/>
          <w:iCs/>
          <w:lang w:val="en-IN"/>
        </w:rPr>
        <w:t xml:space="preserve"> Pandey, A. (2016). The wonder of Ayurvedic medicine-</w:t>
      </w:r>
      <w:proofErr w:type="spellStart"/>
      <w:r w:rsidRPr="00946628">
        <w:rPr>
          <w:rFonts w:ascii="Arial" w:hAnsi="Arial" w:cs="Arial"/>
          <w:i/>
          <w:iCs/>
          <w:lang w:val="en-IN"/>
        </w:rPr>
        <w:t>Nyctanthes</w:t>
      </w:r>
      <w:proofErr w:type="spellEnd"/>
      <w:r w:rsidRPr="00946628">
        <w:rPr>
          <w:rFonts w:ascii="Arial" w:hAnsi="Arial" w:cs="Arial"/>
          <w:i/>
          <w:iCs/>
          <w:lang w:val="en-IN"/>
        </w:rPr>
        <w:t xml:space="preserve"> </w:t>
      </w:r>
      <w:proofErr w:type="spellStart"/>
      <w:r w:rsidRPr="00946628">
        <w:rPr>
          <w:rFonts w:ascii="Arial" w:hAnsi="Arial" w:cs="Arial"/>
          <w:i/>
          <w:iCs/>
          <w:lang w:val="en-IN"/>
        </w:rPr>
        <w:t>arbortristis</w:t>
      </w:r>
      <w:proofErr w:type="spellEnd"/>
      <w:r w:rsidRPr="00946628">
        <w:rPr>
          <w:rFonts w:ascii="Arial" w:hAnsi="Arial" w:cs="Arial"/>
          <w:iCs/>
          <w:lang w:val="en-IN"/>
        </w:rPr>
        <w:t>. </w:t>
      </w:r>
      <w:r w:rsidRPr="00946628">
        <w:rPr>
          <w:rFonts w:ascii="Arial" w:hAnsi="Arial" w:cs="Arial"/>
          <w:i/>
          <w:iCs/>
          <w:lang w:val="en-IN"/>
        </w:rPr>
        <w:t>International Journal of Herbal Medicine</w:t>
      </w:r>
      <w:r w:rsidRPr="00946628">
        <w:rPr>
          <w:rFonts w:ascii="Arial" w:hAnsi="Arial" w:cs="Arial"/>
          <w:iCs/>
          <w:lang w:val="en-IN"/>
        </w:rPr>
        <w:t>, 4(4)</w:t>
      </w:r>
      <w:r>
        <w:rPr>
          <w:rFonts w:ascii="Arial" w:hAnsi="Arial" w:cs="Arial"/>
          <w:iCs/>
          <w:lang w:val="en-IN"/>
        </w:rPr>
        <w:t>,</w:t>
      </w:r>
      <w:r w:rsidRPr="00946628">
        <w:rPr>
          <w:rFonts w:ascii="Arial" w:hAnsi="Arial" w:cs="Arial"/>
          <w:iCs/>
          <w:lang w:val="en-IN"/>
        </w:rPr>
        <w:t xml:space="preserve"> 9-17.</w:t>
      </w:r>
    </w:p>
    <w:p w14:paraId="7C791621" w14:textId="77777777" w:rsidR="00CC01AB" w:rsidRDefault="00CC01AB" w:rsidP="00CC01AB">
      <w:pPr>
        <w:pStyle w:val="Body"/>
        <w:rPr>
          <w:rFonts w:ascii="Arial" w:hAnsi="Arial" w:cs="Arial"/>
          <w:iCs/>
        </w:rPr>
      </w:pPr>
      <w:r w:rsidRPr="00005009">
        <w:rPr>
          <w:rFonts w:ascii="Arial" w:hAnsi="Arial" w:cs="Arial"/>
          <w:iCs/>
        </w:rPr>
        <w:t>Mitra, S., Chakraborty, A. J., Tareq, A. M., Emran, T. B., Nainu, F., Khusro, A., ... &amp; Simal-Gandara, J. (2022). Impact of heavy metals on the environment and human health: Novel therapeutic insights to counter the toxicity. </w:t>
      </w:r>
      <w:r w:rsidRPr="00005009">
        <w:rPr>
          <w:rFonts w:ascii="Arial" w:hAnsi="Arial" w:cs="Arial"/>
          <w:i/>
          <w:iCs/>
        </w:rPr>
        <w:t>Journal of King Saud University–Science</w:t>
      </w:r>
      <w:r w:rsidRPr="00005009">
        <w:rPr>
          <w:rFonts w:ascii="Arial" w:hAnsi="Arial" w:cs="Arial"/>
          <w:iCs/>
        </w:rPr>
        <w:t>, </w:t>
      </w:r>
      <w:r w:rsidRPr="00005009">
        <w:rPr>
          <w:rFonts w:ascii="Arial" w:hAnsi="Arial" w:cs="Arial"/>
          <w:i/>
          <w:iCs/>
        </w:rPr>
        <w:t>34</w:t>
      </w:r>
      <w:r>
        <w:rPr>
          <w:rFonts w:ascii="Arial" w:hAnsi="Arial" w:cs="Arial"/>
          <w:iCs/>
        </w:rPr>
        <w:t>, 1018-3647.</w:t>
      </w:r>
    </w:p>
    <w:p w14:paraId="4C52F1FD" w14:textId="77777777" w:rsidR="00CC01AB" w:rsidRDefault="00CC01AB" w:rsidP="00CC01AB">
      <w:pPr>
        <w:pStyle w:val="Body"/>
        <w:rPr>
          <w:rFonts w:ascii="Arial" w:hAnsi="Arial" w:cs="Arial"/>
          <w:iCs/>
        </w:rPr>
      </w:pPr>
      <w:r w:rsidRPr="00820B01">
        <w:rPr>
          <w:rFonts w:ascii="Arial" w:hAnsi="Arial" w:cs="Arial"/>
          <w:iCs/>
        </w:rPr>
        <w:t>Naja, G. M., &amp; Volesky, B. (2017). Toxicity and sources of Pb, Cd, Hg, Cr, As, and radionuclides in the environment. In </w:t>
      </w:r>
      <w:r w:rsidRPr="00820B01">
        <w:rPr>
          <w:rFonts w:ascii="Arial" w:hAnsi="Arial" w:cs="Arial"/>
          <w:i/>
          <w:iCs/>
        </w:rPr>
        <w:t>Handbook of advanced industrial and hazardous wastes management</w:t>
      </w:r>
      <w:r w:rsidRPr="00820B01">
        <w:rPr>
          <w:rFonts w:ascii="Arial" w:hAnsi="Arial" w:cs="Arial"/>
          <w:iCs/>
        </w:rPr>
        <w:t xml:space="preserve"> (pp. 855-903). </w:t>
      </w:r>
      <w:proofErr w:type="spellStart"/>
      <w:r w:rsidRPr="00820B01">
        <w:rPr>
          <w:rFonts w:ascii="Arial" w:hAnsi="Arial" w:cs="Arial"/>
          <w:iCs/>
        </w:rPr>
        <w:t>Crc</w:t>
      </w:r>
      <w:proofErr w:type="spellEnd"/>
      <w:r w:rsidRPr="00820B01">
        <w:rPr>
          <w:rFonts w:ascii="Arial" w:hAnsi="Arial" w:cs="Arial"/>
          <w:iCs/>
        </w:rPr>
        <w:t xml:space="preserve"> Press.</w:t>
      </w:r>
    </w:p>
    <w:p w14:paraId="251A5672" w14:textId="77777777" w:rsidR="00CC01AB" w:rsidRPr="00074F2F" w:rsidRDefault="00CC01AB" w:rsidP="00CC01AB">
      <w:pPr>
        <w:pStyle w:val="Body"/>
        <w:rPr>
          <w:rFonts w:ascii="Arial" w:hAnsi="Arial" w:cs="Arial"/>
          <w:iCs/>
          <w:lang w:val="en-IN"/>
        </w:rPr>
      </w:pPr>
      <w:r w:rsidRPr="00074F2F">
        <w:rPr>
          <w:rFonts w:ascii="Arial" w:hAnsi="Arial" w:cs="Arial"/>
          <w:iCs/>
          <w:lang w:val="en-IN"/>
        </w:rPr>
        <w:t>Parida, L.</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 xml:space="preserve">&amp; </w:t>
      </w:r>
      <w:r w:rsidRPr="00074F2F">
        <w:rPr>
          <w:rFonts w:ascii="Arial" w:hAnsi="Arial" w:cs="Arial"/>
          <w:iCs/>
          <w:lang w:val="en-IN"/>
        </w:rPr>
        <w:t>Patel, T. N. (2023). Systemic impact of heavy metals and their role in cancer development: a review. </w:t>
      </w:r>
      <w:r w:rsidRPr="00074F2F">
        <w:rPr>
          <w:rFonts w:ascii="Arial" w:hAnsi="Arial" w:cs="Arial"/>
          <w:i/>
          <w:iCs/>
          <w:lang w:val="en-IN"/>
        </w:rPr>
        <w:t>Environmental Monitoring and Assessment</w:t>
      </w:r>
      <w:r w:rsidRPr="00074F2F">
        <w:rPr>
          <w:rFonts w:ascii="Arial" w:hAnsi="Arial" w:cs="Arial"/>
          <w:iCs/>
          <w:lang w:val="en-IN"/>
        </w:rPr>
        <w:t>, 195(6), 766.</w:t>
      </w:r>
    </w:p>
    <w:p w14:paraId="7E731D97" w14:textId="77777777" w:rsidR="00CC01AB" w:rsidRDefault="00CC01AB" w:rsidP="00CC01AB">
      <w:pPr>
        <w:pStyle w:val="Body"/>
        <w:rPr>
          <w:rFonts w:ascii="Arial" w:hAnsi="Arial" w:cs="Arial"/>
          <w:iCs/>
          <w:lang w:val="en-IN"/>
        </w:rPr>
      </w:pPr>
      <w:r w:rsidRPr="00074F2F">
        <w:rPr>
          <w:rFonts w:ascii="Arial" w:hAnsi="Arial" w:cs="Arial"/>
          <w:iCs/>
          <w:lang w:val="en-IN"/>
        </w:rPr>
        <w:t>Rani, C., Chawla, S., Mangal, M., Mangal, A. K., Kajla, S.</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Dhawan, A. K. (2012).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xml:space="preserve"> </w:t>
      </w:r>
      <w:proofErr w:type="gramStart"/>
      <w:r w:rsidRPr="00074F2F">
        <w:rPr>
          <w:rFonts w:ascii="Arial" w:hAnsi="Arial" w:cs="Arial"/>
          <w:iCs/>
          <w:lang w:val="en-IN"/>
        </w:rPr>
        <w:t>Linn.(</w:t>
      </w:r>
      <w:proofErr w:type="gramEnd"/>
      <w:r w:rsidRPr="00074F2F">
        <w:rPr>
          <w:rFonts w:ascii="Arial" w:hAnsi="Arial" w:cs="Arial"/>
          <w:iCs/>
          <w:lang w:val="en-IN"/>
        </w:rPr>
        <w:t>Night Jasmine): A sacred ornamental plant with immense medicinal potentials. </w:t>
      </w:r>
      <w:r w:rsidRPr="00074F2F">
        <w:rPr>
          <w:rFonts w:ascii="Arial" w:hAnsi="Arial" w:cs="Arial"/>
          <w:i/>
          <w:iCs/>
          <w:lang w:val="en-IN"/>
        </w:rPr>
        <w:t>Indian Journal of Traditional Knowledge</w:t>
      </w:r>
      <w:r w:rsidRPr="00074F2F">
        <w:rPr>
          <w:rFonts w:ascii="Arial" w:hAnsi="Arial" w:cs="Arial"/>
          <w:iCs/>
          <w:lang w:val="en-IN"/>
        </w:rPr>
        <w:t>, 11(3)</w:t>
      </w:r>
      <w:r>
        <w:rPr>
          <w:rFonts w:ascii="Arial" w:hAnsi="Arial" w:cs="Arial"/>
          <w:iCs/>
          <w:lang w:val="en-IN"/>
        </w:rPr>
        <w:t>,</w:t>
      </w:r>
      <w:r w:rsidRPr="00074F2F">
        <w:rPr>
          <w:rFonts w:ascii="Arial" w:hAnsi="Arial" w:cs="Arial"/>
          <w:iCs/>
          <w:lang w:val="en-IN"/>
        </w:rPr>
        <w:t xml:space="preserve"> 427-35.</w:t>
      </w:r>
    </w:p>
    <w:p w14:paraId="21432351" w14:textId="77777777" w:rsidR="00CC01AB" w:rsidRDefault="00CC01AB" w:rsidP="00CC01AB">
      <w:pPr>
        <w:pStyle w:val="Body"/>
        <w:rPr>
          <w:rFonts w:ascii="Arial" w:hAnsi="Arial" w:cs="Arial"/>
          <w:iCs/>
        </w:rPr>
      </w:pPr>
      <w:r w:rsidRPr="00005009">
        <w:rPr>
          <w:rFonts w:ascii="Arial" w:hAnsi="Arial" w:cs="Arial"/>
          <w:iCs/>
        </w:rPr>
        <w:t>Rehman, K., Fatima, F., Waheed, I., &amp; Akash, M. S. H. (2018). Prevalence of exposure of heavy metals and their impact on health consequences. </w:t>
      </w:r>
      <w:r w:rsidRPr="00005009">
        <w:rPr>
          <w:rFonts w:ascii="Arial" w:hAnsi="Arial" w:cs="Arial"/>
          <w:i/>
          <w:iCs/>
        </w:rPr>
        <w:t>Journal of cellular biochemistry</w:t>
      </w:r>
      <w:r w:rsidRPr="00005009">
        <w:rPr>
          <w:rFonts w:ascii="Arial" w:hAnsi="Arial" w:cs="Arial"/>
          <w:iCs/>
        </w:rPr>
        <w:t>, </w:t>
      </w:r>
      <w:r w:rsidRPr="00005009">
        <w:rPr>
          <w:rFonts w:ascii="Arial" w:hAnsi="Arial" w:cs="Arial"/>
          <w:i/>
          <w:iCs/>
        </w:rPr>
        <w:t>119</w:t>
      </w:r>
      <w:r w:rsidRPr="00005009">
        <w:rPr>
          <w:rFonts w:ascii="Arial" w:hAnsi="Arial" w:cs="Arial"/>
          <w:iCs/>
        </w:rPr>
        <w:t>(1), 157-184.</w:t>
      </w:r>
    </w:p>
    <w:p w14:paraId="27AE9ED6" w14:textId="77777777" w:rsidR="00CC01AB" w:rsidRPr="00060776" w:rsidRDefault="00CC01AB" w:rsidP="00CC01AB">
      <w:pPr>
        <w:pStyle w:val="Body"/>
        <w:rPr>
          <w:rFonts w:ascii="Arial" w:hAnsi="Arial" w:cs="Arial"/>
          <w:iCs/>
          <w:lang w:val="en-IN"/>
        </w:rPr>
      </w:pPr>
      <w:r w:rsidRPr="00060776">
        <w:rPr>
          <w:rFonts w:ascii="Arial" w:hAnsi="Arial" w:cs="Arial"/>
          <w:iCs/>
          <w:lang w:val="en-IN"/>
        </w:rPr>
        <w:t>Salamone, M. F.</w:t>
      </w:r>
      <w:r>
        <w:rPr>
          <w:rFonts w:ascii="Arial" w:hAnsi="Arial" w:cs="Arial"/>
          <w:iCs/>
          <w:lang w:val="en-IN"/>
        </w:rPr>
        <w:t>,</w:t>
      </w:r>
      <w:r w:rsidRPr="00060776">
        <w:rPr>
          <w:rFonts w:ascii="Arial" w:hAnsi="Arial" w:cs="Arial"/>
          <w:iCs/>
          <w:lang w:val="en-IN"/>
        </w:rPr>
        <w:t xml:space="preserve"> </w:t>
      </w:r>
      <w:r>
        <w:rPr>
          <w:rFonts w:ascii="Arial" w:hAnsi="Arial" w:cs="Arial"/>
          <w:iCs/>
          <w:lang w:val="en-IN"/>
        </w:rPr>
        <w:t>&amp;</w:t>
      </w:r>
      <w:r w:rsidRPr="00060776">
        <w:rPr>
          <w:rFonts w:ascii="Arial" w:hAnsi="Arial" w:cs="Arial"/>
          <w:iCs/>
          <w:lang w:val="en-IN"/>
        </w:rPr>
        <w:t xml:space="preserve"> Heddle, J. A. (1983). The bone marrow micronucleus assay: rationale for a revised protocol. </w:t>
      </w:r>
      <w:r w:rsidRPr="00060776">
        <w:rPr>
          <w:rFonts w:ascii="Arial" w:hAnsi="Arial" w:cs="Arial"/>
          <w:i/>
          <w:iCs/>
          <w:lang w:val="en-IN"/>
        </w:rPr>
        <w:t>Chemical Mutagens: Principles and Methods for Their Detection,</w:t>
      </w:r>
      <w:r w:rsidRPr="00060776">
        <w:rPr>
          <w:rFonts w:ascii="Arial" w:hAnsi="Arial" w:cs="Arial"/>
          <w:iCs/>
          <w:lang w:val="en-IN"/>
        </w:rPr>
        <w:t xml:space="preserve"> </w:t>
      </w:r>
      <w:r w:rsidRPr="00060776">
        <w:rPr>
          <w:rFonts w:ascii="Arial" w:hAnsi="Arial" w:cs="Arial"/>
          <w:i/>
          <w:iCs/>
          <w:lang w:val="en-IN"/>
        </w:rPr>
        <w:t xml:space="preserve">Springer, </w:t>
      </w:r>
      <w:r w:rsidRPr="00060776">
        <w:rPr>
          <w:rFonts w:ascii="Arial" w:hAnsi="Arial" w:cs="Arial"/>
          <w:iCs/>
          <w:lang w:val="en-IN"/>
        </w:rPr>
        <w:t>8</w:t>
      </w:r>
      <w:r>
        <w:rPr>
          <w:rFonts w:ascii="Arial" w:hAnsi="Arial" w:cs="Arial"/>
          <w:iCs/>
          <w:lang w:val="en-IN"/>
        </w:rPr>
        <w:t xml:space="preserve">, </w:t>
      </w:r>
      <w:r w:rsidRPr="00060776">
        <w:rPr>
          <w:rFonts w:ascii="Arial" w:hAnsi="Arial" w:cs="Arial"/>
          <w:iCs/>
          <w:lang w:val="en-IN"/>
        </w:rPr>
        <w:t xml:space="preserve">111-149. </w:t>
      </w:r>
    </w:p>
    <w:p w14:paraId="71104B5C" w14:textId="77777777" w:rsidR="00CC01AB" w:rsidRPr="00060776" w:rsidRDefault="00CC01AB" w:rsidP="00CC01AB">
      <w:pPr>
        <w:pStyle w:val="Body"/>
        <w:rPr>
          <w:rFonts w:ascii="Arial" w:hAnsi="Arial" w:cs="Arial"/>
          <w:iCs/>
          <w:lang w:val="en-IN"/>
        </w:rPr>
      </w:pPr>
      <w:r w:rsidRPr="00060776">
        <w:rPr>
          <w:rFonts w:ascii="Arial" w:hAnsi="Arial" w:cs="Arial"/>
          <w:iCs/>
          <w:lang w:val="en-IN"/>
        </w:rPr>
        <w:t>Schmid, W. (1976). The micronucleus test for cytogenetic analysis. </w:t>
      </w:r>
      <w:r w:rsidRPr="00060776">
        <w:rPr>
          <w:rFonts w:ascii="Arial" w:hAnsi="Arial" w:cs="Arial"/>
          <w:i/>
          <w:iCs/>
          <w:lang w:val="en-IN"/>
        </w:rPr>
        <w:t xml:space="preserve">Chemical mutagens: principles and methods for their detection, </w:t>
      </w:r>
      <w:r w:rsidRPr="00060776">
        <w:rPr>
          <w:rFonts w:ascii="Arial" w:hAnsi="Arial" w:cs="Arial"/>
          <w:iCs/>
          <w:lang w:val="en-IN"/>
        </w:rPr>
        <w:t xml:space="preserve">Springer, 31-53. </w:t>
      </w:r>
    </w:p>
    <w:p w14:paraId="1927FD8A" w14:textId="77777777" w:rsidR="00CC01AB" w:rsidRPr="00EF5236" w:rsidRDefault="00CC01AB" w:rsidP="00CC01AB">
      <w:pPr>
        <w:pStyle w:val="Body"/>
        <w:rPr>
          <w:rFonts w:ascii="Arial" w:hAnsi="Arial" w:cs="Arial"/>
          <w:iCs/>
          <w:lang w:val="en-IN"/>
        </w:rPr>
      </w:pPr>
      <w:r w:rsidRPr="00EF5236">
        <w:rPr>
          <w:rFonts w:ascii="Arial" w:hAnsi="Arial" w:cs="Arial"/>
          <w:iCs/>
        </w:rPr>
        <w:t xml:space="preserve">Tchounwou, P. B., </w:t>
      </w:r>
      <w:proofErr w:type="spellStart"/>
      <w:r w:rsidRPr="00EF5236">
        <w:rPr>
          <w:rFonts w:ascii="Arial" w:hAnsi="Arial" w:cs="Arial"/>
          <w:iCs/>
        </w:rPr>
        <w:t>Yedjou</w:t>
      </w:r>
      <w:proofErr w:type="spellEnd"/>
      <w:r w:rsidRPr="00EF5236">
        <w:rPr>
          <w:rFonts w:ascii="Arial" w:hAnsi="Arial" w:cs="Arial"/>
          <w:iCs/>
        </w:rPr>
        <w:t>, C. G., Patlolla, A. K., &amp; Sutton, D. J. (2012). Heavy metal toxicity and the environment. </w:t>
      </w:r>
      <w:r w:rsidRPr="00EF5236">
        <w:rPr>
          <w:rFonts w:ascii="Arial" w:hAnsi="Arial" w:cs="Arial"/>
          <w:i/>
          <w:iCs/>
        </w:rPr>
        <w:t>Molecular, clinical and environmental toxicology</w:t>
      </w:r>
      <w:r>
        <w:rPr>
          <w:rFonts w:ascii="Arial" w:hAnsi="Arial" w:cs="Arial"/>
          <w:i/>
          <w:iCs/>
        </w:rPr>
        <w:t xml:space="preserve">, </w:t>
      </w:r>
      <w:r w:rsidRPr="00EF5236">
        <w:rPr>
          <w:rFonts w:ascii="Arial" w:hAnsi="Arial" w:cs="Arial"/>
          <w:i/>
          <w:iCs/>
        </w:rPr>
        <w:t>3</w:t>
      </w:r>
      <w:r>
        <w:rPr>
          <w:rFonts w:ascii="Arial" w:hAnsi="Arial" w:cs="Arial"/>
          <w:i/>
          <w:iCs/>
        </w:rPr>
        <w:t xml:space="preserve">, </w:t>
      </w:r>
      <w:r w:rsidRPr="00EF5236">
        <w:rPr>
          <w:rFonts w:ascii="Arial" w:hAnsi="Arial" w:cs="Arial"/>
          <w:iCs/>
        </w:rPr>
        <w:t>133-164.</w:t>
      </w:r>
    </w:p>
    <w:p w14:paraId="2E364703" w14:textId="77777777" w:rsidR="00CC01AB" w:rsidRDefault="00CC01AB" w:rsidP="00CC01AB">
      <w:pPr>
        <w:pStyle w:val="Body"/>
        <w:rPr>
          <w:rFonts w:ascii="Arial" w:hAnsi="Arial" w:cs="Arial"/>
          <w:iCs/>
          <w:lang w:val="en-IN"/>
        </w:rPr>
      </w:pPr>
      <w:r w:rsidRPr="00074F2F">
        <w:rPr>
          <w:rFonts w:ascii="Arial" w:hAnsi="Arial" w:cs="Arial"/>
          <w:iCs/>
          <w:lang w:val="en-IN"/>
        </w:rPr>
        <w:lastRenderedPageBreak/>
        <w:t>Thapa, P.</w:t>
      </w:r>
      <w:r>
        <w:rPr>
          <w:rFonts w:ascii="Arial" w:hAnsi="Arial" w:cs="Arial"/>
          <w:iCs/>
          <w:lang w:val="en-IN"/>
        </w:rPr>
        <w:t>,</w:t>
      </w:r>
      <w:r w:rsidRPr="00074F2F">
        <w:rPr>
          <w:rFonts w:ascii="Arial" w:hAnsi="Arial" w:cs="Arial"/>
          <w:iCs/>
          <w:lang w:val="en-IN"/>
        </w:rPr>
        <w:t xml:space="preserve"> </w:t>
      </w:r>
      <w:r>
        <w:rPr>
          <w:rFonts w:ascii="Arial" w:hAnsi="Arial" w:cs="Arial"/>
          <w:iCs/>
          <w:lang w:val="en-IN"/>
        </w:rPr>
        <w:t>&amp;</w:t>
      </w:r>
      <w:r w:rsidRPr="00074F2F">
        <w:rPr>
          <w:rFonts w:ascii="Arial" w:hAnsi="Arial" w:cs="Arial"/>
          <w:iCs/>
          <w:lang w:val="en-IN"/>
        </w:rPr>
        <w:t xml:space="preserve"> Kumar, A. (2024). Phytochemicals and Pharmacological Properties of </w:t>
      </w:r>
      <w:proofErr w:type="spellStart"/>
      <w:r w:rsidRPr="00074F2F">
        <w:rPr>
          <w:rFonts w:ascii="Arial" w:hAnsi="Arial" w:cs="Arial"/>
          <w:i/>
          <w:iCs/>
          <w:lang w:val="en-IN"/>
        </w:rPr>
        <w:t>Nyctanthes</w:t>
      </w:r>
      <w:proofErr w:type="spellEnd"/>
      <w:r w:rsidRPr="00074F2F">
        <w:rPr>
          <w:rFonts w:ascii="Arial" w:hAnsi="Arial" w:cs="Arial"/>
          <w:i/>
          <w:iCs/>
          <w:lang w:val="en-IN"/>
        </w:rPr>
        <w:t xml:space="preserve"> </w:t>
      </w:r>
      <w:proofErr w:type="spellStart"/>
      <w:r w:rsidRPr="00074F2F">
        <w:rPr>
          <w:rFonts w:ascii="Arial" w:hAnsi="Arial" w:cs="Arial"/>
          <w:i/>
          <w:iCs/>
          <w:lang w:val="en-IN"/>
        </w:rPr>
        <w:t>arbortristis</w:t>
      </w:r>
      <w:proofErr w:type="spellEnd"/>
      <w:r w:rsidRPr="00074F2F">
        <w:rPr>
          <w:rFonts w:ascii="Arial" w:hAnsi="Arial" w:cs="Arial"/>
          <w:iCs/>
          <w:lang w:val="en-IN"/>
        </w:rPr>
        <w:t>: A Review. </w:t>
      </w:r>
      <w:r w:rsidRPr="00074F2F">
        <w:rPr>
          <w:rFonts w:ascii="Arial" w:hAnsi="Arial" w:cs="Arial"/>
          <w:i/>
          <w:iCs/>
          <w:lang w:val="en-IN"/>
        </w:rPr>
        <w:t>International Journal of Pharmaceutical Sciences and Medicine</w:t>
      </w:r>
      <w:r w:rsidRPr="00074F2F">
        <w:rPr>
          <w:rFonts w:ascii="Arial" w:hAnsi="Arial" w:cs="Arial"/>
          <w:iCs/>
          <w:lang w:val="en-IN"/>
        </w:rPr>
        <w:t>, 9(7), 1-10.</w:t>
      </w:r>
    </w:p>
    <w:p w14:paraId="734F1A8C" w14:textId="77777777" w:rsidR="00074F2F" w:rsidRPr="00E83F54" w:rsidRDefault="00CC01AB" w:rsidP="00CC01AB">
      <w:pPr>
        <w:pStyle w:val="Body"/>
        <w:rPr>
          <w:rFonts w:ascii="Arial" w:hAnsi="Arial" w:cs="Arial"/>
          <w:iCs/>
        </w:rPr>
        <w:sectPr w:rsidR="00074F2F" w:rsidRPr="00E83F54" w:rsidSect="009F6D08">
          <w:headerReference w:type="even" r:id="rId15"/>
          <w:headerReference w:type="default" r:id="rId16"/>
          <w:footerReference w:type="default" r:id="rId17"/>
          <w:headerReference w:type="first" r:id="rId18"/>
          <w:footerReference w:type="first" r:id="rId19"/>
          <w:type w:val="continuous"/>
          <w:pgSz w:w="11906" w:h="16838"/>
          <w:pgMar w:top="1440" w:right="1440" w:bottom="1418" w:left="2041" w:header="706" w:footer="706" w:gutter="0"/>
          <w:cols w:space="708"/>
          <w:titlePg/>
          <w:docGrid w:linePitch="360"/>
        </w:sectPr>
      </w:pPr>
      <w:r w:rsidRPr="00946628">
        <w:rPr>
          <w:rFonts w:ascii="Arial" w:hAnsi="Arial" w:cs="Arial"/>
          <w:iCs/>
        </w:rPr>
        <w:t>Zhang, Q., &amp; Wang, C. (2020). Natural and human factors affect the distribution of soil heavy metal pollution: a review. </w:t>
      </w:r>
      <w:r w:rsidRPr="00946628">
        <w:rPr>
          <w:rFonts w:ascii="Arial" w:hAnsi="Arial" w:cs="Arial"/>
          <w:i/>
          <w:iCs/>
        </w:rPr>
        <w:t>Water, air, &amp; soil pollution</w:t>
      </w:r>
      <w:r w:rsidRPr="00946628">
        <w:rPr>
          <w:rFonts w:ascii="Arial" w:hAnsi="Arial" w:cs="Arial"/>
          <w:iCs/>
        </w:rPr>
        <w:t>, </w:t>
      </w:r>
      <w:r w:rsidRPr="00946628">
        <w:rPr>
          <w:rFonts w:ascii="Arial" w:hAnsi="Arial" w:cs="Arial"/>
          <w:i/>
          <w:iCs/>
        </w:rPr>
        <w:t>231</w:t>
      </w:r>
      <w:r w:rsidRPr="00946628">
        <w:rPr>
          <w:rFonts w:ascii="Arial" w:hAnsi="Arial" w:cs="Arial"/>
          <w:iCs/>
        </w:rPr>
        <w:t>(7), 350.</w:t>
      </w:r>
    </w:p>
    <w:p w14:paraId="3CBA729B" w14:textId="77777777" w:rsidR="00B01FCD" w:rsidRPr="00FB3A86" w:rsidRDefault="00B01FCD" w:rsidP="00441B6F">
      <w:pPr>
        <w:pStyle w:val="Appendix"/>
        <w:spacing w:after="0"/>
        <w:jc w:val="both"/>
        <w:rPr>
          <w:rFonts w:ascii="Arial" w:hAnsi="Arial" w:cs="Arial"/>
          <w:b w:val="0"/>
        </w:rPr>
      </w:pPr>
    </w:p>
    <w:sectPr w:rsidR="00B01FCD" w:rsidRPr="00FB3A86" w:rsidSect="009F6D08">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C9E6" w14:textId="77777777" w:rsidR="009A1E9F" w:rsidRDefault="009A1E9F" w:rsidP="00C37E61">
      <w:r>
        <w:separator/>
      </w:r>
    </w:p>
  </w:endnote>
  <w:endnote w:type="continuationSeparator" w:id="0">
    <w:p w14:paraId="0F088B75" w14:textId="77777777" w:rsidR="009A1E9F" w:rsidRDefault="009A1E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2E94" w14:textId="77777777" w:rsidR="009F6D08" w:rsidRDefault="009F6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6008" w14:textId="77777777" w:rsidR="009F6D08" w:rsidRDefault="009F6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B8F89" w14:textId="77777777" w:rsidR="009E048A" w:rsidRDefault="009E048A">
    <w:pPr>
      <w:pStyle w:val="Footer"/>
      <w:rPr>
        <w:rFonts w:ascii="Arial" w:hAnsi="Arial" w:cs="Arial"/>
        <w:sz w:val="16"/>
      </w:rPr>
    </w:pPr>
  </w:p>
  <w:p w14:paraId="459E41C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4F36CD" w14:textId="77777777" w:rsidR="009E048A" w:rsidRDefault="009E048A">
    <w:pPr>
      <w:pStyle w:val="Footer"/>
      <w:rPr>
        <w:rFonts w:ascii="Arial" w:hAnsi="Arial" w:cs="Arial"/>
        <w:sz w:val="16"/>
      </w:rPr>
    </w:pPr>
  </w:p>
  <w:p w14:paraId="70F654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eastAsiaTheme="majorEastAsia"/>
      </w:rPr>
      <w:id w:val="385848164"/>
      <w:docPartObj>
        <w:docPartGallery w:val="Page Numbers (Bottom of Page)"/>
        <w:docPartUnique/>
      </w:docPartObj>
    </w:sdtPr>
    <w:sdtEndPr>
      <w:rPr>
        <w:rStyle w:val="PageNumber"/>
      </w:rPr>
    </w:sdtEndPr>
    <w:sdtContent>
      <w:p w14:paraId="2C6EFC84" w14:textId="77777777" w:rsidR="00E83F54" w:rsidRDefault="00E83F54"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100</w:t>
        </w:r>
        <w:r>
          <w:rPr>
            <w:rStyle w:val="PageNumber"/>
            <w:rFonts w:eastAsiaTheme="majorEastAsia"/>
          </w:rPr>
          <w:fldChar w:fldCharType="end"/>
        </w:r>
      </w:p>
    </w:sdtContent>
  </w:sdt>
  <w:p w14:paraId="38DA1FC8" w14:textId="77777777" w:rsidR="00E83F54" w:rsidRPr="007A2782" w:rsidRDefault="009A1E9F" w:rsidP="007A2782">
    <w:pPr>
      <w:pStyle w:val="Footer"/>
      <w:spacing w:after="240"/>
      <w:ind w:left="2901" w:right="360" w:firstLine="4045"/>
      <w:jc w:val="right"/>
      <w:rPr>
        <w:rFonts w:asciiTheme="minorHAnsi" w:eastAsiaTheme="minorEastAsia" w:hAnsiTheme="minorHAnsi" w:cstheme="minorBidi"/>
      </w:rPr>
    </w:pPr>
    <w:sdt>
      <w:sdtPr>
        <w:id w:val="-1719267927"/>
        <w:docPartObj>
          <w:docPartGallery w:val="Page Numbers (Bottom of Page)"/>
          <w:docPartUnique/>
        </w:docPartObj>
      </w:sdtPr>
      <w:sdtEndPr/>
      <w:sdtContent>
        <w:r w:rsidR="00E83F54">
          <w:t xml:space="preserve">Page |  </w:t>
        </w:r>
      </w:sdtContent>
    </w:sdt>
    <w:r w:rsidR="00E83F54">
      <w:tab/>
    </w:r>
    <w:r w:rsidR="00E83F54">
      <w:tab/>
    </w:r>
  </w:p>
  <w:p w14:paraId="23020E9B" w14:textId="77777777" w:rsidR="00E83F54" w:rsidRDefault="00E83F5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eastAsiaTheme="majorEastAsia"/>
      </w:rPr>
      <w:id w:val="1996993543"/>
      <w:docPartObj>
        <w:docPartGallery w:val="Page Numbers (Bottom of Page)"/>
        <w:docPartUnique/>
      </w:docPartObj>
    </w:sdtPr>
    <w:sdtEndPr>
      <w:rPr>
        <w:rStyle w:val="PageNumber"/>
      </w:rPr>
    </w:sdtEndPr>
    <w:sdtContent>
      <w:p w14:paraId="3FC922A6" w14:textId="77777777" w:rsidR="00E83F54" w:rsidRDefault="00E83F54" w:rsidP="00CF4031">
        <w:pPr>
          <w:pStyle w:val="Footer"/>
          <w:framePr w:wrap="none"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rPr>
          <w:t>100</w:t>
        </w:r>
        <w:r>
          <w:rPr>
            <w:rStyle w:val="PageNumber"/>
            <w:rFonts w:eastAsiaTheme="majorEastAsia"/>
          </w:rPr>
          <w:fldChar w:fldCharType="end"/>
        </w:r>
      </w:p>
    </w:sdtContent>
  </w:sdt>
  <w:p w14:paraId="22430C6E" w14:textId="77777777" w:rsidR="00E83F54" w:rsidRPr="00FB4994" w:rsidRDefault="009A1E9F" w:rsidP="00FB4994">
    <w:pPr>
      <w:pStyle w:val="Footer"/>
      <w:spacing w:after="240"/>
      <w:ind w:right="360"/>
      <w:jc w:val="right"/>
      <w:rPr>
        <w:rFonts w:asciiTheme="minorHAnsi" w:eastAsiaTheme="minorEastAsia" w:hAnsiTheme="minorHAnsi" w:cstheme="minorBidi"/>
      </w:rPr>
    </w:pPr>
    <w:sdt>
      <w:sdtPr>
        <w:id w:val="34557990"/>
        <w:docPartObj>
          <w:docPartGallery w:val="Page Numbers (Bottom of Page)"/>
          <w:docPartUnique/>
        </w:docPartObj>
      </w:sdtPr>
      <w:sdtEndPr/>
      <w:sdtContent>
        <w:r w:rsidR="00E83F54">
          <w:t xml:space="preserve">Page |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514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E6E2" w14:textId="77777777" w:rsidR="009A1E9F" w:rsidRDefault="009A1E9F" w:rsidP="00C37E61">
      <w:r>
        <w:separator/>
      </w:r>
    </w:p>
  </w:footnote>
  <w:footnote w:type="continuationSeparator" w:id="0">
    <w:p w14:paraId="5D41CB4A" w14:textId="77777777" w:rsidR="009A1E9F" w:rsidRDefault="009A1E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CA97" w14:textId="45343D6A" w:rsidR="009F6D08" w:rsidRDefault="009F6D08">
    <w:pPr>
      <w:pStyle w:val="Header"/>
    </w:pPr>
    <w:r>
      <w:rPr>
        <w:noProof/>
      </w:rPr>
      <w:pict w14:anchorId="129A5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6" o:spid="_x0000_s2050" type="#_x0000_t136" style="position:absolute;margin-left:0;margin-top:0;width:533.65pt;height:60.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3897C" w14:textId="2DDE96A1" w:rsidR="009F6D08" w:rsidRDefault="009F6D08">
    <w:pPr>
      <w:pStyle w:val="Header"/>
    </w:pPr>
    <w:r>
      <w:rPr>
        <w:noProof/>
      </w:rPr>
      <w:pict w14:anchorId="7A5BC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7" o:spid="_x0000_s2051" type="#_x0000_t136" style="position:absolute;margin-left:0;margin-top:0;width:533.65pt;height:60.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DF7B" w14:textId="4B09953C" w:rsidR="009F6D08" w:rsidRDefault="009F6D08">
    <w:pPr>
      <w:pStyle w:val="Header"/>
    </w:pPr>
    <w:r>
      <w:rPr>
        <w:noProof/>
      </w:rPr>
      <w:pict w14:anchorId="6600E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5" o:spid="_x0000_s2049" type="#_x0000_t136" style="position:absolute;margin-left:0;margin-top:0;width:533.65pt;height:60.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1634" w14:textId="0DE53668" w:rsidR="009F6D08" w:rsidRDefault="009F6D08">
    <w:pPr>
      <w:pStyle w:val="Header"/>
    </w:pPr>
    <w:r>
      <w:rPr>
        <w:noProof/>
      </w:rPr>
      <w:pict w14:anchorId="1973E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9" o:spid="_x0000_s2053" type="#_x0000_t136" style="position:absolute;margin-left:0;margin-top:0;width:533.65pt;height:60.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C4FA" w14:textId="36DEF3C0" w:rsidR="009F6D08" w:rsidRDefault="009F6D08">
    <w:pPr>
      <w:pStyle w:val="Header"/>
    </w:pPr>
    <w:r>
      <w:rPr>
        <w:noProof/>
      </w:rPr>
      <w:pict w14:anchorId="1D288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0" o:spid="_x0000_s2054" type="#_x0000_t136" style="position:absolute;margin-left:0;margin-top:0;width:533.65pt;height:60.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2210D" w14:textId="200F8F73" w:rsidR="009F6D08" w:rsidRDefault="009F6D08">
    <w:pPr>
      <w:pStyle w:val="Header"/>
    </w:pPr>
    <w:r>
      <w:rPr>
        <w:noProof/>
      </w:rPr>
      <w:pict w14:anchorId="3B2BF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18" o:spid="_x0000_s2052" type="#_x0000_t136" style="position:absolute;margin-left:0;margin-top:0;width:533.65pt;height:60.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FEF1E" w14:textId="48DD9B90" w:rsidR="009F6D08" w:rsidRDefault="009F6D08">
    <w:pPr>
      <w:pStyle w:val="Header"/>
    </w:pPr>
    <w:r>
      <w:rPr>
        <w:noProof/>
      </w:rPr>
      <w:pict w14:anchorId="5F869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2" o:spid="_x0000_s2056" type="#_x0000_t136" style="position:absolute;margin-left:0;margin-top:0;width:533.65pt;height:60.2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5242C" w14:textId="673AD116" w:rsidR="009F6D08" w:rsidRDefault="009F6D08">
    <w:pPr>
      <w:pStyle w:val="Header"/>
    </w:pPr>
    <w:r>
      <w:rPr>
        <w:noProof/>
      </w:rPr>
      <w:pict w14:anchorId="60CE5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3" o:spid="_x0000_s2057" type="#_x0000_t136" style="position:absolute;margin-left:0;margin-top:0;width:533.65pt;height:60.2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AB86" w14:textId="595C0033" w:rsidR="009F6D08" w:rsidRDefault="009F6D08">
    <w:pPr>
      <w:pStyle w:val="Header"/>
    </w:pPr>
    <w:r>
      <w:rPr>
        <w:noProof/>
      </w:rPr>
      <w:pict w14:anchorId="19F1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021" o:spid="_x0000_s2055" type="#_x0000_t136" style="position:absolute;margin-left:0;margin-top:0;width:533.65pt;height:60.2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MrYwszQyMTc3NjNQ0lEKTi0uzszPAykwrAUAuPizsCwAAAA="/>
  </w:docVars>
  <w:rsids>
    <w:rsidRoot w:val="00AA6219"/>
    <w:rsid w:val="00000F8F"/>
    <w:rsid w:val="00005009"/>
    <w:rsid w:val="00030174"/>
    <w:rsid w:val="00030D53"/>
    <w:rsid w:val="00036DCC"/>
    <w:rsid w:val="0004579C"/>
    <w:rsid w:val="000476EC"/>
    <w:rsid w:val="00060776"/>
    <w:rsid w:val="00074F2F"/>
    <w:rsid w:val="000A47FA"/>
    <w:rsid w:val="000A65D3"/>
    <w:rsid w:val="000B1E33"/>
    <w:rsid w:val="000C59FA"/>
    <w:rsid w:val="000D5E07"/>
    <w:rsid w:val="000D689F"/>
    <w:rsid w:val="000E7B7B"/>
    <w:rsid w:val="000E7D62"/>
    <w:rsid w:val="00103357"/>
    <w:rsid w:val="00123C9F"/>
    <w:rsid w:val="00126190"/>
    <w:rsid w:val="00130F17"/>
    <w:rsid w:val="001320BF"/>
    <w:rsid w:val="0014554A"/>
    <w:rsid w:val="00163118"/>
    <w:rsid w:val="00163BC4"/>
    <w:rsid w:val="00191062"/>
    <w:rsid w:val="00192B72"/>
    <w:rsid w:val="001A29D8"/>
    <w:rsid w:val="001A5CAA"/>
    <w:rsid w:val="001B0427"/>
    <w:rsid w:val="001C2148"/>
    <w:rsid w:val="001D3A51"/>
    <w:rsid w:val="001E10D2"/>
    <w:rsid w:val="001E25B4"/>
    <w:rsid w:val="001E44FE"/>
    <w:rsid w:val="00200595"/>
    <w:rsid w:val="00204835"/>
    <w:rsid w:val="00231920"/>
    <w:rsid w:val="0023195C"/>
    <w:rsid w:val="00232DD2"/>
    <w:rsid w:val="0024282C"/>
    <w:rsid w:val="002460DC"/>
    <w:rsid w:val="00250985"/>
    <w:rsid w:val="002556F6"/>
    <w:rsid w:val="002809AC"/>
    <w:rsid w:val="00283105"/>
    <w:rsid w:val="00284C4C"/>
    <w:rsid w:val="00287E68"/>
    <w:rsid w:val="00290FC2"/>
    <w:rsid w:val="00296529"/>
    <w:rsid w:val="002A1205"/>
    <w:rsid w:val="002B27FB"/>
    <w:rsid w:val="002B685A"/>
    <w:rsid w:val="002C57D2"/>
    <w:rsid w:val="002D25D8"/>
    <w:rsid w:val="002E0D56"/>
    <w:rsid w:val="00301104"/>
    <w:rsid w:val="00315186"/>
    <w:rsid w:val="0033343E"/>
    <w:rsid w:val="003512C2"/>
    <w:rsid w:val="00371FB6"/>
    <w:rsid w:val="003763C1"/>
    <w:rsid w:val="00376BBE"/>
    <w:rsid w:val="0039224F"/>
    <w:rsid w:val="003A43A4"/>
    <w:rsid w:val="003A7E18"/>
    <w:rsid w:val="003C4C86"/>
    <w:rsid w:val="003C6258"/>
    <w:rsid w:val="003E2904"/>
    <w:rsid w:val="00401927"/>
    <w:rsid w:val="00402588"/>
    <w:rsid w:val="0041027F"/>
    <w:rsid w:val="00412475"/>
    <w:rsid w:val="00423789"/>
    <w:rsid w:val="00440F43"/>
    <w:rsid w:val="00441B6F"/>
    <w:rsid w:val="00446221"/>
    <w:rsid w:val="00450E62"/>
    <w:rsid w:val="004539DB"/>
    <w:rsid w:val="00471A80"/>
    <w:rsid w:val="00484539"/>
    <w:rsid w:val="004C31C9"/>
    <w:rsid w:val="004D305E"/>
    <w:rsid w:val="004D4277"/>
    <w:rsid w:val="004F3EE7"/>
    <w:rsid w:val="004F627F"/>
    <w:rsid w:val="00502516"/>
    <w:rsid w:val="00505F06"/>
    <w:rsid w:val="00506828"/>
    <w:rsid w:val="00520324"/>
    <w:rsid w:val="0053056E"/>
    <w:rsid w:val="00554FDA"/>
    <w:rsid w:val="00571473"/>
    <w:rsid w:val="005C784C"/>
    <w:rsid w:val="005D17F6"/>
    <w:rsid w:val="005E5539"/>
    <w:rsid w:val="00602BF5"/>
    <w:rsid w:val="00617FDD"/>
    <w:rsid w:val="00633614"/>
    <w:rsid w:val="00633F68"/>
    <w:rsid w:val="00636EB2"/>
    <w:rsid w:val="006375B8"/>
    <w:rsid w:val="0066510A"/>
    <w:rsid w:val="00673F2E"/>
    <w:rsid w:val="00673F9F"/>
    <w:rsid w:val="00686953"/>
    <w:rsid w:val="00687DEA"/>
    <w:rsid w:val="00687E67"/>
    <w:rsid w:val="006967F7"/>
    <w:rsid w:val="006A250C"/>
    <w:rsid w:val="006B21D3"/>
    <w:rsid w:val="006B57D0"/>
    <w:rsid w:val="006C2199"/>
    <w:rsid w:val="006D30FF"/>
    <w:rsid w:val="006D6940"/>
    <w:rsid w:val="006F11EC"/>
    <w:rsid w:val="0070082C"/>
    <w:rsid w:val="007369E6"/>
    <w:rsid w:val="00746E59"/>
    <w:rsid w:val="00754C9A"/>
    <w:rsid w:val="0075599A"/>
    <w:rsid w:val="00761D52"/>
    <w:rsid w:val="00767868"/>
    <w:rsid w:val="0077749E"/>
    <w:rsid w:val="00790ADA"/>
    <w:rsid w:val="00797D4B"/>
    <w:rsid w:val="007B3A31"/>
    <w:rsid w:val="007D2288"/>
    <w:rsid w:val="007E088F"/>
    <w:rsid w:val="007F7B32"/>
    <w:rsid w:val="00804BC2"/>
    <w:rsid w:val="0081431A"/>
    <w:rsid w:val="00820B01"/>
    <w:rsid w:val="00820FAA"/>
    <w:rsid w:val="0083216F"/>
    <w:rsid w:val="00836A58"/>
    <w:rsid w:val="00860000"/>
    <w:rsid w:val="0086001B"/>
    <w:rsid w:val="00863BD3"/>
    <w:rsid w:val="008641ED"/>
    <w:rsid w:val="00866D66"/>
    <w:rsid w:val="008671C6"/>
    <w:rsid w:val="00875803"/>
    <w:rsid w:val="008B459E"/>
    <w:rsid w:val="008E13AE"/>
    <w:rsid w:val="008E1506"/>
    <w:rsid w:val="008E710C"/>
    <w:rsid w:val="008F69D6"/>
    <w:rsid w:val="00902823"/>
    <w:rsid w:val="00913CA5"/>
    <w:rsid w:val="00915CA6"/>
    <w:rsid w:val="00926DE3"/>
    <w:rsid w:val="00927834"/>
    <w:rsid w:val="00946628"/>
    <w:rsid w:val="009500A6"/>
    <w:rsid w:val="00957C18"/>
    <w:rsid w:val="009659BA"/>
    <w:rsid w:val="00983040"/>
    <w:rsid w:val="009A1E9F"/>
    <w:rsid w:val="009A5DB0"/>
    <w:rsid w:val="009A5FDB"/>
    <w:rsid w:val="009B3FB9"/>
    <w:rsid w:val="009B4989"/>
    <w:rsid w:val="009C2465"/>
    <w:rsid w:val="009C36D7"/>
    <w:rsid w:val="009D35A0"/>
    <w:rsid w:val="009D7EB7"/>
    <w:rsid w:val="009E048A"/>
    <w:rsid w:val="009E08E9"/>
    <w:rsid w:val="009E3DB9"/>
    <w:rsid w:val="009E660B"/>
    <w:rsid w:val="009E6E35"/>
    <w:rsid w:val="009E7CDC"/>
    <w:rsid w:val="009F0EDA"/>
    <w:rsid w:val="009F6D08"/>
    <w:rsid w:val="00A03B96"/>
    <w:rsid w:val="00A05B19"/>
    <w:rsid w:val="00A1134E"/>
    <w:rsid w:val="00A245B4"/>
    <w:rsid w:val="00A24E7E"/>
    <w:rsid w:val="00A258C3"/>
    <w:rsid w:val="00A347C0"/>
    <w:rsid w:val="00A4349D"/>
    <w:rsid w:val="00A51431"/>
    <w:rsid w:val="00A539AD"/>
    <w:rsid w:val="00A94063"/>
    <w:rsid w:val="00AA1F86"/>
    <w:rsid w:val="00AA6219"/>
    <w:rsid w:val="00AA74E0"/>
    <w:rsid w:val="00AB703F"/>
    <w:rsid w:val="00AC6BB8"/>
    <w:rsid w:val="00AE008F"/>
    <w:rsid w:val="00B01FCD"/>
    <w:rsid w:val="00B1776C"/>
    <w:rsid w:val="00B40176"/>
    <w:rsid w:val="00B52583"/>
    <w:rsid w:val="00B52896"/>
    <w:rsid w:val="00B95236"/>
    <w:rsid w:val="00B96BD9"/>
    <w:rsid w:val="00BA1B01"/>
    <w:rsid w:val="00BA2641"/>
    <w:rsid w:val="00BB37AA"/>
    <w:rsid w:val="00BC517F"/>
    <w:rsid w:val="00BC53A0"/>
    <w:rsid w:val="00BD5D2B"/>
    <w:rsid w:val="00BE3B66"/>
    <w:rsid w:val="00BE62AD"/>
    <w:rsid w:val="00BF121F"/>
    <w:rsid w:val="00BF1F80"/>
    <w:rsid w:val="00BF7B75"/>
    <w:rsid w:val="00C166EF"/>
    <w:rsid w:val="00C17EB0"/>
    <w:rsid w:val="00C27F5F"/>
    <w:rsid w:val="00C30A0F"/>
    <w:rsid w:val="00C37E61"/>
    <w:rsid w:val="00C50A99"/>
    <w:rsid w:val="00C70F1B"/>
    <w:rsid w:val="00C71A47"/>
    <w:rsid w:val="00C7464C"/>
    <w:rsid w:val="00C85588"/>
    <w:rsid w:val="00CC01AB"/>
    <w:rsid w:val="00CD6755"/>
    <w:rsid w:val="00CD6856"/>
    <w:rsid w:val="00CE0089"/>
    <w:rsid w:val="00CE564E"/>
    <w:rsid w:val="00CE793C"/>
    <w:rsid w:val="00CF193C"/>
    <w:rsid w:val="00D173F1"/>
    <w:rsid w:val="00D4038B"/>
    <w:rsid w:val="00D74CB0"/>
    <w:rsid w:val="00D8295D"/>
    <w:rsid w:val="00DB11A3"/>
    <w:rsid w:val="00DB1E9C"/>
    <w:rsid w:val="00DC2A65"/>
    <w:rsid w:val="00DE15F0"/>
    <w:rsid w:val="00DE309C"/>
    <w:rsid w:val="00DE5663"/>
    <w:rsid w:val="00DE78AA"/>
    <w:rsid w:val="00E053D0"/>
    <w:rsid w:val="00E15994"/>
    <w:rsid w:val="00E3114E"/>
    <w:rsid w:val="00E31A70"/>
    <w:rsid w:val="00E32612"/>
    <w:rsid w:val="00E35B02"/>
    <w:rsid w:val="00E66496"/>
    <w:rsid w:val="00E66B35"/>
    <w:rsid w:val="00E66E10"/>
    <w:rsid w:val="00E769F6"/>
    <w:rsid w:val="00E7798E"/>
    <w:rsid w:val="00E83F54"/>
    <w:rsid w:val="00E8407C"/>
    <w:rsid w:val="00E84F3C"/>
    <w:rsid w:val="00E9249F"/>
    <w:rsid w:val="00EA012C"/>
    <w:rsid w:val="00EC6A55"/>
    <w:rsid w:val="00ED0288"/>
    <w:rsid w:val="00EE3B32"/>
    <w:rsid w:val="00EE52CB"/>
    <w:rsid w:val="00EE675C"/>
    <w:rsid w:val="00EF277F"/>
    <w:rsid w:val="00EF5236"/>
    <w:rsid w:val="00EF581D"/>
    <w:rsid w:val="00EF7FD8"/>
    <w:rsid w:val="00F05EEA"/>
    <w:rsid w:val="00F06F59"/>
    <w:rsid w:val="00F17988"/>
    <w:rsid w:val="00F469F0"/>
    <w:rsid w:val="00F53273"/>
    <w:rsid w:val="00F7213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1D7AE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uiPriority w:val="99"/>
    <w:semiHidden/>
    <w:unhideWhenUsed/>
    <w:rsid w:val="00E83F54"/>
  </w:style>
  <w:style w:type="paragraph" w:styleId="NormalWeb">
    <w:name w:val="Normal (Web)"/>
    <w:basedOn w:val="Normal"/>
    <w:semiHidden/>
    <w:unhideWhenUsed/>
    <w:rsid w:val="0016311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988258">
      <w:bodyDiv w:val="1"/>
      <w:marLeft w:val="0"/>
      <w:marRight w:val="0"/>
      <w:marTop w:val="0"/>
      <w:marBottom w:val="0"/>
      <w:divBdr>
        <w:top w:val="none" w:sz="0" w:space="0" w:color="auto"/>
        <w:left w:val="none" w:sz="0" w:space="0" w:color="auto"/>
        <w:bottom w:val="none" w:sz="0" w:space="0" w:color="auto"/>
        <w:right w:val="none" w:sz="0" w:space="0" w:color="auto"/>
      </w:divBdr>
    </w:div>
    <w:div w:id="84109477">
      <w:bodyDiv w:val="1"/>
      <w:marLeft w:val="0"/>
      <w:marRight w:val="0"/>
      <w:marTop w:val="0"/>
      <w:marBottom w:val="0"/>
      <w:divBdr>
        <w:top w:val="none" w:sz="0" w:space="0" w:color="auto"/>
        <w:left w:val="none" w:sz="0" w:space="0" w:color="auto"/>
        <w:bottom w:val="none" w:sz="0" w:space="0" w:color="auto"/>
        <w:right w:val="none" w:sz="0" w:space="0" w:color="auto"/>
      </w:divBdr>
      <w:divsChild>
        <w:div w:id="1063992725">
          <w:marLeft w:val="0"/>
          <w:marRight w:val="0"/>
          <w:marTop w:val="0"/>
          <w:marBottom w:val="0"/>
          <w:divBdr>
            <w:top w:val="none" w:sz="0" w:space="0" w:color="auto"/>
            <w:left w:val="none" w:sz="0" w:space="0" w:color="auto"/>
            <w:bottom w:val="none" w:sz="0" w:space="0" w:color="auto"/>
            <w:right w:val="none" w:sz="0" w:space="0" w:color="auto"/>
          </w:divBdr>
          <w:divsChild>
            <w:div w:id="962542821">
              <w:marLeft w:val="0"/>
              <w:marRight w:val="0"/>
              <w:marTop w:val="0"/>
              <w:marBottom w:val="0"/>
              <w:divBdr>
                <w:top w:val="none" w:sz="0" w:space="0" w:color="auto"/>
                <w:left w:val="none" w:sz="0" w:space="0" w:color="auto"/>
                <w:bottom w:val="none" w:sz="0" w:space="0" w:color="auto"/>
                <w:right w:val="none" w:sz="0" w:space="0" w:color="auto"/>
              </w:divBdr>
              <w:divsChild>
                <w:div w:id="16814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4963529">
      <w:bodyDiv w:val="1"/>
      <w:marLeft w:val="0"/>
      <w:marRight w:val="0"/>
      <w:marTop w:val="0"/>
      <w:marBottom w:val="0"/>
      <w:divBdr>
        <w:top w:val="none" w:sz="0" w:space="0" w:color="auto"/>
        <w:left w:val="none" w:sz="0" w:space="0" w:color="auto"/>
        <w:bottom w:val="none" w:sz="0" w:space="0" w:color="auto"/>
        <w:right w:val="none" w:sz="0" w:space="0" w:color="auto"/>
      </w:divBdr>
    </w:div>
    <w:div w:id="49191429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72915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447099">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2326487">
      <w:bodyDiv w:val="1"/>
      <w:marLeft w:val="0"/>
      <w:marRight w:val="0"/>
      <w:marTop w:val="0"/>
      <w:marBottom w:val="0"/>
      <w:divBdr>
        <w:top w:val="none" w:sz="0" w:space="0" w:color="auto"/>
        <w:left w:val="none" w:sz="0" w:space="0" w:color="auto"/>
        <w:bottom w:val="none" w:sz="0" w:space="0" w:color="auto"/>
        <w:right w:val="none" w:sz="0" w:space="0" w:color="auto"/>
      </w:divBdr>
    </w:div>
    <w:div w:id="1301810760">
      <w:bodyDiv w:val="1"/>
      <w:marLeft w:val="0"/>
      <w:marRight w:val="0"/>
      <w:marTop w:val="0"/>
      <w:marBottom w:val="0"/>
      <w:divBdr>
        <w:top w:val="none" w:sz="0" w:space="0" w:color="auto"/>
        <w:left w:val="none" w:sz="0" w:space="0" w:color="auto"/>
        <w:bottom w:val="none" w:sz="0" w:space="0" w:color="auto"/>
        <w:right w:val="none" w:sz="0" w:space="0" w:color="auto"/>
      </w:divBdr>
    </w:div>
    <w:div w:id="151522027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116543">
      <w:bodyDiv w:val="1"/>
      <w:marLeft w:val="0"/>
      <w:marRight w:val="0"/>
      <w:marTop w:val="0"/>
      <w:marBottom w:val="0"/>
      <w:divBdr>
        <w:top w:val="none" w:sz="0" w:space="0" w:color="auto"/>
        <w:left w:val="none" w:sz="0" w:space="0" w:color="auto"/>
        <w:bottom w:val="none" w:sz="0" w:space="0" w:color="auto"/>
        <w:right w:val="none" w:sz="0" w:space="0" w:color="auto"/>
      </w:divBdr>
      <w:divsChild>
        <w:div w:id="1556240943">
          <w:marLeft w:val="0"/>
          <w:marRight w:val="0"/>
          <w:marTop w:val="0"/>
          <w:marBottom w:val="0"/>
          <w:divBdr>
            <w:top w:val="none" w:sz="0" w:space="0" w:color="auto"/>
            <w:left w:val="none" w:sz="0" w:space="0" w:color="auto"/>
            <w:bottom w:val="none" w:sz="0" w:space="0" w:color="auto"/>
            <w:right w:val="none" w:sz="0" w:space="0" w:color="auto"/>
          </w:divBdr>
          <w:divsChild>
            <w:div w:id="939680851">
              <w:marLeft w:val="0"/>
              <w:marRight w:val="0"/>
              <w:marTop w:val="0"/>
              <w:marBottom w:val="0"/>
              <w:divBdr>
                <w:top w:val="none" w:sz="0" w:space="0" w:color="auto"/>
                <w:left w:val="none" w:sz="0" w:space="0" w:color="auto"/>
                <w:bottom w:val="none" w:sz="0" w:space="0" w:color="auto"/>
                <w:right w:val="none" w:sz="0" w:space="0" w:color="auto"/>
              </w:divBdr>
              <w:divsChild>
                <w:div w:id="5440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2382832">
      <w:bodyDiv w:val="1"/>
      <w:marLeft w:val="0"/>
      <w:marRight w:val="0"/>
      <w:marTop w:val="0"/>
      <w:marBottom w:val="0"/>
      <w:divBdr>
        <w:top w:val="none" w:sz="0" w:space="0" w:color="auto"/>
        <w:left w:val="none" w:sz="0" w:space="0" w:color="auto"/>
        <w:bottom w:val="none" w:sz="0" w:space="0" w:color="auto"/>
        <w:right w:val="none" w:sz="0" w:space="0" w:color="auto"/>
      </w:divBdr>
      <w:divsChild>
        <w:div w:id="967199245">
          <w:marLeft w:val="0"/>
          <w:marRight w:val="0"/>
          <w:marTop w:val="0"/>
          <w:marBottom w:val="0"/>
          <w:divBdr>
            <w:top w:val="none" w:sz="0" w:space="0" w:color="auto"/>
            <w:left w:val="none" w:sz="0" w:space="0" w:color="auto"/>
            <w:bottom w:val="none" w:sz="0" w:space="0" w:color="auto"/>
            <w:right w:val="none" w:sz="0" w:space="0" w:color="auto"/>
          </w:divBdr>
          <w:divsChild>
            <w:div w:id="1173229120">
              <w:marLeft w:val="0"/>
              <w:marRight w:val="0"/>
              <w:marTop w:val="0"/>
              <w:marBottom w:val="0"/>
              <w:divBdr>
                <w:top w:val="none" w:sz="0" w:space="0" w:color="auto"/>
                <w:left w:val="none" w:sz="0" w:space="0" w:color="auto"/>
                <w:bottom w:val="none" w:sz="0" w:space="0" w:color="auto"/>
                <w:right w:val="none" w:sz="0" w:space="0" w:color="auto"/>
              </w:divBdr>
              <w:divsChild>
                <w:div w:id="15753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49756">
      <w:bodyDiv w:val="1"/>
      <w:marLeft w:val="0"/>
      <w:marRight w:val="0"/>
      <w:marTop w:val="0"/>
      <w:marBottom w:val="0"/>
      <w:divBdr>
        <w:top w:val="none" w:sz="0" w:space="0" w:color="auto"/>
        <w:left w:val="none" w:sz="0" w:space="0" w:color="auto"/>
        <w:bottom w:val="none" w:sz="0" w:space="0" w:color="auto"/>
        <w:right w:val="none" w:sz="0" w:space="0" w:color="auto"/>
      </w:divBdr>
      <w:divsChild>
        <w:div w:id="1674842723">
          <w:marLeft w:val="0"/>
          <w:marRight w:val="0"/>
          <w:marTop w:val="0"/>
          <w:marBottom w:val="0"/>
          <w:divBdr>
            <w:top w:val="none" w:sz="0" w:space="0" w:color="auto"/>
            <w:left w:val="none" w:sz="0" w:space="0" w:color="auto"/>
            <w:bottom w:val="none" w:sz="0" w:space="0" w:color="auto"/>
            <w:right w:val="none" w:sz="0" w:space="0" w:color="auto"/>
          </w:divBdr>
          <w:divsChild>
            <w:div w:id="204487723">
              <w:marLeft w:val="0"/>
              <w:marRight w:val="0"/>
              <w:marTop w:val="0"/>
              <w:marBottom w:val="0"/>
              <w:divBdr>
                <w:top w:val="none" w:sz="0" w:space="0" w:color="auto"/>
                <w:left w:val="none" w:sz="0" w:space="0" w:color="auto"/>
                <w:bottom w:val="none" w:sz="0" w:space="0" w:color="auto"/>
                <w:right w:val="none" w:sz="0" w:space="0" w:color="auto"/>
              </w:divBdr>
              <w:divsChild>
                <w:div w:id="1294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63DBA-D1D4-4EF1-B78A-BFE50421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279</TotalTime>
  <Pages>8</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17979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2025-10-25T04:52:00Z</dcterms:created>
  <dcterms:modified xsi:type="dcterms:W3CDTF">2025-11-05T06:54:00Z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89e6b883-8101-4cdd-8466-3a4c9f4fdba4</vt:lpwstr>
  </property>
</Properties>
</file>